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138A1" w14:textId="77777777" w:rsidR="00FA0EA7" w:rsidRPr="00221FC9" w:rsidRDefault="00FA0EA7" w:rsidP="00FA0EA7">
      <w:pPr>
        <w:pStyle w:val="Heading1"/>
        <w:spacing w:before="0"/>
        <w:rPr>
          <w:rFonts w:eastAsia="PMingLiU"/>
        </w:rPr>
      </w:pPr>
      <w:bookmarkStart w:id="0" w:name="_Toc403048451"/>
      <w:bookmarkStart w:id="1" w:name="_Toc404107989"/>
      <w:bookmarkStart w:id="2" w:name="_Toc228956221"/>
      <w:r w:rsidRPr="00221FC9">
        <w:rPr>
          <w:rFonts w:eastAsia="PMingLiU"/>
        </w:rPr>
        <w:t>Part A: Audit report template</w:t>
      </w:r>
      <w:bookmarkEnd w:id="0"/>
      <w:bookmarkEnd w:id="1"/>
      <w:bookmarkEnd w:id="2"/>
    </w:p>
    <w:p w14:paraId="2C56668F" w14:textId="77777777" w:rsidR="00FA0EA7" w:rsidRPr="00221FC9" w:rsidRDefault="00FA0EA7" w:rsidP="00FA0EA7">
      <w:pPr>
        <w:pStyle w:val="Heading2"/>
      </w:pPr>
      <w:bookmarkStart w:id="3" w:name="_Toc180767054"/>
      <w:bookmarkStart w:id="4" w:name="_Toc403048452"/>
      <w:bookmarkStart w:id="5" w:name="_Toc404107990"/>
      <w:bookmarkStart w:id="6" w:name="_Toc228956222"/>
      <w:r w:rsidRPr="00221FC9">
        <w:t xml:space="preserve">Audit report executive </w:t>
      </w:r>
      <w:bookmarkEnd w:id="3"/>
      <w:r w:rsidRPr="00221FC9">
        <w:t>summary</w:t>
      </w:r>
      <w:bookmarkEnd w:id="4"/>
      <w:bookmarkEnd w:id="5"/>
      <w:bookmarkEnd w:id="6"/>
    </w:p>
    <w:p w14:paraId="09A94F46" w14:textId="77777777" w:rsidR="00FA0EA7" w:rsidRPr="00221FC9" w:rsidRDefault="00FA0EA7" w:rsidP="00FA0EA7">
      <w:pPr>
        <w:pStyle w:val="Heading3"/>
        <w:rPr>
          <w:rFonts w:eastAsia="PMingLiU"/>
        </w:rPr>
      </w:pPr>
      <w:r w:rsidRPr="00221FC9">
        <w:rPr>
          <w:rFonts w:eastAsia="PMingLiU"/>
        </w:rPr>
        <w:fldChar w:fldCharType="begin">
          <w:ffData>
            <w:name w:val="Text1"/>
            <w:enabled/>
            <w:calcOnExit w:val="0"/>
            <w:textInput>
              <w:default w:val="&lt;Name of service&gt;"/>
            </w:textInput>
          </w:ffData>
        </w:fldChar>
      </w:r>
      <w:bookmarkStart w:id="7" w:name="Text1"/>
      <w:r w:rsidRPr="00221FC9">
        <w:rPr>
          <w:rFonts w:eastAsia="PMingLiU"/>
        </w:rPr>
        <w:instrText xml:space="preserve"> FORMTEXT </w:instrText>
      </w:r>
      <w:r w:rsidRPr="00221FC9">
        <w:rPr>
          <w:rFonts w:eastAsia="PMingLiU"/>
        </w:rPr>
      </w:r>
      <w:r w:rsidRPr="00221FC9">
        <w:rPr>
          <w:rFonts w:eastAsia="PMingLiU"/>
        </w:rPr>
        <w:fldChar w:fldCharType="separate"/>
      </w:r>
      <w:r w:rsidRPr="00221FC9">
        <w:rPr>
          <w:rFonts w:eastAsia="PMingLiU"/>
        </w:rPr>
        <w:t>&lt;Name of service&gt;</w:t>
      </w:r>
      <w:r w:rsidRPr="00221FC9">
        <w:rPr>
          <w:rFonts w:eastAsia="PMingLiU"/>
        </w:rPr>
        <w:fldChar w:fldCharType="end"/>
      </w:r>
      <w:bookmarkEnd w:id="7"/>
    </w:p>
    <w:p w14:paraId="0BDA7F77" w14:textId="3BAC0D7A" w:rsidR="00FA0EA7" w:rsidRDefault="00FA0EA7" w:rsidP="00A54C4A">
      <w:pPr>
        <w:rPr>
          <w:rFonts w:eastAsia="PMingLiU"/>
        </w:rPr>
      </w:pPr>
      <w:r w:rsidRPr="00221FC9">
        <w:rPr>
          <w:rFonts w:eastAsia="PMingLiU"/>
        </w:rPr>
        <w:t xml:space="preserve">Audit report date: </w:t>
      </w:r>
      <w:r w:rsidRPr="00221FC9">
        <w:rPr>
          <w:rFonts w:eastAsia="PMingLiU"/>
        </w:rPr>
        <w:fldChar w:fldCharType="begin">
          <w:ffData>
            <w:name w:val="Text2"/>
            <w:enabled/>
            <w:calcOnExit w:val="0"/>
            <w:textInput/>
          </w:ffData>
        </w:fldChar>
      </w:r>
      <w:bookmarkStart w:id="8" w:name="Text2"/>
      <w:r w:rsidRPr="00221FC9">
        <w:rPr>
          <w:rFonts w:eastAsia="PMingLiU"/>
        </w:rPr>
        <w:instrText xml:space="preserve"> FORMTEXT </w:instrText>
      </w:r>
      <w:r w:rsidRPr="00221FC9">
        <w:rPr>
          <w:rFonts w:eastAsia="PMingLiU"/>
        </w:rPr>
      </w:r>
      <w:r w:rsidRPr="00221FC9">
        <w:rPr>
          <w:rFonts w:eastAsia="PMingLiU"/>
        </w:rPr>
        <w:fldChar w:fldCharType="separate"/>
      </w:r>
      <w:r w:rsidRPr="00221FC9">
        <w:rPr>
          <w:rFonts w:eastAsia="PMingLiU"/>
        </w:rPr>
        <w:t> </w:t>
      </w:r>
      <w:r w:rsidRPr="00221FC9">
        <w:rPr>
          <w:rFonts w:eastAsia="PMingLiU"/>
        </w:rPr>
        <w:t> </w:t>
      </w:r>
      <w:r w:rsidRPr="00221FC9">
        <w:rPr>
          <w:rFonts w:eastAsia="PMingLiU"/>
        </w:rPr>
        <w:t> </w:t>
      </w:r>
      <w:r w:rsidRPr="00221FC9">
        <w:rPr>
          <w:rFonts w:eastAsia="PMingLiU"/>
        </w:rPr>
        <w:t> </w:t>
      </w:r>
      <w:r w:rsidRPr="00221FC9">
        <w:rPr>
          <w:rFonts w:eastAsia="PMingLiU"/>
        </w:rPr>
        <w:t> </w:t>
      </w:r>
      <w:r w:rsidRPr="00221FC9">
        <w:rPr>
          <w:rFonts w:eastAsia="PMingLiU"/>
        </w:rPr>
        <w:fldChar w:fldCharType="end"/>
      </w:r>
      <w:bookmarkEnd w:id="8"/>
    </w:p>
    <w:p w14:paraId="5E88BE9A" w14:textId="77777777" w:rsidR="002E5FBF" w:rsidRDefault="002E5FBF" w:rsidP="002E5FBF">
      <w:pPr>
        <w:pStyle w:val="Heading3"/>
        <w:rPr>
          <w:rFonts w:eastAsia="PMingLiU"/>
        </w:rPr>
      </w:pPr>
      <w:r>
        <w:rPr>
          <w:rFonts w:eastAsia="PMingLiU"/>
        </w:rPr>
        <w:t>Executive summary</w:t>
      </w:r>
    </w:p>
    <w:p w14:paraId="3F050338" w14:textId="77777777" w:rsidR="002E5FBF" w:rsidRPr="00221FC9" w:rsidRDefault="002E5FBF" w:rsidP="002E5FBF">
      <w:pPr>
        <w:rPr>
          <w:rFonts w:eastAsia="PMingLiU"/>
        </w:rPr>
      </w:pPr>
      <w:r w:rsidRPr="00221FC9">
        <w:rPr>
          <w:rFonts w:eastAsia="PMingLiU"/>
        </w:rPr>
        <w:fldChar w:fldCharType="begin">
          <w:ffData>
            <w:name w:val="Text2"/>
            <w:enabled/>
            <w:calcOnExit w:val="0"/>
            <w:textInput/>
          </w:ffData>
        </w:fldChar>
      </w:r>
      <w:r w:rsidRPr="00221FC9">
        <w:rPr>
          <w:rFonts w:eastAsia="PMingLiU"/>
        </w:rPr>
        <w:instrText xml:space="preserve"> FORMTEXT </w:instrText>
      </w:r>
      <w:r w:rsidRPr="00221FC9">
        <w:rPr>
          <w:rFonts w:eastAsia="PMingLiU"/>
        </w:rPr>
      </w:r>
      <w:r w:rsidRPr="00221FC9">
        <w:rPr>
          <w:rFonts w:eastAsia="PMingLiU"/>
        </w:rPr>
        <w:fldChar w:fldCharType="separate"/>
      </w:r>
      <w:r w:rsidRPr="00221FC9">
        <w:rPr>
          <w:rFonts w:eastAsia="PMingLiU"/>
        </w:rPr>
        <w:t> </w:t>
      </w:r>
      <w:r w:rsidRPr="00221FC9">
        <w:rPr>
          <w:rFonts w:eastAsia="PMingLiU"/>
        </w:rPr>
        <w:t> </w:t>
      </w:r>
      <w:r w:rsidRPr="00221FC9">
        <w:rPr>
          <w:rFonts w:eastAsia="PMingLiU"/>
        </w:rPr>
        <w:t> </w:t>
      </w:r>
      <w:r w:rsidRPr="00221FC9">
        <w:rPr>
          <w:rFonts w:eastAsia="PMingLiU"/>
        </w:rPr>
        <w:t> </w:t>
      </w:r>
      <w:r w:rsidRPr="00221FC9">
        <w:rPr>
          <w:rFonts w:eastAsia="PMingLiU"/>
        </w:rPr>
        <w:t> </w:t>
      </w:r>
      <w:r w:rsidRPr="00221FC9">
        <w:rPr>
          <w:rFonts w:eastAsia="PMingLiU"/>
        </w:rPr>
        <w:fldChar w:fldCharType="end"/>
      </w:r>
    </w:p>
    <w:p w14:paraId="0ED75CF5" w14:textId="467B7877" w:rsidR="005764A5" w:rsidRPr="00221FC9" w:rsidRDefault="005764A5" w:rsidP="005764A5">
      <w:pPr>
        <w:rPr>
          <w:rFonts w:eastAsia="PMingLiU"/>
        </w:rPr>
      </w:pPr>
    </w:p>
    <w:p w14:paraId="3FA865D4" w14:textId="77777777" w:rsidR="00D170D9" w:rsidRDefault="00D170D9" w:rsidP="00FC4DF7">
      <w:pPr>
        <w:pStyle w:val="Number"/>
        <w:numPr>
          <w:ilvl w:val="0"/>
          <w:numId w:val="0"/>
        </w:numPr>
        <w:spacing w:before="120"/>
        <w:ind w:left="567" w:hanging="567"/>
        <w:rPr>
          <w:rFonts w:eastAsia="PMingLiU"/>
        </w:rPr>
      </w:pPr>
    </w:p>
    <w:p w14:paraId="3F6C1B17" w14:textId="77777777" w:rsidR="00D170D9" w:rsidRDefault="00D170D9" w:rsidP="00FC4DF7">
      <w:pPr>
        <w:pStyle w:val="Number"/>
        <w:numPr>
          <w:ilvl w:val="0"/>
          <w:numId w:val="0"/>
        </w:numPr>
        <w:spacing w:before="120"/>
        <w:ind w:left="567" w:hanging="567"/>
        <w:rPr>
          <w:rFonts w:eastAsia="PMingLiU"/>
        </w:rPr>
      </w:pPr>
    </w:p>
    <w:p w14:paraId="5858A57C" w14:textId="5B5CF06E" w:rsidR="00FC4DF7" w:rsidRDefault="00FC4DF7">
      <w:pPr>
        <w:rPr>
          <w:rFonts w:eastAsia="PMingLiU"/>
        </w:rPr>
      </w:pPr>
      <w:r>
        <w:rPr>
          <w:rFonts w:eastAsia="PMingLiU"/>
        </w:rPr>
        <w:br w:type="page"/>
      </w:r>
    </w:p>
    <w:p w14:paraId="5BD17B29" w14:textId="77777777" w:rsidR="00FA0EA7" w:rsidRPr="00221FC9" w:rsidRDefault="00FA0EA7" w:rsidP="00FA0EA7">
      <w:pPr>
        <w:pStyle w:val="Heading2"/>
      </w:pPr>
      <w:bookmarkStart w:id="9" w:name="_Toc178310440"/>
      <w:bookmarkStart w:id="10" w:name="_Toc180687215"/>
      <w:bookmarkStart w:id="11" w:name="_Toc180767055"/>
      <w:bookmarkStart w:id="12" w:name="_Toc403048453"/>
      <w:bookmarkStart w:id="13" w:name="_Toc404107991"/>
      <w:bookmarkStart w:id="14" w:name="_Toc228956223"/>
      <w:r w:rsidRPr="00221FC9">
        <w:lastRenderedPageBreak/>
        <w:t xml:space="preserve">Audit </w:t>
      </w:r>
      <w:bookmarkEnd w:id="9"/>
      <w:bookmarkEnd w:id="10"/>
      <w:bookmarkEnd w:id="11"/>
      <w:r w:rsidRPr="00221FC9">
        <w:t>report</w:t>
      </w:r>
      <w:bookmarkEnd w:id="12"/>
      <w:bookmarkEnd w:id="13"/>
      <w:bookmarkEnd w:id="14"/>
    </w:p>
    <w:p w14:paraId="467EFD4E" w14:textId="76AF525C" w:rsidR="00FA0EA7" w:rsidRPr="00221FC9" w:rsidRDefault="00FA0EA7" w:rsidP="00FA0EA7">
      <w:pPr>
        <w:keepNext/>
      </w:pPr>
      <w:r w:rsidRPr="0062544E">
        <w:rPr>
          <w:b/>
          <w:bCs/>
        </w:rPr>
        <w:t>Report date:</w:t>
      </w:r>
      <w:r w:rsidRPr="00221FC9">
        <w:t xml:space="preserve"> </w:t>
      </w:r>
      <w:r w:rsidR="0062544E">
        <w:tab/>
      </w:r>
      <w:r w:rsidRPr="00221FC9">
        <w:fldChar w:fldCharType="begin">
          <w:ffData>
            <w:name w:val="Text3"/>
            <w:enabled/>
            <w:calcOnExit w:val="0"/>
            <w:textInput/>
          </w:ffData>
        </w:fldChar>
      </w:r>
      <w:bookmarkStart w:id="15" w:name="Text3"/>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15"/>
    </w:p>
    <w:p w14:paraId="10C87CD8" w14:textId="77777777" w:rsidR="00FA0EA7" w:rsidRPr="00221FC9" w:rsidRDefault="00FA0EA7" w:rsidP="00FA0EA7">
      <w:pPr>
        <w:pStyle w:val="Heading3"/>
      </w:pPr>
      <w:bookmarkStart w:id="16" w:name="_Toc180687216"/>
      <w:r w:rsidRPr="00221FC9">
        <w:t>Service context</w:t>
      </w:r>
      <w:bookmarkEnd w:id="16"/>
    </w:p>
    <w:tbl>
      <w:tblPr>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1843"/>
        <w:gridCol w:w="6833"/>
      </w:tblGrid>
      <w:tr w:rsidR="00FA0EA7" w:rsidRPr="00221FC9" w14:paraId="779E0DC8" w14:textId="77777777" w:rsidTr="004B5A14">
        <w:trPr>
          <w:cantSplit/>
        </w:trPr>
        <w:tc>
          <w:tcPr>
            <w:tcW w:w="1843" w:type="dxa"/>
            <w:shd w:val="clear" w:color="auto" w:fill="D9D9D9" w:themeFill="background1" w:themeFillShade="D9"/>
          </w:tcPr>
          <w:p w14:paraId="766A2655" w14:textId="77777777" w:rsidR="00FA0EA7" w:rsidRPr="00221FC9" w:rsidRDefault="00FA0EA7" w:rsidP="009374B1">
            <w:pPr>
              <w:pStyle w:val="TableText"/>
              <w:keepNext/>
              <w:rPr>
                <w:b/>
              </w:rPr>
            </w:pPr>
            <w:r w:rsidRPr="00221FC9">
              <w:rPr>
                <w:b/>
              </w:rPr>
              <w:t>Service provider:</w:t>
            </w:r>
          </w:p>
        </w:tc>
        <w:tc>
          <w:tcPr>
            <w:tcW w:w="6833" w:type="dxa"/>
          </w:tcPr>
          <w:p w14:paraId="614D901A" w14:textId="77777777" w:rsidR="00FA0EA7" w:rsidRPr="00221FC9" w:rsidRDefault="00FA0EA7" w:rsidP="009374B1">
            <w:pPr>
              <w:pStyle w:val="TableText"/>
              <w:keepNext/>
            </w:pPr>
            <w:r w:rsidRPr="00221FC9">
              <w:fldChar w:fldCharType="begin">
                <w:ffData>
                  <w:name w:val="Text8"/>
                  <w:enabled/>
                  <w:calcOnExit w:val="0"/>
                  <w:textInput/>
                </w:ffData>
              </w:fldChar>
            </w:r>
            <w:r w:rsidRPr="00221FC9">
              <w:instrText xml:space="preserve"> </w:instrText>
            </w:r>
            <w:bookmarkStart w:id="17" w:name="Text8"/>
            <w:r w:rsidRPr="00221FC9">
              <w:instrText xml:space="preserve">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17"/>
          </w:p>
        </w:tc>
      </w:tr>
    </w:tbl>
    <w:p w14:paraId="0583B7C8" w14:textId="77777777" w:rsidR="00FA0EA7" w:rsidRPr="00221FC9" w:rsidRDefault="00FA0EA7" w:rsidP="00FA0EA7">
      <w:pPr>
        <w:keepNext/>
      </w:pPr>
    </w:p>
    <w:tbl>
      <w:tblPr>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552"/>
        <w:gridCol w:w="2722"/>
        <w:gridCol w:w="1701"/>
        <w:gridCol w:w="1701"/>
      </w:tblGrid>
      <w:tr w:rsidR="00FA0EA7" w:rsidRPr="00221FC9" w14:paraId="534061E5" w14:textId="77777777" w:rsidTr="004B5A14">
        <w:trPr>
          <w:cantSplit/>
        </w:trPr>
        <w:tc>
          <w:tcPr>
            <w:tcW w:w="2552" w:type="dxa"/>
            <w:shd w:val="clear" w:color="auto" w:fill="D9D9D9" w:themeFill="background1" w:themeFillShade="D9"/>
          </w:tcPr>
          <w:p w14:paraId="292E2C87" w14:textId="77777777" w:rsidR="00FA0EA7" w:rsidRPr="00221FC9" w:rsidRDefault="00FA0EA7" w:rsidP="009374B1">
            <w:pPr>
              <w:pStyle w:val="TableText"/>
              <w:keepNext/>
              <w:rPr>
                <w:b/>
              </w:rPr>
            </w:pPr>
            <w:r w:rsidRPr="00221FC9">
              <w:rPr>
                <w:b/>
              </w:rPr>
              <w:t>Premises name</w:t>
            </w:r>
          </w:p>
        </w:tc>
        <w:tc>
          <w:tcPr>
            <w:tcW w:w="2722" w:type="dxa"/>
            <w:shd w:val="clear" w:color="auto" w:fill="D9D9D9" w:themeFill="background1" w:themeFillShade="D9"/>
          </w:tcPr>
          <w:p w14:paraId="6B6F0BB6" w14:textId="77777777" w:rsidR="00FA0EA7" w:rsidRPr="00221FC9" w:rsidRDefault="00FA0EA7" w:rsidP="009374B1">
            <w:pPr>
              <w:pStyle w:val="TableText"/>
              <w:keepNext/>
              <w:rPr>
                <w:b/>
              </w:rPr>
            </w:pPr>
            <w:r w:rsidRPr="00221FC9">
              <w:rPr>
                <w:b/>
              </w:rPr>
              <w:t>Street address</w:t>
            </w:r>
          </w:p>
        </w:tc>
        <w:tc>
          <w:tcPr>
            <w:tcW w:w="1701" w:type="dxa"/>
            <w:shd w:val="clear" w:color="auto" w:fill="D9D9D9" w:themeFill="background1" w:themeFillShade="D9"/>
          </w:tcPr>
          <w:p w14:paraId="1E2128B3" w14:textId="77777777" w:rsidR="00FA0EA7" w:rsidRPr="00221FC9" w:rsidRDefault="00FA0EA7" w:rsidP="009374B1">
            <w:pPr>
              <w:pStyle w:val="TableText"/>
              <w:keepNext/>
              <w:rPr>
                <w:b/>
              </w:rPr>
            </w:pPr>
            <w:r w:rsidRPr="00221FC9">
              <w:rPr>
                <w:b/>
              </w:rPr>
              <w:t>Suburb</w:t>
            </w:r>
          </w:p>
        </w:tc>
        <w:tc>
          <w:tcPr>
            <w:tcW w:w="1701" w:type="dxa"/>
            <w:shd w:val="clear" w:color="auto" w:fill="D9D9D9" w:themeFill="background1" w:themeFillShade="D9"/>
          </w:tcPr>
          <w:p w14:paraId="79231DEF" w14:textId="77777777" w:rsidR="00FA0EA7" w:rsidRPr="00221FC9" w:rsidRDefault="00FA0EA7" w:rsidP="009374B1">
            <w:pPr>
              <w:pStyle w:val="TableText"/>
              <w:keepNext/>
              <w:rPr>
                <w:b/>
              </w:rPr>
            </w:pPr>
            <w:r w:rsidRPr="00221FC9">
              <w:rPr>
                <w:b/>
              </w:rPr>
              <w:t>City</w:t>
            </w:r>
          </w:p>
        </w:tc>
      </w:tr>
      <w:tr w:rsidR="00FA0EA7" w:rsidRPr="00221FC9" w14:paraId="5BBFE2A9" w14:textId="77777777" w:rsidTr="004B5A14">
        <w:trPr>
          <w:cantSplit/>
        </w:trPr>
        <w:tc>
          <w:tcPr>
            <w:tcW w:w="2552" w:type="dxa"/>
          </w:tcPr>
          <w:p w14:paraId="67F862A2" w14:textId="77777777" w:rsidR="00FA0EA7" w:rsidRPr="00221FC9" w:rsidRDefault="00FA0EA7" w:rsidP="009374B1">
            <w:pPr>
              <w:pStyle w:val="TableText"/>
              <w:keepNext/>
            </w:pPr>
            <w:r w:rsidRPr="00221FC9">
              <w:fldChar w:fldCharType="begin">
                <w:ffData>
                  <w:name w:val="Text4"/>
                  <w:enabled/>
                  <w:calcOnExit w:val="0"/>
                  <w:textInput/>
                </w:ffData>
              </w:fldChar>
            </w:r>
            <w:bookmarkStart w:id="18" w:name="Text4"/>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18"/>
          </w:p>
        </w:tc>
        <w:tc>
          <w:tcPr>
            <w:tcW w:w="2722" w:type="dxa"/>
          </w:tcPr>
          <w:p w14:paraId="3EECD5E4" w14:textId="77777777" w:rsidR="00FA0EA7" w:rsidRPr="00221FC9" w:rsidRDefault="00FA0EA7" w:rsidP="009374B1">
            <w:pPr>
              <w:pStyle w:val="TableText"/>
              <w:keepNext/>
            </w:pPr>
            <w:r w:rsidRPr="00221FC9">
              <w:fldChar w:fldCharType="begin">
                <w:ffData>
                  <w:name w:val="Text5"/>
                  <w:enabled/>
                  <w:calcOnExit w:val="0"/>
                  <w:textInput/>
                </w:ffData>
              </w:fldChar>
            </w:r>
            <w:bookmarkStart w:id="19" w:name="Text5"/>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19"/>
          </w:p>
        </w:tc>
        <w:tc>
          <w:tcPr>
            <w:tcW w:w="1701" w:type="dxa"/>
          </w:tcPr>
          <w:p w14:paraId="1ED65B08" w14:textId="77777777" w:rsidR="00FA0EA7" w:rsidRPr="00221FC9" w:rsidRDefault="00FA0EA7" w:rsidP="009374B1">
            <w:pPr>
              <w:pStyle w:val="TableText"/>
              <w:keepNext/>
            </w:pPr>
            <w:r w:rsidRPr="00221FC9">
              <w:fldChar w:fldCharType="begin">
                <w:ffData>
                  <w:name w:val="Text6"/>
                  <w:enabled/>
                  <w:calcOnExit w:val="0"/>
                  <w:textInput/>
                </w:ffData>
              </w:fldChar>
            </w:r>
            <w:bookmarkStart w:id="20" w:name="Text6"/>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20"/>
          </w:p>
        </w:tc>
        <w:tc>
          <w:tcPr>
            <w:tcW w:w="1701" w:type="dxa"/>
          </w:tcPr>
          <w:p w14:paraId="206EF529" w14:textId="77777777" w:rsidR="00FA0EA7" w:rsidRPr="00221FC9" w:rsidRDefault="00FA0EA7" w:rsidP="009374B1">
            <w:pPr>
              <w:pStyle w:val="TableText"/>
              <w:keepNext/>
            </w:pPr>
            <w:r w:rsidRPr="00221FC9">
              <w:fldChar w:fldCharType="begin">
                <w:ffData>
                  <w:name w:val="Text7"/>
                  <w:enabled/>
                  <w:calcOnExit w:val="0"/>
                  <w:textInput/>
                </w:ffData>
              </w:fldChar>
            </w:r>
            <w:bookmarkStart w:id="21" w:name="Text7"/>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21"/>
          </w:p>
        </w:tc>
      </w:tr>
      <w:tr w:rsidR="00FA0EA7" w:rsidRPr="00221FC9" w14:paraId="0EFDA81E" w14:textId="77777777" w:rsidTr="004B5A14">
        <w:trPr>
          <w:cantSplit/>
        </w:trPr>
        <w:tc>
          <w:tcPr>
            <w:tcW w:w="2552" w:type="dxa"/>
          </w:tcPr>
          <w:p w14:paraId="6B675325" w14:textId="77777777" w:rsidR="00FA0EA7" w:rsidRPr="00221FC9" w:rsidRDefault="00FA0EA7" w:rsidP="009374B1">
            <w:pPr>
              <w:pStyle w:val="TableText"/>
              <w:keepNext/>
            </w:pPr>
            <w:r w:rsidRPr="00221FC9">
              <w:fldChar w:fldCharType="begin">
                <w:ffData>
                  <w:name w:val="Text4"/>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2722" w:type="dxa"/>
          </w:tcPr>
          <w:p w14:paraId="75EDA5E7" w14:textId="77777777" w:rsidR="00FA0EA7" w:rsidRPr="00221FC9" w:rsidRDefault="00FA0EA7" w:rsidP="009374B1">
            <w:pPr>
              <w:pStyle w:val="TableText"/>
              <w:keepNext/>
            </w:pPr>
            <w:r w:rsidRPr="00221FC9">
              <w:fldChar w:fldCharType="begin">
                <w:ffData>
                  <w:name w:val="Text5"/>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701" w:type="dxa"/>
          </w:tcPr>
          <w:p w14:paraId="39028BAD" w14:textId="77777777" w:rsidR="00FA0EA7" w:rsidRPr="00221FC9" w:rsidRDefault="00FA0EA7" w:rsidP="009374B1">
            <w:pPr>
              <w:pStyle w:val="TableText"/>
              <w:keepNext/>
            </w:pPr>
            <w:r w:rsidRPr="00221FC9">
              <w:fldChar w:fldCharType="begin">
                <w:ffData>
                  <w:name w:val="Text6"/>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701" w:type="dxa"/>
          </w:tcPr>
          <w:p w14:paraId="31B52FF5" w14:textId="77777777" w:rsidR="00FA0EA7" w:rsidRPr="00221FC9" w:rsidRDefault="00FA0EA7" w:rsidP="009374B1">
            <w:pPr>
              <w:pStyle w:val="TableText"/>
              <w:keepNext/>
            </w:pPr>
            <w:r w:rsidRPr="00221FC9">
              <w:fldChar w:fldCharType="begin">
                <w:ffData>
                  <w:name w:val="Text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61429A4" w14:textId="77777777" w:rsidTr="004B5A14">
        <w:trPr>
          <w:cantSplit/>
        </w:trPr>
        <w:tc>
          <w:tcPr>
            <w:tcW w:w="2552" w:type="dxa"/>
          </w:tcPr>
          <w:p w14:paraId="34273FC5" w14:textId="77777777" w:rsidR="00FA0EA7" w:rsidRPr="00221FC9" w:rsidRDefault="00FA0EA7" w:rsidP="009374B1">
            <w:pPr>
              <w:pStyle w:val="TableText"/>
              <w:keepNext/>
            </w:pPr>
            <w:r w:rsidRPr="00221FC9">
              <w:fldChar w:fldCharType="begin">
                <w:ffData>
                  <w:name w:val="Text4"/>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2722" w:type="dxa"/>
          </w:tcPr>
          <w:p w14:paraId="60C63D3C" w14:textId="77777777" w:rsidR="00FA0EA7" w:rsidRPr="00221FC9" w:rsidRDefault="00FA0EA7" w:rsidP="009374B1">
            <w:pPr>
              <w:pStyle w:val="TableText"/>
              <w:keepNext/>
            </w:pPr>
            <w:r w:rsidRPr="00221FC9">
              <w:fldChar w:fldCharType="begin">
                <w:ffData>
                  <w:name w:val="Text5"/>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701" w:type="dxa"/>
          </w:tcPr>
          <w:p w14:paraId="30280A61" w14:textId="77777777" w:rsidR="00FA0EA7" w:rsidRPr="00221FC9" w:rsidRDefault="00FA0EA7" w:rsidP="009374B1">
            <w:pPr>
              <w:pStyle w:val="TableText"/>
              <w:keepNext/>
            </w:pPr>
            <w:r w:rsidRPr="00221FC9">
              <w:fldChar w:fldCharType="begin">
                <w:ffData>
                  <w:name w:val="Text6"/>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701" w:type="dxa"/>
          </w:tcPr>
          <w:p w14:paraId="0B22EE14" w14:textId="77777777" w:rsidR="00FA0EA7" w:rsidRPr="00221FC9" w:rsidRDefault="00FA0EA7" w:rsidP="009374B1">
            <w:pPr>
              <w:pStyle w:val="TableText"/>
              <w:keepNext/>
            </w:pPr>
            <w:r w:rsidRPr="00221FC9">
              <w:fldChar w:fldCharType="begin">
                <w:ffData>
                  <w:name w:val="Text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5E8E5124" w14:textId="77777777" w:rsidR="00FA0EA7" w:rsidRPr="00221FC9" w:rsidRDefault="00FA0EA7" w:rsidP="00FA0EA7">
      <w:pPr>
        <w:keepNext/>
      </w:pPr>
    </w:p>
    <w:tbl>
      <w:tblPr>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864"/>
        <w:gridCol w:w="2693"/>
        <w:gridCol w:w="1276"/>
        <w:gridCol w:w="1843"/>
      </w:tblGrid>
      <w:tr w:rsidR="00FA0EA7" w:rsidRPr="00221FC9" w14:paraId="2FE057C8" w14:textId="77777777" w:rsidTr="004B5A14">
        <w:trPr>
          <w:cantSplit/>
        </w:trPr>
        <w:tc>
          <w:tcPr>
            <w:tcW w:w="2864" w:type="dxa"/>
            <w:shd w:val="clear" w:color="auto" w:fill="D9D9D9" w:themeFill="background1" w:themeFillShade="D9"/>
          </w:tcPr>
          <w:p w14:paraId="14CBC6BF" w14:textId="77777777" w:rsidR="00FA0EA7" w:rsidRPr="00221FC9" w:rsidRDefault="00FA0EA7" w:rsidP="009374B1">
            <w:pPr>
              <w:pStyle w:val="TableText"/>
              <w:keepNext/>
              <w:jc w:val="center"/>
              <w:rPr>
                <w:b/>
              </w:rPr>
            </w:pPr>
            <w:r w:rsidRPr="00221FC9">
              <w:rPr>
                <w:b/>
              </w:rPr>
              <w:t>Number of funded OST places</w:t>
            </w:r>
          </w:p>
        </w:tc>
        <w:tc>
          <w:tcPr>
            <w:tcW w:w="2693" w:type="dxa"/>
            <w:shd w:val="clear" w:color="auto" w:fill="D9D9D9" w:themeFill="background1" w:themeFillShade="D9"/>
          </w:tcPr>
          <w:p w14:paraId="689439BE" w14:textId="77777777" w:rsidR="00FA0EA7" w:rsidRPr="00221FC9" w:rsidRDefault="00FA0EA7" w:rsidP="009374B1">
            <w:pPr>
              <w:pStyle w:val="TableText"/>
              <w:keepNext/>
              <w:jc w:val="center"/>
              <w:rPr>
                <w:b/>
              </w:rPr>
            </w:pPr>
            <w:r w:rsidRPr="00221FC9">
              <w:rPr>
                <w:b/>
              </w:rPr>
              <w:t xml:space="preserve">Number of tāngata </w:t>
            </w:r>
            <w:proofErr w:type="spellStart"/>
            <w:r w:rsidRPr="00221FC9">
              <w:rPr>
                <w:b/>
              </w:rPr>
              <w:t>whai</w:t>
            </w:r>
            <w:proofErr w:type="spellEnd"/>
            <w:r w:rsidRPr="00221FC9">
              <w:rPr>
                <w:b/>
              </w:rPr>
              <w:t xml:space="preserve"> ora at date of audit</w:t>
            </w:r>
          </w:p>
        </w:tc>
        <w:tc>
          <w:tcPr>
            <w:tcW w:w="3119" w:type="dxa"/>
            <w:gridSpan w:val="2"/>
            <w:shd w:val="clear" w:color="auto" w:fill="D9D9D9" w:themeFill="background1" w:themeFillShade="D9"/>
          </w:tcPr>
          <w:p w14:paraId="19781C3F" w14:textId="77777777" w:rsidR="00FA0EA7" w:rsidRPr="00221FC9" w:rsidRDefault="00FA0EA7" w:rsidP="009374B1">
            <w:pPr>
              <w:pStyle w:val="TableText"/>
              <w:keepNext/>
              <w:jc w:val="center"/>
              <w:rPr>
                <w:b/>
              </w:rPr>
            </w:pPr>
            <w:r w:rsidRPr="00221FC9">
              <w:rPr>
                <w:b/>
              </w:rPr>
              <w:t>Number and percentage</w:t>
            </w:r>
            <w:r w:rsidRPr="00221FC9">
              <w:rPr>
                <w:b/>
              </w:rPr>
              <w:br/>
              <w:t xml:space="preserve">of tāngata </w:t>
            </w:r>
            <w:proofErr w:type="spellStart"/>
            <w:r w:rsidRPr="00221FC9">
              <w:rPr>
                <w:b/>
              </w:rPr>
              <w:t>whai</w:t>
            </w:r>
            <w:proofErr w:type="spellEnd"/>
            <w:r w:rsidRPr="00221FC9">
              <w:rPr>
                <w:b/>
              </w:rPr>
              <w:t xml:space="preserve"> ora in shared care</w:t>
            </w:r>
          </w:p>
        </w:tc>
      </w:tr>
      <w:tr w:rsidR="00FA0EA7" w:rsidRPr="00221FC9" w14:paraId="26CF66B6" w14:textId="77777777" w:rsidTr="004B5A14">
        <w:trPr>
          <w:cantSplit/>
        </w:trPr>
        <w:tc>
          <w:tcPr>
            <w:tcW w:w="2864" w:type="dxa"/>
          </w:tcPr>
          <w:p w14:paraId="4C9464A7" w14:textId="77777777" w:rsidR="00FA0EA7" w:rsidRPr="00221FC9" w:rsidRDefault="00FA0EA7" w:rsidP="009374B1">
            <w:pPr>
              <w:pStyle w:val="TableText"/>
              <w:keepNext/>
              <w:jc w:val="center"/>
            </w:pPr>
            <w:r w:rsidRPr="00221FC9">
              <w:fldChar w:fldCharType="begin">
                <w:ffData>
                  <w:name w:val="Text4"/>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2693" w:type="dxa"/>
          </w:tcPr>
          <w:p w14:paraId="73E64211" w14:textId="77777777" w:rsidR="00FA0EA7" w:rsidRPr="00221FC9" w:rsidRDefault="00FA0EA7" w:rsidP="009374B1">
            <w:pPr>
              <w:pStyle w:val="TableText"/>
              <w:keepNext/>
              <w:jc w:val="center"/>
            </w:pPr>
            <w:r w:rsidRPr="00221FC9">
              <w:fldChar w:fldCharType="begin">
                <w:ffData>
                  <w:name w:val="Text5"/>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6381797D" w14:textId="77777777" w:rsidR="00FA0EA7" w:rsidRPr="00221FC9" w:rsidRDefault="00FA0EA7" w:rsidP="009374B1">
            <w:pPr>
              <w:pStyle w:val="TableText"/>
              <w:keepNext/>
              <w:jc w:val="center"/>
            </w:pPr>
            <w:r w:rsidRPr="00221FC9">
              <w:fldChar w:fldCharType="begin">
                <w:ffData>
                  <w:name w:val=""/>
                  <w:enabled/>
                  <w:calcOnExit w:val="0"/>
                  <w:textInput>
                    <w:default w:val="&lt;Number&gt;"/>
                  </w:textInput>
                </w:ffData>
              </w:fldChar>
            </w:r>
            <w:r w:rsidRPr="00221FC9">
              <w:instrText xml:space="preserve"> FORMTEXT </w:instrText>
            </w:r>
            <w:r w:rsidRPr="00221FC9">
              <w:fldChar w:fldCharType="separate"/>
            </w:r>
            <w:r w:rsidRPr="00221FC9">
              <w:t>&lt;Number&gt;</w:t>
            </w:r>
            <w:r w:rsidRPr="00221FC9">
              <w:fldChar w:fldCharType="end"/>
            </w:r>
          </w:p>
        </w:tc>
        <w:tc>
          <w:tcPr>
            <w:tcW w:w="1843" w:type="dxa"/>
          </w:tcPr>
          <w:p w14:paraId="791E9F3A" w14:textId="77777777" w:rsidR="00FA0EA7" w:rsidRPr="00221FC9" w:rsidRDefault="00FA0EA7" w:rsidP="009374B1">
            <w:pPr>
              <w:pStyle w:val="TableText"/>
              <w:keepNext/>
              <w:jc w:val="center"/>
            </w:pPr>
            <w:r w:rsidRPr="00221FC9">
              <w:fldChar w:fldCharType="begin">
                <w:ffData>
                  <w:name w:val="Text9"/>
                  <w:enabled/>
                  <w:calcOnExit w:val="0"/>
                  <w:textInput>
                    <w:default w:val="&lt;Percentage&gt;"/>
                  </w:textInput>
                </w:ffData>
              </w:fldChar>
            </w:r>
            <w:bookmarkStart w:id="22" w:name="Text9"/>
            <w:r w:rsidRPr="00221FC9">
              <w:instrText xml:space="preserve"> FORMTEXT </w:instrText>
            </w:r>
            <w:r w:rsidRPr="00221FC9">
              <w:fldChar w:fldCharType="separate"/>
            </w:r>
            <w:r w:rsidRPr="00221FC9">
              <w:t>&lt;Percentage&gt;</w:t>
            </w:r>
            <w:r w:rsidRPr="00221FC9">
              <w:fldChar w:fldCharType="end"/>
            </w:r>
            <w:bookmarkEnd w:id="22"/>
            <w:r w:rsidRPr="00221FC9">
              <w:t>%</w:t>
            </w:r>
          </w:p>
        </w:tc>
      </w:tr>
    </w:tbl>
    <w:p w14:paraId="7DA42AA8" w14:textId="77777777" w:rsidR="00FA0EA7" w:rsidRPr="00221FC9" w:rsidRDefault="00FA0EA7" w:rsidP="00FA0EA7">
      <w:pPr>
        <w:keepNext/>
      </w:pPr>
    </w:p>
    <w:tbl>
      <w:tblPr>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3118"/>
        <w:gridCol w:w="2865"/>
        <w:gridCol w:w="2693"/>
      </w:tblGrid>
      <w:tr w:rsidR="00FA0EA7" w:rsidRPr="00221FC9" w14:paraId="2BE33644" w14:textId="77777777" w:rsidTr="004B5A14">
        <w:trPr>
          <w:cantSplit/>
        </w:trPr>
        <w:tc>
          <w:tcPr>
            <w:tcW w:w="3118" w:type="dxa"/>
            <w:shd w:val="clear" w:color="auto" w:fill="D9D9D9" w:themeFill="background1" w:themeFillShade="D9"/>
          </w:tcPr>
          <w:p w14:paraId="1E05675E" w14:textId="77777777" w:rsidR="00FA0EA7" w:rsidRPr="00221FC9" w:rsidRDefault="00FA0EA7" w:rsidP="009374B1">
            <w:pPr>
              <w:pStyle w:val="TableText"/>
              <w:jc w:val="center"/>
              <w:rPr>
                <w:b/>
              </w:rPr>
            </w:pPr>
            <w:r w:rsidRPr="00221FC9">
              <w:rPr>
                <w:b/>
              </w:rPr>
              <w:t>Current waiting time</w:t>
            </w:r>
          </w:p>
        </w:tc>
        <w:tc>
          <w:tcPr>
            <w:tcW w:w="2865" w:type="dxa"/>
            <w:shd w:val="clear" w:color="auto" w:fill="D9D9D9" w:themeFill="background1" w:themeFillShade="D9"/>
          </w:tcPr>
          <w:p w14:paraId="505B5032" w14:textId="77777777" w:rsidR="00FA0EA7" w:rsidRPr="00221FC9" w:rsidRDefault="00FA0EA7" w:rsidP="009374B1">
            <w:pPr>
              <w:pStyle w:val="TableText"/>
              <w:jc w:val="center"/>
              <w:rPr>
                <w:b/>
              </w:rPr>
            </w:pPr>
            <w:r w:rsidRPr="00221FC9">
              <w:rPr>
                <w:b/>
              </w:rPr>
              <w:t>Number of community pharmacies</w:t>
            </w:r>
          </w:p>
        </w:tc>
        <w:tc>
          <w:tcPr>
            <w:tcW w:w="2693" w:type="dxa"/>
            <w:shd w:val="clear" w:color="auto" w:fill="D9D9D9" w:themeFill="background1" w:themeFillShade="D9"/>
          </w:tcPr>
          <w:p w14:paraId="5A208034" w14:textId="77777777" w:rsidR="00FA0EA7" w:rsidRPr="00221FC9" w:rsidRDefault="00FA0EA7" w:rsidP="009374B1">
            <w:pPr>
              <w:pStyle w:val="TableText"/>
              <w:jc w:val="center"/>
              <w:rPr>
                <w:b/>
              </w:rPr>
            </w:pPr>
            <w:r w:rsidRPr="00221FC9">
              <w:rPr>
                <w:b/>
              </w:rPr>
              <w:t>Number of GPs authorised</w:t>
            </w:r>
          </w:p>
        </w:tc>
      </w:tr>
      <w:tr w:rsidR="00FA0EA7" w:rsidRPr="00221FC9" w14:paraId="647164B5" w14:textId="77777777" w:rsidTr="004B5A14">
        <w:trPr>
          <w:cantSplit/>
        </w:trPr>
        <w:tc>
          <w:tcPr>
            <w:tcW w:w="3118" w:type="dxa"/>
          </w:tcPr>
          <w:p w14:paraId="46A58D58" w14:textId="77777777" w:rsidR="00FA0EA7" w:rsidRPr="00221FC9" w:rsidRDefault="00FA0EA7" w:rsidP="009374B1">
            <w:pPr>
              <w:pStyle w:val="TableText"/>
              <w:jc w:val="center"/>
            </w:pPr>
            <w:r w:rsidRPr="00221FC9">
              <w:fldChar w:fldCharType="begin">
                <w:ffData>
                  <w:name w:val="Text10"/>
                  <w:enabled/>
                  <w:calcOnExit w:val="0"/>
                  <w:textInput/>
                </w:ffData>
              </w:fldChar>
            </w:r>
            <w:bookmarkStart w:id="23" w:name="Text10"/>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23"/>
          </w:p>
        </w:tc>
        <w:tc>
          <w:tcPr>
            <w:tcW w:w="2865" w:type="dxa"/>
          </w:tcPr>
          <w:p w14:paraId="582C3D1D" w14:textId="77777777" w:rsidR="00FA0EA7" w:rsidRPr="00221FC9" w:rsidRDefault="00FA0EA7" w:rsidP="009374B1">
            <w:pPr>
              <w:pStyle w:val="TableText"/>
              <w:jc w:val="center"/>
            </w:pPr>
            <w:r w:rsidRPr="00221FC9">
              <w:fldChar w:fldCharType="begin">
                <w:ffData>
                  <w:name w:val="Text11"/>
                  <w:enabled/>
                  <w:calcOnExit w:val="0"/>
                  <w:textInput/>
                </w:ffData>
              </w:fldChar>
            </w:r>
            <w:bookmarkStart w:id="24" w:name="Text11"/>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24"/>
          </w:p>
        </w:tc>
        <w:tc>
          <w:tcPr>
            <w:tcW w:w="2693" w:type="dxa"/>
          </w:tcPr>
          <w:p w14:paraId="34315AB3" w14:textId="77777777" w:rsidR="00FA0EA7" w:rsidRPr="00221FC9" w:rsidRDefault="00FA0EA7" w:rsidP="009374B1">
            <w:pPr>
              <w:pStyle w:val="TableText"/>
              <w:jc w:val="center"/>
            </w:pPr>
            <w:r w:rsidRPr="00221FC9">
              <w:fldChar w:fldCharType="begin">
                <w:ffData>
                  <w:name w:val="Text12"/>
                  <w:enabled/>
                  <w:calcOnExit w:val="0"/>
                  <w:textInput/>
                </w:ffData>
              </w:fldChar>
            </w:r>
            <w:bookmarkStart w:id="25" w:name="Text12"/>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25"/>
          </w:p>
        </w:tc>
      </w:tr>
    </w:tbl>
    <w:p w14:paraId="6D31723B" w14:textId="77777777" w:rsidR="00FA0EA7" w:rsidRPr="00221FC9" w:rsidRDefault="00FA0EA7" w:rsidP="00FA0EA7"/>
    <w:tbl>
      <w:tblPr>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3118"/>
        <w:gridCol w:w="2581"/>
        <w:gridCol w:w="1418"/>
        <w:gridCol w:w="1559"/>
      </w:tblGrid>
      <w:tr w:rsidR="00FA0EA7" w:rsidRPr="00221FC9" w14:paraId="724E9D45" w14:textId="77777777" w:rsidTr="004B5A14">
        <w:trPr>
          <w:cantSplit/>
        </w:trPr>
        <w:tc>
          <w:tcPr>
            <w:tcW w:w="3118" w:type="dxa"/>
            <w:shd w:val="clear" w:color="auto" w:fill="D9D9D9" w:themeFill="background1" w:themeFillShade="D9"/>
          </w:tcPr>
          <w:p w14:paraId="1CF832A7" w14:textId="77777777" w:rsidR="00FA0EA7" w:rsidRPr="00221FC9" w:rsidRDefault="00FA0EA7" w:rsidP="009374B1">
            <w:pPr>
              <w:pStyle w:val="TableText"/>
              <w:rPr>
                <w:b/>
              </w:rPr>
            </w:pPr>
            <w:r w:rsidRPr="00221FC9">
              <w:rPr>
                <w:b/>
              </w:rPr>
              <w:t>Staffing roles</w:t>
            </w:r>
          </w:p>
        </w:tc>
        <w:tc>
          <w:tcPr>
            <w:tcW w:w="2581" w:type="dxa"/>
            <w:shd w:val="clear" w:color="auto" w:fill="D9D9D9" w:themeFill="background1" w:themeFillShade="D9"/>
          </w:tcPr>
          <w:p w14:paraId="78BBF5D3" w14:textId="77777777" w:rsidR="00FA0EA7" w:rsidRPr="00221FC9" w:rsidRDefault="00FA0EA7" w:rsidP="009374B1">
            <w:pPr>
              <w:pStyle w:val="TableText"/>
              <w:rPr>
                <w:b/>
              </w:rPr>
            </w:pPr>
            <w:r w:rsidRPr="00221FC9">
              <w:rPr>
                <w:b/>
              </w:rPr>
              <w:t>Qualifications</w:t>
            </w:r>
          </w:p>
        </w:tc>
        <w:tc>
          <w:tcPr>
            <w:tcW w:w="2977" w:type="dxa"/>
            <w:gridSpan w:val="2"/>
            <w:shd w:val="clear" w:color="auto" w:fill="D9D9D9" w:themeFill="background1" w:themeFillShade="D9"/>
          </w:tcPr>
          <w:p w14:paraId="5DD29297" w14:textId="77777777" w:rsidR="00FA0EA7" w:rsidRPr="00221FC9" w:rsidRDefault="00FA0EA7" w:rsidP="009374B1">
            <w:pPr>
              <w:pStyle w:val="TableText"/>
              <w:jc w:val="center"/>
              <w:rPr>
                <w:b/>
              </w:rPr>
            </w:pPr>
            <w:r w:rsidRPr="00221FC9">
              <w:rPr>
                <w:b/>
              </w:rPr>
              <w:t>Number and % of staff with no professional registration</w:t>
            </w:r>
          </w:p>
        </w:tc>
      </w:tr>
      <w:tr w:rsidR="00FA0EA7" w:rsidRPr="00221FC9" w14:paraId="0619DF84" w14:textId="77777777" w:rsidTr="004B5A14">
        <w:trPr>
          <w:cantSplit/>
        </w:trPr>
        <w:tc>
          <w:tcPr>
            <w:tcW w:w="3118" w:type="dxa"/>
          </w:tcPr>
          <w:p w14:paraId="4CF447EB" w14:textId="77777777" w:rsidR="00FA0EA7" w:rsidRPr="00221FC9" w:rsidRDefault="00FA0EA7" w:rsidP="009374B1">
            <w:pPr>
              <w:pStyle w:val="TableText"/>
            </w:pPr>
            <w:r w:rsidRPr="00221FC9">
              <w:fldChar w:fldCharType="begin">
                <w:ffData>
                  <w:name w:val="Text15"/>
                  <w:enabled/>
                  <w:calcOnExit w:val="0"/>
                  <w:textInput/>
                </w:ffData>
              </w:fldChar>
            </w:r>
            <w:bookmarkStart w:id="26" w:name="Text15"/>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26"/>
          </w:p>
        </w:tc>
        <w:tc>
          <w:tcPr>
            <w:tcW w:w="2581" w:type="dxa"/>
          </w:tcPr>
          <w:p w14:paraId="5277D2EB" w14:textId="77777777" w:rsidR="00FA0EA7" w:rsidRPr="00221FC9" w:rsidRDefault="00FA0EA7" w:rsidP="009374B1">
            <w:pPr>
              <w:pStyle w:val="TableText"/>
            </w:pPr>
            <w:r w:rsidRPr="00221FC9">
              <w:fldChar w:fldCharType="begin">
                <w:ffData>
                  <w:name w:val="Text16"/>
                  <w:enabled/>
                  <w:calcOnExit w:val="0"/>
                  <w:textInput/>
                </w:ffData>
              </w:fldChar>
            </w:r>
            <w:bookmarkStart w:id="27" w:name="Text16"/>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27"/>
          </w:p>
        </w:tc>
        <w:tc>
          <w:tcPr>
            <w:tcW w:w="1418" w:type="dxa"/>
          </w:tcPr>
          <w:p w14:paraId="59E36553" w14:textId="77777777" w:rsidR="00FA0EA7" w:rsidRPr="00221FC9" w:rsidRDefault="00FA0EA7" w:rsidP="009374B1">
            <w:pPr>
              <w:pStyle w:val="TableText"/>
              <w:jc w:val="center"/>
            </w:pPr>
            <w:r w:rsidRPr="00221FC9">
              <w:fldChar w:fldCharType="begin">
                <w:ffData>
                  <w:name w:val="Text13"/>
                  <w:enabled/>
                  <w:calcOnExit w:val="0"/>
                  <w:textInput>
                    <w:default w:val="&lt;Number&gt;"/>
                  </w:textInput>
                </w:ffData>
              </w:fldChar>
            </w:r>
            <w:bookmarkStart w:id="28" w:name="Text13"/>
            <w:r w:rsidRPr="00221FC9">
              <w:instrText xml:space="preserve"> FORMTEXT </w:instrText>
            </w:r>
            <w:r w:rsidRPr="00221FC9">
              <w:fldChar w:fldCharType="separate"/>
            </w:r>
            <w:r w:rsidRPr="00221FC9">
              <w:t>&lt;Number&gt;</w:t>
            </w:r>
            <w:r w:rsidRPr="00221FC9">
              <w:fldChar w:fldCharType="end"/>
            </w:r>
            <w:bookmarkEnd w:id="28"/>
          </w:p>
        </w:tc>
        <w:tc>
          <w:tcPr>
            <w:tcW w:w="1559" w:type="dxa"/>
          </w:tcPr>
          <w:p w14:paraId="03B306D6" w14:textId="77777777" w:rsidR="00FA0EA7" w:rsidRPr="00221FC9" w:rsidRDefault="00FA0EA7" w:rsidP="009374B1">
            <w:pPr>
              <w:pStyle w:val="TableText"/>
              <w:jc w:val="center"/>
            </w:pPr>
            <w:r w:rsidRPr="00221FC9">
              <w:fldChar w:fldCharType="begin">
                <w:ffData>
                  <w:name w:val="Text14"/>
                  <w:enabled/>
                  <w:calcOnExit w:val="0"/>
                  <w:textInput>
                    <w:default w:val="&lt;Percentage&gt;"/>
                  </w:textInput>
                </w:ffData>
              </w:fldChar>
            </w:r>
            <w:bookmarkStart w:id="29" w:name="Text14"/>
            <w:r w:rsidRPr="00221FC9">
              <w:instrText xml:space="preserve"> FORMTEXT </w:instrText>
            </w:r>
            <w:r w:rsidRPr="00221FC9">
              <w:fldChar w:fldCharType="separate"/>
            </w:r>
            <w:r w:rsidRPr="00221FC9">
              <w:t>&lt;Percentage&gt;</w:t>
            </w:r>
            <w:r w:rsidRPr="00221FC9">
              <w:fldChar w:fldCharType="end"/>
            </w:r>
            <w:bookmarkEnd w:id="29"/>
            <w:r w:rsidRPr="00221FC9">
              <w:t>%</w:t>
            </w:r>
          </w:p>
        </w:tc>
      </w:tr>
    </w:tbl>
    <w:p w14:paraId="0D36129A" w14:textId="77777777" w:rsidR="00FA0EA7" w:rsidRPr="00221FC9" w:rsidRDefault="00FA0EA7" w:rsidP="00FA0EA7">
      <w:pPr>
        <w:pStyle w:val="Heading3"/>
      </w:pPr>
      <w:r w:rsidRPr="00221FC9">
        <w:t>Audit team</w:t>
      </w:r>
    </w:p>
    <w:tbl>
      <w:tblPr>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2014"/>
        <w:gridCol w:w="3260"/>
        <w:gridCol w:w="3402"/>
      </w:tblGrid>
      <w:tr w:rsidR="00FA0EA7" w:rsidRPr="00221FC9" w14:paraId="63BFE017" w14:textId="77777777" w:rsidTr="002D0091">
        <w:trPr>
          <w:cantSplit/>
        </w:trPr>
        <w:tc>
          <w:tcPr>
            <w:tcW w:w="2014" w:type="dxa"/>
            <w:shd w:val="clear" w:color="auto" w:fill="D9D9D9" w:themeFill="background1" w:themeFillShade="D9"/>
          </w:tcPr>
          <w:p w14:paraId="6E74565D" w14:textId="77777777" w:rsidR="00FA0EA7" w:rsidRPr="00221FC9" w:rsidRDefault="00FA0EA7" w:rsidP="009374B1">
            <w:pPr>
              <w:pStyle w:val="TableText"/>
              <w:rPr>
                <w:b/>
              </w:rPr>
            </w:pPr>
            <w:r w:rsidRPr="00221FC9">
              <w:rPr>
                <w:b/>
              </w:rPr>
              <w:t>Audit team</w:t>
            </w:r>
          </w:p>
        </w:tc>
        <w:tc>
          <w:tcPr>
            <w:tcW w:w="3260" w:type="dxa"/>
            <w:shd w:val="clear" w:color="auto" w:fill="D9D9D9" w:themeFill="background1" w:themeFillShade="D9"/>
          </w:tcPr>
          <w:p w14:paraId="00222560" w14:textId="77777777" w:rsidR="00FA0EA7" w:rsidRPr="00221FC9" w:rsidRDefault="00FA0EA7" w:rsidP="009374B1">
            <w:pPr>
              <w:pStyle w:val="TableText"/>
              <w:rPr>
                <w:b/>
              </w:rPr>
            </w:pPr>
            <w:r w:rsidRPr="00221FC9">
              <w:rPr>
                <w:b/>
              </w:rPr>
              <w:t>Name</w:t>
            </w:r>
          </w:p>
        </w:tc>
        <w:tc>
          <w:tcPr>
            <w:tcW w:w="3402" w:type="dxa"/>
            <w:shd w:val="clear" w:color="auto" w:fill="D9D9D9" w:themeFill="background1" w:themeFillShade="D9"/>
          </w:tcPr>
          <w:p w14:paraId="39008375" w14:textId="77777777" w:rsidR="00FA0EA7" w:rsidRPr="00221FC9" w:rsidRDefault="00FA0EA7" w:rsidP="009374B1">
            <w:pPr>
              <w:pStyle w:val="TableText"/>
              <w:rPr>
                <w:b/>
              </w:rPr>
            </w:pPr>
            <w:r w:rsidRPr="00221FC9">
              <w:rPr>
                <w:b/>
              </w:rPr>
              <w:t>Qualification</w:t>
            </w:r>
          </w:p>
        </w:tc>
      </w:tr>
      <w:tr w:rsidR="00FA0EA7" w:rsidRPr="00221FC9" w14:paraId="23E1EB33" w14:textId="77777777" w:rsidTr="002D0091">
        <w:trPr>
          <w:cantSplit/>
        </w:trPr>
        <w:tc>
          <w:tcPr>
            <w:tcW w:w="2014" w:type="dxa"/>
          </w:tcPr>
          <w:p w14:paraId="5304D09C" w14:textId="77777777" w:rsidR="00FA0EA7" w:rsidRPr="00221FC9" w:rsidRDefault="00FA0EA7" w:rsidP="009374B1">
            <w:pPr>
              <w:pStyle w:val="TableText"/>
            </w:pPr>
            <w:r w:rsidRPr="00221FC9">
              <w:t>Lead auditor</w:t>
            </w:r>
          </w:p>
        </w:tc>
        <w:tc>
          <w:tcPr>
            <w:tcW w:w="3260" w:type="dxa"/>
          </w:tcPr>
          <w:p w14:paraId="7AC3CCFB" w14:textId="77777777" w:rsidR="00FA0EA7" w:rsidRPr="00221FC9" w:rsidRDefault="00FA0EA7" w:rsidP="009374B1">
            <w:pPr>
              <w:pStyle w:val="TableText"/>
            </w:pPr>
            <w:r w:rsidRPr="00221FC9">
              <w:fldChar w:fldCharType="begin">
                <w:ffData>
                  <w:name w:val="Text17"/>
                  <w:enabled/>
                  <w:calcOnExit w:val="0"/>
                  <w:textInput/>
                </w:ffData>
              </w:fldChar>
            </w:r>
            <w:bookmarkStart w:id="30" w:name="Text17"/>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0"/>
          </w:p>
        </w:tc>
        <w:tc>
          <w:tcPr>
            <w:tcW w:w="3402" w:type="dxa"/>
          </w:tcPr>
          <w:p w14:paraId="449BB0FE" w14:textId="77777777" w:rsidR="00FA0EA7" w:rsidRPr="00221FC9" w:rsidRDefault="00FA0EA7" w:rsidP="009374B1">
            <w:pPr>
              <w:pStyle w:val="TableText"/>
            </w:pPr>
            <w:r w:rsidRPr="00221FC9">
              <w:fldChar w:fldCharType="begin">
                <w:ffData>
                  <w:name w:val="Text1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BD8DB81" w14:textId="77777777" w:rsidTr="002D0091">
        <w:trPr>
          <w:cantSplit/>
        </w:trPr>
        <w:tc>
          <w:tcPr>
            <w:tcW w:w="2014" w:type="dxa"/>
          </w:tcPr>
          <w:p w14:paraId="2D08BEB9" w14:textId="77777777" w:rsidR="00FA0EA7" w:rsidRPr="00221FC9" w:rsidRDefault="00FA0EA7" w:rsidP="009374B1">
            <w:pPr>
              <w:pStyle w:val="TableText"/>
            </w:pPr>
            <w:r w:rsidRPr="00221FC9">
              <w:t>Clinical expert</w:t>
            </w:r>
          </w:p>
        </w:tc>
        <w:tc>
          <w:tcPr>
            <w:tcW w:w="3260" w:type="dxa"/>
          </w:tcPr>
          <w:p w14:paraId="438985B7" w14:textId="77777777" w:rsidR="00FA0EA7" w:rsidRPr="00221FC9" w:rsidRDefault="00FA0EA7" w:rsidP="009374B1">
            <w:pPr>
              <w:pStyle w:val="TableText"/>
            </w:pPr>
            <w:r w:rsidRPr="00221FC9">
              <w:fldChar w:fldCharType="begin">
                <w:ffData>
                  <w:name w:val="Text18"/>
                  <w:enabled/>
                  <w:calcOnExit w:val="0"/>
                  <w:textInput/>
                </w:ffData>
              </w:fldChar>
            </w:r>
            <w:bookmarkStart w:id="31" w:name="Text18"/>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1"/>
          </w:p>
        </w:tc>
        <w:tc>
          <w:tcPr>
            <w:tcW w:w="3402" w:type="dxa"/>
          </w:tcPr>
          <w:p w14:paraId="0DDB9467" w14:textId="77777777" w:rsidR="00FA0EA7" w:rsidRPr="00221FC9" w:rsidRDefault="00FA0EA7" w:rsidP="009374B1">
            <w:pPr>
              <w:pStyle w:val="TableText"/>
            </w:pPr>
            <w:r w:rsidRPr="00221FC9">
              <w:fldChar w:fldCharType="begin">
                <w:ffData>
                  <w:name w:val="Text1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8EF1292" w14:textId="77777777" w:rsidTr="002D0091">
        <w:trPr>
          <w:cantSplit/>
        </w:trPr>
        <w:tc>
          <w:tcPr>
            <w:tcW w:w="2014" w:type="dxa"/>
          </w:tcPr>
          <w:p w14:paraId="0969C486" w14:textId="77777777" w:rsidR="00FA0EA7" w:rsidRPr="00221FC9" w:rsidRDefault="00FA0EA7" w:rsidP="009374B1">
            <w:pPr>
              <w:pStyle w:val="TableText"/>
            </w:pPr>
            <w:r w:rsidRPr="00221FC9">
              <w:t>Consumer auditor</w:t>
            </w:r>
          </w:p>
        </w:tc>
        <w:tc>
          <w:tcPr>
            <w:tcW w:w="3260" w:type="dxa"/>
          </w:tcPr>
          <w:p w14:paraId="39A5084B" w14:textId="77777777" w:rsidR="00FA0EA7" w:rsidRPr="00221FC9" w:rsidRDefault="00FA0EA7" w:rsidP="009374B1">
            <w:pPr>
              <w:pStyle w:val="TableText"/>
            </w:pPr>
            <w:r w:rsidRPr="00221FC9">
              <w:fldChar w:fldCharType="begin">
                <w:ffData>
                  <w:name w:val="Text19"/>
                  <w:enabled/>
                  <w:calcOnExit w:val="0"/>
                  <w:textInput/>
                </w:ffData>
              </w:fldChar>
            </w:r>
            <w:bookmarkStart w:id="32" w:name="Text19"/>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2"/>
          </w:p>
        </w:tc>
        <w:tc>
          <w:tcPr>
            <w:tcW w:w="3402" w:type="dxa"/>
          </w:tcPr>
          <w:p w14:paraId="0B3C0741" w14:textId="77777777" w:rsidR="00FA0EA7" w:rsidRPr="00221FC9" w:rsidRDefault="00FA0EA7" w:rsidP="009374B1">
            <w:pPr>
              <w:pStyle w:val="TableText"/>
            </w:pPr>
            <w:r w:rsidRPr="00221FC9">
              <w:fldChar w:fldCharType="begin">
                <w:ffData>
                  <w:name w:val="Text1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DB9C12D" w14:textId="77777777" w:rsidTr="002D0091">
        <w:trPr>
          <w:cantSplit/>
        </w:trPr>
        <w:tc>
          <w:tcPr>
            <w:tcW w:w="2014" w:type="dxa"/>
          </w:tcPr>
          <w:p w14:paraId="26A8293B" w14:textId="77777777" w:rsidR="00FA0EA7" w:rsidRPr="00221FC9" w:rsidRDefault="00FA0EA7" w:rsidP="009374B1">
            <w:pPr>
              <w:pStyle w:val="TableText"/>
            </w:pPr>
            <w:r w:rsidRPr="00221FC9">
              <w:t>Other</w:t>
            </w:r>
          </w:p>
        </w:tc>
        <w:tc>
          <w:tcPr>
            <w:tcW w:w="3260" w:type="dxa"/>
          </w:tcPr>
          <w:p w14:paraId="1C428D22" w14:textId="77777777" w:rsidR="00FA0EA7" w:rsidRPr="00221FC9" w:rsidRDefault="00FA0EA7" w:rsidP="009374B1">
            <w:pPr>
              <w:pStyle w:val="TableText"/>
            </w:pPr>
            <w:r w:rsidRPr="00221FC9">
              <w:fldChar w:fldCharType="begin">
                <w:ffData>
                  <w:name w:val="Text20"/>
                  <w:enabled/>
                  <w:calcOnExit w:val="0"/>
                  <w:textInput/>
                </w:ffData>
              </w:fldChar>
            </w:r>
            <w:bookmarkStart w:id="33" w:name="Text20"/>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3"/>
          </w:p>
        </w:tc>
        <w:tc>
          <w:tcPr>
            <w:tcW w:w="3402" w:type="dxa"/>
          </w:tcPr>
          <w:p w14:paraId="402D1CE1" w14:textId="77777777" w:rsidR="00FA0EA7" w:rsidRPr="00221FC9" w:rsidRDefault="00FA0EA7" w:rsidP="009374B1">
            <w:pPr>
              <w:pStyle w:val="TableText"/>
            </w:pPr>
            <w:r w:rsidRPr="00221FC9">
              <w:fldChar w:fldCharType="begin">
                <w:ffData>
                  <w:name w:val="Text21"/>
                  <w:enabled/>
                  <w:calcOnExit w:val="0"/>
                  <w:textInput/>
                </w:ffData>
              </w:fldChar>
            </w:r>
            <w:bookmarkStart w:id="34" w:name="Text21"/>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4"/>
          </w:p>
        </w:tc>
      </w:tr>
    </w:tbl>
    <w:p w14:paraId="504084D4" w14:textId="77777777" w:rsidR="00FA0EA7" w:rsidRPr="00221FC9" w:rsidRDefault="00FA0EA7" w:rsidP="00FA0EA7">
      <w:pPr>
        <w:pStyle w:val="Heading3"/>
      </w:pPr>
      <w:bookmarkStart w:id="35" w:name="_Toc180687218"/>
      <w:r w:rsidRPr="00221FC9">
        <w:t>Data collected</w:t>
      </w:r>
      <w:bookmarkEnd w:id="35"/>
    </w:p>
    <w:tbl>
      <w:tblPr>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3148"/>
        <w:gridCol w:w="1275"/>
        <w:gridCol w:w="2694"/>
        <w:gridCol w:w="1559"/>
      </w:tblGrid>
      <w:tr w:rsidR="00FA0EA7" w:rsidRPr="00221FC9" w14:paraId="333EAA3A" w14:textId="77777777" w:rsidTr="002D0091">
        <w:trPr>
          <w:cantSplit/>
        </w:trPr>
        <w:tc>
          <w:tcPr>
            <w:tcW w:w="3148" w:type="dxa"/>
          </w:tcPr>
          <w:p w14:paraId="5634994C" w14:textId="77777777" w:rsidR="00FA0EA7" w:rsidRPr="00221FC9" w:rsidRDefault="00FA0EA7" w:rsidP="009374B1">
            <w:pPr>
              <w:pStyle w:val="TableText"/>
            </w:pPr>
            <w:r w:rsidRPr="00221FC9">
              <w:t xml:space="preserve">No. of tāngata </w:t>
            </w:r>
            <w:proofErr w:type="spellStart"/>
            <w:r w:rsidRPr="00221FC9">
              <w:t>whai</w:t>
            </w:r>
            <w:proofErr w:type="spellEnd"/>
            <w:r w:rsidRPr="00221FC9">
              <w:t xml:space="preserve"> ora interviewed</w:t>
            </w:r>
          </w:p>
        </w:tc>
        <w:tc>
          <w:tcPr>
            <w:tcW w:w="1275" w:type="dxa"/>
          </w:tcPr>
          <w:p w14:paraId="3AE9E21C" w14:textId="77777777" w:rsidR="00FA0EA7" w:rsidRPr="00221FC9" w:rsidRDefault="00FA0EA7" w:rsidP="009374B1">
            <w:pPr>
              <w:pStyle w:val="TableText"/>
            </w:pPr>
            <w:r w:rsidRPr="00221FC9">
              <w:fldChar w:fldCharType="begin">
                <w:ffData>
                  <w:name w:val="Text22"/>
                  <w:enabled/>
                  <w:calcOnExit w:val="0"/>
                  <w:textInput/>
                </w:ffData>
              </w:fldChar>
            </w:r>
            <w:bookmarkStart w:id="36" w:name="Text22"/>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6"/>
          </w:p>
        </w:tc>
        <w:tc>
          <w:tcPr>
            <w:tcW w:w="2694" w:type="dxa"/>
          </w:tcPr>
          <w:p w14:paraId="39941C6C" w14:textId="77777777" w:rsidR="00FA0EA7" w:rsidRPr="00221FC9" w:rsidRDefault="00FA0EA7" w:rsidP="009374B1">
            <w:pPr>
              <w:pStyle w:val="TableText"/>
            </w:pPr>
            <w:r w:rsidRPr="00221FC9">
              <w:t>No. of whānau interviewed</w:t>
            </w:r>
          </w:p>
        </w:tc>
        <w:tc>
          <w:tcPr>
            <w:tcW w:w="1559" w:type="dxa"/>
          </w:tcPr>
          <w:p w14:paraId="02132352" w14:textId="77777777" w:rsidR="00FA0EA7" w:rsidRPr="00221FC9" w:rsidRDefault="00FA0EA7" w:rsidP="009374B1">
            <w:pPr>
              <w:pStyle w:val="TableText"/>
            </w:pPr>
            <w:r w:rsidRPr="00221FC9">
              <w:fldChar w:fldCharType="begin">
                <w:ffData>
                  <w:name w:val="Text23"/>
                  <w:enabled/>
                  <w:calcOnExit w:val="0"/>
                  <w:textInput/>
                </w:ffData>
              </w:fldChar>
            </w:r>
            <w:bookmarkStart w:id="37" w:name="Text23"/>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7"/>
          </w:p>
        </w:tc>
      </w:tr>
      <w:tr w:rsidR="00FA0EA7" w:rsidRPr="00221FC9" w14:paraId="3402D09E" w14:textId="77777777" w:rsidTr="002D0091">
        <w:trPr>
          <w:cantSplit/>
        </w:trPr>
        <w:tc>
          <w:tcPr>
            <w:tcW w:w="3148" w:type="dxa"/>
          </w:tcPr>
          <w:p w14:paraId="061537B6" w14:textId="77777777" w:rsidR="00FA0EA7" w:rsidRPr="00221FC9" w:rsidRDefault="00FA0EA7" w:rsidP="009374B1">
            <w:pPr>
              <w:pStyle w:val="TableText"/>
            </w:pPr>
          </w:p>
        </w:tc>
        <w:tc>
          <w:tcPr>
            <w:tcW w:w="1275" w:type="dxa"/>
          </w:tcPr>
          <w:p w14:paraId="7706F3EA" w14:textId="77777777" w:rsidR="00FA0EA7" w:rsidRPr="00221FC9" w:rsidRDefault="00FA0EA7" w:rsidP="009374B1">
            <w:pPr>
              <w:pStyle w:val="TableText"/>
            </w:pPr>
          </w:p>
        </w:tc>
        <w:tc>
          <w:tcPr>
            <w:tcW w:w="2694" w:type="dxa"/>
          </w:tcPr>
          <w:p w14:paraId="60C85E0E" w14:textId="4312B690" w:rsidR="00FA0EA7" w:rsidRPr="00221FC9" w:rsidRDefault="00FA0EA7" w:rsidP="009374B1">
            <w:pPr>
              <w:pStyle w:val="TableText"/>
            </w:pPr>
            <w:r w:rsidRPr="00221FC9">
              <w:t>No. of authorised prescribers/</w:t>
            </w:r>
            <w:r w:rsidRPr="00221FC9">
              <w:br/>
              <w:t>staff</w:t>
            </w:r>
            <w:r w:rsidR="00750853">
              <w:t xml:space="preserve"> prescribers</w:t>
            </w:r>
            <w:r w:rsidRPr="00221FC9">
              <w:t xml:space="preserve"> interviewed</w:t>
            </w:r>
          </w:p>
        </w:tc>
        <w:tc>
          <w:tcPr>
            <w:tcW w:w="1559" w:type="dxa"/>
          </w:tcPr>
          <w:p w14:paraId="01CD1748" w14:textId="77777777" w:rsidR="00FA0EA7" w:rsidRPr="00221FC9" w:rsidRDefault="00FA0EA7" w:rsidP="009374B1">
            <w:pPr>
              <w:pStyle w:val="TableText"/>
            </w:pPr>
            <w:r w:rsidRPr="00221FC9">
              <w:fldChar w:fldCharType="begin">
                <w:ffData>
                  <w:name w:val="Text24"/>
                  <w:enabled/>
                  <w:calcOnExit w:val="0"/>
                  <w:textInput/>
                </w:ffData>
              </w:fldChar>
            </w:r>
            <w:bookmarkStart w:id="38" w:name="Text24"/>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8"/>
          </w:p>
        </w:tc>
      </w:tr>
      <w:tr w:rsidR="00FA0EA7" w:rsidRPr="00221FC9" w14:paraId="1B40FC01" w14:textId="77777777" w:rsidTr="002D0091">
        <w:trPr>
          <w:cantSplit/>
        </w:trPr>
        <w:tc>
          <w:tcPr>
            <w:tcW w:w="3148" w:type="dxa"/>
          </w:tcPr>
          <w:p w14:paraId="6B09FE5C" w14:textId="77777777" w:rsidR="00FA0EA7" w:rsidRPr="00221FC9" w:rsidRDefault="00FA0EA7" w:rsidP="009374B1">
            <w:pPr>
              <w:pStyle w:val="TableText"/>
              <w:rPr>
                <w:spacing w:val="-2"/>
              </w:rPr>
            </w:pPr>
            <w:r w:rsidRPr="00221FC9">
              <w:rPr>
                <w:spacing w:val="-2"/>
              </w:rPr>
              <w:t>No. of staff/management interviewed</w:t>
            </w:r>
          </w:p>
        </w:tc>
        <w:tc>
          <w:tcPr>
            <w:tcW w:w="1275" w:type="dxa"/>
          </w:tcPr>
          <w:p w14:paraId="797012C5" w14:textId="77777777" w:rsidR="00FA0EA7" w:rsidRPr="00221FC9" w:rsidRDefault="00FA0EA7" w:rsidP="009374B1">
            <w:pPr>
              <w:pStyle w:val="TableText"/>
            </w:pPr>
            <w:r w:rsidRPr="00221FC9">
              <w:fldChar w:fldCharType="begin">
                <w:ffData>
                  <w:name w:val="Text26"/>
                  <w:enabled/>
                  <w:calcOnExit w:val="0"/>
                  <w:textInput/>
                </w:ffData>
              </w:fldChar>
            </w:r>
            <w:bookmarkStart w:id="39" w:name="Text26"/>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39"/>
          </w:p>
        </w:tc>
        <w:tc>
          <w:tcPr>
            <w:tcW w:w="2694" w:type="dxa"/>
          </w:tcPr>
          <w:p w14:paraId="5B8CF970" w14:textId="77777777" w:rsidR="00FA0EA7" w:rsidRPr="00221FC9" w:rsidRDefault="00FA0EA7" w:rsidP="009374B1">
            <w:pPr>
              <w:pStyle w:val="TableText"/>
            </w:pPr>
            <w:r w:rsidRPr="00221FC9">
              <w:t>No. of pharmacists interviewed</w:t>
            </w:r>
          </w:p>
        </w:tc>
        <w:tc>
          <w:tcPr>
            <w:tcW w:w="1559" w:type="dxa"/>
          </w:tcPr>
          <w:p w14:paraId="4A4A30DA" w14:textId="77777777" w:rsidR="00FA0EA7" w:rsidRPr="00221FC9" w:rsidRDefault="00FA0EA7" w:rsidP="009374B1">
            <w:pPr>
              <w:pStyle w:val="TableText"/>
            </w:pPr>
            <w:r w:rsidRPr="00221FC9">
              <w:fldChar w:fldCharType="begin">
                <w:ffData>
                  <w:name w:val="Text25"/>
                  <w:enabled/>
                  <w:calcOnExit w:val="0"/>
                  <w:textInput/>
                </w:ffData>
              </w:fldChar>
            </w:r>
            <w:bookmarkStart w:id="40" w:name="Text25"/>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40"/>
          </w:p>
        </w:tc>
      </w:tr>
    </w:tbl>
    <w:p w14:paraId="27107FEA" w14:textId="77777777" w:rsidR="00FA0EA7" w:rsidRPr="00221FC9" w:rsidRDefault="00FA0EA7" w:rsidP="00FA0EA7"/>
    <w:p w14:paraId="3F080DC6" w14:textId="77777777" w:rsidR="00FA0EA7" w:rsidRPr="00C34511" w:rsidRDefault="00FA0EA7" w:rsidP="00C34511">
      <w:pPr>
        <w:pStyle w:val="Heading3"/>
        <w:spacing w:before="0"/>
        <w:rPr>
          <w:rFonts w:eastAsia="PMingLiU"/>
        </w:rPr>
      </w:pPr>
      <w:bookmarkStart w:id="41" w:name="_Toc403048454"/>
      <w:r w:rsidRPr="00221FC9">
        <w:rPr>
          <w:rFonts w:eastAsia="PMingLiU"/>
        </w:rPr>
        <w:lastRenderedPageBreak/>
        <w:t>1</w:t>
      </w:r>
      <w:r w:rsidRPr="00221FC9">
        <w:rPr>
          <w:rFonts w:eastAsia="PMingLiU"/>
        </w:rPr>
        <w:tab/>
        <w:t>Opioid substitution treatment</w:t>
      </w:r>
      <w:bookmarkEnd w:id="41"/>
    </w:p>
    <w:tbl>
      <w:tblPr>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3"/>
        <w:gridCol w:w="2127"/>
        <w:gridCol w:w="1275"/>
        <w:gridCol w:w="993"/>
      </w:tblGrid>
      <w:tr w:rsidR="00FA0EA7" w:rsidRPr="00221FC9" w14:paraId="5C13E024" w14:textId="77777777" w:rsidTr="006274F8">
        <w:trPr>
          <w:trHeight w:val="20"/>
        </w:trPr>
        <w:tc>
          <w:tcPr>
            <w:tcW w:w="4423" w:type="dxa"/>
            <w:shd w:val="clear" w:color="auto" w:fill="D9D9D9" w:themeFill="background1" w:themeFillShade="D9"/>
          </w:tcPr>
          <w:p w14:paraId="33052FA2" w14:textId="77777777" w:rsidR="00FA0EA7" w:rsidRPr="00221FC9" w:rsidRDefault="00FA0EA7" w:rsidP="009374B1">
            <w:pPr>
              <w:pStyle w:val="TableText"/>
              <w:keepNext/>
              <w:rPr>
                <w:rFonts w:eastAsia="PMingLiU"/>
                <w:b/>
              </w:rPr>
            </w:pPr>
            <w:r w:rsidRPr="00221FC9">
              <w:rPr>
                <w:rFonts w:eastAsia="PMingLiU"/>
                <w:b/>
              </w:rPr>
              <w:t>Indicators</w:t>
            </w:r>
          </w:p>
        </w:tc>
        <w:tc>
          <w:tcPr>
            <w:tcW w:w="2127" w:type="dxa"/>
            <w:shd w:val="clear" w:color="auto" w:fill="D9D9D9" w:themeFill="background1" w:themeFillShade="D9"/>
          </w:tcPr>
          <w:p w14:paraId="6901375C" w14:textId="580448C4" w:rsidR="00FA0EA7" w:rsidRPr="00221FC9" w:rsidRDefault="004D3269" w:rsidP="009374B1">
            <w:pPr>
              <w:pStyle w:val="TableText"/>
              <w:keepNext/>
              <w:rPr>
                <w:rFonts w:eastAsia="PMingLiU"/>
                <w:b/>
              </w:rPr>
            </w:pPr>
            <w:r>
              <w:rPr>
                <w:rFonts w:eastAsia="PMingLiU"/>
                <w:b/>
              </w:rPr>
              <w:t>Data source</w:t>
            </w:r>
            <w:r w:rsidR="006E1C0A">
              <w:rPr>
                <w:rFonts w:eastAsia="PMingLiU"/>
                <w:b/>
              </w:rPr>
              <w:t>/</w:t>
            </w:r>
            <w:r w:rsidR="00FA0EA7" w:rsidRPr="00221FC9">
              <w:rPr>
                <w:rFonts w:eastAsia="PMingLiU"/>
                <w:b/>
              </w:rPr>
              <w:t>Evidence</w:t>
            </w:r>
          </w:p>
        </w:tc>
        <w:tc>
          <w:tcPr>
            <w:tcW w:w="1275" w:type="dxa"/>
            <w:shd w:val="clear" w:color="auto" w:fill="D9D9D9" w:themeFill="background1" w:themeFillShade="D9"/>
          </w:tcPr>
          <w:p w14:paraId="6EB5B8A2" w14:textId="77777777" w:rsidR="00FA0EA7" w:rsidRPr="00221FC9" w:rsidRDefault="00FA0EA7" w:rsidP="009374B1">
            <w:pPr>
              <w:pStyle w:val="TableText"/>
              <w:keepNext/>
              <w:jc w:val="center"/>
              <w:rPr>
                <w:rFonts w:eastAsia="PMingLiU"/>
                <w:b/>
              </w:rPr>
            </w:pPr>
            <w:r w:rsidRPr="00221FC9">
              <w:rPr>
                <w:rFonts w:eastAsia="PMingLiU"/>
                <w:b/>
              </w:rPr>
              <w:t>Attainment</w:t>
            </w:r>
          </w:p>
        </w:tc>
        <w:tc>
          <w:tcPr>
            <w:tcW w:w="993" w:type="dxa"/>
            <w:shd w:val="clear" w:color="auto" w:fill="D9D9D9" w:themeFill="background1" w:themeFillShade="D9"/>
          </w:tcPr>
          <w:p w14:paraId="4C79147D" w14:textId="77777777" w:rsidR="00FA0EA7" w:rsidRPr="00221FC9" w:rsidRDefault="00FA0EA7" w:rsidP="009374B1">
            <w:pPr>
              <w:pStyle w:val="TableText"/>
              <w:keepNext/>
              <w:jc w:val="center"/>
              <w:rPr>
                <w:rFonts w:eastAsia="PMingLiU"/>
                <w:b/>
              </w:rPr>
            </w:pPr>
            <w:r w:rsidRPr="00221FC9">
              <w:rPr>
                <w:rFonts w:eastAsia="PMingLiU"/>
                <w:b/>
              </w:rPr>
              <w:t>Risk</w:t>
            </w:r>
          </w:p>
        </w:tc>
      </w:tr>
      <w:tr w:rsidR="00FA0EA7" w:rsidRPr="00221FC9" w14:paraId="1F3EECDD" w14:textId="77777777" w:rsidTr="006274F8">
        <w:trPr>
          <w:cantSplit/>
          <w:trHeight w:val="20"/>
        </w:trPr>
        <w:tc>
          <w:tcPr>
            <w:tcW w:w="4423" w:type="dxa"/>
            <w:shd w:val="clear" w:color="auto" w:fill="F3F3F3"/>
          </w:tcPr>
          <w:p w14:paraId="018AB207" w14:textId="77777777" w:rsidR="00FA0EA7" w:rsidRPr="00221FC9" w:rsidRDefault="00FA0EA7" w:rsidP="009374B1">
            <w:pPr>
              <w:pStyle w:val="TableText"/>
              <w:keepNext/>
              <w:rPr>
                <w:rFonts w:cs="Helvetica"/>
                <w:b/>
                <w:color w:val="141413"/>
                <w:szCs w:val="22"/>
              </w:rPr>
            </w:pPr>
            <w:r w:rsidRPr="00221FC9">
              <w:rPr>
                <w:rFonts w:cs="Helvetica"/>
                <w:b/>
                <w:color w:val="141413"/>
                <w:szCs w:val="22"/>
              </w:rPr>
              <w:t>1.1</w:t>
            </w:r>
            <w:r w:rsidRPr="00221FC9">
              <w:rPr>
                <w:rFonts w:cs="Helvetica"/>
                <w:b/>
                <w:color w:val="141413"/>
                <w:szCs w:val="22"/>
              </w:rPr>
              <w:tab/>
              <w:t>Objectives of OST</w:t>
            </w:r>
          </w:p>
        </w:tc>
        <w:tc>
          <w:tcPr>
            <w:tcW w:w="2127" w:type="dxa"/>
            <w:shd w:val="clear" w:color="auto" w:fill="F3F3F3"/>
          </w:tcPr>
          <w:p w14:paraId="40DC6E11" w14:textId="77777777" w:rsidR="00FA0EA7" w:rsidRPr="00221FC9" w:rsidRDefault="00FA0EA7" w:rsidP="009374B1">
            <w:pPr>
              <w:pStyle w:val="TableText"/>
              <w:keepNext/>
              <w:rPr>
                <w:rFonts w:eastAsia="PMingLiU"/>
                <w:b/>
              </w:rPr>
            </w:pPr>
          </w:p>
        </w:tc>
        <w:tc>
          <w:tcPr>
            <w:tcW w:w="1275" w:type="dxa"/>
            <w:shd w:val="clear" w:color="auto" w:fill="F3F3F3"/>
          </w:tcPr>
          <w:p w14:paraId="63774C81" w14:textId="77777777" w:rsidR="00FA0EA7" w:rsidRPr="00221FC9" w:rsidRDefault="00FA0EA7" w:rsidP="009374B1">
            <w:pPr>
              <w:pStyle w:val="TableText"/>
              <w:keepNext/>
              <w:jc w:val="center"/>
              <w:rPr>
                <w:rFonts w:eastAsia="PMingLiU"/>
                <w:b/>
              </w:rPr>
            </w:pPr>
          </w:p>
        </w:tc>
        <w:tc>
          <w:tcPr>
            <w:tcW w:w="993" w:type="dxa"/>
            <w:shd w:val="clear" w:color="auto" w:fill="F3F3F3"/>
          </w:tcPr>
          <w:p w14:paraId="72BEDD5B" w14:textId="77777777" w:rsidR="00FA0EA7" w:rsidRPr="00221FC9" w:rsidRDefault="00FA0EA7" w:rsidP="009374B1">
            <w:pPr>
              <w:pStyle w:val="TableText"/>
              <w:keepNext/>
              <w:jc w:val="center"/>
              <w:rPr>
                <w:rFonts w:eastAsia="PMingLiU"/>
                <w:b/>
              </w:rPr>
            </w:pPr>
          </w:p>
        </w:tc>
      </w:tr>
      <w:tr w:rsidR="00FA0EA7" w:rsidRPr="00221FC9" w14:paraId="627AD1A7" w14:textId="77777777" w:rsidTr="006274F8">
        <w:trPr>
          <w:cantSplit/>
          <w:trHeight w:val="20"/>
        </w:trPr>
        <w:tc>
          <w:tcPr>
            <w:tcW w:w="4423" w:type="dxa"/>
          </w:tcPr>
          <w:p w14:paraId="4C11970D" w14:textId="77777777" w:rsidR="00FA0EA7" w:rsidRPr="00FA0EA7" w:rsidRDefault="00FA0EA7" w:rsidP="00FA0EA7">
            <w:pPr>
              <w:pStyle w:val="TableText"/>
            </w:pPr>
            <w:r w:rsidRPr="00FA0EA7">
              <w:t>The service delivery reflects the principles of recovery and harm reduction.</w:t>
            </w:r>
          </w:p>
        </w:tc>
        <w:tc>
          <w:tcPr>
            <w:tcW w:w="2127" w:type="dxa"/>
          </w:tcPr>
          <w:p w14:paraId="59DCB379" w14:textId="77777777" w:rsidR="00FA0EA7" w:rsidRPr="00221FC9" w:rsidRDefault="00FA0EA7" w:rsidP="009374B1">
            <w:pPr>
              <w:pStyle w:val="TableText"/>
              <w:keepNext/>
            </w:pPr>
            <w:r w:rsidRPr="00221FC9">
              <w:fldChar w:fldCharType="begin">
                <w:ffData>
                  <w:name w:val="Text28"/>
                  <w:enabled/>
                  <w:calcOnExit w:val="0"/>
                  <w:textInput/>
                </w:ffData>
              </w:fldChar>
            </w:r>
            <w:bookmarkStart w:id="42" w:name="Text28"/>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42"/>
          </w:p>
        </w:tc>
        <w:tc>
          <w:tcPr>
            <w:tcW w:w="1275" w:type="dxa"/>
          </w:tcPr>
          <w:p w14:paraId="02DE1C6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1DF5318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4D6A61F" w14:textId="77777777" w:rsidTr="006274F8">
        <w:trPr>
          <w:cantSplit/>
          <w:trHeight w:val="20"/>
        </w:trPr>
        <w:tc>
          <w:tcPr>
            <w:tcW w:w="4423" w:type="dxa"/>
          </w:tcPr>
          <w:p w14:paraId="1CC9E5F0" w14:textId="32A944D4" w:rsidR="00FA0EA7" w:rsidRPr="00FA0EA7" w:rsidRDefault="00FA0EA7" w:rsidP="00FA0EA7">
            <w:pPr>
              <w:pStyle w:val="TableText"/>
            </w:pPr>
            <w:r w:rsidRPr="00FA0EA7">
              <w:t xml:space="preserve">To improve the physical and psychological health and wellbeing of tāngata </w:t>
            </w:r>
            <w:proofErr w:type="spellStart"/>
            <w:r w:rsidRPr="00FA0EA7">
              <w:t>whai</w:t>
            </w:r>
            <w:proofErr w:type="spellEnd"/>
            <w:r w:rsidRPr="00FA0EA7">
              <w:t xml:space="preserve"> ora</w:t>
            </w:r>
            <w:r w:rsidR="00411191">
              <w:t>.</w:t>
            </w:r>
            <w:r w:rsidRPr="00FA0EA7">
              <w:t xml:space="preserve"> </w:t>
            </w:r>
          </w:p>
        </w:tc>
        <w:tc>
          <w:tcPr>
            <w:tcW w:w="2127" w:type="dxa"/>
          </w:tcPr>
          <w:p w14:paraId="0886DBBE" w14:textId="77777777" w:rsidR="00FA0EA7" w:rsidRPr="00221FC9" w:rsidRDefault="00FA0EA7" w:rsidP="009374B1">
            <w:pPr>
              <w:pStyle w:val="TableText"/>
              <w:keepNext/>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8A8BA4D" w14:textId="77777777" w:rsidR="00FA0EA7" w:rsidRPr="00221FC9" w:rsidRDefault="00FA0EA7" w:rsidP="009374B1">
            <w:pPr>
              <w:pStyle w:val="TableText"/>
              <w:keepNext/>
              <w:jc w:val="center"/>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3BFFF13E" w14:textId="77777777" w:rsidR="00FA0EA7" w:rsidRPr="00221FC9" w:rsidRDefault="00FA0EA7" w:rsidP="009374B1">
            <w:pPr>
              <w:pStyle w:val="TableText"/>
              <w:keepNext/>
              <w:jc w:val="center"/>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80E5329" w14:textId="77777777" w:rsidTr="006274F8">
        <w:trPr>
          <w:cantSplit/>
          <w:trHeight w:val="20"/>
        </w:trPr>
        <w:tc>
          <w:tcPr>
            <w:tcW w:w="4423" w:type="dxa"/>
            <w:vAlign w:val="center"/>
          </w:tcPr>
          <w:p w14:paraId="0B786C4C" w14:textId="16D552C7" w:rsidR="00FA0EA7" w:rsidRPr="00FA0EA7" w:rsidRDefault="00FA0EA7" w:rsidP="00FA0EA7">
            <w:pPr>
              <w:pStyle w:val="TableText"/>
            </w:pPr>
            <w:r w:rsidRPr="00FA0EA7">
              <w:t>Access to recovery support systems and networks</w:t>
            </w:r>
            <w:r w:rsidR="00411191">
              <w:t>.</w:t>
            </w:r>
          </w:p>
        </w:tc>
        <w:tc>
          <w:tcPr>
            <w:tcW w:w="2127" w:type="dxa"/>
          </w:tcPr>
          <w:p w14:paraId="25DF5C01"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4D95547"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20A9402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BB3D117" w14:textId="77777777" w:rsidTr="006274F8">
        <w:trPr>
          <w:cantSplit/>
          <w:trHeight w:val="20"/>
        </w:trPr>
        <w:tc>
          <w:tcPr>
            <w:tcW w:w="4423" w:type="dxa"/>
            <w:shd w:val="clear" w:color="auto" w:fill="F3F3F3"/>
          </w:tcPr>
          <w:p w14:paraId="78991A91" w14:textId="77777777" w:rsidR="00FA0EA7" w:rsidRPr="00221FC9" w:rsidRDefault="00FA0EA7" w:rsidP="009374B1">
            <w:pPr>
              <w:pStyle w:val="TableText"/>
              <w:rPr>
                <w:b/>
                <w:szCs w:val="22"/>
              </w:rPr>
            </w:pPr>
            <w:r w:rsidRPr="00221FC9">
              <w:rPr>
                <w:b/>
                <w:szCs w:val="22"/>
              </w:rPr>
              <w:t>1.2</w:t>
            </w:r>
            <w:r w:rsidRPr="00221FC9">
              <w:rPr>
                <w:b/>
                <w:szCs w:val="22"/>
              </w:rPr>
              <w:tab/>
              <w:t>Roles of specialist OST services</w:t>
            </w:r>
          </w:p>
        </w:tc>
        <w:tc>
          <w:tcPr>
            <w:tcW w:w="2127" w:type="dxa"/>
            <w:shd w:val="clear" w:color="auto" w:fill="F3F3F3"/>
          </w:tcPr>
          <w:p w14:paraId="249D223E" w14:textId="77777777" w:rsidR="00FA0EA7" w:rsidRPr="00221FC9" w:rsidRDefault="00FA0EA7" w:rsidP="009374B1">
            <w:pPr>
              <w:pStyle w:val="TableText"/>
              <w:rPr>
                <w:rFonts w:cs="Calibri"/>
              </w:rPr>
            </w:pPr>
          </w:p>
        </w:tc>
        <w:tc>
          <w:tcPr>
            <w:tcW w:w="1275" w:type="dxa"/>
            <w:shd w:val="clear" w:color="auto" w:fill="F3F3F3"/>
          </w:tcPr>
          <w:p w14:paraId="3B3757DA" w14:textId="77777777" w:rsidR="00FA0EA7" w:rsidRPr="00221FC9" w:rsidRDefault="00FA0EA7" w:rsidP="009374B1">
            <w:pPr>
              <w:pStyle w:val="TableText"/>
              <w:jc w:val="center"/>
              <w:rPr>
                <w:rFonts w:eastAsia="PMingLiU"/>
              </w:rPr>
            </w:pPr>
          </w:p>
        </w:tc>
        <w:tc>
          <w:tcPr>
            <w:tcW w:w="993" w:type="dxa"/>
            <w:shd w:val="clear" w:color="auto" w:fill="F3F3F3"/>
          </w:tcPr>
          <w:p w14:paraId="553209EE" w14:textId="77777777" w:rsidR="00FA0EA7" w:rsidRPr="00221FC9" w:rsidRDefault="00FA0EA7" w:rsidP="009374B1">
            <w:pPr>
              <w:pStyle w:val="TableText"/>
              <w:jc w:val="center"/>
              <w:rPr>
                <w:rFonts w:eastAsia="PMingLiU"/>
              </w:rPr>
            </w:pPr>
          </w:p>
        </w:tc>
      </w:tr>
      <w:tr w:rsidR="00AE32F4" w:rsidRPr="00221FC9" w14:paraId="52A0FF91" w14:textId="77777777" w:rsidTr="006274F8">
        <w:trPr>
          <w:cantSplit/>
          <w:trHeight w:val="20"/>
        </w:trPr>
        <w:tc>
          <w:tcPr>
            <w:tcW w:w="4423" w:type="dxa"/>
          </w:tcPr>
          <w:p w14:paraId="2FA9781C" w14:textId="5992E16A" w:rsidR="00AE32F4" w:rsidRPr="00FA0EA7" w:rsidRDefault="00AE32F4" w:rsidP="00AE32F4">
            <w:pPr>
              <w:pStyle w:val="TableText"/>
            </w:pPr>
            <w:r w:rsidRPr="00221FC9">
              <w:t>Overview documentation about the role of the service and practice demonstrate the provision of specialist interventions to minimise the harms associated with continued opioid and other substance use</w:t>
            </w:r>
            <w:r w:rsidR="00411191">
              <w:t>.</w:t>
            </w:r>
          </w:p>
        </w:tc>
        <w:tc>
          <w:tcPr>
            <w:tcW w:w="2127" w:type="dxa"/>
          </w:tcPr>
          <w:p w14:paraId="1371A6F0" w14:textId="5F964633" w:rsidR="00AE32F4" w:rsidRPr="00221FC9" w:rsidRDefault="00AE32F4" w:rsidP="00AE32F4">
            <w:pPr>
              <w:pStyle w:val="TableText"/>
              <w:rPr>
                <w:rFonts w:cs="Calibri"/>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A1DF3B9" w14:textId="23100791" w:rsidR="00AE32F4" w:rsidRPr="00221FC9" w:rsidRDefault="00AE32F4" w:rsidP="00AE32F4">
            <w:pPr>
              <w:pStyle w:val="TableText"/>
              <w:jc w:val="center"/>
              <w:rPr>
                <w:rFonts w:eastAsia="PMingLiU"/>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3A1BABF7" w14:textId="38FF14E0" w:rsidR="00AE32F4" w:rsidRPr="00221FC9" w:rsidRDefault="00AE32F4" w:rsidP="00AE32F4">
            <w:pPr>
              <w:pStyle w:val="TableText"/>
              <w:jc w:val="center"/>
              <w:rPr>
                <w:rFonts w:eastAsia="PMingLiU"/>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317746E" w14:textId="77777777" w:rsidTr="006274F8">
        <w:trPr>
          <w:cantSplit/>
          <w:trHeight w:val="20"/>
        </w:trPr>
        <w:tc>
          <w:tcPr>
            <w:tcW w:w="4423" w:type="dxa"/>
            <w:shd w:val="clear" w:color="auto" w:fill="F3F3F3"/>
          </w:tcPr>
          <w:p w14:paraId="0579398B" w14:textId="77777777" w:rsidR="00FA0EA7" w:rsidRPr="00221FC9" w:rsidRDefault="00FA0EA7" w:rsidP="009374B1">
            <w:pPr>
              <w:pStyle w:val="TableText"/>
              <w:rPr>
                <w:b/>
                <w:szCs w:val="22"/>
              </w:rPr>
            </w:pPr>
            <w:r w:rsidRPr="00221FC9">
              <w:rPr>
                <w:b/>
                <w:szCs w:val="22"/>
              </w:rPr>
              <w:t>1.3</w:t>
            </w:r>
            <w:r w:rsidRPr="00221FC9">
              <w:rPr>
                <w:b/>
                <w:szCs w:val="22"/>
              </w:rPr>
              <w:tab/>
              <w:t>Recovery-orientated OST</w:t>
            </w:r>
          </w:p>
        </w:tc>
        <w:tc>
          <w:tcPr>
            <w:tcW w:w="2127" w:type="dxa"/>
            <w:shd w:val="clear" w:color="auto" w:fill="F3F3F3"/>
          </w:tcPr>
          <w:p w14:paraId="16A13123" w14:textId="77777777" w:rsidR="00FA0EA7" w:rsidRPr="00221FC9" w:rsidRDefault="00FA0EA7" w:rsidP="009374B1">
            <w:pPr>
              <w:pStyle w:val="TableText"/>
            </w:pPr>
          </w:p>
        </w:tc>
        <w:tc>
          <w:tcPr>
            <w:tcW w:w="1275" w:type="dxa"/>
            <w:shd w:val="clear" w:color="auto" w:fill="F3F3F3"/>
          </w:tcPr>
          <w:p w14:paraId="40E6C290" w14:textId="77777777" w:rsidR="00FA0EA7" w:rsidRPr="00221FC9" w:rsidRDefault="00FA0EA7" w:rsidP="009374B1">
            <w:pPr>
              <w:pStyle w:val="TableText"/>
              <w:jc w:val="center"/>
              <w:rPr>
                <w:rFonts w:eastAsia="PMingLiU"/>
              </w:rPr>
            </w:pPr>
          </w:p>
        </w:tc>
        <w:tc>
          <w:tcPr>
            <w:tcW w:w="993" w:type="dxa"/>
            <w:shd w:val="clear" w:color="auto" w:fill="F3F3F3"/>
          </w:tcPr>
          <w:p w14:paraId="6FC2E6A6" w14:textId="77777777" w:rsidR="00FA0EA7" w:rsidRPr="00221FC9" w:rsidRDefault="00FA0EA7" w:rsidP="009374B1">
            <w:pPr>
              <w:pStyle w:val="TableText"/>
              <w:jc w:val="center"/>
              <w:rPr>
                <w:rFonts w:eastAsia="PMingLiU"/>
              </w:rPr>
            </w:pPr>
          </w:p>
        </w:tc>
      </w:tr>
      <w:tr w:rsidR="00FA0EA7" w:rsidRPr="00221FC9" w14:paraId="39341175" w14:textId="77777777" w:rsidTr="006274F8">
        <w:trPr>
          <w:cantSplit/>
          <w:trHeight w:val="20"/>
        </w:trPr>
        <w:tc>
          <w:tcPr>
            <w:tcW w:w="4423" w:type="dxa"/>
          </w:tcPr>
          <w:p w14:paraId="55DA58D5" w14:textId="77777777" w:rsidR="00FA0EA7" w:rsidRPr="00FA0EA7" w:rsidRDefault="00FA0EA7" w:rsidP="00FA0EA7">
            <w:pPr>
              <w:pStyle w:val="TableText"/>
            </w:pPr>
            <w:r w:rsidRPr="00FA0EA7">
              <w:t>The service delivery reflects the principles of recovery and wellbeing orientated treatment.</w:t>
            </w:r>
          </w:p>
          <w:p w14:paraId="623787F0" w14:textId="77777777" w:rsidR="00FA0EA7" w:rsidRPr="00221FC9" w:rsidRDefault="00FA0EA7" w:rsidP="00FA0EA7">
            <w:pPr>
              <w:pStyle w:val="TableBullet"/>
            </w:pPr>
            <w:r w:rsidRPr="00221FC9">
              <w:t xml:space="preserve">tāngata </w:t>
            </w:r>
            <w:proofErr w:type="spellStart"/>
            <w:r w:rsidRPr="00221FC9">
              <w:t>whai</w:t>
            </w:r>
            <w:proofErr w:type="spellEnd"/>
            <w:r w:rsidRPr="00221FC9">
              <w:t xml:space="preserve"> ora are involved in their own treatment and recovery plans</w:t>
            </w:r>
          </w:p>
          <w:p w14:paraId="0766EB64" w14:textId="77777777" w:rsidR="00FA0EA7" w:rsidRPr="00221FC9" w:rsidRDefault="00FA0EA7" w:rsidP="00FA0EA7">
            <w:pPr>
              <w:pStyle w:val="TableBullet"/>
            </w:pPr>
            <w:r w:rsidRPr="00221FC9">
              <w:t>The assessment and planning processes help individuals consider their current and potential future ‘recovery capital’</w:t>
            </w:r>
          </w:p>
          <w:p w14:paraId="28F6394E" w14:textId="287F7376" w:rsidR="00FA0EA7" w:rsidRPr="00FA0EA7" w:rsidRDefault="00FA0EA7" w:rsidP="00FA0EA7">
            <w:pPr>
              <w:pStyle w:val="TableBullet"/>
            </w:pPr>
            <w:r w:rsidRPr="00FA0EA7">
              <w:t xml:space="preserve">tāngata </w:t>
            </w:r>
            <w:proofErr w:type="spellStart"/>
            <w:r w:rsidRPr="00FA0EA7">
              <w:t>whai</w:t>
            </w:r>
            <w:proofErr w:type="spellEnd"/>
            <w:r w:rsidRPr="00FA0EA7">
              <w:t xml:space="preserve"> ora with lived experience inform service delivery</w:t>
            </w:r>
          </w:p>
        </w:tc>
        <w:tc>
          <w:tcPr>
            <w:tcW w:w="2127" w:type="dxa"/>
          </w:tcPr>
          <w:p w14:paraId="0901380F" w14:textId="77777777" w:rsidR="00FA0EA7" w:rsidRPr="00221FC9" w:rsidRDefault="00FA0EA7" w:rsidP="009374B1">
            <w:pPr>
              <w:pStyle w:val="TableText"/>
              <w:keepNext/>
              <w:rPr>
                <w:sz w:val="16"/>
                <w:szCs w:val="16"/>
              </w:rPr>
            </w:pPr>
            <w:r w:rsidRPr="00221FC9">
              <w:rPr>
                <w:sz w:val="16"/>
                <w:szCs w:val="16"/>
              </w:rPr>
              <w:t xml:space="preserve">Count as </w:t>
            </w:r>
            <w:r>
              <w:rPr>
                <w:sz w:val="16"/>
                <w:szCs w:val="16"/>
              </w:rPr>
              <w:t>three</w:t>
            </w:r>
            <w:r w:rsidRPr="00221FC9">
              <w:rPr>
                <w:sz w:val="16"/>
                <w:szCs w:val="16"/>
              </w:rPr>
              <w:t xml:space="preserve"> indicators with comment on each and determine average attainment finding</w:t>
            </w:r>
          </w:p>
          <w:p w14:paraId="0ED05F4F" w14:textId="77777777" w:rsidR="00FA0EA7" w:rsidRPr="00221FC9" w:rsidRDefault="00FA0EA7" w:rsidP="009374B1">
            <w:pPr>
              <w:pStyle w:val="TableText"/>
              <w:keepNext/>
            </w:pPr>
          </w:p>
        </w:tc>
        <w:tc>
          <w:tcPr>
            <w:tcW w:w="1275" w:type="dxa"/>
          </w:tcPr>
          <w:p w14:paraId="6AE51497" w14:textId="77777777" w:rsidR="00FA0EA7" w:rsidRPr="00221FC9" w:rsidRDefault="00FA0EA7" w:rsidP="009374B1">
            <w:pPr>
              <w:pStyle w:val="TableText"/>
              <w:keepNext/>
              <w:jc w:val="center"/>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7153DC37" w14:textId="77777777" w:rsidR="00FA0EA7" w:rsidRPr="00221FC9" w:rsidRDefault="00FA0EA7" w:rsidP="009374B1">
            <w:pPr>
              <w:pStyle w:val="TableText"/>
              <w:keepNext/>
              <w:jc w:val="center"/>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46ACDF1" w14:textId="77777777" w:rsidTr="006274F8">
        <w:trPr>
          <w:cantSplit/>
          <w:trHeight w:val="20"/>
        </w:trPr>
        <w:tc>
          <w:tcPr>
            <w:tcW w:w="4423" w:type="dxa"/>
          </w:tcPr>
          <w:p w14:paraId="003DBEBB" w14:textId="24902381" w:rsidR="00FA0EA7" w:rsidRPr="00221FC9" w:rsidRDefault="00FA0EA7" w:rsidP="009374B1">
            <w:pPr>
              <w:pStyle w:val="TableText"/>
            </w:pPr>
            <w:r w:rsidRPr="00221FC9">
              <w:t xml:space="preserve">Health information that is pertinent to OST should be displayed, such as posters and/or brochures of tāngata </w:t>
            </w:r>
            <w:proofErr w:type="spellStart"/>
            <w:r w:rsidRPr="00221FC9">
              <w:t>whai</w:t>
            </w:r>
            <w:proofErr w:type="spellEnd"/>
            <w:r w:rsidRPr="00221FC9">
              <w:t xml:space="preserve"> ora rights under the Code and information about OST, addiction, recovery, and hepatitis C. These materials should be current, displayed, and available to take away</w:t>
            </w:r>
            <w:r w:rsidR="00411191">
              <w:t>.</w:t>
            </w:r>
          </w:p>
        </w:tc>
        <w:tc>
          <w:tcPr>
            <w:tcW w:w="2127" w:type="dxa"/>
          </w:tcPr>
          <w:p w14:paraId="5BCACD7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E3A588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6F622D2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2C32FD8F" w14:textId="77777777" w:rsidTr="006274F8">
        <w:trPr>
          <w:cantSplit/>
          <w:trHeight w:val="20"/>
        </w:trPr>
        <w:tc>
          <w:tcPr>
            <w:tcW w:w="4423" w:type="dxa"/>
          </w:tcPr>
          <w:p w14:paraId="23538E8E" w14:textId="133A7DEF" w:rsidR="00AE32F4" w:rsidRPr="00221FC9" w:rsidRDefault="00AE32F4" w:rsidP="00AE32F4">
            <w:pPr>
              <w:pStyle w:val="TableText"/>
            </w:pPr>
            <w:r w:rsidRPr="00221FC9">
              <w:t>1.4 Evidence to reducing barriers that impact on access to shared care in primary care</w:t>
            </w:r>
            <w:r w:rsidR="00411191">
              <w:t>.</w:t>
            </w:r>
          </w:p>
        </w:tc>
        <w:tc>
          <w:tcPr>
            <w:tcW w:w="2127" w:type="dxa"/>
          </w:tcPr>
          <w:p w14:paraId="5790AD62" w14:textId="68BB836C"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4587399" w14:textId="7CADB8B9"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30579D1C" w14:textId="2F94800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50129531" w14:textId="77777777" w:rsidTr="006274F8">
        <w:trPr>
          <w:cantSplit/>
          <w:trHeight w:val="20"/>
        </w:trPr>
        <w:tc>
          <w:tcPr>
            <w:tcW w:w="4423" w:type="dxa"/>
          </w:tcPr>
          <w:p w14:paraId="3B362E3E" w14:textId="77777777" w:rsidR="00AE32F4" w:rsidRPr="00221FC9" w:rsidRDefault="00AE32F4" w:rsidP="00AE32F4">
            <w:pPr>
              <w:pStyle w:val="TableBullet"/>
              <w:numPr>
                <w:ilvl w:val="0"/>
                <w:numId w:val="0"/>
              </w:numPr>
            </w:pPr>
            <w:r w:rsidRPr="00221FC9">
              <w:t>1.5 Whānau involvement in care</w:t>
            </w:r>
          </w:p>
          <w:p w14:paraId="2898CB74" w14:textId="33305082" w:rsidR="00AE32F4" w:rsidRPr="00221FC9" w:rsidRDefault="00AE32F4" w:rsidP="00AE32F4">
            <w:pPr>
              <w:pStyle w:val="TableBullet"/>
              <w:numPr>
                <w:ilvl w:val="0"/>
                <w:numId w:val="0"/>
              </w:numPr>
            </w:pPr>
            <w:r w:rsidRPr="00221FC9">
              <w:t xml:space="preserve">All tāngata </w:t>
            </w:r>
            <w:proofErr w:type="spellStart"/>
            <w:r w:rsidRPr="00221FC9">
              <w:t>whai</w:t>
            </w:r>
            <w:proofErr w:type="spellEnd"/>
            <w:r w:rsidRPr="00221FC9">
              <w:t xml:space="preserve"> ora should be invited to engage whānau in treatment, and this invitation should be revisited periodically</w:t>
            </w:r>
            <w:r w:rsidR="00411191">
              <w:t>.</w:t>
            </w:r>
          </w:p>
        </w:tc>
        <w:tc>
          <w:tcPr>
            <w:tcW w:w="2127" w:type="dxa"/>
          </w:tcPr>
          <w:p w14:paraId="08C1ED32" w14:textId="6F0058E4"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2B558A8" w14:textId="7B5F268C"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993" w:type="dxa"/>
          </w:tcPr>
          <w:p w14:paraId="5216CF11" w14:textId="0C56D5A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73F266B8" w14:textId="77777777" w:rsidR="00FA0EA7" w:rsidRPr="00221FC9" w:rsidRDefault="00FA0EA7" w:rsidP="00FA0EA7">
      <w:pPr>
        <w:pStyle w:val="Heading4"/>
        <w:spacing w:before="120"/>
      </w:pPr>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014"/>
        <w:gridCol w:w="2409"/>
        <w:gridCol w:w="1985"/>
        <w:gridCol w:w="2410"/>
      </w:tblGrid>
      <w:tr w:rsidR="00FA0EA7" w:rsidRPr="00221FC9" w14:paraId="142D5E7D" w14:textId="77777777" w:rsidTr="00AE32F4">
        <w:trPr>
          <w:cantSplit/>
        </w:trPr>
        <w:tc>
          <w:tcPr>
            <w:tcW w:w="8818" w:type="dxa"/>
            <w:gridSpan w:val="4"/>
            <w:shd w:val="clear" w:color="auto" w:fill="FFFF99"/>
          </w:tcPr>
          <w:p w14:paraId="355B8C97" w14:textId="77777777" w:rsidR="00FA0EA7" w:rsidRPr="00221FC9" w:rsidRDefault="00FA0EA7" w:rsidP="009374B1">
            <w:pPr>
              <w:pStyle w:val="TableText"/>
              <w:spacing w:after="0"/>
              <w:rPr>
                <w:b/>
              </w:rPr>
            </w:pPr>
            <w:r w:rsidRPr="00221FC9">
              <w:rPr>
                <w:b/>
              </w:rPr>
              <w:t>Indicators (out of 10):</w:t>
            </w:r>
          </w:p>
        </w:tc>
      </w:tr>
      <w:tr w:rsidR="00FA0EA7" w:rsidRPr="00221FC9" w14:paraId="5F871E10" w14:textId="77777777" w:rsidTr="00AE32F4">
        <w:trPr>
          <w:cantSplit/>
        </w:trPr>
        <w:tc>
          <w:tcPr>
            <w:tcW w:w="2014" w:type="dxa"/>
            <w:shd w:val="clear" w:color="auto" w:fill="FFFF99"/>
          </w:tcPr>
          <w:p w14:paraId="2B8EAEE3"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bookmarkStart w:id="43" w:name="Check1"/>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bookmarkEnd w:id="43"/>
          </w:p>
        </w:tc>
        <w:tc>
          <w:tcPr>
            <w:tcW w:w="2409" w:type="dxa"/>
            <w:shd w:val="clear" w:color="auto" w:fill="FFFF99"/>
          </w:tcPr>
          <w:p w14:paraId="1BD80D43"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985" w:type="dxa"/>
            <w:shd w:val="clear" w:color="auto" w:fill="FFFF99"/>
          </w:tcPr>
          <w:p w14:paraId="4A81922A"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410" w:type="dxa"/>
            <w:shd w:val="clear" w:color="auto" w:fill="FFFF99"/>
          </w:tcPr>
          <w:p w14:paraId="67D13264"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58C77802" w14:textId="77777777" w:rsidR="00FA0EA7" w:rsidRPr="00221FC9" w:rsidRDefault="00FA0EA7" w:rsidP="00FA0EA7">
      <w:pPr>
        <w:pStyle w:val="Heading4"/>
        <w:spacing w:before="120"/>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18"/>
      </w:tblGrid>
      <w:tr w:rsidR="00FA0EA7" w:rsidRPr="00221FC9" w14:paraId="662C6B08" w14:textId="77777777" w:rsidTr="00FA0EA7">
        <w:trPr>
          <w:cantSplit/>
          <w:trHeight w:val="1134"/>
        </w:trPr>
        <w:tc>
          <w:tcPr>
            <w:tcW w:w="8818" w:type="dxa"/>
            <w:shd w:val="clear" w:color="auto" w:fill="FFFF99"/>
          </w:tcPr>
          <w:p w14:paraId="7753D557" w14:textId="77777777" w:rsidR="00FA0EA7" w:rsidRPr="00221FC9" w:rsidRDefault="00FA0EA7" w:rsidP="009374B1">
            <w:pPr>
              <w:pStyle w:val="TableText"/>
            </w:pPr>
            <w:r w:rsidRPr="00221FC9">
              <w:fldChar w:fldCharType="begin">
                <w:ffData>
                  <w:name w:val="Text29"/>
                  <w:enabled/>
                  <w:calcOnExit w:val="0"/>
                  <w:textInput/>
                </w:ffData>
              </w:fldChar>
            </w:r>
            <w:bookmarkStart w:id="44" w:name="Text29"/>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bookmarkEnd w:id="44"/>
          </w:p>
        </w:tc>
      </w:tr>
    </w:tbl>
    <w:p w14:paraId="5FD939D0" w14:textId="77777777" w:rsidR="00FA0EA7" w:rsidRPr="00221FC9" w:rsidRDefault="00FA0EA7" w:rsidP="00C34511">
      <w:pPr>
        <w:pStyle w:val="Heading3"/>
        <w:spacing w:before="0"/>
        <w:rPr>
          <w:rFonts w:eastAsia="PMingLiU"/>
        </w:rPr>
      </w:pPr>
      <w:bookmarkStart w:id="45" w:name="_Toc180687220"/>
      <w:bookmarkStart w:id="46" w:name="_Toc180767057"/>
      <w:bookmarkStart w:id="47" w:name="_Toc403048455"/>
      <w:bookmarkStart w:id="48" w:name="OLE_LINK1"/>
      <w:r w:rsidRPr="00221FC9">
        <w:rPr>
          <w:rFonts w:eastAsia="PMingLiU"/>
        </w:rPr>
        <w:lastRenderedPageBreak/>
        <w:t>2</w:t>
      </w:r>
      <w:r w:rsidRPr="00221FC9">
        <w:rPr>
          <w:rFonts w:eastAsia="PMingLiU"/>
        </w:rPr>
        <w:tab/>
        <w:t xml:space="preserve">Entry into opioid substitution </w:t>
      </w:r>
      <w:bookmarkEnd w:id="45"/>
      <w:bookmarkEnd w:id="46"/>
      <w:r w:rsidRPr="00221FC9">
        <w:rPr>
          <w:rFonts w:eastAsia="PMingLiU"/>
        </w:rPr>
        <w:t>treatment</w:t>
      </w:r>
      <w:bookmarkEnd w:id="47"/>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56635877" w14:textId="77777777" w:rsidTr="00FA0EA7">
        <w:trPr>
          <w:cantSplit/>
          <w:trHeight w:val="20"/>
          <w:tblHeader/>
        </w:trPr>
        <w:tc>
          <w:tcPr>
            <w:tcW w:w="4422" w:type="dxa"/>
            <w:shd w:val="clear" w:color="auto" w:fill="D9D9D9" w:themeFill="background1" w:themeFillShade="D9"/>
          </w:tcPr>
          <w:p w14:paraId="2B8BCE09" w14:textId="77777777" w:rsidR="00FA0EA7" w:rsidRPr="00221FC9" w:rsidRDefault="00FA0EA7" w:rsidP="009374B1">
            <w:pPr>
              <w:pStyle w:val="TableText"/>
              <w:keepNext/>
              <w:rPr>
                <w:rFonts w:eastAsia="PMingLiU"/>
                <w:b/>
              </w:rPr>
            </w:pPr>
            <w:r w:rsidRPr="00221FC9">
              <w:rPr>
                <w:rFonts w:eastAsia="PMingLiU"/>
                <w:b/>
              </w:rPr>
              <w:t>Indicators</w:t>
            </w:r>
          </w:p>
        </w:tc>
        <w:tc>
          <w:tcPr>
            <w:tcW w:w="2268" w:type="dxa"/>
            <w:shd w:val="clear" w:color="auto" w:fill="D9D9D9" w:themeFill="background1" w:themeFillShade="D9"/>
          </w:tcPr>
          <w:p w14:paraId="2D6BF135" w14:textId="30ED3296" w:rsidR="00FA0EA7" w:rsidRPr="00221FC9" w:rsidRDefault="00320949" w:rsidP="009374B1">
            <w:pPr>
              <w:pStyle w:val="TableText"/>
              <w:keepN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2111521A" w14:textId="77777777" w:rsidR="00FA0EA7" w:rsidRPr="00221FC9" w:rsidRDefault="00FA0EA7" w:rsidP="009374B1">
            <w:pPr>
              <w:pStyle w:val="TableText"/>
              <w:keepNext/>
              <w:jc w:val="center"/>
              <w:rPr>
                <w:rFonts w:eastAsia="PMingLiU"/>
                <w:b/>
              </w:rPr>
            </w:pPr>
            <w:r w:rsidRPr="00221FC9">
              <w:rPr>
                <w:rFonts w:eastAsia="PMingLiU"/>
                <w:b/>
              </w:rPr>
              <w:t>Attainment</w:t>
            </w:r>
          </w:p>
        </w:tc>
        <w:tc>
          <w:tcPr>
            <w:tcW w:w="851" w:type="dxa"/>
            <w:shd w:val="clear" w:color="auto" w:fill="D9D9D9" w:themeFill="background1" w:themeFillShade="D9"/>
          </w:tcPr>
          <w:p w14:paraId="30876CBD" w14:textId="77777777" w:rsidR="00FA0EA7" w:rsidRPr="00221FC9" w:rsidRDefault="00FA0EA7" w:rsidP="009374B1">
            <w:pPr>
              <w:pStyle w:val="TableText"/>
              <w:keepNext/>
              <w:jc w:val="center"/>
              <w:rPr>
                <w:rFonts w:eastAsia="PMingLiU"/>
                <w:b/>
              </w:rPr>
            </w:pPr>
            <w:r w:rsidRPr="00221FC9">
              <w:rPr>
                <w:rFonts w:eastAsia="PMingLiU"/>
                <w:b/>
              </w:rPr>
              <w:t>Risk</w:t>
            </w:r>
          </w:p>
        </w:tc>
      </w:tr>
      <w:tr w:rsidR="00FA0EA7" w:rsidRPr="00221FC9" w14:paraId="59A5C586" w14:textId="77777777" w:rsidTr="00FA0EA7">
        <w:trPr>
          <w:cantSplit/>
          <w:trHeight w:val="20"/>
        </w:trPr>
        <w:tc>
          <w:tcPr>
            <w:tcW w:w="4422" w:type="dxa"/>
            <w:shd w:val="clear" w:color="auto" w:fill="F3F3F3"/>
          </w:tcPr>
          <w:p w14:paraId="3C45A3D9" w14:textId="77777777" w:rsidR="00FA0EA7" w:rsidRPr="00221FC9" w:rsidRDefault="00FA0EA7" w:rsidP="009374B1">
            <w:pPr>
              <w:pStyle w:val="TableText"/>
              <w:keepNext/>
              <w:rPr>
                <w:rFonts w:cs="Helvetica"/>
                <w:b/>
                <w:color w:val="141413"/>
                <w:szCs w:val="26"/>
              </w:rPr>
            </w:pPr>
            <w:r w:rsidRPr="00221FC9">
              <w:rPr>
                <w:rFonts w:cs="Helvetica"/>
                <w:b/>
                <w:color w:val="141413"/>
                <w:szCs w:val="26"/>
              </w:rPr>
              <w:t>2.1</w:t>
            </w:r>
            <w:r w:rsidRPr="00221FC9">
              <w:rPr>
                <w:rFonts w:cs="Helvetica"/>
                <w:b/>
                <w:color w:val="141413"/>
                <w:szCs w:val="26"/>
              </w:rPr>
              <w:tab/>
              <w:t>Access without undue delay</w:t>
            </w:r>
          </w:p>
        </w:tc>
        <w:tc>
          <w:tcPr>
            <w:tcW w:w="2268" w:type="dxa"/>
            <w:shd w:val="clear" w:color="auto" w:fill="F3F3F3"/>
          </w:tcPr>
          <w:p w14:paraId="56AB94C5" w14:textId="77777777" w:rsidR="00FA0EA7" w:rsidRPr="00221FC9" w:rsidRDefault="00FA0EA7" w:rsidP="009374B1">
            <w:pPr>
              <w:pStyle w:val="TableText"/>
              <w:keepNext/>
              <w:rPr>
                <w:rFonts w:cs="Helvetica"/>
                <w:b/>
                <w:color w:val="141413"/>
                <w:szCs w:val="26"/>
              </w:rPr>
            </w:pPr>
          </w:p>
        </w:tc>
        <w:tc>
          <w:tcPr>
            <w:tcW w:w="1275" w:type="dxa"/>
            <w:shd w:val="clear" w:color="auto" w:fill="F3F3F3"/>
          </w:tcPr>
          <w:p w14:paraId="0F773AB6" w14:textId="77777777" w:rsidR="00FA0EA7" w:rsidRPr="00221FC9" w:rsidRDefault="00FA0EA7" w:rsidP="009374B1">
            <w:pPr>
              <w:pStyle w:val="TableText"/>
              <w:keepNext/>
              <w:jc w:val="center"/>
              <w:rPr>
                <w:rFonts w:cs="Helvetica"/>
                <w:b/>
                <w:color w:val="141413"/>
                <w:szCs w:val="26"/>
              </w:rPr>
            </w:pPr>
          </w:p>
        </w:tc>
        <w:tc>
          <w:tcPr>
            <w:tcW w:w="851" w:type="dxa"/>
            <w:shd w:val="clear" w:color="auto" w:fill="F3F3F3"/>
          </w:tcPr>
          <w:p w14:paraId="6C14163B" w14:textId="77777777" w:rsidR="00FA0EA7" w:rsidRPr="00221FC9" w:rsidRDefault="00FA0EA7" w:rsidP="009374B1">
            <w:pPr>
              <w:pStyle w:val="TableText"/>
              <w:keepNext/>
              <w:jc w:val="center"/>
              <w:rPr>
                <w:rFonts w:cs="Helvetica"/>
                <w:b/>
                <w:color w:val="141413"/>
                <w:szCs w:val="26"/>
              </w:rPr>
            </w:pPr>
          </w:p>
        </w:tc>
      </w:tr>
      <w:tr w:rsidR="00FA0EA7" w:rsidRPr="00221FC9" w14:paraId="6EAE4005" w14:textId="77777777" w:rsidTr="00FA0EA7">
        <w:trPr>
          <w:cantSplit/>
          <w:trHeight w:val="20"/>
        </w:trPr>
        <w:tc>
          <w:tcPr>
            <w:tcW w:w="4422" w:type="dxa"/>
          </w:tcPr>
          <w:p w14:paraId="47979BB1" w14:textId="77777777" w:rsidR="00FA0EA7" w:rsidRPr="00221FC9" w:rsidRDefault="00FA0EA7" w:rsidP="009374B1">
            <w:pPr>
              <w:pStyle w:val="TableText"/>
              <w:keepNext/>
              <w:rPr>
                <w:rFonts w:eastAsia="PMingLiU"/>
              </w:rPr>
            </w:pPr>
            <w:r w:rsidRPr="00221FC9">
              <w:rPr>
                <w:rFonts w:eastAsia="PMingLiU"/>
              </w:rPr>
              <w:t>The service commences a comprehensive assessment within two weeks of the person presenting to, or being referred to, an OST service or any part of an addiction service seeking assistance for an opioid problem.</w:t>
            </w:r>
          </w:p>
        </w:tc>
        <w:tc>
          <w:tcPr>
            <w:tcW w:w="2268" w:type="dxa"/>
          </w:tcPr>
          <w:p w14:paraId="1E3CB25D" w14:textId="77777777" w:rsidR="00FA0EA7" w:rsidRPr="00221FC9" w:rsidRDefault="00FA0EA7" w:rsidP="009374B1">
            <w:pPr>
              <w:pStyle w:val="TableText"/>
              <w:keepNext/>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9936431" w14:textId="77777777" w:rsidR="00FA0EA7" w:rsidRPr="00221FC9" w:rsidRDefault="00FA0EA7" w:rsidP="009374B1">
            <w:pPr>
              <w:pStyle w:val="TableText"/>
              <w:keepNext/>
              <w:jc w:val="center"/>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6776D70" w14:textId="77777777" w:rsidR="00FA0EA7" w:rsidRPr="00221FC9" w:rsidRDefault="00FA0EA7" w:rsidP="009374B1">
            <w:pPr>
              <w:pStyle w:val="TableText"/>
              <w:keepNext/>
              <w:jc w:val="center"/>
            </w:pPr>
            <w:r w:rsidRPr="00221FC9">
              <w:fldChar w:fldCharType="begin">
                <w:ffData>
                  <w:name w:val="Text27"/>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3B283C8" w14:textId="77777777" w:rsidTr="00FA0EA7">
        <w:trPr>
          <w:cantSplit/>
          <w:trHeight w:val="20"/>
        </w:trPr>
        <w:tc>
          <w:tcPr>
            <w:tcW w:w="4422" w:type="dxa"/>
            <w:shd w:val="clear" w:color="auto" w:fill="F3F3F3"/>
          </w:tcPr>
          <w:p w14:paraId="2DDAF3F5" w14:textId="77777777" w:rsidR="00FA0EA7" w:rsidRPr="00221FC9" w:rsidRDefault="00FA0EA7" w:rsidP="009374B1">
            <w:pPr>
              <w:pStyle w:val="TableText"/>
              <w:rPr>
                <w:rFonts w:cs="Helvetica"/>
                <w:b/>
                <w:color w:val="141413"/>
                <w:szCs w:val="26"/>
              </w:rPr>
            </w:pPr>
            <w:r w:rsidRPr="00221FC9">
              <w:rPr>
                <w:rFonts w:cs="Helvetica"/>
                <w:b/>
                <w:color w:val="141413"/>
                <w:szCs w:val="26"/>
              </w:rPr>
              <w:t>2.2</w:t>
            </w:r>
            <w:r w:rsidRPr="00221FC9">
              <w:rPr>
                <w:rFonts w:cs="Helvetica"/>
                <w:b/>
                <w:color w:val="141413"/>
                <w:szCs w:val="26"/>
              </w:rPr>
              <w:tab/>
              <w:t>A welcoming service</w:t>
            </w:r>
          </w:p>
        </w:tc>
        <w:tc>
          <w:tcPr>
            <w:tcW w:w="2268" w:type="dxa"/>
            <w:shd w:val="clear" w:color="auto" w:fill="F3F3F3"/>
          </w:tcPr>
          <w:p w14:paraId="43CDC676" w14:textId="77777777" w:rsidR="00FA0EA7" w:rsidRPr="00221FC9" w:rsidRDefault="00FA0EA7" w:rsidP="009374B1">
            <w:pPr>
              <w:pStyle w:val="TableText"/>
              <w:rPr>
                <w:rFonts w:cs="Helvetica"/>
                <w:color w:val="141413"/>
                <w:szCs w:val="26"/>
              </w:rPr>
            </w:pPr>
          </w:p>
        </w:tc>
        <w:tc>
          <w:tcPr>
            <w:tcW w:w="1275" w:type="dxa"/>
            <w:shd w:val="clear" w:color="auto" w:fill="F3F3F3"/>
          </w:tcPr>
          <w:p w14:paraId="48436925" w14:textId="77777777" w:rsidR="00FA0EA7" w:rsidRPr="00221FC9" w:rsidRDefault="00FA0EA7" w:rsidP="009374B1">
            <w:pPr>
              <w:pStyle w:val="TableText"/>
              <w:jc w:val="center"/>
              <w:rPr>
                <w:rFonts w:cs="Helvetica"/>
                <w:color w:val="141413"/>
                <w:szCs w:val="26"/>
              </w:rPr>
            </w:pPr>
          </w:p>
        </w:tc>
        <w:tc>
          <w:tcPr>
            <w:tcW w:w="851" w:type="dxa"/>
            <w:shd w:val="clear" w:color="auto" w:fill="F3F3F3"/>
          </w:tcPr>
          <w:p w14:paraId="5D2586D5" w14:textId="77777777" w:rsidR="00FA0EA7" w:rsidRPr="00221FC9" w:rsidRDefault="00FA0EA7" w:rsidP="009374B1">
            <w:pPr>
              <w:pStyle w:val="TableText"/>
              <w:jc w:val="center"/>
              <w:rPr>
                <w:rFonts w:cs="Helvetica"/>
                <w:color w:val="141413"/>
                <w:szCs w:val="26"/>
              </w:rPr>
            </w:pPr>
          </w:p>
        </w:tc>
      </w:tr>
      <w:tr w:rsidR="00FA0EA7" w:rsidRPr="00221FC9" w14:paraId="3039CBAB" w14:textId="77777777" w:rsidTr="00FA0EA7">
        <w:trPr>
          <w:cantSplit/>
          <w:trHeight w:val="20"/>
        </w:trPr>
        <w:tc>
          <w:tcPr>
            <w:tcW w:w="4422" w:type="dxa"/>
          </w:tcPr>
          <w:p w14:paraId="7276406F" w14:textId="77777777" w:rsidR="00FA0EA7" w:rsidRPr="00221FC9" w:rsidRDefault="00FA0EA7" w:rsidP="009374B1">
            <w:pPr>
              <w:pStyle w:val="TableText"/>
            </w:pPr>
            <w:r w:rsidRPr="00221FC9">
              <w:t xml:space="preserve">Locations of OST services should be accessible via public transport where possible, and access should be easy to navigate, with relevant clear signage directing tāngata </w:t>
            </w:r>
            <w:proofErr w:type="spellStart"/>
            <w:r w:rsidRPr="00221FC9">
              <w:t>whai</w:t>
            </w:r>
            <w:proofErr w:type="spellEnd"/>
            <w:r w:rsidRPr="00221FC9">
              <w:t xml:space="preserve"> ora to the appropriate service entrance. </w:t>
            </w:r>
          </w:p>
          <w:p w14:paraId="3D92C5AE" w14:textId="77777777" w:rsidR="00FA0EA7" w:rsidRPr="00221FC9" w:rsidRDefault="00FA0EA7" w:rsidP="009374B1">
            <w:pPr>
              <w:pStyle w:val="TableText"/>
            </w:pPr>
            <w:r w:rsidRPr="00221FC9">
              <w:t xml:space="preserve">The waiting room should be welcoming, suitably ventilated, and adequately furnished. If the reception is shared with other health services, sufficient space should be made for tāngata </w:t>
            </w:r>
            <w:proofErr w:type="spellStart"/>
            <w:r w:rsidRPr="00221FC9">
              <w:t>whai</w:t>
            </w:r>
            <w:proofErr w:type="spellEnd"/>
            <w:r w:rsidRPr="00221FC9">
              <w:t xml:space="preserve"> ora. </w:t>
            </w:r>
          </w:p>
          <w:p w14:paraId="6D3F93B4" w14:textId="4097D4EF" w:rsidR="00FA0EA7" w:rsidRPr="00FA0EA7" w:rsidRDefault="00FA0EA7" w:rsidP="009374B1">
            <w:pPr>
              <w:pStyle w:val="TableText"/>
              <w:rPr>
                <w:rFonts w:cs="Helvetica"/>
                <w:color w:val="141413"/>
                <w:szCs w:val="26"/>
              </w:rPr>
            </w:pPr>
            <w:r w:rsidRPr="00221FC9">
              <w:t>Sharps containers should be visibly located within the bathroom or other areas</w:t>
            </w:r>
          </w:p>
        </w:tc>
        <w:tc>
          <w:tcPr>
            <w:tcW w:w="2268" w:type="dxa"/>
          </w:tcPr>
          <w:p w14:paraId="3B1255F4" w14:textId="77777777" w:rsidR="00FA0EA7" w:rsidRPr="00221FC9" w:rsidRDefault="00FA0EA7" w:rsidP="009374B1">
            <w:pPr>
              <w:pStyle w:val="TableText"/>
              <w:keepNext/>
              <w:rPr>
                <w:sz w:val="16"/>
                <w:szCs w:val="16"/>
              </w:rPr>
            </w:pPr>
            <w:r w:rsidRPr="00221FC9">
              <w:rPr>
                <w:sz w:val="16"/>
                <w:szCs w:val="16"/>
              </w:rPr>
              <w:t>Count as 1 indicator with comment on each and determine average attainment finding</w:t>
            </w:r>
          </w:p>
        </w:tc>
        <w:tc>
          <w:tcPr>
            <w:tcW w:w="1275" w:type="dxa"/>
          </w:tcPr>
          <w:p w14:paraId="49784B5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6EEBF9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A79F9A6" w14:textId="77777777" w:rsidTr="00FA0EA7">
        <w:trPr>
          <w:cantSplit/>
          <w:trHeight w:val="20"/>
        </w:trPr>
        <w:tc>
          <w:tcPr>
            <w:tcW w:w="4422" w:type="dxa"/>
            <w:shd w:val="clear" w:color="auto" w:fill="F3F3F3"/>
          </w:tcPr>
          <w:p w14:paraId="34472C99" w14:textId="77777777" w:rsidR="00FA0EA7" w:rsidRPr="00221FC9" w:rsidRDefault="00FA0EA7" w:rsidP="009374B1">
            <w:pPr>
              <w:pStyle w:val="TableText"/>
              <w:rPr>
                <w:rFonts w:cs="Helvetica"/>
                <w:b/>
                <w:color w:val="141413"/>
                <w:szCs w:val="26"/>
              </w:rPr>
            </w:pPr>
            <w:r w:rsidRPr="00221FC9">
              <w:rPr>
                <w:rFonts w:cs="Helvetica"/>
                <w:b/>
                <w:color w:val="141413"/>
                <w:szCs w:val="26"/>
              </w:rPr>
              <w:t>2.3</w:t>
            </w:r>
            <w:r w:rsidRPr="00221FC9">
              <w:rPr>
                <w:rFonts w:cs="Helvetica"/>
                <w:b/>
                <w:color w:val="141413"/>
                <w:szCs w:val="26"/>
              </w:rPr>
              <w:tab/>
              <w:t xml:space="preserve">Tāngata </w:t>
            </w:r>
            <w:proofErr w:type="spellStart"/>
            <w:r w:rsidRPr="00221FC9">
              <w:rPr>
                <w:rFonts w:cs="Helvetica"/>
                <w:b/>
                <w:color w:val="141413"/>
                <w:szCs w:val="26"/>
              </w:rPr>
              <w:t>whai</w:t>
            </w:r>
            <w:proofErr w:type="spellEnd"/>
            <w:r w:rsidRPr="00221FC9">
              <w:rPr>
                <w:rFonts w:cs="Helvetica"/>
                <w:b/>
                <w:color w:val="141413"/>
                <w:szCs w:val="26"/>
              </w:rPr>
              <w:t xml:space="preserve"> ora care pathway</w:t>
            </w:r>
          </w:p>
        </w:tc>
        <w:tc>
          <w:tcPr>
            <w:tcW w:w="2268" w:type="dxa"/>
            <w:shd w:val="clear" w:color="auto" w:fill="F3F3F3"/>
          </w:tcPr>
          <w:p w14:paraId="2986BC61" w14:textId="77777777" w:rsidR="00FA0EA7" w:rsidRPr="00221FC9" w:rsidRDefault="00FA0EA7" w:rsidP="009374B1">
            <w:pPr>
              <w:pStyle w:val="TableText"/>
              <w:rPr>
                <w:rFonts w:cs="Helvetica"/>
                <w:b/>
                <w:color w:val="141413"/>
                <w:szCs w:val="26"/>
              </w:rPr>
            </w:pPr>
          </w:p>
        </w:tc>
        <w:tc>
          <w:tcPr>
            <w:tcW w:w="1275" w:type="dxa"/>
            <w:shd w:val="clear" w:color="auto" w:fill="F3F3F3"/>
          </w:tcPr>
          <w:p w14:paraId="30F5A410" w14:textId="77777777" w:rsidR="00FA0EA7" w:rsidRPr="00221FC9" w:rsidRDefault="00FA0EA7" w:rsidP="009374B1">
            <w:pPr>
              <w:pStyle w:val="TableText"/>
              <w:jc w:val="center"/>
              <w:rPr>
                <w:rFonts w:cs="Helvetica"/>
                <w:b/>
                <w:color w:val="141413"/>
                <w:szCs w:val="26"/>
              </w:rPr>
            </w:pPr>
          </w:p>
        </w:tc>
        <w:tc>
          <w:tcPr>
            <w:tcW w:w="851" w:type="dxa"/>
            <w:shd w:val="clear" w:color="auto" w:fill="F3F3F3"/>
          </w:tcPr>
          <w:p w14:paraId="5AA3D6F2" w14:textId="77777777" w:rsidR="00FA0EA7" w:rsidRPr="00221FC9" w:rsidRDefault="00FA0EA7" w:rsidP="009374B1">
            <w:pPr>
              <w:pStyle w:val="TableText"/>
              <w:jc w:val="center"/>
              <w:rPr>
                <w:rFonts w:cs="Helvetica"/>
                <w:b/>
                <w:color w:val="141413"/>
                <w:szCs w:val="26"/>
              </w:rPr>
            </w:pPr>
          </w:p>
        </w:tc>
      </w:tr>
      <w:tr w:rsidR="00FA0EA7" w:rsidRPr="00221FC9" w14:paraId="53214A38" w14:textId="77777777" w:rsidTr="00FA0EA7">
        <w:trPr>
          <w:cantSplit/>
          <w:trHeight w:val="20"/>
        </w:trPr>
        <w:tc>
          <w:tcPr>
            <w:tcW w:w="4422" w:type="dxa"/>
          </w:tcPr>
          <w:p w14:paraId="146B3930" w14:textId="37FF1ACC" w:rsidR="00FA0EA7" w:rsidRPr="0013480F" w:rsidRDefault="00FA0EA7" w:rsidP="009374B1">
            <w:pPr>
              <w:pStyle w:val="TableText"/>
              <w:rPr>
                <w:rFonts w:cs="Helvetica"/>
                <w:color w:val="141413"/>
                <w:szCs w:val="26"/>
              </w:rPr>
            </w:pPr>
            <w:r w:rsidRPr="00221FC9">
              <w:rPr>
                <w:rFonts w:eastAsia="PMingLiU"/>
              </w:rPr>
              <w:t>A documented care pathway identifies key steps from OST pre-entry and post exit</w:t>
            </w:r>
            <w:r w:rsidR="00411191">
              <w:rPr>
                <w:rFonts w:eastAsia="PMingLiU"/>
              </w:rPr>
              <w:t>.</w:t>
            </w:r>
            <w:r w:rsidRPr="00221FC9">
              <w:rPr>
                <w:rFonts w:eastAsia="PMingLiU"/>
              </w:rPr>
              <w:t xml:space="preserve"> </w:t>
            </w:r>
          </w:p>
        </w:tc>
        <w:tc>
          <w:tcPr>
            <w:tcW w:w="2268" w:type="dxa"/>
          </w:tcPr>
          <w:p w14:paraId="707D9EC8"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E414F47"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A8B0A9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9EB199A" w14:textId="77777777" w:rsidTr="00FA0EA7">
        <w:trPr>
          <w:cantSplit/>
          <w:trHeight w:val="20"/>
        </w:trPr>
        <w:tc>
          <w:tcPr>
            <w:tcW w:w="4422" w:type="dxa"/>
            <w:shd w:val="clear" w:color="auto" w:fill="F3F3F3"/>
          </w:tcPr>
          <w:p w14:paraId="3F29359D" w14:textId="77777777" w:rsidR="00FA0EA7" w:rsidRPr="00221FC9" w:rsidRDefault="00FA0EA7" w:rsidP="009374B1">
            <w:pPr>
              <w:pStyle w:val="TableText"/>
              <w:rPr>
                <w:rFonts w:cs="Helvetica"/>
                <w:b/>
                <w:color w:val="141413"/>
                <w:szCs w:val="26"/>
              </w:rPr>
            </w:pPr>
            <w:r w:rsidRPr="00221FC9">
              <w:rPr>
                <w:rFonts w:cs="Helvetica"/>
                <w:b/>
                <w:color w:val="141413"/>
                <w:szCs w:val="26"/>
              </w:rPr>
              <w:t>2.4</w:t>
            </w:r>
            <w:r w:rsidRPr="00221FC9">
              <w:rPr>
                <w:rFonts w:cs="Helvetica"/>
                <w:b/>
                <w:color w:val="141413"/>
                <w:szCs w:val="26"/>
              </w:rPr>
              <w:tab/>
              <w:t xml:space="preserve">Rights of Tāngata </w:t>
            </w:r>
            <w:proofErr w:type="spellStart"/>
            <w:r w:rsidRPr="00221FC9">
              <w:rPr>
                <w:rFonts w:cs="Helvetica"/>
                <w:b/>
                <w:color w:val="141413"/>
                <w:szCs w:val="26"/>
              </w:rPr>
              <w:t>whai</w:t>
            </w:r>
            <w:proofErr w:type="spellEnd"/>
            <w:r w:rsidRPr="00221FC9">
              <w:rPr>
                <w:rFonts w:cs="Helvetica"/>
                <w:b/>
                <w:color w:val="141413"/>
                <w:szCs w:val="26"/>
              </w:rPr>
              <w:t xml:space="preserve"> ora</w:t>
            </w:r>
          </w:p>
        </w:tc>
        <w:tc>
          <w:tcPr>
            <w:tcW w:w="2268" w:type="dxa"/>
            <w:shd w:val="clear" w:color="auto" w:fill="F3F3F3"/>
          </w:tcPr>
          <w:p w14:paraId="2AFA97C3" w14:textId="77777777" w:rsidR="00FA0EA7" w:rsidRPr="00221FC9" w:rsidRDefault="00FA0EA7" w:rsidP="009374B1">
            <w:pPr>
              <w:pStyle w:val="TableText"/>
              <w:rPr>
                <w:rFonts w:cs="Helvetica"/>
                <w:b/>
                <w:color w:val="141413"/>
                <w:szCs w:val="26"/>
              </w:rPr>
            </w:pPr>
          </w:p>
        </w:tc>
        <w:tc>
          <w:tcPr>
            <w:tcW w:w="1275" w:type="dxa"/>
            <w:shd w:val="clear" w:color="auto" w:fill="F3F3F3"/>
          </w:tcPr>
          <w:p w14:paraId="6A9CD181" w14:textId="77777777" w:rsidR="00FA0EA7" w:rsidRPr="00221FC9" w:rsidRDefault="00FA0EA7" w:rsidP="009374B1">
            <w:pPr>
              <w:pStyle w:val="TableText"/>
              <w:jc w:val="center"/>
              <w:rPr>
                <w:rFonts w:cs="Helvetica"/>
                <w:b/>
                <w:color w:val="141413"/>
                <w:szCs w:val="26"/>
              </w:rPr>
            </w:pPr>
          </w:p>
        </w:tc>
        <w:tc>
          <w:tcPr>
            <w:tcW w:w="851" w:type="dxa"/>
            <w:shd w:val="clear" w:color="auto" w:fill="F3F3F3"/>
          </w:tcPr>
          <w:p w14:paraId="1D1E2E83" w14:textId="77777777" w:rsidR="00FA0EA7" w:rsidRPr="00221FC9" w:rsidRDefault="00FA0EA7" w:rsidP="009374B1">
            <w:pPr>
              <w:pStyle w:val="TableText"/>
              <w:jc w:val="center"/>
              <w:rPr>
                <w:rFonts w:cs="Helvetica"/>
                <w:b/>
                <w:color w:val="141413"/>
                <w:szCs w:val="26"/>
              </w:rPr>
            </w:pPr>
          </w:p>
        </w:tc>
      </w:tr>
      <w:tr w:rsidR="00FA0EA7" w:rsidRPr="00221FC9" w14:paraId="08F7E57D" w14:textId="77777777" w:rsidTr="00FA0EA7">
        <w:trPr>
          <w:cantSplit/>
          <w:trHeight w:val="20"/>
        </w:trPr>
        <w:tc>
          <w:tcPr>
            <w:tcW w:w="4422" w:type="dxa"/>
          </w:tcPr>
          <w:p w14:paraId="3B4203C2" w14:textId="77777777" w:rsidR="00FA0EA7" w:rsidRPr="00221FC9" w:rsidRDefault="00FA0EA7" w:rsidP="00FA0EA7">
            <w:pPr>
              <w:pStyle w:val="TableText"/>
            </w:pPr>
            <w:r w:rsidRPr="00221FC9">
              <w:t xml:space="preserve">Services must supply tāngata </w:t>
            </w:r>
            <w:proofErr w:type="spellStart"/>
            <w:r w:rsidRPr="00221FC9">
              <w:t>whai</w:t>
            </w:r>
            <w:proofErr w:type="spellEnd"/>
            <w:r w:rsidRPr="00221FC9">
              <w:t xml:space="preserve"> ora with information about:</w:t>
            </w:r>
          </w:p>
          <w:p w14:paraId="6E970902" w14:textId="77777777" w:rsidR="00FA0EA7" w:rsidRPr="00221FC9" w:rsidRDefault="00FA0EA7" w:rsidP="00FA0EA7">
            <w:pPr>
              <w:pStyle w:val="TableBullet"/>
            </w:pPr>
            <w:r w:rsidRPr="00221FC9">
              <w:t>their rights under the Code of Health and Disability Services Consumers' Rights</w:t>
            </w:r>
          </w:p>
          <w:p w14:paraId="33418245" w14:textId="77777777" w:rsidR="00FA0EA7" w:rsidRPr="00221FC9" w:rsidRDefault="00FA0EA7" w:rsidP="00FA0EA7">
            <w:pPr>
              <w:pStyle w:val="TableBullet"/>
            </w:pPr>
            <w:r w:rsidRPr="00221FC9">
              <w:t>consumer advisor, and health and disability advocacy contacts</w:t>
            </w:r>
          </w:p>
          <w:p w14:paraId="732F644F" w14:textId="77777777" w:rsidR="00FA0EA7" w:rsidRPr="00221FC9" w:rsidRDefault="00FA0EA7" w:rsidP="00FA0EA7">
            <w:pPr>
              <w:pStyle w:val="TableBullet"/>
            </w:pPr>
            <w:r w:rsidRPr="00221FC9">
              <w:t>limits of confidentiality under the Health Information Privacy Code 1994 (such as situations under which the specialist service may need to break confidentiality)</w:t>
            </w:r>
          </w:p>
          <w:p w14:paraId="7C282355" w14:textId="77777777" w:rsidR="00FA0EA7" w:rsidRPr="00221FC9" w:rsidRDefault="00FA0EA7" w:rsidP="00FA0EA7">
            <w:pPr>
              <w:pStyle w:val="TableBullet"/>
            </w:pPr>
            <w:r w:rsidRPr="00221FC9">
              <w:t>the range of treatment options and psychosocial interventions available</w:t>
            </w:r>
          </w:p>
          <w:p w14:paraId="2AE05ECE" w14:textId="77777777" w:rsidR="00FA0EA7" w:rsidRPr="00221FC9" w:rsidRDefault="00FA0EA7" w:rsidP="00FA0EA7">
            <w:pPr>
              <w:pStyle w:val="TableBullet"/>
            </w:pPr>
            <w:r w:rsidRPr="00221FC9">
              <w:t xml:space="preserve"> the complaints procedure </w:t>
            </w:r>
          </w:p>
          <w:p w14:paraId="64539948" w14:textId="0DE6B2B3" w:rsidR="00B07CF4" w:rsidRPr="00FA0EA7" w:rsidRDefault="00FA0EA7" w:rsidP="00F930D9">
            <w:pPr>
              <w:pStyle w:val="TableBullet"/>
            </w:pPr>
            <w:r w:rsidRPr="00221FC9">
              <w:t xml:space="preserve">Complaint processes must be transparent, visible, easy to access and be sensitive to tāngata </w:t>
            </w:r>
            <w:proofErr w:type="spellStart"/>
            <w:r w:rsidRPr="00221FC9">
              <w:t>whai</w:t>
            </w:r>
            <w:proofErr w:type="spellEnd"/>
            <w:r w:rsidRPr="00221FC9">
              <w:t xml:space="preserve"> ora and whānau and respect their values and beliefs</w:t>
            </w:r>
          </w:p>
        </w:tc>
        <w:tc>
          <w:tcPr>
            <w:tcW w:w="2268" w:type="dxa"/>
          </w:tcPr>
          <w:p w14:paraId="762C5876" w14:textId="77777777" w:rsidR="00FA0EA7" w:rsidRPr="00221FC9" w:rsidRDefault="00FA0EA7" w:rsidP="009374B1">
            <w:pPr>
              <w:pStyle w:val="TableText"/>
              <w:keepNext/>
              <w:rPr>
                <w:sz w:val="16"/>
                <w:szCs w:val="16"/>
              </w:rPr>
            </w:pPr>
            <w:r w:rsidRPr="00221FC9">
              <w:rPr>
                <w:sz w:val="16"/>
                <w:szCs w:val="16"/>
              </w:rPr>
              <w:t>Count as 1 indicator with comment on each and determine average attainment finding</w:t>
            </w:r>
          </w:p>
        </w:tc>
        <w:tc>
          <w:tcPr>
            <w:tcW w:w="1275" w:type="dxa"/>
          </w:tcPr>
          <w:p w14:paraId="1E4AA9F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1684A5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1827B314" w14:textId="77777777" w:rsidTr="00B07CF4">
        <w:trPr>
          <w:cantSplit/>
          <w:trHeight w:val="20"/>
        </w:trPr>
        <w:tc>
          <w:tcPr>
            <w:tcW w:w="4422" w:type="dxa"/>
            <w:shd w:val="clear" w:color="auto" w:fill="F2F2F2" w:themeFill="background1" w:themeFillShade="F2"/>
          </w:tcPr>
          <w:p w14:paraId="3E2BC4D7" w14:textId="0BCDB4F7" w:rsidR="00455492" w:rsidRPr="00221FC9" w:rsidRDefault="00AE32F4" w:rsidP="006274F8">
            <w:pPr>
              <w:pStyle w:val="TableText"/>
              <w:keepNext/>
              <w:rPr>
                <w:rFonts w:cs="Helvetica"/>
                <w:b/>
                <w:color w:val="141413"/>
                <w:szCs w:val="26"/>
              </w:rPr>
            </w:pPr>
            <w:r w:rsidRPr="00221FC9">
              <w:rPr>
                <w:rFonts w:cs="Helvetica"/>
                <w:b/>
                <w:color w:val="141413"/>
                <w:szCs w:val="26"/>
              </w:rPr>
              <w:lastRenderedPageBreak/>
              <w:t>2.5</w:t>
            </w:r>
            <w:r w:rsidRPr="00221FC9">
              <w:rPr>
                <w:rFonts w:cs="Helvetica"/>
                <w:b/>
                <w:color w:val="141413"/>
                <w:szCs w:val="26"/>
              </w:rPr>
              <w:tab/>
              <w:t>Comprehensive Assessment</w:t>
            </w:r>
          </w:p>
        </w:tc>
        <w:tc>
          <w:tcPr>
            <w:tcW w:w="2268" w:type="dxa"/>
            <w:shd w:val="clear" w:color="auto" w:fill="F2F2F2" w:themeFill="background1" w:themeFillShade="F2"/>
          </w:tcPr>
          <w:p w14:paraId="07832274" w14:textId="1008F853" w:rsidR="00AE32F4" w:rsidRPr="00AE32F4" w:rsidRDefault="00AE32F4" w:rsidP="006274F8">
            <w:pPr>
              <w:pStyle w:val="TableText"/>
              <w:keepNext/>
            </w:pPr>
          </w:p>
        </w:tc>
        <w:tc>
          <w:tcPr>
            <w:tcW w:w="1275" w:type="dxa"/>
            <w:shd w:val="clear" w:color="auto" w:fill="F2F2F2" w:themeFill="background1" w:themeFillShade="F2"/>
          </w:tcPr>
          <w:p w14:paraId="4CCD5E62" w14:textId="644D891B" w:rsidR="00AE32F4" w:rsidRPr="00221FC9" w:rsidRDefault="00AE32F4" w:rsidP="006274F8">
            <w:pPr>
              <w:pStyle w:val="TableText"/>
              <w:keepNext/>
              <w:jc w:val="center"/>
              <w:rPr>
                <w:rFonts w:cs="Helvetica"/>
                <w:color w:val="141413"/>
                <w:szCs w:val="26"/>
              </w:rPr>
            </w:pPr>
          </w:p>
        </w:tc>
        <w:tc>
          <w:tcPr>
            <w:tcW w:w="851" w:type="dxa"/>
            <w:shd w:val="clear" w:color="auto" w:fill="F2F2F2" w:themeFill="background1" w:themeFillShade="F2"/>
          </w:tcPr>
          <w:p w14:paraId="7DAAAFD0" w14:textId="18076D9E" w:rsidR="00AE32F4" w:rsidRPr="00221FC9" w:rsidRDefault="00AE32F4" w:rsidP="006274F8">
            <w:pPr>
              <w:pStyle w:val="TableText"/>
              <w:keepNext/>
              <w:jc w:val="center"/>
              <w:rPr>
                <w:rFonts w:cs="Helvetica"/>
                <w:color w:val="141413"/>
                <w:szCs w:val="26"/>
              </w:rPr>
            </w:pPr>
          </w:p>
        </w:tc>
      </w:tr>
      <w:tr w:rsidR="004F4742" w:rsidRPr="00221FC9" w14:paraId="379CAAE8" w14:textId="77777777" w:rsidTr="00FA0EA7">
        <w:trPr>
          <w:cantSplit/>
          <w:trHeight w:val="20"/>
        </w:trPr>
        <w:tc>
          <w:tcPr>
            <w:tcW w:w="4422" w:type="dxa"/>
            <w:shd w:val="clear" w:color="auto" w:fill="FFFFFF" w:themeFill="background1"/>
          </w:tcPr>
          <w:p w14:paraId="6ABF5B07" w14:textId="77777777" w:rsidR="004F4742" w:rsidRPr="00221FC9" w:rsidRDefault="004F4742" w:rsidP="004F4742">
            <w:pPr>
              <w:pStyle w:val="TableText"/>
            </w:pPr>
            <w:r w:rsidRPr="00221FC9">
              <w:rPr>
                <w:rFonts w:cs="Helvetica"/>
                <w:szCs w:val="22"/>
              </w:rPr>
              <w:t xml:space="preserve">Risk-taking behaviours are documented in the assessment, </w:t>
            </w:r>
            <w:proofErr w:type="spellStart"/>
            <w:r w:rsidRPr="00221FC9">
              <w:rPr>
                <w:rFonts w:cs="Helvetica"/>
                <w:szCs w:val="22"/>
              </w:rPr>
              <w:t>eg</w:t>
            </w:r>
            <w:proofErr w:type="spellEnd"/>
            <w:r w:rsidRPr="00221FC9">
              <w:rPr>
                <w:rFonts w:cs="Helvetica"/>
                <w:szCs w:val="22"/>
              </w:rPr>
              <w:t>, injecting practices, blood-borne virus transmission, driving, unsafe sexual practices.</w:t>
            </w:r>
          </w:p>
          <w:p w14:paraId="4A140617" w14:textId="77777777" w:rsidR="004F4742" w:rsidRPr="00221FC9" w:rsidRDefault="004F4742" w:rsidP="004F4742">
            <w:pPr>
              <w:pStyle w:val="TableText"/>
            </w:pPr>
            <w:r w:rsidRPr="00221FC9">
              <w:t>The comprehensive assessment</w:t>
            </w:r>
            <w:r>
              <w:t xml:space="preserve"> </w:t>
            </w:r>
            <w:r w:rsidRPr="00221FC9">
              <w:t xml:space="preserve">should be regularly reviewed and all versions (particularly the original) readily available to the treatment team. </w:t>
            </w:r>
          </w:p>
          <w:p w14:paraId="6E99DDB9" w14:textId="7D3A856E" w:rsidR="004F4742" w:rsidRPr="00221FC9" w:rsidRDefault="004F4742" w:rsidP="004F4742">
            <w:pPr>
              <w:pStyle w:val="TableText"/>
              <w:rPr>
                <w:rFonts w:cs="Helvetica"/>
                <w:b/>
                <w:color w:val="141413"/>
                <w:szCs w:val="26"/>
              </w:rPr>
            </w:pPr>
            <w:r w:rsidRPr="00221FC9">
              <w:t>Reviews should occur at least yearly or whenever there is a substantial change in the person’s condition</w:t>
            </w:r>
            <w:r>
              <w:t>.</w:t>
            </w:r>
          </w:p>
        </w:tc>
        <w:tc>
          <w:tcPr>
            <w:tcW w:w="2268" w:type="dxa"/>
            <w:shd w:val="clear" w:color="auto" w:fill="FFFFFF" w:themeFill="background1"/>
          </w:tcPr>
          <w:p w14:paraId="1FDBF12E" w14:textId="4952A479" w:rsidR="004F4742" w:rsidRPr="00AE32F4" w:rsidRDefault="004F4742" w:rsidP="00AE32F4">
            <w:pPr>
              <w:pStyle w:val="TableText"/>
              <w:rPr>
                <w:sz w:val="16"/>
                <w:szCs w:val="18"/>
              </w:rPr>
            </w:pPr>
            <w:r w:rsidRPr="00AE32F4">
              <w:rPr>
                <w:sz w:val="16"/>
                <w:szCs w:val="18"/>
              </w:rPr>
              <w:t>Count as 3 separate indicators</w:t>
            </w:r>
          </w:p>
        </w:tc>
        <w:tc>
          <w:tcPr>
            <w:tcW w:w="1275" w:type="dxa"/>
            <w:shd w:val="clear" w:color="auto" w:fill="FFFFFF" w:themeFill="background1"/>
          </w:tcPr>
          <w:p w14:paraId="53C025A3" w14:textId="60014BF1" w:rsidR="004F4742" w:rsidRPr="00221FC9" w:rsidRDefault="004F4742" w:rsidP="00AE32F4">
            <w:pPr>
              <w:pStyle w:val="TableT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shd w:val="clear" w:color="auto" w:fill="FFFFFF" w:themeFill="background1"/>
          </w:tcPr>
          <w:p w14:paraId="0D70B356" w14:textId="7EA50507" w:rsidR="004F4742" w:rsidRPr="00221FC9" w:rsidRDefault="004F4742" w:rsidP="00AE32F4">
            <w:pPr>
              <w:pStyle w:val="TableT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FC7926C" w14:textId="77777777" w:rsidTr="00FA0EA7">
        <w:trPr>
          <w:cantSplit/>
          <w:trHeight w:val="20"/>
        </w:trPr>
        <w:tc>
          <w:tcPr>
            <w:tcW w:w="4422" w:type="dxa"/>
            <w:shd w:val="clear" w:color="auto" w:fill="F3F3F3"/>
          </w:tcPr>
          <w:p w14:paraId="460DCB20" w14:textId="77777777" w:rsidR="00FA0EA7" w:rsidRPr="00221FC9" w:rsidRDefault="00FA0EA7" w:rsidP="009374B1">
            <w:pPr>
              <w:pStyle w:val="TableText"/>
              <w:rPr>
                <w:rFonts w:cs="Helvetica"/>
                <w:b/>
                <w:color w:val="141413"/>
                <w:szCs w:val="26"/>
              </w:rPr>
            </w:pPr>
            <w:r w:rsidRPr="00221FC9">
              <w:rPr>
                <w:rFonts w:cs="Helvetica"/>
                <w:b/>
                <w:color w:val="141413"/>
                <w:szCs w:val="26"/>
              </w:rPr>
              <w:t>2.6</w:t>
            </w:r>
            <w:r w:rsidRPr="00221FC9">
              <w:rPr>
                <w:rFonts w:cs="Helvetica"/>
                <w:b/>
                <w:color w:val="141413"/>
                <w:szCs w:val="26"/>
              </w:rPr>
              <w:tab/>
              <w:t>Treatment and Recovery Planning</w:t>
            </w:r>
          </w:p>
        </w:tc>
        <w:tc>
          <w:tcPr>
            <w:tcW w:w="2268" w:type="dxa"/>
            <w:shd w:val="clear" w:color="auto" w:fill="F3F3F3"/>
          </w:tcPr>
          <w:p w14:paraId="1A3661B2" w14:textId="77777777" w:rsidR="00FA0EA7" w:rsidRPr="00221FC9" w:rsidRDefault="00FA0EA7" w:rsidP="009374B1">
            <w:pPr>
              <w:pStyle w:val="TableText"/>
              <w:rPr>
                <w:rFonts w:cs="Helvetica"/>
                <w:color w:val="141413"/>
                <w:szCs w:val="26"/>
              </w:rPr>
            </w:pPr>
          </w:p>
        </w:tc>
        <w:tc>
          <w:tcPr>
            <w:tcW w:w="1275" w:type="dxa"/>
            <w:shd w:val="clear" w:color="auto" w:fill="F3F3F3"/>
          </w:tcPr>
          <w:p w14:paraId="334E9FB0" w14:textId="77777777" w:rsidR="00FA0EA7" w:rsidRPr="00221FC9" w:rsidRDefault="00FA0EA7" w:rsidP="009374B1">
            <w:pPr>
              <w:pStyle w:val="TableText"/>
              <w:jc w:val="center"/>
              <w:rPr>
                <w:rFonts w:cs="Helvetica"/>
                <w:color w:val="141413"/>
                <w:szCs w:val="26"/>
              </w:rPr>
            </w:pPr>
          </w:p>
        </w:tc>
        <w:tc>
          <w:tcPr>
            <w:tcW w:w="851" w:type="dxa"/>
            <w:shd w:val="clear" w:color="auto" w:fill="F3F3F3"/>
          </w:tcPr>
          <w:p w14:paraId="6A50FB5A" w14:textId="77777777" w:rsidR="00FA0EA7" w:rsidRPr="00221FC9" w:rsidRDefault="00FA0EA7" w:rsidP="009374B1">
            <w:pPr>
              <w:pStyle w:val="TableText"/>
              <w:jc w:val="center"/>
              <w:rPr>
                <w:rFonts w:cs="Helvetica"/>
                <w:color w:val="141413"/>
                <w:szCs w:val="26"/>
              </w:rPr>
            </w:pPr>
          </w:p>
        </w:tc>
      </w:tr>
      <w:tr w:rsidR="00FA0EA7" w:rsidRPr="00221FC9" w14:paraId="453CBCD0" w14:textId="77777777" w:rsidTr="00FA0EA7">
        <w:trPr>
          <w:cantSplit/>
          <w:trHeight w:val="20"/>
        </w:trPr>
        <w:tc>
          <w:tcPr>
            <w:tcW w:w="4422" w:type="dxa"/>
          </w:tcPr>
          <w:p w14:paraId="66491432" w14:textId="1FED1924" w:rsidR="00FA0EA7" w:rsidRPr="00FA0EA7" w:rsidRDefault="00FA0EA7" w:rsidP="00FA0EA7">
            <w:pPr>
              <w:pStyle w:val="TableText"/>
            </w:pPr>
            <w:r w:rsidRPr="00FA0EA7">
              <w:t>Assessments must be accompanied by individualised treatment and recovery plans</w:t>
            </w:r>
            <w:r w:rsidR="00411191">
              <w:t>.</w:t>
            </w:r>
            <w:r w:rsidRPr="00FA0EA7">
              <w:t xml:space="preserve"> </w:t>
            </w:r>
          </w:p>
          <w:p w14:paraId="1C98AFA3" w14:textId="77777777" w:rsidR="00FA0EA7" w:rsidRPr="00FA0EA7" w:rsidRDefault="00FA0EA7" w:rsidP="00FA0EA7">
            <w:pPr>
              <w:pStyle w:val="TableText"/>
            </w:pPr>
            <w:r w:rsidRPr="00FA0EA7">
              <w:t xml:space="preserve">These plans reflect the biopsychosocial aspects and goals of tāngata </w:t>
            </w:r>
            <w:proofErr w:type="spellStart"/>
            <w:r w:rsidRPr="00FA0EA7">
              <w:t>whai</w:t>
            </w:r>
            <w:proofErr w:type="spellEnd"/>
            <w:r w:rsidRPr="00FA0EA7">
              <w:t xml:space="preserve"> ora, including the assessed problems, strengths, treatment priorities, and recovery and wellbeing goals.</w:t>
            </w:r>
          </w:p>
          <w:p w14:paraId="3AA32603" w14:textId="47BA1C68" w:rsidR="00FA0EA7" w:rsidRPr="00FA0EA7" w:rsidRDefault="00FA0EA7" w:rsidP="009374B1">
            <w:pPr>
              <w:pStyle w:val="TableText"/>
            </w:pPr>
            <w:r w:rsidRPr="00FA0EA7">
              <w:rPr>
                <w:rFonts w:eastAsia="PMingLiU"/>
              </w:rPr>
              <w:t xml:space="preserve">Treatment and recovery plans </w:t>
            </w:r>
            <w:r w:rsidRPr="00FA0EA7">
              <w:t>need to be reviewed and updated at regular intervals.</w:t>
            </w:r>
          </w:p>
        </w:tc>
        <w:tc>
          <w:tcPr>
            <w:tcW w:w="2268" w:type="dxa"/>
          </w:tcPr>
          <w:p w14:paraId="1FF624BF" w14:textId="77777777" w:rsidR="00FA0EA7" w:rsidRPr="00221FC9" w:rsidRDefault="00FA0EA7" w:rsidP="009374B1">
            <w:pPr>
              <w:pStyle w:val="TableText"/>
              <w:keepNext/>
            </w:pPr>
            <w:r w:rsidRPr="00221FC9">
              <w:rPr>
                <w:sz w:val="16"/>
                <w:szCs w:val="16"/>
              </w:rPr>
              <w:t>Count as 1 indicator</w:t>
            </w:r>
          </w:p>
        </w:tc>
        <w:tc>
          <w:tcPr>
            <w:tcW w:w="1275" w:type="dxa"/>
          </w:tcPr>
          <w:p w14:paraId="40EC7D3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B8B976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4D21B9E" w14:textId="77777777" w:rsidTr="00FA0EA7">
        <w:trPr>
          <w:cantSplit/>
          <w:trHeight w:val="20"/>
        </w:trPr>
        <w:tc>
          <w:tcPr>
            <w:tcW w:w="4422" w:type="dxa"/>
            <w:shd w:val="clear" w:color="auto" w:fill="F3F3F3"/>
          </w:tcPr>
          <w:p w14:paraId="46244257" w14:textId="77777777" w:rsidR="00FA0EA7" w:rsidRPr="00221FC9" w:rsidRDefault="00FA0EA7" w:rsidP="009374B1">
            <w:pPr>
              <w:pStyle w:val="TableText"/>
              <w:rPr>
                <w:rFonts w:cs="Helvetica"/>
                <w:b/>
                <w:color w:val="141413"/>
                <w:szCs w:val="26"/>
              </w:rPr>
            </w:pPr>
            <w:r w:rsidRPr="00221FC9">
              <w:rPr>
                <w:rFonts w:cs="Helvetica"/>
                <w:b/>
                <w:color w:val="141413"/>
                <w:szCs w:val="26"/>
              </w:rPr>
              <w:t>2.11</w:t>
            </w:r>
            <w:r w:rsidRPr="00221FC9">
              <w:rPr>
                <w:rFonts w:cs="Helvetica"/>
                <w:b/>
                <w:color w:val="141413"/>
                <w:szCs w:val="26"/>
              </w:rPr>
              <w:tab/>
              <w:t xml:space="preserve">OST for </w:t>
            </w:r>
            <w:proofErr w:type="spellStart"/>
            <w:r w:rsidRPr="00221FC9">
              <w:rPr>
                <w:rFonts w:cs="Helvetica"/>
                <w:b/>
                <w:color w:val="141413"/>
                <w:szCs w:val="26"/>
              </w:rPr>
              <w:t>rangatahi</w:t>
            </w:r>
            <w:proofErr w:type="spellEnd"/>
            <w:r w:rsidRPr="00221FC9">
              <w:rPr>
                <w:rFonts w:cs="Helvetica"/>
                <w:b/>
                <w:color w:val="141413"/>
                <w:szCs w:val="26"/>
              </w:rPr>
              <w:t xml:space="preserve"> under 16</w:t>
            </w:r>
          </w:p>
        </w:tc>
        <w:tc>
          <w:tcPr>
            <w:tcW w:w="2268" w:type="dxa"/>
            <w:shd w:val="clear" w:color="auto" w:fill="F3F3F3"/>
          </w:tcPr>
          <w:p w14:paraId="7811E815" w14:textId="77777777" w:rsidR="00FA0EA7" w:rsidRPr="00221FC9" w:rsidRDefault="00FA0EA7" w:rsidP="009374B1">
            <w:pPr>
              <w:pStyle w:val="TableText"/>
              <w:rPr>
                <w:rFonts w:cs="Helvetica"/>
                <w:color w:val="141413"/>
                <w:szCs w:val="26"/>
              </w:rPr>
            </w:pPr>
          </w:p>
        </w:tc>
        <w:tc>
          <w:tcPr>
            <w:tcW w:w="1275" w:type="dxa"/>
            <w:shd w:val="clear" w:color="auto" w:fill="F3F3F3"/>
          </w:tcPr>
          <w:p w14:paraId="62015DB8" w14:textId="77777777" w:rsidR="00FA0EA7" w:rsidRPr="00221FC9" w:rsidRDefault="00FA0EA7" w:rsidP="009374B1">
            <w:pPr>
              <w:pStyle w:val="TableText"/>
              <w:jc w:val="center"/>
              <w:rPr>
                <w:rFonts w:cs="Helvetica"/>
                <w:color w:val="141413"/>
                <w:szCs w:val="26"/>
              </w:rPr>
            </w:pPr>
          </w:p>
        </w:tc>
        <w:tc>
          <w:tcPr>
            <w:tcW w:w="851" w:type="dxa"/>
            <w:shd w:val="clear" w:color="auto" w:fill="F3F3F3"/>
          </w:tcPr>
          <w:p w14:paraId="697551DB" w14:textId="77777777" w:rsidR="00FA0EA7" w:rsidRPr="00221FC9" w:rsidRDefault="00FA0EA7" w:rsidP="009374B1">
            <w:pPr>
              <w:pStyle w:val="TableText"/>
              <w:jc w:val="center"/>
              <w:rPr>
                <w:rFonts w:cs="Helvetica"/>
                <w:color w:val="141413"/>
                <w:szCs w:val="26"/>
              </w:rPr>
            </w:pPr>
          </w:p>
        </w:tc>
      </w:tr>
      <w:tr w:rsidR="00FA0EA7" w:rsidRPr="00221FC9" w14:paraId="5248B069" w14:textId="77777777" w:rsidTr="00FA0EA7">
        <w:trPr>
          <w:cantSplit/>
          <w:trHeight w:val="20"/>
        </w:trPr>
        <w:tc>
          <w:tcPr>
            <w:tcW w:w="4422" w:type="dxa"/>
          </w:tcPr>
          <w:p w14:paraId="1B7A6D2B" w14:textId="77777777" w:rsidR="00FA0EA7" w:rsidRPr="00221FC9" w:rsidRDefault="00FA0EA7" w:rsidP="009374B1">
            <w:pPr>
              <w:pStyle w:val="TableText"/>
              <w:rPr>
                <w:rFonts w:eastAsia="PMingLiU"/>
              </w:rPr>
            </w:pPr>
            <w:r w:rsidRPr="00221FC9">
              <w:rPr>
                <w:rFonts w:cs="Helvetica"/>
                <w:color w:val="000000"/>
                <w:szCs w:val="22"/>
              </w:rPr>
              <w:t xml:space="preserve">The admission of </w:t>
            </w:r>
            <w:proofErr w:type="spellStart"/>
            <w:r w:rsidRPr="00221FC9">
              <w:rPr>
                <w:rFonts w:cs="Helvetica"/>
                <w:color w:val="000000"/>
                <w:szCs w:val="22"/>
              </w:rPr>
              <w:t>rangatahi</w:t>
            </w:r>
            <w:proofErr w:type="spellEnd"/>
            <w:r w:rsidRPr="00221FC9">
              <w:rPr>
                <w:rFonts w:cs="Helvetica"/>
                <w:color w:val="000000"/>
                <w:szCs w:val="22"/>
              </w:rPr>
              <w:t xml:space="preserve"> under 16 years old is supported by an opinion from an addiction medicine specialist and/or a child and youth psychiatrist.</w:t>
            </w:r>
          </w:p>
        </w:tc>
        <w:tc>
          <w:tcPr>
            <w:tcW w:w="2268" w:type="dxa"/>
          </w:tcPr>
          <w:p w14:paraId="42BACC42"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33ADE5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46F70D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0281204" w14:textId="77777777" w:rsidTr="00FA0EA7">
        <w:trPr>
          <w:cantSplit/>
          <w:trHeight w:val="20"/>
        </w:trPr>
        <w:tc>
          <w:tcPr>
            <w:tcW w:w="4422" w:type="dxa"/>
            <w:shd w:val="clear" w:color="auto" w:fill="F3F3F3"/>
          </w:tcPr>
          <w:p w14:paraId="49A490D9" w14:textId="77777777" w:rsidR="00FA0EA7" w:rsidRPr="00221FC9" w:rsidRDefault="00FA0EA7" w:rsidP="009374B1">
            <w:pPr>
              <w:pStyle w:val="TableText"/>
              <w:rPr>
                <w:rFonts w:cs="Helvetica"/>
                <w:b/>
                <w:color w:val="141413"/>
                <w:szCs w:val="26"/>
              </w:rPr>
            </w:pPr>
            <w:r w:rsidRPr="00221FC9">
              <w:rPr>
                <w:rFonts w:cs="Helvetica"/>
                <w:b/>
                <w:color w:val="141413"/>
                <w:szCs w:val="26"/>
              </w:rPr>
              <w:t>2.12</w:t>
            </w:r>
            <w:r w:rsidRPr="00221FC9">
              <w:rPr>
                <w:rFonts w:cs="Helvetica"/>
                <w:b/>
                <w:color w:val="141413"/>
                <w:szCs w:val="26"/>
              </w:rPr>
              <w:tab/>
              <w:t>Informed consent and treatment information</w:t>
            </w:r>
          </w:p>
        </w:tc>
        <w:tc>
          <w:tcPr>
            <w:tcW w:w="2268" w:type="dxa"/>
            <w:shd w:val="clear" w:color="auto" w:fill="F3F3F3"/>
          </w:tcPr>
          <w:p w14:paraId="4955B377" w14:textId="77777777" w:rsidR="00FA0EA7" w:rsidRPr="00221FC9" w:rsidRDefault="00FA0EA7" w:rsidP="009374B1">
            <w:pPr>
              <w:pStyle w:val="TableText"/>
              <w:rPr>
                <w:rFonts w:eastAsia="PMingLiU"/>
              </w:rPr>
            </w:pPr>
          </w:p>
        </w:tc>
        <w:tc>
          <w:tcPr>
            <w:tcW w:w="1275" w:type="dxa"/>
            <w:shd w:val="clear" w:color="auto" w:fill="F3F3F3"/>
          </w:tcPr>
          <w:p w14:paraId="77D2C5E0" w14:textId="77777777" w:rsidR="00FA0EA7" w:rsidRPr="00221FC9" w:rsidRDefault="00FA0EA7" w:rsidP="009374B1">
            <w:pPr>
              <w:pStyle w:val="TableText"/>
              <w:jc w:val="center"/>
              <w:rPr>
                <w:rFonts w:eastAsia="PMingLiU"/>
              </w:rPr>
            </w:pPr>
          </w:p>
        </w:tc>
        <w:tc>
          <w:tcPr>
            <w:tcW w:w="851" w:type="dxa"/>
            <w:shd w:val="clear" w:color="auto" w:fill="F3F3F3"/>
          </w:tcPr>
          <w:p w14:paraId="6BFE26EC" w14:textId="77777777" w:rsidR="00FA0EA7" w:rsidRPr="00221FC9" w:rsidRDefault="00FA0EA7" w:rsidP="009374B1">
            <w:pPr>
              <w:pStyle w:val="TableText"/>
              <w:jc w:val="center"/>
              <w:rPr>
                <w:rFonts w:eastAsia="PMingLiU"/>
              </w:rPr>
            </w:pPr>
          </w:p>
        </w:tc>
      </w:tr>
      <w:tr w:rsidR="00FA0EA7" w:rsidRPr="00221FC9" w14:paraId="4C5B4C15" w14:textId="77777777" w:rsidTr="00FA0EA7">
        <w:trPr>
          <w:cantSplit/>
          <w:trHeight w:val="20"/>
        </w:trPr>
        <w:tc>
          <w:tcPr>
            <w:tcW w:w="4422" w:type="dxa"/>
          </w:tcPr>
          <w:p w14:paraId="6C47D4AE" w14:textId="77777777" w:rsidR="00FA0EA7" w:rsidRPr="00221FC9" w:rsidRDefault="00FA0EA7" w:rsidP="009374B1">
            <w:pPr>
              <w:pStyle w:val="TableText"/>
              <w:rPr>
                <w:rFonts w:eastAsia="PMingLiU"/>
              </w:rPr>
            </w:pPr>
            <w:r w:rsidRPr="00221FC9">
              <w:rPr>
                <w:rFonts w:cs="Helvetica"/>
                <w:color w:val="000000"/>
                <w:szCs w:val="22"/>
              </w:rPr>
              <w:t xml:space="preserve">Consent for OST is signed by the tāngata </w:t>
            </w:r>
            <w:proofErr w:type="spellStart"/>
            <w:r w:rsidRPr="00221FC9">
              <w:rPr>
                <w:rFonts w:cs="Helvetica"/>
                <w:color w:val="000000"/>
                <w:szCs w:val="22"/>
              </w:rPr>
              <w:t>whai</w:t>
            </w:r>
            <w:proofErr w:type="spellEnd"/>
            <w:r w:rsidRPr="00221FC9">
              <w:rPr>
                <w:rFonts w:cs="Helvetica"/>
                <w:color w:val="000000"/>
                <w:szCs w:val="22"/>
              </w:rPr>
              <w:t xml:space="preserve"> ora.</w:t>
            </w:r>
          </w:p>
        </w:tc>
        <w:tc>
          <w:tcPr>
            <w:tcW w:w="2268" w:type="dxa"/>
          </w:tcPr>
          <w:p w14:paraId="1AB6FE0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93B9B0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EB6F82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CBA5A5F" w14:textId="77777777" w:rsidTr="00FA0EA7">
        <w:trPr>
          <w:cantSplit/>
          <w:trHeight w:val="20"/>
        </w:trPr>
        <w:tc>
          <w:tcPr>
            <w:tcW w:w="4422" w:type="dxa"/>
          </w:tcPr>
          <w:p w14:paraId="65829FF6" w14:textId="77777777" w:rsidR="00FA0EA7" w:rsidRPr="00221FC9" w:rsidRDefault="00FA0EA7" w:rsidP="009374B1">
            <w:pPr>
              <w:pStyle w:val="TableText"/>
              <w:rPr>
                <w:rFonts w:cs="Helvetica"/>
                <w:color w:val="000000"/>
              </w:rPr>
            </w:pPr>
            <w:r w:rsidRPr="00221FC9">
              <w:rPr>
                <w:rFonts w:cs="Helvetica"/>
                <w:color w:val="000000"/>
                <w:szCs w:val="22"/>
              </w:rPr>
              <w:t xml:space="preserve">Before consenting to treatment, tāngata </w:t>
            </w:r>
            <w:proofErr w:type="spellStart"/>
            <w:r w:rsidRPr="00221FC9">
              <w:rPr>
                <w:rFonts w:cs="Helvetica"/>
                <w:color w:val="000000"/>
                <w:szCs w:val="22"/>
              </w:rPr>
              <w:t>whai</w:t>
            </w:r>
            <w:proofErr w:type="spellEnd"/>
            <w:r w:rsidRPr="00221FC9">
              <w:rPr>
                <w:rFonts w:cs="Helvetica"/>
                <w:color w:val="000000"/>
                <w:szCs w:val="22"/>
              </w:rPr>
              <w:t xml:space="preserve"> ora are informed of and provided with written information on:</w:t>
            </w:r>
          </w:p>
          <w:p w14:paraId="5F3F9481" w14:textId="77777777" w:rsidR="00FA0EA7" w:rsidRPr="00FA0EA7" w:rsidRDefault="00FA0EA7" w:rsidP="00FA0EA7">
            <w:pPr>
              <w:pStyle w:val="TableBullet"/>
            </w:pPr>
            <w:r w:rsidRPr="00FA0EA7">
              <w:t>their rights and responsibilities and the process for making complaints</w:t>
            </w:r>
          </w:p>
          <w:p w14:paraId="25310789" w14:textId="77777777" w:rsidR="00FA0EA7" w:rsidRPr="00FA0EA7" w:rsidRDefault="00FA0EA7" w:rsidP="00FA0EA7">
            <w:pPr>
              <w:pStyle w:val="TableBullet"/>
            </w:pPr>
            <w:r w:rsidRPr="00FA0EA7">
              <w:t>the benefits, side effects and limitations of opioid substitution medication</w:t>
            </w:r>
          </w:p>
          <w:p w14:paraId="64FAD11C" w14:textId="77777777" w:rsidR="00FA0EA7" w:rsidRPr="00FA0EA7" w:rsidRDefault="00FA0EA7" w:rsidP="00FA0EA7">
            <w:pPr>
              <w:pStyle w:val="TableBullet"/>
            </w:pPr>
            <w:r w:rsidRPr="00FA0EA7">
              <w:t>the potential effect of opioid substitution medication on activities such as driving and operating machinery</w:t>
            </w:r>
          </w:p>
          <w:p w14:paraId="0534FDCF" w14:textId="77777777" w:rsidR="00FA0EA7" w:rsidRPr="00FA0EA7" w:rsidRDefault="00FA0EA7" w:rsidP="00FA0EA7">
            <w:pPr>
              <w:pStyle w:val="TableBullet"/>
            </w:pPr>
            <w:r w:rsidRPr="00FA0EA7">
              <w:t>the interactive effects of opioid substitution medication with alcohol and other substances</w:t>
            </w:r>
          </w:p>
          <w:p w14:paraId="5CF9B17C" w14:textId="77777777" w:rsidR="00FA0EA7" w:rsidRPr="00FA0EA7" w:rsidRDefault="00FA0EA7" w:rsidP="00FA0EA7">
            <w:pPr>
              <w:pStyle w:val="TableBullet"/>
            </w:pPr>
            <w:r w:rsidRPr="00FA0EA7">
              <w:t>the possible need for an electrocardiogram before commencing or during OST (if on methadone) to establish QTc interval</w:t>
            </w:r>
          </w:p>
          <w:p w14:paraId="721AC03B" w14:textId="77777777" w:rsidR="00FA0EA7" w:rsidRPr="00FA0EA7" w:rsidRDefault="00FA0EA7" w:rsidP="00FA0EA7">
            <w:pPr>
              <w:pStyle w:val="TableBullet"/>
            </w:pPr>
            <w:r w:rsidRPr="00FA0EA7">
              <w:t>the process of making complaints</w:t>
            </w:r>
          </w:p>
          <w:p w14:paraId="074D7DA4" w14:textId="77777777" w:rsidR="00FA0EA7" w:rsidRPr="00FA0EA7" w:rsidRDefault="00FA0EA7" w:rsidP="00FA0EA7">
            <w:pPr>
              <w:pStyle w:val="TableBullet"/>
            </w:pPr>
            <w:r w:rsidRPr="00FA0EA7">
              <w:t>limits of confidentiality under the Health Information Privacy Code 1994</w:t>
            </w:r>
          </w:p>
          <w:p w14:paraId="42D9A6C3" w14:textId="77777777" w:rsidR="00FA0EA7" w:rsidRPr="00221FC9" w:rsidRDefault="00FA0EA7" w:rsidP="00FA0EA7">
            <w:pPr>
              <w:pStyle w:val="TableBullet"/>
              <w:rPr>
                <w:rFonts w:eastAsia="PMingLiU"/>
              </w:rPr>
            </w:pPr>
            <w:r w:rsidRPr="00FA0EA7">
              <w:t>the availability of consumer advocacy and peer support services.</w:t>
            </w:r>
          </w:p>
        </w:tc>
        <w:tc>
          <w:tcPr>
            <w:tcW w:w="2268" w:type="dxa"/>
          </w:tcPr>
          <w:p w14:paraId="32DF6ACC" w14:textId="77777777" w:rsidR="00FA0EA7" w:rsidRPr="00221FC9" w:rsidRDefault="00FA0EA7" w:rsidP="009374B1">
            <w:pPr>
              <w:pStyle w:val="TableText"/>
              <w:keepNext/>
            </w:pPr>
            <w:r w:rsidRPr="00221FC9">
              <w:rPr>
                <w:sz w:val="16"/>
                <w:szCs w:val="16"/>
              </w:rPr>
              <w:t>Count as 8 indicators</w:t>
            </w:r>
          </w:p>
        </w:tc>
        <w:tc>
          <w:tcPr>
            <w:tcW w:w="1275" w:type="dxa"/>
          </w:tcPr>
          <w:p w14:paraId="4010D36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08BC2B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42D310A" w14:textId="77777777" w:rsidTr="00FA0EA7">
        <w:trPr>
          <w:cantSplit/>
          <w:trHeight w:val="20"/>
        </w:trPr>
        <w:tc>
          <w:tcPr>
            <w:tcW w:w="4422" w:type="dxa"/>
          </w:tcPr>
          <w:p w14:paraId="4429D191" w14:textId="77777777" w:rsidR="00FA0EA7" w:rsidRPr="00221FC9" w:rsidRDefault="00FA0EA7" w:rsidP="009374B1">
            <w:pPr>
              <w:pStyle w:val="TableText"/>
              <w:rPr>
                <w:rFonts w:eastAsia="PMingLiU"/>
              </w:rPr>
            </w:pPr>
            <w:r w:rsidRPr="00221FC9">
              <w:rPr>
                <w:rFonts w:cs="Helvetica"/>
                <w:color w:val="000000"/>
                <w:szCs w:val="22"/>
              </w:rPr>
              <w:lastRenderedPageBreak/>
              <w:t xml:space="preserve">Informed consent is </w:t>
            </w:r>
            <w:r w:rsidRPr="00221FC9">
              <w:t>reviewed and updated on a regular basis, including when changing OST medication</w:t>
            </w:r>
            <w:r w:rsidRPr="00221FC9">
              <w:rPr>
                <w:rFonts w:cs="Helvetica"/>
                <w:color w:val="000000"/>
                <w:szCs w:val="22"/>
              </w:rPr>
              <w:t xml:space="preserve"> and reflected throughout treatment, </w:t>
            </w:r>
            <w:proofErr w:type="spellStart"/>
            <w:r w:rsidRPr="00221FC9">
              <w:rPr>
                <w:rFonts w:cs="Helvetica"/>
                <w:color w:val="000000"/>
                <w:szCs w:val="22"/>
              </w:rPr>
              <w:t>ie</w:t>
            </w:r>
            <w:proofErr w:type="spellEnd"/>
            <w:r w:rsidRPr="00221FC9">
              <w:rPr>
                <w:rFonts w:cs="Helvetica"/>
                <w:color w:val="000000"/>
                <w:szCs w:val="22"/>
              </w:rPr>
              <w:t xml:space="preserve">, there is evidence that tāngata </w:t>
            </w:r>
            <w:proofErr w:type="spellStart"/>
            <w:r w:rsidRPr="00221FC9">
              <w:rPr>
                <w:rFonts w:cs="Helvetica"/>
                <w:color w:val="000000"/>
                <w:szCs w:val="22"/>
              </w:rPr>
              <w:t>whai</w:t>
            </w:r>
            <w:proofErr w:type="spellEnd"/>
            <w:r w:rsidRPr="00221FC9">
              <w:rPr>
                <w:rFonts w:cs="Helvetica"/>
                <w:color w:val="000000"/>
                <w:szCs w:val="22"/>
              </w:rPr>
              <w:t xml:space="preserve"> ora have been fully informed of any changes in service delivery and any proposed changes to their treatment plans.</w:t>
            </w:r>
          </w:p>
        </w:tc>
        <w:tc>
          <w:tcPr>
            <w:tcW w:w="2268" w:type="dxa"/>
          </w:tcPr>
          <w:p w14:paraId="1359869D"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C8DEDD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BE9D21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293E5AC" w14:textId="77777777" w:rsidTr="00FA0EA7">
        <w:trPr>
          <w:cantSplit/>
          <w:trHeight w:val="20"/>
        </w:trPr>
        <w:tc>
          <w:tcPr>
            <w:tcW w:w="4422" w:type="dxa"/>
            <w:shd w:val="clear" w:color="auto" w:fill="F2F2F2"/>
          </w:tcPr>
          <w:p w14:paraId="04BF3C6E" w14:textId="77777777" w:rsidR="00FA0EA7" w:rsidRPr="00221FC9" w:rsidRDefault="00FA0EA7" w:rsidP="009374B1">
            <w:pPr>
              <w:pStyle w:val="TableText"/>
              <w:rPr>
                <w:rFonts w:eastAsia="PMingLiU"/>
                <w:b/>
              </w:rPr>
            </w:pPr>
            <w:r w:rsidRPr="00221FC9">
              <w:rPr>
                <w:rFonts w:cs="Helvetica"/>
                <w:b/>
                <w:color w:val="141413"/>
                <w:szCs w:val="26"/>
              </w:rPr>
              <w:t>2.13</w:t>
            </w:r>
            <w:r w:rsidRPr="00221FC9">
              <w:rPr>
                <w:rFonts w:cs="Helvetica"/>
                <w:b/>
                <w:color w:val="141413"/>
                <w:szCs w:val="26"/>
              </w:rPr>
              <w:tab/>
              <w:t>Choice of OST medication</w:t>
            </w:r>
          </w:p>
        </w:tc>
        <w:tc>
          <w:tcPr>
            <w:tcW w:w="2268" w:type="dxa"/>
            <w:shd w:val="clear" w:color="auto" w:fill="F2F2F2"/>
          </w:tcPr>
          <w:p w14:paraId="377DFBBD" w14:textId="77777777" w:rsidR="00FA0EA7" w:rsidRPr="00221FC9" w:rsidRDefault="00FA0EA7" w:rsidP="009374B1">
            <w:pPr>
              <w:pStyle w:val="TableText"/>
              <w:rPr>
                <w:rFonts w:eastAsia="PMingLiU"/>
                <w:b/>
              </w:rPr>
            </w:pPr>
          </w:p>
        </w:tc>
        <w:tc>
          <w:tcPr>
            <w:tcW w:w="1275" w:type="dxa"/>
            <w:shd w:val="clear" w:color="auto" w:fill="F2F2F2"/>
          </w:tcPr>
          <w:p w14:paraId="772F48D7" w14:textId="77777777" w:rsidR="00FA0EA7" w:rsidRPr="00221FC9" w:rsidRDefault="00FA0EA7" w:rsidP="009374B1">
            <w:pPr>
              <w:pStyle w:val="TableText"/>
              <w:jc w:val="center"/>
              <w:rPr>
                <w:rFonts w:eastAsia="PMingLiU"/>
                <w:b/>
              </w:rPr>
            </w:pPr>
          </w:p>
        </w:tc>
        <w:tc>
          <w:tcPr>
            <w:tcW w:w="851" w:type="dxa"/>
            <w:shd w:val="clear" w:color="auto" w:fill="F2F2F2"/>
          </w:tcPr>
          <w:p w14:paraId="6C0A4F5F" w14:textId="77777777" w:rsidR="00FA0EA7" w:rsidRPr="00221FC9" w:rsidRDefault="00FA0EA7" w:rsidP="009374B1">
            <w:pPr>
              <w:pStyle w:val="TableText"/>
              <w:jc w:val="center"/>
              <w:rPr>
                <w:rFonts w:eastAsia="PMingLiU"/>
                <w:b/>
              </w:rPr>
            </w:pPr>
          </w:p>
        </w:tc>
      </w:tr>
      <w:tr w:rsidR="00FA0EA7" w:rsidRPr="00221FC9" w14:paraId="4AD71754" w14:textId="77777777" w:rsidTr="00FA0EA7">
        <w:trPr>
          <w:cantSplit/>
          <w:trHeight w:val="20"/>
        </w:trPr>
        <w:tc>
          <w:tcPr>
            <w:tcW w:w="4422" w:type="dxa"/>
          </w:tcPr>
          <w:p w14:paraId="5EDEE28E" w14:textId="77777777" w:rsidR="00FA0EA7" w:rsidRPr="00221FC9" w:rsidRDefault="00FA0EA7" w:rsidP="009374B1">
            <w:pPr>
              <w:pStyle w:val="TableText"/>
              <w:rPr>
                <w:rFonts w:eastAsia="PMingLiU"/>
              </w:rPr>
            </w:pPr>
            <w:r w:rsidRPr="00221FC9">
              <w:rPr>
                <w:rFonts w:cs="Helvetica"/>
                <w:color w:val="000000"/>
                <w:szCs w:val="22"/>
              </w:rPr>
              <w:t xml:space="preserve">Tāngata </w:t>
            </w:r>
            <w:proofErr w:type="spellStart"/>
            <w:r w:rsidRPr="00221FC9">
              <w:rPr>
                <w:rFonts w:cs="Helvetica"/>
                <w:color w:val="000000"/>
                <w:szCs w:val="22"/>
              </w:rPr>
              <w:t>whai</w:t>
            </w:r>
            <w:proofErr w:type="spellEnd"/>
            <w:r w:rsidRPr="00221FC9">
              <w:rPr>
                <w:rFonts w:cs="Helvetica"/>
                <w:color w:val="000000"/>
                <w:szCs w:val="22"/>
              </w:rPr>
              <w:t xml:space="preserve"> ora are provided with information on the OST medications available and their choice is guided by their preference and goals.</w:t>
            </w:r>
          </w:p>
        </w:tc>
        <w:tc>
          <w:tcPr>
            <w:tcW w:w="2268" w:type="dxa"/>
          </w:tcPr>
          <w:p w14:paraId="27A65115"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28150E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60938DC"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79AFBA12" w14:textId="77777777" w:rsidTr="00FA0EA7">
        <w:trPr>
          <w:cantSplit/>
          <w:trHeight w:val="20"/>
        </w:trPr>
        <w:tc>
          <w:tcPr>
            <w:tcW w:w="4422" w:type="dxa"/>
          </w:tcPr>
          <w:p w14:paraId="38A6CF54" w14:textId="2F84DCD8" w:rsidR="00AE32F4" w:rsidRPr="00221FC9" w:rsidRDefault="00AE32F4" w:rsidP="00AE32F4">
            <w:pPr>
              <w:pStyle w:val="TableText"/>
              <w:rPr>
                <w:rFonts w:cs="Helvetica"/>
                <w:color w:val="000000"/>
                <w:szCs w:val="22"/>
              </w:rPr>
            </w:pPr>
            <w:r w:rsidRPr="00221FC9">
              <w:rPr>
                <w:rFonts w:cs="Helvetica"/>
                <w:color w:val="000000"/>
                <w:szCs w:val="22"/>
              </w:rPr>
              <w:t>2.13.1 Long-acting injectable buprenorphine</w:t>
            </w:r>
          </w:p>
          <w:p w14:paraId="726C8CE0" w14:textId="36D1F0FC" w:rsidR="00AE32F4" w:rsidRPr="00221FC9" w:rsidRDefault="00AE32F4" w:rsidP="00AE32F4">
            <w:pPr>
              <w:pStyle w:val="TableText"/>
              <w:rPr>
                <w:rFonts w:cs="Helvetica"/>
                <w:color w:val="000000"/>
                <w:szCs w:val="22"/>
              </w:rPr>
            </w:pPr>
            <w:r w:rsidRPr="00221FC9">
              <w:t>OST services should have policies and procedures in place for the use of LAIB if it is prescribed</w:t>
            </w:r>
            <w:r w:rsidR="00411191">
              <w:t>.</w:t>
            </w:r>
          </w:p>
        </w:tc>
        <w:tc>
          <w:tcPr>
            <w:tcW w:w="2268" w:type="dxa"/>
          </w:tcPr>
          <w:p w14:paraId="49655287" w14:textId="51D14A1E"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F1BE746" w14:textId="65153783"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C844749" w14:textId="79FF9BE4"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50634C7A" w14:textId="77777777" w:rsidR="00FA0EA7" w:rsidRPr="00221FC9" w:rsidRDefault="00FA0EA7" w:rsidP="00FA0EA7">
      <w:pPr>
        <w:pStyle w:val="Heading4"/>
      </w:pPr>
      <w:bookmarkStart w:id="49" w:name="_Toc180687221"/>
      <w:bookmarkStart w:id="50" w:name="_Toc180767058"/>
      <w:bookmarkStart w:id="51" w:name="_Toc403048456"/>
      <w:bookmarkEnd w:id="48"/>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014"/>
        <w:gridCol w:w="2409"/>
        <w:gridCol w:w="2127"/>
        <w:gridCol w:w="2268"/>
      </w:tblGrid>
      <w:tr w:rsidR="00FA0EA7" w:rsidRPr="00221FC9" w14:paraId="38B437B6" w14:textId="77777777" w:rsidTr="00AE32F4">
        <w:trPr>
          <w:cantSplit/>
        </w:trPr>
        <w:tc>
          <w:tcPr>
            <w:tcW w:w="8818" w:type="dxa"/>
            <w:gridSpan w:val="4"/>
            <w:shd w:val="clear" w:color="auto" w:fill="FFFF99"/>
          </w:tcPr>
          <w:p w14:paraId="0C79D384" w14:textId="77777777" w:rsidR="00FA0EA7" w:rsidRPr="00221FC9" w:rsidRDefault="00FA0EA7" w:rsidP="009374B1">
            <w:pPr>
              <w:pStyle w:val="TableText"/>
              <w:spacing w:after="0"/>
              <w:rPr>
                <w:b/>
              </w:rPr>
            </w:pPr>
            <w:r w:rsidRPr="00221FC9">
              <w:rPr>
                <w:b/>
              </w:rPr>
              <w:t>Indicators (out of 21):</w:t>
            </w:r>
          </w:p>
        </w:tc>
      </w:tr>
      <w:tr w:rsidR="00FA0EA7" w:rsidRPr="00221FC9" w14:paraId="39E54029" w14:textId="77777777" w:rsidTr="00AE32F4">
        <w:trPr>
          <w:cantSplit/>
        </w:trPr>
        <w:tc>
          <w:tcPr>
            <w:tcW w:w="2014" w:type="dxa"/>
            <w:shd w:val="clear" w:color="auto" w:fill="FFFF99"/>
          </w:tcPr>
          <w:p w14:paraId="74CA02E7"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409" w:type="dxa"/>
            <w:shd w:val="clear" w:color="auto" w:fill="FFFF99"/>
          </w:tcPr>
          <w:p w14:paraId="04DE4431"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127" w:type="dxa"/>
            <w:shd w:val="clear" w:color="auto" w:fill="FFFF99"/>
          </w:tcPr>
          <w:p w14:paraId="5DEAD168"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268" w:type="dxa"/>
            <w:shd w:val="clear" w:color="auto" w:fill="FFFF99"/>
          </w:tcPr>
          <w:p w14:paraId="1470792C"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385B9FF6"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18"/>
      </w:tblGrid>
      <w:tr w:rsidR="00FA0EA7" w:rsidRPr="00221FC9" w14:paraId="60AA0B8E" w14:textId="77777777" w:rsidTr="00AE32F4">
        <w:trPr>
          <w:cantSplit/>
          <w:trHeight w:val="1134"/>
        </w:trPr>
        <w:tc>
          <w:tcPr>
            <w:tcW w:w="8818" w:type="dxa"/>
            <w:shd w:val="clear" w:color="auto" w:fill="FFFF99"/>
          </w:tcPr>
          <w:p w14:paraId="2E146D18"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67D20233" w14:textId="77777777" w:rsidR="00C34511" w:rsidRDefault="00C34511" w:rsidP="00C34511">
      <w:pPr>
        <w:pStyle w:val="Heading3"/>
        <w:spacing w:before="0"/>
        <w:rPr>
          <w:rFonts w:eastAsia="PMingLiU"/>
        </w:rPr>
        <w:sectPr w:rsidR="00C34511" w:rsidSect="00150ECE">
          <w:footerReference w:type="even" r:id="rId12"/>
          <w:footerReference w:type="default" r:id="rId13"/>
          <w:pgSz w:w="11907" w:h="16834" w:code="9"/>
          <w:pgMar w:top="1418" w:right="1701" w:bottom="1134" w:left="1843" w:header="284" w:footer="425" w:gutter="284"/>
          <w:cols w:space="720"/>
        </w:sectPr>
      </w:pPr>
    </w:p>
    <w:p w14:paraId="30913327" w14:textId="77777777" w:rsidR="00FA0EA7" w:rsidRPr="00221FC9" w:rsidRDefault="00FA0EA7" w:rsidP="00C34511">
      <w:pPr>
        <w:pStyle w:val="Heading3"/>
        <w:spacing w:before="0"/>
        <w:rPr>
          <w:rFonts w:eastAsia="PMingLiU"/>
        </w:rPr>
      </w:pPr>
      <w:r w:rsidRPr="00221FC9">
        <w:rPr>
          <w:rFonts w:eastAsia="PMingLiU"/>
        </w:rPr>
        <w:lastRenderedPageBreak/>
        <w:t>3</w:t>
      </w:r>
      <w:r w:rsidRPr="00221FC9">
        <w:rPr>
          <w:rFonts w:eastAsia="PMingLiU"/>
        </w:rPr>
        <w:tab/>
        <w:t xml:space="preserve">Stages of </w:t>
      </w:r>
      <w:bookmarkEnd w:id="49"/>
      <w:bookmarkEnd w:id="50"/>
      <w:r w:rsidRPr="00221FC9">
        <w:rPr>
          <w:rFonts w:eastAsia="PMingLiU"/>
        </w:rPr>
        <w:t>treatment</w:t>
      </w:r>
      <w:bookmarkEnd w:id="51"/>
    </w:p>
    <w:tbl>
      <w:tblPr>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3"/>
        <w:gridCol w:w="2268"/>
        <w:gridCol w:w="1276"/>
        <w:gridCol w:w="851"/>
      </w:tblGrid>
      <w:tr w:rsidR="00FA0EA7" w:rsidRPr="00221FC9" w14:paraId="76951881" w14:textId="77777777" w:rsidTr="00AE32F4">
        <w:trPr>
          <w:cantSplit/>
          <w:trHeight w:val="20"/>
          <w:tblHeader/>
        </w:trPr>
        <w:tc>
          <w:tcPr>
            <w:tcW w:w="4423" w:type="dxa"/>
            <w:shd w:val="clear" w:color="auto" w:fill="D9D9D9" w:themeFill="background1" w:themeFillShade="D9"/>
          </w:tcPr>
          <w:p w14:paraId="4D642D78" w14:textId="77777777" w:rsidR="00FA0EA7" w:rsidRPr="00221FC9" w:rsidRDefault="00FA0EA7" w:rsidP="009374B1">
            <w:pPr>
              <w:pStyle w:val="TableText"/>
              <w:keepNext/>
              <w:rPr>
                <w:rFonts w:eastAsia="PMingLiU"/>
                <w:b/>
              </w:rPr>
            </w:pPr>
            <w:r w:rsidRPr="00221FC9">
              <w:rPr>
                <w:rFonts w:eastAsia="PMingLiU"/>
                <w:b/>
              </w:rPr>
              <w:t>Indicators</w:t>
            </w:r>
          </w:p>
        </w:tc>
        <w:tc>
          <w:tcPr>
            <w:tcW w:w="2268" w:type="dxa"/>
            <w:shd w:val="clear" w:color="auto" w:fill="D9D9D9" w:themeFill="background1" w:themeFillShade="D9"/>
          </w:tcPr>
          <w:p w14:paraId="17312751" w14:textId="69838B0E" w:rsidR="00FA0EA7" w:rsidRPr="00221FC9" w:rsidRDefault="00C11D97" w:rsidP="009374B1">
            <w:pPr>
              <w:pStyle w:val="TableText"/>
              <w:keepNext/>
              <w:rPr>
                <w:rFonts w:eastAsia="PMingLiU"/>
                <w:b/>
              </w:rPr>
            </w:pPr>
            <w:r>
              <w:rPr>
                <w:rFonts w:eastAsia="PMingLiU"/>
                <w:b/>
              </w:rPr>
              <w:t>Data source/</w:t>
            </w:r>
            <w:r w:rsidR="00FA0EA7" w:rsidRPr="00221FC9">
              <w:rPr>
                <w:rFonts w:eastAsia="PMingLiU"/>
                <w:b/>
              </w:rPr>
              <w:t>Evidence</w:t>
            </w:r>
          </w:p>
        </w:tc>
        <w:tc>
          <w:tcPr>
            <w:tcW w:w="1276" w:type="dxa"/>
            <w:shd w:val="clear" w:color="auto" w:fill="D9D9D9" w:themeFill="background1" w:themeFillShade="D9"/>
          </w:tcPr>
          <w:p w14:paraId="53BE1648" w14:textId="77777777" w:rsidR="00FA0EA7" w:rsidRPr="00221FC9" w:rsidRDefault="00FA0EA7" w:rsidP="009374B1">
            <w:pPr>
              <w:pStyle w:val="TableText"/>
              <w:keepNext/>
              <w:jc w:val="center"/>
              <w:rPr>
                <w:rFonts w:eastAsia="PMingLiU"/>
                <w:b/>
              </w:rPr>
            </w:pPr>
            <w:r w:rsidRPr="00221FC9">
              <w:rPr>
                <w:rFonts w:eastAsia="PMingLiU"/>
                <w:b/>
              </w:rPr>
              <w:t>Attainment</w:t>
            </w:r>
          </w:p>
        </w:tc>
        <w:tc>
          <w:tcPr>
            <w:tcW w:w="851" w:type="dxa"/>
            <w:shd w:val="clear" w:color="auto" w:fill="D9D9D9" w:themeFill="background1" w:themeFillShade="D9"/>
          </w:tcPr>
          <w:p w14:paraId="3E69A96A" w14:textId="77777777" w:rsidR="00FA0EA7" w:rsidRPr="00221FC9" w:rsidRDefault="00FA0EA7" w:rsidP="009374B1">
            <w:pPr>
              <w:pStyle w:val="TableText"/>
              <w:keepNext/>
              <w:jc w:val="center"/>
              <w:rPr>
                <w:rFonts w:eastAsia="PMingLiU"/>
                <w:b/>
              </w:rPr>
            </w:pPr>
            <w:r w:rsidRPr="00221FC9">
              <w:rPr>
                <w:rFonts w:eastAsia="PMingLiU"/>
                <w:b/>
              </w:rPr>
              <w:t>Risk</w:t>
            </w:r>
          </w:p>
        </w:tc>
      </w:tr>
      <w:tr w:rsidR="00FA0EA7" w:rsidRPr="00221FC9" w14:paraId="0E445971" w14:textId="77777777" w:rsidTr="00AE32F4">
        <w:trPr>
          <w:cantSplit/>
          <w:trHeight w:val="20"/>
        </w:trPr>
        <w:tc>
          <w:tcPr>
            <w:tcW w:w="4423" w:type="dxa"/>
            <w:shd w:val="clear" w:color="auto" w:fill="F3F3F3"/>
          </w:tcPr>
          <w:p w14:paraId="50D9F443" w14:textId="77777777" w:rsidR="00FA0EA7" w:rsidRPr="00221FC9" w:rsidRDefault="00FA0EA7" w:rsidP="009374B1">
            <w:pPr>
              <w:pStyle w:val="TableText"/>
              <w:keepNext/>
              <w:rPr>
                <w:rFonts w:cs="Helvetica"/>
                <w:b/>
                <w:color w:val="141413"/>
                <w:szCs w:val="26"/>
              </w:rPr>
            </w:pPr>
            <w:r w:rsidRPr="00221FC9">
              <w:rPr>
                <w:rFonts w:cs="Helvetica"/>
                <w:b/>
                <w:color w:val="141413"/>
                <w:szCs w:val="26"/>
              </w:rPr>
              <w:t>3.1</w:t>
            </w:r>
            <w:r w:rsidRPr="00221FC9">
              <w:rPr>
                <w:rFonts w:cs="Helvetica"/>
                <w:b/>
                <w:color w:val="141413"/>
                <w:szCs w:val="26"/>
              </w:rPr>
              <w:tab/>
              <w:t>Induction</w:t>
            </w:r>
          </w:p>
        </w:tc>
        <w:tc>
          <w:tcPr>
            <w:tcW w:w="2268" w:type="dxa"/>
            <w:shd w:val="clear" w:color="auto" w:fill="F3F3F3"/>
          </w:tcPr>
          <w:p w14:paraId="547CA1A7" w14:textId="77777777" w:rsidR="00FA0EA7" w:rsidRPr="00221FC9" w:rsidRDefault="00FA0EA7" w:rsidP="009374B1">
            <w:pPr>
              <w:pStyle w:val="TableText"/>
              <w:keepNext/>
              <w:rPr>
                <w:rFonts w:eastAsia="PMingLiU"/>
              </w:rPr>
            </w:pPr>
          </w:p>
        </w:tc>
        <w:tc>
          <w:tcPr>
            <w:tcW w:w="1276" w:type="dxa"/>
            <w:shd w:val="clear" w:color="auto" w:fill="F3F3F3"/>
          </w:tcPr>
          <w:p w14:paraId="4C527269" w14:textId="77777777" w:rsidR="00FA0EA7" w:rsidRPr="00221FC9" w:rsidRDefault="00FA0EA7" w:rsidP="009374B1">
            <w:pPr>
              <w:pStyle w:val="TableText"/>
              <w:keepNext/>
              <w:jc w:val="center"/>
              <w:rPr>
                <w:rFonts w:eastAsia="PMingLiU"/>
              </w:rPr>
            </w:pPr>
          </w:p>
        </w:tc>
        <w:tc>
          <w:tcPr>
            <w:tcW w:w="851" w:type="dxa"/>
            <w:shd w:val="clear" w:color="auto" w:fill="F3F3F3"/>
          </w:tcPr>
          <w:p w14:paraId="11FC11D2" w14:textId="77777777" w:rsidR="00FA0EA7" w:rsidRPr="00221FC9" w:rsidRDefault="00FA0EA7" w:rsidP="009374B1">
            <w:pPr>
              <w:pStyle w:val="TableText"/>
              <w:keepNext/>
              <w:jc w:val="center"/>
              <w:rPr>
                <w:rFonts w:eastAsia="PMingLiU"/>
              </w:rPr>
            </w:pPr>
          </w:p>
        </w:tc>
      </w:tr>
      <w:tr w:rsidR="00FA0EA7" w:rsidRPr="00221FC9" w14:paraId="45322058" w14:textId="77777777" w:rsidTr="00AE32F4">
        <w:trPr>
          <w:cantSplit/>
          <w:trHeight w:val="20"/>
        </w:trPr>
        <w:tc>
          <w:tcPr>
            <w:tcW w:w="4423" w:type="dxa"/>
          </w:tcPr>
          <w:p w14:paraId="6F2807B5" w14:textId="77777777" w:rsidR="00FA0EA7" w:rsidRPr="00221FC9" w:rsidRDefault="00FA0EA7" w:rsidP="009374B1">
            <w:pPr>
              <w:pStyle w:val="TableText"/>
              <w:keepNext/>
              <w:rPr>
                <w:color w:val="141413"/>
                <w:szCs w:val="26"/>
              </w:rPr>
            </w:pPr>
            <w:r w:rsidRPr="00221FC9">
              <w:rPr>
                <w:color w:val="000000"/>
                <w:szCs w:val="22"/>
              </w:rPr>
              <w:t xml:space="preserve">Tāngata </w:t>
            </w:r>
            <w:proofErr w:type="spellStart"/>
            <w:r w:rsidRPr="00221FC9">
              <w:rPr>
                <w:color w:val="000000"/>
                <w:szCs w:val="22"/>
              </w:rPr>
              <w:t>whai</w:t>
            </w:r>
            <w:proofErr w:type="spellEnd"/>
            <w:r w:rsidRPr="00221FC9">
              <w:rPr>
                <w:color w:val="000000"/>
                <w:szCs w:val="22"/>
              </w:rPr>
              <w:t xml:space="preserve"> ora are informed about how long they will wait for OST and are </w:t>
            </w:r>
            <w:r w:rsidRPr="00221FC9">
              <w:rPr>
                <w:szCs w:val="22"/>
              </w:rPr>
              <w:t>offered interim methadone or buprenorphine and psychosocial support. This question only applies when a service is providing interim prescribing.</w:t>
            </w:r>
          </w:p>
        </w:tc>
        <w:tc>
          <w:tcPr>
            <w:tcW w:w="2268" w:type="dxa"/>
          </w:tcPr>
          <w:p w14:paraId="6DBCABC7"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7A16E96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C04F4D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1B63D31" w14:textId="77777777" w:rsidTr="00AE32F4">
        <w:trPr>
          <w:cantSplit/>
          <w:trHeight w:val="20"/>
        </w:trPr>
        <w:tc>
          <w:tcPr>
            <w:tcW w:w="4423" w:type="dxa"/>
          </w:tcPr>
          <w:p w14:paraId="2F0F9EF2" w14:textId="77777777" w:rsidR="00FA0EA7" w:rsidRPr="00221FC9" w:rsidRDefault="00FA0EA7" w:rsidP="009374B1">
            <w:pPr>
              <w:pStyle w:val="TableText"/>
              <w:keepNext/>
            </w:pPr>
            <w:r w:rsidRPr="00221FC9">
              <w:rPr>
                <w:szCs w:val="22"/>
              </w:rPr>
              <w:t xml:space="preserve">Prescribing and monitoring is consistent with the </w:t>
            </w:r>
            <w:r w:rsidRPr="00221FC9">
              <w:rPr>
                <w:i/>
                <w:szCs w:val="22"/>
              </w:rPr>
              <w:t>OST Guidelines</w:t>
            </w:r>
            <w:r w:rsidRPr="00221FC9">
              <w:rPr>
                <w:szCs w:val="22"/>
              </w:rPr>
              <w:t xml:space="preserve"> sections 3.1.1 and 3.1.2, or a clear rationale is documented where practice is not consistent with the </w:t>
            </w:r>
            <w:r w:rsidRPr="00221FC9">
              <w:rPr>
                <w:i/>
                <w:szCs w:val="22"/>
              </w:rPr>
              <w:t>OST Guidelines</w:t>
            </w:r>
            <w:r w:rsidRPr="00221FC9">
              <w:rPr>
                <w:szCs w:val="22"/>
              </w:rPr>
              <w:t>.</w:t>
            </w:r>
          </w:p>
        </w:tc>
        <w:tc>
          <w:tcPr>
            <w:tcW w:w="2268" w:type="dxa"/>
          </w:tcPr>
          <w:p w14:paraId="05516EA1"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200DB94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988D73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44035AF" w14:textId="77777777" w:rsidTr="00AE32F4">
        <w:trPr>
          <w:cantSplit/>
          <w:trHeight w:val="20"/>
        </w:trPr>
        <w:tc>
          <w:tcPr>
            <w:tcW w:w="4423" w:type="dxa"/>
            <w:shd w:val="clear" w:color="auto" w:fill="F3F3F3"/>
          </w:tcPr>
          <w:p w14:paraId="67564835" w14:textId="77777777" w:rsidR="00FA0EA7" w:rsidRPr="00221FC9" w:rsidRDefault="00FA0EA7" w:rsidP="009374B1">
            <w:pPr>
              <w:pStyle w:val="TableText"/>
              <w:keepNext/>
              <w:rPr>
                <w:b/>
                <w:color w:val="141413"/>
                <w:szCs w:val="26"/>
              </w:rPr>
            </w:pPr>
            <w:r w:rsidRPr="00221FC9">
              <w:rPr>
                <w:b/>
                <w:color w:val="141413"/>
                <w:szCs w:val="26"/>
              </w:rPr>
              <w:t>3.2</w:t>
            </w:r>
            <w:r w:rsidRPr="00221FC9">
              <w:rPr>
                <w:b/>
                <w:color w:val="141413"/>
                <w:szCs w:val="26"/>
              </w:rPr>
              <w:tab/>
              <w:t>Stabilisation</w:t>
            </w:r>
          </w:p>
        </w:tc>
        <w:tc>
          <w:tcPr>
            <w:tcW w:w="2268" w:type="dxa"/>
            <w:shd w:val="clear" w:color="auto" w:fill="F3F3F3"/>
          </w:tcPr>
          <w:p w14:paraId="741CF710" w14:textId="77777777" w:rsidR="00FA0EA7" w:rsidRPr="00221FC9" w:rsidRDefault="00FA0EA7" w:rsidP="009374B1">
            <w:pPr>
              <w:pStyle w:val="TableText"/>
              <w:keepNext/>
              <w:rPr>
                <w:color w:val="141413"/>
                <w:szCs w:val="26"/>
              </w:rPr>
            </w:pPr>
          </w:p>
        </w:tc>
        <w:tc>
          <w:tcPr>
            <w:tcW w:w="1276" w:type="dxa"/>
            <w:shd w:val="clear" w:color="auto" w:fill="F3F3F3"/>
          </w:tcPr>
          <w:p w14:paraId="163F0A8A" w14:textId="77777777" w:rsidR="00FA0EA7" w:rsidRPr="00221FC9" w:rsidRDefault="00FA0EA7" w:rsidP="009374B1">
            <w:pPr>
              <w:pStyle w:val="TableText"/>
              <w:keepNext/>
              <w:jc w:val="center"/>
              <w:rPr>
                <w:color w:val="141413"/>
                <w:szCs w:val="26"/>
              </w:rPr>
            </w:pPr>
          </w:p>
        </w:tc>
        <w:tc>
          <w:tcPr>
            <w:tcW w:w="851" w:type="dxa"/>
            <w:shd w:val="clear" w:color="auto" w:fill="F3F3F3"/>
          </w:tcPr>
          <w:p w14:paraId="0B840F00" w14:textId="77777777" w:rsidR="00FA0EA7" w:rsidRPr="00221FC9" w:rsidRDefault="00FA0EA7" w:rsidP="009374B1">
            <w:pPr>
              <w:pStyle w:val="TableText"/>
              <w:keepNext/>
              <w:jc w:val="center"/>
              <w:rPr>
                <w:color w:val="141413"/>
                <w:szCs w:val="26"/>
              </w:rPr>
            </w:pPr>
          </w:p>
        </w:tc>
      </w:tr>
      <w:tr w:rsidR="00FA0EA7" w:rsidRPr="00221FC9" w14:paraId="530719E7" w14:textId="77777777" w:rsidTr="00AE32F4">
        <w:trPr>
          <w:cantSplit/>
          <w:trHeight w:val="20"/>
        </w:trPr>
        <w:tc>
          <w:tcPr>
            <w:tcW w:w="4423" w:type="dxa"/>
          </w:tcPr>
          <w:p w14:paraId="0E586DBE" w14:textId="77777777" w:rsidR="00FA0EA7" w:rsidRPr="00221FC9" w:rsidRDefault="00FA0EA7" w:rsidP="009374B1">
            <w:pPr>
              <w:pStyle w:val="TableText"/>
              <w:keepNext/>
            </w:pPr>
            <w:r w:rsidRPr="00221FC9">
              <w:rPr>
                <w:szCs w:val="22"/>
              </w:rPr>
              <w:t xml:space="preserve">Stabilisation is assessed and regularly reviewed on an individual basis in relation to the tāngata </w:t>
            </w:r>
            <w:proofErr w:type="spellStart"/>
            <w:r w:rsidRPr="00221FC9">
              <w:rPr>
                <w:szCs w:val="22"/>
              </w:rPr>
              <w:t>whai</w:t>
            </w:r>
            <w:proofErr w:type="spellEnd"/>
            <w:r w:rsidRPr="00221FC9">
              <w:rPr>
                <w:szCs w:val="22"/>
              </w:rPr>
              <w:t xml:space="preserve"> ora being on a stable dose without the need for dose review and working toward short-term goals and treatment priorities.</w:t>
            </w:r>
          </w:p>
        </w:tc>
        <w:tc>
          <w:tcPr>
            <w:tcW w:w="2268" w:type="dxa"/>
          </w:tcPr>
          <w:p w14:paraId="7176CC77"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758EE52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5F9964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71B782F" w14:textId="77777777" w:rsidTr="00AE32F4">
        <w:trPr>
          <w:cantSplit/>
          <w:trHeight w:val="20"/>
        </w:trPr>
        <w:tc>
          <w:tcPr>
            <w:tcW w:w="4423" w:type="dxa"/>
            <w:shd w:val="clear" w:color="auto" w:fill="F3F3F3"/>
          </w:tcPr>
          <w:p w14:paraId="52799346" w14:textId="77777777" w:rsidR="00FA0EA7" w:rsidRPr="00221FC9" w:rsidRDefault="00FA0EA7" w:rsidP="00AE32F4">
            <w:pPr>
              <w:pStyle w:val="TableText"/>
              <w:keepNext/>
              <w:rPr>
                <w:b/>
                <w:color w:val="141413"/>
                <w:szCs w:val="26"/>
              </w:rPr>
            </w:pPr>
            <w:r w:rsidRPr="00221FC9">
              <w:rPr>
                <w:b/>
                <w:color w:val="141413"/>
                <w:szCs w:val="26"/>
              </w:rPr>
              <w:t>3.3</w:t>
            </w:r>
            <w:r w:rsidRPr="00221FC9">
              <w:rPr>
                <w:b/>
                <w:color w:val="141413"/>
                <w:szCs w:val="26"/>
              </w:rPr>
              <w:tab/>
              <w:t>Ongoing OST</w:t>
            </w:r>
          </w:p>
        </w:tc>
        <w:tc>
          <w:tcPr>
            <w:tcW w:w="2268" w:type="dxa"/>
            <w:shd w:val="clear" w:color="auto" w:fill="F3F3F3"/>
          </w:tcPr>
          <w:p w14:paraId="1D13D4E6" w14:textId="77777777" w:rsidR="00FA0EA7" w:rsidRPr="00221FC9" w:rsidRDefault="00FA0EA7" w:rsidP="009374B1">
            <w:pPr>
              <w:pStyle w:val="TableText"/>
              <w:rPr>
                <w:rFonts w:eastAsia="PMingLiU"/>
              </w:rPr>
            </w:pPr>
          </w:p>
        </w:tc>
        <w:tc>
          <w:tcPr>
            <w:tcW w:w="1276" w:type="dxa"/>
            <w:shd w:val="clear" w:color="auto" w:fill="F3F3F3"/>
          </w:tcPr>
          <w:p w14:paraId="1CDB47AF" w14:textId="77777777" w:rsidR="00FA0EA7" w:rsidRPr="00221FC9" w:rsidRDefault="00FA0EA7" w:rsidP="009374B1">
            <w:pPr>
              <w:pStyle w:val="TableText"/>
              <w:jc w:val="center"/>
              <w:rPr>
                <w:rFonts w:eastAsia="PMingLiU"/>
              </w:rPr>
            </w:pPr>
          </w:p>
        </w:tc>
        <w:tc>
          <w:tcPr>
            <w:tcW w:w="851" w:type="dxa"/>
            <w:shd w:val="clear" w:color="auto" w:fill="F3F3F3"/>
          </w:tcPr>
          <w:p w14:paraId="2359CD08" w14:textId="77777777" w:rsidR="00FA0EA7" w:rsidRPr="00221FC9" w:rsidRDefault="00FA0EA7" w:rsidP="009374B1">
            <w:pPr>
              <w:pStyle w:val="TableText"/>
              <w:jc w:val="center"/>
              <w:rPr>
                <w:rFonts w:eastAsia="PMingLiU"/>
              </w:rPr>
            </w:pPr>
          </w:p>
        </w:tc>
      </w:tr>
      <w:tr w:rsidR="00FA0EA7" w:rsidRPr="00221FC9" w14:paraId="1E93BCC4" w14:textId="77777777" w:rsidTr="00AE32F4">
        <w:trPr>
          <w:cantSplit/>
          <w:trHeight w:val="20"/>
        </w:trPr>
        <w:tc>
          <w:tcPr>
            <w:tcW w:w="4423" w:type="dxa"/>
          </w:tcPr>
          <w:p w14:paraId="03DE7978" w14:textId="77777777" w:rsidR="00FA0EA7" w:rsidRPr="00221FC9" w:rsidRDefault="00FA0EA7" w:rsidP="009374B1">
            <w:pPr>
              <w:pStyle w:val="TableText"/>
              <w:rPr>
                <w:color w:val="000000"/>
              </w:rPr>
            </w:pPr>
            <w:r w:rsidRPr="00221FC9">
              <w:rPr>
                <w:color w:val="000000"/>
                <w:szCs w:val="22"/>
              </w:rPr>
              <w:t>Appointments with the key worker occur no less than three monthly.</w:t>
            </w:r>
          </w:p>
        </w:tc>
        <w:tc>
          <w:tcPr>
            <w:tcW w:w="2268" w:type="dxa"/>
          </w:tcPr>
          <w:p w14:paraId="08E6B4A2"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15AC5BA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04412D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1FB8510" w14:textId="77777777" w:rsidTr="00AE32F4">
        <w:trPr>
          <w:cantSplit/>
          <w:trHeight w:val="20"/>
        </w:trPr>
        <w:tc>
          <w:tcPr>
            <w:tcW w:w="4423" w:type="dxa"/>
          </w:tcPr>
          <w:p w14:paraId="24BD6BF1" w14:textId="77777777" w:rsidR="00FA0EA7" w:rsidRPr="00221FC9" w:rsidRDefault="00FA0EA7" w:rsidP="009374B1">
            <w:pPr>
              <w:pStyle w:val="TableText"/>
              <w:rPr>
                <w:color w:val="000000"/>
              </w:rPr>
            </w:pPr>
            <w:r w:rsidRPr="00221FC9">
              <w:rPr>
                <w:color w:val="000000"/>
              </w:rPr>
              <w:t>Transfer to a primary health care provider is in place or being pursued.</w:t>
            </w:r>
          </w:p>
        </w:tc>
        <w:tc>
          <w:tcPr>
            <w:tcW w:w="2268" w:type="dxa"/>
          </w:tcPr>
          <w:p w14:paraId="11E2D3F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45EB902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90578E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BBF3FC9" w14:textId="77777777" w:rsidTr="00AE32F4">
        <w:trPr>
          <w:cantSplit/>
          <w:trHeight w:val="20"/>
        </w:trPr>
        <w:tc>
          <w:tcPr>
            <w:tcW w:w="4423" w:type="dxa"/>
          </w:tcPr>
          <w:p w14:paraId="092CA689" w14:textId="77777777" w:rsidR="00FA0EA7" w:rsidRPr="00221FC9" w:rsidRDefault="00FA0EA7" w:rsidP="009374B1">
            <w:pPr>
              <w:pStyle w:val="TableText"/>
              <w:rPr>
                <w:color w:val="000000"/>
              </w:rPr>
            </w:pPr>
            <w:r w:rsidRPr="00221FC9">
              <w:rPr>
                <w:color w:val="000000"/>
                <w:szCs w:val="22"/>
              </w:rPr>
              <w:t>Therapeutic doses are generally in the range of 60–120 mg methadone or 12–24 mg buprenorphine.</w:t>
            </w:r>
          </w:p>
        </w:tc>
        <w:tc>
          <w:tcPr>
            <w:tcW w:w="2268" w:type="dxa"/>
          </w:tcPr>
          <w:p w14:paraId="10FD829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6887331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5BF021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8E65909" w14:textId="77777777" w:rsidTr="00AE32F4">
        <w:trPr>
          <w:cantSplit/>
          <w:trHeight w:val="20"/>
        </w:trPr>
        <w:tc>
          <w:tcPr>
            <w:tcW w:w="4423" w:type="dxa"/>
          </w:tcPr>
          <w:p w14:paraId="62FED44A" w14:textId="77777777" w:rsidR="00FA0EA7" w:rsidRPr="00221FC9" w:rsidRDefault="00FA0EA7" w:rsidP="009374B1">
            <w:pPr>
              <w:pStyle w:val="TableText"/>
              <w:rPr>
                <w:color w:val="000000"/>
              </w:rPr>
            </w:pPr>
            <w:r w:rsidRPr="00221FC9">
              <w:rPr>
                <w:color w:val="000000"/>
                <w:szCs w:val="22"/>
              </w:rPr>
              <w:t xml:space="preserve">Doses of methadone above 120 mg or buprenorphine above 32 mg are not prescribed before consultation occurs between the prescribing doctor, the tāngata </w:t>
            </w:r>
            <w:proofErr w:type="spellStart"/>
            <w:r w:rsidRPr="00221FC9">
              <w:rPr>
                <w:color w:val="000000"/>
                <w:szCs w:val="22"/>
              </w:rPr>
              <w:t>whai</w:t>
            </w:r>
            <w:proofErr w:type="spellEnd"/>
            <w:r w:rsidRPr="00221FC9">
              <w:rPr>
                <w:color w:val="000000"/>
                <w:szCs w:val="22"/>
              </w:rPr>
              <w:t xml:space="preserve"> ora and the multidisciplinary team. </w:t>
            </w:r>
          </w:p>
        </w:tc>
        <w:tc>
          <w:tcPr>
            <w:tcW w:w="2268" w:type="dxa"/>
          </w:tcPr>
          <w:p w14:paraId="652305A7"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0B9CD1A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A23C26C"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4D6A316" w14:textId="77777777" w:rsidTr="00AE32F4">
        <w:trPr>
          <w:cantSplit/>
          <w:trHeight w:val="20"/>
        </w:trPr>
        <w:tc>
          <w:tcPr>
            <w:tcW w:w="4423" w:type="dxa"/>
            <w:shd w:val="clear" w:color="auto" w:fill="F3F3F3"/>
          </w:tcPr>
          <w:p w14:paraId="67F2AA20" w14:textId="77777777" w:rsidR="00FA0EA7" w:rsidRPr="00221FC9" w:rsidRDefault="00FA0EA7" w:rsidP="009374B1">
            <w:pPr>
              <w:pStyle w:val="TableText"/>
              <w:rPr>
                <w:b/>
                <w:color w:val="141413"/>
                <w:szCs w:val="26"/>
              </w:rPr>
            </w:pPr>
            <w:r w:rsidRPr="00221FC9">
              <w:rPr>
                <w:b/>
                <w:color w:val="141413"/>
                <w:szCs w:val="26"/>
              </w:rPr>
              <w:t xml:space="preserve">3.4 </w:t>
            </w:r>
            <w:r>
              <w:rPr>
                <w:b/>
                <w:color w:val="141413"/>
                <w:szCs w:val="26"/>
              </w:rPr>
              <w:t>and</w:t>
            </w:r>
            <w:r w:rsidRPr="00221FC9">
              <w:rPr>
                <w:b/>
                <w:color w:val="141413"/>
                <w:szCs w:val="26"/>
              </w:rPr>
              <w:t xml:space="preserve"> 3.5</w:t>
            </w:r>
            <w:r w:rsidRPr="00221FC9">
              <w:rPr>
                <w:b/>
                <w:color w:val="141413"/>
                <w:szCs w:val="26"/>
              </w:rPr>
              <w:tab/>
              <w:t>Transfer methadone to buprenorphine/transfer buprenorphine to methadone</w:t>
            </w:r>
          </w:p>
        </w:tc>
        <w:tc>
          <w:tcPr>
            <w:tcW w:w="2268" w:type="dxa"/>
            <w:shd w:val="clear" w:color="auto" w:fill="F3F3F3"/>
          </w:tcPr>
          <w:p w14:paraId="63757121" w14:textId="77777777" w:rsidR="00FA0EA7" w:rsidRPr="00221FC9" w:rsidRDefault="00FA0EA7" w:rsidP="009374B1">
            <w:pPr>
              <w:pStyle w:val="TableText"/>
              <w:rPr>
                <w:color w:val="141413"/>
                <w:szCs w:val="26"/>
              </w:rPr>
            </w:pPr>
          </w:p>
        </w:tc>
        <w:tc>
          <w:tcPr>
            <w:tcW w:w="1276" w:type="dxa"/>
            <w:shd w:val="clear" w:color="auto" w:fill="F3F3F3"/>
          </w:tcPr>
          <w:p w14:paraId="2B81E139" w14:textId="77777777" w:rsidR="00FA0EA7" w:rsidRPr="00221FC9" w:rsidRDefault="00FA0EA7" w:rsidP="009374B1">
            <w:pPr>
              <w:pStyle w:val="TableText"/>
              <w:jc w:val="center"/>
              <w:rPr>
                <w:color w:val="141413"/>
                <w:szCs w:val="26"/>
              </w:rPr>
            </w:pPr>
          </w:p>
        </w:tc>
        <w:tc>
          <w:tcPr>
            <w:tcW w:w="851" w:type="dxa"/>
            <w:shd w:val="clear" w:color="auto" w:fill="F3F3F3"/>
          </w:tcPr>
          <w:p w14:paraId="30AA0034" w14:textId="77777777" w:rsidR="00FA0EA7" w:rsidRPr="00221FC9" w:rsidRDefault="00FA0EA7" w:rsidP="009374B1">
            <w:pPr>
              <w:pStyle w:val="TableText"/>
              <w:jc w:val="center"/>
              <w:rPr>
                <w:color w:val="141413"/>
                <w:szCs w:val="26"/>
              </w:rPr>
            </w:pPr>
          </w:p>
        </w:tc>
      </w:tr>
      <w:tr w:rsidR="00AE32F4" w:rsidRPr="00221FC9" w14:paraId="325C0A2F" w14:textId="77777777" w:rsidTr="00AE32F4">
        <w:trPr>
          <w:cantSplit/>
          <w:trHeight w:val="20"/>
        </w:trPr>
        <w:tc>
          <w:tcPr>
            <w:tcW w:w="4423" w:type="dxa"/>
          </w:tcPr>
          <w:p w14:paraId="393B2E74" w14:textId="0577B5AF" w:rsidR="00AE32F4" w:rsidRPr="00221FC9" w:rsidRDefault="00AE32F4" w:rsidP="00AE32F4">
            <w:pPr>
              <w:pStyle w:val="TableText"/>
              <w:rPr>
                <w:b/>
                <w:color w:val="141413"/>
                <w:szCs w:val="26"/>
              </w:rPr>
            </w:pPr>
            <w:r w:rsidRPr="00221FC9">
              <w:rPr>
                <w:color w:val="000000"/>
                <w:szCs w:val="22"/>
              </w:rPr>
              <w:t xml:space="preserve">There is evidence that transfers are well planned and appropriate information has been provided to the tāngata </w:t>
            </w:r>
            <w:proofErr w:type="spellStart"/>
            <w:r w:rsidRPr="00221FC9">
              <w:rPr>
                <w:color w:val="000000"/>
                <w:szCs w:val="22"/>
              </w:rPr>
              <w:t>whai</w:t>
            </w:r>
            <w:proofErr w:type="spellEnd"/>
            <w:r w:rsidRPr="00221FC9">
              <w:rPr>
                <w:color w:val="000000"/>
                <w:szCs w:val="22"/>
              </w:rPr>
              <w:t xml:space="preserve"> ora on the transfer process</w:t>
            </w:r>
            <w:r w:rsidR="00411191">
              <w:rPr>
                <w:color w:val="000000"/>
                <w:szCs w:val="22"/>
              </w:rPr>
              <w:t>.</w:t>
            </w:r>
          </w:p>
        </w:tc>
        <w:tc>
          <w:tcPr>
            <w:tcW w:w="2268" w:type="dxa"/>
          </w:tcPr>
          <w:p w14:paraId="2E71D91B" w14:textId="2FE3FC12" w:rsidR="00AE32F4" w:rsidRPr="00221FC9" w:rsidRDefault="00AE32F4" w:rsidP="00AE32F4">
            <w:pPr>
              <w:pStyle w:val="TableText"/>
              <w:rPr>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60A2A6CA" w14:textId="1B6C3185" w:rsidR="00AE32F4" w:rsidRPr="00221FC9" w:rsidRDefault="00AE32F4" w:rsidP="00AE32F4">
            <w:pPr>
              <w:pStyle w:val="TableText"/>
              <w:jc w:val="center"/>
              <w:rPr>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AE5863F" w14:textId="20B4813A" w:rsidR="00AE32F4" w:rsidRPr="00221FC9" w:rsidRDefault="00AE32F4" w:rsidP="00AE32F4">
            <w:pPr>
              <w:pStyle w:val="TableText"/>
              <w:jc w:val="center"/>
              <w:rPr>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4A8B667" w14:textId="77777777" w:rsidTr="00AE32F4">
        <w:trPr>
          <w:cantSplit/>
          <w:trHeight w:val="20"/>
        </w:trPr>
        <w:tc>
          <w:tcPr>
            <w:tcW w:w="4423" w:type="dxa"/>
            <w:shd w:val="clear" w:color="auto" w:fill="F2F2F2" w:themeFill="background1" w:themeFillShade="F2"/>
          </w:tcPr>
          <w:p w14:paraId="0FFF8B1D" w14:textId="77777777" w:rsidR="00FA0EA7" w:rsidRPr="00811062" w:rsidRDefault="00FA0EA7" w:rsidP="009374B1">
            <w:pPr>
              <w:pStyle w:val="TableText"/>
              <w:rPr>
                <w:b/>
                <w:bCs/>
                <w:color w:val="000000"/>
                <w:szCs w:val="22"/>
              </w:rPr>
            </w:pPr>
            <w:r w:rsidRPr="00811062">
              <w:rPr>
                <w:b/>
                <w:bCs/>
                <w:color w:val="000000"/>
                <w:szCs w:val="22"/>
              </w:rPr>
              <w:t xml:space="preserve">3.6 </w:t>
            </w:r>
            <w:r w:rsidRPr="00221FC9">
              <w:rPr>
                <w:b/>
                <w:color w:val="141413"/>
                <w:szCs w:val="26"/>
              </w:rPr>
              <w:tab/>
            </w:r>
            <w:r w:rsidRPr="00811062">
              <w:rPr>
                <w:b/>
                <w:bCs/>
                <w:color w:val="000000"/>
                <w:szCs w:val="22"/>
              </w:rPr>
              <w:t>Psychosocial interventions</w:t>
            </w:r>
          </w:p>
        </w:tc>
        <w:tc>
          <w:tcPr>
            <w:tcW w:w="2268" w:type="dxa"/>
            <w:shd w:val="clear" w:color="auto" w:fill="F2F2F2" w:themeFill="background1" w:themeFillShade="F2"/>
          </w:tcPr>
          <w:p w14:paraId="59888970" w14:textId="77777777" w:rsidR="00FA0EA7" w:rsidRPr="00221FC9" w:rsidRDefault="00FA0EA7" w:rsidP="009374B1">
            <w:pPr>
              <w:pStyle w:val="TableText"/>
              <w:keepNext/>
            </w:pPr>
          </w:p>
        </w:tc>
        <w:tc>
          <w:tcPr>
            <w:tcW w:w="1276" w:type="dxa"/>
            <w:shd w:val="clear" w:color="auto" w:fill="F2F2F2" w:themeFill="background1" w:themeFillShade="F2"/>
          </w:tcPr>
          <w:p w14:paraId="660D667A" w14:textId="77777777" w:rsidR="00FA0EA7" w:rsidRPr="00221FC9" w:rsidRDefault="00FA0EA7" w:rsidP="009374B1">
            <w:pPr>
              <w:pStyle w:val="TableText"/>
              <w:keepNext/>
              <w:jc w:val="center"/>
            </w:pPr>
          </w:p>
        </w:tc>
        <w:tc>
          <w:tcPr>
            <w:tcW w:w="851" w:type="dxa"/>
            <w:shd w:val="clear" w:color="auto" w:fill="F2F2F2" w:themeFill="background1" w:themeFillShade="F2"/>
          </w:tcPr>
          <w:p w14:paraId="2B213987" w14:textId="77777777" w:rsidR="00FA0EA7" w:rsidRPr="00221FC9" w:rsidRDefault="00FA0EA7" w:rsidP="009374B1">
            <w:pPr>
              <w:pStyle w:val="TableText"/>
              <w:keepNext/>
              <w:jc w:val="center"/>
            </w:pPr>
          </w:p>
        </w:tc>
      </w:tr>
      <w:tr w:rsidR="00FA0EA7" w:rsidRPr="00221FC9" w14:paraId="23A0DF8F" w14:textId="77777777" w:rsidTr="00AE32F4">
        <w:trPr>
          <w:cantSplit/>
          <w:trHeight w:val="20"/>
        </w:trPr>
        <w:tc>
          <w:tcPr>
            <w:tcW w:w="4423" w:type="dxa"/>
          </w:tcPr>
          <w:p w14:paraId="476A5666" w14:textId="77777777" w:rsidR="00FA0EA7" w:rsidRPr="00640B45" w:rsidRDefault="00FA0EA7" w:rsidP="009374B1">
            <w:pPr>
              <w:pStyle w:val="TableText"/>
            </w:pPr>
            <w:r w:rsidRPr="00221FC9">
              <w:t xml:space="preserve">Services should provide tāngata </w:t>
            </w:r>
            <w:proofErr w:type="spellStart"/>
            <w:r w:rsidRPr="00221FC9">
              <w:t>whai</w:t>
            </w:r>
            <w:proofErr w:type="spellEnd"/>
            <w:r w:rsidRPr="00221FC9">
              <w:t xml:space="preserve"> ora with information about available psychosocial supports, </w:t>
            </w:r>
            <w:r w:rsidRPr="00221FC9">
              <w:rPr>
                <w:color w:val="000000"/>
              </w:rPr>
              <w:t xml:space="preserve">self-help and whānau and whānau support groups as well as cultural and spiritual guidance if appropriate, </w:t>
            </w:r>
            <w:r w:rsidRPr="00221FC9">
              <w:t>including a broad range of social and psychological interventions and trauma informed approaches.</w:t>
            </w:r>
          </w:p>
        </w:tc>
        <w:tc>
          <w:tcPr>
            <w:tcW w:w="2268" w:type="dxa"/>
          </w:tcPr>
          <w:p w14:paraId="55815DBF" w14:textId="77777777" w:rsidR="00FA0EA7" w:rsidRPr="00221FC9" w:rsidRDefault="00FA0EA7" w:rsidP="009374B1">
            <w:pPr>
              <w:pStyle w:val="TableText"/>
              <w:keepNext/>
              <w:rPr>
                <w:sz w:val="16"/>
                <w:szCs w:val="16"/>
              </w:rPr>
            </w:pPr>
            <w:r w:rsidRPr="00221FC9">
              <w:rPr>
                <w:sz w:val="16"/>
                <w:szCs w:val="16"/>
              </w:rPr>
              <w:t>Count as 1 indicator and comment on each and average to one attainment</w:t>
            </w:r>
          </w:p>
        </w:tc>
        <w:tc>
          <w:tcPr>
            <w:tcW w:w="1276" w:type="dxa"/>
          </w:tcPr>
          <w:p w14:paraId="5EF6484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940524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305A1087" w14:textId="77777777" w:rsidTr="00AE32F4">
        <w:trPr>
          <w:cantSplit/>
          <w:trHeight w:val="20"/>
        </w:trPr>
        <w:tc>
          <w:tcPr>
            <w:tcW w:w="4423" w:type="dxa"/>
          </w:tcPr>
          <w:p w14:paraId="2929DAF1" w14:textId="24E7119E" w:rsidR="00AE32F4" w:rsidRPr="00AE32F4" w:rsidRDefault="00AE32F4" w:rsidP="00AE32F4">
            <w:pPr>
              <w:pStyle w:val="TableText"/>
              <w:rPr>
                <w:color w:val="141413"/>
                <w:szCs w:val="26"/>
              </w:rPr>
            </w:pPr>
            <w:r w:rsidRPr="00221FC9">
              <w:t>Psychosocial interventions are delivered by the service or external providers and are one-on-one or in group settings.</w:t>
            </w:r>
          </w:p>
        </w:tc>
        <w:tc>
          <w:tcPr>
            <w:tcW w:w="2268" w:type="dxa"/>
          </w:tcPr>
          <w:p w14:paraId="45C1081F" w14:textId="584A02A6"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19616C6C" w14:textId="6CF5B0BA"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98938EF" w14:textId="2889CB6E"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5318476C" w14:textId="77777777" w:rsidTr="00AE32F4">
        <w:trPr>
          <w:cantSplit/>
          <w:trHeight w:val="20"/>
        </w:trPr>
        <w:tc>
          <w:tcPr>
            <w:tcW w:w="4423" w:type="dxa"/>
          </w:tcPr>
          <w:p w14:paraId="4030AC20" w14:textId="4F9B8EC6" w:rsidR="00AE32F4" w:rsidRPr="00221FC9" w:rsidRDefault="00AE32F4" w:rsidP="00AE32F4">
            <w:pPr>
              <w:pStyle w:val="TableText"/>
            </w:pPr>
            <w:r w:rsidRPr="00221FC9">
              <w:lastRenderedPageBreak/>
              <w:t xml:space="preserve">All interventions delivered in the context of OST should be evidence based, strengths- and recovery, culturally safe, tailored to individual needs, and </w:t>
            </w:r>
            <w:r w:rsidRPr="00221FC9" w:rsidDel="00453EA0">
              <w:t>h</w:t>
            </w:r>
            <w:r w:rsidRPr="00221FC9">
              <w:t>ave defined goals.</w:t>
            </w:r>
          </w:p>
        </w:tc>
        <w:tc>
          <w:tcPr>
            <w:tcW w:w="2268" w:type="dxa"/>
          </w:tcPr>
          <w:p w14:paraId="26480E6F" w14:textId="299E71CD"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355E84C1" w14:textId="3E808AC8"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6179E15" w14:textId="6458F52B"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3CD7379E" w14:textId="77777777" w:rsidTr="00AE32F4">
        <w:trPr>
          <w:cantSplit/>
          <w:trHeight w:val="20"/>
        </w:trPr>
        <w:tc>
          <w:tcPr>
            <w:tcW w:w="4423" w:type="dxa"/>
          </w:tcPr>
          <w:p w14:paraId="6578D220" w14:textId="77777777" w:rsidR="00AE32F4" w:rsidRPr="00221FC9" w:rsidRDefault="00AE32F4" w:rsidP="00AE32F4">
            <w:pPr>
              <w:pStyle w:val="TableText"/>
            </w:pPr>
            <w:r w:rsidRPr="00221FC9">
              <w:t xml:space="preserve">The service has links with other supports, </w:t>
            </w:r>
            <w:proofErr w:type="spellStart"/>
            <w:r w:rsidRPr="00221FC9">
              <w:t>eg</w:t>
            </w:r>
            <w:proofErr w:type="spellEnd"/>
            <w:r w:rsidRPr="00221FC9">
              <w:t>, peer support, employment and housing agencies.</w:t>
            </w:r>
          </w:p>
        </w:tc>
        <w:tc>
          <w:tcPr>
            <w:tcW w:w="2268" w:type="dxa"/>
          </w:tcPr>
          <w:p w14:paraId="6721F1EF" w14:textId="43C25CA5"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1C4B55A3" w14:textId="1269009C"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12112B4" w14:textId="61490BE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9C765AB" w14:textId="77777777" w:rsidTr="00AE32F4">
        <w:trPr>
          <w:cantSplit/>
          <w:trHeight w:val="20"/>
        </w:trPr>
        <w:tc>
          <w:tcPr>
            <w:tcW w:w="4423" w:type="dxa"/>
            <w:shd w:val="clear" w:color="auto" w:fill="F3F3F3"/>
          </w:tcPr>
          <w:p w14:paraId="277D7307" w14:textId="77777777" w:rsidR="00FA0EA7" w:rsidRPr="00221FC9" w:rsidRDefault="00FA0EA7" w:rsidP="009374B1">
            <w:pPr>
              <w:pStyle w:val="TableText"/>
              <w:rPr>
                <w:b/>
                <w:color w:val="141413"/>
                <w:szCs w:val="26"/>
              </w:rPr>
            </w:pPr>
            <w:r w:rsidRPr="00221FC9">
              <w:rPr>
                <w:b/>
                <w:color w:val="141413"/>
                <w:szCs w:val="26"/>
              </w:rPr>
              <w:t>3.7</w:t>
            </w:r>
            <w:r w:rsidRPr="00221FC9">
              <w:rPr>
                <w:b/>
                <w:color w:val="141413"/>
                <w:szCs w:val="26"/>
              </w:rPr>
              <w:tab/>
              <w:t>Reviewing progress</w:t>
            </w:r>
          </w:p>
        </w:tc>
        <w:tc>
          <w:tcPr>
            <w:tcW w:w="2268" w:type="dxa"/>
            <w:shd w:val="clear" w:color="auto" w:fill="F3F3F3"/>
          </w:tcPr>
          <w:p w14:paraId="12B2AA17" w14:textId="77777777" w:rsidR="00FA0EA7" w:rsidRPr="00221FC9" w:rsidRDefault="00FA0EA7" w:rsidP="009374B1">
            <w:pPr>
              <w:pStyle w:val="TableText"/>
              <w:rPr>
                <w:color w:val="141413"/>
                <w:szCs w:val="26"/>
              </w:rPr>
            </w:pPr>
          </w:p>
        </w:tc>
        <w:tc>
          <w:tcPr>
            <w:tcW w:w="1276" w:type="dxa"/>
            <w:shd w:val="clear" w:color="auto" w:fill="F3F3F3"/>
          </w:tcPr>
          <w:p w14:paraId="6B33DFF6" w14:textId="77777777" w:rsidR="00FA0EA7" w:rsidRPr="00221FC9" w:rsidRDefault="00FA0EA7" w:rsidP="009374B1">
            <w:pPr>
              <w:pStyle w:val="TableText"/>
              <w:jc w:val="center"/>
              <w:rPr>
                <w:color w:val="141413"/>
                <w:szCs w:val="26"/>
              </w:rPr>
            </w:pPr>
          </w:p>
        </w:tc>
        <w:tc>
          <w:tcPr>
            <w:tcW w:w="851" w:type="dxa"/>
            <w:shd w:val="clear" w:color="auto" w:fill="F3F3F3"/>
          </w:tcPr>
          <w:p w14:paraId="4023D5A1" w14:textId="77777777" w:rsidR="00FA0EA7" w:rsidRPr="00221FC9" w:rsidRDefault="00FA0EA7" w:rsidP="009374B1">
            <w:pPr>
              <w:pStyle w:val="TableText"/>
              <w:jc w:val="center"/>
              <w:rPr>
                <w:color w:val="141413"/>
                <w:szCs w:val="26"/>
              </w:rPr>
            </w:pPr>
          </w:p>
        </w:tc>
      </w:tr>
      <w:tr w:rsidR="00FA0EA7" w:rsidRPr="00221FC9" w14:paraId="303542DC" w14:textId="77777777" w:rsidTr="00AE32F4">
        <w:trPr>
          <w:cantSplit/>
          <w:trHeight w:val="20"/>
        </w:trPr>
        <w:tc>
          <w:tcPr>
            <w:tcW w:w="4423" w:type="dxa"/>
          </w:tcPr>
          <w:p w14:paraId="31942557" w14:textId="77777777" w:rsidR="00FA0EA7" w:rsidRPr="00221FC9" w:rsidRDefault="00FA0EA7" w:rsidP="009374B1">
            <w:pPr>
              <w:pStyle w:val="TableText"/>
              <w:rPr>
                <w:color w:val="000000"/>
              </w:rPr>
            </w:pPr>
            <w:r w:rsidRPr="00221FC9">
              <w:rPr>
                <w:color w:val="000000"/>
              </w:rPr>
              <w:t xml:space="preserve">Reviews occur at least once every six months and involve the tāngata </w:t>
            </w:r>
            <w:proofErr w:type="spellStart"/>
            <w:r w:rsidRPr="00221FC9">
              <w:rPr>
                <w:color w:val="000000"/>
              </w:rPr>
              <w:t>whai</w:t>
            </w:r>
            <w:proofErr w:type="spellEnd"/>
            <w:r w:rsidRPr="00221FC9">
              <w:rPr>
                <w:color w:val="000000"/>
              </w:rPr>
              <w:t xml:space="preserve"> ora, the authorised prescriber and the key worker.</w:t>
            </w:r>
          </w:p>
        </w:tc>
        <w:tc>
          <w:tcPr>
            <w:tcW w:w="2268" w:type="dxa"/>
          </w:tcPr>
          <w:p w14:paraId="1B695AB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33CAE03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908C33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2A67723" w14:textId="77777777" w:rsidTr="00AE32F4">
        <w:trPr>
          <w:cantSplit/>
          <w:trHeight w:val="20"/>
        </w:trPr>
        <w:tc>
          <w:tcPr>
            <w:tcW w:w="4423" w:type="dxa"/>
          </w:tcPr>
          <w:p w14:paraId="0652C8C5" w14:textId="77777777" w:rsidR="00FA0EA7" w:rsidRPr="00221FC9" w:rsidRDefault="00FA0EA7" w:rsidP="009374B1">
            <w:pPr>
              <w:pStyle w:val="TableText"/>
              <w:rPr>
                <w:color w:val="000000"/>
              </w:rPr>
            </w:pPr>
            <w:r w:rsidRPr="00221FC9">
              <w:rPr>
                <w:color w:val="000000"/>
                <w:szCs w:val="22"/>
              </w:rPr>
              <w:t>Sessions with key workers include review of progress in relation to the treatment and recovery plan and an updated assessment of risk.</w:t>
            </w:r>
          </w:p>
        </w:tc>
        <w:tc>
          <w:tcPr>
            <w:tcW w:w="2268" w:type="dxa"/>
          </w:tcPr>
          <w:p w14:paraId="30ECCEB0"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07C1F45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6C8064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1D0A7E0" w14:textId="77777777" w:rsidTr="00AE32F4">
        <w:trPr>
          <w:cantSplit/>
          <w:trHeight w:val="20"/>
        </w:trPr>
        <w:tc>
          <w:tcPr>
            <w:tcW w:w="4423" w:type="dxa"/>
          </w:tcPr>
          <w:p w14:paraId="37355846" w14:textId="77777777" w:rsidR="00FA0EA7" w:rsidRPr="00221FC9" w:rsidRDefault="00FA0EA7" w:rsidP="009374B1">
            <w:pPr>
              <w:pStyle w:val="TableText"/>
              <w:rPr>
                <w:color w:val="000000"/>
              </w:rPr>
            </w:pPr>
            <w:r w:rsidRPr="00221FC9">
              <w:rPr>
                <w:color w:val="000000"/>
                <w:szCs w:val="22"/>
              </w:rPr>
              <w:t xml:space="preserve">Tāngata </w:t>
            </w:r>
            <w:proofErr w:type="spellStart"/>
            <w:r w:rsidRPr="00221FC9">
              <w:rPr>
                <w:color w:val="000000"/>
                <w:szCs w:val="22"/>
              </w:rPr>
              <w:t>whai</w:t>
            </w:r>
            <w:proofErr w:type="spellEnd"/>
            <w:r w:rsidRPr="00221FC9">
              <w:rPr>
                <w:color w:val="000000"/>
                <w:szCs w:val="22"/>
              </w:rPr>
              <w:t xml:space="preserve"> ora are informed in writing about the scheduling of special case reviews and their right to be involved and to have a support person attend, including peer support or health/consumer advocate. Exceptions to this comply with the </w:t>
            </w:r>
            <w:r w:rsidRPr="00221FC9">
              <w:rPr>
                <w:i/>
                <w:color w:val="000000"/>
                <w:szCs w:val="22"/>
              </w:rPr>
              <w:t>OST Guidelines</w:t>
            </w:r>
            <w:r w:rsidRPr="00221FC9">
              <w:rPr>
                <w:color w:val="000000"/>
                <w:szCs w:val="22"/>
              </w:rPr>
              <w:t>.</w:t>
            </w:r>
          </w:p>
        </w:tc>
        <w:tc>
          <w:tcPr>
            <w:tcW w:w="2268" w:type="dxa"/>
          </w:tcPr>
          <w:p w14:paraId="1488581D"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4DA90C7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9508A2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F75C2F6" w14:textId="77777777" w:rsidTr="00AE32F4">
        <w:trPr>
          <w:cantSplit/>
          <w:trHeight w:val="20"/>
        </w:trPr>
        <w:tc>
          <w:tcPr>
            <w:tcW w:w="4423" w:type="dxa"/>
          </w:tcPr>
          <w:p w14:paraId="4CC50E92" w14:textId="77777777" w:rsidR="00FA0EA7" w:rsidRPr="00221FC9" w:rsidRDefault="00FA0EA7" w:rsidP="009374B1">
            <w:pPr>
              <w:pStyle w:val="TableText"/>
              <w:rPr>
                <w:color w:val="000000"/>
              </w:rPr>
            </w:pPr>
            <w:r w:rsidRPr="00221FC9">
              <w:rPr>
                <w:color w:val="000000"/>
                <w:szCs w:val="22"/>
              </w:rPr>
              <w:t xml:space="preserve">Written procedures are available for tāngata </w:t>
            </w:r>
            <w:proofErr w:type="spellStart"/>
            <w:r w:rsidRPr="00221FC9">
              <w:rPr>
                <w:color w:val="000000"/>
                <w:szCs w:val="22"/>
              </w:rPr>
              <w:t>whai</w:t>
            </w:r>
            <w:proofErr w:type="spellEnd"/>
            <w:r w:rsidRPr="00221FC9">
              <w:rPr>
                <w:color w:val="000000"/>
                <w:szCs w:val="22"/>
              </w:rPr>
              <w:t xml:space="preserve"> ora on how to request a treatment review.</w:t>
            </w:r>
          </w:p>
        </w:tc>
        <w:tc>
          <w:tcPr>
            <w:tcW w:w="2268" w:type="dxa"/>
          </w:tcPr>
          <w:p w14:paraId="3ECCDAD8"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53F4683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24EADF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2945D1D" w14:textId="77777777" w:rsidTr="00AE32F4">
        <w:trPr>
          <w:cantSplit/>
          <w:trHeight w:val="20"/>
        </w:trPr>
        <w:tc>
          <w:tcPr>
            <w:tcW w:w="4423" w:type="dxa"/>
            <w:shd w:val="clear" w:color="auto" w:fill="F3F3F3"/>
          </w:tcPr>
          <w:p w14:paraId="63C54177" w14:textId="77777777" w:rsidR="00FA0EA7" w:rsidRPr="00221FC9" w:rsidRDefault="00FA0EA7" w:rsidP="009374B1">
            <w:pPr>
              <w:pStyle w:val="TableText"/>
              <w:keepNext/>
              <w:rPr>
                <w:b/>
                <w:color w:val="141413"/>
                <w:szCs w:val="26"/>
              </w:rPr>
            </w:pPr>
            <w:r w:rsidRPr="00221FC9">
              <w:rPr>
                <w:b/>
                <w:color w:val="141413"/>
                <w:szCs w:val="26"/>
              </w:rPr>
              <w:t>3.8</w:t>
            </w:r>
            <w:r w:rsidRPr="00221FC9">
              <w:rPr>
                <w:b/>
                <w:color w:val="141413"/>
                <w:szCs w:val="26"/>
              </w:rPr>
              <w:tab/>
              <w:t>Drug screening</w:t>
            </w:r>
          </w:p>
        </w:tc>
        <w:tc>
          <w:tcPr>
            <w:tcW w:w="2268" w:type="dxa"/>
            <w:shd w:val="clear" w:color="auto" w:fill="F3F3F3"/>
          </w:tcPr>
          <w:p w14:paraId="216D53DD" w14:textId="77777777" w:rsidR="00FA0EA7" w:rsidRPr="00221FC9" w:rsidRDefault="00FA0EA7" w:rsidP="009374B1">
            <w:pPr>
              <w:pStyle w:val="TableText"/>
              <w:keepNext/>
            </w:pPr>
          </w:p>
        </w:tc>
        <w:tc>
          <w:tcPr>
            <w:tcW w:w="1276" w:type="dxa"/>
            <w:shd w:val="clear" w:color="auto" w:fill="F3F3F3"/>
          </w:tcPr>
          <w:p w14:paraId="7A3712C2" w14:textId="77777777" w:rsidR="00FA0EA7" w:rsidRPr="00221FC9" w:rsidRDefault="00FA0EA7" w:rsidP="009374B1">
            <w:pPr>
              <w:pStyle w:val="TableText"/>
              <w:keepNext/>
              <w:jc w:val="center"/>
            </w:pPr>
          </w:p>
        </w:tc>
        <w:tc>
          <w:tcPr>
            <w:tcW w:w="851" w:type="dxa"/>
            <w:shd w:val="clear" w:color="auto" w:fill="F3F3F3"/>
          </w:tcPr>
          <w:p w14:paraId="2DD795A3" w14:textId="77777777" w:rsidR="00FA0EA7" w:rsidRPr="00221FC9" w:rsidRDefault="00FA0EA7" w:rsidP="009374B1">
            <w:pPr>
              <w:pStyle w:val="TableText"/>
              <w:keepNext/>
              <w:jc w:val="center"/>
            </w:pPr>
          </w:p>
        </w:tc>
      </w:tr>
      <w:tr w:rsidR="00141ADE" w:rsidRPr="00221FC9" w14:paraId="77636C01" w14:textId="77777777" w:rsidTr="00AE32F4">
        <w:trPr>
          <w:cantSplit/>
          <w:trHeight w:val="20"/>
        </w:trPr>
        <w:tc>
          <w:tcPr>
            <w:tcW w:w="4423" w:type="dxa"/>
          </w:tcPr>
          <w:p w14:paraId="4B9B4A5A" w14:textId="3A19BB8C" w:rsidR="00141ADE" w:rsidRPr="00221FC9" w:rsidRDefault="00141ADE" w:rsidP="009374B1">
            <w:pPr>
              <w:pStyle w:val="TableText"/>
            </w:pPr>
            <w:r w:rsidRPr="00221FC9">
              <w:t xml:space="preserve">Services should advise tāngata </w:t>
            </w:r>
            <w:proofErr w:type="spellStart"/>
            <w:r w:rsidRPr="00221FC9">
              <w:t>whai</w:t>
            </w:r>
            <w:proofErr w:type="spellEnd"/>
            <w:r w:rsidRPr="00221FC9">
              <w:t xml:space="preserve"> ora of the procedure and rationale for drug screening in writing, either as a specific handout or as part of a general information pack provided at admission</w:t>
            </w:r>
            <w:r w:rsidR="00411191">
              <w:t>.</w:t>
            </w:r>
          </w:p>
        </w:tc>
        <w:tc>
          <w:tcPr>
            <w:tcW w:w="2268" w:type="dxa"/>
          </w:tcPr>
          <w:p w14:paraId="1F802BE0" w14:textId="16E52640" w:rsidR="00141ADE" w:rsidRPr="00221FC9" w:rsidRDefault="00141ADE"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131FE74D" w14:textId="2E847B02" w:rsidR="00141ADE" w:rsidRPr="00221FC9" w:rsidRDefault="00141ADE"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9F92DEB" w14:textId="2601D593" w:rsidR="00141ADE" w:rsidRPr="00221FC9" w:rsidRDefault="00141ADE"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24869DC" w14:textId="77777777" w:rsidTr="00AE32F4">
        <w:trPr>
          <w:cantSplit/>
          <w:trHeight w:val="20"/>
        </w:trPr>
        <w:tc>
          <w:tcPr>
            <w:tcW w:w="4423" w:type="dxa"/>
          </w:tcPr>
          <w:p w14:paraId="1E627646" w14:textId="77777777" w:rsidR="00FA0EA7" w:rsidRPr="00221FC9" w:rsidRDefault="00FA0EA7" w:rsidP="009374B1">
            <w:pPr>
              <w:pStyle w:val="TableText"/>
              <w:rPr>
                <w:color w:val="000000"/>
                <w:szCs w:val="22"/>
              </w:rPr>
            </w:pPr>
            <w:r w:rsidRPr="00221FC9">
              <w:rPr>
                <w:color w:val="000000"/>
                <w:szCs w:val="22"/>
              </w:rPr>
              <w:t xml:space="preserve">A combination of self-reporting, clinical observation and urine screening is utilised for monitoring drug use; policy, protocol and practices are consistent with </w:t>
            </w:r>
            <w:r w:rsidRPr="00221FC9">
              <w:rPr>
                <w:i/>
                <w:color w:val="000000"/>
                <w:szCs w:val="22"/>
              </w:rPr>
              <w:t>OST Guidelines</w:t>
            </w:r>
            <w:r w:rsidRPr="00221FC9">
              <w:rPr>
                <w:color w:val="000000"/>
                <w:szCs w:val="22"/>
              </w:rPr>
              <w:t xml:space="preserve"> section 3.8.</w:t>
            </w:r>
          </w:p>
        </w:tc>
        <w:tc>
          <w:tcPr>
            <w:tcW w:w="2268" w:type="dxa"/>
          </w:tcPr>
          <w:p w14:paraId="42601041"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7A5C699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64CFB1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CE4B97C" w14:textId="77777777" w:rsidTr="00AE32F4">
        <w:trPr>
          <w:cantSplit/>
          <w:trHeight w:val="20"/>
        </w:trPr>
        <w:tc>
          <w:tcPr>
            <w:tcW w:w="4423" w:type="dxa"/>
            <w:shd w:val="clear" w:color="auto" w:fill="F3F3F3"/>
          </w:tcPr>
          <w:p w14:paraId="7F11D69D" w14:textId="77777777" w:rsidR="00FA0EA7" w:rsidRPr="00221FC9" w:rsidRDefault="00FA0EA7" w:rsidP="009374B1">
            <w:pPr>
              <w:pStyle w:val="TableText"/>
              <w:rPr>
                <w:b/>
                <w:color w:val="141413"/>
                <w:szCs w:val="26"/>
              </w:rPr>
            </w:pPr>
            <w:r w:rsidRPr="00221FC9">
              <w:rPr>
                <w:b/>
                <w:color w:val="141413"/>
                <w:szCs w:val="26"/>
              </w:rPr>
              <w:t>3.9</w:t>
            </w:r>
            <w:r w:rsidRPr="00221FC9">
              <w:rPr>
                <w:b/>
                <w:color w:val="141413"/>
                <w:szCs w:val="26"/>
              </w:rPr>
              <w:tab/>
              <w:t>Completing OST</w:t>
            </w:r>
          </w:p>
        </w:tc>
        <w:tc>
          <w:tcPr>
            <w:tcW w:w="2268" w:type="dxa"/>
            <w:shd w:val="clear" w:color="auto" w:fill="F3F3F3"/>
          </w:tcPr>
          <w:p w14:paraId="6A633FFD" w14:textId="77777777" w:rsidR="00FA0EA7" w:rsidRPr="00221FC9" w:rsidRDefault="00FA0EA7" w:rsidP="009374B1">
            <w:pPr>
              <w:pStyle w:val="TableText"/>
              <w:keepNext/>
            </w:pPr>
          </w:p>
        </w:tc>
        <w:tc>
          <w:tcPr>
            <w:tcW w:w="1276" w:type="dxa"/>
            <w:shd w:val="clear" w:color="auto" w:fill="F3F3F3"/>
          </w:tcPr>
          <w:p w14:paraId="7C9ACFF5" w14:textId="77777777" w:rsidR="00FA0EA7" w:rsidRPr="00221FC9" w:rsidRDefault="00FA0EA7" w:rsidP="009374B1">
            <w:pPr>
              <w:pStyle w:val="TableText"/>
              <w:keepNext/>
              <w:jc w:val="center"/>
            </w:pPr>
          </w:p>
        </w:tc>
        <w:tc>
          <w:tcPr>
            <w:tcW w:w="851" w:type="dxa"/>
            <w:shd w:val="clear" w:color="auto" w:fill="F3F3F3"/>
          </w:tcPr>
          <w:p w14:paraId="5A28DE4B" w14:textId="77777777" w:rsidR="00FA0EA7" w:rsidRPr="00221FC9" w:rsidRDefault="00FA0EA7" w:rsidP="009374B1">
            <w:pPr>
              <w:pStyle w:val="TableText"/>
              <w:keepNext/>
              <w:jc w:val="center"/>
            </w:pPr>
          </w:p>
        </w:tc>
      </w:tr>
      <w:tr w:rsidR="00FA0EA7" w:rsidRPr="00221FC9" w14:paraId="365B3F58" w14:textId="77777777" w:rsidTr="00AE32F4">
        <w:trPr>
          <w:cantSplit/>
          <w:trHeight w:val="20"/>
        </w:trPr>
        <w:tc>
          <w:tcPr>
            <w:tcW w:w="4423" w:type="dxa"/>
          </w:tcPr>
          <w:p w14:paraId="1DACCCE0" w14:textId="77777777" w:rsidR="00FA0EA7" w:rsidRPr="00221FC9" w:rsidRDefault="00FA0EA7" w:rsidP="009374B1">
            <w:pPr>
              <w:pStyle w:val="TableText"/>
              <w:rPr>
                <w:rFonts w:eastAsia="PMingLiU"/>
              </w:rPr>
            </w:pPr>
            <w:r w:rsidRPr="00221FC9">
              <w:rPr>
                <w:color w:val="000000"/>
                <w:szCs w:val="22"/>
              </w:rPr>
              <w:t xml:space="preserve">Planned withdrawal is tāngata </w:t>
            </w:r>
            <w:proofErr w:type="spellStart"/>
            <w:r w:rsidRPr="00221FC9">
              <w:rPr>
                <w:color w:val="000000"/>
                <w:szCs w:val="22"/>
              </w:rPr>
              <w:t>whai</w:t>
            </w:r>
            <w:proofErr w:type="spellEnd"/>
            <w:r w:rsidRPr="00221FC9">
              <w:rPr>
                <w:color w:val="000000"/>
                <w:szCs w:val="22"/>
              </w:rPr>
              <w:t xml:space="preserve"> ora directed, has a flexible end point and includes relapse prevention (including naloxone), psychosocial, medical and ongoing support, </w:t>
            </w:r>
            <w:r w:rsidRPr="00221FC9">
              <w:rPr>
                <w:i/>
                <w:color w:val="000000"/>
                <w:szCs w:val="22"/>
              </w:rPr>
              <w:t>OST Guidelines</w:t>
            </w:r>
            <w:r w:rsidRPr="00221FC9">
              <w:rPr>
                <w:color w:val="000000"/>
                <w:szCs w:val="22"/>
              </w:rPr>
              <w:t xml:space="preserve"> section 3.9.1.</w:t>
            </w:r>
          </w:p>
        </w:tc>
        <w:tc>
          <w:tcPr>
            <w:tcW w:w="2268" w:type="dxa"/>
          </w:tcPr>
          <w:p w14:paraId="093C668D"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6D36D30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B4AF9B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B20F070" w14:textId="77777777" w:rsidTr="00AE32F4">
        <w:trPr>
          <w:cantSplit/>
          <w:trHeight w:val="20"/>
        </w:trPr>
        <w:tc>
          <w:tcPr>
            <w:tcW w:w="4423" w:type="dxa"/>
          </w:tcPr>
          <w:p w14:paraId="6599E6A9" w14:textId="77777777" w:rsidR="00FA0EA7" w:rsidRPr="00221FC9" w:rsidRDefault="00FA0EA7" w:rsidP="009374B1">
            <w:pPr>
              <w:pStyle w:val="TableText"/>
              <w:rPr>
                <w:color w:val="000000"/>
              </w:rPr>
            </w:pPr>
            <w:r w:rsidRPr="00221FC9">
              <w:rPr>
                <w:color w:val="000000"/>
                <w:szCs w:val="22"/>
              </w:rPr>
              <w:t xml:space="preserve">Tāngata </w:t>
            </w:r>
            <w:proofErr w:type="spellStart"/>
            <w:r w:rsidRPr="00221FC9">
              <w:rPr>
                <w:color w:val="000000"/>
                <w:szCs w:val="22"/>
              </w:rPr>
              <w:t>whai</w:t>
            </w:r>
            <w:proofErr w:type="spellEnd"/>
            <w:r w:rsidRPr="00221FC9">
              <w:rPr>
                <w:color w:val="000000"/>
                <w:szCs w:val="22"/>
              </w:rPr>
              <w:t xml:space="preserve"> ora who are unable to maintain stability after a planned withdrawal from OST are promptly readmitted to OST, </w:t>
            </w:r>
            <w:r w:rsidRPr="00221FC9">
              <w:rPr>
                <w:i/>
                <w:color w:val="000000"/>
                <w:szCs w:val="22"/>
              </w:rPr>
              <w:t>OST Guidelines</w:t>
            </w:r>
            <w:r w:rsidRPr="00221FC9">
              <w:rPr>
                <w:color w:val="000000"/>
                <w:szCs w:val="22"/>
              </w:rPr>
              <w:t xml:space="preserve"> section 3.9.1.</w:t>
            </w:r>
          </w:p>
        </w:tc>
        <w:tc>
          <w:tcPr>
            <w:tcW w:w="2268" w:type="dxa"/>
          </w:tcPr>
          <w:p w14:paraId="5C32DD79"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2667635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75BE30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19F5EC5" w14:textId="77777777" w:rsidTr="00AE32F4">
        <w:trPr>
          <w:cantSplit/>
          <w:trHeight w:val="20"/>
        </w:trPr>
        <w:tc>
          <w:tcPr>
            <w:tcW w:w="4423" w:type="dxa"/>
          </w:tcPr>
          <w:p w14:paraId="49B4C650" w14:textId="77777777" w:rsidR="00FA0EA7" w:rsidRPr="00221FC9" w:rsidRDefault="00FA0EA7" w:rsidP="009374B1">
            <w:pPr>
              <w:pStyle w:val="TableText"/>
              <w:rPr>
                <w:color w:val="000000"/>
              </w:rPr>
            </w:pPr>
            <w:r w:rsidRPr="00221FC9">
              <w:rPr>
                <w:color w:val="000000"/>
              </w:rPr>
              <w:t xml:space="preserve">The tāngata </w:t>
            </w:r>
            <w:proofErr w:type="spellStart"/>
            <w:r w:rsidRPr="00221FC9">
              <w:rPr>
                <w:color w:val="000000"/>
              </w:rPr>
              <w:t>whai</w:t>
            </w:r>
            <w:proofErr w:type="spellEnd"/>
            <w:r w:rsidRPr="00221FC9">
              <w:rPr>
                <w:color w:val="000000"/>
              </w:rPr>
              <w:t xml:space="preserve"> ora has a discharge plan and after-care plan</w:t>
            </w:r>
            <w:r w:rsidRPr="00221FC9">
              <w:rPr>
                <w:color w:val="000000"/>
                <w:szCs w:val="22"/>
              </w:rPr>
              <w:t xml:space="preserve">, </w:t>
            </w:r>
            <w:r w:rsidRPr="00221FC9">
              <w:rPr>
                <w:i/>
                <w:color w:val="000000"/>
                <w:szCs w:val="22"/>
              </w:rPr>
              <w:t>OST Guidelines</w:t>
            </w:r>
            <w:r w:rsidRPr="00221FC9">
              <w:rPr>
                <w:color w:val="000000"/>
              </w:rPr>
              <w:t xml:space="preserve"> section 3.9.1.</w:t>
            </w:r>
          </w:p>
        </w:tc>
        <w:tc>
          <w:tcPr>
            <w:tcW w:w="2268" w:type="dxa"/>
          </w:tcPr>
          <w:p w14:paraId="3728CBCC"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331F17B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ADCBF3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383171A" w14:textId="77777777" w:rsidTr="00AE32F4">
        <w:trPr>
          <w:cantSplit/>
          <w:trHeight w:val="20"/>
        </w:trPr>
        <w:tc>
          <w:tcPr>
            <w:tcW w:w="4423" w:type="dxa"/>
          </w:tcPr>
          <w:p w14:paraId="2A03663D" w14:textId="77777777" w:rsidR="00FA0EA7" w:rsidRPr="00221FC9" w:rsidRDefault="00FA0EA7" w:rsidP="009374B1">
            <w:pPr>
              <w:pStyle w:val="TableText"/>
              <w:rPr>
                <w:color w:val="000000"/>
              </w:rPr>
            </w:pPr>
            <w:r w:rsidRPr="00221FC9">
              <w:rPr>
                <w:color w:val="000000"/>
                <w:szCs w:val="22"/>
              </w:rPr>
              <w:t xml:space="preserve">Involuntary cessation OST is considered and decided by the multidisciplinary team only as a last resort, with a second opinion sought externally and only after all efforts have been made to resolve influencing issues, </w:t>
            </w:r>
            <w:r w:rsidRPr="00221FC9">
              <w:rPr>
                <w:i/>
                <w:color w:val="000000"/>
                <w:szCs w:val="22"/>
              </w:rPr>
              <w:t>OST Guidelines</w:t>
            </w:r>
            <w:r w:rsidRPr="00221FC9">
              <w:rPr>
                <w:color w:val="000000"/>
                <w:szCs w:val="22"/>
              </w:rPr>
              <w:t xml:space="preserve"> section 3.9.2.</w:t>
            </w:r>
          </w:p>
        </w:tc>
        <w:tc>
          <w:tcPr>
            <w:tcW w:w="2268" w:type="dxa"/>
          </w:tcPr>
          <w:p w14:paraId="5F75EE40"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4A42010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12DC247"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2EB597A" w14:textId="77777777" w:rsidTr="00AE32F4">
        <w:trPr>
          <w:cantSplit/>
          <w:trHeight w:val="20"/>
        </w:trPr>
        <w:tc>
          <w:tcPr>
            <w:tcW w:w="4423" w:type="dxa"/>
          </w:tcPr>
          <w:p w14:paraId="471A1D35" w14:textId="77777777" w:rsidR="00FA0EA7" w:rsidRPr="00221FC9" w:rsidRDefault="00FA0EA7" w:rsidP="009374B1">
            <w:pPr>
              <w:pStyle w:val="TableText"/>
              <w:rPr>
                <w:color w:val="000000"/>
              </w:rPr>
            </w:pPr>
            <w:r w:rsidRPr="00221FC9">
              <w:rPr>
                <w:color w:val="000000"/>
                <w:szCs w:val="22"/>
              </w:rPr>
              <w:lastRenderedPageBreak/>
              <w:t xml:space="preserve">Tāngata </w:t>
            </w:r>
            <w:proofErr w:type="spellStart"/>
            <w:r w:rsidRPr="00221FC9">
              <w:rPr>
                <w:color w:val="000000"/>
                <w:szCs w:val="22"/>
              </w:rPr>
              <w:t>whai</w:t>
            </w:r>
            <w:proofErr w:type="spellEnd"/>
            <w:r w:rsidRPr="00221FC9">
              <w:rPr>
                <w:color w:val="000000"/>
                <w:szCs w:val="22"/>
              </w:rPr>
              <w:t xml:space="preserve"> ora subject to involuntary withdrawal are:</w:t>
            </w:r>
          </w:p>
          <w:p w14:paraId="4FDF4F26" w14:textId="77777777" w:rsidR="00FA0EA7" w:rsidRPr="00221FC9" w:rsidRDefault="00FA0EA7" w:rsidP="009374B1">
            <w:pPr>
              <w:pStyle w:val="TableBullet"/>
            </w:pPr>
            <w:r w:rsidRPr="00221FC9">
              <w:t>given the reasons for the withdrawal in writing</w:t>
            </w:r>
          </w:p>
          <w:p w14:paraId="44EC36ED" w14:textId="77777777" w:rsidR="00FA0EA7" w:rsidRPr="00221FC9" w:rsidRDefault="00FA0EA7" w:rsidP="009374B1">
            <w:pPr>
              <w:pStyle w:val="TableBullet"/>
            </w:pPr>
            <w:r w:rsidRPr="00221FC9">
              <w:t>cautioned about the risks of overdose</w:t>
            </w:r>
          </w:p>
          <w:p w14:paraId="3503FEEF" w14:textId="77777777" w:rsidR="00FA0EA7" w:rsidRPr="00221FC9" w:rsidRDefault="00FA0EA7" w:rsidP="009374B1">
            <w:pPr>
              <w:pStyle w:val="TableBullet"/>
            </w:pPr>
            <w:r w:rsidRPr="00221FC9">
              <w:t>cautioned about risks of driving and operating machinery during the withdrawal process</w:t>
            </w:r>
          </w:p>
          <w:p w14:paraId="7557F2AF" w14:textId="77777777" w:rsidR="00FA0EA7" w:rsidRPr="00221FC9" w:rsidRDefault="00FA0EA7" w:rsidP="009374B1">
            <w:pPr>
              <w:pStyle w:val="TableBullet"/>
            </w:pPr>
            <w:r w:rsidRPr="00221FC9">
              <w:t>offered support during the withdrawal process</w:t>
            </w:r>
          </w:p>
          <w:p w14:paraId="4A0617F0" w14:textId="77777777" w:rsidR="00FA0EA7" w:rsidRPr="00221FC9" w:rsidRDefault="00FA0EA7" w:rsidP="009374B1">
            <w:pPr>
              <w:pStyle w:val="TableBullet"/>
            </w:pPr>
            <w:r w:rsidRPr="00221FC9">
              <w:t>provided with a future-directed specific treatment plan</w:t>
            </w:r>
          </w:p>
          <w:p w14:paraId="66D12F79" w14:textId="77777777" w:rsidR="00FA0EA7" w:rsidRPr="00221FC9" w:rsidRDefault="00FA0EA7" w:rsidP="009374B1">
            <w:pPr>
              <w:pStyle w:val="TableBullet"/>
            </w:pPr>
            <w:r w:rsidRPr="00221FC9">
              <w:t>informed of other treatment options available provided with information on the service’s complaints procedure and appeal procedure.</w:t>
            </w:r>
          </w:p>
          <w:p w14:paraId="02171445" w14:textId="77777777" w:rsidR="00FA0EA7" w:rsidRPr="00221FC9" w:rsidRDefault="00FA0EA7" w:rsidP="009374B1">
            <w:pPr>
              <w:pStyle w:val="TableText"/>
            </w:pPr>
            <w:r w:rsidRPr="00221FC9">
              <w:rPr>
                <w:i/>
              </w:rPr>
              <w:t>OST Guidelines</w:t>
            </w:r>
            <w:r w:rsidRPr="00221FC9">
              <w:t xml:space="preserve"> section 3.9.2.</w:t>
            </w:r>
          </w:p>
        </w:tc>
        <w:tc>
          <w:tcPr>
            <w:tcW w:w="2268" w:type="dxa"/>
          </w:tcPr>
          <w:p w14:paraId="4A715057" w14:textId="77777777" w:rsidR="00FA0EA7" w:rsidRPr="00221FC9" w:rsidRDefault="00FA0EA7" w:rsidP="009374B1">
            <w:pPr>
              <w:pStyle w:val="TableText"/>
              <w:keepNext/>
            </w:pPr>
            <w:r w:rsidRPr="00221FC9">
              <w:rPr>
                <w:sz w:val="16"/>
                <w:szCs w:val="16"/>
              </w:rPr>
              <w:t>Count as 1 indicator and provide comment and average for one attainment</w:t>
            </w:r>
          </w:p>
        </w:tc>
        <w:tc>
          <w:tcPr>
            <w:tcW w:w="1276" w:type="dxa"/>
          </w:tcPr>
          <w:p w14:paraId="7823F91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716DB6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DC3D64C" w14:textId="77777777" w:rsidTr="00AE32F4">
        <w:trPr>
          <w:cantSplit/>
          <w:trHeight w:val="20"/>
        </w:trPr>
        <w:tc>
          <w:tcPr>
            <w:tcW w:w="4423" w:type="dxa"/>
          </w:tcPr>
          <w:p w14:paraId="79D48877" w14:textId="77777777" w:rsidR="00FA0EA7" w:rsidRPr="00221FC9" w:rsidRDefault="00FA0EA7" w:rsidP="009374B1">
            <w:pPr>
              <w:pStyle w:val="TableText"/>
              <w:rPr>
                <w:color w:val="000000"/>
              </w:rPr>
            </w:pPr>
            <w:r w:rsidRPr="00221FC9">
              <w:rPr>
                <w:color w:val="000000"/>
              </w:rPr>
              <w:t xml:space="preserve">The tāngata </w:t>
            </w:r>
            <w:proofErr w:type="spellStart"/>
            <w:r w:rsidRPr="00221FC9">
              <w:rPr>
                <w:color w:val="000000"/>
              </w:rPr>
              <w:t>whai</w:t>
            </w:r>
            <w:proofErr w:type="spellEnd"/>
            <w:r w:rsidRPr="00221FC9">
              <w:rPr>
                <w:color w:val="000000"/>
              </w:rPr>
              <w:t xml:space="preserve"> ora has a discharge plan, including how they might re-engage in OST</w:t>
            </w:r>
            <w:r w:rsidRPr="00221FC9">
              <w:rPr>
                <w:color w:val="000000"/>
                <w:szCs w:val="22"/>
              </w:rPr>
              <w:t xml:space="preserve">, </w:t>
            </w:r>
            <w:r w:rsidRPr="00221FC9">
              <w:rPr>
                <w:i/>
                <w:color w:val="000000"/>
                <w:szCs w:val="22"/>
              </w:rPr>
              <w:t>OST Guidelines</w:t>
            </w:r>
            <w:r w:rsidRPr="00221FC9">
              <w:rPr>
                <w:color w:val="000000"/>
              </w:rPr>
              <w:t xml:space="preserve"> section 3.9.2.</w:t>
            </w:r>
          </w:p>
        </w:tc>
        <w:tc>
          <w:tcPr>
            <w:tcW w:w="2268" w:type="dxa"/>
          </w:tcPr>
          <w:p w14:paraId="698433B1"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0FBFEDE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115D61C"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5D0B364C" w14:textId="77777777" w:rsidR="00FA0EA7" w:rsidRPr="00221FC9" w:rsidRDefault="00FA0EA7" w:rsidP="00AE32F4">
      <w:pPr>
        <w:pStyle w:val="Heading4"/>
      </w:pPr>
      <w:bookmarkStart w:id="52" w:name="_Toc403048457"/>
      <w:bookmarkStart w:id="53" w:name="_Toc180687224"/>
      <w:bookmarkStart w:id="54" w:name="_Toc180767061"/>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339"/>
        <w:gridCol w:w="2623"/>
        <w:gridCol w:w="2055"/>
        <w:gridCol w:w="1801"/>
      </w:tblGrid>
      <w:tr w:rsidR="00FA0EA7" w:rsidRPr="00221FC9" w14:paraId="2C604889" w14:textId="77777777" w:rsidTr="00AE32F4">
        <w:trPr>
          <w:cantSplit/>
        </w:trPr>
        <w:tc>
          <w:tcPr>
            <w:tcW w:w="8818" w:type="dxa"/>
            <w:gridSpan w:val="4"/>
            <w:tcBorders>
              <w:bottom w:val="nil"/>
            </w:tcBorders>
            <w:shd w:val="clear" w:color="auto" w:fill="FFFF99"/>
          </w:tcPr>
          <w:p w14:paraId="122EE6FE" w14:textId="77777777" w:rsidR="00FA0EA7" w:rsidRPr="00221FC9" w:rsidRDefault="00FA0EA7" w:rsidP="009374B1">
            <w:pPr>
              <w:pStyle w:val="TableText"/>
              <w:spacing w:after="0"/>
              <w:rPr>
                <w:b/>
              </w:rPr>
            </w:pPr>
            <w:r w:rsidRPr="00221FC9">
              <w:rPr>
                <w:b/>
              </w:rPr>
              <w:t>Indicators (out of 21):</w:t>
            </w:r>
          </w:p>
        </w:tc>
      </w:tr>
      <w:tr w:rsidR="00FA0EA7" w:rsidRPr="00221FC9" w14:paraId="35EE7E43" w14:textId="77777777" w:rsidTr="00AE32F4">
        <w:trPr>
          <w:cantSplit/>
        </w:trPr>
        <w:tc>
          <w:tcPr>
            <w:tcW w:w="2339" w:type="dxa"/>
            <w:tcBorders>
              <w:top w:val="nil"/>
              <w:right w:val="nil"/>
            </w:tcBorders>
            <w:shd w:val="clear" w:color="auto" w:fill="FFFF99"/>
          </w:tcPr>
          <w:p w14:paraId="04CB7455"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623" w:type="dxa"/>
            <w:tcBorders>
              <w:top w:val="nil"/>
              <w:left w:val="nil"/>
              <w:right w:val="nil"/>
            </w:tcBorders>
            <w:shd w:val="clear" w:color="auto" w:fill="FFFF99"/>
          </w:tcPr>
          <w:p w14:paraId="0C3A9C13"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tcBorders>
              <w:top w:val="nil"/>
              <w:left w:val="nil"/>
              <w:right w:val="nil"/>
            </w:tcBorders>
            <w:shd w:val="clear" w:color="auto" w:fill="FFFF99"/>
          </w:tcPr>
          <w:p w14:paraId="3F824B69"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801" w:type="dxa"/>
            <w:tcBorders>
              <w:top w:val="nil"/>
              <w:left w:val="nil"/>
            </w:tcBorders>
            <w:shd w:val="clear" w:color="auto" w:fill="FFFF99"/>
          </w:tcPr>
          <w:p w14:paraId="0493D211"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46890C9D"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818"/>
      </w:tblGrid>
      <w:tr w:rsidR="00FA0EA7" w:rsidRPr="00221FC9" w14:paraId="625500F3" w14:textId="77777777" w:rsidTr="00AE32F4">
        <w:trPr>
          <w:cantSplit/>
          <w:trHeight w:val="1134"/>
        </w:trPr>
        <w:tc>
          <w:tcPr>
            <w:tcW w:w="8818" w:type="dxa"/>
            <w:shd w:val="clear" w:color="auto" w:fill="FFFF99"/>
          </w:tcPr>
          <w:p w14:paraId="12B5C50B"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72124ED4" w14:textId="77777777" w:rsidR="00FA0EA7" w:rsidRPr="00221FC9" w:rsidRDefault="00FA0EA7" w:rsidP="00FA0EA7"/>
    <w:p w14:paraId="317DEFB6" w14:textId="77777777" w:rsidR="00AE32F4" w:rsidRDefault="00AE32F4" w:rsidP="00FA0EA7">
      <w:pPr>
        <w:pStyle w:val="Heading3"/>
        <w:rPr>
          <w:rFonts w:eastAsia="PMingLiU"/>
        </w:rPr>
        <w:sectPr w:rsidR="00AE32F4" w:rsidSect="00150ECE">
          <w:pgSz w:w="11907" w:h="16834" w:code="9"/>
          <w:pgMar w:top="1418" w:right="1701" w:bottom="1134" w:left="1843" w:header="284" w:footer="425" w:gutter="284"/>
          <w:cols w:space="720"/>
        </w:sectPr>
      </w:pPr>
    </w:p>
    <w:p w14:paraId="43671214" w14:textId="4761E817" w:rsidR="00FA0EA7" w:rsidRPr="00221FC9" w:rsidRDefault="00FA0EA7" w:rsidP="000D6740">
      <w:pPr>
        <w:pStyle w:val="Heading3"/>
        <w:spacing w:before="0"/>
        <w:rPr>
          <w:rFonts w:eastAsia="PMingLiU"/>
        </w:rPr>
      </w:pPr>
      <w:r w:rsidRPr="00221FC9">
        <w:rPr>
          <w:rFonts w:eastAsia="PMingLiU"/>
        </w:rPr>
        <w:lastRenderedPageBreak/>
        <w:t>4</w:t>
      </w:r>
      <w:r w:rsidRPr="00221FC9">
        <w:rPr>
          <w:rFonts w:eastAsia="PMingLiU"/>
        </w:rPr>
        <w:tab/>
        <w:t>Safety issues</w:t>
      </w:r>
      <w:bookmarkEnd w:id="52"/>
    </w:p>
    <w:tbl>
      <w:tblPr>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3"/>
        <w:gridCol w:w="2268"/>
        <w:gridCol w:w="1276"/>
        <w:gridCol w:w="851"/>
      </w:tblGrid>
      <w:tr w:rsidR="00FA0EA7" w:rsidRPr="00221FC9" w14:paraId="39C23CA2" w14:textId="77777777" w:rsidTr="00AE32F4">
        <w:trPr>
          <w:cantSplit/>
          <w:trHeight w:val="20"/>
        </w:trPr>
        <w:tc>
          <w:tcPr>
            <w:tcW w:w="4423" w:type="dxa"/>
            <w:shd w:val="clear" w:color="auto" w:fill="D9D9D9" w:themeFill="background1" w:themeFillShade="D9"/>
          </w:tcPr>
          <w:p w14:paraId="642D54DE" w14:textId="77777777" w:rsidR="00FA0EA7" w:rsidRPr="00221FC9" w:rsidRDefault="00FA0EA7" w:rsidP="009374B1">
            <w:pPr>
              <w:pStyle w:val="TableText"/>
              <w:rPr>
                <w:b/>
              </w:rPr>
            </w:pPr>
            <w:r w:rsidRPr="00221FC9">
              <w:rPr>
                <w:b/>
              </w:rPr>
              <w:t>Indicators</w:t>
            </w:r>
          </w:p>
        </w:tc>
        <w:tc>
          <w:tcPr>
            <w:tcW w:w="2268" w:type="dxa"/>
            <w:shd w:val="clear" w:color="auto" w:fill="D9D9D9" w:themeFill="background1" w:themeFillShade="D9"/>
          </w:tcPr>
          <w:p w14:paraId="3A1DAD0E" w14:textId="767A7F8F" w:rsidR="00FA0EA7" w:rsidRPr="00221FC9" w:rsidRDefault="00C11D97" w:rsidP="009374B1">
            <w:pPr>
              <w:pStyle w:val="TableText"/>
              <w:rPr>
                <w:b/>
              </w:rPr>
            </w:pPr>
            <w:r>
              <w:rPr>
                <w:rFonts w:eastAsia="PMingLiU"/>
                <w:b/>
              </w:rPr>
              <w:t>Data source/</w:t>
            </w:r>
            <w:r w:rsidR="00FA0EA7" w:rsidRPr="00221FC9">
              <w:rPr>
                <w:b/>
              </w:rPr>
              <w:t>Evidence</w:t>
            </w:r>
          </w:p>
        </w:tc>
        <w:tc>
          <w:tcPr>
            <w:tcW w:w="1276" w:type="dxa"/>
            <w:shd w:val="clear" w:color="auto" w:fill="D9D9D9" w:themeFill="background1" w:themeFillShade="D9"/>
          </w:tcPr>
          <w:p w14:paraId="1F84B4D9" w14:textId="77777777" w:rsidR="00FA0EA7" w:rsidRPr="00221FC9" w:rsidRDefault="00FA0EA7" w:rsidP="009374B1">
            <w:pPr>
              <w:pStyle w:val="TableText"/>
              <w:rPr>
                <w:b/>
              </w:rPr>
            </w:pPr>
            <w:r w:rsidRPr="00221FC9">
              <w:rPr>
                <w:b/>
              </w:rPr>
              <w:t>Attainment</w:t>
            </w:r>
          </w:p>
        </w:tc>
        <w:tc>
          <w:tcPr>
            <w:tcW w:w="851" w:type="dxa"/>
            <w:shd w:val="clear" w:color="auto" w:fill="D9D9D9" w:themeFill="background1" w:themeFillShade="D9"/>
          </w:tcPr>
          <w:p w14:paraId="411ABC9A" w14:textId="77777777" w:rsidR="00FA0EA7" w:rsidRPr="00221FC9" w:rsidRDefault="00FA0EA7" w:rsidP="009374B1">
            <w:pPr>
              <w:pStyle w:val="TableText"/>
              <w:rPr>
                <w:b/>
              </w:rPr>
            </w:pPr>
            <w:r w:rsidRPr="00221FC9">
              <w:rPr>
                <w:b/>
              </w:rPr>
              <w:t>Risk</w:t>
            </w:r>
          </w:p>
        </w:tc>
      </w:tr>
      <w:tr w:rsidR="00FA0EA7" w:rsidRPr="00221FC9" w14:paraId="75B0484A" w14:textId="77777777" w:rsidTr="00AE32F4">
        <w:trPr>
          <w:cantSplit/>
          <w:trHeight w:val="20"/>
        </w:trPr>
        <w:tc>
          <w:tcPr>
            <w:tcW w:w="4423" w:type="dxa"/>
            <w:shd w:val="clear" w:color="auto" w:fill="F3F3F3"/>
          </w:tcPr>
          <w:p w14:paraId="6B9CE0C6" w14:textId="77777777" w:rsidR="00FA0EA7" w:rsidRPr="00221FC9" w:rsidRDefault="00FA0EA7" w:rsidP="009374B1">
            <w:pPr>
              <w:pStyle w:val="TableText"/>
              <w:rPr>
                <w:b/>
              </w:rPr>
            </w:pPr>
            <w:r w:rsidRPr="00221FC9">
              <w:rPr>
                <w:b/>
              </w:rPr>
              <w:t>4.1</w:t>
            </w:r>
            <w:r w:rsidRPr="00221FC9">
              <w:rPr>
                <w:b/>
              </w:rPr>
              <w:tab/>
              <w:t>Overdose</w:t>
            </w:r>
          </w:p>
        </w:tc>
        <w:tc>
          <w:tcPr>
            <w:tcW w:w="2268" w:type="dxa"/>
            <w:shd w:val="clear" w:color="auto" w:fill="F3F3F3"/>
          </w:tcPr>
          <w:p w14:paraId="7C680888" w14:textId="77777777" w:rsidR="00FA0EA7" w:rsidRPr="00221FC9" w:rsidRDefault="00FA0EA7" w:rsidP="009374B1">
            <w:pPr>
              <w:pStyle w:val="TableText"/>
            </w:pPr>
          </w:p>
        </w:tc>
        <w:tc>
          <w:tcPr>
            <w:tcW w:w="1276" w:type="dxa"/>
            <w:shd w:val="clear" w:color="auto" w:fill="F3F3F3"/>
          </w:tcPr>
          <w:p w14:paraId="3E1C4C4E" w14:textId="77777777" w:rsidR="00FA0EA7" w:rsidRPr="00221FC9" w:rsidRDefault="00FA0EA7" w:rsidP="009374B1">
            <w:pPr>
              <w:pStyle w:val="TableText"/>
            </w:pPr>
          </w:p>
        </w:tc>
        <w:tc>
          <w:tcPr>
            <w:tcW w:w="851" w:type="dxa"/>
            <w:shd w:val="clear" w:color="auto" w:fill="F3F3F3"/>
          </w:tcPr>
          <w:p w14:paraId="5EA832C3" w14:textId="77777777" w:rsidR="00FA0EA7" w:rsidRPr="00221FC9" w:rsidRDefault="00FA0EA7" w:rsidP="009374B1">
            <w:pPr>
              <w:pStyle w:val="TableText"/>
            </w:pPr>
          </w:p>
        </w:tc>
      </w:tr>
      <w:tr w:rsidR="00FA0EA7" w:rsidRPr="00221FC9" w14:paraId="038EBCDF" w14:textId="77777777" w:rsidTr="00AE32F4">
        <w:trPr>
          <w:cantSplit/>
          <w:trHeight w:val="20"/>
        </w:trPr>
        <w:tc>
          <w:tcPr>
            <w:tcW w:w="4423" w:type="dxa"/>
          </w:tcPr>
          <w:p w14:paraId="06D23CD7" w14:textId="352D4A69"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and their support people are provided with relevant information on the risks of overdose and actions to take in an emergency</w:t>
            </w:r>
            <w:r w:rsidR="00411191">
              <w:t>.</w:t>
            </w:r>
          </w:p>
        </w:tc>
        <w:tc>
          <w:tcPr>
            <w:tcW w:w="2268" w:type="dxa"/>
          </w:tcPr>
          <w:p w14:paraId="4A74C49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7CA7CA4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C08AAD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71AF64DB" w14:textId="77777777" w:rsidTr="00AE32F4">
        <w:trPr>
          <w:cantSplit/>
          <w:trHeight w:val="20"/>
        </w:trPr>
        <w:tc>
          <w:tcPr>
            <w:tcW w:w="4423" w:type="dxa"/>
          </w:tcPr>
          <w:p w14:paraId="15F0646C" w14:textId="77777777" w:rsidR="00AE32F4" w:rsidRPr="00221FC9" w:rsidRDefault="00AE32F4" w:rsidP="00AE32F4">
            <w:pPr>
              <w:pStyle w:val="TableText"/>
            </w:pPr>
            <w:r w:rsidRPr="00221FC9">
              <w:t xml:space="preserve">Naloxone and accompanying information </w:t>
            </w:r>
            <w:r>
              <w:t>are</w:t>
            </w:r>
            <w:r w:rsidRPr="00221FC9">
              <w:t xml:space="preserve"> made available to tāngata </w:t>
            </w:r>
            <w:proofErr w:type="spellStart"/>
            <w:r w:rsidRPr="00221FC9">
              <w:t>whai</w:t>
            </w:r>
            <w:proofErr w:type="spellEnd"/>
            <w:r w:rsidRPr="00221FC9">
              <w:t xml:space="preserve"> ora.</w:t>
            </w:r>
          </w:p>
        </w:tc>
        <w:tc>
          <w:tcPr>
            <w:tcW w:w="2268" w:type="dxa"/>
          </w:tcPr>
          <w:p w14:paraId="4249398F" w14:textId="1A73DEF0"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0E31F0E1" w14:textId="6A3C61BF"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CF2979E" w14:textId="297EBDF2"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2E2934D" w14:textId="77777777" w:rsidTr="00AE32F4">
        <w:trPr>
          <w:cantSplit/>
          <w:trHeight w:val="20"/>
        </w:trPr>
        <w:tc>
          <w:tcPr>
            <w:tcW w:w="4423" w:type="dxa"/>
            <w:shd w:val="clear" w:color="auto" w:fill="F3F3F3"/>
          </w:tcPr>
          <w:p w14:paraId="70BD2B4E" w14:textId="77777777" w:rsidR="00FA0EA7" w:rsidRPr="00221FC9" w:rsidRDefault="00FA0EA7" w:rsidP="009374B1">
            <w:pPr>
              <w:pStyle w:val="TableText"/>
              <w:rPr>
                <w:b/>
              </w:rPr>
            </w:pPr>
            <w:r w:rsidRPr="00221FC9">
              <w:rPr>
                <w:b/>
              </w:rPr>
              <w:t>4.2</w:t>
            </w:r>
            <w:r w:rsidRPr="00221FC9">
              <w:rPr>
                <w:b/>
              </w:rPr>
              <w:tab/>
              <w:t>Substance-impaired driving</w:t>
            </w:r>
          </w:p>
        </w:tc>
        <w:tc>
          <w:tcPr>
            <w:tcW w:w="2268" w:type="dxa"/>
            <w:shd w:val="clear" w:color="auto" w:fill="F3F3F3"/>
          </w:tcPr>
          <w:p w14:paraId="24333205" w14:textId="77777777" w:rsidR="00FA0EA7" w:rsidRPr="00221FC9" w:rsidRDefault="00FA0EA7" w:rsidP="009374B1">
            <w:pPr>
              <w:pStyle w:val="TableText"/>
              <w:rPr>
                <w:highlight w:val="yellow"/>
              </w:rPr>
            </w:pPr>
          </w:p>
        </w:tc>
        <w:tc>
          <w:tcPr>
            <w:tcW w:w="1276" w:type="dxa"/>
            <w:shd w:val="clear" w:color="auto" w:fill="F3F3F3"/>
          </w:tcPr>
          <w:p w14:paraId="5B12A5D5" w14:textId="77777777" w:rsidR="00FA0EA7" w:rsidRPr="00221FC9" w:rsidRDefault="00FA0EA7" w:rsidP="009374B1">
            <w:pPr>
              <w:pStyle w:val="TableText"/>
              <w:rPr>
                <w:highlight w:val="yellow"/>
              </w:rPr>
            </w:pPr>
          </w:p>
        </w:tc>
        <w:tc>
          <w:tcPr>
            <w:tcW w:w="851" w:type="dxa"/>
            <w:shd w:val="clear" w:color="auto" w:fill="F3F3F3"/>
          </w:tcPr>
          <w:p w14:paraId="7570C92C" w14:textId="77777777" w:rsidR="00FA0EA7" w:rsidRPr="00221FC9" w:rsidRDefault="00FA0EA7" w:rsidP="009374B1">
            <w:pPr>
              <w:pStyle w:val="TableText"/>
              <w:rPr>
                <w:highlight w:val="yellow"/>
              </w:rPr>
            </w:pPr>
          </w:p>
        </w:tc>
      </w:tr>
      <w:tr w:rsidR="00FA0EA7" w:rsidRPr="00221FC9" w14:paraId="6B8E0EAB" w14:textId="77777777" w:rsidTr="00AE32F4">
        <w:trPr>
          <w:cantSplit/>
          <w:trHeight w:val="20"/>
        </w:trPr>
        <w:tc>
          <w:tcPr>
            <w:tcW w:w="4423" w:type="dxa"/>
          </w:tcPr>
          <w:p w14:paraId="49399D41" w14:textId="4643C466" w:rsidR="00FA0EA7" w:rsidRPr="00221FC9" w:rsidRDefault="00FA0EA7" w:rsidP="009374B1">
            <w:pPr>
              <w:pStyle w:val="TableText"/>
            </w:pPr>
            <w:r w:rsidRPr="00221FC9">
              <w:t xml:space="preserve">Before admission, tāngata </w:t>
            </w:r>
            <w:proofErr w:type="spellStart"/>
            <w:r w:rsidRPr="00221FC9">
              <w:t>whai</w:t>
            </w:r>
            <w:proofErr w:type="spellEnd"/>
            <w:r w:rsidRPr="00221FC9">
              <w:t xml:space="preserve"> ora are informed of the risks of driving while on OST, in particular during induction, when their dose is increased or decreased or when they are prescribed or using other substances that also impair driving or  alter the metabolism of the opioid substitution medication as part of the ongoing informed consent</w:t>
            </w:r>
            <w:r>
              <w:t xml:space="preserve"> </w:t>
            </w:r>
            <w:r w:rsidRPr="00221FC9">
              <w:t>processes.</w:t>
            </w:r>
          </w:p>
        </w:tc>
        <w:tc>
          <w:tcPr>
            <w:tcW w:w="2268" w:type="dxa"/>
          </w:tcPr>
          <w:p w14:paraId="4252ADD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78E4F3A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264AEA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E69D806" w14:textId="77777777" w:rsidTr="00AE32F4">
        <w:trPr>
          <w:cantSplit/>
          <w:trHeight w:val="20"/>
        </w:trPr>
        <w:tc>
          <w:tcPr>
            <w:tcW w:w="4423" w:type="dxa"/>
          </w:tcPr>
          <w:p w14:paraId="75313FE5" w14:textId="08ED19D7" w:rsidR="00FA0EA7" w:rsidRPr="00221FC9" w:rsidRDefault="00FA0EA7" w:rsidP="009374B1">
            <w:pPr>
              <w:pStyle w:val="TableText"/>
            </w:pPr>
            <w:r w:rsidRPr="00221FC9">
              <w:t>Identified risks are effectively managed and documented.</w:t>
            </w:r>
          </w:p>
        </w:tc>
        <w:tc>
          <w:tcPr>
            <w:tcW w:w="2268" w:type="dxa"/>
          </w:tcPr>
          <w:p w14:paraId="7D6D33D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616BB94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CAF5C0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56CB037" w14:textId="77777777" w:rsidTr="00AE32F4">
        <w:trPr>
          <w:cantSplit/>
          <w:trHeight w:val="20"/>
        </w:trPr>
        <w:tc>
          <w:tcPr>
            <w:tcW w:w="4423" w:type="dxa"/>
            <w:shd w:val="clear" w:color="auto" w:fill="F3F3F3"/>
          </w:tcPr>
          <w:p w14:paraId="6D913E9C" w14:textId="77777777" w:rsidR="00FA0EA7" w:rsidRPr="00221FC9" w:rsidRDefault="00FA0EA7" w:rsidP="009374B1">
            <w:pPr>
              <w:pStyle w:val="TableText"/>
              <w:rPr>
                <w:rFonts w:cs="Arial"/>
                <w:b/>
              </w:rPr>
            </w:pPr>
            <w:r w:rsidRPr="00221FC9">
              <w:rPr>
                <w:rFonts w:cs="Arial"/>
                <w:b/>
              </w:rPr>
              <w:t>4.3</w:t>
            </w:r>
            <w:r w:rsidRPr="00221FC9">
              <w:rPr>
                <w:rFonts w:cs="Arial"/>
                <w:b/>
              </w:rPr>
              <w:tab/>
              <w:t>Methadone and cardiac safety</w:t>
            </w:r>
          </w:p>
        </w:tc>
        <w:tc>
          <w:tcPr>
            <w:tcW w:w="2268" w:type="dxa"/>
            <w:shd w:val="clear" w:color="auto" w:fill="F3F3F3"/>
          </w:tcPr>
          <w:p w14:paraId="781BDE2E" w14:textId="77777777" w:rsidR="00FA0EA7" w:rsidRPr="00221FC9" w:rsidRDefault="00FA0EA7" w:rsidP="009374B1">
            <w:pPr>
              <w:pStyle w:val="TableText"/>
              <w:rPr>
                <w:rFonts w:cs="Arial"/>
                <w:highlight w:val="yellow"/>
              </w:rPr>
            </w:pPr>
          </w:p>
        </w:tc>
        <w:tc>
          <w:tcPr>
            <w:tcW w:w="1276" w:type="dxa"/>
            <w:shd w:val="clear" w:color="auto" w:fill="F3F3F3"/>
          </w:tcPr>
          <w:p w14:paraId="6027801F" w14:textId="77777777" w:rsidR="00FA0EA7" w:rsidRPr="00221FC9" w:rsidRDefault="00FA0EA7" w:rsidP="009374B1">
            <w:pPr>
              <w:pStyle w:val="TableText"/>
              <w:rPr>
                <w:rFonts w:cs="Arial"/>
                <w:highlight w:val="yellow"/>
              </w:rPr>
            </w:pPr>
          </w:p>
        </w:tc>
        <w:tc>
          <w:tcPr>
            <w:tcW w:w="851" w:type="dxa"/>
            <w:shd w:val="clear" w:color="auto" w:fill="F3F3F3"/>
          </w:tcPr>
          <w:p w14:paraId="666B1760" w14:textId="77777777" w:rsidR="00FA0EA7" w:rsidRPr="00221FC9" w:rsidRDefault="00FA0EA7" w:rsidP="009374B1">
            <w:pPr>
              <w:pStyle w:val="TableText"/>
              <w:rPr>
                <w:rFonts w:cs="Arial"/>
                <w:highlight w:val="yellow"/>
              </w:rPr>
            </w:pPr>
          </w:p>
        </w:tc>
      </w:tr>
      <w:tr w:rsidR="00FA0EA7" w:rsidRPr="00221FC9" w14:paraId="225043D5" w14:textId="77777777" w:rsidTr="00AE32F4">
        <w:trPr>
          <w:cantSplit/>
          <w:trHeight w:val="20"/>
        </w:trPr>
        <w:tc>
          <w:tcPr>
            <w:tcW w:w="4423" w:type="dxa"/>
          </w:tcPr>
          <w:p w14:paraId="25B10EDD" w14:textId="77777777"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are screened for the risk of QTc interval prolongation at entry to, and during, OST as appropriate.</w:t>
            </w:r>
          </w:p>
        </w:tc>
        <w:tc>
          <w:tcPr>
            <w:tcW w:w="2268" w:type="dxa"/>
          </w:tcPr>
          <w:p w14:paraId="149408C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0E229C7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0D9E5C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0B554CB" w14:textId="77777777" w:rsidTr="00AE32F4">
        <w:trPr>
          <w:cantSplit/>
          <w:trHeight w:val="20"/>
        </w:trPr>
        <w:tc>
          <w:tcPr>
            <w:tcW w:w="4423" w:type="dxa"/>
            <w:shd w:val="clear" w:color="auto" w:fill="F3F3F3"/>
          </w:tcPr>
          <w:p w14:paraId="7C46FB9F" w14:textId="77777777" w:rsidR="00FA0EA7" w:rsidRPr="00221FC9" w:rsidRDefault="00FA0EA7" w:rsidP="009374B1">
            <w:pPr>
              <w:pStyle w:val="TableText"/>
              <w:rPr>
                <w:rFonts w:cs="Arial"/>
                <w:b/>
              </w:rPr>
            </w:pPr>
            <w:r w:rsidRPr="00221FC9">
              <w:rPr>
                <w:rFonts w:cs="Arial"/>
                <w:b/>
              </w:rPr>
              <w:t>4.4</w:t>
            </w:r>
            <w:r w:rsidRPr="00221FC9">
              <w:rPr>
                <w:rFonts w:cs="Arial"/>
                <w:b/>
              </w:rPr>
              <w:tab/>
              <w:t>Drug interactions</w:t>
            </w:r>
          </w:p>
        </w:tc>
        <w:tc>
          <w:tcPr>
            <w:tcW w:w="2268" w:type="dxa"/>
            <w:shd w:val="clear" w:color="auto" w:fill="F3F3F3"/>
          </w:tcPr>
          <w:p w14:paraId="4A2FFA46" w14:textId="77777777" w:rsidR="00FA0EA7" w:rsidRPr="00221FC9" w:rsidRDefault="00FA0EA7" w:rsidP="009374B1">
            <w:pPr>
              <w:pStyle w:val="TableText"/>
              <w:rPr>
                <w:rFonts w:cs="Calibri"/>
              </w:rPr>
            </w:pPr>
          </w:p>
        </w:tc>
        <w:tc>
          <w:tcPr>
            <w:tcW w:w="1276" w:type="dxa"/>
            <w:shd w:val="clear" w:color="auto" w:fill="F3F3F3"/>
          </w:tcPr>
          <w:p w14:paraId="2DA11E7B" w14:textId="77777777" w:rsidR="00FA0EA7" w:rsidRPr="00221FC9" w:rsidRDefault="00FA0EA7" w:rsidP="009374B1">
            <w:pPr>
              <w:pStyle w:val="TableText"/>
              <w:rPr>
                <w:rFonts w:cs="Arial"/>
                <w:highlight w:val="yellow"/>
              </w:rPr>
            </w:pPr>
          </w:p>
        </w:tc>
        <w:tc>
          <w:tcPr>
            <w:tcW w:w="851" w:type="dxa"/>
            <w:shd w:val="clear" w:color="auto" w:fill="F3F3F3"/>
          </w:tcPr>
          <w:p w14:paraId="191B205D" w14:textId="77777777" w:rsidR="00FA0EA7" w:rsidRPr="00221FC9" w:rsidRDefault="00FA0EA7" w:rsidP="009374B1">
            <w:pPr>
              <w:pStyle w:val="TableText"/>
              <w:rPr>
                <w:rFonts w:cs="Arial"/>
                <w:highlight w:val="yellow"/>
              </w:rPr>
            </w:pPr>
          </w:p>
        </w:tc>
      </w:tr>
      <w:tr w:rsidR="00AE32F4" w:rsidRPr="00221FC9" w14:paraId="1AF3ADEF" w14:textId="77777777" w:rsidTr="00AE32F4">
        <w:trPr>
          <w:cantSplit/>
          <w:trHeight w:val="20"/>
        </w:trPr>
        <w:tc>
          <w:tcPr>
            <w:tcW w:w="4423" w:type="dxa"/>
          </w:tcPr>
          <w:p w14:paraId="41289DE5" w14:textId="5F0448F3" w:rsidR="00AE32F4" w:rsidRPr="00AE32F4" w:rsidRDefault="00AE32F4" w:rsidP="00AE32F4">
            <w:pPr>
              <w:pStyle w:val="TableText"/>
            </w:pPr>
            <w:r w:rsidRPr="00221FC9">
              <w:t xml:space="preserve">The clinical relevance of drug interactions is assessed. Where it is not possible to avoid co-prescribing medications, a risk-benefit assessment should be conducted. Decisions to switch medication or adjust doses should be made on an individual basis in discussion with tāngata </w:t>
            </w:r>
            <w:proofErr w:type="spellStart"/>
            <w:r w:rsidRPr="00221FC9">
              <w:t>whai</w:t>
            </w:r>
            <w:proofErr w:type="spellEnd"/>
            <w:r w:rsidRPr="00221FC9">
              <w:t xml:space="preserve"> ora and whānau, considering concurrent medical conditions, clinical history, and dosing information. </w:t>
            </w:r>
          </w:p>
        </w:tc>
        <w:tc>
          <w:tcPr>
            <w:tcW w:w="2268" w:type="dxa"/>
          </w:tcPr>
          <w:p w14:paraId="4E3E335B" w14:textId="2DE5DBB6" w:rsidR="00AE32F4" w:rsidRPr="00221FC9" w:rsidRDefault="00AE32F4" w:rsidP="00AE32F4">
            <w:pPr>
              <w:pStyle w:val="TableText"/>
              <w:rPr>
                <w:rFonts w:cs="Calibri"/>
                <w:highlight w:val="yellow"/>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6" w:type="dxa"/>
          </w:tcPr>
          <w:p w14:paraId="434509BE" w14:textId="662A9D59" w:rsidR="00AE32F4" w:rsidRPr="00221FC9" w:rsidRDefault="00AE32F4" w:rsidP="00AE32F4">
            <w:pPr>
              <w:pStyle w:val="TableText"/>
              <w:rPr>
                <w:rFonts w:cs="Arial"/>
                <w:highlight w:val="yellow"/>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A939624" w14:textId="0BE33D12" w:rsidR="00AE32F4" w:rsidRPr="00221FC9" w:rsidRDefault="00AE32F4" w:rsidP="00AE32F4">
            <w:pPr>
              <w:pStyle w:val="TableText"/>
              <w:rPr>
                <w:rFonts w:cs="Arial"/>
                <w:highlight w:val="yellow"/>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54FFA641" w14:textId="77777777" w:rsidR="00FA0EA7" w:rsidRPr="00221FC9" w:rsidRDefault="00FA0EA7" w:rsidP="00FA0EA7">
      <w:pPr>
        <w:pStyle w:val="Heading4"/>
      </w:pPr>
      <w:bookmarkStart w:id="55" w:name="_Toc403048458"/>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623"/>
        <w:gridCol w:w="2055"/>
        <w:gridCol w:w="1801"/>
      </w:tblGrid>
      <w:tr w:rsidR="00FA0EA7" w:rsidRPr="00221FC9" w14:paraId="1F8BD5C2" w14:textId="77777777" w:rsidTr="00AE32F4">
        <w:trPr>
          <w:cantSplit/>
        </w:trPr>
        <w:tc>
          <w:tcPr>
            <w:tcW w:w="8818" w:type="dxa"/>
            <w:gridSpan w:val="4"/>
            <w:shd w:val="clear" w:color="auto" w:fill="FFFF99"/>
          </w:tcPr>
          <w:p w14:paraId="6E99DBA2" w14:textId="77777777" w:rsidR="00FA0EA7" w:rsidRPr="00221FC9" w:rsidRDefault="00FA0EA7" w:rsidP="009374B1">
            <w:pPr>
              <w:pStyle w:val="TableText"/>
              <w:spacing w:after="0"/>
              <w:rPr>
                <w:b/>
              </w:rPr>
            </w:pPr>
            <w:r w:rsidRPr="00221FC9">
              <w:rPr>
                <w:b/>
              </w:rPr>
              <w:t>Indicators (out of 6):</w:t>
            </w:r>
          </w:p>
        </w:tc>
      </w:tr>
      <w:tr w:rsidR="00FA0EA7" w:rsidRPr="00221FC9" w14:paraId="338F33B6" w14:textId="77777777" w:rsidTr="00AE32F4">
        <w:trPr>
          <w:cantSplit/>
        </w:trPr>
        <w:tc>
          <w:tcPr>
            <w:tcW w:w="2339" w:type="dxa"/>
            <w:shd w:val="clear" w:color="auto" w:fill="FFFF99"/>
          </w:tcPr>
          <w:p w14:paraId="52942959"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623" w:type="dxa"/>
            <w:shd w:val="clear" w:color="auto" w:fill="FFFF99"/>
          </w:tcPr>
          <w:p w14:paraId="19032C2D"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shd w:val="clear" w:color="auto" w:fill="FFFF99"/>
          </w:tcPr>
          <w:p w14:paraId="29C282F4"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801" w:type="dxa"/>
            <w:shd w:val="clear" w:color="auto" w:fill="FFFF99"/>
          </w:tcPr>
          <w:p w14:paraId="2626A4DB"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2B4D1B05"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818"/>
      </w:tblGrid>
      <w:tr w:rsidR="00FA0EA7" w:rsidRPr="00221FC9" w14:paraId="0085DD6A" w14:textId="77777777" w:rsidTr="00AE32F4">
        <w:trPr>
          <w:cantSplit/>
          <w:trHeight w:val="1134"/>
        </w:trPr>
        <w:tc>
          <w:tcPr>
            <w:tcW w:w="8818" w:type="dxa"/>
            <w:shd w:val="clear" w:color="auto" w:fill="FFFF99"/>
          </w:tcPr>
          <w:p w14:paraId="481248F6"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2A8BC908" w14:textId="77777777" w:rsidR="00FA0EA7" w:rsidRPr="00221FC9" w:rsidRDefault="00FA0EA7" w:rsidP="00FA0EA7"/>
    <w:p w14:paraId="4FAC011D" w14:textId="77777777" w:rsidR="00FA0EA7" w:rsidRPr="00221FC9" w:rsidRDefault="00FA0EA7" w:rsidP="00C34511">
      <w:pPr>
        <w:pStyle w:val="Heading3"/>
        <w:spacing w:before="0"/>
        <w:rPr>
          <w:rFonts w:eastAsia="PMingLiU"/>
        </w:rPr>
      </w:pPr>
      <w:r w:rsidRPr="00221FC9">
        <w:rPr>
          <w:rFonts w:eastAsia="PMingLiU"/>
        </w:rPr>
        <w:lastRenderedPageBreak/>
        <w:t>5</w:t>
      </w:r>
      <w:r w:rsidRPr="00221FC9">
        <w:rPr>
          <w:rFonts w:eastAsia="PMingLiU"/>
        </w:rPr>
        <w:tab/>
        <w:t>Managing dose-related issues</w:t>
      </w:r>
      <w:bookmarkEnd w:id="55"/>
    </w:p>
    <w:tbl>
      <w:tblPr>
        <w:tblW w:w="882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73"/>
        <w:gridCol w:w="1275"/>
        <w:gridCol w:w="851"/>
      </w:tblGrid>
      <w:tr w:rsidR="00FA0EA7" w:rsidRPr="00221FC9" w14:paraId="7A9F9CA3" w14:textId="77777777" w:rsidTr="00AE32F4">
        <w:trPr>
          <w:cantSplit/>
          <w:trHeight w:val="20"/>
        </w:trPr>
        <w:tc>
          <w:tcPr>
            <w:tcW w:w="4422" w:type="dxa"/>
            <w:shd w:val="clear" w:color="auto" w:fill="D9D9D9" w:themeFill="background1" w:themeFillShade="D9"/>
          </w:tcPr>
          <w:p w14:paraId="14B38646" w14:textId="77777777" w:rsidR="00FA0EA7" w:rsidRPr="00221FC9" w:rsidRDefault="00FA0EA7" w:rsidP="009374B1">
            <w:pPr>
              <w:pStyle w:val="TableText"/>
              <w:keepNext/>
              <w:rPr>
                <w:b/>
              </w:rPr>
            </w:pPr>
            <w:r w:rsidRPr="00221FC9">
              <w:rPr>
                <w:b/>
              </w:rPr>
              <w:t>Indicators</w:t>
            </w:r>
          </w:p>
        </w:tc>
        <w:tc>
          <w:tcPr>
            <w:tcW w:w="2273" w:type="dxa"/>
            <w:shd w:val="clear" w:color="auto" w:fill="D9D9D9" w:themeFill="background1" w:themeFillShade="D9"/>
          </w:tcPr>
          <w:p w14:paraId="4632E739" w14:textId="547C8B3B" w:rsidR="00FA0EA7" w:rsidRPr="00221FC9" w:rsidRDefault="00C11D97" w:rsidP="009374B1">
            <w:pPr>
              <w:pStyle w:val="TableText"/>
              <w:keepNext/>
              <w:rPr>
                <w:b/>
              </w:rPr>
            </w:pPr>
            <w:r>
              <w:rPr>
                <w:rFonts w:eastAsia="PMingLiU"/>
                <w:b/>
              </w:rPr>
              <w:t>Data source/</w:t>
            </w:r>
            <w:r w:rsidR="00FA0EA7" w:rsidRPr="00221FC9">
              <w:rPr>
                <w:b/>
              </w:rPr>
              <w:t>Evidence</w:t>
            </w:r>
          </w:p>
        </w:tc>
        <w:tc>
          <w:tcPr>
            <w:tcW w:w="1275" w:type="dxa"/>
            <w:shd w:val="clear" w:color="auto" w:fill="D9D9D9" w:themeFill="background1" w:themeFillShade="D9"/>
          </w:tcPr>
          <w:p w14:paraId="29DD4D99" w14:textId="77777777" w:rsidR="00FA0EA7" w:rsidRPr="00221FC9" w:rsidRDefault="00FA0EA7" w:rsidP="009374B1">
            <w:pPr>
              <w:pStyle w:val="TableText"/>
              <w:keepNext/>
              <w:rPr>
                <w:b/>
              </w:rPr>
            </w:pPr>
            <w:r w:rsidRPr="00221FC9">
              <w:rPr>
                <w:b/>
              </w:rPr>
              <w:t>Attainment</w:t>
            </w:r>
          </w:p>
        </w:tc>
        <w:tc>
          <w:tcPr>
            <w:tcW w:w="851" w:type="dxa"/>
            <w:shd w:val="clear" w:color="auto" w:fill="D9D9D9" w:themeFill="background1" w:themeFillShade="D9"/>
          </w:tcPr>
          <w:p w14:paraId="29F6C2E5" w14:textId="77777777" w:rsidR="00FA0EA7" w:rsidRPr="00221FC9" w:rsidRDefault="00FA0EA7" w:rsidP="009374B1">
            <w:pPr>
              <w:pStyle w:val="TableText"/>
              <w:keepNext/>
              <w:rPr>
                <w:b/>
              </w:rPr>
            </w:pPr>
            <w:r w:rsidRPr="00221FC9">
              <w:rPr>
                <w:b/>
              </w:rPr>
              <w:t>Risk</w:t>
            </w:r>
          </w:p>
        </w:tc>
      </w:tr>
      <w:tr w:rsidR="00FA0EA7" w:rsidRPr="00221FC9" w14:paraId="2DA4F84C" w14:textId="77777777" w:rsidTr="00AE32F4">
        <w:trPr>
          <w:cantSplit/>
          <w:trHeight w:val="20"/>
        </w:trPr>
        <w:tc>
          <w:tcPr>
            <w:tcW w:w="4422" w:type="dxa"/>
            <w:shd w:val="clear" w:color="auto" w:fill="F3F3F3"/>
          </w:tcPr>
          <w:p w14:paraId="58490410" w14:textId="77777777" w:rsidR="00FA0EA7" w:rsidRPr="00221FC9" w:rsidRDefault="00FA0EA7" w:rsidP="009374B1">
            <w:pPr>
              <w:pStyle w:val="TableText"/>
              <w:keepNext/>
              <w:rPr>
                <w:rFonts w:cs="Helvetica"/>
                <w:b/>
                <w:color w:val="141413"/>
                <w:szCs w:val="26"/>
              </w:rPr>
            </w:pPr>
            <w:r w:rsidRPr="00221FC9">
              <w:rPr>
                <w:rFonts w:cs="Helvetica"/>
                <w:b/>
                <w:color w:val="141413"/>
                <w:szCs w:val="26"/>
              </w:rPr>
              <w:t>5.1</w:t>
            </w:r>
            <w:r w:rsidRPr="00221FC9">
              <w:rPr>
                <w:rFonts w:cs="Helvetica"/>
                <w:b/>
                <w:color w:val="141413"/>
                <w:szCs w:val="26"/>
              </w:rPr>
              <w:tab/>
              <w:t>Takeaway doses</w:t>
            </w:r>
          </w:p>
        </w:tc>
        <w:tc>
          <w:tcPr>
            <w:tcW w:w="2273" w:type="dxa"/>
            <w:shd w:val="clear" w:color="auto" w:fill="F3F3F3"/>
          </w:tcPr>
          <w:p w14:paraId="042DB48E" w14:textId="77777777" w:rsidR="00FA0EA7" w:rsidRPr="00221FC9" w:rsidRDefault="00FA0EA7" w:rsidP="009374B1">
            <w:pPr>
              <w:pStyle w:val="TableText"/>
              <w:keepNext/>
              <w:rPr>
                <w:rFonts w:cs="Helvetica"/>
                <w:color w:val="141413"/>
                <w:szCs w:val="26"/>
              </w:rPr>
            </w:pPr>
          </w:p>
        </w:tc>
        <w:tc>
          <w:tcPr>
            <w:tcW w:w="1275" w:type="dxa"/>
            <w:shd w:val="clear" w:color="auto" w:fill="F3F3F3"/>
          </w:tcPr>
          <w:p w14:paraId="68745DC9" w14:textId="77777777" w:rsidR="00FA0EA7" w:rsidRPr="00221FC9" w:rsidRDefault="00FA0EA7" w:rsidP="009374B1">
            <w:pPr>
              <w:pStyle w:val="TableText"/>
              <w:keepNext/>
              <w:rPr>
                <w:rFonts w:cs="Helvetica"/>
                <w:color w:val="141413"/>
                <w:szCs w:val="26"/>
              </w:rPr>
            </w:pPr>
          </w:p>
        </w:tc>
        <w:tc>
          <w:tcPr>
            <w:tcW w:w="851" w:type="dxa"/>
            <w:shd w:val="clear" w:color="auto" w:fill="F3F3F3"/>
          </w:tcPr>
          <w:p w14:paraId="533EDCAF" w14:textId="77777777" w:rsidR="00FA0EA7" w:rsidRPr="00221FC9" w:rsidRDefault="00FA0EA7" w:rsidP="009374B1">
            <w:pPr>
              <w:pStyle w:val="TableText"/>
              <w:keepNext/>
              <w:rPr>
                <w:rFonts w:cs="Helvetica"/>
                <w:color w:val="141413"/>
                <w:szCs w:val="26"/>
              </w:rPr>
            </w:pPr>
          </w:p>
        </w:tc>
      </w:tr>
      <w:tr w:rsidR="00FA0EA7" w:rsidRPr="00221FC9" w14:paraId="1B3C4436" w14:textId="77777777" w:rsidTr="00AE32F4">
        <w:trPr>
          <w:cantSplit/>
          <w:trHeight w:val="1294"/>
        </w:trPr>
        <w:tc>
          <w:tcPr>
            <w:tcW w:w="4422" w:type="dxa"/>
          </w:tcPr>
          <w:p w14:paraId="32E70D7D" w14:textId="3845C885" w:rsidR="00FA0EA7" w:rsidRPr="00221FC9" w:rsidRDefault="00FA0EA7" w:rsidP="009374B1">
            <w:pPr>
              <w:pStyle w:val="TableText"/>
            </w:pPr>
            <w:r w:rsidRPr="00221FC9">
              <w:t>Decisions by OST services around takeaway doses should reflect the principles of providing least restrictive possible care within the context of the assessed clinical risk, as well as a flexible and individualised approach to care.</w:t>
            </w:r>
          </w:p>
        </w:tc>
        <w:tc>
          <w:tcPr>
            <w:tcW w:w="2273" w:type="dxa"/>
          </w:tcPr>
          <w:p w14:paraId="64FD4568"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p w14:paraId="635C8E2E" w14:textId="77777777" w:rsidR="00FA0EA7" w:rsidRPr="00221FC9" w:rsidRDefault="00FA0EA7" w:rsidP="009374B1">
            <w:pPr>
              <w:pStyle w:val="TableText"/>
              <w:keepNext/>
            </w:pPr>
          </w:p>
          <w:p w14:paraId="70C76E06" w14:textId="77777777" w:rsidR="00FA0EA7" w:rsidRPr="00221FC9" w:rsidRDefault="00FA0EA7" w:rsidP="009374B1">
            <w:pPr>
              <w:pStyle w:val="TableText"/>
              <w:keepNext/>
            </w:pPr>
          </w:p>
          <w:p w14:paraId="5779AB8E" w14:textId="77777777" w:rsidR="00FA0EA7" w:rsidRPr="00221FC9" w:rsidRDefault="00FA0EA7" w:rsidP="009374B1">
            <w:pPr>
              <w:pStyle w:val="TableText"/>
              <w:keepNext/>
            </w:pPr>
          </w:p>
        </w:tc>
        <w:tc>
          <w:tcPr>
            <w:tcW w:w="1275" w:type="dxa"/>
          </w:tcPr>
          <w:p w14:paraId="71B74F0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05FEE0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5B8C2372" w14:textId="77777777" w:rsidTr="00AE32F4">
        <w:trPr>
          <w:cantSplit/>
          <w:trHeight w:val="20"/>
        </w:trPr>
        <w:tc>
          <w:tcPr>
            <w:tcW w:w="4422" w:type="dxa"/>
          </w:tcPr>
          <w:p w14:paraId="72119D23" w14:textId="77777777" w:rsidR="00AE32F4" w:rsidRPr="00221FC9" w:rsidRDefault="00AE32F4" w:rsidP="00AE32F4">
            <w:pPr>
              <w:pStyle w:val="TableText"/>
            </w:pPr>
            <w:r w:rsidRPr="00221FC9">
              <w:t>The service policy and practices are relevant to takeaway doses of OST medication, support safety and recovery goals and are consistent with requirements, including:</w:t>
            </w:r>
          </w:p>
          <w:p w14:paraId="28C63988" w14:textId="77777777" w:rsidR="00AE32F4" w:rsidRPr="00221FC9" w:rsidRDefault="00AE32F4" w:rsidP="00AE32F4">
            <w:pPr>
              <w:pStyle w:val="TableBullet"/>
            </w:pPr>
            <w:r w:rsidRPr="00221FC9">
              <w:t>provision of takeaways is based on clinical team decision-making</w:t>
            </w:r>
          </w:p>
          <w:p w14:paraId="5799ECF3" w14:textId="77777777" w:rsidR="00AE32F4" w:rsidRPr="00221FC9" w:rsidRDefault="00AE32F4" w:rsidP="00AE32F4">
            <w:pPr>
              <w:pStyle w:val="TableBullet"/>
            </w:pPr>
            <w:r w:rsidRPr="00221FC9">
              <w:t>observed consumption of medication occurs on at least three non-consecutive days per week (or the rationale for otherwise is clearly documented and meets safety requirements)</w:t>
            </w:r>
          </w:p>
          <w:p w14:paraId="4723F840" w14:textId="77777777" w:rsidR="00AE32F4" w:rsidRPr="00221FC9" w:rsidRDefault="00AE32F4" w:rsidP="00AE32F4">
            <w:pPr>
              <w:pStyle w:val="TableBullet"/>
            </w:pPr>
            <w:r w:rsidRPr="00221FC9">
              <w:t>variations to the above are documented and supported by evidence of stability.</w:t>
            </w:r>
          </w:p>
        </w:tc>
        <w:tc>
          <w:tcPr>
            <w:tcW w:w="2273" w:type="dxa"/>
          </w:tcPr>
          <w:p w14:paraId="49F77E26" w14:textId="77777777" w:rsidR="00AE32F4" w:rsidRPr="00221FC9" w:rsidRDefault="00AE32F4" w:rsidP="00AE32F4">
            <w:pPr>
              <w:pStyle w:val="TableText"/>
              <w:keepNext/>
            </w:pPr>
            <w:r w:rsidRPr="00221FC9">
              <w:rPr>
                <w:sz w:val="16"/>
                <w:szCs w:val="16"/>
              </w:rPr>
              <w:t>Count as 1 indicator and provide comment and average for one attainment</w:t>
            </w:r>
          </w:p>
        </w:tc>
        <w:tc>
          <w:tcPr>
            <w:tcW w:w="1275" w:type="dxa"/>
          </w:tcPr>
          <w:p w14:paraId="36AF5BE9" w14:textId="478D19D9"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065C6E6" w14:textId="0B258462"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54A37C56" w14:textId="77777777" w:rsidTr="00AE32F4">
        <w:trPr>
          <w:cantSplit/>
          <w:trHeight w:val="20"/>
        </w:trPr>
        <w:tc>
          <w:tcPr>
            <w:tcW w:w="4422" w:type="dxa"/>
          </w:tcPr>
          <w:p w14:paraId="2A38A79B" w14:textId="77777777" w:rsidR="00AE32F4" w:rsidRPr="00221FC9" w:rsidRDefault="00AE32F4" w:rsidP="00AE32F4">
            <w:pPr>
              <w:pStyle w:val="TableText"/>
              <w:rPr>
                <w:highlight w:val="yellow"/>
              </w:rPr>
            </w:pPr>
            <w:r w:rsidRPr="00221FC9">
              <w:t xml:space="preserve">Safety requirements concerning takeaway doses are specified in writing and provided to tāngata </w:t>
            </w:r>
            <w:proofErr w:type="spellStart"/>
            <w:r w:rsidRPr="00221FC9">
              <w:t>whai</w:t>
            </w:r>
            <w:proofErr w:type="spellEnd"/>
            <w:r w:rsidRPr="00221FC9">
              <w:t xml:space="preserve"> ora and pharmacists.</w:t>
            </w:r>
          </w:p>
        </w:tc>
        <w:tc>
          <w:tcPr>
            <w:tcW w:w="2273" w:type="dxa"/>
          </w:tcPr>
          <w:p w14:paraId="5A82A958" w14:textId="77777777"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1A76C1C"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EEB5186"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0ECD8B66" w14:textId="77777777" w:rsidTr="00AE32F4">
        <w:trPr>
          <w:cantSplit/>
          <w:trHeight w:val="20"/>
        </w:trPr>
        <w:tc>
          <w:tcPr>
            <w:tcW w:w="4422" w:type="dxa"/>
          </w:tcPr>
          <w:p w14:paraId="1EE5D66C" w14:textId="18E46311" w:rsidR="00AE32F4" w:rsidRPr="00221FC9" w:rsidRDefault="00AE32F4" w:rsidP="00AE32F4">
            <w:pPr>
              <w:pStyle w:val="TableText"/>
            </w:pPr>
            <w:r w:rsidRPr="00221FC9">
              <w:t xml:space="preserve">5.1.3 Services should ensure tāngata </w:t>
            </w:r>
            <w:proofErr w:type="spellStart"/>
            <w:r w:rsidRPr="00221FC9">
              <w:t>whai</w:t>
            </w:r>
            <w:proofErr w:type="spellEnd"/>
            <w:r w:rsidRPr="00221FC9">
              <w:t xml:space="preserve"> ora and whānau</w:t>
            </w:r>
            <w:r>
              <w:t xml:space="preserve"> </w:t>
            </w:r>
            <w:r w:rsidRPr="00221FC9">
              <w:t>understand the reasons for the change of takeaways decision, what conditions would need to be met for a return to their previous takeaway regime, and timeframes in which this may occur</w:t>
            </w:r>
            <w:r w:rsidR="00411191">
              <w:t>.</w:t>
            </w:r>
          </w:p>
        </w:tc>
        <w:tc>
          <w:tcPr>
            <w:tcW w:w="2273" w:type="dxa"/>
          </w:tcPr>
          <w:p w14:paraId="725FA547" w14:textId="539BE759"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A548FE6" w14:textId="1F073506"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921552D" w14:textId="7289F780"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326269C3" w14:textId="77777777" w:rsidTr="00AE32F4">
        <w:trPr>
          <w:cantSplit/>
          <w:trHeight w:val="20"/>
        </w:trPr>
        <w:tc>
          <w:tcPr>
            <w:tcW w:w="4422" w:type="dxa"/>
          </w:tcPr>
          <w:p w14:paraId="7E6978D4" w14:textId="77777777" w:rsidR="00AE32F4" w:rsidRPr="00221FC9" w:rsidRDefault="00AE32F4" w:rsidP="00AE32F4">
            <w:pPr>
              <w:pStyle w:val="TableText"/>
            </w:pPr>
            <w:r w:rsidRPr="00221FC9">
              <w:t>5.1.4 Dilution of Methadone</w:t>
            </w:r>
          </w:p>
          <w:p w14:paraId="2F4D66BC" w14:textId="77777777" w:rsidR="00AE32F4" w:rsidRPr="00221FC9" w:rsidRDefault="00AE32F4" w:rsidP="00AE32F4">
            <w:pPr>
              <w:pStyle w:val="TableText"/>
            </w:pPr>
            <w:r w:rsidRPr="00221FC9">
              <w:rPr>
                <w:rFonts w:eastAsia="Arial"/>
              </w:rPr>
              <w:t xml:space="preserve">Any service that elects to dilute methadone doses is expected to have a dilution policy that is clearly explained to </w:t>
            </w:r>
            <w:r w:rsidRPr="00221FC9">
              <w:t xml:space="preserve">tāngata </w:t>
            </w:r>
            <w:proofErr w:type="spellStart"/>
            <w:r w:rsidRPr="00221FC9">
              <w:t>whai</w:t>
            </w:r>
            <w:proofErr w:type="spellEnd"/>
            <w:r w:rsidRPr="00221FC9">
              <w:t xml:space="preserve"> ora </w:t>
            </w:r>
            <w:r w:rsidRPr="00221FC9">
              <w:rPr>
                <w:rFonts w:eastAsia="Arial"/>
              </w:rPr>
              <w:t>at time of OST admission. All dispensing pharmacies need to be aware of the policy and the rationale behind it.</w:t>
            </w:r>
          </w:p>
        </w:tc>
        <w:tc>
          <w:tcPr>
            <w:tcW w:w="2273" w:type="dxa"/>
          </w:tcPr>
          <w:p w14:paraId="476B0EBE" w14:textId="31E8DEEA"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1215DB2" w14:textId="4DBC82C3"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8146B3A" w14:textId="53F13ED1"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5CD097E6" w14:textId="77777777" w:rsidTr="00AE32F4">
        <w:trPr>
          <w:cantSplit/>
          <w:trHeight w:val="20"/>
        </w:trPr>
        <w:tc>
          <w:tcPr>
            <w:tcW w:w="4422" w:type="dxa"/>
            <w:shd w:val="clear" w:color="auto" w:fill="F3F3F3"/>
          </w:tcPr>
          <w:p w14:paraId="04802194" w14:textId="77777777" w:rsidR="00AE32F4" w:rsidRPr="00221FC9" w:rsidRDefault="00AE32F4" w:rsidP="00AE32F4">
            <w:pPr>
              <w:pStyle w:val="TableText"/>
              <w:rPr>
                <w:b/>
                <w:color w:val="141413"/>
                <w:szCs w:val="26"/>
              </w:rPr>
            </w:pPr>
            <w:r w:rsidRPr="00221FC9">
              <w:rPr>
                <w:b/>
                <w:color w:val="141413"/>
                <w:szCs w:val="26"/>
              </w:rPr>
              <w:t>5.2</w:t>
            </w:r>
            <w:r w:rsidRPr="00221FC9">
              <w:rPr>
                <w:b/>
                <w:color w:val="141413"/>
                <w:szCs w:val="26"/>
              </w:rPr>
              <w:tab/>
              <w:t>Notice of prescription changes</w:t>
            </w:r>
          </w:p>
        </w:tc>
        <w:tc>
          <w:tcPr>
            <w:tcW w:w="2273" w:type="dxa"/>
            <w:shd w:val="clear" w:color="auto" w:fill="F3F3F3"/>
          </w:tcPr>
          <w:p w14:paraId="4294E609" w14:textId="77777777" w:rsidR="00AE32F4" w:rsidRPr="00221FC9" w:rsidRDefault="00AE32F4" w:rsidP="00AE32F4">
            <w:pPr>
              <w:pStyle w:val="TableText"/>
              <w:rPr>
                <w:color w:val="141413"/>
                <w:szCs w:val="26"/>
              </w:rPr>
            </w:pPr>
          </w:p>
        </w:tc>
        <w:tc>
          <w:tcPr>
            <w:tcW w:w="1275" w:type="dxa"/>
            <w:shd w:val="clear" w:color="auto" w:fill="F3F3F3"/>
          </w:tcPr>
          <w:p w14:paraId="6549B4BE" w14:textId="77777777" w:rsidR="00AE32F4" w:rsidRPr="00221FC9" w:rsidRDefault="00AE32F4" w:rsidP="00AE32F4">
            <w:pPr>
              <w:pStyle w:val="TableText"/>
              <w:rPr>
                <w:color w:val="141413"/>
                <w:szCs w:val="26"/>
              </w:rPr>
            </w:pPr>
          </w:p>
        </w:tc>
        <w:tc>
          <w:tcPr>
            <w:tcW w:w="851" w:type="dxa"/>
            <w:shd w:val="clear" w:color="auto" w:fill="F3F3F3"/>
          </w:tcPr>
          <w:p w14:paraId="57A7D62E" w14:textId="77777777" w:rsidR="00AE32F4" w:rsidRPr="00221FC9" w:rsidRDefault="00AE32F4" w:rsidP="00AE32F4">
            <w:pPr>
              <w:pStyle w:val="TableText"/>
              <w:rPr>
                <w:color w:val="141413"/>
                <w:szCs w:val="26"/>
              </w:rPr>
            </w:pPr>
          </w:p>
        </w:tc>
      </w:tr>
      <w:tr w:rsidR="00AE32F4" w:rsidRPr="00221FC9" w14:paraId="147A3465" w14:textId="77777777" w:rsidTr="00AE32F4">
        <w:trPr>
          <w:cantSplit/>
          <w:trHeight w:val="20"/>
        </w:trPr>
        <w:tc>
          <w:tcPr>
            <w:tcW w:w="4422" w:type="dxa"/>
          </w:tcPr>
          <w:p w14:paraId="49602FB1" w14:textId="77777777" w:rsidR="00AE32F4" w:rsidRPr="00221FC9" w:rsidRDefault="00AE32F4" w:rsidP="00AE32F4">
            <w:pPr>
              <w:pStyle w:val="TableText"/>
              <w:rPr>
                <w:highlight w:val="yellow"/>
              </w:rPr>
            </w:pPr>
            <w:r w:rsidRPr="00221FC9">
              <w:t xml:space="preserve">Tāngata </w:t>
            </w:r>
            <w:proofErr w:type="spellStart"/>
            <w:r w:rsidRPr="00221FC9">
              <w:t>whai</w:t>
            </w:r>
            <w:proofErr w:type="spellEnd"/>
            <w:r w:rsidRPr="00221FC9">
              <w:t xml:space="preserve"> ora are given information on how to request changes to prescriptions. Services should try to accommodate tāngata </w:t>
            </w:r>
            <w:proofErr w:type="spellStart"/>
            <w:r w:rsidRPr="00221FC9">
              <w:t>whai</w:t>
            </w:r>
            <w:proofErr w:type="spellEnd"/>
            <w:r w:rsidRPr="00221FC9">
              <w:t xml:space="preserve"> ora requests while assessing each request on an individual basis.</w:t>
            </w:r>
          </w:p>
        </w:tc>
        <w:tc>
          <w:tcPr>
            <w:tcW w:w="2273" w:type="dxa"/>
          </w:tcPr>
          <w:p w14:paraId="0A126AAD" w14:textId="77777777"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F932C5C"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C19CA7E"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774E1EE8" w14:textId="77777777" w:rsidTr="00AE32F4">
        <w:trPr>
          <w:cantSplit/>
          <w:trHeight w:val="20"/>
        </w:trPr>
        <w:tc>
          <w:tcPr>
            <w:tcW w:w="4422" w:type="dxa"/>
            <w:shd w:val="clear" w:color="auto" w:fill="F3F3F3"/>
          </w:tcPr>
          <w:p w14:paraId="2F38BA65" w14:textId="77777777" w:rsidR="00AE32F4" w:rsidRPr="00221FC9" w:rsidRDefault="00AE32F4" w:rsidP="00AE32F4">
            <w:pPr>
              <w:pStyle w:val="TableText"/>
              <w:rPr>
                <w:b/>
                <w:color w:val="141413"/>
                <w:szCs w:val="26"/>
              </w:rPr>
            </w:pPr>
            <w:r w:rsidRPr="00221FC9">
              <w:rPr>
                <w:b/>
                <w:color w:val="141413"/>
                <w:szCs w:val="26"/>
              </w:rPr>
              <w:t>5.3</w:t>
            </w:r>
            <w:r w:rsidRPr="00221FC9">
              <w:rPr>
                <w:b/>
                <w:color w:val="141413"/>
                <w:szCs w:val="26"/>
              </w:rPr>
              <w:tab/>
              <w:t>Replacement doses</w:t>
            </w:r>
          </w:p>
        </w:tc>
        <w:tc>
          <w:tcPr>
            <w:tcW w:w="2273" w:type="dxa"/>
            <w:shd w:val="clear" w:color="auto" w:fill="F3F3F3"/>
          </w:tcPr>
          <w:p w14:paraId="2E5374E8" w14:textId="77777777" w:rsidR="00AE32F4" w:rsidRPr="00221FC9" w:rsidRDefault="00AE32F4" w:rsidP="00AE32F4">
            <w:pPr>
              <w:pStyle w:val="TableText"/>
              <w:rPr>
                <w:color w:val="141413"/>
                <w:szCs w:val="26"/>
              </w:rPr>
            </w:pPr>
          </w:p>
        </w:tc>
        <w:tc>
          <w:tcPr>
            <w:tcW w:w="1275" w:type="dxa"/>
            <w:shd w:val="clear" w:color="auto" w:fill="F3F3F3"/>
          </w:tcPr>
          <w:p w14:paraId="52B8B54F" w14:textId="77777777" w:rsidR="00AE32F4" w:rsidRPr="00221FC9" w:rsidRDefault="00AE32F4" w:rsidP="00AE32F4">
            <w:pPr>
              <w:pStyle w:val="TableText"/>
              <w:rPr>
                <w:color w:val="141413"/>
                <w:szCs w:val="26"/>
              </w:rPr>
            </w:pPr>
          </w:p>
        </w:tc>
        <w:tc>
          <w:tcPr>
            <w:tcW w:w="851" w:type="dxa"/>
            <w:shd w:val="clear" w:color="auto" w:fill="F3F3F3"/>
          </w:tcPr>
          <w:p w14:paraId="1310670D" w14:textId="77777777" w:rsidR="00AE32F4" w:rsidRPr="00221FC9" w:rsidRDefault="00AE32F4" w:rsidP="00AE32F4">
            <w:pPr>
              <w:pStyle w:val="TableText"/>
              <w:rPr>
                <w:color w:val="141413"/>
                <w:szCs w:val="26"/>
              </w:rPr>
            </w:pPr>
          </w:p>
        </w:tc>
      </w:tr>
      <w:tr w:rsidR="00AE32F4" w:rsidRPr="00221FC9" w14:paraId="0D53794E" w14:textId="77777777" w:rsidTr="00AE32F4">
        <w:trPr>
          <w:cantSplit/>
          <w:trHeight w:val="20"/>
        </w:trPr>
        <w:tc>
          <w:tcPr>
            <w:tcW w:w="4422" w:type="dxa"/>
          </w:tcPr>
          <w:p w14:paraId="0B04AB89" w14:textId="77777777" w:rsidR="00AE32F4" w:rsidRPr="00221FC9" w:rsidRDefault="00AE32F4" w:rsidP="00AE32F4">
            <w:pPr>
              <w:pStyle w:val="TableText"/>
              <w:rPr>
                <w:highlight w:val="yellow"/>
              </w:rPr>
            </w:pPr>
            <w:r w:rsidRPr="00221FC9">
              <w:t>Replacement of lost or stolen doses occurs at the direction of the prescriber only in exceptional circumstances that are verified.</w:t>
            </w:r>
          </w:p>
        </w:tc>
        <w:tc>
          <w:tcPr>
            <w:tcW w:w="2273" w:type="dxa"/>
          </w:tcPr>
          <w:p w14:paraId="4D3566FC" w14:textId="77777777"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4BC9E93"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31C3CC1"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2F58278C" w14:textId="77777777" w:rsidTr="00AE32F4">
        <w:trPr>
          <w:cantSplit/>
          <w:trHeight w:val="20"/>
        </w:trPr>
        <w:tc>
          <w:tcPr>
            <w:tcW w:w="4422" w:type="dxa"/>
            <w:shd w:val="clear" w:color="auto" w:fill="F3F3F3"/>
          </w:tcPr>
          <w:p w14:paraId="566159DC" w14:textId="77777777" w:rsidR="00AE32F4" w:rsidRPr="00221FC9" w:rsidRDefault="00AE32F4" w:rsidP="00AE32F4">
            <w:pPr>
              <w:pStyle w:val="TableText"/>
              <w:rPr>
                <w:b/>
                <w:color w:val="141413"/>
              </w:rPr>
            </w:pPr>
            <w:r w:rsidRPr="00221FC9">
              <w:rPr>
                <w:b/>
                <w:color w:val="141413"/>
              </w:rPr>
              <w:t>5.4</w:t>
            </w:r>
            <w:r w:rsidRPr="00221FC9">
              <w:rPr>
                <w:b/>
                <w:color w:val="141413"/>
              </w:rPr>
              <w:tab/>
              <w:t>Reintroducing OST medication after missed doses</w:t>
            </w:r>
          </w:p>
        </w:tc>
        <w:tc>
          <w:tcPr>
            <w:tcW w:w="2273" w:type="dxa"/>
            <w:shd w:val="clear" w:color="auto" w:fill="F3F3F3"/>
          </w:tcPr>
          <w:p w14:paraId="6FC1336C" w14:textId="77777777" w:rsidR="00AE32F4" w:rsidRPr="00221FC9" w:rsidRDefault="00AE32F4" w:rsidP="00AE32F4">
            <w:pPr>
              <w:pStyle w:val="TableText"/>
              <w:rPr>
                <w:color w:val="141413"/>
              </w:rPr>
            </w:pPr>
          </w:p>
        </w:tc>
        <w:tc>
          <w:tcPr>
            <w:tcW w:w="1275" w:type="dxa"/>
            <w:shd w:val="clear" w:color="auto" w:fill="F3F3F3"/>
          </w:tcPr>
          <w:p w14:paraId="61DEA2A7" w14:textId="77777777" w:rsidR="00AE32F4" w:rsidRPr="00221FC9" w:rsidRDefault="00AE32F4" w:rsidP="00AE32F4">
            <w:pPr>
              <w:pStyle w:val="TableText"/>
              <w:rPr>
                <w:color w:val="141413"/>
              </w:rPr>
            </w:pPr>
          </w:p>
        </w:tc>
        <w:tc>
          <w:tcPr>
            <w:tcW w:w="851" w:type="dxa"/>
            <w:shd w:val="clear" w:color="auto" w:fill="F3F3F3"/>
          </w:tcPr>
          <w:p w14:paraId="3512DA94" w14:textId="77777777" w:rsidR="00AE32F4" w:rsidRPr="00221FC9" w:rsidRDefault="00AE32F4" w:rsidP="00AE32F4">
            <w:pPr>
              <w:pStyle w:val="TableText"/>
              <w:rPr>
                <w:color w:val="141413"/>
              </w:rPr>
            </w:pPr>
          </w:p>
        </w:tc>
      </w:tr>
      <w:tr w:rsidR="00AE32F4" w:rsidRPr="00221FC9" w14:paraId="566C210C" w14:textId="77777777" w:rsidTr="00AE32F4">
        <w:trPr>
          <w:cantSplit/>
          <w:trHeight w:val="20"/>
        </w:trPr>
        <w:tc>
          <w:tcPr>
            <w:tcW w:w="4422" w:type="dxa"/>
          </w:tcPr>
          <w:p w14:paraId="63F20025" w14:textId="77777777" w:rsidR="00AE32F4" w:rsidRPr="00221FC9" w:rsidRDefault="00AE32F4" w:rsidP="00AE32F4">
            <w:pPr>
              <w:pStyle w:val="TableText"/>
              <w:rPr>
                <w:highlight w:val="yellow"/>
              </w:rPr>
            </w:pPr>
            <w:r w:rsidRPr="00221FC9">
              <w:t xml:space="preserve">The management of missed doses and re-introductory doses complies with </w:t>
            </w:r>
            <w:r w:rsidRPr="00221FC9">
              <w:rPr>
                <w:i/>
              </w:rPr>
              <w:t>OST Guidelines</w:t>
            </w:r>
            <w:r w:rsidRPr="00221FC9">
              <w:t xml:space="preserve"> section 5.4.</w:t>
            </w:r>
          </w:p>
        </w:tc>
        <w:tc>
          <w:tcPr>
            <w:tcW w:w="2273" w:type="dxa"/>
          </w:tcPr>
          <w:p w14:paraId="55FC86EC" w14:textId="77777777"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3D0F2C3"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1FDF351"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203801AD" w14:textId="77777777" w:rsidTr="00AE32F4">
        <w:trPr>
          <w:cantSplit/>
          <w:trHeight w:val="20"/>
        </w:trPr>
        <w:tc>
          <w:tcPr>
            <w:tcW w:w="4422" w:type="dxa"/>
            <w:shd w:val="clear" w:color="auto" w:fill="F3F3F3"/>
          </w:tcPr>
          <w:p w14:paraId="0D3CB329" w14:textId="77777777" w:rsidR="00AE32F4" w:rsidRPr="00221FC9" w:rsidRDefault="00AE32F4" w:rsidP="006274F8">
            <w:pPr>
              <w:pStyle w:val="TableText"/>
              <w:keepNext/>
              <w:rPr>
                <w:b/>
                <w:color w:val="141413"/>
              </w:rPr>
            </w:pPr>
            <w:r w:rsidRPr="00221FC9">
              <w:rPr>
                <w:b/>
                <w:color w:val="141413"/>
              </w:rPr>
              <w:lastRenderedPageBreak/>
              <w:t>5.7</w:t>
            </w:r>
            <w:r w:rsidRPr="00221FC9">
              <w:rPr>
                <w:b/>
                <w:color w:val="141413"/>
              </w:rPr>
              <w:tab/>
            </w:r>
            <w:r w:rsidRPr="00221FC9">
              <w:rPr>
                <w:b/>
                <w:color w:val="141413"/>
                <w:szCs w:val="26"/>
              </w:rPr>
              <w:t>Travelling overseas with OST medication</w:t>
            </w:r>
          </w:p>
        </w:tc>
        <w:tc>
          <w:tcPr>
            <w:tcW w:w="2273" w:type="dxa"/>
            <w:shd w:val="clear" w:color="auto" w:fill="F3F3F3"/>
          </w:tcPr>
          <w:p w14:paraId="6CB1F1A6" w14:textId="77777777" w:rsidR="00AE32F4" w:rsidRPr="00221FC9" w:rsidRDefault="00AE32F4" w:rsidP="006274F8">
            <w:pPr>
              <w:pStyle w:val="TableText"/>
              <w:keepNext/>
              <w:rPr>
                <w:color w:val="141413"/>
              </w:rPr>
            </w:pPr>
          </w:p>
        </w:tc>
        <w:tc>
          <w:tcPr>
            <w:tcW w:w="1275" w:type="dxa"/>
            <w:shd w:val="clear" w:color="auto" w:fill="F3F3F3"/>
          </w:tcPr>
          <w:p w14:paraId="019071A2" w14:textId="77777777" w:rsidR="00AE32F4" w:rsidRPr="00221FC9" w:rsidRDefault="00AE32F4" w:rsidP="006274F8">
            <w:pPr>
              <w:pStyle w:val="TableText"/>
              <w:keepNext/>
              <w:rPr>
                <w:color w:val="141413"/>
              </w:rPr>
            </w:pPr>
          </w:p>
        </w:tc>
        <w:tc>
          <w:tcPr>
            <w:tcW w:w="851" w:type="dxa"/>
            <w:shd w:val="clear" w:color="auto" w:fill="F3F3F3"/>
          </w:tcPr>
          <w:p w14:paraId="1D63FEF0" w14:textId="77777777" w:rsidR="00AE32F4" w:rsidRPr="00221FC9" w:rsidRDefault="00AE32F4" w:rsidP="006274F8">
            <w:pPr>
              <w:pStyle w:val="TableText"/>
              <w:keepNext/>
              <w:rPr>
                <w:color w:val="141413"/>
              </w:rPr>
            </w:pPr>
          </w:p>
        </w:tc>
      </w:tr>
      <w:tr w:rsidR="00AE32F4" w:rsidRPr="00221FC9" w14:paraId="2F8D114B" w14:textId="77777777" w:rsidTr="00AE32F4">
        <w:trPr>
          <w:cantSplit/>
          <w:trHeight w:val="20"/>
        </w:trPr>
        <w:tc>
          <w:tcPr>
            <w:tcW w:w="4422" w:type="dxa"/>
          </w:tcPr>
          <w:p w14:paraId="1FA50994" w14:textId="77777777" w:rsidR="00AE32F4" w:rsidRPr="00221FC9" w:rsidRDefault="00AE32F4" w:rsidP="00AE32F4">
            <w:pPr>
              <w:pStyle w:val="TableText"/>
              <w:rPr>
                <w:highlight w:val="yellow"/>
              </w:rPr>
            </w:pPr>
            <w:r w:rsidRPr="00221FC9">
              <w:t>Medication for travel is coordinated in accordance with the requirements of New Zealand and the intended travel destinations.</w:t>
            </w:r>
          </w:p>
        </w:tc>
        <w:tc>
          <w:tcPr>
            <w:tcW w:w="2273" w:type="dxa"/>
          </w:tcPr>
          <w:p w14:paraId="196D25AF" w14:textId="77777777"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B4B5B2B"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4F53F5F"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E32F4" w:rsidRPr="00221FC9" w14:paraId="1E19D19F" w14:textId="77777777" w:rsidTr="00AE32F4">
        <w:trPr>
          <w:cantSplit/>
          <w:trHeight w:val="20"/>
        </w:trPr>
        <w:tc>
          <w:tcPr>
            <w:tcW w:w="4422" w:type="dxa"/>
            <w:shd w:val="clear" w:color="auto" w:fill="F3F3F3"/>
          </w:tcPr>
          <w:p w14:paraId="51DD2A16" w14:textId="77777777" w:rsidR="00AE32F4" w:rsidRPr="00221FC9" w:rsidRDefault="00AE32F4" w:rsidP="00AE32F4">
            <w:pPr>
              <w:pStyle w:val="TableText"/>
              <w:rPr>
                <w:b/>
                <w:color w:val="141413"/>
              </w:rPr>
            </w:pPr>
            <w:r w:rsidRPr="00221FC9">
              <w:rPr>
                <w:b/>
                <w:color w:val="141413"/>
              </w:rPr>
              <w:t>5.8</w:t>
            </w:r>
            <w:r w:rsidRPr="00221FC9">
              <w:rPr>
                <w:b/>
                <w:color w:val="141413"/>
              </w:rPr>
              <w:tab/>
            </w:r>
            <w:r w:rsidRPr="00221FC9">
              <w:rPr>
                <w:b/>
                <w:color w:val="141413"/>
                <w:szCs w:val="26"/>
              </w:rPr>
              <w:t>Withholding an OST medication dose</w:t>
            </w:r>
          </w:p>
        </w:tc>
        <w:tc>
          <w:tcPr>
            <w:tcW w:w="2273" w:type="dxa"/>
            <w:shd w:val="clear" w:color="auto" w:fill="F3F3F3"/>
          </w:tcPr>
          <w:p w14:paraId="2CA45E8B" w14:textId="77777777" w:rsidR="00AE32F4" w:rsidRPr="00221FC9" w:rsidRDefault="00AE32F4" w:rsidP="00AE32F4">
            <w:pPr>
              <w:pStyle w:val="TableText"/>
              <w:rPr>
                <w:color w:val="141413"/>
              </w:rPr>
            </w:pPr>
          </w:p>
        </w:tc>
        <w:tc>
          <w:tcPr>
            <w:tcW w:w="1275" w:type="dxa"/>
            <w:shd w:val="clear" w:color="auto" w:fill="F3F3F3"/>
          </w:tcPr>
          <w:p w14:paraId="38CBB817" w14:textId="77777777" w:rsidR="00AE32F4" w:rsidRPr="00221FC9" w:rsidRDefault="00AE32F4" w:rsidP="00AE32F4">
            <w:pPr>
              <w:pStyle w:val="TableText"/>
              <w:rPr>
                <w:color w:val="141413"/>
              </w:rPr>
            </w:pPr>
          </w:p>
        </w:tc>
        <w:tc>
          <w:tcPr>
            <w:tcW w:w="851" w:type="dxa"/>
            <w:shd w:val="clear" w:color="auto" w:fill="F3F3F3"/>
          </w:tcPr>
          <w:p w14:paraId="7A6209AB" w14:textId="77777777" w:rsidR="00AE32F4" w:rsidRPr="00221FC9" w:rsidRDefault="00AE32F4" w:rsidP="00AE32F4">
            <w:pPr>
              <w:pStyle w:val="TableText"/>
              <w:rPr>
                <w:color w:val="141413"/>
              </w:rPr>
            </w:pPr>
          </w:p>
        </w:tc>
      </w:tr>
      <w:tr w:rsidR="00AE32F4" w:rsidRPr="00221FC9" w14:paraId="50197A73" w14:textId="77777777" w:rsidTr="00AE32F4">
        <w:trPr>
          <w:cantSplit/>
          <w:trHeight w:val="20"/>
        </w:trPr>
        <w:tc>
          <w:tcPr>
            <w:tcW w:w="4422" w:type="dxa"/>
          </w:tcPr>
          <w:p w14:paraId="5F8B74D6" w14:textId="77777777" w:rsidR="00AE32F4" w:rsidRPr="00221FC9" w:rsidRDefault="00AE32F4" w:rsidP="00AE32F4">
            <w:pPr>
              <w:pStyle w:val="TableText"/>
              <w:rPr>
                <w:highlight w:val="yellow"/>
              </w:rPr>
            </w:pPr>
            <w:r w:rsidRPr="00221FC9">
              <w:t>The rationale for withholding or cancelling OST doses is outlined in the</w:t>
            </w:r>
            <w:r>
              <w:t xml:space="preserve"> file of</w:t>
            </w:r>
            <w:r w:rsidRPr="00221FC9">
              <w:t xml:space="preserve"> tāngata </w:t>
            </w:r>
            <w:proofErr w:type="spellStart"/>
            <w:r w:rsidRPr="00221FC9">
              <w:t>whai</w:t>
            </w:r>
            <w:proofErr w:type="spellEnd"/>
            <w:r w:rsidRPr="00221FC9">
              <w:t xml:space="preserve"> ora. Efforts to contact tāngata </w:t>
            </w:r>
            <w:proofErr w:type="spellStart"/>
            <w:r w:rsidRPr="00221FC9">
              <w:t>whai</w:t>
            </w:r>
            <w:proofErr w:type="spellEnd"/>
            <w:r w:rsidRPr="00221FC9">
              <w:t xml:space="preserve"> ora before they arrive at the pharmacy are documented.</w:t>
            </w:r>
          </w:p>
        </w:tc>
        <w:tc>
          <w:tcPr>
            <w:tcW w:w="2273" w:type="dxa"/>
          </w:tcPr>
          <w:p w14:paraId="040E18CD" w14:textId="77777777" w:rsidR="00AE32F4" w:rsidRPr="00221FC9" w:rsidRDefault="00AE32F4" w:rsidP="00AE32F4">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BDA28E5"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B5FAA69" w14:textId="77777777" w:rsidR="00AE32F4" w:rsidRPr="00221FC9" w:rsidRDefault="00AE32F4" w:rsidP="00AE32F4">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273CD350" w14:textId="77777777" w:rsidR="00FA0EA7" w:rsidRPr="00221FC9" w:rsidRDefault="00FA0EA7" w:rsidP="00FA0EA7">
      <w:pPr>
        <w:pStyle w:val="Heading4"/>
      </w:pPr>
      <w:bookmarkStart w:id="56" w:name="_Toc403048459"/>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368"/>
        <w:gridCol w:w="2055"/>
        <w:gridCol w:w="2056"/>
      </w:tblGrid>
      <w:tr w:rsidR="00FA0EA7" w:rsidRPr="00221FC9" w14:paraId="4140951D" w14:textId="77777777" w:rsidTr="008B797E">
        <w:trPr>
          <w:cantSplit/>
        </w:trPr>
        <w:tc>
          <w:tcPr>
            <w:tcW w:w="8818" w:type="dxa"/>
            <w:gridSpan w:val="4"/>
            <w:shd w:val="clear" w:color="auto" w:fill="FFFF99"/>
          </w:tcPr>
          <w:p w14:paraId="63835AD5" w14:textId="77777777" w:rsidR="00FA0EA7" w:rsidRPr="00221FC9" w:rsidRDefault="00FA0EA7" w:rsidP="009374B1">
            <w:pPr>
              <w:pStyle w:val="TableText"/>
              <w:spacing w:after="0"/>
              <w:rPr>
                <w:b/>
              </w:rPr>
            </w:pPr>
            <w:r w:rsidRPr="00221FC9">
              <w:rPr>
                <w:b/>
              </w:rPr>
              <w:t>Indicators (out of 9):</w:t>
            </w:r>
          </w:p>
        </w:tc>
      </w:tr>
      <w:tr w:rsidR="00FA0EA7" w:rsidRPr="00221FC9" w14:paraId="3509BB85" w14:textId="77777777" w:rsidTr="008B797E">
        <w:trPr>
          <w:cantSplit/>
        </w:trPr>
        <w:tc>
          <w:tcPr>
            <w:tcW w:w="2339" w:type="dxa"/>
            <w:shd w:val="clear" w:color="auto" w:fill="FFFF99"/>
          </w:tcPr>
          <w:p w14:paraId="65A55D6A"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368" w:type="dxa"/>
            <w:shd w:val="clear" w:color="auto" w:fill="FFFF99"/>
          </w:tcPr>
          <w:p w14:paraId="13FD8A38"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shd w:val="clear" w:color="auto" w:fill="FFFF99"/>
          </w:tcPr>
          <w:p w14:paraId="00AC509A"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6" w:type="dxa"/>
            <w:shd w:val="clear" w:color="auto" w:fill="FFFF99"/>
          </w:tcPr>
          <w:p w14:paraId="6D9CD7A5"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2C304D46"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818"/>
      </w:tblGrid>
      <w:tr w:rsidR="00FA0EA7" w:rsidRPr="00221FC9" w14:paraId="35920C23" w14:textId="77777777" w:rsidTr="008B797E">
        <w:trPr>
          <w:cantSplit/>
          <w:trHeight w:val="1134"/>
        </w:trPr>
        <w:tc>
          <w:tcPr>
            <w:tcW w:w="8818" w:type="dxa"/>
            <w:shd w:val="clear" w:color="auto" w:fill="FFFF99"/>
          </w:tcPr>
          <w:p w14:paraId="54114507"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3EE87873" w14:textId="77777777" w:rsidR="00FA0EA7" w:rsidRPr="00221FC9" w:rsidRDefault="00FA0EA7" w:rsidP="00FA0EA7"/>
    <w:p w14:paraId="452B7905" w14:textId="77777777" w:rsidR="00AE32F4" w:rsidRDefault="00AE32F4" w:rsidP="00FA0EA7">
      <w:pPr>
        <w:pStyle w:val="Heading3"/>
        <w:rPr>
          <w:rFonts w:eastAsia="PMingLiU"/>
        </w:rPr>
        <w:sectPr w:rsidR="00AE32F4" w:rsidSect="00150ECE">
          <w:pgSz w:w="11907" w:h="16834" w:code="9"/>
          <w:pgMar w:top="1418" w:right="1701" w:bottom="1134" w:left="1843" w:header="284" w:footer="425" w:gutter="284"/>
          <w:cols w:space="720"/>
        </w:sectPr>
      </w:pPr>
    </w:p>
    <w:p w14:paraId="7761B688" w14:textId="77777777" w:rsidR="00FA0EA7" w:rsidRPr="00221FC9" w:rsidRDefault="00FA0EA7" w:rsidP="00C34511">
      <w:pPr>
        <w:pStyle w:val="Heading3"/>
        <w:spacing w:before="0"/>
        <w:rPr>
          <w:rFonts w:eastAsia="PMingLiU"/>
        </w:rPr>
      </w:pPr>
      <w:r w:rsidRPr="00221FC9">
        <w:rPr>
          <w:rFonts w:eastAsia="PMingLiU"/>
        </w:rPr>
        <w:lastRenderedPageBreak/>
        <w:t>6</w:t>
      </w:r>
      <w:r w:rsidRPr="00221FC9">
        <w:rPr>
          <w:rFonts w:eastAsia="PMingLiU"/>
        </w:rPr>
        <w:tab/>
        <w:t>Clinical issues</w:t>
      </w:r>
      <w:bookmarkEnd w:id="56"/>
      <w:r w:rsidRPr="00221FC9">
        <w:rPr>
          <w:rFonts w:eastAsia="PMingLiU"/>
        </w:rPr>
        <w:t xml:space="preserve"> and special populations</w:t>
      </w:r>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56C98C3D" w14:textId="77777777" w:rsidTr="008F70A0">
        <w:trPr>
          <w:cantSplit/>
          <w:trHeight w:val="20"/>
          <w:tblHeader/>
        </w:trPr>
        <w:tc>
          <w:tcPr>
            <w:tcW w:w="4422" w:type="dxa"/>
            <w:shd w:val="clear" w:color="auto" w:fill="D9D9D9" w:themeFill="background1" w:themeFillShade="D9"/>
          </w:tcPr>
          <w:p w14:paraId="7AA468AD" w14:textId="77777777" w:rsidR="00FA0EA7" w:rsidRPr="00221FC9" w:rsidRDefault="00FA0EA7" w:rsidP="009374B1">
            <w:pPr>
              <w:pStyle w:val="TableText"/>
              <w:keepNext/>
              <w:rPr>
                <w:rFonts w:eastAsia="PMingLiU"/>
                <w:b/>
              </w:rPr>
            </w:pPr>
            <w:r w:rsidRPr="00221FC9">
              <w:rPr>
                <w:rFonts w:eastAsia="PMingLiU"/>
                <w:b/>
              </w:rPr>
              <w:t>Indicators</w:t>
            </w:r>
          </w:p>
        </w:tc>
        <w:tc>
          <w:tcPr>
            <w:tcW w:w="2268" w:type="dxa"/>
            <w:shd w:val="clear" w:color="auto" w:fill="D9D9D9" w:themeFill="background1" w:themeFillShade="D9"/>
          </w:tcPr>
          <w:p w14:paraId="1050BCFF" w14:textId="48F6410E" w:rsidR="00FA0EA7" w:rsidRPr="00221FC9" w:rsidRDefault="00C11D97" w:rsidP="009374B1">
            <w:pPr>
              <w:pStyle w:val="TableText"/>
              <w:keepN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046F37C4" w14:textId="77777777" w:rsidR="00FA0EA7" w:rsidRPr="00221FC9" w:rsidRDefault="00FA0EA7" w:rsidP="009374B1">
            <w:pPr>
              <w:pStyle w:val="TableText"/>
              <w:keepNext/>
              <w:jc w:val="center"/>
              <w:rPr>
                <w:rFonts w:eastAsia="PMingLiU"/>
                <w:b/>
              </w:rPr>
            </w:pPr>
            <w:r w:rsidRPr="00221FC9">
              <w:rPr>
                <w:rFonts w:eastAsia="PMingLiU"/>
                <w:b/>
              </w:rPr>
              <w:t>Attainment</w:t>
            </w:r>
          </w:p>
        </w:tc>
        <w:tc>
          <w:tcPr>
            <w:tcW w:w="851" w:type="dxa"/>
            <w:shd w:val="clear" w:color="auto" w:fill="D9D9D9" w:themeFill="background1" w:themeFillShade="D9"/>
          </w:tcPr>
          <w:p w14:paraId="39BB055D" w14:textId="77777777" w:rsidR="00FA0EA7" w:rsidRPr="00221FC9" w:rsidRDefault="00FA0EA7" w:rsidP="009374B1">
            <w:pPr>
              <w:pStyle w:val="TableText"/>
              <w:keepNext/>
              <w:jc w:val="center"/>
              <w:rPr>
                <w:rFonts w:eastAsia="PMingLiU"/>
                <w:b/>
              </w:rPr>
            </w:pPr>
            <w:r w:rsidRPr="00221FC9">
              <w:rPr>
                <w:rFonts w:eastAsia="PMingLiU"/>
                <w:b/>
              </w:rPr>
              <w:t>Risk</w:t>
            </w:r>
          </w:p>
        </w:tc>
      </w:tr>
      <w:tr w:rsidR="00FA0EA7" w:rsidRPr="00221FC9" w14:paraId="2F9B6D18" w14:textId="77777777" w:rsidTr="008F70A0">
        <w:trPr>
          <w:cantSplit/>
          <w:trHeight w:val="20"/>
        </w:trPr>
        <w:tc>
          <w:tcPr>
            <w:tcW w:w="4422" w:type="dxa"/>
            <w:shd w:val="clear" w:color="auto" w:fill="F2F2F2"/>
          </w:tcPr>
          <w:p w14:paraId="0D15D6A1" w14:textId="77777777" w:rsidR="00FA0EA7" w:rsidRPr="00221FC9" w:rsidRDefault="00FA0EA7" w:rsidP="009374B1">
            <w:pPr>
              <w:pStyle w:val="TableText"/>
              <w:rPr>
                <w:rFonts w:cs="Helvetica"/>
                <w:b/>
                <w:color w:val="141413"/>
                <w:szCs w:val="26"/>
              </w:rPr>
            </w:pPr>
            <w:r w:rsidRPr="00221FC9">
              <w:rPr>
                <w:rFonts w:cs="Helvetica"/>
                <w:b/>
                <w:color w:val="141413"/>
                <w:szCs w:val="26"/>
              </w:rPr>
              <w:t>6.1</w:t>
            </w:r>
            <w:r w:rsidRPr="00221FC9">
              <w:rPr>
                <w:rFonts w:cs="Helvetica"/>
                <w:b/>
                <w:color w:val="141413"/>
                <w:szCs w:val="26"/>
              </w:rPr>
              <w:tab/>
              <w:t>Managing problematic substance use</w:t>
            </w:r>
          </w:p>
        </w:tc>
        <w:tc>
          <w:tcPr>
            <w:tcW w:w="2268" w:type="dxa"/>
            <w:shd w:val="clear" w:color="auto" w:fill="F2F2F2"/>
          </w:tcPr>
          <w:p w14:paraId="19D7A97F" w14:textId="77777777" w:rsidR="00FA0EA7" w:rsidRPr="00221FC9" w:rsidRDefault="00FA0EA7" w:rsidP="009374B1">
            <w:pPr>
              <w:pStyle w:val="TableText"/>
              <w:rPr>
                <w:rFonts w:cs="Helvetica"/>
                <w:color w:val="141413"/>
                <w:szCs w:val="26"/>
              </w:rPr>
            </w:pPr>
          </w:p>
        </w:tc>
        <w:tc>
          <w:tcPr>
            <w:tcW w:w="1275" w:type="dxa"/>
            <w:shd w:val="clear" w:color="auto" w:fill="F2F2F2"/>
          </w:tcPr>
          <w:p w14:paraId="018E19CC" w14:textId="77777777" w:rsidR="00FA0EA7" w:rsidRPr="00221FC9" w:rsidRDefault="00FA0EA7" w:rsidP="009374B1">
            <w:pPr>
              <w:pStyle w:val="TableText"/>
              <w:jc w:val="center"/>
              <w:rPr>
                <w:rFonts w:cs="Helvetica"/>
                <w:color w:val="141413"/>
                <w:szCs w:val="26"/>
              </w:rPr>
            </w:pPr>
          </w:p>
        </w:tc>
        <w:tc>
          <w:tcPr>
            <w:tcW w:w="851" w:type="dxa"/>
            <w:shd w:val="clear" w:color="auto" w:fill="F2F2F2"/>
          </w:tcPr>
          <w:p w14:paraId="4380647A" w14:textId="77777777" w:rsidR="00FA0EA7" w:rsidRPr="00221FC9" w:rsidRDefault="00FA0EA7" w:rsidP="009374B1">
            <w:pPr>
              <w:pStyle w:val="TableText"/>
              <w:jc w:val="center"/>
              <w:rPr>
                <w:rFonts w:cs="Helvetica"/>
                <w:color w:val="141413"/>
                <w:szCs w:val="26"/>
              </w:rPr>
            </w:pPr>
          </w:p>
        </w:tc>
      </w:tr>
      <w:tr w:rsidR="00FA0EA7" w:rsidRPr="00221FC9" w14:paraId="7C467939" w14:textId="77777777" w:rsidTr="008F70A0">
        <w:trPr>
          <w:cantSplit/>
          <w:trHeight w:val="20"/>
        </w:trPr>
        <w:tc>
          <w:tcPr>
            <w:tcW w:w="4422" w:type="dxa"/>
          </w:tcPr>
          <w:p w14:paraId="78B50FAD" w14:textId="77777777" w:rsidR="00FA0EA7" w:rsidRPr="00221FC9" w:rsidRDefault="00FA0EA7" w:rsidP="009374B1">
            <w:pPr>
              <w:pStyle w:val="TableText"/>
            </w:pPr>
            <w:r w:rsidRPr="00221FC9">
              <w:t xml:space="preserve">OST providers must therapeutically engage with tāngata </w:t>
            </w:r>
            <w:proofErr w:type="spellStart"/>
            <w:r w:rsidRPr="00221FC9">
              <w:t>whai</w:t>
            </w:r>
            <w:proofErr w:type="spellEnd"/>
            <w:r w:rsidRPr="00221FC9">
              <w:t xml:space="preserve"> ora who continue use of alcohol and other substances in ways that increase chances of harm. </w:t>
            </w:r>
          </w:p>
          <w:p w14:paraId="6154F336" w14:textId="13C42A1C" w:rsidR="00FA0EA7" w:rsidRPr="00221FC9" w:rsidRDefault="00FA0EA7" w:rsidP="009374B1">
            <w:pPr>
              <w:pStyle w:val="TableText"/>
            </w:pPr>
            <w:r w:rsidRPr="00221FC9">
              <w:t xml:space="preserve">Responses to ongoing substance use besides opioids should be individualised and complies with </w:t>
            </w:r>
            <w:r w:rsidRPr="00221FC9">
              <w:rPr>
                <w:i/>
                <w:iCs/>
              </w:rPr>
              <w:t>OST Guidelines</w:t>
            </w:r>
            <w:r w:rsidRPr="00221FC9">
              <w:t xml:space="preserve"> section 6.1</w:t>
            </w:r>
          </w:p>
        </w:tc>
        <w:tc>
          <w:tcPr>
            <w:tcW w:w="2268" w:type="dxa"/>
          </w:tcPr>
          <w:p w14:paraId="1303486B" w14:textId="77777777" w:rsidR="00FA0EA7" w:rsidRPr="00221FC9" w:rsidRDefault="00FA0EA7" w:rsidP="009374B1">
            <w:pPr>
              <w:pStyle w:val="TableText"/>
              <w:keepNext/>
            </w:pPr>
            <w:r w:rsidRPr="00221FC9">
              <w:rPr>
                <w:sz w:val="16"/>
                <w:szCs w:val="16"/>
              </w:rPr>
              <w:t>Count as 1 indicator and provide comment and average for one attainment</w:t>
            </w:r>
          </w:p>
        </w:tc>
        <w:tc>
          <w:tcPr>
            <w:tcW w:w="1275" w:type="dxa"/>
          </w:tcPr>
          <w:p w14:paraId="7FFDF6A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CEB5C7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3116E2A" w14:textId="77777777" w:rsidTr="008F70A0">
        <w:trPr>
          <w:cantSplit/>
          <w:trHeight w:val="20"/>
        </w:trPr>
        <w:tc>
          <w:tcPr>
            <w:tcW w:w="4422" w:type="dxa"/>
          </w:tcPr>
          <w:p w14:paraId="36A56A8E" w14:textId="77777777"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who are known to use other substances problematically have their takeaway dose arrangements reviewed as part of a treatment review.</w:t>
            </w:r>
          </w:p>
        </w:tc>
        <w:tc>
          <w:tcPr>
            <w:tcW w:w="2268" w:type="dxa"/>
          </w:tcPr>
          <w:p w14:paraId="02F5A45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4ADDCB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CF94D2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DB6DE06" w14:textId="77777777" w:rsidTr="008F70A0">
        <w:trPr>
          <w:cantSplit/>
          <w:trHeight w:val="20"/>
        </w:trPr>
        <w:tc>
          <w:tcPr>
            <w:tcW w:w="4422" w:type="dxa"/>
          </w:tcPr>
          <w:p w14:paraId="631A6C39" w14:textId="138FEEAD"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are advised about potential interactions between OST medication and other substances (including alcohol).</w:t>
            </w:r>
          </w:p>
        </w:tc>
        <w:tc>
          <w:tcPr>
            <w:tcW w:w="2268" w:type="dxa"/>
          </w:tcPr>
          <w:p w14:paraId="07B6BDFF" w14:textId="77777777" w:rsidR="00FA0EA7" w:rsidRPr="00221FC9" w:rsidRDefault="00FA0EA7" w:rsidP="009374B1">
            <w:pPr>
              <w:pStyle w:val="TableText"/>
              <w:keepNext/>
              <w:rPr>
                <w:sz w:val="16"/>
                <w:szCs w:val="16"/>
              </w:rPr>
            </w:pPr>
            <w:r w:rsidRPr="00221FC9">
              <w:rPr>
                <w:sz w:val="16"/>
                <w:szCs w:val="16"/>
              </w:rPr>
              <w:t>Count as 1 indicator and provide comment and average for one attainment</w:t>
            </w:r>
          </w:p>
        </w:tc>
        <w:tc>
          <w:tcPr>
            <w:tcW w:w="1275" w:type="dxa"/>
          </w:tcPr>
          <w:p w14:paraId="08A399B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74C85D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459B93A7" w14:textId="77777777" w:rsidTr="008F70A0">
        <w:trPr>
          <w:cantSplit/>
          <w:trHeight w:val="20"/>
        </w:trPr>
        <w:tc>
          <w:tcPr>
            <w:tcW w:w="4422" w:type="dxa"/>
          </w:tcPr>
          <w:p w14:paraId="6F7A1CD8" w14:textId="67901DAE" w:rsidR="008F70A0" w:rsidRPr="00221FC9" w:rsidRDefault="008F70A0" w:rsidP="008F70A0">
            <w:pPr>
              <w:pStyle w:val="TableText"/>
            </w:pPr>
            <w:r w:rsidRPr="00221FC9">
              <w:t xml:space="preserve">Services advise tāngata </w:t>
            </w:r>
            <w:proofErr w:type="spellStart"/>
            <w:r w:rsidRPr="00221FC9">
              <w:t>whai</w:t>
            </w:r>
            <w:proofErr w:type="spellEnd"/>
            <w:r w:rsidRPr="00221FC9">
              <w:t xml:space="preserve"> ora about interactions between benzodiazepines and OST medication. </w:t>
            </w:r>
          </w:p>
        </w:tc>
        <w:tc>
          <w:tcPr>
            <w:tcW w:w="2268" w:type="dxa"/>
          </w:tcPr>
          <w:p w14:paraId="3AB1729F" w14:textId="7354D4F3" w:rsidR="008F70A0" w:rsidRPr="00221FC9" w:rsidRDefault="008F70A0" w:rsidP="008F70A0">
            <w:pPr>
              <w:pStyle w:val="TableText"/>
              <w:keepNext/>
              <w:rPr>
                <w:sz w:val="16"/>
                <w:szCs w:val="1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48703D2" w14:textId="187A6172"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AAA62C3" w14:textId="29F90CEF"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2669B962" w14:textId="77777777" w:rsidTr="008F70A0">
        <w:trPr>
          <w:cantSplit/>
          <w:trHeight w:val="20"/>
        </w:trPr>
        <w:tc>
          <w:tcPr>
            <w:tcW w:w="4422" w:type="dxa"/>
          </w:tcPr>
          <w:p w14:paraId="7C7C4C13" w14:textId="77777777" w:rsidR="008F70A0" w:rsidRPr="00221FC9" w:rsidRDefault="008F70A0" w:rsidP="008F70A0">
            <w:pPr>
              <w:pStyle w:val="TableText"/>
            </w:pPr>
            <w:r w:rsidRPr="00221FC9">
              <w:t>There is regular clinical review where benzodiazepines are co-prescribed.</w:t>
            </w:r>
          </w:p>
        </w:tc>
        <w:tc>
          <w:tcPr>
            <w:tcW w:w="2268" w:type="dxa"/>
          </w:tcPr>
          <w:p w14:paraId="477F7002" w14:textId="52720158" w:rsidR="008F70A0" w:rsidRPr="00221FC9" w:rsidRDefault="008F70A0" w:rsidP="008F70A0">
            <w:pPr>
              <w:pStyle w:val="TableText"/>
              <w:keepNext/>
              <w:rPr>
                <w:sz w:val="16"/>
                <w:szCs w:val="1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EF8E759" w14:textId="7AAA629C"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DD02D61" w14:textId="7595EC1C"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E945AE3" w14:textId="77777777" w:rsidTr="008F70A0">
        <w:trPr>
          <w:cantSplit/>
          <w:trHeight w:val="20"/>
        </w:trPr>
        <w:tc>
          <w:tcPr>
            <w:tcW w:w="4422" w:type="dxa"/>
          </w:tcPr>
          <w:p w14:paraId="40F9A198" w14:textId="77777777" w:rsidR="00FA0EA7" w:rsidRPr="00221FC9" w:rsidRDefault="00FA0EA7" w:rsidP="009374B1">
            <w:pPr>
              <w:pStyle w:val="TableText"/>
            </w:pPr>
            <w:r w:rsidRPr="00221FC9">
              <w:t>Smoking cessation is promoted and offered by both specialist services and GP prescribers.</w:t>
            </w:r>
          </w:p>
        </w:tc>
        <w:tc>
          <w:tcPr>
            <w:tcW w:w="2268" w:type="dxa"/>
          </w:tcPr>
          <w:p w14:paraId="43B91883"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EEE40B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5349DB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02FE6D1" w14:textId="77777777" w:rsidTr="008F70A0">
        <w:trPr>
          <w:cantSplit/>
          <w:trHeight w:val="20"/>
        </w:trPr>
        <w:tc>
          <w:tcPr>
            <w:tcW w:w="4422" w:type="dxa"/>
            <w:shd w:val="clear" w:color="auto" w:fill="F2F2F2"/>
          </w:tcPr>
          <w:p w14:paraId="2C6FA0A4" w14:textId="77777777" w:rsidR="00FA0EA7" w:rsidRPr="00221FC9" w:rsidRDefault="00FA0EA7" w:rsidP="009374B1">
            <w:pPr>
              <w:pStyle w:val="TableText"/>
              <w:rPr>
                <w:b/>
                <w:color w:val="141413"/>
                <w:szCs w:val="26"/>
              </w:rPr>
            </w:pPr>
            <w:r w:rsidRPr="00221FC9">
              <w:rPr>
                <w:b/>
                <w:color w:val="141413"/>
                <w:szCs w:val="26"/>
              </w:rPr>
              <w:t>6.2</w:t>
            </w:r>
            <w:r w:rsidRPr="00221FC9">
              <w:rPr>
                <w:b/>
                <w:color w:val="141413"/>
                <w:szCs w:val="26"/>
              </w:rPr>
              <w:tab/>
              <w:t>Managing side effects</w:t>
            </w:r>
          </w:p>
        </w:tc>
        <w:tc>
          <w:tcPr>
            <w:tcW w:w="2268" w:type="dxa"/>
            <w:shd w:val="clear" w:color="auto" w:fill="F2F2F2"/>
          </w:tcPr>
          <w:p w14:paraId="517275D0" w14:textId="77777777" w:rsidR="00FA0EA7" w:rsidRPr="00221FC9" w:rsidRDefault="00FA0EA7" w:rsidP="009374B1">
            <w:pPr>
              <w:pStyle w:val="TableText"/>
              <w:rPr>
                <w:color w:val="141413"/>
                <w:szCs w:val="26"/>
              </w:rPr>
            </w:pPr>
          </w:p>
        </w:tc>
        <w:tc>
          <w:tcPr>
            <w:tcW w:w="1275" w:type="dxa"/>
            <w:shd w:val="clear" w:color="auto" w:fill="F2F2F2"/>
          </w:tcPr>
          <w:p w14:paraId="2F1E9C48" w14:textId="77777777" w:rsidR="00FA0EA7" w:rsidRPr="00221FC9" w:rsidRDefault="00FA0EA7" w:rsidP="009374B1">
            <w:pPr>
              <w:pStyle w:val="TableText"/>
              <w:jc w:val="center"/>
              <w:rPr>
                <w:color w:val="141413"/>
                <w:szCs w:val="26"/>
              </w:rPr>
            </w:pPr>
          </w:p>
        </w:tc>
        <w:tc>
          <w:tcPr>
            <w:tcW w:w="851" w:type="dxa"/>
            <w:shd w:val="clear" w:color="auto" w:fill="F2F2F2"/>
          </w:tcPr>
          <w:p w14:paraId="445E4954" w14:textId="77777777" w:rsidR="00FA0EA7" w:rsidRPr="00221FC9" w:rsidRDefault="00FA0EA7" w:rsidP="009374B1">
            <w:pPr>
              <w:pStyle w:val="TableText"/>
              <w:jc w:val="center"/>
              <w:rPr>
                <w:color w:val="141413"/>
                <w:szCs w:val="26"/>
              </w:rPr>
            </w:pPr>
          </w:p>
        </w:tc>
      </w:tr>
      <w:tr w:rsidR="00FA0EA7" w:rsidRPr="00221FC9" w14:paraId="6192A471" w14:textId="77777777" w:rsidTr="008F70A0">
        <w:trPr>
          <w:cantSplit/>
          <w:trHeight w:val="20"/>
        </w:trPr>
        <w:tc>
          <w:tcPr>
            <w:tcW w:w="4422" w:type="dxa"/>
          </w:tcPr>
          <w:p w14:paraId="78B6CED1" w14:textId="77777777"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are provided with information on potential side effects and management of side effects.</w:t>
            </w:r>
          </w:p>
        </w:tc>
        <w:tc>
          <w:tcPr>
            <w:tcW w:w="2268" w:type="dxa"/>
          </w:tcPr>
          <w:p w14:paraId="1829218A"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CF8571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E32E54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82F0DB5" w14:textId="77777777" w:rsidTr="008F70A0">
        <w:trPr>
          <w:cantSplit/>
          <w:trHeight w:val="20"/>
        </w:trPr>
        <w:tc>
          <w:tcPr>
            <w:tcW w:w="4422" w:type="dxa"/>
            <w:shd w:val="clear" w:color="auto" w:fill="F2F2F2"/>
          </w:tcPr>
          <w:p w14:paraId="51BB601C" w14:textId="77777777" w:rsidR="00FA0EA7" w:rsidRPr="00221FC9" w:rsidRDefault="00FA0EA7" w:rsidP="009374B1">
            <w:pPr>
              <w:pStyle w:val="TableText"/>
              <w:rPr>
                <w:b/>
                <w:color w:val="141413"/>
                <w:szCs w:val="26"/>
              </w:rPr>
            </w:pPr>
            <w:r w:rsidRPr="00221FC9">
              <w:rPr>
                <w:b/>
                <w:color w:val="141413"/>
                <w:szCs w:val="26"/>
              </w:rPr>
              <w:t>6.3</w:t>
            </w:r>
            <w:r w:rsidRPr="00221FC9">
              <w:rPr>
                <w:b/>
                <w:color w:val="141413"/>
                <w:szCs w:val="26"/>
              </w:rPr>
              <w:tab/>
              <w:t>Managing intoxicated presentations</w:t>
            </w:r>
          </w:p>
        </w:tc>
        <w:tc>
          <w:tcPr>
            <w:tcW w:w="2268" w:type="dxa"/>
            <w:shd w:val="clear" w:color="auto" w:fill="F2F2F2"/>
          </w:tcPr>
          <w:p w14:paraId="1C6302F1" w14:textId="77777777" w:rsidR="00FA0EA7" w:rsidRPr="00221FC9" w:rsidRDefault="00FA0EA7" w:rsidP="009374B1">
            <w:pPr>
              <w:pStyle w:val="TableText"/>
              <w:rPr>
                <w:color w:val="141413"/>
                <w:szCs w:val="26"/>
              </w:rPr>
            </w:pPr>
          </w:p>
        </w:tc>
        <w:tc>
          <w:tcPr>
            <w:tcW w:w="1275" w:type="dxa"/>
            <w:shd w:val="clear" w:color="auto" w:fill="F2F2F2"/>
          </w:tcPr>
          <w:p w14:paraId="1D749931" w14:textId="77777777" w:rsidR="00FA0EA7" w:rsidRPr="00221FC9" w:rsidRDefault="00FA0EA7" w:rsidP="009374B1">
            <w:pPr>
              <w:pStyle w:val="TableText"/>
              <w:jc w:val="center"/>
              <w:rPr>
                <w:color w:val="141413"/>
                <w:szCs w:val="26"/>
              </w:rPr>
            </w:pPr>
          </w:p>
        </w:tc>
        <w:tc>
          <w:tcPr>
            <w:tcW w:w="851" w:type="dxa"/>
            <w:shd w:val="clear" w:color="auto" w:fill="F2F2F2"/>
          </w:tcPr>
          <w:p w14:paraId="1D25A4C6" w14:textId="77777777" w:rsidR="00FA0EA7" w:rsidRPr="00221FC9" w:rsidRDefault="00FA0EA7" w:rsidP="009374B1">
            <w:pPr>
              <w:pStyle w:val="TableText"/>
              <w:jc w:val="center"/>
              <w:rPr>
                <w:color w:val="141413"/>
                <w:szCs w:val="26"/>
              </w:rPr>
            </w:pPr>
          </w:p>
        </w:tc>
      </w:tr>
      <w:tr w:rsidR="00FA0EA7" w:rsidRPr="00221FC9" w14:paraId="487973FC" w14:textId="77777777" w:rsidTr="008F70A0">
        <w:trPr>
          <w:cantSplit/>
          <w:trHeight w:val="20"/>
        </w:trPr>
        <w:tc>
          <w:tcPr>
            <w:tcW w:w="4422" w:type="dxa"/>
          </w:tcPr>
          <w:p w14:paraId="502DA10F" w14:textId="77777777" w:rsidR="00FA0EA7" w:rsidRPr="00221FC9" w:rsidRDefault="00FA0EA7" w:rsidP="009374B1">
            <w:pPr>
              <w:pStyle w:val="TableText"/>
            </w:pPr>
            <w:r w:rsidRPr="00221FC9">
              <w:t xml:space="preserve">Clear guidance is given to tāngata </w:t>
            </w:r>
            <w:proofErr w:type="spellStart"/>
            <w:r w:rsidRPr="00221FC9">
              <w:t>whai</w:t>
            </w:r>
            <w:proofErr w:type="spellEnd"/>
            <w:r w:rsidRPr="00221FC9">
              <w:t xml:space="preserve"> ora and pharmacists regarding the likely outcomes of a tāngata </w:t>
            </w:r>
            <w:proofErr w:type="spellStart"/>
            <w:r w:rsidRPr="00221FC9">
              <w:t>whai</w:t>
            </w:r>
            <w:proofErr w:type="spellEnd"/>
            <w:r w:rsidRPr="00221FC9">
              <w:t xml:space="preserve"> ora presenting for doses in an intoxicated state.</w:t>
            </w:r>
          </w:p>
        </w:tc>
        <w:tc>
          <w:tcPr>
            <w:tcW w:w="2268" w:type="dxa"/>
          </w:tcPr>
          <w:p w14:paraId="0188A128"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19B33C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A1F291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1E28B22" w14:textId="77777777" w:rsidTr="008F70A0">
        <w:trPr>
          <w:cantSplit/>
          <w:trHeight w:val="20"/>
        </w:trPr>
        <w:tc>
          <w:tcPr>
            <w:tcW w:w="4422" w:type="dxa"/>
            <w:shd w:val="clear" w:color="auto" w:fill="F2F2F2"/>
          </w:tcPr>
          <w:p w14:paraId="76636FB2" w14:textId="77777777" w:rsidR="00FA0EA7" w:rsidRPr="00221FC9" w:rsidRDefault="00FA0EA7" w:rsidP="009374B1">
            <w:pPr>
              <w:pStyle w:val="TableText"/>
              <w:rPr>
                <w:b/>
                <w:color w:val="141413"/>
                <w:szCs w:val="26"/>
              </w:rPr>
            </w:pPr>
            <w:r w:rsidRPr="00221FC9">
              <w:rPr>
                <w:b/>
                <w:color w:val="141413"/>
                <w:szCs w:val="26"/>
              </w:rPr>
              <w:t>6.4</w:t>
            </w:r>
            <w:r w:rsidRPr="00221FC9">
              <w:rPr>
                <w:b/>
                <w:color w:val="141413"/>
                <w:szCs w:val="26"/>
              </w:rPr>
              <w:tab/>
              <w:t>Managing challenging behaviour</w:t>
            </w:r>
          </w:p>
        </w:tc>
        <w:tc>
          <w:tcPr>
            <w:tcW w:w="2268" w:type="dxa"/>
            <w:shd w:val="clear" w:color="auto" w:fill="F2F2F2"/>
          </w:tcPr>
          <w:p w14:paraId="5FC1081B" w14:textId="77777777" w:rsidR="00FA0EA7" w:rsidRPr="00221FC9" w:rsidRDefault="00FA0EA7" w:rsidP="009374B1">
            <w:pPr>
              <w:pStyle w:val="TableText"/>
              <w:rPr>
                <w:color w:val="141413"/>
                <w:szCs w:val="26"/>
              </w:rPr>
            </w:pPr>
          </w:p>
        </w:tc>
        <w:tc>
          <w:tcPr>
            <w:tcW w:w="1275" w:type="dxa"/>
            <w:shd w:val="clear" w:color="auto" w:fill="F2F2F2"/>
          </w:tcPr>
          <w:p w14:paraId="0B60EB2C" w14:textId="77777777" w:rsidR="00FA0EA7" w:rsidRPr="00221FC9" w:rsidRDefault="00FA0EA7" w:rsidP="009374B1">
            <w:pPr>
              <w:pStyle w:val="TableText"/>
              <w:jc w:val="center"/>
              <w:rPr>
                <w:color w:val="141413"/>
                <w:szCs w:val="26"/>
              </w:rPr>
            </w:pPr>
          </w:p>
        </w:tc>
        <w:tc>
          <w:tcPr>
            <w:tcW w:w="851" w:type="dxa"/>
            <w:shd w:val="clear" w:color="auto" w:fill="F2F2F2"/>
          </w:tcPr>
          <w:p w14:paraId="202AB806" w14:textId="77777777" w:rsidR="00FA0EA7" w:rsidRPr="00221FC9" w:rsidRDefault="00FA0EA7" w:rsidP="009374B1">
            <w:pPr>
              <w:pStyle w:val="TableText"/>
              <w:jc w:val="center"/>
              <w:rPr>
                <w:color w:val="141413"/>
                <w:szCs w:val="26"/>
              </w:rPr>
            </w:pPr>
          </w:p>
        </w:tc>
      </w:tr>
      <w:tr w:rsidR="008F70A0" w:rsidRPr="00221FC9" w14:paraId="6F6DC1C8" w14:textId="77777777" w:rsidTr="008F70A0">
        <w:trPr>
          <w:cantSplit/>
          <w:trHeight w:val="20"/>
        </w:trPr>
        <w:tc>
          <w:tcPr>
            <w:tcW w:w="4422" w:type="dxa"/>
          </w:tcPr>
          <w:p w14:paraId="0B005FBC" w14:textId="77777777" w:rsidR="008F70A0" w:rsidRPr="00221FC9" w:rsidRDefault="008F70A0" w:rsidP="008F70A0">
            <w:pPr>
              <w:pStyle w:val="TableText"/>
            </w:pPr>
            <w:r w:rsidRPr="00221FC9">
              <w:t>A negotiated, trauma-informed, and person-centred consultation style can help minimise and support development of a positive therapeutic alliance. Service providers must handle</w:t>
            </w:r>
            <w:r w:rsidRPr="00221FC9" w:rsidDel="000F0A54">
              <w:t xml:space="preserve"> </w:t>
            </w:r>
            <w:r w:rsidRPr="00221FC9">
              <w:t xml:space="preserve">relationships sensitively, avoiding adversarial interactions with tāngata </w:t>
            </w:r>
            <w:proofErr w:type="spellStart"/>
            <w:r w:rsidRPr="00221FC9">
              <w:t>whai</w:t>
            </w:r>
            <w:proofErr w:type="spellEnd"/>
            <w:r w:rsidRPr="00221FC9">
              <w:t xml:space="preserve"> ora. Opportunities to maximise tāngata </w:t>
            </w:r>
            <w:proofErr w:type="spellStart"/>
            <w:r w:rsidRPr="00221FC9">
              <w:t>whai</w:t>
            </w:r>
            <w:proofErr w:type="spellEnd"/>
            <w:r w:rsidRPr="00221FC9">
              <w:t xml:space="preserve"> ora autonomy in the safe provision of OST should always be sought.</w:t>
            </w:r>
          </w:p>
          <w:p w14:paraId="573738D2" w14:textId="0FE55CAE" w:rsidR="008F70A0" w:rsidRPr="008F70A0" w:rsidRDefault="008F70A0" w:rsidP="008F70A0">
            <w:pPr>
              <w:pStyle w:val="TableText"/>
            </w:pPr>
            <w:r w:rsidRPr="00221FC9">
              <w:t>Providers should record instances of challenging behaviour in clinical records.</w:t>
            </w:r>
          </w:p>
        </w:tc>
        <w:tc>
          <w:tcPr>
            <w:tcW w:w="2268" w:type="dxa"/>
          </w:tcPr>
          <w:p w14:paraId="7C8BBA4F" w14:textId="1C7D0581" w:rsidR="008F70A0" w:rsidRPr="00221FC9" w:rsidRDefault="008F70A0" w:rsidP="008F70A0">
            <w:pPr>
              <w:pStyle w:val="TableText"/>
              <w:rPr>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77769BB" w14:textId="0348E22F" w:rsidR="008F70A0" w:rsidRPr="00221FC9" w:rsidRDefault="008F70A0" w:rsidP="008F70A0">
            <w:pPr>
              <w:pStyle w:val="TableText"/>
              <w:jc w:val="center"/>
              <w:rPr>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B1FD651" w14:textId="1E19E105" w:rsidR="008F70A0" w:rsidRPr="00221FC9" w:rsidRDefault="008F70A0" w:rsidP="008F70A0">
            <w:pPr>
              <w:pStyle w:val="TableText"/>
              <w:jc w:val="center"/>
              <w:rPr>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5BD5005" w14:textId="77777777" w:rsidTr="008F70A0">
        <w:trPr>
          <w:cantSplit/>
          <w:trHeight w:val="20"/>
        </w:trPr>
        <w:tc>
          <w:tcPr>
            <w:tcW w:w="4422" w:type="dxa"/>
            <w:shd w:val="clear" w:color="auto" w:fill="F2F2F2"/>
          </w:tcPr>
          <w:p w14:paraId="60B0061F" w14:textId="77777777" w:rsidR="00FA0EA7" w:rsidRPr="00221FC9" w:rsidRDefault="00FA0EA7" w:rsidP="008F70A0">
            <w:pPr>
              <w:pStyle w:val="TableText"/>
              <w:keepNext/>
              <w:rPr>
                <w:b/>
                <w:color w:val="141413"/>
                <w:szCs w:val="26"/>
              </w:rPr>
            </w:pPr>
            <w:r w:rsidRPr="00221FC9">
              <w:rPr>
                <w:b/>
                <w:color w:val="141413"/>
                <w:szCs w:val="26"/>
              </w:rPr>
              <w:lastRenderedPageBreak/>
              <w:t>6.5</w:t>
            </w:r>
            <w:r w:rsidRPr="00221FC9">
              <w:rPr>
                <w:b/>
                <w:color w:val="141413"/>
                <w:szCs w:val="26"/>
              </w:rPr>
              <w:tab/>
              <w:t>Co</w:t>
            </w:r>
            <w:r w:rsidRPr="00221FC9">
              <w:rPr>
                <w:b/>
                <w:color w:val="141413"/>
                <w:szCs w:val="26"/>
              </w:rPr>
              <w:noBreakHyphen/>
              <w:t>existing medical and mental health disorders</w:t>
            </w:r>
          </w:p>
        </w:tc>
        <w:tc>
          <w:tcPr>
            <w:tcW w:w="2268" w:type="dxa"/>
            <w:shd w:val="clear" w:color="auto" w:fill="F2F2F2"/>
          </w:tcPr>
          <w:p w14:paraId="5BE7C5D3" w14:textId="77777777" w:rsidR="00FA0EA7" w:rsidRPr="00221FC9" w:rsidRDefault="00FA0EA7" w:rsidP="008F70A0">
            <w:pPr>
              <w:pStyle w:val="TableText"/>
              <w:keepNext/>
              <w:rPr>
                <w:color w:val="141413"/>
                <w:szCs w:val="26"/>
              </w:rPr>
            </w:pPr>
          </w:p>
        </w:tc>
        <w:tc>
          <w:tcPr>
            <w:tcW w:w="1275" w:type="dxa"/>
            <w:shd w:val="clear" w:color="auto" w:fill="F2F2F2"/>
          </w:tcPr>
          <w:p w14:paraId="659D2570" w14:textId="77777777" w:rsidR="00FA0EA7" w:rsidRPr="00221FC9" w:rsidRDefault="00FA0EA7" w:rsidP="008F70A0">
            <w:pPr>
              <w:pStyle w:val="TableText"/>
              <w:keepNext/>
              <w:jc w:val="center"/>
              <w:rPr>
                <w:color w:val="141413"/>
                <w:szCs w:val="26"/>
              </w:rPr>
            </w:pPr>
          </w:p>
        </w:tc>
        <w:tc>
          <w:tcPr>
            <w:tcW w:w="851" w:type="dxa"/>
            <w:shd w:val="clear" w:color="auto" w:fill="F2F2F2"/>
          </w:tcPr>
          <w:p w14:paraId="58B22835" w14:textId="77777777" w:rsidR="00FA0EA7" w:rsidRPr="00221FC9" w:rsidRDefault="00FA0EA7" w:rsidP="008F70A0">
            <w:pPr>
              <w:pStyle w:val="TableText"/>
              <w:keepNext/>
              <w:jc w:val="center"/>
              <w:rPr>
                <w:color w:val="141413"/>
                <w:szCs w:val="26"/>
              </w:rPr>
            </w:pPr>
          </w:p>
        </w:tc>
      </w:tr>
      <w:tr w:rsidR="00FA0EA7" w:rsidRPr="00221FC9" w14:paraId="63F8DF41" w14:textId="77777777" w:rsidTr="008F70A0">
        <w:trPr>
          <w:cantSplit/>
          <w:trHeight w:val="20"/>
        </w:trPr>
        <w:tc>
          <w:tcPr>
            <w:tcW w:w="4422" w:type="dxa"/>
          </w:tcPr>
          <w:p w14:paraId="2B748D34" w14:textId="0C93408E" w:rsidR="00FA0EA7" w:rsidRPr="00221FC9" w:rsidRDefault="00FA0EA7" w:rsidP="009374B1">
            <w:pPr>
              <w:pStyle w:val="TableText"/>
            </w:pPr>
            <w:r w:rsidRPr="00221FC9">
              <w:t xml:space="preserve">Specialist service protocols should have clear frameworks in place to routinely identify and treat (or facilitate treatment for) co-existing mental health disorders and medical problems. Services should provide tāngata </w:t>
            </w:r>
            <w:proofErr w:type="spellStart"/>
            <w:r w:rsidRPr="00221FC9">
              <w:t>whai</w:t>
            </w:r>
            <w:proofErr w:type="spellEnd"/>
            <w:r w:rsidRPr="00221FC9">
              <w:t xml:space="preserve"> ora and whānau with information on co-existing problems.</w:t>
            </w:r>
          </w:p>
        </w:tc>
        <w:tc>
          <w:tcPr>
            <w:tcW w:w="2268" w:type="dxa"/>
          </w:tcPr>
          <w:p w14:paraId="3159C2C2"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B914F2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096CB0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307B7AF" w14:textId="77777777" w:rsidTr="008F70A0">
        <w:trPr>
          <w:cantSplit/>
          <w:trHeight w:val="20"/>
        </w:trPr>
        <w:tc>
          <w:tcPr>
            <w:tcW w:w="4422" w:type="dxa"/>
          </w:tcPr>
          <w:p w14:paraId="5D99B487" w14:textId="77777777" w:rsidR="00FA0EA7" w:rsidRPr="008F70A0" w:rsidRDefault="00FA0EA7" w:rsidP="008F70A0">
            <w:pPr>
              <w:pStyle w:val="TableText"/>
            </w:pPr>
            <w:r w:rsidRPr="008F70A0">
              <w:t xml:space="preserve">Specialist services should offer tests for HBV, HCV, and HIV during initial assessment. Regular re-testing should occur (such as annually) if tāngata </w:t>
            </w:r>
            <w:proofErr w:type="spellStart"/>
            <w:r w:rsidRPr="008F70A0">
              <w:t>whai</w:t>
            </w:r>
            <w:proofErr w:type="spellEnd"/>
            <w:r w:rsidRPr="008F70A0">
              <w:t xml:space="preserve"> ora continue injecting substances.</w:t>
            </w:r>
          </w:p>
        </w:tc>
        <w:tc>
          <w:tcPr>
            <w:tcW w:w="2268" w:type="dxa"/>
          </w:tcPr>
          <w:p w14:paraId="6CAF78C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2BA67E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430E68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DAE54EB" w14:textId="77777777" w:rsidTr="008F70A0">
        <w:trPr>
          <w:cantSplit/>
          <w:trHeight w:val="20"/>
        </w:trPr>
        <w:tc>
          <w:tcPr>
            <w:tcW w:w="4422" w:type="dxa"/>
          </w:tcPr>
          <w:p w14:paraId="1A1E7FBB" w14:textId="77777777" w:rsidR="00FA0EA7" w:rsidRPr="008F70A0" w:rsidRDefault="00FA0EA7" w:rsidP="008F70A0">
            <w:pPr>
              <w:pStyle w:val="TableText"/>
            </w:pPr>
            <w:r w:rsidRPr="008F70A0">
              <w:t xml:space="preserve">All OST providers should be trained in HIV and hepatitis-related issues and provide information about blood-borne virus transmission, course, and treatment to tāngata </w:t>
            </w:r>
            <w:proofErr w:type="spellStart"/>
            <w:r w:rsidRPr="008F70A0">
              <w:t>whai</w:t>
            </w:r>
            <w:proofErr w:type="spellEnd"/>
            <w:r w:rsidRPr="008F70A0">
              <w:t xml:space="preserve"> ora, whānau, and other health and social service providers.</w:t>
            </w:r>
          </w:p>
        </w:tc>
        <w:tc>
          <w:tcPr>
            <w:tcW w:w="2268" w:type="dxa"/>
          </w:tcPr>
          <w:p w14:paraId="1F16E388"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C238D8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AF96BE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275E4141" w14:textId="77777777" w:rsidTr="008F70A0">
        <w:trPr>
          <w:cantSplit/>
          <w:trHeight w:val="20"/>
        </w:trPr>
        <w:tc>
          <w:tcPr>
            <w:tcW w:w="4422" w:type="dxa"/>
          </w:tcPr>
          <w:p w14:paraId="43FC6B7A" w14:textId="77777777" w:rsidR="008F70A0" w:rsidRPr="008F70A0" w:rsidRDefault="008F70A0" w:rsidP="008F70A0">
            <w:pPr>
              <w:pStyle w:val="TableText"/>
            </w:pPr>
            <w:r w:rsidRPr="008F70A0">
              <w:t xml:space="preserve">Service providers are encouraged to collaborate with local gastroenterology services to improve access to HCV and HBV treatment for tāngata </w:t>
            </w:r>
            <w:proofErr w:type="spellStart"/>
            <w:r w:rsidRPr="008F70A0">
              <w:t>whai</w:t>
            </w:r>
            <w:proofErr w:type="spellEnd"/>
            <w:r w:rsidRPr="008F70A0">
              <w:t xml:space="preserve"> ora.</w:t>
            </w:r>
          </w:p>
        </w:tc>
        <w:tc>
          <w:tcPr>
            <w:tcW w:w="2268" w:type="dxa"/>
          </w:tcPr>
          <w:p w14:paraId="45B3F253" w14:textId="760C6734"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3642D2D" w14:textId="54E027C8"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525D4B7" w14:textId="36630118"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BA15B3E" w14:textId="77777777" w:rsidTr="008F70A0">
        <w:trPr>
          <w:cantSplit/>
          <w:trHeight w:val="20"/>
        </w:trPr>
        <w:tc>
          <w:tcPr>
            <w:tcW w:w="4422" w:type="dxa"/>
          </w:tcPr>
          <w:p w14:paraId="65FA2D1B" w14:textId="77777777" w:rsidR="00FA0EA7" w:rsidRPr="008F70A0" w:rsidRDefault="00FA0EA7" w:rsidP="008F70A0">
            <w:pPr>
              <w:pStyle w:val="TableText"/>
            </w:pPr>
            <w:r w:rsidRPr="008F70A0">
              <w:t>The service encourages good dental hygiene and facilitates access to dental treatment as needed.</w:t>
            </w:r>
          </w:p>
        </w:tc>
        <w:tc>
          <w:tcPr>
            <w:tcW w:w="2268" w:type="dxa"/>
          </w:tcPr>
          <w:p w14:paraId="49A1647C"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F98D6A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5702DF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A4C4A8B" w14:textId="77777777" w:rsidTr="008F70A0">
        <w:trPr>
          <w:cantSplit/>
          <w:trHeight w:val="20"/>
        </w:trPr>
        <w:tc>
          <w:tcPr>
            <w:tcW w:w="4422" w:type="dxa"/>
          </w:tcPr>
          <w:p w14:paraId="68361790" w14:textId="77777777" w:rsidR="00FA0EA7" w:rsidRPr="008F70A0" w:rsidRDefault="00FA0EA7" w:rsidP="008F70A0">
            <w:pPr>
              <w:pStyle w:val="TableText"/>
            </w:pPr>
            <w:r w:rsidRPr="008F70A0">
              <w:t xml:space="preserve">Plans are in place to support the management of specific complications experienced by older tāngata </w:t>
            </w:r>
            <w:proofErr w:type="spellStart"/>
            <w:r w:rsidRPr="008F70A0">
              <w:t>whai</w:t>
            </w:r>
            <w:proofErr w:type="spellEnd"/>
            <w:r w:rsidRPr="008F70A0">
              <w:t xml:space="preserve"> ora and those who have been on OST for a long period of time.</w:t>
            </w:r>
          </w:p>
        </w:tc>
        <w:tc>
          <w:tcPr>
            <w:tcW w:w="2268" w:type="dxa"/>
          </w:tcPr>
          <w:p w14:paraId="7E32D86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FA6147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16BA95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5DA0FFF" w14:textId="77777777" w:rsidTr="008F70A0">
        <w:trPr>
          <w:cantSplit/>
          <w:trHeight w:val="20"/>
        </w:trPr>
        <w:tc>
          <w:tcPr>
            <w:tcW w:w="4422" w:type="dxa"/>
            <w:shd w:val="clear" w:color="auto" w:fill="F2F2F2"/>
          </w:tcPr>
          <w:p w14:paraId="1BD48B78" w14:textId="77777777" w:rsidR="00FA0EA7" w:rsidRPr="00221FC9" w:rsidRDefault="00FA0EA7" w:rsidP="009374B1">
            <w:pPr>
              <w:pStyle w:val="TableText"/>
              <w:rPr>
                <w:b/>
                <w:color w:val="141413"/>
                <w:szCs w:val="26"/>
              </w:rPr>
            </w:pPr>
            <w:r w:rsidRPr="00221FC9">
              <w:rPr>
                <w:b/>
                <w:color w:val="141413"/>
                <w:szCs w:val="26"/>
              </w:rPr>
              <w:t>6.6</w:t>
            </w:r>
            <w:r w:rsidRPr="00221FC9">
              <w:rPr>
                <w:b/>
                <w:color w:val="141413"/>
                <w:szCs w:val="26"/>
              </w:rPr>
              <w:tab/>
              <w:t>Management of acute and chronic pain</w:t>
            </w:r>
          </w:p>
        </w:tc>
        <w:tc>
          <w:tcPr>
            <w:tcW w:w="2268" w:type="dxa"/>
            <w:shd w:val="clear" w:color="auto" w:fill="F2F2F2"/>
          </w:tcPr>
          <w:p w14:paraId="43F72D52" w14:textId="77777777" w:rsidR="00FA0EA7" w:rsidRPr="00221FC9" w:rsidRDefault="00FA0EA7" w:rsidP="009374B1">
            <w:pPr>
              <w:pStyle w:val="TableText"/>
              <w:rPr>
                <w:color w:val="141413"/>
                <w:szCs w:val="26"/>
              </w:rPr>
            </w:pPr>
          </w:p>
        </w:tc>
        <w:tc>
          <w:tcPr>
            <w:tcW w:w="1275" w:type="dxa"/>
            <w:shd w:val="clear" w:color="auto" w:fill="F2F2F2"/>
          </w:tcPr>
          <w:p w14:paraId="7C927B80" w14:textId="77777777" w:rsidR="00FA0EA7" w:rsidRPr="00221FC9" w:rsidRDefault="00FA0EA7" w:rsidP="009374B1">
            <w:pPr>
              <w:pStyle w:val="TableText"/>
              <w:jc w:val="center"/>
              <w:rPr>
                <w:color w:val="141413"/>
                <w:szCs w:val="26"/>
              </w:rPr>
            </w:pPr>
          </w:p>
        </w:tc>
        <w:tc>
          <w:tcPr>
            <w:tcW w:w="851" w:type="dxa"/>
            <w:shd w:val="clear" w:color="auto" w:fill="F2F2F2"/>
          </w:tcPr>
          <w:p w14:paraId="1A98E01A" w14:textId="77777777" w:rsidR="00FA0EA7" w:rsidRPr="00221FC9" w:rsidRDefault="00FA0EA7" w:rsidP="009374B1">
            <w:pPr>
              <w:pStyle w:val="TableText"/>
              <w:jc w:val="center"/>
              <w:rPr>
                <w:color w:val="141413"/>
                <w:szCs w:val="26"/>
              </w:rPr>
            </w:pPr>
          </w:p>
        </w:tc>
      </w:tr>
      <w:tr w:rsidR="00141ADE" w:rsidRPr="00221FC9" w14:paraId="0A13C101" w14:textId="77777777" w:rsidTr="008F70A0">
        <w:trPr>
          <w:cantSplit/>
          <w:trHeight w:val="20"/>
        </w:trPr>
        <w:tc>
          <w:tcPr>
            <w:tcW w:w="4422" w:type="dxa"/>
          </w:tcPr>
          <w:p w14:paraId="26B84460" w14:textId="1B2331DB" w:rsidR="00141ADE" w:rsidRPr="00221FC9" w:rsidRDefault="00141ADE" w:rsidP="009374B1">
            <w:pPr>
              <w:pStyle w:val="TableText"/>
            </w:pPr>
            <w:r w:rsidRPr="00221FC9">
              <w:t>Clear policies and or memoranda of understanding with hospitals are in place for planned and emergency admissions.</w:t>
            </w:r>
          </w:p>
        </w:tc>
        <w:tc>
          <w:tcPr>
            <w:tcW w:w="2268" w:type="dxa"/>
          </w:tcPr>
          <w:p w14:paraId="0623D0E0" w14:textId="07294238" w:rsidR="00141ADE" w:rsidRPr="00221FC9" w:rsidRDefault="00141ADE"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710C51E" w14:textId="00023678" w:rsidR="00141ADE" w:rsidRPr="00221FC9" w:rsidRDefault="00141ADE"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966DC06" w14:textId="1649AB6B" w:rsidR="00141ADE" w:rsidRPr="00221FC9" w:rsidRDefault="00141ADE"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A4AFEE4" w14:textId="77777777" w:rsidTr="008F70A0">
        <w:trPr>
          <w:cantSplit/>
          <w:trHeight w:val="20"/>
        </w:trPr>
        <w:tc>
          <w:tcPr>
            <w:tcW w:w="4422" w:type="dxa"/>
          </w:tcPr>
          <w:p w14:paraId="2041B668" w14:textId="77777777" w:rsidR="00FA0EA7" w:rsidRPr="00221FC9" w:rsidRDefault="00FA0EA7" w:rsidP="009374B1">
            <w:pPr>
              <w:pStyle w:val="TableText"/>
            </w:pPr>
            <w:r w:rsidRPr="00221FC9">
              <w:t>OST providers should have strong relationships with local acute and chronic pain</w:t>
            </w:r>
            <w:r>
              <w:t xml:space="preserve"> </w:t>
            </w:r>
            <w:r w:rsidRPr="00221FC9">
              <w:t xml:space="preserve">services, and where appropriate, have clear service level agreements or memoranda of understanding, and where appropriate collaboratively review or manage tāngata </w:t>
            </w:r>
            <w:proofErr w:type="spellStart"/>
            <w:r w:rsidRPr="00221FC9">
              <w:t>whai</w:t>
            </w:r>
            <w:proofErr w:type="spellEnd"/>
            <w:r w:rsidRPr="00221FC9">
              <w:t xml:space="preserve"> ora with co-existing chronic non-malignant pain problems.</w:t>
            </w:r>
          </w:p>
        </w:tc>
        <w:tc>
          <w:tcPr>
            <w:tcW w:w="2268" w:type="dxa"/>
          </w:tcPr>
          <w:p w14:paraId="13FF6CC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8FDD71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D30F59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F96D21E" w14:textId="77777777" w:rsidTr="008F70A0">
        <w:trPr>
          <w:cantSplit/>
          <w:trHeight w:val="20"/>
        </w:trPr>
        <w:tc>
          <w:tcPr>
            <w:tcW w:w="4422" w:type="dxa"/>
            <w:shd w:val="clear" w:color="auto" w:fill="F2F2F2"/>
          </w:tcPr>
          <w:p w14:paraId="5A216AE3" w14:textId="77777777" w:rsidR="00FA0EA7" w:rsidRPr="00221FC9" w:rsidRDefault="00FA0EA7" w:rsidP="009374B1">
            <w:pPr>
              <w:pStyle w:val="TableText"/>
              <w:keepNext/>
              <w:ind w:left="567" w:hanging="567"/>
              <w:rPr>
                <w:b/>
                <w:color w:val="141413"/>
                <w:szCs w:val="26"/>
              </w:rPr>
            </w:pPr>
            <w:r w:rsidRPr="00221FC9">
              <w:rPr>
                <w:b/>
                <w:color w:val="141413"/>
                <w:szCs w:val="26"/>
              </w:rPr>
              <w:t>6.7</w:t>
            </w:r>
            <w:r w:rsidRPr="00221FC9">
              <w:rPr>
                <w:b/>
                <w:color w:val="141413"/>
                <w:szCs w:val="26"/>
              </w:rPr>
              <w:tab/>
              <w:t xml:space="preserve">Management of pregnant and breastfeeding women </w:t>
            </w:r>
          </w:p>
        </w:tc>
        <w:tc>
          <w:tcPr>
            <w:tcW w:w="2268" w:type="dxa"/>
            <w:shd w:val="clear" w:color="auto" w:fill="F2F2F2"/>
          </w:tcPr>
          <w:p w14:paraId="4F0E5C2F" w14:textId="77777777" w:rsidR="00FA0EA7" w:rsidRPr="00221FC9" w:rsidRDefault="00FA0EA7" w:rsidP="009374B1">
            <w:pPr>
              <w:pStyle w:val="TableText"/>
              <w:keepNext/>
              <w:rPr>
                <w:color w:val="141413"/>
                <w:szCs w:val="26"/>
              </w:rPr>
            </w:pPr>
          </w:p>
        </w:tc>
        <w:tc>
          <w:tcPr>
            <w:tcW w:w="1275" w:type="dxa"/>
            <w:shd w:val="clear" w:color="auto" w:fill="F2F2F2"/>
          </w:tcPr>
          <w:p w14:paraId="74F3491E" w14:textId="77777777" w:rsidR="00FA0EA7" w:rsidRPr="00221FC9" w:rsidRDefault="00FA0EA7" w:rsidP="009374B1">
            <w:pPr>
              <w:pStyle w:val="TableText"/>
              <w:keepNext/>
              <w:jc w:val="center"/>
              <w:rPr>
                <w:color w:val="141413"/>
                <w:szCs w:val="26"/>
              </w:rPr>
            </w:pPr>
          </w:p>
        </w:tc>
        <w:tc>
          <w:tcPr>
            <w:tcW w:w="851" w:type="dxa"/>
            <w:shd w:val="clear" w:color="auto" w:fill="F2F2F2"/>
          </w:tcPr>
          <w:p w14:paraId="34490021" w14:textId="77777777" w:rsidR="00FA0EA7" w:rsidRPr="00221FC9" w:rsidRDefault="00FA0EA7" w:rsidP="009374B1">
            <w:pPr>
              <w:pStyle w:val="TableText"/>
              <w:keepNext/>
              <w:jc w:val="center"/>
              <w:rPr>
                <w:color w:val="141413"/>
                <w:szCs w:val="26"/>
              </w:rPr>
            </w:pPr>
          </w:p>
        </w:tc>
      </w:tr>
      <w:tr w:rsidR="00FA0EA7" w:rsidRPr="00221FC9" w14:paraId="0FE4ECD2" w14:textId="77777777" w:rsidTr="008F70A0">
        <w:trPr>
          <w:cantSplit/>
          <w:trHeight w:val="20"/>
        </w:trPr>
        <w:tc>
          <w:tcPr>
            <w:tcW w:w="4422" w:type="dxa"/>
          </w:tcPr>
          <w:p w14:paraId="0807CAD4" w14:textId="77777777" w:rsidR="00FA0EA7" w:rsidRPr="00221FC9" w:rsidRDefault="00FA0EA7" w:rsidP="008F70A0">
            <w:pPr>
              <w:pStyle w:val="TableText"/>
            </w:pPr>
            <w:r w:rsidRPr="00221FC9">
              <w:t>Pregnant women have priority access to OST.</w:t>
            </w:r>
          </w:p>
        </w:tc>
        <w:tc>
          <w:tcPr>
            <w:tcW w:w="2268" w:type="dxa"/>
          </w:tcPr>
          <w:p w14:paraId="2DFCD94B"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828E78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446818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46A20E6" w14:textId="77777777" w:rsidTr="008F70A0">
        <w:trPr>
          <w:cantSplit/>
          <w:trHeight w:val="20"/>
        </w:trPr>
        <w:tc>
          <w:tcPr>
            <w:tcW w:w="4422" w:type="dxa"/>
          </w:tcPr>
          <w:p w14:paraId="5C5DEBA9" w14:textId="77777777" w:rsidR="00FA0EA7" w:rsidRPr="00221FC9" w:rsidRDefault="00FA0EA7" w:rsidP="008F70A0">
            <w:pPr>
              <w:pStyle w:val="TableText"/>
            </w:pPr>
            <w:r w:rsidRPr="00221FC9">
              <w:t>The service implements clear protocols for managing pregnant women.</w:t>
            </w:r>
          </w:p>
        </w:tc>
        <w:tc>
          <w:tcPr>
            <w:tcW w:w="2268" w:type="dxa"/>
          </w:tcPr>
          <w:p w14:paraId="1A269527"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534BC1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3202CF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0F75A6C" w14:textId="77777777" w:rsidTr="008F70A0">
        <w:trPr>
          <w:cantSplit/>
          <w:trHeight w:val="20"/>
        </w:trPr>
        <w:tc>
          <w:tcPr>
            <w:tcW w:w="4422" w:type="dxa"/>
          </w:tcPr>
          <w:p w14:paraId="1658F26C" w14:textId="7BFAF4AE" w:rsidR="00FA0EA7" w:rsidRPr="008F70A0" w:rsidRDefault="00FA0EA7" w:rsidP="008F70A0">
            <w:pPr>
              <w:pStyle w:val="TableText"/>
            </w:pPr>
            <w:r w:rsidRPr="00221FC9">
              <w:t>Women of childbearing age are given information about the safety of methadone and buprenorphine in pregnancy.</w:t>
            </w:r>
          </w:p>
        </w:tc>
        <w:tc>
          <w:tcPr>
            <w:tcW w:w="2268" w:type="dxa"/>
          </w:tcPr>
          <w:p w14:paraId="6D58CC7C"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2A9942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EA6682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6809D1D1" w14:textId="77777777" w:rsidTr="008F70A0">
        <w:trPr>
          <w:cantSplit/>
          <w:trHeight w:val="20"/>
        </w:trPr>
        <w:tc>
          <w:tcPr>
            <w:tcW w:w="4422" w:type="dxa"/>
          </w:tcPr>
          <w:p w14:paraId="7C54A411" w14:textId="77777777" w:rsidR="008F70A0" w:rsidRPr="00221FC9" w:rsidRDefault="008F70A0" w:rsidP="008F70A0">
            <w:pPr>
              <w:pStyle w:val="TableText"/>
            </w:pPr>
            <w:r w:rsidRPr="00221FC9">
              <w:t>OST services need to have pathways and protocols in place for liaising with antenatal and postnatal care teams.</w:t>
            </w:r>
          </w:p>
        </w:tc>
        <w:tc>
          <w:tcPr>
            <w:tcW w:w="2268" w:type="dxa"/>
          </w:tcPr>
          <w:p w14:paraId="56272147" w14:textId="5F0B27F4"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634796F" w14:textId="4A08AAB0"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6236C98" w14:textId="4988F3C2"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01B6BEE" w14:textId="77777777" w:rsidTr="008F70A0">
        <w:trPr>
          <w:cantSplit/>
          <w:trHeight w:val="20"/>
        </w:trPr>
        <w:tc>
          <w:tcPr>
            <w:tcW w:w="4422" w:type="dxa"/>
            <w:shd w:val="clear" w:color="auto" w:fill="F2F2F2" w:themeFill="background1" w:themeFillShade="F2"/>
          </w:tcPr>
          <w:p w14:paraId="5BC32D85" w14:textId="77777777" w:rsidR="00FA0EA7" w:rsidRPr="00970583" w:rsidRDefault="00FA0EA7" w:rsidP="006274F8">
            <w:pPr>
              <w:pStyle w:val="TableText"/>
              <w:keepNext/>
              <w:rPr>
                <w:b/>
                <w:bCs/>
              </w:rPr>
            </w:pPr>
            <w:r w:rsidRPr="00970583">
              <w:rPr>
                <w:b/>
                <w:bCs/>
              </w:rPr>
              <w:lastRenderedPageBreak/>
              <w:t xml:space="preserve">6.8 </w:t>
            </w:r>
            <w:r w:rsidRPr="00221FC9">
              <w:rPr>
                <w:b/>
                <w:color w:val="141413"/>
                <w:szCs w:val="26"/>
              </w:rPr>
              <w:tab/>
            </w:r>
            <w:r w:rsidRPr="00970583">
              <w:rPr>
                <w:b/>
                <w:bCs/>
              </w:rPr>
              <w:t xml:space="preserve">Ageing tāngata </w:t>
            </w:r>
            <w:proofErr w:type="spellStart"/>
            <w:r w:rsidRPr="00970583">
              <w:rPr>
                <w:b/>
                <w:bCs/>
              </w:rPr>
              <w:t>whai</w:t>
            </w:r>
            <w:proofErr w:type="spellEnd"/>
            <w:r w:rsidRPr="00970583">
              <w:rPr>
                <w:b/>
                <w:bCs/>
              </w:rPr>
              <w:t xml:space="preserve"> ora on OST</w:t>
            </w:r>
          </w:p>
        </w:tc>
        <w:tc>
          <w:tcPr>
            <w:tcW w:w="2268" w:type="dxa"/>
            <w:shd w:val="clear" w:color="auto" w:fill="F2F2F2" w:themeFill="background1" w:themeFillShade="F2"/>
          </w:tcPr>
          <w:p w14:paraId="69B6250D" w14:textId="77777777" w:rsidR="00FA0EA7" w:rsidRPr="00221FC9" w:rsidRDefault="00FA0EA7" w:rsidP="006274F8">
            <w:pPr>
              <w:pStyle w:val="TableText"/>
              <w:keepNext/>
            </w:pPr>
          </w:p>
        </w:tc>
        <w:tc>
          <w:tcPr>
            <w:tcW w:w="1275" w:type="dxa"/>
            <w:shd w:val="clear" w:color="auto" w:fill="F2F2F2" w:themeFill="background1" w:themeFillShade="F2"/>
          </w:tcPr>
          <w:p w14:paraId="0BB8467B" w14:textId="77777777" w:rsidR="00FA0EA7" w:rsidRPr="00221FC9" w:rsidRDefault="00FA0EA7" w:rsidP="006274F8">
            <w:pPr>
              <w:pStyle w:val="TableText"/>
              <w:keepNext/>
              <w:jc w:val="center"/>
            </w:pPr>
          </w:p>
        </w:tc>
        <w:tc>
          <w:tcPr>
            <w:tcW w:w="851" w:type="dxa"/>
            <w:shd w:val="clear" w:color="auto" w:fill="F2F2F2" w:themeFill="background1" w:themeFillShade="F2"/>
          </w:tcPr>
          <w:p w14:paraId="37749F98" w14:textId="77777777" w:rsidR="00FA0EA7" w:rsidRPr="00221FC9" w:rsidRDefault="00FA0EA7" w:rsidP="006274F8">
            <w:pPr>
              <w:pStyle w:val="TableText"/>
              <w:keepNext/>
              <w:jc w:val="center"/>
            </w:pPr>
          </w:p>
        </w:tc>
      </w:tr>
      <w:tr w:rsidR="008F70A0" w:rsidRPr="00221FC9" w14:paraId="67560C11" w14:textId="77777777" w:rsidTr="008F70A0">
        <w:trPr>
          <w:cantSplit/>
          <w:trHeight w:val="20"/>
        </w:trPr>
        <w:tc>
          <w:tcPr>
            <w:tcW w:w="4422" w:type="dxa"/>
          </w:tcPr>
          <w:p w14:paraId="0708378C" w14:textId="77777777" w:rsidR="008F70A0" w:rsidRPr="00221FC9" w:rsidRDefault="008F70A0" w:rsidP="008F70A0">
            <w:pPr>
              <w:pStyle w:val="TableText"/>
            </w:pPr>
            <w:r w:rsidRPr="00221FC9">
              <w:t xml:space="preserve">Specialist services and primary health care teams should develop and coordinate plans to support tāngata </w:t>
            </w:r>
            <w:proofErr w:type="spellStart"/>
            <w:r w:rsidRPr="00221FC9">
              <w:t>whai</w:t>
            </w:r>
            <w:proofErr w:type="spellEnd"/>
            <w:r w:rsidRPr="00221FC9">
              <w:t xml:space="preserve"> ora aged 50 and over and their whānau and complies with </w:t>
            </w:r>
            <w:r w:rsidRPr="00221FC9">
              <w:rPr>
                <w:i/>
                <w:iCs/>
              </w:rPr>
              <w:t>OST Guidelines</w:t>
            </w:r>
            <w:r w:rsidRPr="00221FC9">
              <w:t xml:space="preserve"> section 6.8</w:t>
            </w:r>
          </w:p>
        </w:tc>
        <w:tc>
          <w:tcPr>
            <w:tcW w:w="2268" w:type="dxa"/>
          </w:tcPr>
          <w:p w14:paraId="61479E2B" w14:textId="40FAC9C2"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38BCD30" w14:textId="701AE134"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54B5DAF" w14:textId="523E7DE7"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10FEBECA" w14:textId="77777777" w:rsidTr="008F70A0">
        <w:trPr>
          <w:cantSplit/>
          <w:trHeight w:val="20"/>
        </w:trPr>
        <w:tc>
          <w:tcPr>
            <w:tcW w:w="4422" w:type="dxa"/>
          </w:tcPr>
          <w:p w14:paraId="6B19CE00" w14:textId="23128C5E" w:rsidR="008F70A0" w:rsidRPr="00221FC9" w:rsidRDefault="008F70A0" w:rsidP="008F70A0">
            <w:pPr>
              <w:pStyle w:val="TableText"/>
            </w:pPr>
            <w:r w:rsidRPr="00221FC9">
              <w:t xml:space="preserve">In the case of tāngata </w:t>
            </w:r>
            <w:proofErr w:type="spellStart"/>
            <w:r w:rsidRPr="00221FC9">
              <w:t>whai</w:t>
            </w:r>
            <w:proofErr w:type="spellEnd"/>
            <w:r w:rsidRPr="00221FC9">
              <w:t xml:space="preserve"> ora on OST who enter long-term residential care (like an aged care facility), service providers should liaise with nursing and medical staff at the facility to ensure ongoing OST is appropriate and safe</w:t>
            </w:r>
            <w:r w:rsidR="00411191">
              <w:t>.</w:t>
            </w:r>
          </w:p>
        </w:tc>
        <w:tc>
          <w:tcPr>
            <w:tcW w:w="2268" w:type="dxa"/>
          </w:tcPr>
          <w:p w14:paraId="5800D06F" w14:textId="4270E40E"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24904AC" w14:textId="7FE9BE74"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64505DD" w14:textId="453C7262"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18F968C" w14:textId="77777777" w:rsidTr="008F70A0">
        <w:trPr>
          <w:cantSplit/>
          <w:trHeight w:val="20"/>
        </w:trPr>
        <w:tc>
          <w:tcPr>
            <w:tcW w:w="4422" w:type="dxa"/>
            <w:shd w:val="clear" w:color="auto" w:fill="F2F2F2" w:themeFill="background1" w:themeFillShade="F2"/>
          </w:tcPr>
          <w:p w14:paraId="17E9F426" w14:textId="77777777" w:rsidR="00FA0EA7" w:rsidRPr="00970583" w:rsidRDefault="00FA0EA7" w:rsidP="009374B1">
            <w:pPr>
              <w:pStyle w:val="TableText"/>
              <w:rPr>
                <w:b/>
                <w:bCs/>
              </w:rPr>
            </w:pPr>
            <w:r w:rsidRPr="00970583">
              <w:rPr>
                <w:b/>
                <w:bCs/>
              </w:rPr>
              <w:t xml:space="preserve">6.9 </w:t>
            </w:r>
            <w:r w:rsidRPr="00970583">
              <w:rPr>
                <w:b/>
                <w:bCs/>
                <w:color w:val="141413"/>
                <w:szCs w:val="26"/>
              </w:rPr>
              <w:tab/>
            </w:r>
            <w:r w:rsidRPr="00970583">
              <w:rPr>
                <w:b/>
                <w:bCs/>
              </w:rPr>
              <w:t xml:space="preserve">Working with </w:t>
            </w:r>
            <w:proofErr w:type="spellStart"/>
            <w:r w:rsidRPr="00970583">
              <w:rPr>
                <w:b/>
                <w:bCs/>
              </w:rPr>
              <w:t>rangatahi</w:t>
            </w:r>
            <w:proofErr w:type="spellEnd"/>
            <w:r w:rsidRPr="00970583">
              <w:rPr>
                <w:b/>
                <w:bCs/>
              </w:rPr>
              <w:t xml:space="preserve"> in OST</w:t>
            </w:r>
          </w:p>
        </w:tc>
        <w:tc>
          <w:tcPr>
            <w:tcW w:w="2268" w:type="dxa"/>
            <w:shd w:val="clear" w:color="auto" w:fill="F2F2F2" w:themeFill="background1" w:themeFillShade="F2"/>
          </w:tcPr>
          <w:p w14:paraId="05480217" w14:textId="77777777" w:rsidR="00FA0EA7" w:rsidRPr="00221FC9" w:rsidRDefault="00FA0EA7" w:rsidP="009374B1">
            <w:pPr>
              <w:pStyle w:val="TableText"/>
              <w:keepNext/>
            </w:pPr>
          </w:p>
        </w:tc>
        <w:tc>
          <w:tcPr>
            <w:tcW w:w="1275" w:type="dxa"/>
            <w:shd w:val="clear" w:color="auto" w:fill="F2F2F2" w:themeFill="background1" w:themeFillShade="F2"/>
          </w:tcPr>
          <w:p w14:paraId="3684ED3F" w14:textId="77777777" w:rsidR="00FA0EA7" w:rsidRPr="00221FC9" w:rsidRDefault="00FA0EA7" w:rsidP="009374B1">
            <w:pPr>
              <w:pStyle w:val="TableText"/>
              <w:keepNext/>
              <w:jc w:val="center"/>
            </w:pPr>
          </w:p>
        </w:tc>
        <w:tc>
          <w:tcPr>
            <w:tcW w:w="851" w:type="dxa"/>
            <w:shd w:val="clear" w:color="auto" w:fill="F2F2F2" w:themeFill="background1" w:themeFillShade="F2"/>
          </w:tcPr>
          <w:p w14:paraId="248E48E7" w14:textId="77777777" w:rsidR="00FA0EA7" w:rsidRPr="00221FC9" w:rsidRDefault="00FA0EA7" w:rsidP="009374B1">
            <w:pPr>
              <w:pStyle w:val="TableText"/>
              <w:keepNext/>
              <w:jc w:val="center"/>
            </w:pPr>
          </w:p>
        </w:tc>
      </w:tr>
      <w:tr w:rsidR="008F70A0" w:rsidRPr="00221FC9" w14:paraId="2DBAE147" w14:textId="77777777" w:rsidTr="008F70A0">
        <w:trPr>
          <w:cantSplit/>
          <w:trHeight w:val="20"/>
        </w:trPr>
        <w:tc>
          <w:tcPr>
            <w:tcW w:w="4422" w:type="dxa"/>
          </w:tcPr>
          <w:p w14:paraId="7C8F170D" w14:textId="03581AB5" w:rsidR="008F70A0" w:rsidRPr="00221FC9" w:rsidRDefault="008F70A0" w:rsidP="008F70A0">
            <w:pPr>
              <w:pStyle w:val="TableText"/>
            </w:pPr>
            <w:r w:rsidRPr="00221FC9">
              <w:rPr>
                <w:rFonts w:eastAsia="Arial" w:cs="Arial"/>
                <w:szCs w:val="18"/>
              </w:rPr>
              <w:t xml:space="preserve">There should be careful assessment of the risks and benefits before deciding whether to treat </w:t>
            </w:r>
            <w:proofErr w:type="spellStart"/>
            <w:r w:rsidRPr="00221FC9">
              <w:rPr>
                <w:rFonts w:eastAsia="Arial" w:cs="Arial"/>
                <w:szCs w:val="18"/>
              </w:rPr>
              <w:t>rangatahi</w:t>
            </w:r>
            <w:proofErr w:type="spellEnd"/>
            <w:r w:rsidRPr="00221FC9">
              <w:rPr>
                <w:rFonts w:eastAsia="Arial" w:cs="Arial"/>
                <w:szCs w:val="18"/>
              </w:rPr>
              <w:t xml:space="preserve"> with OST. Pharmacotherapy should be prescribed alongside psychosocial interventions based on a comprehensive assessment. A second opinion from an addiction medicine specialist is recommended prior to commencing treatment</w:t>
            </w:r>
            <w:r w:rsidR="00411191">
              <w:rPr>
                <w:rFonts w:eastAsia="Arial" w:cs="Arial"/>
                <w:szCs w:val="18"/>
              </w:rPr>
              <w:t>.</w:t>
            </w:r>
          </w:p>
        </w:tc>
        <w:tc>
          <w:tcPr>
            <w:tcW w:w="2268" w:type="dxa"/>
          </w:tcPr>
          <w:p w14:paraId="187455A6" w14:textId="6394DAE4"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2066CFD" w14:textId="609E5B3B"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B8FFBC8" w14:textId="361ED0AF"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E69A3DA" w14:textId="77777777" w:rsidTr="008F70A0">
        <w:trPr>
          <w:cantSplit/>
          <w:trHeight w:val="20"/>
        </w:trPr>
        <w:tc>
          <w:tcPr>
            <w:tcW w:w="4422" w:type="dxa"/>
            <w:shd w:val="clear" w:color="auto" w:fill="F2F2F2" w:themeFill="background1" w:themeFillShade="F2"/>
          </w:tcPr>
          <w:p w14:paraId="75612E6A" w14:textId="77777777" w:rsidR="00FA0EA7" w:rsidRPr="00970583" w:rsidRDefault="00FA0EA7" w:rsidP="008F70A0">
            <w:pPr>
              <w:pStyle w:val="TableText"/>
              <w:rPr>
                <w:rFonts w:ascii="Arial" w:hAnsi="Arial" w:cs="Arial"/>
                <w:b/>
                <w:bCs/>
                <w:szCs w:val="18"/>
              </w:rPr>
            </w:pPr>
            <w:bookmarkStart w:id="57" w:name="_Toc141792608"/>
            <w:bookmarkStart w:id="58" w:name="_Toc142591403"/>
            <w:bookmarkStart w:id="59" w:name="_Toc142592030"/>
            <w:bookmarkStart w:id="60" w:name="_Toc207010723"/>
            <w:r w:rsidRPr="008F70A0">
              <w:rPr>
                <w:b/>
                <w:bCs/>
              </w:rPr>
              <w:t xml:space="preserve">6.11 </w:t>
            </w:r>
            <w:r w:rsidRPr="008F70A0">
              <w:rPr>
                <w:b/>
                <w:bCs/>
              </w:rPr>
              <w:tab/>
              <w:t xml:space="preserve">Tāngata </w:t>
            </w:r>
            <w:proofErr w:type="spellStart"/>
            <w:r w:rsidRPr="008F70A0">
              <w:rPr>
                <w:b/>
                <w:bCs/>
              </w:rPr>
              <w:t>whai</w:t>
            </w:r>
            <w:proofErr w:type="spellEnd"/>
            <w:r w:rsidRPr="008F70A0">
              <w:rPr>
                <w:b/>
                <w:bCs/>
              </w:rPr>
              <w:t xml:space="preserve"> ora in care of Ara Poutama Department of Corrections or other custodial settin</w:t>
            </w:r>
            <w:bookmarkEnd w:id="57"/>
            <w:bookmarkEnd w:id="58"/>
            <w:bookmarkEnd w:id="59"/>
            <w:bookmarkEnd w:id="60"/>
            <w:r w:rsidRPr="008F70A0">
              <w:rPr>
                <w:b/>
                <w:bCs/>
              </w:rPr>
              <w:t>gs</w:t>
            </w:r>
          </w:p>
        </w:tc>
        <w:tc>
          <w:tcPr>
            <w:tcW w:w="2268" w:type="dxa"/>
            <w:shd w:val="clear" w:color="auto" w:fill="F2F2F2" w:themeFill="background1" w:themeFillShade="F2"/>
          </w:tcPr>
          <w:p w14:paraId="2C3E9F9B" w14:textId="77777777" w:rsidR="00FA0EA7" w:rsidRPr="00221FC9" w:rsidRDefault="00FA0EA7" w:rsidP="009374B1">
            <w:pPr>
              <w:pStyle w:val="TableText"/>
              <w:keepNext/>
            </w:pPr>
          </w:p>
        </w:tc>
        <w:tc>
          <w:tcPr>
            <w:tcW w:w="1275" w:type="dxa"/>
            <w:shd w:val="clear" w:color="auto" w:fill="F2F2F2" w:themeFill="background1" w:themeFillShade="F2"/>
          </w:tcPr>
          <w:p w14:paraId="797DC3F6" w14:textId="77777777" w:rsidR="00FA0EA7" w:rsidRPr="00221FC9" w:rsidRDefault="00FA0EA7" w:rsidP="009374B1">
            <w:pPr>
              <w:pStyle w:val="TableText"/>
              <w:keepNext/>
              <w:jc w:val="center"/>
            </w:pPr>
          </w:p>
        </w:tc>
        <w:tc>
          <w:tcPr>
            <w:tcW w:w="851" w:type="dxa"/>
            <w:shd w:val="clear" w:color="auto" w:fill="F2F2F2" w:themeFill="background1" w:themeFillShade="F2"/>
          </w:tcPr>
          <w:p w14:paraId="68D3BF95" w14:textId="77777777" w:rsidR="00FA0EA7" w:rsidRPr="00221FC9" w:rsidRDefault="00FA0EA7" w:rsidP="009374B1">
            <w:pPr>
              <w:pStyle w:val="TableText"/>
              <w:keepNext/>
              <w:jc w:val="center"/>
            </w:pPr>
          </w:p>
        </w:tc>
      </w:tr>
      <w:tr w:rsidR="008F70A0" w:rsidRPr="00221FC9" w14:paraId="50C72705" w14:textId="77777777" w:rsidTr="008F70A0">
        <w:trPr>
          <w:cantSplit/>
          <w:trHeight w:val="20"/>
        </w:trPr>
        <w:tc>
          <w:tcPr>
            <w:tcW w:w="4422" w:type="dxa"/>
          </w:tcPr>
          <w:p w14:paraId="55BFAB2D" w14:textId="77777777" w:rsidR="008F70A0" w:rsidRPr="008F70A0" w:rsidRDefault="008F70A0" w:rsidP="008F70A0">
            <w:pPr>
              <w:pStyle w:val="TableText"/>
            </w:pPr>
            <w:r w:rsidRPr="008F70A0">
              <w:t>OST service providers should support Corrections facilities to initiate treatment for OUD within prison, either by providing care directly or by authorising and, where necessary, supervising a prison prescriber to undertake the induction process. Services should accept referrals from Corrections health services for OST continuation or initiation.</w:t>
            </w:r>
            <w:r w:rsidRPr="008F70A0" w:rsidDel="0080392F">
              <w:t xml:space="preserve"> OST</w:t>
            </w:r>
            <w:r w:rsidRPr="008F70A0">
              <w:t xml:space="preserve"> initiation</w:t>
            </w:r>
            <w:r w:rsidRPr="008F70A0" w:rsidDel="0080392F">
              <w:t xml:space="preserve"> </w:t>
            </w:r>
            <w:r w:rsidRPr="008F70A0">
              <w:t>may occur during incarceration or at time of release.</w:t>
            </w:r>
          </w:p>
        </w:tc>
        <w:tc>
          <w:tcPr>
            <w:tcW w:w="2268" w:type="dxa"/>
          </w:tcPr>
          <w:p w14:paraId="3516B40A" w14:textId="01A4357E"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305C38B" w14:textId="13A4E41D"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F2B7227" w14:textId="37CFEF00"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7FC8E26A" w14:textId="77777777" w:rsidTr="008F70A0">
        <w:trPr>
          <w:cantSplit/>
          <w:trHeight w:val="20"/>
        </w:trPr>
        <w:tc>
          <w:tcPr>
            <w:tcW w:w="4422" w:type="dxa"/>
          </w:tcPr>
          <w:p w14:paraId="0330D764" w14:textId="2D91040D" w:rsidR="008F70A0" w:rsidRPr="008F70A0" w:rsidRDefault="008F70A0" w:rsidP="008F70A0">
            <w:pPr>
              <w:pStyle w:val="TableText"/>
            </w:pPr>
            <w:r w:rsidRPr="008F70A0">
              <w:t>Services should develop a strong relationship with their local Corrections facilities, supported by a service level agreement where appropriate</w:t>
            </w:r>
            <w:r w:rsidR="00411191">
              <w:t>.</w:t>
            </w:r>
          </w:p>
        </w:tc>
        <w:tc>
          <w:tcPr>
            <w:tcW w:w="2268" w:type="dxa"/>
          </w:tcPr>
          <w:p w14:paraId="03C3D260" w14:textId="3F109666"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A6A6574" w14:textId="7A669C78"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EC2BC91" w14:textId="4D8DAA7E"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377A0C17" w14:textId="77777777" w:rsidTr="008F70A0">
        <w:trPr>
          <w:cantSplit/>
          <w:trHeight w:val="20"/>
        </w:trPr>
        <w:tc>
          <w:tcPr>
            <w:tcW w:w="4422" w:type="dxa"/>
          </w:tcPr>
          <w:p w14:paraId="7D05639F" w14:textId="42C9671D" w:rsidR="008F70A0" w:rsidRPr="008F70A0" w:rsidRDefault="008F70A0" w:rsidP="008F70A0">
            <w:pPr>
              <w:pStyle w:val="TableText"/>
            </w:pPr>
            <w:proofErr w:type="gramStart"/>
            <w:r w:rsidRPr="008F70A0">
              <w:t xml:space="preserve">6.11.1 </w:t>
            </w:r>
            <w:r>
              <w:t xml:space="preserve"> </w:t>
            </w:r>
            <w:r w:rsidRPr="008F70A0">
              <w:t>Services</w:t>
            </w:r>
            <w:proofErr w:type="gramEnd"/>
            <w:r w:rsidRPr="008F70A0">
              <w:t xml:space="preserve"> should have policies for managing tāngata </w:t>
            </w:r>
            <w:proofErr w:type="spellStart"/>
            <w:r w:rsidRPr="008F70A0">
              <w:t>whai</w:t>
            </w:r>
            <w:proofErr w:type="spellEnd"/>
            <w:r w:rsidRPr="008F70A0">
              <w:t xml:space="preserve"> ora taken into police custody and awaiting court hearings. Services should endeavour to ensure tāngata </w:t>
            </w:r>
            <w:proofErr w:type="spellStart"/>
            <w:r w:rsidRPr="008F70A0">
              <w:t>whai</w:t>
            </w:r>
            <w:proofErr w:type="spellEnd"/>
            <w:r w:rsidRPr="008F70A0">
              <w:t xml:space="preserve"> ora receive their OST doses whilst in custody.</w:t>
            </w:r>
          </w:p>
        </w:tc>
        <w:tc>
          <w:tcPr>
            <w:tcW w:w="2268" w:type="dxa"/>
          </w:tcPr>
          <w:p w14:paraId="52CBBE4D" w14:textId="4ED28A33"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D506D68" w14:textId="7E0CABFA"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1821C07" w14:textId="472E93C6"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42C199F2" w14:textId="77777777" w:rsidTr="008F70A0">
        <w:trPr>
          <w:cantSplit/>
          <w:trHeight w:val="20"/>
        </w:trPr>
        <w:tc>
          <w:tcPr>
            <w:tcW w:w="4422" w:type="dxa"/>
          </w:tcPr>
          <w:p w14:paraId="602E9623" w14:textId="77777777" w:rsidR="008F70A0" w:rsidRPr="008F70A0" w:rsidRDefault="008F70A0" w:rsidP="008F70A0">
            <w:pPr>
              <w:pStyle w:val="TableText"/>
            </w:pPr>
            <w:r w:rsidRPr="008F70A0">
              <w:t>6.11.2 Returnees or deportees</w:t>
            </w:r>
          </w:p>
          <w:p w14:paraId="73A7D67B" w14:textId="22CC2C62" w:rsidR="008F70A0" w:rsidRPr="008F70A0" w:rsidRDefault="008F70A0" w:rsidP="008F70A0">
            <w:pPr>
              <w:pStyle w:val="TableText"/>
            </w:pPr>
            <w:r w:rsidRPr="008F70A0">
              <w:t>Deportees or returnees should be given priority treatment admission</w:t>
            </w:r>
            <w:r w:rsidR="00411191">
              <w:t>.</w:t>
            </w:r>
          </w:p>
        </w:tc>
        <w:tc>
          <w:tcPr>
            <w:tcW w:w="2268" w:type="dxa"/>
          </w:tcPr>
          <w:p w14:paraId="08DC13B7" w14:textId="60E7F9CE"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DECFDA9" w14:textId="3E673CBC"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7CC46B7" w14:textId="1991DD87"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403C1DDA" w14:textId="77777777" w:rsidTr="008F70A0">
        <w:trPr>
          <w:cantSplit/>
          <w:trHeight w:val="20"/>
        </w:trPr>
        <w:tc>
          <w:tcPr>
            <w:tcW w:w="4422" w:type="dxa"/>
          </w:tcPr>
          <w:p w14:paraId="183BACFD" w14:textId="1D55AB4D" w:rsidR="008F70A0" w:rsidRPr="008F70A0" w:rsidRDefault="008F70A0" w:rsidP="008F70A0">
            <w:pPr>
              <w:pStyle w:val="TableText"/>
            </w:pPr>
            <w:r w:rsidRPr="008F70A0">
              <w:t xml:space="preserve">6.12 Tāngata </w:t>
            </w:r>
            <w:proofErr w:type="spellStart"/>
            <w:r w:rsidRPr="008F70A0">
              <w:t>whai</w:t>
            </w:r>
            <w:proofErr w:type="spellEnd"/>
            <w:r w:rsidRPr="008F70A0">
              <w:t xml:space="preserve"> ora who are hospitalised or in end-of-life care</w:t>
            </w:r>
            <w:r w:rsidR="00411191">
              <w:t>.</w:t>
            </w:r>
          </w:p>
        </w:tc>
        <w:tc>
          <w:tcPr>
            <w:tcW w:w="2268" w:type="dxa"/>
          </w:tcPr>
          <w:p w14:paraId="446811BE" w14:textId="0BEC46BC"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77D89D3" w14:textId="026240BD"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61D61C1" w14:textId="0E5A4D1C"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6455B475" w14:textId="77777777" w:rsidTr="008F70A0">
        <w:trPr>
          <w:cantSplit/>
          <w:trHeight w:val="20"/>
        </w:trPr>
        <w:tc>
          <w:tcPr>
            <w:tcW w:w="4422" w:type="dxa"/>
          </w:tcPr>
          <w:p w14:paraId="5D520DE2" w14:textId="688C5C3A" w:rsidR="008F70A0" w:rsidRPr="008F70A0" w:rsidRDefault="008F70A0" w:rsidP="008F70A0">
            <w:pPr>
              <w:pStyle w:val="TableText"/>
            </w:pPr>
            <w:r w:rsidRPr="008F70A0">
              <w:t>Services may develop relationships with local hospitals and end-of-life care facilities and have service level agreements in place</w:t>
            </w:r>
            <w:r w:rsidR="00411191">
              <w:t>.</w:t>
            </w:r>
          </w:p>
        </w:tc>
        <w:tc>
          <w:tcPr>
            <w:tcW w:w="2268" w:type="dxa"/>
          </w:tcPr>
          <w:p w14:paraId="2FEB8134" w14:textId="394CD25D" w:rsidR="008F70A0" w:rsidRPr="00221FC9" w:rsidRDefault="008F70A0" w:rsidP="008F70A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8C86328" w14:textId="532F0430"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A90E95F" w14:textId="4DC08D70"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46F8C944" w14:textId="77777777" w:rsidR="00FA0EA7" w:rsidRDefault="00FA0EA7" w:rsidP="00FA0EA7"/>
    <w:p w14:paraId="42E513F5" w14:textId="77777777" w:rsidR="008F70A0" w:rsidRPr="00221FC9" w:rsidRDefault="008F70A0" w:rsidP="00FA0EA7"/>
    <w:p w14:paraId="514E0A99" w14:textId="77777777" w:rsidR="00FA0EA7" w:rsidRPr="00221FC9" w:rsidRDefault="00FA0EA7" w:rsidP="00FA0EA7">
      <w:pPr>
        <w:pStyle w:val="Heading4"/>
      </w:pPr>
      <w:r w:rsidRPr="00221FC9">
        <w:lastRenderedPageBreak/>
        <w:t>Section attainment summary</w:t>
      </w:r>
    </w:p>
    <w:tbl>
      <w:tblPr>
        <w:tblStyle w:val="TableGrid"/>
        <w:tblW w:w="825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226"/>
        <w:gridCol w:w="1701"/>
        <w:gridCol w:w="1985"/>
      </w:tblGrid>
      <w:tr w:rsidR="00FA0EA7" w:rsidRPr="00221FC9" w14:paraId="2F26133A" w14:textId="77777777" w:rsidTr="002D0091">
        <w:trPr>
          <w:cantSplit/>
        </w:trPr>
        <w:tc>
          <w:tcPr>
            <w:tcW w:w="8251" w:type="dxa"/>
            <w:gridSpan w:val="4"/>
            <w:shd w:val="clear" w:color="auto" w:fill="FFFF99"/>
          </w:tcPr>
          <w:p w14:paraId="39F961B4" w14:textId="77777777" w:rsidR="00FA0EA7" w:rsidRPr="00221FC9" w:rsidRDefault="00FA0EA7" w:rsidP="009374B1">
            <w:pPr>
              <w:pStyle w:val="TableText"/>
              <w:spacing w:after="0"/>
              <w:rPr>
                <w:b/>
              </w:rPr>
            </w:pPr>
            <w:r w:rsidRPr="00221FC9">
              <w:rPr>
                <w:b/>
              </w:rPr>
              <w:t>Indicators (out of 28):</w:t>
            </w:r>
          </w:p>
        </w:tc>
      </w:tr>
      <w:tr w:rsidR="00FA0EA7" w:rsidRPr="00221FC9" w14:paraId="4A98C3E2" w14:textId="77777777" w:rsidTr="002D0091">
        <w:trPr>
          <w:cantSplit/>
        </w:trPr>
        <w:tc>
          <w:tcPr>
            <w:tcW w:w="2339" w:type="dxa"/>
            <w:shd w:val="clear" w:color="auto" w:fill="FFFF99"/>
          </w:tcPr>
          <w:p w14:paraId="62BC73EE"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226" w:type="dxa"/>
            <w:shd w:val="clear" w:color="auto" w:fill="FFFF99"/>
          </w:tcPr>
          <w:p w14:paraId="72B865D2"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701" w:type="dxa"/>
            <w:shd w:val="clear" w:color="auto" w:fill="FFFF99"/>
          </w:tcPr>
          <w:p w14:paraId="27272CDD"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985" w:type="dxa"/>
            <w:shd w:val="clear" w:color="auto" w:fill="FFFF99"/>
          </w:tcPr>
          <w:p w14:paraId="24F0F2A1"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4204BC2C" w14:textId="77777777" w:rsidR="00FA0EA7" w:rsidRPr="00221FC9" w:rsidRDefault="00FA0EA7" w:rsidP="00FA0EA7">
      <w:pPr>
        <w:pStyle w:val="Heading4"/>
      </w:pPr>
      <w:r w:rsidRPr="00221FC9">
        <w:t>Summary of recommended actions</w:t>
      </w:r>
    </w:p>
    <w:tbl>
      <w:tblPr>
        <w:tblStyle w:val="TableGrid"/>
        <w:tblW w:w="8251"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251"/>
      </w:tblGrid>
      <w:tr w:rsidR="00FA0EA7" w:rsidRPr="00221FC9" w14:paraId="69783C80" w14:textId="77777777" w:rsidTr="002D0091">
        <w:trPr>
          <w:cantSplit/>
          <w:trHeight w:val="1134"/>
        </w:trPr>
        <w:tc>
          <w:tcPr>
            <w:tcW w:w="8251" w:type="dxa"/>
            <w:shd w:val="clear" w:color="auto" w:fill="FFFF99"/>
          </w:tcPr>
          <w:p w14:paraId="4AB3A971"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44B5DC48" w14:textId="77777777" w:rsidR="00FA0EA7" w:rsidRPr="00221FC9" w:rsidRDefault="00FA0EA7" w:rsidP="00FA0EA7"/>
    <w:p w14:paraId="0FD09192" w14:textId="77777777" w:rsidR="00FA0EA7" w:rsidRPr="00221FC9" w:rsidRDefault="00FA0EA7" w:rsidP="00FA0EA7">
      <w:pPr>
        <w:rPr>
          <w:rFonts w:eastAsia="PMingLiU"/>
        </w:rPr>
      </w:pPr>
      <w:bookmarkStart w:id="61" w:name="_Toc403048460"/>
      <w:bookmarkEnd w:id="53"/>
      <w:bookmarkEnd w:id="54"/>
      <w:r w:rsidRPr="00221FC9">
        <w:rPr>
          <w:rFonts w:eastAsia="PMingLiU"/>
        </w:rPr>
        <w:br w:type="page"/>
      </w:r>
    </w:p>
    <w:p w14:paraId="4F6D5898" w14:textId="77777777" w:rsidR="00FA0EA7" w:rsidRPr="00221FC9" w:rsidRDefault="00FA0EA7" w:rsidP="00FA0EA7">
      <w:pPr>
        <w:pStyle w:val="Heading3"/>
        <w:spacing w:before="0"/>
        <w:rPr>
          <w:rFonts w:eastAsia="PMingLiU"/>
        </w:rPr>
      </w:pPr>
      <w:r w:rsidRPr="00221FC9">
        <w:rPr>
          <w:rFonts w:eastAsia="PMingLiU"/>
        </w:rPr>
        <w:lastRenderedPageBreak/>
        <w:t>7</w:t>
      </w:r>
      <w:r w:rsidRPr="00221FC9">
        <w:rPr>
          <w:rFonts w:eastAsia="PMingLiU"/>
        </w:rPr>
        <w:tab/>
        <w:t>Managing OST transfers</w:t>
      </w:r>
      <w:bookmarkEnd w:id="61"/>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485F0B64" w14:textId="77777777" w:rsidTr="008F70A0">
        <w:trPr>
          <w:cantSplit/>
          <w:trHeight w:val="20"/>
          <w:tblHeader/>
        </w:trPr>
        <w:tc>
          <w:tcPr>
            <w:tcW w:w="4422" w:type="dxa"/>
            <w:shd w:val="clear" w:color="auto" w:fill="D9D9D9" w:themeFill="background1" w:themeFillShade="D9"/>
          </w:tcPr>
          <w:p w14:paraId="30EC8ECB" w14:textId="77777777" w:rsidR="00FA0EA7" w:rsidRPr="00221FC9" w:rsidRDefault="00FA0EA7" w:rsidP="009374B1">
            <w:pPr>
              <w:pStyle w:val="TableText"/>
              <w:rPr>
                <w:rFonts w:eastAsia="PMingLiU"/>
                <w:b/>
              </w:rPr>
            </w:pPr>
            <w:r w:rsidRPr="00221FC9">
              <w:rPr>
                <w:rFonts w:eastAsia="PMingLiU"/>
                <w:b/>
              </w:rPr>
              <w:t>Indicators</w:t>
            </w:r>
          </w:p>
        </w:tc>
        <w:tc>
          <w:tcPr>
            <w:tcW w:w="2268" w:type="dxa"/>
            <w:shd w:val="clear" w:color="auto" w:fill="D9D9D9" w:themeFill="background1" w:themeFillShade="D9"/>
          </w:tcPr>
          <w:p w14:paraId="7E2ED7D6" w14:textId="2A2AA222" w:rsidR="00FA0EA7" w:rsidRPr="00221FC9" w:rsidRDefault="00C11D97" w:rsidP="009374B1">
            <w:pPr>
              <w:pStyle w:val="TableT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661B21A1" w14:textId="77777777" w:rsidR="00FA0EA7" w:rsidRPr="00221FC9" w:rsidRDefault="00FA0EA7" w:rsidP="009374B1">
            <w:pPr>
              <w:pStyle w:val="TableText"/>
              <w:jc w:val="center"/>
              <w:rPr>
                <w:rFonts w:eastAsia="PMingLiU"/>
                <w:b/>
              </w:rPr>
            </w:pPr>
            <w:r w:rsidRPr="00221FC9">
              <w:rPr>
                <w:rFonts w:eastAsia="PMingLiU"/>
                <w:b/>
              </w:rPr>
              <w:t>Attainment</w:t>
            </w:r>
          </w:p>
        </w:tc>
        <w:tc>
          <w:tcPr>
            <w:tcW w:w="851" w:type="dxa"/>
            <w:shd w:val="clear" w:color="auto" w:fill="D9D9D9" w:themeFill="background1" w:themeFillShade="D9"/>
          </w:tcPr>
          <w:p w14:paraId="39E6051D" w14:textId="77777777" w:rsidR="00FA0EA7" w:rsidRPr="00221FC9" w:rsidRDefault="00FA0EA7" w:rsidP="009374B1">
            <w:pPr>
              <w:pStyle w:val="TableText"/>
              <w:jc w:val="center"/>
              <w:rPr>
                <w:rFonts w:eastAsia="PMingLiU"/>
                <w:b/>
              </w:rPr>
            </w:pPr>
            <w:r w:rsidRPr="00221FC9">
              <w:rPr>
                <w:rFonts w:eastAsia="PMingLiU"/>
                <w:b/>
              </w:rPr>
              <w:t>Risk</w:t>
            </w:r>
          </w:p>
        </w:tc>
      </w:tr>
      <w:tr w:rsidR="00FA0EA7" w:rsidRPr="00221FC9" w14:paraId="13825816" w14:textId="77777777" w:rsidTr="008F70A0">
        <w:trPr>
          <w:cantSplit/>
          <w:trHeight w:val="20"/>
        </w:trPr>
        <w:tc>
          <w:tcPr>
            <w:tcW w:w="4422" w:type="dxa"/>
            <w:shd w:val="clear" w:color="auto" w:fill="F3F3F3"/>
          </w:tcPr>
          <w:p w14:paraId="0144DDB7" w14:textId="77777777" w:rsidR="00FA0EA7" w:rsidRPr="00221FC9" w:rsidRDefault="00FA0EA7" w:rsidP="009374B1">
            <w:pPr>
              <w:pStyle w:val="TableText"/>
              <w:rPr>
                <w:rFonts w:cs="Helvetica"/>
                <w:b/>
                <w:color w:val="141413"/>
                <w:szCs w:val="26"/>
              </w:rPr>
            </w:pPr>
            <w:r w:rsidRPr="00221FC9">
              <w:rPr>
                <w:rFonts w:cs="Helvetica"/>
                <w:b/>
                <w:color w:val="141413"/>
                <w:szCs w:val="26"/>
              </w:rPr>
              <w:t>7.1</w:t>
            </w:r>
            <w:r w:rsidRPr="00221FC9">
              <w:rPr>
                <w:rFonts w:cs="Helvetica"/>
                <w:b/>
                <w:color w:val="141413"/>
                <w:szCs w:val="26"/>
              </w:rPr>
              <w:tab/>
              <w:t>Transferring between specialist services</w:t>
            </w:r>
          </w:p>
        </w:tc>
        <w:tc>
          <w:tcPr>
            <w:tcW w:w="2268" w:type="dxa"/>
            <w:shd w:val="clear" w:color="auto" w:fill="F3F3F3"/>
          </w:tcPr>
          <w:p w14:paraId="49FA558D" w14:textId="77777777" w:rsidR="00FA0EA7" w:rsidRPr="00221FC9" w:rsidRDefault="00FA0EA7" w:rsidP="009374B1">
            <w:pPr>
              <w:pStyle w:val="TableText"/>
              <w:rPr>
                <w:rFonts w:cs="Helvetica"/>
                <w:color w:val="141413"/>
                <w:szCs w:val="26"/>
              </w:rPr>
            </w:pPr>
          </w:p>
        </w:tc>
        <w:tc>
          <w:tcPr>
            <w:tcW w:w="1275" w:type="dxa"/>
            <w:shd w:val="clear" w:color="auto" w:fill="F3F3F3"/>
          </w:tcPr>
          <w:p w14:paraId="23B0D22D" w14:textId="77777777" w:rsidR="00FA0EA7" w:rsidRPr="00221FC9" w:rsidRDefault="00FA0EA7" w:rsidP="009374B1">
            <w:pPr>
              <w:pStyle w:val="TableText"/>
              <w:jc w:val="center"/>
              <w:rPr>
                <w:rFonts w:cs="Helvetica"/>
                <w:color w:val="141413"/>
                <w:szCs w:val="26"/>
              </w:rPr>
            </w:pPr>
          </w:p>
        </w:tc>
        <w:tc>
          <w:tcPr>
            <w:tcW w:w="851" w:type="dxa"/>
            <w:shd w:val="clear" w:color="auto" w:fill="F3F3F3"/>
          </w:tcPr>
          <w:p w14:paraId="517BC005" w14:textId="77777777" w:rsidR="00FA0EA7" w:rsidRPr="00221FC9" w:rsidRDefault="00FA0EA7" w:rsidP="009374B1">
            <w:pPr>
              <w:pStyle w:val="TableText"/>
              <w:jc w:val="center"/>
              <w:rPr>
                <w:rFonts w:cs="Helvetica"/>
                <w:color w:val="141413"/>
                <w:szCs w:val="26"/>
              </w:rPr>
            </w:pPr>
          </w:p>
        </w:tc>
      </w:tr>
      <w:tr w:rsidR="00FA0EA7" w:rsidRPr="00221FC9" w14:paraId="4EACD880" w14:textId="77777777" w:rsidTr="008F70A0">
        <w:trPr>
          <w:cantSplit/>
          <w:trHeight w:val="20"/>
        </w:trPr>
        <w:tc>
          <w:tcPr>
            <w:tcW w:w="4422" w:type="dxa"/>
          </w:tcPr>
          <w:p w14:paraId="0A79F66C" w14:textId="77777777"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transferring into and out of the service are provided with treatment within their domicile within three months of re-location.</w:t>
            </w:r>
          </w:p>
        </w:tc>
        <w:tc>
          <w:tcPr>
            <w:tcW w:w="2268" w:type="dxa"/>
          </w:tcPr>
          <w:p w14:paraId="03EF4A15"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DF9A7A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DA06E1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4BE3B9D" w14:textId="77777777" w:rsidTr="008F70A0">
        <w:trPr>
          <w:cantSplit/>
          <w:trHeight w:val="20"/>
        </w:trPr>
        <w:tc>
          <w:tcPr>
            <w:tcW w:w="4422" w:type="dxa"/>
          </w:tcPr>
          <w:p w14:paraId="57FA8668" w14:textId="77777777" w:rsidR="00FA0EA7" w:rsidRPr="00221FC9" w:rsidRDefault="00FA0EA7" w:rsidP="009374B1">
            <w:pPr>
              <w:pStyle w:val="TableText"/>
              <w:rPr>
                <w:highlight w:val="green"/>
              </w:rPr>
            </w:pPr>
            <w:r w:rsidRPr="00221FC9">
              <w:t>Transfer documentation; including a comprehensive assessment, a current risk assessment, a summary of treatment and a current treatment plan have been provided to the new service.</w:t>
            </w:r>
          </w:p>
        </w:tc>
        <w:tc>
          <w:tcPr>
            <w:tcW w:w="2268" w:type="dxa"/>
          </w:tcPr>
          <w:p w14:paraId="410330CD"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2740D5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93015B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8F70A0" w:rsidRPr="00221FC9" w14:paraId="6863D0CA" w14:textId="77777777" w:rsidTr="008F70A0">
        <w:trPr>
          <w:cantSplit/>
          <w:trHeight w:val="20"/>
        </w:trPr>
        <w:tc>
          <w:tcPr>
            <w:tcW w:w="4422" w:type="dxa"/>
          </w:tcPr>
          <w:p w14:paraId="0101D4F9" w14:textId="77777777" w:rsidR="008F70A0" w:rsidRPr="008F70A0" w:rsidRDefault="008F70A0" w:rsidP="008F70A0">
            <w:pPr>
              <w:pStyle w:val="TableText"/>
            </w:pPr>
            <w:r w:rsidRPr="008F70A0">
              <w:t xml:space="preserve">Specialist services and primary care providers should fully inform tāngata </w:t>
            </w:r>
            <w:proofErr w:type="spellStart"/>
            <w:r w:rsidRPr="008F70A0">
              <w:t>whai</w:t>
            </w:r>
            <w:proofErr w:type="spellEnd"/>
            <w:r w:rsidRPr="008F70A0">
              <w:t xml:space="preserve"> ora intending to transfer to another region about:</w:t>
            </w:r>
          </w:p>
          <w:p w14:paraId="3E540D41" w14:textId="09FBB275" w:rsidR="008F70A0" w:rsidRPr="008F70A0" w:rsidRDefault="008F70A0" w:rsidP="008F70A0">
            <w:pPr>
              <w:pStyle w:val="TableBullet"/>
            </w:pPr>
            <w:r w:rsidRPr="008F70A0">
              <w:t>possible treatment differences (such as those related to prescribing and takeaway doses)</w:t>
            </w:r>
          </w:p>
          <w:p w14:paraId="398D4451" w14:textId="780936B1" w:rsidR="008F70A0" w:rsidRPr="008F70A0" w:rsidRDefault="008F70A0" w:rsidP="008F70A0">
            <w:pPr>
              <w:pStyle w:val="TableBullet"/>
            </w:pPr>
            <w:r w:rsidRPr="008F70A0">
              <w:t>the need to be reassessed at the new service</w:t>
            </w:r>
          </w:p>
          <w:p w14:paraId="7B82A439" w14:textId="14841DEA" w:rsidR="008F70A0" w:rsidRPr="008F70A0" w:rsidRDefault="008F70A0" w:rsidP="008F70A0">
            <w:pPr>
              <w:pStyle w:val="TableBullet"/>
            </w:pPr>
            <w:r w:rsidRPr="008F70A0">
              <w:t>dispensing restrictions in the new area</w:t>
            </w:r>
          </w:p>
          <w:p w14:paraId="6E30F649" w14:textId="2388C8D5" w:rsidR="008F70A0" w:rsidRPr="00221FC9" w:rsidRDefault="008F70A0" w:rsidP="008F70A0">
            <w:pPr>
              <w:pStyle w:val="TableBullet"/>
            </w:pPr>
            <w:r w:rsidRPr="008F70A0">
              <w:t xml:space="preserve">the fact that if they are on GP authority with a primary care provider, they may need to be admitted to a specialist service in the new area for </w:t>
            </w:r>
            <w:proofErr w:type="gramStart"/>
            <w:r w:rsidRPr="008F70A0">
              <w:t>a period of time</w:t>
            </w:r>
            <w:proofErr w:type="gramEnd"/>
            <w:r w:rsidRPr="008F70A0">
              <w:t xml:space="preserve"> before being able to transition back to GP authority</w:t>
            </w:r>
          </w:p>
        </w:tc>
        <w:tc>
          <w:tcPr>
            <w:tcW w:w="2268" w:type="dxa"/>
          </w:tcPr>
          <w:p w14:paraId="67654EA5" w14:textId="77777777" w:rsidR="008F70A0" w:rsidRPr="00221FC9" w:rsidRDefault="008F70A0" w:rsidP="008F70A0">
            <w:pPr>
              <w:pStyle w:val="TableText"/>
              <w:keepNext/>
            </w:pPr>
            <w:r w:rsidRPr="00221FC9">
              <w:rPr>
                <w:sz w:val="16"/>
                <w:szCs w:val="16"/>
              </w:rPr>
              <w:t>Count as 1 indicator and provide comment and average for one attainment</w:t>
            </w:r>
          </w:p>
        </w:tc>
        <w:tc>
          <w:tcPr>
            <w:tcW w:w="1275" w:type="dxa"/>
          </w:tcPr>
          <w:p w14:paraId="34870129" w14:textId="02766FDE"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A4446FB" w14:textId="14AE3A31" w:rsidR="008F70A0" w:rsidRPr="00221FC9" w:rsidRDefault="008F70A0" w:rsidP="008F70A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240D2E5" w14:textId="77777777" w:rsidTr="008F70A0">
        <w:trPr>
          <w:cantSplit/>
          <w:trHeight w:val="20"/>
        </w:trPr>
        <w:tc>
          <w:tcPr>
            <w:tcW w:w="4422" w:type="dxa"/>
          </w:tcPr>
          <w:p w14:paraId="584DCBC5" w14:textId="77777777" w:rsidR="00FA0EA7" w:rsidRPr="00221FC9" w:rsidRDefault="00FA0EA7" w:rsidP="009374B1">
            <w:pPr>
              <w:pStyle w:val="TableText"/>
            </w:pPr>
            <w:r w:rsidRPr="00221FC9">
              <w:t>Admission to the new service is not conditional on discontinuation or withdrawal of any other (prescribed or illicit) substances.</w:t>
            </w:r>
          </w:p>
        </w:tc>
        <w:tc>
          <w:tcPr>
            <w:tcW w:w="2268" w:type="dxa"/>
          </w:tcPr>
          <w:p w14:paraId="3B8F1E1B"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C82CDF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1248CF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418994F" w14:textId="77777777" w:rsidTr="008F70A0">
        <w:trPr>
          <w:cantSplit/>
          <w:trHeight w:val="20"/>
        </w:trPr>
        <w:tc>
          <w:tcPr>
            <w:tcW w:w="4422" w:type="dxa"/>
            <w:shd w:val="clear" w:color="auto" w:fill="F3F3F3"/>
          </w:tcPr>
          <w:p w14:paraId="7BE77BFF" w14:textId="77777777" w:rsidR="00FA0EA7" w:rsidRPr="00221FC9" w:rsidRDefault="00FA0EA7" w:rsidP="009374B1">
            <w:pPr>
              <w:pStyle w:val="TableText"/>
              <w:rPr>
                <w:rFonts w:cs="Helvetica"/>
                <w:b/>
                <w:color w:val="141413"/>
                <w:szCs w:val="22"/>
              </w:rPr>
            </w:pPr>
            <w:r w:rsidRPr="00221FC9">
              <w:rPr>
                <w:rFonts w:cs="Helvetica"/>
                <w:b/>
                <w:color w:val="141413"/>
                <w:szCs w:val="22"/>
              </w:rPr>
              <w:t>7.2</w:t>
            </w:r>
            <w:r w:rsidRPr="00221FC9">
              <w:rPr>
                <w:rFonts w:cs="Helvetica"/>
                <w:b/>
                <w:color w:val="141413"/>
                <w:szCs w:val="22"/>
              </w:rPr>
              <w:tab/>
              <w:t>Transferring to a prison</w:t>
            </w:r>
          </w:p>
        </w:tc>
        <w:tc>
          <w:tcPr>
            <w:tcW w:w="2268" w:type="dxa"/>
            <w:shd w:val="clear" w:color="auto" w:fill="F3F3F3"/>
          </w:tcPr>
          <w:p w14:paraId="7A8CD98C" w14:textId="77777777" w:rsidR="00FA0EA7" w:rsidRPr="00221FC9" w:rsidRDefault="00FA0EA7" w:rsidP="009374B1">
            <w:pPr>
              <w:pStyle w:val="TableText"/>
              <w:rPr>
                <w:rFonts w:cs="Helvetica"/>
                <w:color w:val="141413"/>
                <w:szCs w:val="26"/>
              </w:rPr>
            </w:pPr>
          </w:p>
        </w:tc>
        <w:tc>
          <w:tcPr>
            <w:tcW w:w="1275" w:type="dxa"/>
            <w:shd w:val="clear" w:color="auto" w:fill="F3F3F3"/>
          </w:tcPr>
          <w:p w14:paraId="0882D011" w14:textId="77777777" w:rsidR="00FA0EA7" w:rsidRPr="00221FC9" w:rsidRDefault="00FA0EA7" w:rsidP="009374B1">
            <w:pPr>
              <w:pStyle w:val="TableText"/>
              <w:jc w:val="center"/>
              <w:rPr>
                <w:rFonts w:cs="Helvetica"/>
                <w:color w:val="141413"/>
                <w:szCs w:val="26"/>
              </w:rPr>
            </w:pPr>
          </w:p>
        </w:tc>
        <w:tc>
          <w:tcPr>
            <w:tcW w:w="851" w:type="dxa"/>
            <w:shd w:val="clear" w:color="auto" w:fill="F3F3F3"/>
          </w:tcPr>
          <w:p w14:paraId="1D74C790" w14:textId="77777777" w:rsidR="00FA0EA7" w:rsidRPr="00221FC9" w:rsidRDefault="00FA0EA7" w:rsidP="009374B1">
            <w:pPr>
              <w:pStyle w:val="TableText"/>
              <w:jc w:val="center"/>
              <w:rPr>
                <w:rFonts w:cs="Helvetica"/>
                <w:color w:val="141413"/>
                <w:szCs w:val="26"/>
              </w:rPr>
            </w:pPr>
          </w:p>
        </w:tc>
      </w:tr>
      <w:tr w:rsidR="00141ADE" w:rsidRPr="00221FC9" w14:paraId="7D119D3D" w14:textId="77777777" w:rsidTr="008F70A0">
        <w:trPr>
          <w:cantSplit/>
          <w:trHeight w:val="20"/>
        </w:trPr>
        <w:tc>
          <w:tcPr>
            <w:tcW w:w="4422" w:type="dxa"/>
          </w:tcPr>
          <w:p w14:paraId="6644EB1C" w14:textId="6D67AFFF" w:rsidR="00141ADE" w:rsidRPr="00221FC9" w:rsidRDefault="00150C16" w:rsidP="009374B1">
            <w:pPr>
              <w:pStyle w:val="TableText"/>
            </w:pPr>
            <w:r w:rsidRPr="00221FC9">
              <w:t xml:space="preserve">The original specialist service </w:t>
            </w:r>
            <w:r>
              <w:t xml:space="preserve">for the tāngata </w:t>
            </w:r>
            <w:proofErr w:type="spellStart"/>
            <w:r>
              <w:t>whai</w:t>
            </w:r>
            <w:proofErr w:type="spellEnd"/>
            <w:r>
              <w:t xml:space="preserve"> ora </w:t>
            </w:r>
            <w:r w:rsidRPr="00221FC9">
              <w:t xml:space="preserve">continues to prescribe or authorises the prison medical officer to prescribe for the tāngata </w:t>
            </w:r>
            <w:proofErr w:type="spellStart"/>
            <w:r w:rsidRPr="00221FC9">
              <w:t>whai</w:t>
            </w:r>
            <w:proofErr w:type="spellEnd"/>
            <w:r w:rsidRPr="00221FC9">
              <w:t xml:space="preserve"> ora when they are in prison.</w:t>
            </w:r>
          </w:p>
        </w:tc>
        <w:tc>
          <w:tcPr>
            <w:tcW w:w="2268" w:type="dxa"/>
          </w:tcPr>
          <w:p w14:paraId="7CFC6BFB" w14:textId="299E969B" w:rsidR="00141ADE" w:rsidRPr="00221FC9" w:rsidRDefault="00150C16"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AC78214" w14:textId="3ABBBB58" w:rsidR="00141ADE" w:rsidRPr="00221FC9" w:rsidRDefault="00150C16"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2D629E2" w14:textId="7E9BE454" w:rsidR="00141ADE" w:rsidRPr="00221FC9" w:rsidRDefault="00150C16"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694524A" w14:textId="77777777" w:rsidTr="008F70A0">
        <w:trPr>
          <w:cantSplit/>
          <w:trHeight w:val="20"/>
        </w:trPr>
        <w:tc>
          <w:tcPr>
            <w:tcW w:w="4422" w:type="dxa"/>
          </w:tcPr>
          <w:p w14:paraId="50C32B2F" w14:textId="76F9B2BC" w:rsidR="00FA0EA7" w:rsidRPr="00221FC9" w:rsidRDefault="00FA0EA7" w:rsidP="009374B1">
            <w:pPr>
              <w:pStyle w:val="TableText"/>
            </w:pPr>
            <w:r w:rsidRPr="00221FC9">
              <w:t>Specialist services in areas where prisons</w:t>
            </w:r>
            <w:r>
              <w:t xml:space="preserve"> </w:t>
            </w:r>
            <w:r w:rsidRPr="00221FC9">
              <w:t>are located are responsible for providing training and liaison with prison medical staff and medical officers, in the same way they provide training to GPs in the community</w:t>
            </w:r>
            <w:r w:rsidR="00594DEB">
              <w:t>.</w:t>
            </w:r>
          </w:p>
        </w:tc>
        <w:tc>
          <w:tcPr>
            <w:tcW w:w="2268" w:type="dxa"/>
          </w:tcPr>
          <w:p w14:paraId="6A5C9CB6"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DF4EED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87CCB6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3FE49AC" w14:textId="77777777" w:rsidTr="008F70A0">
        <w:trPr>
          <w:cantSplit/>
          <w:trHeight w:val="20"/>
        </w:trPr>
        <w:tc>
          <w:tcPr>
            <w:tcW w:w="4422" w:type="dxa"/>
          </w:tcPr>
          <w:p w14:paraId="23259DE0" w14:textId="2D5DA539" w:rsidR="00FA0EA7" w:rsidRPr="00221FC9" w:rsidRDefault="00FA0EA7" w:rsidP="009374B1">
            <w:pPr>
              <w:pStyle w:val="TableText"/>
            </w:pPr>
            <w:r w:rsidRPr="00221FC9">
              <w:t>Ideally the specialist service provides psychosocial inventions to prisoners on OST in prisons in their area regardless of the prisoner’s service of origin. (Note this is not in the 2025 Guidelines.</w:t>
            </w:r>
            <w:r w:rsidR="00594DEB">
              <w:t>)</w:t>
            </w:r>
          </w:p>
        </w:tc>
        <w:tc>
          <w:tcPr>
            <w:tcW w:w="2268" w:type="dxa"/>
          </w:tcPr>
          <w:p w14:paraId="75266EAB"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E707D3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C80CB27"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FFF6018" w14:textId="77777777" w:rsidTr="008F70A0">
        <w:trPr>
          <w:cantSplit/>
          <w:trHeight w:val="20"/>
        </w:trPr>
        <w:tc>
          <w:tcPr>
            <w:tcW w:w="4422" w:type="dxa"/>
          </w:tcPr>
          <w:p w14:paraId="1D5D0F4C" w14:textId="77777777" w:rsidR="00FA0EA7" w:rsidRPr="00221FC9" w:rsidRDefault="00FA0EA7" w:rsidP="009374B1">
            <w:pPr>
              <w:pStyle w:val="TableText"/>
            </w:pPr>
            <w:r w:rsidRPr="00221FC9">
              <w:t xml:space="preserve">Reviews take place at least annually </w:t>
            </w:r>
          </w:p>
          <w:p w14:paraId="162098D9" w14:textId="77777777" w:rsidR="00FA0EA7" w:rsidRPr="00221FC9" w:rsidRDefault="00FA0EA7" w:rsidP="009374B1">
            <w:pPr>
              <w:pStyle w:val="TableText"/>
            </w:pPr>
            <w:r w:rsidRPr="00221FC9">
              <w:t xml:space="preserve">Reviews for tāngata </w:t>
            </w:r>
            <w:proofErr w:type="spellStart"/>
            <w:r w:rsidRPr="00221FC9">
              <w:t>whai</w:t>
            </w:r>
            <w:proofErr w:type="spellEnd"/>
            <w:r w:rsidRPr="00221FC9">
              <w:t xml:space="preserve"> ora in prison and involve appropriate prison medical and specialist service staff. Reviews occur at least annually and by the most accessible means. All out-of-area reviews are conducted by </w:t>
            </w:r>
            <w:proofErr w:type="spellStart"/>
            <w:r w:rsidRPr="00221FC9">
              <w:t>TeleMed</w:t>
            </w:r>
            <w:proofErr w:type="spellEnd"/>
            <w:r>
              <w:t>.</w:t>
            </w:r>
          </w:p>
        </w:tc>
        <w:tc>
          <w:tcPr>
            <w:tcW w:w="2268" w:type="dxa"/>
          </w:tcPr>
          <w:p w14:paraId="7B94862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BECB29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28CD62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1BEAB62" w14:textId="77777777" w:rsidTr="008F70A0">
        <w:trPr>
          <w:cantSplit/>
          <w:trHeight w:val="20"/>
        </w:trPr>
        <w:tc>
          <w:tcPr>
            <w:tcW w:w="4422" w:type="dxa"/>
            <w:shd w:val="clear" w:color="auto" w:fill="F3F3F3"/>
          </w:tcPr>
          <w:p w14:paraId="431643B9" w14:textId="77777777" w:rsidR="00FA0EA7" w:rsidRPr="005766F0" w:rsidRDefault="00FA0EA7" w:rsidP="008F70A0">
            <w:pPr>
              <w:pStyle w:val="TableText"/>
              <w:keepNext/>
              <w:rPr>
                <w:rFonts w:cs="Helvetica"/>
                <w:b/>
                <w:color w:val="141413"/>
                <w:szCs w:val="22"/>
              </w:rPr>
            </w:pPr>
            <w:r w:rsidRPr="00221FC9">
              <w:rPr>
                <w:rFonts w:cs="Helvetica"/>
                <w:b/>
                <w:color w:val="141413"/>
                <w:szCs w:val="22"/>
              </w:rPr>
              <w:lastRenderedPageBreak/>
              <w:t>7.3</w:t>
            </w:r>
            <w:r w:rsidRPr="00221FC9">
              <w:rPr>
                <w:rFonts w:cs="Helvetica"/>
                <w:b/>
                <w:color w:val="141413"/>
                <w:szCs w:val="22"/>
              </w:rPr>
              <w:tab/>
              <w:t>Transferring from overseas</w:t>
            </w:r>
          </w:p>
        </w:tc>
        <w:tc>
          <w:tcPr>
            <w:tcW w:w="2268" w:type="dxa"/>
            <w:shd w:val="clear" w:color="auto" w:fill="F3F3F3"/>
          </w:tcPr>
          <w:p w14:paraId="4830E33A" w14:textId="77777777" w:rsidR="00FA0EA7" w:rsidRPr="00221FC9" w:rsidRDefault="00FA0EA7" w:rsidP="008F70A0">
            <w:pPr>
              <w:pStyle w:val="TableText"/>
              <w:keepNext/>
              <w:rPr>
                <w:rFonts w:cs="Calibri"/>
                <w:color w:val="141413"/>
              </w:rPr>
            </w:pPr>
          </w:p>
        </w:tc>
        <w:tc>
          <w:tcPr>
            <w:tcW w:w="1275" w:type="dxa"/>
            <w:shd w:val="clear" w:color="auto" w:fill="F3F3F3"/>
          </w:tcPr>
          <w:p w14:paraId="168A0BCD" w14:textId="77777777" w:rsidR="00FA0EA7" w:rsidRPr="00221FC9" w:rsidRDefault="00FA0EA7" w:rsidP="008F70A0">
            <w:pPr>
              <w:pStyle w:val="TableText"/>
              <w:keepNext/>
              <w:jc w:val="center"/>
              <w:rPr>
                <w:rFonts w:cs="Helvetica"/>
                <w:color w:val="141413"/>
                <w:szCs w:val="26"/>
              </w:rPr>
            </w:pPr>
          </w:p>
        </w:tc>
        <w:tc>
          <w:tcPr>
            <w:tcW w:w="851" w:type="dxa"/>
            <w:shd w:val="clear" w:color="auto" w:fill="F3F3F3"/>
          </w:tcPr>
          <w:p w14:paraId="48F3883F" w14:textId="77777777" w:rsidR="00FA0EA7" w:rsidRPr="00221FC9" w:rsidRDefault="00FA0EA7" w:rsidP="008F70A0">
            <w:pPr>
              <w:pStyle w:val="TableText"/>
              <w:keepNext/>
              <w:jc w:val="center"/>
              <w:rPr>
                <w:rFonts w:cs="Helvetica"/>
                <w:color w:val="141413"/>
                <w:szCs w:val="26"/>
              </w:rPr>
            </w:pPr>
          </w:p>
        </w:tc>
      </w:tr>
      <w:tr w:rsidR="00AD7639" w:rsidRPr="00221FC9" w14:paraId="436E7D5F" w14:textId="77777777" w:rsidTr="008F70A0">
        <w:trPr>
          <w:cantSplit/>
          <w:trHeight w:val="20"/>
        </w:trPr>
        <w:tc>
          <w:tcPr>
            <w:tcW w:w="4422" w:type="dxa"/>
          </w:tcPr>
          <w:p w14:paraId="4AC1A7EA" w14:textId="73B34CBA" w:rsidR="00AD7639" w:rsidRPr="00221FC9" w:rsidRDefault="00AD7639" w:rsidP="00AD7639">
            <w:pPr>
              <w:pStyle w:val="TableText"/>
              <w:rPr>
                <w:rFonts w:cs="Helvetica"/>
                <w:b/>
                <w:color w:val="141413"/>
                <w:szCs w:val="22"/>
              </w:rPr>
            </w:pPr>
            <w:r w:rsidRPr="00221FC9">
              <w:t xml:space="preserve">Specialist services should admit tāngata </w:t>
            </w:r>
            <w:proofErr w:type="spellStart"/>
            <w:r w:rsidRPr="00221FC9">
              <w:t>whai</w:t>
            </w:r>
            <w:proofErr w:type="spellEnd"/>
            <w:r w:rsidRPr="00221FC9">
              <w:t xml:space="preserve"> ora who have been established on OST programmes overseas and move to Aotearoa New Zealand temporarily or permanently as quickly as possible</w:t>
            </w:r>
            <w:r w:rsidR="00594DEB">
              <w:t>.</w:t>
            </w:r>
          </w:p>
        </w:tc>
        <w:tc>
          <w:tcPr>
            <w:tcW w:w="2268" w:type="dxa"/>
          </w:tcPr>
          <w:p w14:paraId="0253A9A2" w14:textId="71FF18B2" w:rsidR="00AD7639" w:rsidRPr="00221FC9" w:rsidRDefault="00AD7639" w:rsidP="00AD7639">
            <w:pPr>
              <w:pStyle w:val="TableText"/>
              <w:rPr>
                <w:rFonts w:cs="Calibri"/>
                <w:color w:val="141413"/>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E9F555C" w14:textId="62636C35" w:rsidR="00AD7639" w:rsidRPr="00221FC9" w:rsidRDefault="00AD7639" w:rsidP="00AD7639">
            <w:pPr>
              <w:pStyle w:val="TableText"/>
              <w:jc w:val="center"/>
              <w:rPr>
                <w:rFonts w:cs="Helvetica"/>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19A9C64" w14:textId="1B3B1DB9" w:rsidR="00AD7639" w:rsidRPr="00221FC9" w:rsidRDefault="00AD7639" w:rsidP="00AD7639">
            <w:pPr>
              <w:pStyle w:val="TableText"/>
              <w:jc w:val="center"/>
              <w:rPr>
                <w:rFonts w:cs="Helvetica"/>
                <w:color w:val="141413"/>
                <w:szCs w:val="26"/>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412D06A2" w14:textId="77777777" w:rsidR="00FA0EA7" w:rsidRPr="00221FC9" w:rsidRDefault="00FA0EA7" w:rsidP="00FA0EA7">
      <w:pPr>
        <w:pStyle w:val="Heading4"/>
      </w:pPr>
      <w:bookmarkStart w:id="62" w:name="_Toc180687225"/>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623"/>
        <w:gridCol w:w="2055"/>
        <w:gridCol w:w="1801"/>
      </w:tblGrid>
      <w:tr w:rsidR="00FA0EA7" w:rsidRPr="00221FC9" w14:paraId="5E9614A6" w14:textId="77777777" w:rsidTr="008F70A0">
        <w:trPr>
          <w:cantSplit/>
        </w:trPr>
        <w:tc>
          <w:tcPr>
            <w:tcW w:w="8818" w:type="dxa"/>
            <w:gridSpan w:val="4"/>
            <w:shd w:val="clear" w:color="auto" w:fill="FFFF99"/>
          </w:tcPr>
          <w:p w14:paraId="77645176" w14:textId="77777777" w:rsidR="00FA0EA7" w:rsidRPr="00221FC9" w:rsidRDefault="00FA0EA7" w:rsidP="009374B1">
            <w:pPr>
              <w:pStyle w:val="TableText"/>
              <w:spacing w:after="0"/>
              <w:rPr>
                <w:b/>
              </w:rPr>
            </w:pPr>
            <w:r w:rsidRPr="00221FC9">
              <w:rPr>
                <w:b/>
              </w:rPr>
              <w:t>Indicators (out of 9):</w:t>
            </w:r>
          </w:p>
        </w:tc>
      </w:tr>
      <w:tr w:rsidR="00FA0EA7" w:rsidRPr="00221FC9" w14:paraId="51A149EE" w14:textId="77777777" w:rsidTr="008F70A0">
        <w:trPr>
          <w:cantSplit/>
        </w:trPr>
        <w:tc>
          <w:tcPr>
            <w:tcW w:w="2339" w:type="dxa"/>
            <w:shd w:val="clear" w:color="auto" w:fill="FFFF99"/>
          </w:tcPr>
          <w:p w14:paraId="3EA31D04"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623" w:type="dxa"/>
            <w:shd w:val="clear" w:color="auto" w:fill="FFFF99"/>
          </w:tcPr>
          <w:p w14:paraId="129CEDD6"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shd w:val="clear" w:color="auto" w:fill="FFFF99"/>
          </w:tcPr>
          <w:p w14:paraId="295CD3E1"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801" w:type="dxa"/>
            <w:shd w:val="clear" w:color="auto" w:fill="FFFF99"/>
          </w:tcPr>
          <w:p w14:paraId="69392DDC"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52DA297F"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818"/>
      </w:tblGrid>
      <w:tr w:rsidR="00FA0EA7" w:rsidRPr="00221FC9" w14:paraId="645AA666" w14:textId="77777777" w:rsidTr="008F70A0">
        <w:trPr>
          <w:cantSplit/>
          <w:trHeight w:val="1134"/>
        </w:trPr>
        <w:tc>
          <w:tcPr>
            <w:tcW w:w="8818" w:type="dxa"/>
            <w:shd w:val="clear" w:color="auto" w:fill="FFFF99"/>
          </w:tcPr>
          <w:p w14:paraId="1676BDC3"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04AE789E" w14:textId="77777777" w:rsidR="00FA0EA7" w:rsidRPr="00221FC9" w:rsidRDefault="00FA0EA7" w:rsidP="00FA0EA7"/>
    <w:p w14:paraId="2FCE8C55" w14:textId="77777777" w:rsidR="00AE32F4" w:rsidRDefault="00AE32F4" w:rsidP="00FA0EA7">
      <w:pPr>
        <w:pStyle w:val="Heading3"/>
        <w:sectPr w:rsidR="00AE32F4" w:rsidSect="00150ECE">
          <w:pgSz w:w="11907" w:h="16834" w:code="9"/>
          <w:pgMar w:top="1418" w:right="1701" w:bottom="1134" w:left="1843" w:header="284" w:footer="425" w:gutter="284"/>
          <w:cols w:space="720"/>
        </w:sectPr>
      </w:pPr>
    </w:p>
    <w:p w14:paraId="3455E58B" w14:textId="77777777" w:rsidR="00FA0EA7" w:rsidRPr="00221FC9" w:rsidRDefault="00FA0EA7" w:rsidP="000D6740">
      <w:pPr>
        <w:pStyle w:val="Heading3"/>
        <w:spacing w:before="0"/>
      </w:pPr>
      <w:r w:rsidRPr="00221FC9">
        <w:lastRenderedPageBreak/>
        <w:t>8</w:t>
      </w:r>
      <w:r w:rsidRPr="00221FC9">
        <w:tab/>
        <w:t xml:space="preserve">OST in </w:t>
      </w:r>
      <w:proofErr w:type="gramStart"/>
      <w:r w:rsidRPr="00221FC9">
        <w:t>primary  care</w:t>
      </w:r>
      <w:proofErr w:type="gramEnd"/>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04E86E86" w14:textId="77777777" w:rsidTr="00AD7639">
        <w:trPr>
          <w:cantSplit/>
          <w:trHeight w:val="20"/>
          <w:tblHeader/>
        </w:trPr>
        <w:tc>
          <w:tcPr>
            <w:tcW w:w="4422" w:type="dxa"/>
            <w:shd w:val="clear" w:color="auto" w:fill="D9D9D9" w:themeFill="background1" w:themeFillShade="D9"/>
          </w:tcPr>
          <w:p w14:paraId="5E53DC69" w14:textId="77777777" w:rsidR="00FA0EA7" w:rsidRPr="00221FC9" w:rsidRDefault="00FA0EA7" w:rsidP="009374B1">
            <w:pPr>
              <w:pStyle w:val="TableText"/>
              <w:keepNext/>
              <w:rPr>
                <w:rFonts w:eastAsia="PMingLiU"/>
                <w:b/>
              </w:rPr>
            </w:pPr>
            <w:r w:rsidRPr="00221FC9">
              <w:rPr>
                <w:rFonts w:eastAsia="PMingLiU"/>
                <w:b/>
              </w:rPr>
              <w:t>Indicators</w:t>
            </w:r>
          </w:p>
        </w:tc>
        <w:tc>
          <w:tcPr>
            <w:tcW w:w="2268" w:type="dxa"/>
            <w:shd w:val="clear" w:color="auto" w:fill="D9D9D9" w:themeFill="background1" w:themeFillShade="D9"/>
          </w:tcPr>
          <w:p w14:paraId="523B9CF5" w14:textId="409AC958" w:rsidR="00FA0EA7" w:rsidRPr="00221FC9" w:rsidRDefault="00C11D97" w:rsidP="009374B1">
            <w:pPr>
              <w:pStyle w:val="TableText"/>
              <w:keepN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540143A9" w14:textId="77777777" w:rsidR="00FA0EA7" w:rsidRPr="00221FC9" w:rsidRDefault="00FA0EA7" w:rsidP="009374B1">
            <w:pPr>
              <w:pStyle w:val="TableText"/>
              <w:keepNext/>
              <w:jc w:val="center"/>
              <w:rPr>
                <w:rFonts w:eastAsia="PMingLiU"/>
                <w:b/>
              </w:rPr>
            </w:pPr>
            <w:r w:rsidRPr="00221FC9">
              <w:rPr>
                <w:rFonts w:eastAsia="PMingLiU"/>
                <w:b/>
              </w:rPr>
              <w:t>Attainment</w:t>
            </w:r>
          </w:p>
        </w:tc>
        <w:tc>
          <w:tcPr>
            <w:tcW w:w="851" w:type="dxa"/>
            <w:shd w:val="clear" w:color="auto" w:fill="D9D9D9" w:themeFill="background1" w:themeFillShade="D9"/>
          </w:tcPr>
          <w:p w14:paraId="4F8D905F" w14:textId="77777777" w:rsidR="00FA0EA7" w:rsidRPr="00221FC9" w:rsidRDefault="00FA0EA7" w:rsidP="009374B1">
            <w:pPr>
              <w:pStyle w:val="TableText"/>
              <w:keepNext/>
              <w:jc w:val="center"/>
              <w:rPr>
                <w:rFonts w:eastAsia="PMingLiU"/>
                <w:b/>
              </w:rPr>
            </w:pPr>
            <w:r w:rsidRPr="00221FC9">
              <w:rPr>
                <w:rFonts w:eastAsia="PMingLiU"/>
                <w:b/>
              </w:rPr>
              <w:t>Risk</w:t>
            </w:r>
          </w:p>
        </w:tc>
      </w:tr>
      <w:tr w:rsidR="00FA0EA7" w:rsidRPr="00221FC9" w14:paraId="52634B20" w14:textId="77777777" w:rsidTr="00AD7639">
        <w:trPr>
          <w:cantSplit/>
          <w:trHeight w:val="20"/>
        </w:trPr>
        <w:tc>
          <w:tcPr>
            <w:tcW w:w="4422" w:type="dxa"/>
            <w:shd w:val="clear" w:color="auto" w:fill="F3F3F3"/>
          </w:tcPr>
          <w:p w14:paraId="63E4AE45" w14:textId="4BD2D393" w:rsidR="00FA0EA7" w:rsidRPr="00221FC9" w:rsidRDefault="00FA0EA7" w:rsidP="009374B1">
            <w:pPr>
              <w:pStyle w:val="TableText"/>
              <w:keepNext/>
              <w:rPr>
                <w:rFonts w:cs="Helvetica"/>
                <w:b/>
                <w:color w:val="141413"/>
                <w:szCs w:val="26"/>
              </w:rPr>
            </w:pPr>
            <w:r w:rsidRPr="00221FC9">
              <w:rPr>
                <w:rFonts w:cs="Helvetica"/>
                <w:b/>
                <w:color w:val="141413"/>
                <w:szCs w:val="26"/>
              </w:rPr>
              <w:t>8.1</w:t>
            </w:r>
            <w:r w:rsidR="00AD7639">
              <w:rPr>
                <w:rFonts w:cs="Helvetica"/>
                <w:b/>
                <w:color w:val="141413"/>
                <w:szCs w:val="26"/>
              </w:rPr>
              <w:t xml:space="preserve"> </w:t>
            </w:r>
            <w:r w:rsidRPr="00221FC9">
              <w:rPr>
                <w:rFonts w:cs="Helvetica"/>
                <w:b/>
                <w:color w:val="141413"/>
                <w:szCs w:val="26"/>
              </w:rPr>
              <w:t>Shared care with the primary health care sector</w:t>
            </w:r>
          </w:p>
        </w:tc>
        <w:tc>
          <w:tcPr>
            <w:tcW w:w="2268" w:type="dxa"/>
            <w:shd w:val="clear" w:color="auto" w:fill="F3F3F3"/>
          </w:tcPr>
          <w:p w14:paraId="56FE719E" w14:textId="77777777" w:rsidR="00FA0EA7" w:rsidRPr="00221FC9" w:rsidRDefault="00FA0EA7" w:rsidP="009374B1">
            <w:pPr>
              <w:pStyle w:val="TableText"/>
              <w:keepNext/>
              <w:rPr>
                <w:rFonts w:cs="Helvetica"/>
                <w:color w:val="141413"/>
                <w:szCs w:val="26"/>
              </w:rPr>
            </w:pPr>
          </w:p>
        </w:tc>
        <w:tc>
          <w:tcPr>
            <w:tcW w:w="1275" w:type="dxa"/>
            <w:shd w:val="clear" w:color="auto" w:fill="F3F3F3"/>
          </w:tcPr>
          <w:p w14:paraId="7A59B175" w14:textId="77777777" w:rsidR="00FA0EA7" w:rsidRPr="00221FC9" w:rsidRDefault="00FA0EA7" w:rsidP="009374B1">
            <w:pPr>
              <w:pStyle w:val="TableText"/>
              <w:keepNext/>
              <w:jc w:val="center"/>
              <w:rPr>
                <w:rFonts w:cs="Helvetica"/>
                <w:color w:val="141413"/>
                <w:szCs w:val="26"/>
              </w:rPr>
            </w:pPr>
          </w:p>
        </w:tc>
        <w:tc>
          <w:tcPr>
            <w:tcW w:w="851" w:type="dxa"/>
            <w:shd w:val="clear" w:color="auto" w:fill="F3F3F3"/>
          </w:tcPr>
          <w:p w14:paraId="5DF9C765" w14:textId="77777777" w:rsidR="00FA0EA7" w:rsidRPr="00221FC9" w:rsidRDefault="00FA0EA7" w:rsidP="009374B1">
            <w:pPr>
              <w:pStyle w:val="TableText"/>
              <w:keepNext/>
              <w:jc w:val="center"/>
              <w:rPr>
                <w:rFonts w:cs="Helvetica"/>
                <w:color w:val="141413"/>
                <w:szCs w:val="26"/>
              </w:rPr>
            </w:pPr>
          </w:p>
        </w:tc>
      </w:tr>
      <w:tr w:rsidR="00FA0EA7" w:rsidRPr="00221FC9" w14:paraId="4569997F" w14:textId="77777777" w:rsidTr="00AD7639">
        <w:trPr>
          <w:cantSplit/>
          <w:trHeight w:val="20"/>
        </w:trPr>
        <w:tc>
          <w:tcPr>
            <w:tcW w:w="4422" w:type="dxa"/>
          </w:tcPr>
          <w:p w14:paraId="4645F7DF" w14:textId="77777777" w:rsidR="00FA0EA7" w:rsidRPr="00221FC9" w:rsidRDefault="00FA0EA7" w:rsidP="009374B1">
            <w:pPr>
              <w:pStyle w:val="TableText"/>
              <w:keepNext/>
            </w:pPr>
            <w:r w:rsidRPr="00221FC9">
              <w:t xml:space="preserve">All tāngata </w:t>
            </w:r>
            <w:proofErr w:type="spellStart"/>
            <w:r w:rsidRPr="00221FC9">
              <w:t>whai</w:t>
            </w:r>
            <w:proofErr w:type="spellEnd"/>
            <w:r w:rsidRPr="00221FC9">
              <w:t xml:space="preserve"> ora have a nominated GP.</w:t>
            </w:r>
          </w:p>
        </w:tc>
        <w:tc>
          <w:tcPr>
            <w:tcW w:w="2268" w:type="dxa"/>
          </w:tcPr>
          <w:p w14:paraId="0542F969"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566EAFC"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851CE7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54F16B6" w14:textId="77777777" w:rsidTr="00AD7639">
        <w:trPr>
          <w:cantSplit/>
          <w:trHeight w:val="20"/>
        </w:trPr>
        <w:tc>
          <w:tcPr>
            <w:tcW w:w="4422" w:type="dxa"/>
          </w:tcPr>
          <w:p w14:paraId="7F326BCF" w14:textId="77777777" w:rsidR="00FA0EA7" w:rsidRPr="00221FC9" w:rsidRDefault="00FA0EA7" w:rsidP="009374B1">
            <w:pPr>
              <w:pStyle w:val="TableText"/>
              <w:keepNext/>
            </w:pPr>
            <w:r w:rsidRPr="00221FC9">
              <w:t xml:space="preserve">The service proactively supports the transfer of tāngata </w:t>
            </w:r>
            <w:proofErr w:type="spellStart"/>
            <w:r w:rsidRPr="00221FC9">
              <w:t>whai</w:t>
            </w:r>
            <w:proofErr w:type="spellEnd"/>
            <w:r w:rsidRPr="00221FC9">
              <w:t xml:space="preserve"> ora to their authorised GP as soon as possible after dose stabilisation.</w:t>
            </w:r>
          </w:p>
        </w:tc>
        <w:tc>
          <w:tcPr>
            <w:tcW w:w="2268" w:type="dxa"/>
          </w:tcPr>
          <w:p w14:paraId="4C5ED9C3"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DD4E787"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BC3102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EC686E9" w14:textId="77777777" w:rsidTr="00AD7639">
        <w:trPr>
          <w:cantSplit/>
          <w:trHeight w:val="20"/>
        </w:trPr>
        <w:tc>
          <w:tcPr>
            <w:tcW w:w="4422" w:type="dxa"/>
            <w:shd w:val="clear" w:color="auto" w:fill="F2F2F2" w:themeFill="background1" w:themeFillShade="F2"/>
          </w:tcPr>
          <w:p w14:paraId="66271197" w14:textId="77777777" w:rsidR="00FA0EA7" w:rsidRPr="004D3D59" w:rsidRDefault="00FA0EA7" w:rsidP="009374B1">
            <w:pPr>
              <w:pStyle w:val="TableText"/>
              <w:keepNext/>
              <w:rPr>
                <w:b/>
                <w:bCs/>
              </w:rPr>
            </w:pPr>
            <w:r w:rsidRPr="004D3D59">
              <w:rPr>
                <w:b/>
                <w:bCs/>
              </w:rPr>
              <w:t>8.2 Requirements of specialist services in shared care arrangements</w:t>
            </w:r>
          </w:p>
        </w:tc>
        <w:tc>
          <w:tcPr>
            <w:tcW w:w="2268" w:type="dxa"/>
            <w:shd w:val="clear" w:color="auto" w:fill="F2F2F2" w:themeFill="background1" w:themeFillShade="F2"/>
          </w:tcPr>
          <w:p w14:paraId="03DAC705" w14:textId="77777777" w:rsidR="00FA0EA7" w:rsidRPr="00221FC9" w:rsidRDefault="00FA0EA7" w:rsidP="009374B1">
            <w:pPr>
              <w:pStyle w:val="TableText"/>
              <w:keepNext/>
            </w:pPr>
          </w:p>
        </w:tc>
        <w:tc>
          <w:tcPr>
            <w:tcW w:w="1275" w:type="dxa"/>
            <w:shd w:val="clear" w:color="auto" w:fill="F2F2F2" w:themeFill="background1" w:themeFillShade="F2"/>
          </w:tcPr>
          <w:p w14:paraId="7B11B346" w14:textId="77777777" w:rsidR="00FA0EA7" w:rsidRPr="00221FC9" w:rsidRDefault="00FA0EA7" w:rsidP="009374B1">
            <w:pPr>
              <w:pStyle w:val="TableText"/>
              <w:keepNext/>
              <w:jc w:val="center"/>
            </w:pPr>
          </w:p>
        </w:tc>
        <w:tc>
          <w:tcPr>
            <w:tcW w:w="851" w:type="dxa"/>
            <w:shd w:val="clear" w:color="auto" w:fill="F2F2F2" w:themeFill="background1" w:themeFillShade="F2"/>
          </w:tcPr>
          <w:p w14:paraId="711787ED" w14:textId="77777777" w:rsidR="00FA0EA7" w:rsidRPr="00221FC9" w:rsidRDefault="00FA0EA7" w:rsidP="009374B1">
            <w:pPr>
              <w:pStyle w:val="TableText"/>
              <w:keepNext/>
              <w:jc w:val="center"/>
            </w:pPr>
          </w:p>
        </w:tc>
      </w:tr>
      <w:tr w:rsidR="00FA0EA7" w:rsidRPr="00221FC9" w14:paraId="49A4BD23" w14:textId="77777777" w:rsidTr="00AD7639">
        <w:trPr>
          <w:cantSplit/>
          <w:trHeight w:val="20"/>
        </w:trPr>
        <w:tc>
          <w:tcPr>
            <w:tcW w:w="4422" w:type="dxa"/>
          </w:tcPr>
          <w:p w14:paraId="11325D35" w14:textId="35101C6A" w:rsidR="00FA0EA7" w:rsidRPr="004D3D59" w:rsidRDefault="00FA0EA7" w:rsidP="002D0091">
            <w:pPr>
              <w:pStyle w:val="TableText"/>
            </w:pPr>
            <w:r w:rsidRPr="00221FC9">
              <w:t xml:space="preserve">There is a formal and agreed relationship in place between authorised GPs and specialist services that comply with </w:t>
            </w:r>
            <w:r w:rsidRPr="00221FC9">
              <w:rPr>
                <w:i/>
                <w:iCs/>
              </w:rPr>
              <w:t>OST Guidelines</w:t>
            </w:r>
            <w:r w:rsidRPr="00221FC9">
              <w:t xml:space="preserve"> section 8.2 which includes providing advice and consultation</w:t>
            </w:r>
            <w:r w:rsidR="00594DEB">
              <w:t>.</w:t>
            </w:r>
          </w:p>
        </w:tc>
        <w:tc>
          <w:tcPr>
            <w:tcW w:w="2268" w:type="dxa"/>
          </w:tcPr>
          <w:p w14:paraId="542E7572" w14:textId="77777777" w:rsidR="00FA0EA7" w:rsidRPr="00221FC9" w:rsidRDefault="00FA0EA7" w:rsidP="002D0091">
            <w:pPr>
              <w:pStyle w:val="TableT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55C834A" w14:textId="77777777" w:rsidR="00FA0EA7" w:rsidRPr="00221FC9" w:rsidRDefault="00FA0EA7" w:rsidP="002D0091">
            <w:pPr>
              <w:pStyle w:val="TableT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9255E70" w14:textId="77777777" w:rsidR="00FA0EA7" w:rsidRPr="00221FC9" w:rsidRDefault="00FA0EA7" w:rsidP="002D0091">
            <w:pPr>
              <w:pStyle w:val="TableT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4370435" w14:textId="77777777" w:rsidTr="00AD7639">
        <w:trPr>
          <w:cantSplit/>
          <w:trHeight w:val="20"/>
        </w:trPr>
        <w:tc>
          <w:tcPr>
            <w:tcW w:w="4422" w:type="dxa"/>
            <w:shd w:val="clear" w:color="auto" w:fill="F3F3F3"/>
          </w:tcPr>
          <w:p w14:paraId="4FF8C85F" w14:textId="77777777" w:rsidR="00FA0EA7" w:rsidRPr="00221FC9" w:rsidRDefault="00FA0EA7" w:rsidP="00AD7639">
            <w:pPr>
              <w:pStyle w:val="TableText"/>
              <w:keepNext/>
              <w:rPr>
                <w:rFonts w:cs="Arial"/>
                <w:szCs w:val="18"/>
              </w:rPr>
            </w:pPr>
            <w:r w:rsidRPr="00AD7639">
              <w:rPr>
                <w:rFonts w:cs="Helvetica"/>
                <w:b/>
                <w:color w:val="141413"/>
                <w:szCs w:val="26"/>
              </w:rPr>
              <w:t>8.3 Requirements of prescribers in primary shared care with a specialist service</w:t>
            </w:r>
          </w:p>
        </w:tc>
        <w:tc>
          <w:tcPr>
            <w:tcW w:w="2268" w:type="dxa"/>
            <w:shd w:val="clear" w:color="auto" w:fill="F3F3F3"/>
          </w:tcPr>
          <w:p w14:paraId="162BCA7E" w14:textId="77777777" w:rsidR="00FA0EA7" w:rsidRPr="00221FC9" w:rsidRDefault="00FA0EA7" w:rsidP="009374B1">
            <w:pPr>
              <w:pStyle w:val="TableText"/>
              <w:keepNext/>
              <w:rPr>
                <w:rFonts w:cs="Helvetica"/>
                <w:color w:val="141413"/>
                <w:szCs w:val="26"/>
              </w:rPr>
            </w:pPr>
          </w:p>
        </w:tc>
        <w:tc>
          <w:tcPr>
            <w:tcW w:w="1275" w:type="dxa"/>
            <w:shd w:val="clear" w:color="auto" w:fill="F3F3F3"/>
          </w:tcPr>
          <w:p w14:paraId="2903FF6B" w14:textId="77777777" w:rsidR="00FA0EA7" w:rsidRPr="00221FC9" w:rsidRDefault="00FA0EA7" w:rsidP="009374B1">
            <w:pPr>
              <w:pStyle w:val="TableText"/>
              <w:keepNext/>
              <w:jc w:val="center"/>
              <w:rPr>
                <w:rFonts w:cs="Helvetica"/>
                <w:color w:val="141413"/>
                <w:szCs w:val="26"/>
              </w:rPr>
            </w:pPr>
          </w:p>
        </w:tc>
        <w:tc>
          <w:tcPr>
            <w:tcW w:w="851" w:type="dxa"/>
            <w:shd w:val="clear" w:color="auto" w:fill="F3F3F3"/>
          </w:tcPr>
          <w:p w14:paraId="196A75D4" w14:textId="77777777" w:rsidR="00FA0EA7" w:rsidRPr="00221FC9" w:rsidRDefault="00FA0EA7" w:rsidP="009374B1">
            <w:pPr>
              <w:pStyle w:val="TableText"/>
              <w:keepNext/>
              <w:jc w:val="center"/>
              <w:rPr>
                <w:rFonts w:cs="Helvetica"/>
                <w:color w:val="141413"/>
                <w:szCs w:val="26"/>
              </w:rPr>
            </w:pPr>
          </w:p>
        </w:tc>
      </w:tr>
      <w:tr w:rsidR="00FA0EA7" w:rsidRPr="00221FC9" w14:paraId="463CD646" w14:textId="77777777" w:rsidTr="00AD7639">
        <w:trPr>
          <w:cantSplit/>
          <w:trHeight w:val="20"/>
        </w:trPr>
        <w:tc>
          <w:tcPr>
            <w:tcW w:w="4422" w:type="dxa"/>
          </w:tcPr>
          <w:p w14:paraId="6DA935F3" w14:textId="77777777" w:rsidR="00FA0EA7" w:rsidRPr="00221FC9" w:rsidRDefault="00FA0EA7" w:rsidP="009374B1">
            <w:pPr>
              <w:pStyle w:val="TableText"/>
              <w:keepNext/>
            </w:pPr>
            <w:r w:rsidRPr="00221FC9">
              <w:t>Authorised GPs are working within a broader primary health care team.</w:t>
            </w:r>
          </w:p>
        </w:tc>
        <w:tc>
          <w:tcPr>
            <w:tcW w:w="2268" w:type="dxa"/>
          </w:tcPr>
          <w:p w14:paraId="0F879D2C"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0A5580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22FFE5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080F166" w14:textId="77777777" w:rsidTr="00AD7639">
        <w:trPr>
          <w:cantSplit/>
          <w:trHeight w:val="20"/>
        </w:trPr>
        <w:tc>
          <w:tcPr>
            <w:tcW w:w="4422" w:type="dxa"/>
          </w:tcPr>
          <w:p w14:paraId="26F51BA4" w14:textId="24F3D5A9" w:rsidR="00FA0EA7" w:rsidRPr="00221FC9" w:rsidRDefault="00FA0EA7" w:rsidP="009374B1">
            <w:pPr>
              <w:pStyle w:val="TableText"/>
            </w:pPr>
            <w:r w:rsidRPr="00221FC9">
              <w:t xml:space="preserve">Authorised GPs have undertaken training relevant to managing tāngata </w:t>
            </w:r>
            <w:proofErr w:type="spellStart"/>
            <w:r w:rsidRPr="00221FC9">
              <w:t>whai</w:t>
            </w:r>
            <w:proofErr w:type="spellEnd"/>
            <w:r w:rsidRPr="00221FC9">
              <w:t xml:space="preserve"> ora receiving OST. At a minimum, this should involve attendance at training provided by the local specialist service. Other staff within the practice, in particular practice nurses, should undertake similar training</w:t>
            </w:r>
            <w:r w:rsidR="00594DEB">
              <w:t>.</w:t>
            </w:r>
          </w:p>
        </w:tc>
        <w:tc>
          <w:tcPr>
            <w:tcW w:w="2268" w:type="dxa"/>
          </w:tcPr>
          <w:p w14:paraId="24321EB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1D259C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DCA2F2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1785DF2" w14:textId="77777777" w:rsidTr="00AD7639">
        <w:trPr>
          <w:cantSplit/>
          <w:trHeight w:val="20"/>
        </w:trPr>
        <w:tc>
          <w:tcPr>
            <w:tcW w:w="4422" w:type="dxa"/>
          </w:tcPr>
          <w:p w14:paraId="6DB988EE" w14:textId="77777777"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are provided with access to psychosocial support.</w:t>
            </w:r>
          </w:p>
        </w:tc>
        <w:tc>
          <w:tcPr>
            <w:tcW w:w="2268" w:type="dxa"/>
          </w:tcPr>
          <w:p w14:paraId="01C6F91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94FAD1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0AF55B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9F5EE7E" w14:textId="77777777" w:rsidTr="00AD7639">
        <w:trPr>
          <w:cantSplit/>
          <w:trHeight w:val="20"/>
        </w:trPr>
        <w:tc>
          <w:tcPr>
            <w:tcW w:w="4422" w:type="dxa"/>
            <w:shd w:val="clear" w:color="auto" w:fill="F2F2F2" w:themeFill="background1" w:themeFillShade="F2"/>
          </w:tcPr>
          <w:p w14:paraId="71B8C82E" w14:textId="77777777" w:rsidR="00FA0EA7" w:rsidRPr="00BD2FA8" w:rsidRDefault="00FA0EA7" w:rsidP="00AD7639">
            <w:pPr>
              <w:pStyle w:val="TableText"/>
              <w:keepNext/>
              <w:rPr>
                <w:rFonts w:ascii="Arial" w:hAnsi="Arial" w:cs="Arial"/>
                <w:b/>
                <w:bCs/>
                <w:szCs w:val="18"/>
              </w:rPr>
            </w:pPr>
            <w:bookmarkStart w:id="63" w:name="_Toc141792621"/>
            <w:bookmarkStart w:id="64" w:name="_Toc142591416"/>
            <w:bookmarkStart w:id="65" w:name="_Toc142592048"/>
            <w:bookmarkStart w:id="66" w:name="_Toc207010740"/>
            <w:r w:rsidRPr="00AD7639">
              <w:rPr>
                <w:rFonts w:cs="Helvetica"/>
                <w:b/>
                <w:color w:val="141413"/>
                <w:szCs w:val="26"/>
              </w:rPr>
              <w:t>8.4 Funding for shared care arrangements</w:t>
            </w:r>
            <w:bookmarkEnd w:id="63"/>
            <w:bookmarkEnd w:id="64"/>
            <w:bookmarkEnd w:id="65"/>
            <w:bookmarkEnd w:id="66"/>
          </w:p>
        </w:tc>
        <w:tc>
          <w:tcPr>
            <w:tcW w:w="2268" w:type="dxa"/>
            <w:shd w:val="clear" w:color="auto" w:fill="F2F2F2" w:themeFill="background1" w:themeFillShade="F2"/>
          </w:tcPr>
          <w:p w14:paraId="58E4808D" w14:textId="77777777" w:rsidR="00FA0EA7" w:rsidRPr="00221FC9" w:rsidRDefault="00FA0EA7" w:rsidP="009374B1">
            <w:pPr>
              <w:pStyle w:val="TableText"/>
              <w:keepNext/>
            </w:pPr>
          </w:p>
        </w:tc>
        <w:tc>
          <w:tcPr>
            <w:tcW w:w="1275" w:type="dxa"/>
            <w:shd w:val="clear" w:color="auto" w:fill="F2F2F2" w:themeFill="background1" w:themeFillShade="F2"/>
          </w:tcPr>
          <w:p w14:paraId="5124742B" w14:textId="77777777" w:rsidR="00FA0EA7" w:rsidRPr="00221FC9" w:rsidRDefault="00FA0EA7" w:rsidP="009374B1">
            <w:pPr>
              <w:pStyle w:val="TableText"/>
              <w:keepNext/>
              <w:jc w:val="center"/>
            </w:pPr>
          </w:p>
        </w:tc>
        <w:tc>
          <w:tcPr>
            <w:tcW w:w="851" w:type="dxa"/>
            <w:shd w:val="clear" w:color="auto" w:fill="F2F2F2" w:themeFill="background1" w:themeFillShade="F2"/>
          </w:tcPr>
          <w:p w14:paraId="7E897261" w14:textId="77777777" w:rsidR="00FA0EA7" w:rsidRPr="00221FC9" w:rsidRDefault="00FA0EA7" w:rsidP="009374B1">
            <w:pPr>
              <w:pStyle w:val="TableText"/>
              <w:keepNext/>
              <w:jc w:val="center"/>
            </w:pPr>
          </w:p>
        </w:tc>
      </w:tr>
      <w:tr w:rsidR="00AD7639" w:rsidRPr="00221FC9" w14:paraId="5A79A241" w14:textId="77777777" w:rsidTr="00AD7639">
        <w:trPr>
          <w:cantSplit/>
          <w:trHeight w:val="20"/>
        </w:trPr>
        <w:tc>
          <w:tcPr>
            <w:tcW w:w="4422" w:type="dxa"/>
          </w:tcPr>
          <w:p w14:paraId="6ACB5055" w14:textId="5DD73054" w:rsidR="00AD7639" w:rsidRPr="00BD2FA8" w:rsidRDefault="00AD7639" w:rsidP="00AD7639">
            <w:pPr>
              <w:pStyle w:val="TableText"/>
              <w:rPr>
                <w:rFonts w:ascii="Arial" w:hAnsi="Arial" w:cs="Arial"/>
                <w:szCs w:val="18"/>
              </w:rPr>
            </w:pPr>
            <w:r w:rsidRPr="00AD7639">
              <w:t xml:space="preserve">Service leaders should investigate possible opportunities to fund shared care arrangements in their region to improve tāngata </w:t>
            </w:r>
            <w:proofErr w:type="spellStart"/>
            <w:r w:rsidRPr="00AD7639">
              <w:t>whai</w:t>
            </w:r>
            <w:proofErr w:type="spellEnd"/>
            <w:r w:rsidRPr="00AD7639">
              <w:t xml:space="preserve"> ora access to primary care prescribers</w:t>
            </w:r>
            <w:r w:rsidR="00594DEB">
              <w:t>.</w:t>
            </w:r>
          </w:p>
        </w:tc>
        <w:tc>
          <w:tcPr>
            <w:tcW w:w="2268" w:type="dxa"/>
          </w:tcPr>
          <w:p w14:paraId="14D5B0C3" w14:textId="6B949FA4" w:rsidR="00AD7639" w:rsidRPr="00221FC9" w:rsidRDefault="00AD7639" w:rsidP="00AD7639">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4EAE142" w14:textId="3FBD37AF"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1D09890" w14:textId="590E1DFF"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02CE4A2F" w14:textId="77777777" w:rsidR="00FA0EA7" w:rsidRPr="00221FC9" w:rsidRDefault="00FA0EA7" w:rsidP="00FA0EA7">
      <w:pPr>
        <w:pStyle w:val="Heading4"/>
      </w:pPr>
      <w:bookmarkStart w:id="67" w:name="_Toc403048461"/>
      <w:bookmarkStart w:id="68" w:name="_Toc180687229"/>
      <w:bookmarkStart w:id="69" w:name="_Toc180767066"/>
      <w:bookmarkStart w:id="70" w:name="_Toc180687227"/>
      <w:bookmarkStart w:id="71" w:name="_Toc180767064"/>
      <w:bookmarkEnd w:id="62"/>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368"/>
        <w:gridCol w:w="2055"/>
        <w:gridCol w:w="2056"/>
      </w:tblGrid>
      <w:tr w:rsidR="00FA0EA7" w:rsidRPr="00221FC9" w14:paraId="1732E65B" w14:textId="77777777" w:rsidTr="00AD7639">
        <w:trPr>
          <w:cantSplit/>
        </w:trPr>
        <w:tc>
          <w:tcPr>
            <w:tcW w:w="8818" w:type="dxa"/>
            <w:gridSpan w:val="4"/>
            <w:shd w:val="clear" w:color="auto" w:fill="FFFF99"/>
          </w:tcPr>
          <w:p w14:paraId="3F00A7D2" w14:textId="77777777" w:rsidR="00FA0EA7" w:rsidRPr="00221FC9" w:rsidRDefault="00FA0EA7" w:rsidP="009374B1">
            <w:pPr>
              <w:pStyle w:val="TableText"/>
              <w:spacing w:after="0"/>
              <w:rPr>
                <w:b/>
              </w:rPr>
            </w:pPr>
            <w:r w:rsidRPr="00221FC9">
              <w:rPr>
                <w:b/>
              </w:rPr>
              <w:t>Indicators (out of 7):</w:t>
            </w:r>
          </w:p>
        </w:tc>
      </w:tr>
      <w:tr w:rsidR="00FA0EA7" w:rsidRPr="00221FC9" w14:paraId="30555B48" w14:textId="77777777" w:rsidTr="00AD7639">
        <w:trPr>
          <w:cantSplit/>
        </w:trPr>
        <w:tc>
          <w:tcPr>
            <w:tcW w:w="2339" w:type="dxa"/>
            <w:shd w:val="clear" w:color="auto" w:fill="FFFF99"/>
          </w:tcPr>
          <w:p w14:paraId="16BBEAFB"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368" w:type="dxa"/>
            <w:shd w:val="clear" w:color="auto" w:fill="FFFF99"/>
          </w:tcPr>
          <w:p w14:paraId="42326252"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shd w:val="clear" w:color="auto" w:fill="FFFF99"/>
          </w:tcPr>
          <w:p w14:paraId="21F2B40A"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6" w:type="dxa"/>
            <w:shd w:val="clear" w:color="auto" w:fill="FFFF99"/>
          </w:tcPr>
          <w:p w14:paraId="76F1ABB6"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4E0416C7"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818"/>
      </w:tblGrid>
      <w:tr w:rsidR="00FA0EA7" w:rsidRPr="00221FC9" w14:paraId="002B9968" w14:textId="77777777" w:rsidTr="00AD7639">
        <w:trPr>
          <w:cantSplit/>
          <w:trHeight w:val="1134"/>
        </w:trPr>
        <w:tc>
          <w:tcPr>
            <w:tcW w:w="8818" w:type="dxa"/>
            <w:shd w:val="clear" w:color="auto" w:fill="FFFF99"/>
          </w:tcPr>
          <w:p w14:paraId="0DEAB4ED"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23A8CBD4" w14:textId="77777777" w:rsidR="00FA0EA7" w:rsidRPr="00221FC9" w:rsidRDefault="00FA0EA7" w:rsidP="00FA0EA7"/>
    <w:p w14:paraId="1DA03B77" w14:textId="77777777" w:rsidR="00FA0EA7" w:rsidRPr="00221FC9" w:rsidRDefault="00FA0EA7" w:rsidP="000D6740">
      <w:pPr>
        <w:pStyle w:val="Heading3"/>
        <w:spacing w:before="0"/>
      </w:pPr>
      <w:r w:rsidRPr="00221FC9">
        <w:rPr>
          <w:rFonts w:eastAsia="PMingLiU"/>
        </w:rPr>
        <w:lastRenderedPageBreak/>
        <w:t>9</w:t>
      </w:r>
      <w:r w:rsidRPr="00221FC9">
        <w:rPr>
          <w:rFonts w:eastAsia="PMingLiU"/>
        </w:rPr>
        <w:tab/>
        <w:t>OST and the pharmacy</w:t>
      </w:r>
      <w:bookmarkEnd w:id="67"/>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1EE13D8B" w14:textId="77777777" w:rsidTr="00AD7639">
        <w:trPr>
          <w:cantSplit/>
          <w:trHeight w:val="20"/>
          <w:tblHeader/>
        </w:trPr>
        <w:tc>
          <w:tcPr>
            <w:tcW w:w="4422" w:type="dxa"/>
            <w:shd w:val="clear" w:color="auto" w:fill="D9D9D9" w:themeFill="background1" w:themeFillShade="D9"/>
          </w:tcPr>
          <w:p w14:paraId="271615FB" w14:textId="77777777" w:rsidR="00FA0EA7" w:rsidRPr="00221FC9" w:rsidRDefault="00FA0EA7" w:rsidP="009374B1">
            <w:pPr>
              <w:pStyle w:val="TableText"/>
              <w:keepNext/>
              <w:rPr>
                <w:rFonts w:eastAsia="PMingLiU"/>
                <w:b/>
              </w:rPr>
            </w:pPr>
            <w:r w:rsidRPr="00221FC9">
              <w:rPr>
                <w:rFonts w:eastAsia="PMingLiU"/>
                <w:b/>
              </w:rPr>
              <w:t>Indicators</w:t>
            </w:r>
          </w:p>
        </w:tc>
        <w:tc>
          <w:tcPr>
            <w:tcW w:w="2268" w:type="dxa"/>
            <w:shd w:val="clear" w:color="auto" w:fill="D9D9D9" w:themeFill="background1" w:themeFillShade="D9"/>
          </w:tcPr>
          <w:p w14:paraId="1555F82E" w14:textId="0D2B0A64" w:rsidR="00FA0EA7" w:rsidRPr="00221FC9" w:rsidRDefault="00C11D97" w:rsidP="009374B1">
            <w:pPr>
              <w:pStyle w:val="TableText"/>
              <w:keepN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1E1EC6D1" w14:textId="77777777" w:rsidR="00FA0EA7" w:rsidRPr="00221FC9" w:rsidRDefault="00FA0EA7" w:rsidP="009374B1">
            <w:pPr>
              <w:pStyle w:val="TableText"/>
              <w:keepNext/>
              <w:jc w:val="center"/>
              <w:rPr>
                <w:rFonts w:eastAsia="PMingLiU"/>
                <w:b/>
              </w:rPr>
            </w:pPr>
            <w:r w:rsidRPr="00221FC9">
              <w:rPr>
                <w:rFonts w:eastAsia="PMingLiU"/>
                <w:b/>
              </w:rPr>
              <w:t>Attainment</w:t>
            </w:r>
          </w:p>
        </w:tc>
        <w:tc>
          <w:tcPr>
            <w:tcW w:w="851" w:type="dxa"/>
            <w:shd w:val="clear" w:color="auto" w:fill="D9D9D9" w:themeFill="background1" w:themeFillShade="D9"/>
          </w:tcPr>
          <w:p w14:paraId="1DBE0C0E" w14:textId="77777777" w:rsidR="00FA0EA7" w:rsidRPr="00221FC9" w:rsidRDefault="00FA0EA7" w:rsidP="009374B1">
            <w:pPr>
              <w:pStyle w:val="TableText"/>
              <w:keepNext/>
              <w:jc w:val="center"/>
              <w:rPr>
                <w:rFonts w:eastAsia="PMingLiU"/>
                <w:b/>
              </w:rPr>
            </w:pPr>
            <w:r w:rsidRPr="00221FC9">
              <w:rPr>
                <w:rFonts w:eastAsia="PMingLiU"/>
                <w:b/>
              </w:rPr>
              <w:t>Risk</w:t>
            </w:r>
          </w:p>
        </w:tc>
      </w:tr>
      <w:tr w:rsidR="00FA0EA7" w:rsidRPr="00221FC9" w14:paraId="1F517DF2" w14:textId="77777777" w:rsidTr="00AD7639">
        <w:trPr>
          <w:cantSplit/>
          <w:trHeight w:val="20"/>
        </w:trPr>
        <w:tc>
          <w:tcPr>
            <w:tcW w:w="4422" w:type="dxa"/>
            <w:shd w:val="clear" w:color="auto" w:fill="F3F3F3"/>
          </w:tcPr>
          <w:p w14:paraId="4202C9C6" w14:textId="77777777" w:rsidR="00FA0EA7" w:rsidRPr="00221FC9" w:rsidRDefault="00FA0EA7" w:rsidP="009374B1">
            <w:pPr>
              <w:pStyle w:val="TableText"/>
              <w:keepNext/>
              <w:rPr>
                <w:rFonts w:cs="Helvetica"/>
                <w:b/>
                <w:color w:val="141413"/>
                <w:szCs w:val="26"/>
              </w:rPr>
            </w:pPr>
            <w:r w:rsidRPr="00221FC9">
              <w:rPr>
                <w:rFonts w:cs="Helvetica"/>
                <w:b/>
                <w:color w:val="141413"/>
                <w:szCs w:val="26"/>
              </w:rPr>
              <w:t>9.1</w:t>
            </w:r>
            <w:r w:rsidRPr="00221FC9">
              <w:rPr>
                <w:rFonts w:cs="Helvetica"/>
                <w:b/>
                <w:color w:val="141413"/>
                <w:szCs w:val="26"/>
              </w:rPr>
              <w:tab/>
              <w:t>Responsibilities of the pharmacist</w:t>
            </w:r>
          </w:p>
        </w:tc>
        <w:tc>
          <w:tcPr>
            <w:tcW w:w="2268" w:type="dxa"/>
            <w:shd w:val="clear" w:color="auto" w:fill="F3F3F3"/>
          </w:tcPr>
          <w:p w14:paraId="00038754" w14:textId="77777777" w:rsidR="00FA0EA7" w:rsidRPr="00221FC9" w:rsidRDefault="00FA0EA7" w:rsidP="009374B1">
            <w:pPr>
              <w:pStyle w:val="TableText"/>
              <w:keepNext/>
              <w:rPr>
                <w:rFonts w:cs="Helvetica"/>
                <w:color w:val="141413"/>
                <w:szCs w:val="26"/>
              </w:rPr>
            </w:pPr>
          </w:p>
        </w:tc>
        <w:tc>
          <w:tcPr>
            <w:tcW w:w="1275" w:type="dxa"/>
            <w:shd w:val="clear" w:color="auto" w:fill="F3F3F3"/>
          </w:tcPr>
          <w:p w14:paraId="226B3F30" w14:textId="77777777" w:rsidR="00FA0EA7" w:rsidRPr="00221FC9" w:rsidRDefault="00FA0EA7" w:rsidP="009374B1">
            <w:pPr>
              <w:pStyle w:val="TableText"/>
              <w:keepNext/>
              <w:jc w:val="center"/>
              <w:rPr>
                <w:rFonts w:cs="Helvetica"/>
                <w:color w:val="141413"/>
                <w:szCs w:val="26"/>
              </w:rPr>
            </w:pPr>
          </w:p>
        </w:tc>
        <w:tc>
          <w:tcPr>
            <w:tcW w:w="851" w:type="dxa"/>
            <w:shd w:val="clear" w:color="auto" w:fill="F3F3F3"/>
          </w:tcPr>
          <w:p w14:paraId="0763EB96" w14:textId="77777777" w:rsidR="00FA0EA7" w:rsidRPr="00221FC9" w:rsidRDefault="00FA0EA7" w:rsidP="009374B1">
            <w:pPr>
              <w:pStyle w:val="TableText"/>
              <w:keepNext/>
              <w:jc w:val="center"/>
              <w:rPr>
                <w:rFonts w:cs="Helvetica"/>
                <w:color w:val="141413"/>
                <w:szCs w:val="26"/>
              </w:rPr>
            </w:pPr>
          </w:p>
        </w:tc>
      </w:tr>
      <w:tr w:rsidR="00FA0EA7" w:rsidRPr="00221FC9" w14:paraId="3D47988D" w14:textId="77777777" w:rsidTr="00AD7639">
        <w:trPr>
          <w:cantSplit/>
          <w:trHeight w:val="20"/>
        </w:trPr>
        <w:tc>
          <w:tcPr>
            <w:tcW w:w="4422" w:type="dxa"/>
          </w:tcPr>
          <w:p w14:paraId="48D16484" w14:textId="0F04E185" w:rsidR="00FA0EA7" w:rsidRPr="00221FC9" w:rsidRDefault="00FA0EA7" w:rsidP="00AD7639">
            <w:pPr>
              <w:pStyle w:val="TableText"/>
            </w:pPr>
            <w:r w:rsidRPr="00221FC9">
              <w:t>At a minimum, staff should complete</w:t>
            </w:r>
            <w:r w:rsidRPr="00221FC9">
              <w:rPr>
                <w:rFonts w:eastAsia="PMingLiU"/>
              </w:rPr>
              <w:t xml:space="preserve"> training available online through the Pharmaceutical Society of New Zealand (PSNZ), training endorsed for OST providers by </w:t>
            </w:r>
            <w:r w:rsidRPr="00221FC9">
              <w:t xml:space="preserve">the </w:t>
            </w:r>
            <w:r w:rsidRPr="00221FC9">
              <w:rPr>
                <w:rFonts w:eastAsia="Arial"/>
              </w:rPr>
              <w:t>Ministry of Health</w:t>
            </w:r>
            <w:r w:rsidRPr="00221FC9">
              <w:rPr>
                <w:rFonts w:eastAsia="PMingLiU"/>
              </w:rPr>
              <w:t xml:space="preserve"> or Health NZ,</w:t>
            </w:r>
            <w:r w:rsidRPr="00221FC9">
              <w:t xml:space="preserve"> or training offered by the local specialist service. </w:t>
            </w:r>
          </w:p>
        </w:tc>
        <w:tc>
          <w:tcPr>
            <w:tcW w:w="2268" w:type="dxa"/>
          </w:tcPr>
          <w:p w14:paraId="2409EBCB"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BA77FA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3D8BFEC"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AD7C88D" w14:textId="77777777" w:rsidTr="00AD7639">
        <w:trPr>
          <w:cantSplit/>
          <w:trHeight w:val="20"/>
        </w:trPr>
        <w:tc>
          <w:tcPr>
            <w:tcW w:w="4422" w:type="dxa"/>
          </w:tcPr>
          <w:p w14:paraId="7EB42E90" w14:textId="77777777" w:rsidR="00FA0EA7" w:rsidRPr="00221FC9" w:rsidRDefault="00FA0EA7" w:rsidP="009374B1">
            <w:pPr>
              <w:pStyle w:val="TableText"/>
              <w:keepNext/>
              <w:rPr>
                <w:color w:val="141413"/>
                <w:szCs w:val="26"/>
              </w:rPr>
            </w:pPr>
            <w:r w:rsidRPr="00221FC9">
              <w:t>The service provides pharmacies with accurate information as to which GPs are authorised to prescribe OST.</w:t>
            </w:r>
          </w:p>
        </w:tc>
        <w:tc>
          <w:tcPr>
            <w:tcW w:w="2268" w:type="dxa"/>
          </w:tcPr>
          <w:p w14:paraId="616B463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B72A32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7E9AE7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6794456" w14:textId="77777777" w:rsidTr="00AD7639">
        <w:trPr>
          <w:cantSplit/>
          <w:trHeight w:val="20"/>
        </w:trPr>
        <w:tc>
          <w:tcPr>
            <w:tcW w:w="4422" w:type="dxa"/>
          </w:tcPr>
          <w:p w14:paraId="5335AC94" w14:textId="77777777" w:rsidR="00FA0EA7" w:rsidRPr="00221FC9" w:rsidRDefault="00FA0EA7" w:rsidP="009374B1">
            <w:pPr>
              <w:pStyle w:val="TableText"/>
              <w:keepNext/>
              <w:rPr>
                <w:color w:val="141413"/>
                <w:szCs w:val="26"/>
              </w:rPr>
            </w:pPr>
            <w:r w:rsidRPr="00221FC9">
              <w:rPr>
                <w:color w:val="141413"/>
                <w:szCs w:val="26"/>
              </w:rPr>
              <w:t xml:space="preserve">The pharmacist notifies the prescriber when a tāngata </w:t>
            </w:r>
            <w:proofErr w:type="spellStart"/>
            <w:r w:rsidRPr="00221FC9">
              <w:rPr>
                <w:color w:val="141413"/>
                <w:szCs w:val="26"/>
              </w:rPr>
              <w:t>whai</w:t>
            </w:r>
            <w:proofErr w:type="spellEnd"/>
            <w:r w:rsidRPr="00221FC9">
              <w:rPr>
                <w:color w:val="141413"/>
                <w:szCs w:val="26"/>
              </w:rPr>
              <w:t xml:space="preserve"> ora:</w:t>
            </w:r>
          </w:p>
          <w:p w14:paraId="4D2A7E0F" w14:textId="77777777" w:rsidR="00FA0EA7" w:rsidRPr="00221FC9" w:rsidRDefault="00FA0EA7" w:rsidP="009374B1">
            <w:pPr>
              <w:pStyle w:val="TableBullet"/>
              <w:keepNext/>
            </w:pPr>
            <w:r w:rsidRPr="00221FC9">
              <w:t>has missed collecting more than one dose</w:t>
            </w:r>
          </w:p>
          <w:p w14:paraId="7232EC8C" w14:textId="77777777" w:rsidR="00FA0EA7" w:rsidRPr="00221FC9" w:rsidRDefault="00FA0EA7" w:rsidP="009374B1">
            <w:pPr>
              <w:pStyle w:val="TableBullet"/>
              <w:keepNext/>
            </w:pPr>
            <w:r w:rsidRPr="00221FC9">
              <w:t>presents as intoxicated</w:t>
            </w:r>
          </w:p>
          <w:p w14:paraId="26A9B4AA" w14:textId="77777777" w:rsidR="00FA0EA7" w:rsidRPr="00221FC9" w:rsidRDefault="00FA0EA7" w:rsidP="009374B1">
            <w:pPr>
              <w:pStyle w:val="TableBullet"/>
              <w:keepNext/>
            </w:pPr>
            <w:r w:rsidRPr="00221FC9">
              <w:t>exhibits abusive or threatening behaviour</w:t>
            </w:r>
          </w:p>
          <w:p w14:paraId="5784B6B2" w14:textId="77777777" w:rsidR="00FA0EA7" w:rsidRPr="00221FC9" w:rsidRDefault="00FA0EA7" w:rsidP="009374B1">
            <w:pPr>
              <w:pStyle w:val="TableBullet"/>
              <w:keepNext/>
            </w:pPr>
            <w:r w:rsidRPr="00221FC9">
              <w:t>diverts or makes a serious attempt to divert their OST medication</w:t>
            </w:r>
          </w:p>
          <w:p w14:paraId="1961BBCF" w14:textId="77777777" w:rsidR="00FA0EA7" w:rsidRPr="00221FC9" w:rsidRDefault="00FA0EA7" w:rsidP="009374B1">
            <w:pPr>
              <w:pStyle w:val="TableBullet"/>
              <w:keepNext/>
            </w:pPr>
            <w:r w:rsidRPr="00221FC9">
              <w:t>exhibits opioid (or other substance) withdrawal symptoms</w:t>
            </w:r>
          </w:p>
          <w:p w14:paraId="556EB250" w14:textId="77777777" w:rsidR="00FA0EA7" w:rsidRPr="00221FC9" w:rsidRDefault="00FA0EA7" w:rsidP="009374B1">
            <w:pPr>
              <w:pStyle w:val="TableBullet"/>
              <w:keepNext/>
            </w:pPr>
            <w:r w:rsidRPr="00221FC9">
              <w:t>deteriorates in their physical, emotional or mental state.</w:t>
            </w:r>
          </w:p>
        </w:tc>
        <w:tc>
          <w:tcPr>
            <w:tcW w:w="2268" w:type="dxa"/>
          </w:tcPr>
          <w:p w14:paraId="12BB9729" w14:textId="77777777" w:rsidR="00FA0EA7" w:rsidRPr="00221FC9" w:rsidRDefault="00FA0EA7" w:rsidP="009374B1">
            <w:pPr>
              <w:pStyle w:val="TableText"/>
              <w:keepNext/>
            </w:pPr>
            <w:r w:rsidRPr="00221FC9">
              <w:rPr>
                <w:sz w:val="16"/>
                <w:szCs w:val="16"/>
              </w:rPr>
              <w:t>Count as 1 indicator and provide comment and average for one attainment</w:t>
            </w:r>
          </w:p>
        </w:tc>
        <w:tc>
          <w:tcPr>
            <w:tcW w:w="1275" w:type="dxa"/>
          </w:tcPr>
          <w:p w14:paraId="41A2A92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84126C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D7639" w:rsidRPr="00221FC9" w14:paraId="77CF57A7" w14:textId="77777777" w:rsidTr="00AD7639">
        <w:trPr>
          <w:cantSplit/>
          <w:trHeight w:val="20"/>
        </w:trPr>
        <w:tc>
          <w:tcPr>
            <w:tcW w:w="4422" w:type="dxa"/>
          </w:tcPr>
          <w:p w14:paraId="453F58E1" w14:textId="22C4080F" w:rsidR="00AD7639" w:rsidRPr="00221FC9" w:rsidRDefault="00AD7639" w:rsidP="00AD7639">
            <w:pPr>
              <w:pStyle w:val="TableText"/>
              <w:keepNext/>
              <w:rPr>
                <w:color w:val="141413"/>
                <w:szCs w:val="26"/>
              </w:rPr>
            </w:pPr>
            <w:r w:rsidRPr="00221FC9">
              <w:rPr>
                <w:color w:val="141413"/>
                <w:szCs w:val="26"/>
              </w:rPr>
              <w:t xml:space="preserve">The pharmacy environment for tāngata </w:t>
            </w:r>
            <w:proofErr w:type="spellStart"/>
            <w:r w:rsidRPr="00221FC9">
              <w:rPr>
                <w:color w:val="141413"/>
                <w:szCs w:val="26"/>
              </w:rPr>
              <w:t>whai</w:t>
            </w:r>
            <w:proofErr w:type="spellEnd"/>
            <w:r w:rsidRPr="00221FC9">
              <w:rPr>
                <w:color w:val="141413"/>
                <w:szCs w:val="26"/>
              </w:rPr>
              <w:t xml:space="preserve"> ora receiving OST medications ensures privacy and respect</w:t>
            </w:r>
            <w:r w:rsidR="00594DEB">
              <w:rPr>
                <w:color w:val="141413"/>
                <w:szCs w:val="26"/>
              </w:rPr>
              <w:t>.</w:t>
            </w:r>
          </w:p>
        </w:tc>
        <w:tc>
          <w:tcPr>
            <w:tcW w:w="2268" w:type="dxa"/>
          </w:tcPr>
          <w:p w14:paraId="2A418E13" w14:textId="15596171" w:rsidR="00AD7639" w:rsidRPr="00221FC9" w:rsidRDefault="00AD7639" w:rsidP="00AD7639">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FF43CAE" w14:textId="20FBE4B3"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7C8A784" w14:textId="7A8166CA"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6DD5693" w14:textId="77777777" w:rsidTr="00AD7639">
        <w:trPr>
          <w:cantSplit/>
          <w:trHeight w:val="20"/>
        </w:trPr>
        <w:tc>
          <w:tcPr>
            <w:tcW w:w="4422" w:type="dxa"/>
          </w:tcPr>
          <w:p w14:paraId="6862A6AA" w14:textId="77777777" w:rsidR="00FA0EA7" w:rsidRPr="00221FC9" w:rsidRDefault="00FA0EA7" w:rsidP="009374B1">
            <w:pPr>
              <w:pStyle w:val="TableText"/>
              <w:keepNext/>
            </w:pPr>
            <w:r w:rsidRPr="00221FC9">
              <w:t xml:space="preserve">Local protocols include a service level agreement or memoranda of understanding between the service and community pharmacies (Refer </w:t>
            </w:r>
            <w:r w:rsidRPr="00221FC9">
              <w:rPr>
                <w:i/>
                <w:iCs/>
              </w:rPr>
              <w:t>OST Guidelines</w:t>
            </w:r>
            <w:r w:rsidRPr="00221FC9">
              <w:t xml:space="preserve"> 11.6)</w:t>
            </w:r>
          </w:p>
        </w:tc>
        <w:tc>
          <w:tcPr>
            <w:tcW w:w="2268" w:type="dxa"/>
          </w:tcPr>
          <w:p w14:paraId="2BA0B17C"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EC5A0D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EB813D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888CAC9" w14:textId="77777777" w:rsidTr="00AD7639">
        <w:trPr>
          <w:cantSplit/>
          <w:trHeight w:val="20"/>
        </w:trPr>
        <w:tc>
          <w:tcPr>
            <w:tcW w:w="4422" w:type="dxa"/>
            <w:shd w:val="clear" w:color="auto" w:fill="F3F3F3"/>
          </w:tcPr>
          <w:p w14:paraId="344F25D6" w14:textId="77777777" w:rsidR="00FA0EA7" w:rsidRPr="00221FC9" w:rsidRDefault="00FA0EA7" w:rsidP="009374B1">
            <w:pPr>
              <w:pStyle w:val="TableText"/>
              <w:keepNext/>
              <w:rPr>
                <w:b/>
                <w:color w:val="141413"/>
                <w:szCs w:val="26"/>
              </w:rPr>
            </w:pPr>
            <w:r w:rsidRPr="00221FC9">
              <w:rPr>
                <w:b/>
                <w:color w:val="141413"/>
                <w:szCs w:val="26"/>
              </w:rPr>
              <w:t>9.2</w:t>
            </w:r>
            <w:r w:rsidRPr="00221FC9">
              <w:rPr>
                <w:b/>
                <w:color w:val="141413"/>
                <w:szCs w:val="26"/>
              </w:rPr>
              <w:tab/>
              <w:t>The dispensing and administration process</w:t>
            </w:r>
          </w:p>
        </w:tc>
        <w:tc>
          <w:tcPr>
            <w:tcW w:w="2268" w:type="dxa"/>
            <w:shd w:val="clear" w:color="auto" w:fill="F3F3F3"/>
          </w:tcPr>
          <w:p w14:paraId="5B6B53D0" w14:textId="77777777" w:rsidR="00FA0EA7" w:rsidRPr="00221FC9" w:rsidRDefault="00FA0EA7" w:rsidP="009374B1">
            <w:pPr>
              <w:pStyle w:val="TableText"/>
              <w:keepNext/>
              <w:rPr>
                <w:color w:val="141413"/>
                <w:szCs w:val="26"/>
              </w:rPr>
            </w:pPr>
          </w:p>
        </w:tc>
        <w:tc>
          <w:tcPr>
            <w:tcW w:w="1275" w:type="dxa"/>
            <w:shd w:val="clear" w:color="auto" w:fill="F3F3F3"/>
          </w:tcPr>
          <w:p w14:paraId="3F7B40EF" w14:textId="77777777" w:rsidR="00FA0EA7" w:rsidRPr="00221FC9" w:rsidRDefault="00FA0EA7" w:rsidP="009374B1">
            <w:pPr>
              <w:pStyle w:val="TableText"/>
              <w:keepNext/>
              <w:jc w:val="center"/>
              <w:rPr>
                <w:color w:val="141413"/>
                <w:szCs w:val="26"/>
              </w:rPr>
            </w:pPr>
          </w:p>
        </w:tc>
        <w:tc>
          <w:tcPr>
            <w:tcW w:w="851" w:type="dxa"/>
            <w:shd w:val="clear" w:color="auto" w:fill="F3F3F3"/>
          </w:tcPr>
          <w:p w14:paraId="7676D9A7" w14:textId="77777777" w:rsidR="00FA0EA7" w:rsidRPr="00221FC9" w:rsidRDefault="00FA0EA7" w:rsidP="009374B1">
            <w:pPr>
              <w:pStyle w:val="TableText"/>
              <w:keepNext/>
              <w:jc w:val="center"/>
              <w:rPr>
                <w:color w:val="141413"/>
                <w:szCs w:val="26"/>
              </w:rPr>
            </w:pPr>
          </w:p>
        </w:tc>
      </w:tr>
      <w:tr w:rsidR="00FA0EA7" w:rsidRPr="00221FC9" w14:paraId="21A69E29" w14:textId="77777777" w:rsidTr="00AD7639">
        <w:trPr>
          <w:cantSplit/>
          <w:trHeight w:val="20"/>
        </w:trPr>
        <w:tc>
          <w:tcPr>
            <w:tcW w:w="4422" w:type="dxa"/>
          </w:tcPr>
          <w:p w14:paraId="42D8693F" w14:textId="77777777" w:rsidR="00FA0EA7" w:rsidRPr="00221FC9" w:rsidRDefault="00FA0EA7" w:rsidP="009374B1">
            <w:pPr>
              <w:pStyle w:val="TableText"/>
              <w:rPr>
                <w:color w:val="141413"/>
                <w:szCs w:val="26"/>
              </w:rPr>
            </w:pPr>
            <w:r w:rsidRPr="00221FC9">
              <w:rPr>
                <w:color w:val="141413"/>
                <w:szCs w:val="26"/>
              </w:rPr>
              <w:t>Pharmacists are consulted as part of the multidisciplinary team</w:t>
            </w:r>
            <w:proofErr w:type="gramStart"/>
            <w:r w:rsidRPr="00221FC9">
              <w:rPr>
                <w:color w:val="141413"/>
                <w:szCs w:val="26"/>
              </w:rPr>
              <w:t>, in particular, before</w:t>
            </w:r>
            <w:proofErr w:type="gramEnd"/>
            <w:r w:rsidRPr="00221FC9">
              <w:rPr>
                <w:color w:val="141413"/>
                <w:szCs w:val="26"/>
              </w:rPr>
              <w:t xml:space="preserve"> making significant changes to a treatment plan</w:t>
            </w:r>
            <w:r>
              <w:rPr>
                <w:color w:val="141413"/>
                <w:szCs w:val="26"/>
              </w:rPr>
              <w:t xml:space="preserve"> for tāngata </w:t>
            </w:r>
            <w:proofErr w:type="spellStart"/>
            <w:r>
              <w:rPr>
                <w:color w:val="141413"/>
                <w:szCs w:val="26"/>
              </w:rPr>
              <w:t>whai</w:t>
            </w:r>
            <w:proofErr w:type="spellEnd"/>
            <w:r>
              <w:rPr>
                <w:color w:val="141413"/>
                <w:szCs w:val="26"/>
              </w:rPr>
              <w:t xml:space="preserve"> ora</w:t>
            </w:r>
            <w:r w:rsidRPr="00221FC9">
              <w:rPr>
                <w:color w:val="141413"/>
                <w:szCs w:val="26"/>
              </w:rPr>
              <w:t xml:space="preserve"> that affect dispensing.</w:t>
            </w:r>
          </w:p>
        </w:tc>
        <w:tc>
          <w:tcPr>
            <w:tcW w:w="2268" w:type="dxa"/>
          </w:tcPr>
          <w:p w14:paraId="034A62C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7BBBA9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7F308D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7A4E9A8" w14:textId="77777777" w:rsidTr="00AD7639">
        <w:trPr>
          <w:cantSplit/>
          <w:trHeight w:val="20"/>
        </w:trPr>
        <w:tc>
          <w:tcPr>
            <w:tcW w:w="4422" w:type="dxa"/>
          </w:tcPr>
          <w:p w14:paraId="100E4903" w14:textId="77777777" w:rsidR="00FA0EA7" w:rsidRPr="00221FC9" w:rsidRDefault="00FA0EA7" w:rsidP="009374B1">
            <w:pPr>
              <w:pStyle w:val="TableText"/>
              <w:rPr>
                <w:color w:val="141413"/>
                <w:szCs w:val="26"/>
              </w:rPr>
            </w:pPr>
            <w:r w:rsidRPr="00221FC9">
              <w:rPr>
                <w:color w:val="141413"/>
                <w:szCs w:val="26"/>
              </w:rPr>
              <w:t xml:space="preserve">The service is accessible to the community pharmacist, </w:t>
            </w:r>
            <w:proofErr w:type="spellStart"/>
            <w:r w:rsidRPr="00221FC9">
              <w:rPr>
                <w:color w:val="141413"/>
                <w:szCs w:val="26"/>
              </w:rPr>
              <w:t>eg</w:t>
            </w:r>
            <w:proofErr w:type="spellEnd"/>
            <w:r w:rsidRPr="00221FC9">
              <w:rPr>
                <w:color w:val="141413"/>
                <w:szCs w:val="26"/>
              </w:rPr>
              <w:t xml:space="preserve">, has the contact details of the key worker for each tāngata </w:t>
            </w:r>
            <w:proofErr w:type="spellStart"/>
            <w:r w:rsidRPr="00221FC9">
              <w:rPr>
                <w:color w:val="141413"/>
                <w:szCs w:val="26"/>
              </w:rPr>
              <w:t>whai</w:t>
            </w:r>
            <w:proofErr w:type="spellEnd"/>
            <w:r w:rsidRPr="00221FC9">
              <w:rPr>
                <w:color w:val="141413"/>
                <w:szCs w:val="26"/>
              </w:rPr>
              <w:t xml:space="preserve"> ora, and an afterhours contact number.</w:t>
            </w:r>
          </w:p>
        </w:tc>
        <w:tc>
          <w:tcPr>
            <w:tcW w:w="2268" w:type="dxa"/>
          </w:tcPr>
          <w:p w14:paraId="0F13C1D3"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3FF64F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7D0283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0FC73F2" w14:textId="77777777" w:rsidTr="00AD7639">
        <w:trPr>
          <w:cantSplit/>
          <w:trHeight w:val="20"/>
        </w:trPr>
        <w:tc>
          <w:tcPr>
            <w:tcW w:w="4422" w:type="dxa"/>
            <w:shd w:val="clear" w:color="auto" w:fill="F3F3F3"/>
          </w:tcPr>
          <w:p w14:paraId="5CA493BE" w14:textId="77777777" w:rsidR="00FA0EA7" w:rsidRPr="00221FC9" w:rsidRDefault="00FA0EA7" w:rsidP="009374B1">
            <w:pPr>
              <w:pStyle w:val="TableText"/>
              <w:rPr>
                <w:b/>
                <w:color w:val="141413"/>
              </w:rPr>
            </w:pPr>
            <w:r w:rsidRPr="00221FC9">
              <w:rPr>
                <w:b/>
                <w:color w:val="141413"/>
              </w:rPr>
              <w:t>9.3</w:t>
            </w:r>
            <w:r w:rsidRPr="00221FC9">
              <w:rPr>
                <w:b/>
                <w:color w:val="141413"/>
              </w:rPr>
              <w:tab/>
              <w:t>Managing other aspects of OST provision</w:t>
            </w:r>
          </w:p>
        </w:tc>
        <w:tc>
          <w:tcPr>
            <w:tcW w:w="2268" w:type="dxa"/>
            <w:shd w:val="clear" w:color="auto" w:fill="F3F3F3"/>
          </w:tcPr>
          <w:p w14:paraId="30C4C554" w14:textId="77777777" w:rsidR="00FA0EA7" w:rsidRPr="00221FC9" w:rsidRDefault="00FA0EA7" w:rsidP="009374B1">
            <w:pPr>
              <w:pStyle w:val="TableText"/>
              <w:rPr>
                <w:color w:val="141413"/>
                <w:szCs w:val="26"/>
              </w:rPr>
            </w:pPr>
          </w:p>
        </w:tc>
        <w:tc>
          <w:tcPr>
            <w:tcW w:w="1275" w:type="dxa"/>
            <w:shd w:val="clear" w:color="auto" w:fill="F3F3F3"/>
          </w:tcPr>
          <w:p w14:paraId="07D2F12D" w14:textId="77777777" w:rsidR="00FA0EA7" w:rsidRPr="00221FC9" w:rsidRDefault="00FA0EA7" w:rsidP="009374B1">
            <w:pPr>
              <w:pStyle w:val="TableText"/>
              <w:jc w:val="center"/>
              <w:rPr>
                <w:color w:val="141413"/>
                <w:szCs w:val="26"/>
              </w:rPr>
            </w:pPr>
          </w:p>
        </w:tc>
        <w:tc>
          <w:tcPr>
            <w:tcW w:w="851" w:type="dxa"/>
            <w:shd w:val="clear" w:color="auto" w:fill="F3F3F3"/>
          </w:tcPr>
          <w:p w14:paraId="427AEDAA" w14:textId="77777777" w:rsidR="00FA0EA7" w:rsidRPr="00221FC9" w:rsidRDefault="00FA0EA7" w:rsidP="009374B1">
            <w:pPr>
              <w:pStyle w:val="TableText"/>
              <w:jc w:val="center"/>
              <w:rPr>
                <w:color w:val="141413"/>
                <w:szCs w:val="26"/>
              </w:rPr>
            </w:pPr>
          </w:p>
        </w:tc>
      </w:tr>
      <w:tr w:rsidR="00FA0EA7" w:rsidRPr="00221FC9" w14:paraId="4B929489" w14:textId="77777777" w:rsidTr="00AD7639">
        <w:trPr>
          <w:cantSplit/>
          <w:trHeight w:val="20"/>
        </w:trPr>
        <w:tc>
          <w:tcPr>
            <w:tcW w:w="4422" w:type="dxa"/>
          </w:tcPr>
          <w:p w14:paraId="6FF8AE94" w14:textId="77777777" w:rsidR="00FA0EA7" w:rsidRPr="00221FC9" w:rsidRDefault="00FA0EA7" w:rsidP="009374B1">
            <w:pPr>
              <w:pStyle w:val="TableText"/>
            </w:pPr>
            <w:r w:rsidRPr="00221FC9">
              <w:t>The service communicates clearly with the pharmacist when a new prescription</w:t>
            </w:r>
            <w:r>
              <w:t xml:space="preserve"> for a tāngata </w:t>
            </w:r>
            <w:proofErr w:type="spellStart"/>
            <w:r>
              <w:t>whai</w:t>
            </w:r>
            <w:proofErr w:type="spellEnd"/>
            <w:r>
              <w:t xml:space="preserve"> ora</w:t>
            </w:r>
            <w:r w:rsidRPr="00221FC9">
              <w:t xml:space="preserve"> differs from the previous one (</w:t>
            </w:r>
            <w:proofErr w:type="spellStart"/>
            <w:r w:rsidRPr="00221FC9">
              <w:t>eg</w:t>
            </w:r>
            <w:proofErr w:type="spellEnd"/>
            <w:r w:rsidRPr="00221FC9">
              <w:t>, dose change, new takeaway regimen, split dose, early start date).</w:t>
            </w:r>
          </w:p>
        </w:tc>
        <w:tc>
          <w:tcPr>
            <w:tcW w:w="2268" w:type="dxa"/>
          </w:tcPr>
          <w:p w14:paraId="324E4F4A"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144A21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10A84B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35F8DBB" w14:textId="77777777" w:rsidTr="00AD7639">
        <w:trPr>
          <w:cantSplit/>
          <w:trHeight w:val="20"/>
        </w:trPr>
        <w:tc>
          <w:tcPr>
            <w:tcW w:w="4422" w:type="dxa"/>
          </w:tcPr>
          <w:p w14:paraId="51591D37" w14:textId="77777777" w:rsidR="00FA0EA7" w:rsidRPr="00221FC9" w:rsidRDefault="00FA0EA7" w:rsidP="009374B1">
            <w:pPr>
              <w:pStyle w:val="TableText"/>
            </w:pPr>
            <w:r w:rsidRPr="00221FC9">
              <w:t>Written confirmation (via online e-prescribing messaging or email) is received following any telephoned request for script changes. Hard copy prescriptions are scanned and emailed.</w:t>
            </w:r>
          </w:p>
        </w:tc>
        <w:tc>
          <w:tcPr>
            <w:tcW w:w="2268" w:type="dxa"/>
          </w:tcPr>
          <w:p w14:paraId="62C2B1D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22CEC9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07DC0E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A25B3F9" w14:textId="77777777" w:rsidTr="00AD7639">
        <w:trPr>
          <w:cantSplit/>
          <w:trHeight w:val="20"/>
        </w:trPr>
        <w:tc>
          <w:tcPr>
            <w:tcW w:w="4422" w:type="dxa"/>
          </w:tcPr>
          <w:p w14:paraId="23CD10FB" w14:textId="77777777" w:rsidR="00FA0EA7" w:rsidRPr="00221FC9" w:rsidRDefault="00FA0EA7" w:rsidP="009374B1">
            <w:pPr>
              <w:pStyle w:val="TableText"/>
            </w:pPr>
            <w:r w:rsidRPr="00221FC9">
              <w:lastRenderedPageBreak/>
              <w:t xml:space="preserve">The service notifies the pharmacist when a tāngata </w:t>
            </w:r>
            <w:proofErr w:type="spellStart"/>
            <w:r w:rsidRPr="00221FC9">
              <w:t>whai</w:t>
            </w:r>
            <w:proofErr w:type="spellEnd"/>
            <w:r w:rsidRPr="00221FC9">
              <w:t xml:space="preserve"> ora has transferred to a new pharmacy.</w:t>
            </w:r>
          </w:p>
        </w:tc>
        <w:tc>
          <w:tcPr>
            <w:tcW w:w="2268" w:type="dxa"/>
          </w:tcPr>
          <w:p w14:paraId="0D11430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A4629B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0BAD26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9AFEBEA" w14:textId="77777777" w:rsidTr="00AD7639">
        <w:trPr>
          <w:cantSplit/>
          <w:trHeight w:val="20"/>
        </w:trPr>
        <w:tc>
          <w:tcPr>
            <w:tcW w:w="4422" w:type="dxa"/>
          </w:tcPr>
          <w:p w14:paraId="53761E0A" w14:textId="77777777" w:rsidR="00FA0EA7" w:rsidRPr="00221FC9" w:rsidRDefault="00FA0EA7" w:rsidP="009374B1">
            <w:pPr>
              <w:pStyle w:val="TableText"/>
            </w:pPr>
            <w:r w:rsidRPr="00221FC9">
              <w:t xml:space="preserve">The service has systems/policies for documenting and responding to errors in a community pharmacy. </w:t>
            </w:r>
          </w:p>
        </w:tc>
        <w:tc>
          <w:tcPr>
            <w:tcW w:w="2268" w:type="dxa"/>
          </w:tcPr>
          <w:p w14:paraId="756B438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F0A0FA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0070DF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7712B0F8" w14:textId="77777777" w:rsidR="00FA0EA7" w:rsidRPr="00221FC9" w:rsidRDefault="00FA0EA7" w:rsidP="00FA0EA7">
      <w:pPr>
        <w:pStyle w:val="Heading4"/>
      </w:pPr>
      <w:bookmarkStart w:id="72" w:name="_Toc403048462"/>
      <w:bookmarkEnd w:id="68"/>
      <w:bookmarkEnd w:id="69"/>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226"/>
        <w:gridCol w:w="2268"/>
        <w:gridCol w:w="1985"/>
      </w:tblGrid>
      <w:tr w:rsidR="00FA0EA7" w:rsidRPr="00221FC9" w14:paraId="07213342" w14:textId="77777777" w:rsidTr="00AD7639">
        <w:trPr>
          <w:cantSplit/>
        </w:trPr>
        <w:tc>
          <w:tcPr>
            <w:tcW w:w="8818" w:type="dxa"/>
            <w:gridSpan w:val="4"/>
            <w:shd w:val="clear" w:color="auto" w:fill="FFFF99"/>
          </w:tcPr>
          <w:p w14:paraId="231C1368" w14:textId="77777777" w:rsidR="00FA0EA7" w:rsidRPr="00221FC9" w:rsidRDefault="00FA0EA7" w:rsidP="009374B1">
            <w:pPr>
              <w:pStyle w:val="TableText"/>
              <w:spacing w:after="0"/>
              <w:rPr>
                <w:b/>
              </w:rPr>
            </w:pPr>
            <w:r w:rsidRPr="00221FC9">
              <w:rPr>
                <w:b/>
              </w:rPr>
              <w:t>Indicators (out of 10):</w:t>
            </w:r>
          </w:p>
        </w:tc>
      </w:tr>
      <w:tr w:rsidR="00FA0EA7" w:rsidRPr="00221FC9" w14:paraId="355C8E5D" w14:textId="77777777" w:rsidTr="00AD7639">
        <w:trPr>
          <w:cantSplit/>
        </w:trPr>
        <w:tc>
          <w:tcPr>
            <w:tcW w:w="2339" w:type="dxa"/>
            <w:shd w:val="clear" w:color="auto" w:fill="FFFF99"/>
          </w:tcPr>
          <w:p w14:paraId="1FB8207A"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226" w:type="dxa"/>
            <w:shd w:val="clear" w:color="auto" w:fill="FFFF99"/>
          </w:tcPr>
          <w:p w14:paraId="75C2B651"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268" w:type="dxa"/>
            <w:shd w:val="clear" w:color="auto" w:fill="FFFF99"/>
          </w:tcPr>
          <w:p w14:paraId="49D94500"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985" w:type="dxa"/>
            <w:shd w:val="clear" w:color="auto" w:fill="FFFF99"/>
          </w:tcPr>
          <w:p w14:paraId="2F38E958"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1B0085BF"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818"/>
      </w:tblGrid>
      <w:tr w:rsidR="00FA0EA7" w:rsidRPr="00221FC9" w14:paraId="6EA807EB" w14:textId="77777777" w:rsidTr="00AD7639">
        <w:trPr>
          <w:cantSplit/>
          <w:trHeight w:val="1134"/>
        </w:trPr>
        <w:tc>
          <w:tcPr>
            <w:tcW w:w="8818" w:type="dxa"/>
            <w:shd w:val="clear" w:color="auto" w:fill="FFFF99"/>
          </w:tcPr>
          <w:p w14:paraId="7E17B5D7"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3F44A44E" w14:textId="77777777" w:rsidR="00FA0EA7" w:rsidRPr="00221FC9" w:rsidRDefault="00FA0EA7" w:rsidP="00FA0EA7"/>
    <w:p w14:paraId="21EA78B7" w14:textId="77777777" w:rsidR="00AE32F4" w:rsidRDefault="00AE32F4" w:rsidP="00FA0EA7">
      <w:pPr>
        <w:pStyle w:val="Heading3"/>
        <w:ind w:left="567" w:hanging="567"/>
        <w:rPr>
          <w:rFonts w:eastAsia="PMingLiU"/>
        </w:rPr>
        <w:sectPr w:rsidR="00AE32F4" w:rsidSect="00150ECE">
          <w:pgSz w:w="11907" w:h="16834" w:code="9"/>
          <w:pgMar w:top="1418" w:right="1701" w:bottom="1134" w:left="1843" w:header="284" w:footer="425" w:gutter="284"/>
          <w:cols w:space="720"/>
        </w:sectPr>
      </w:pPr>
    </w:p>
    <w:p w14:paraId="47600766" w14:textId="77777777" w:rsidR="00FA0EA7" w:rsidRPr="00221FC9" w:rsidRDefault="00FA0EA7" w:rsidP="000D6740">
      <w:pPr>
        <w:pStyle w:val="Heading3"/>
        <w:spacing w:before="0"/>
        <w:ind w:left="567" w:hanging="567"/>
        <w:rPr>
          <w:rFonts w:eastAsia="PMingLiU"/>
        </w:rPr>
      </w:pPr>
      <w:r w:rsidRPr="00221FC9">
        <w:rPr>
          <w:rFonts w:eastAsia="PMingLiU"/>
        </w:rPr>
        <w:lastRenderedPageBreak/>
        <w:t>10</w:t>
      </w:r>
      <w:r w:rsidRPr="00221FC9">
        <w:rPr>
          <w:rFonts w:eastAsia="PMingLiU"/>
        </w:rPr>
        <w:tab/>
        <w:t>The OST workforce and professional development requirements</w:t>
      </w:r>
      <w:bookmarkEnd w:id="72"/>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7DA77D1A" w14:textId="77777777" w:rsidTr="00AD7639">
        <w:trPr>
          <w:cantSplit/>
          <w:trHeight w:val="20"/>
          <w:tblHeader/>
        </w:trPr>
        <w:tc>
          <w:tcPr>
            <w:tcW w:w="4422" w:type="dxa"/>
            <w:shd w:val="clear" w:color="auto" w:fill="D9D9D9" w:themeFill="background1" w:themeFillShade="D9"/>
          </w:tcPr>
          <w:p w14:paraId="4A089D56" w14:textId="77777777" w:rsidR="00FA0EA7" w:rsidRPr="00221FC9" w:rsidRDefault="00FA0EA7" w:rsidP="009374B1">
            <w:pPr>
              <w:pStyle w:val="TableText"/>
              <w:rPr>
                <w:rFonts w:eastAsia="PMingLiU"/>
                <w:b/>
              </w:rPr>
            </w:pPr>
            <w:r w:rsidRPr="00221FC9">
              <w:rPr>
                <w:rFonts w:eastAsia="PMingLiU"/>
                <w:b/>
              </w:rPr>
              <w:t>Indicators</w:t>
            </w:r>
          </w:p>
        </w:tc>
        <w:tc>
          <w:tcPr>
            <w:tcW w:w="2268" w:type="dxa"/>
            <w:shd w:val="clear" w:color="auto" w:fill="D9D9D9" w:themeFill="background1" w:themeFillShade="D9"/>
          </w:tcPr>
          <w:p w14:paraId="4788B872" w14:textId="473A5480" w:rsidR="00FA0EA7" w:rsidRPr="00221FC9" w:rsidRDefault="00C11D97" w:rsidP="009374B1">
            <w:pPr>
              <w:pStyle w:val="TableT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6318BCD6" w14:textId="77777777" w:rsidR="00FA0EA7" w:rsidRPr="00221FC9" w:rsidRDefault="00FA0EA7" w:rsidP="009374B1">
            <w:pPr>
              <w:pStyle w:val="TableText"/>
              <w:jc w:val="center"/>
              <w:rPr>
                <w:rFonts w:eastAsia="PMingLiU"/>
                <w:b/>
              </w:rPr>
            </w:pPr>
            <w:r w:rsidRPr="00221FC9">
              <w:rPr>
                <w:rFonts w:eastAsia="PMingLiU"/>
                <w:b/>
              </w:rPr>
              <w:t>Attainment</w:t>
            </w:r>
          </w:p>
        </w:tc>
        <w:tc>
          <w:tcPr>
            <w:tcW w:w="851" w:type="dxa"/>
            <w:shd w:val="clear" w:color="auto" w:fill="D9D9D9" w:themeFill="background1" w:themeFillShade="D9"/>
          </w:tcPr>
          <w:p w14:paraId="47114C43" w14:textId="77777777" w:rsidR="00FA0EA7" w:rsidRPr="00221FC9" w:rsidRDefault="00FA0EA7" w:rsidP="009374B1">
            <w:pPr>
              <w:pStyle w:val="TableText"/>
              <w:jc w:val="center"/>
              <w:rPr>
                <w:rFonts w:eastAsia="PMingLiU"/>
                <w:b/>
              </w:rPr>
            </w:pPr>
            <w:r w:rsidRPr="00221FC9">
              <w:rPr>
                <w:rFonts w:eastAsia="PMingLiU"/>
                <w:b/>
              </w:rPr>
              <w:t>Risk</w:t>
            </w:r>
          </w:p>
        </w:tc>
      </w:tr>
      <w:tr w:rsidR="00FA0EA7" w:rsidRPr="00221FC9" w14:paraId="6BBF00B4" w14:textId="77777777" w:rsidTr="00AD7639">
        <w:trPr>
          <w:cantSplit/>
          <w:trHeight w:val="20"/>
        </w:trPr>
        <w:tc>
          <w:tcPr>
            <w:tcW w:w="4422" w:type="dxa"/>
            <w:shd w:val="clear" w:color="auto" w:fill="F3F3F3"/>
          </w:tcPr>
          <w:p w14:paraId="1D775BB0" w14:textId="77777777" w:rsidR="00FA0EA7" w:rsidRPr="00221FC9" w:rsidRDefault="00FA0EA7" w:rsidP="009374B1">
            <w:pPr>
              <w:pStyle w:val="TableText"/>
              <w:rPr>
                <w:rFonts w:cs="Helvetica"/>
                <w:b/>
                <w:color w:val="141413"/>
                <w:szCs w:val="22"/>
              </w:rPr>
            </w:pPr>
            <w:r w:rsidRPr="00221FC9">
              <w:rPr>
                <w:rFonts w:cs="Helvetica"/>
                <w:b/>
                <w:color w:val="141413"/>
                <w:szCs w:val="22"/>
              </w:rPr>
              <w:t>10.1</w:t>
            </w:r>
            <w:r w:rsidRPr="00221FC9">
              <w:rPr>
                <w:rFonts w:cs="Helvetica"/>
                <w:b/>
                <w:color w:val="141413"/>
                <w:szCs w:val="22"/>
              </w:rPr>
              <w:tab/>
              <w:t>The OST team</w:t>
            </w:r>
          </w:p>
        </w:tc>
        <w:tc>
          <w:tcPr>
            <w:tcW w:w="2268" w:type="dxa"/>
            <w:shd w:val="clear" w:color="auto" w:fill="F3F3F3"/>
          </w:tcPr>
          <w:p w14:paraId="0705318D" w14:textId="77777777" w:rsidR="00FA0EA7" w:rsidRPr="00221FC9" w:rsidRDefault="00FA0EA7" w:rsidP="009374B1">
            <w:pPr>
              <w:pStyle w:val="TableText"/>
              <w:rPr>
                <w:rFonts w:cs="Helvetica"/>
                <w:color w:val="141413"/>
                <w:szCs w:val="22"/>
              </w:rPr>
            </w:pPr>
          </w:p>
        </w:tc>
        <w:tc>
          <w:tcPr>
            <w:tcW w:w="1275" w:type="dxa"/>
            <w:shd w:val="clear" w:color="auto" w:fill="F3F3F3"/>
          </w:tcPr>
          <w:p w14:paraId="6D4AB40E" w14:textId="77777777" w:rsidR="00FA0EA7" w:rsidRPr="00221FC9" w:rsidRDefault="00FA0EA7" w:rsidP="009374B1">
            <w:pPr>
              <w:pStyle w:val="TableText"/>
              <w:jc w:val="center"/>
              <w:rPr>
                <w:rFonts w:cs="Helvetica"/>
                <w:color w:val="141413"/>
                <w:szCs w:val="22"/>
              </w:rPr>
            </w:pPr>
          </w:p>
        </w:tc>
        <w:tc>
          <w:tcPr>
            <w:tcW w:w="851" w:type="dxa"/>
            <w:shd w:val="clear" w:color="auto" w:fill="F3F3F3"/>
          </w:tcPr>
          <w:p w14:paraId="65EA6203" w14:textId="77777777" w:rsidR="00FA0EA7" w:rsidRPr="00221FC9" w:rsidRDefault="00FA0EA7" w:rsidP="009374B1">
            <w:pPr>
              <w:pStyle w:val="TableText"/>
              <w:jc w:val="center"/>
              <w:rPr>
                <w:rFonts w:cs="Helvetica"/>
                <w:color w:val="141413"/>
                <w:szCs w:val="22"/>
              </w:rPr>
            </w:pPr>
          </w:p>
        </w:tc>
      </w:tr>
      <w:tr w:rsidR="00FA0EA7" w:rsidRPr="00221FC9" w14:paraId="027ACF4F" w14:textId="77777777" w:rsidTr="00AD7639">
        <w:trPr>
          <w:cantSplit/>
          <w:trHeight w:val="20"/>
        </w:trPr>
        <w:tc>
          <w:tcPr>
            <w:tcW w:w="4422" w:type="dxa"/>
          </w:tcPr>
          <w:p w14:paraId="198ADDA6" w14:textId="77777777" w:rsidR="00FA0EA7" w:rsidRPr="00AD7639" w:rsidRDefault="00FA0EA7" w:rsidP="00AD7639">
            <w:pPr>
              <w:pStyle w:val="TableText"/>
            </w:pPr>
            <w:r w:rsidRPr="00AD7639">
              <w:t>The OST team ideally includes a range of disciplines and roles including consumer advisors and peer support.</w:t>
            </w:r>
          </w:p>
        </w:tc>
        <w:tc>
          <w:tcPr>
            <w:tcW w:w="2268" w:type="dxa"/>
          </w:tcPr>
          <w:p w14:paraId="7F65DE47"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20D33B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F86D3D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7AA1531" w14:textId="77777777" w:rsidTr="00AD7639">
        <w:trPr>
          <w:cantSplit/>
          <w:trHeight w:val="20"/>
        </w:trPr>
        <w:tc>
          <w:tcPr>
            <w:tcW w:w="4422" w:type="dxa"/>
          </w:tcPr>
          <w:p w14:paraId="3C6FC425" w14:textId="77777777" w:rsidR="00FA0EA7" w:rsidRPr="00AD7639" w:rsidRDefault="00FA0EA7" w:rsidP="00AD7639">
            <w:pPr>
              <w:pStyle w:val="TableText"/>
            </w:pPr>
            <w:r w:rsidRPr="00AD7639">
              <w:t xml:space="preserve">Tāngata </w:t>
            </w:r>
            <w:proofErr w:type="spellStart"/>
            <w:r w:rsidRPr="00AD7639">
              <w:t>whai</w:t>
            </w:r>
            <w:proofErr w:type="spellEnd"/>
            <w:r w:rsidRPr="00AD7639">
              <w:t xml:space="preserve"> ora </w:t>
            </w:r>
            <w:proofErr w:type="gramStart"/>
            <w:r w:rsidRPr="00AD7639">
              <w:t>are able to</w:t>
            </w:r>
            <w:proofErr w:type="gramEnd"/>
            <w:r w:rsidRPr="00AD7639">
              <w:t xml:space="preserve"> access peer support and consumer advisor roles from within or outside the service.</w:t>
            </w:r>
          </w:p>
        </w:tc>
        <w:tc>
          <w:tcPr>
            <w:tcW w:w="2268" w:type="dxa"/>
          </w:tcPr>
          <w:p w14:paraId="26C48CF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D61DD0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E69B0A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F36B250" w14:textId="77777777" w:rsidTr="00AD7639">
        <w:trPr>
          <w:cantSplit/>
          <w:trHeight w:val="20"/>
        </w:trPr>
        <w:tc>
          <w:tcPr>
            <w:tcW w:w="4422" w:type="dxa"/>
          </w:tcPr>
          <w:p w14:paraId="2A3E264A" w14:textId="0E25DBD9" w:rsidR="00FA0EA7" w:rsidRPr="00AD7639" w:rsidRDefault="00FA0EA7" w:rsidP="00AD7639">
            <w:pPr>
              <w:pStyle w:val="TableText"/>
            </w:pPr>
            <w:r w:rsidRPr="00AD7639">
              <w:t>OST staff demonstrate knowledge, skills and attitudes appropriate to their role.</w:t>
            </w:r>
          </w:p>
        </w:tc>
        <w:tc>
          <w:tcPr>
            <w:tcW w:w="2268" w:type="dxa"/>
          </w:tcPr>
          <w:p w14:paraId="2D4FA33A"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p w14:paraId="6335A057" w14:textId="77777777" w:rsidR="00FA0EA7" w:rsidRPr="00221FC9" w:rsidRDefault="00FA0EA7" w:rsidP="009374B1">
            <w:pPr>
              <w:pStyle w:val="TableText"/>
              <w:keepNext/>
            </w:pPr>
          </w:p>
        </w:tc>
        <w:tc>
          <w:tcPr>
            <w:tcW w:w="1275" w:type="dxa"/>
          </w:tcPr>
          <w:p w14:paraId="1B55134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9D082C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D7639" w:rsidRPr="00221FC9" w14:paraId="2CE80A68" w14:textId="77777777" w:rsidTr="00AD7639">
        <w:trPr>
          <w:cantSplit/>
          <w:trHeight w:val="20"/>
        </w:trPr>
        <w:tc>
          <w:tcPr>
            <w:tcW w:w="4422" w:type="dxa"/>
          </w:tcPr>
          <w:p w14:paraId="3063779D" w14:textId="5CD012D3" w:rsidR="00AD7639" w:rsidRPr="00AD7639" w:rsidRDefault="00AD7639" w:rsidP="00AD7639">
            <w:pPr>
              <w:pStyle w:val="TableText"/>
            </w:pPr>
            <w:r w:rsidRPr="00AD7639">
              <w:t xml:space="preserve">Lead clinicians and addiction, mana-enhancing care, and recovery-focused and </w:t>
            </w:r>
            <w:r w:rsidRPr="00AD7639">
              <w:rPr>
                <w:rFonts w:eastAsia="Arial"/>
              </w:rPr>
              <w:t xml:space="preserve">whānau </w:t>
            </w:r>
            <w:r w:rsidRPr="00AD7639">
              <w:t>inclusive treatment</w:t>
            </w:r>
            <w:r w:rsidR="00594DEB">
              <w:t>.</w:t>
            </w:r>
          </w:p>
        </w:tc>
        <w:tc>
          <w:tcPr>
            <w:tcW w:w="2268" w:type="dxa"/>
          </w:tcPr>
          <w:p w14:paraId="72F07FA0" w14:textId="39DDD44A" w:rsidR="00AD7639" w:rsidRPr="00221FC9" w:rsidRDefault="00AD7639" w:rsidP="00AD7639">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F5D02CE" w14:textId="2027AA5B"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E415F0A" w14:textId="2CBF16E3"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D7639" w:rsidRPr="00221FC9" w14:paraId="6880732F" w14:textId="77777777" w:rsidTr="00AD7639">
        <w:trPr>
          <w:cantSplit/>
          <w:trHeight w:val="20"/>
        </w:trPr>
        <w:tc>
          <w:tcPr>
            <w:tcW w:w="4422" w:type="dxa"/>
          </w:tcPr>
          <w:p w14:paraId="5CE3F05A" w14:textId="77777777" w:rsidR="00AD7639" w:rsidRPr="00221FC9" w:rsidRDefault="00AD7639" w:rsidP="00AD7639">
            <w:pPr>
              <w:pStyle w:val="TableBullet"/>
              <w:numPr>
                <w:ilvl w:val="0"/>
                <w:numId w:val="0"/>
              </w:numPr>
              <w:rPr>
                <w:b/>
                <w:bCs/>
              </w:rPr>
            </w:pPr>
            <w:r w:rsidRPr="00221FC9">
              <w:rPr>
                <w:b/>
                <w:bCs/>
                <w:color w:val="000000"/>
              </w:rPr>
              <w:t>10.1.7</w:t>
            </w:r>
            <w:r w:rsidRPr="00221FC9">
              <w:rPr>
                <w:b/>
                <w:bCs/>
              </w:rPr>
              <w:t xml:space="preserve"> The consumer, peer support, and lived experience workforce</w:t>
            </w:r>
          </w:p>
          <w:p w14:paraId="2F888BDB" w14:textId="77777777" w:rsidR="00AD7639" w:rsidRPr="00221FC9" w:rsidRDefault="00AD7639" w:rsidP="00AD7639">
            <w:pPr>
              <w:pStyle w:val="TableBullet"/>
              <w:numPr>
                <w:ilvl w:val="0"/>
                <w:numId w:val="0"/>
              </w:numPr>
            </w:pPr>
            <w:r w:rsidRPr="00221FC9">
              <w:t>The service staff have their own experience and are open about their own recovery</w:t>
            </w:r>
          </w:p>
          <w:p w14:paraId="246A1E43" w14:textId="77777777" w:rsidR="00AD7639" w:rsidRPr="00221FC9" w:rsidRDefault="00AD7639" w:rsidP="00AD7639">
            <w:pPr>
              <w:pStyle w:val="TableText"/>
            </w:pPr>
            <w:r w:rsidRPr="00221FC9">
              <w:t>The service employs peer-support workers and consumer advisors where possible</w:t>
            </w:r>
          </w:p>
          <w:p w14:paraId="1617B1AE" w14:textId="77777777" w:rsidR="00AD7639" w:rsidRPr="00221FC9" w:rsidRDefault="00AD7639" w:rsidP="00AD7639">
            <w:pPr>
              <w:pStyle w:val="TableText"/>
              <w:rPr>
                <w:rFonts w:eastAsia="Arial"/>
              </w:rPr>
            </w:pPr>
            <w:r w:rsidRPr="00221FC9">
              <w:rPr>
                <w:rFonts w:eastAsia="Arial"/>
              </w:rPr>
              <w:t>Services that employ lived experience workers should ensure supportive workplace environments and infrastructure to promote their growth and development</w:t>
            </w:r>
          </w:p>
          <w:p w14:paraId="260822AD" w14:textId="77777777" w:rsidR="00AD7639" w:rsidRPr="00221FC9" w:rsidRDefault="00AD7639" w:rsidP="00AD7639">
            <w:pPr>
              <w:pStyle w:val="TableText"/>
              <w:rPr>
                <w:color w:val="000000"/>
              </w:rPr>
            </w:pPr>
            <w:r w:rsidRPr="00221FC9">
              <w:rPr>
                <w:rFonts w:eastAsia="Arial"/>
              </w:rPr>
              <w:t>Whānau have access to whānau support</w:t>
            </w:r>
          </w:p>
        </w:tc>
        <w:tc>
          <w:tcPr>
            <w:tcW w:w="2268" w:type="dxa"/>
          </w:tcPr>
          <w:p w14:paraId="2126FEBF" w14:textId="77777777" w:rsidR="00AD7639" w:rsidRPr="00221FC9" w:rsidRDefault="00AD7639" w:rsidP="00AD7639">
            <w:pPr>
              <w:pStyle w:val="TableText"/>
              <w:keepNext/>
            </w:pPr>
            <w:r w:rsidRPr="00221FC9">
              <w:rPr>
                <w:sz w:val="16"/>
                <w:szCs w:val="16"/>
              </w:rPr>
              <w:t>Count as 1 indicator and provide comment and average for one attainment</w:t>
            </w:r>
          </w:p>
        </w:tc>
        <w:tc>
          <w:tcPr>
            <w:tcW w:w="1275" w:type="dxa"/>
          </w:tcPr>
          <w:p w14:paraId="7007AC31" w14:textId="164C806B"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165C697" w14:textId="0FE7396E"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2A90810" w14:textId="77777777" w:rsidTr="00AD7639">
        <w:trPr>
          <w:cantSplit/>
          <w:trHeight w:val="20"/>
        </w:trPr>
        <w:tc>
          <w:tcPr>
            <w:tcW w:w="4422" w:type="dxa"/>
            <w:shd w:val="clear" w:color="auto" w:fill="F3F3F3"/>
          </w:tcPr>
          <w:p w14:paraId="22CFB44F" w14:textId="77777777" w:rsidR="00FA0EA7" w:rsidRPr="00221FC9" w:rsidRDefault="00FA0EA7" w:rsidP="009374B1">
            <w:pPr>
              <w:pStyle w:val="TableText"/>
              <w:ind w:left="567" w:hanging="567"/>
              <w:rPr>
                <w:b/>
                <w:szCs w:val="22"/>
              </w:rPr>
            </w:pPr>
            <w:r w:rsidRPr="00221FC9">
              <w:rPr>
                <w:b/>
                <w:szCs w:val="22"/>
              </w:rPr>
              <w:t>10.2</w:t>
            </w:r>
            <w:r w:rsidRPr="00221FC9">
              <w:rPr>
                <w:b/>
                <w:szCs w:val="22"/>
              </w:rPr>
              <w:tab/>
              <w:t>Workforce training and professional development</w:t>
            </w:r>
          </w:p>
        </w:tc>
        <w:tc>
          <w:tcPr>
            <w:tcW w:w="2268" w:type="dxa"/>
            <w:shd w:val="clear" w:color="auto" w:fill="F3F3F3"/>
          </w:tcPr>
          <w:p w14:paraId="1544F333" w14:textId="77777777" w:rsidR="00FA0EA7" w:rsidRPr="00221FC9" w:rsidRDefault="00FA0EA7" w:rsidP="009374B1">
            <w:pPr>
              <w:pStyle w:val="TableText"/>
              <w:rPr>
                <w:szCs w:val="22"/>
              </w:rPr>
            </w:pPr>
          </w:p>
        </w:tc>
        <w:tc>
          <w:tcPr>
            <w:tcW w:w="1275" w:type="dxa"/>
            <w:shd w:val="clear" w:color="auto" w:fill="F3F3F3"/>
          </w:tcPr>
          <w:p w14:paraId="11329D5C" w14:textId="77777777" w:rsidR="00FA0EA7" w:rsidRPr="00221FC9" w:rsidRDefault="00FA0EA7" w:rsidP="009374B1">
            <w:pPr>
              <w:pStyle w:val="TableText"/>
              <w:jc w:val="center"/>
              <w:rPr>
                <w:szCs w:val="22"/>
              </w:rPr>
            </w:pPr>
          </w:p>
        </w:tc>
        <w:tc>
          <w:tcPr>
            <w:tcW w:w="851" w:type="dxa"/>
            <w:shd w:val="clear" w:color="auto" w:fill="F3F3F3"/>
          </w:tcPr>
          <w:p w14:paraId="5DCB7DE1" w14:textId="77777777" w:rsidR="00FA0EA7" w:rsidRPr="00221FC9" w:rsidRDefault="00FA0EA7" w:rsidP="009374B1">
            <w:pPr>
              <w:pStyle w:val="TableText"/>
              <w:jc w:val="center"/>
              <w:rPr>
                <w:szCs w:val="22"/>
              </w:rPr>
            </w:pPr>
          </w:p>
        </w:tc>
      </w:tr>
      <w:tr w:rsidR="00FA0EA7" w:rsidRPr="00221FC9" w14:paraId="5C25FDB4" w14:textId="77777777" w:rsidTr="00AD7639">
        <w:trPr>
          <w:cantSplit/>
          <w:trHeight w:val="20"/>
        </w:trPr>
        <w:tc>
          <w:tcPr>
            <w:tcW w:w="4422" w:type="dxa"/>
          </w:tcPr>
          <w:p w14:paraId="6F6F0365" w14:textId="76BAA3DF" w:rsidR="00FA0EA7" w:rsidRPr="00221FC9" w:rsidRDefault="00FA0EA7" w:rsidP="009374B1">
            <w:pPr>
              <w:pStyle w:val="TableText"/>
            </w:pPr>
            <w:r w:rsidRPr="00221FC9">
              <w:t>Clinical staff members receive appropriate orientation, mentoring and supervision and ongoing in-service education.</w:t>
            </w:r>
          </w:p>
        </w:tc>
        <w:tc>
          <w:tcPr>
            <w:tcW w:w="2268" w:type="dxa"/>
          </w:tcPr>
          <w:p w14:paraId="10E224F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p w14:paraId="4EB1DBF2" w14:textId="77777777" w:rsidR="00FA0EA7" w:rsidRPr="00221FC9" w:rsidRDefault="00FA0EA7" w:rsidP="009374B1">
            <w:pPr>
              <w:pStyle w:val="TableText"/>
              <w:keepNext/>
            </w:pPr>
          </w:p>
        </w:tc>
        <w:tc>
          <w:tcPr>
            <w:tcW w:w="1275" w:type="dxa"/>
          </w:tcPr>
          <w:p w14:paraId="184FAB2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366DC8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D7639" w:rsidRPr="00221FC9" w14:paraId="6063680C" w14:textId="77777777" w:rsidTr="00AD7639">
        <w:trPr>
          <w:cantSplit/>
          <w:trHeight w:val="20"/>
        </w:trPr>
        <w:tc>
          <w:tcPr>
            <w:tcW w:w="4422" w:type="dxa"/>
          </w:tcPr>
          <w:p w14:paraId="0D505485" w14:textId="3F007159" w:rsidR="00AD7639" w:rsidRPr="00221FC9" w:rsidRDefault="00AD7639" w:rsidP="00AD7639">
            <w:pPr>
              <w:pStyle w:val="TableText"/>
            </w:pPr>
            <w:r w:rsidRPr="00221FC9">
              <w:t xml:space="preserve">Clinical staff have knowledge of the principles of </w:t>
            </w:r>
            <w:proofErr w:type="spellStart"/>
            <w:r w:rsidRPr="00221FC9">
              <w:t>Te</w:t>
            </w:r>
            <w:proofErr w:type="spellEnd"/>
            <w:r w:rsidRPr="00221FC9">
              <w:t xml:space="preserve"> </w:t>
            </w:r>
            <w:proofErr w:type="spellStart"/>
            <w:r w:rsidRPr="00221FC9">
              <w:t>Tiriti</w:t>
            </w:r>
            <w:proofErr w:type="spellEnd"/>
            <w:r w:rsidRPr="00221FC9">
              <w:t xml:space="preserve"> o Waitangi and its implications for tāngata </w:t>
            </w:r>
            <w:proofErr w:type="spellStart"/>
            <w:r w:rsidRPr="00221FC9">
              <w:t>whai</w:t>
            </w:r>
            <w:proofErr w:type="spellEnd"/>
            <w:r w:rsidRPr="00221FC9">
              <w:t xml:space="preserve"> ora and the provision of equitable OST services</w:t>
            </w:r>
            <w:r w:rsidR="00594DEB">
              <w:t>.</w:t>
            </w:r>
          </w:p>
        </w:tc>
        <w:tc>
          <w:tcPr>
            <w:tcW w:w="2268" w:type="dxa"/>
          </w:tcPr>
          <w:p w14:paraId="5DC722A5" w14:textId="50599740" w:rsidR="00AD7639" w:rsidRPr="00221FC9" w:rsidRDefault="00AD7639" w:rsidP="00AD7639">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B88F3DA" w14:textId="180C414D"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FFFB8DB" w14:textId="2931F2A7"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D7639" w:rsidRPr="00221FC9" w14:paraId="7FB5C4D3" w14:textId="77777777" w:rsidTr="00AD7639">
        <w:trPr>
          <w:cantSplit/>
          <w:trHeight w:val="20"/>
        </w:trPr>
        <w:tc>
          <w:tcPr>
            <w:tcW w:w="4422" w:type="dxa"/>
          </w:tcPr>
          <w:p w14:paraId="48AE0BDE" w14:textId="4A72932D" w:rsidR="00AD7639" w:rsidRPr="00221FC9" w:rsidRDefault="00AD7639" w:rsidP="00AD7639">
            <w:pPr>
              <w:pStyle w:val="TableText"/>
            </w:pPr>
            <w:r w:rsidRPr="00221FC9">
              <w:t xml:space="preserve">Staff receive relevant training in cultural competency and cultural safety Refer </w:t>
            </w:r>
            <w:r w:rsidRPr="00221FC9">
              <w:rPr>
                <w:i/>
                <w:iCs/>
              </w:rPr>
              <w:t>OST Guidelines</w:t>
            </w:r>
            <w:r w:rsidRPr="00221FC9">
              <w:t xml:space="preserve"> section 10.3</w:t>
            </w:r>
          </w:p>
        </w:tc>
        <w:tc>
          <w:tcPr>
            <w:tcW w:w="2268" w:type="dxa"/>
          </w:tcPr>
          <w:p w14:paraId="580A2295" w14:textId="7C36B5AC" w:rsidR="00AD7639" w:rsidRPr="00221FC9" w:rsidRDefault="00AD7639" w:rsidP="00AD7639">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7DD8D4A" w14:textId="59E492DA"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9821D96" w14:textId="30E28957"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AD7639" w:rsidRPr="00221FC9" w14:paraId="73FF6A9C" w14:textId="77777777" w:rsidTr="00AD7639">
        <w:trPr>
          <w:cantSplit/>
          <w:trHeight w:val="20"/>
        </w:trPr>
        <w:tc>
          <w:tcPr>
            <w:tcW w:w="4422" w:type="dxa"/>
          </w:tcPr>
          <w:p w14:paraId="4F80D371" w14:textId="75E371ED" w:rsidR="00AD7639" w:rsidRPr="00AD7639" w:rsidRDefault="00AD7639" w:rsidP="00AD7639">
            <w:pPr>
              <w:pStyle w:val="TableText"/>
            </w:pPr>
            <w:r w:rsidRPr="00221FC9">
              <w:t xml:space="preserve">All clinical and medical staff working with tāngata </w:t>
            </w:r>
            <w:proofErr w:type="spellStart"/>
            <w:r w:rsidRPr="00221FC9">
              <w:t>whai</w:t>
            </w:r>
            <w:proofErr w:type="spellEnd"/>
            <w:r w:rsidRPr="00221FC9">
              <w:t xml:space="preserve"> ora on OST are expected to have completed training for OST providers endorsed </w:t>
            </w:r>
            <w:bookmarkStart w:id="73" w:name="_Hlk149743692"/>
            <w:r w:rsidRPr="00221FC9">
              <w:t xml:space="preserve">by </w:t>
            </w:r>
            <w:r w:rsidRPr="00221FC9">
              <w:rPr>
                <w:rFonts w:eastAsia="Arial"/>
              </w:rPr>
              <w:t>Ministry of Health</w:t>
            </w:r>
            <w:r w:rsidRPr="00221FC9">
              <w:t xml:space="preserve"> or </w:t>
            </w:r>
            <w:bookmarkEnd w:id="73"/>
            <w:r w:rsidRPr="00221FC9">
              <w:t>Health NZ</w:t>
            </w:r>
            <w:r w:rsidR="00594DEB">
              <w:t>.</w:t>
            </w:r>
          </w:p>
        </w:tc>
        <w:tc>
          <w:tcPr>
            <w:tcW w:w="2268" w:type="dxa"/>
          </w:tcPr>
          <w:p w14:paraId="1C3C63E7" w14:textId="7DBBA7C4" w:rsidR="00AD7639" w:rsidRPr="00221FC9" w:rsidRDefault="00AD7639" w:rsidP="00AD7639">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3D16431" w14:textId="23201040"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2FD8C63" w14:textId="201C3F71" w:rsidR="00AD7639" w:rsidRPr="00221FC9" w:rsidRDefault="00AD7639" w:rsidP="00AD7639">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9F63370" w14:textId="77777777" w:rsidTr="00AD7639">
        <w:trPr>
          <w:cantSplit/>
          <w:trHeight w:val="20"/>
        </w:trPr>
        <w:tc>
          <w:tcPr>
            <w:tcW w:w="4422" w:type="dxa"/>
          </w:tcPr>
          <w:p w14:paraId="28A9C8CD" w14:textId="77777777" w:rsidR="00FA0EA7" w:rsidRPr="00221FC9" w:rsidRDefault="00FA0EA7" w:rsidP="009374B1">
            <w:pPr>
              <w:pStyle w:val="TableText"/>
            </w:pPr>
            <w:r w:rsidRPr="00221FC9">
              <w:t>Clinical staff have completed or are enrolled in relevant tertiary addiction education.</w:t>
            </w:r>
          </w:p>
        </w:tc>
        <w:tc>
          <w:tcPr>
            <w:tcW w:w="2268" w:type="dxa"/>
          </w:tcPr>
          <w:p w14:paraId="14892A21"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D21FCA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BE70D4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FA99913" w14:textId="77777777" w:rsidTr="00AD7639">
        <w:trPr>
          <w:cantSplit/>
          <w:trHeight w:val="20"/>
        </w:trPr>
        <w:tc>
          <w:tcPr>
            <w:tcW w:w="4422" w:type="dxa"/>
          </w:tcPr>
          <w:p w14:paraId="7520422D" w14:textId="77777777" w:rsidR="00FA0EA7" w:rsidRPr="00221FC9" w:rsidRDefault="00FA0EA7" w:rsidP="009374B1">
            <w:pPr>
              <w:pStyle w:val="TableText"/>
              <w:rPr>
                <w:color w:val="000000"/>
              </w:rPr>
            </w:pPr>
            <w:r w:rsidRPr="00221FC9">
              <w:t>Clinical staff are members of a relevant professional body.</w:t>
            </w:r>
          </w:p>
        </w:tc>
        <w:tc>
          <w:tcPr>
            <w:tcW w:w="2268" w:type="dxa"/>
          </w:tcPr>
          <w:p w14:paraId="7197A72A"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1F4E8F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B9A75E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025F915" w14:textId="77777777" w:rsidTr="00AD7639">
        <w:trPr>
          <w:cantSplit/>
          <w:trHeight w:val="20"/>
        </w:trPr>
        <w:tc>
          <w:tcPr>
            <w:tcW w:w="4422" w:type="dxa"/>
          </w:tcPr>
          <w:p w14:paraId="6862414C" w14:textId="77777777" w:rsidR="00FA0EA7" w:rsidRPr="00221FC9" w:rsidRDefault="00FA0EA7" w:rsidP="009374B1">
            <w:pPr>
              <w:pStyle w:val="TableText"/>
              <w:rPr>
                <w:color w:val="000000"/>
              </w:rPr>
            </w:pPr>
            <w:r w:rsidRPr="00221FC9">
              <w:rPr>
                <w:color w:val="000000"/>
              </w:rPr>
              <w:t>Lead clinicians and senior staff members are supported to attend specialist sector meetings and networking opportunities with OST providers.</w:t>
            </w:r>
          </w:p>
        </w:tc>
        <w:tc>
          <w:tcPr>
            <w:tcW w:w="2268" w:type="dxa"/>
          </w:tcPr>
          <w:p w14:paraId="1C6FE0D2"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B10947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61C20E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6877B91" w14:textId="77777777" w:rsidTr="00AD7639">
        <w:trPr>
          <w:cantSplit/>
          <w:trHeight w:val="20"/>
        </w:trPr>
        <w:tc>
          <w:tcPr>
            <w:tcW w:w="4422" w:type="dxa"/>
          </w:tcPr>
          <w:p w14:paraId="5BD16DF3" w14:textId="77777777" w:rsidR="00FA0EA7" w:rsidRPr="00221FC9" w:rsidRDefault="00FA0EA7" w:rsidP="009374B1">
            <w:pPr>
              <w:pStyle w:val="TableText"/>
            </w:pPr>
            <w:r w:rsidRPr="00221FC9">
              <w:lastRenderedPageBreak/>
              <w:t>Staff in leadership/management positions and medical officers are supported to attend at least one NAOTP meeting per year.</w:t>
            </w:r>
          </w:p>
        </w:tc>
        <w:tc>
          <w:tcPr>
            <w:tcW w:w="2268" w:type="dxa"/>
          </w:tcPr>
          <w:p w14:paraId="0C73DC85"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3DF9A9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43B004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73E6B885" w14:textId="77777777" w:rsidTr="00AD7639">
        <w:trPr>
          <w:cantSplit/>
          <w:trHeight w:val="20"/>
        </w:trPr>
        <w:tc>
          <w:tcPr>
            <w:tcW w:w="4422" w:type="dxa"/>
          </w:tcPr>
          <w:p w14:paraId="20339A87" w14:textId="79F3E881" w:rsidR="00FA0EA7" w:rsidRPr="00221FC9" w:rsidRDefault="00FA0EA7" w:rsidP="009374B1">
            <w:pPr>
              <w:pStyle w:val="TableText"/>
            </w:pPr>
            <w:r w:rsidRPr="00221FC9">
              <w:t>Senior medical staff are supported to attend the majority of NAOTP meetings.</w:t>
            </w:r>
          </w:p>
        </w:tc>
        <w:tc>
          <w:tcPr>
            <w:tcW w:w="2268" w:type="dxa"/>
          </w:tcPr>
          <w:p w14:paraId="76BBFEF0"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5302B7C"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400F5E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DCA3BF3" w14:textId="77777777" w:rsidTr="00AD7639">
        <w:trPr>
          <w:cantSplit/>
          <w:trHeight w:val="20"/>
        </w:trPr>
        <w:tc>
          <w:tcPr>
            <w:tcW w:w="4422" w:type="dxa"/>
            <w:shd w:val="clear" w:color="auto" w:fill="F2F2F2" w:themeFill="background1" w:themeFillShade="F2"/>
          </w:tcPr>
          <w:p w14:paraId="7541AE17" w14:textId="77777777" w:rsidR="00FA0EA7" w:rsidRPr="00426818" w:rsidRDefault="00FA0EA7" w:rsidP="005A0DD0">
            <w:pPr>
              <w:pStyle w:val="TableText"/>
              <w:rPr>
                <w:rFonts w:cs="Arial"/>
                <w:b/>
                <w:bCs/>
                <w:color w:val="365F91" w:themeColor="accent1" w:themeShade="BF"/>
                <w:szCs w:val="18"/>
              </w:rPr>
            </w:pPr>
            <w:bookmarkStart w:id="74" w:name="_Toc142591425"/>
            <w:bookmarkStart w:id="75" w:name="_Toc142592080"/>
            <w:bookmarkStart w:id="76" w:name="_Toc207010772"/>
            <w:r w:rsidRPr="005A0DD0">
              <w:rPr>
                <w:b/>
                <w:szCs w:val="22"/>
              </w:rPr>
              <w:t xml:space="preserve">10.3 Cultural support workforce – for tāngata </w:t>
            </w:r>
            <w:proofErr w:type="spellStart"/>
            <w:r w:rsidRPr="005A0DD0">
              <w:rPr>
                <w:b/>
                <w:szCs w:val="22"/>
              </w:rPr>
              <w:t>whai</w:t>
            </w:r>
            <w:proofErr w:type="spellEnd"/>
            <w:r w:rsidRPr="005A0DD0">
              <w:rPr>
                <w:b/>
                <w:szCs w:val="22"/>
              </w:rPr>
              <w:t xml:space="preserve"> ora and the OST service</w:t>
            </w:r>
            <w:bookmarkEnd w:id="74"/>
            <w:bookmarkEnd w:id="75"/>
            <w:bookmarkEnd w:id="76"/>
          </w:p>
        </w:tc>
        <w:tc>
          <w:tcPr>
            <w:tcW w:w="2268" w:type="dxa"/>
            <w:shd w:val="clear" w:color="auto" w:fill="F2F2F2" w:themeFill="background1" w:themeFillShade="F2"/>
          </w:tcPr>
          <w:p w14:paraId="73C09838" w14:textId="77777777" w:rsidR="00FA0EA7" w:rsidRPr="00221FC9" w:rsidRDefault="00FA0EA7" w:rsidP="009374B1">
            <w:pPr>
              <w:pStyle w:val="TableText"/>
              <w:keepNext/>
            </w:pPr>
          </w:p>
        </w:tc>
        <w:tc>
          <w:tcPr>
            <w:tcW w:w="1275" w:type="dxa"/>
            <w:shd w:val="clear" w:color="auto" w:fill="F2F2F2" w:themeFill="background1" w:themeFillShade="F2"/>
          </w:tcPr>
          <w:p w14:paraId="3E9CA3E4" w14:textId="77777777" w:rsidR="00FA0EA7" w:rsidRPr="00221FC9" w:rsidRDefault="00FA0EA7" w:rsidP="009374B1">
            <w:pPr>
              <w:pStyle w:val="TableText"/>
              <w:keepNext/>
            </w:pPr>
          </w:p>
        </w:tc>
        <w:tc>
          <w:tcPr>
            <w:tcW w:w="851" w:type="dxa"/>
            <w:shd w:val="clear" w:color="auto" w:fill="F2F2F2" w:themeFill="background1" w:themeFillShade="F2"/>
          </w:tcPr>
          <w:p w14:paraId="1A482BEF" w14:textId="77777777" w:rsidR="00FA0EA7" w:rsidRPr="00221FC9" w:rsidRDefault="00FA0EA7" w:rsidP="009374B1">
            <w:pPr>
              <w:pStyle w:val="TableText"/>
              <w:keepNext/>
            </w:pPr>
          </w:p>
        </w:tc>
      </w:tr>
      <w:tr w:rsidR="00FA0EA7" w:rsidRPr="00221FC9" w14:paraId="71EAFD94" w14:textId="77777777" w:rsidTr="00AD7639">
        <w:trPr>
          <w:cantSplit/>
          <w:trHeight w:val="20"/>
        </w:trPr>
        <w:tc>
          <w:tcPr>
            <w:tcW w:w="4422" w:type="dxa"/>
          </w:tcPr>
          <w:p w14:paraId="458B335C" w14:textId="1FA6E038" w:rsidR="00FA0EA7" w:rsidRPr="00221FC9" w:rsidRDefault="00FA0EA7" w:rsidP="009374B1">
            <w:pPr>
              <w:pStyle w:val="TableText"/>
            </w:pPr>
            <w:r w:rsidRPr="00221FC9">
              <w:t xml:space="preserve">Cultural support is available for tāngata </w:t>
            </w:r>
            <w:proofErr w:type="spellStart"/>
            <w:r w:rsidRPr="00221FC9">
              <w:t>whai</w:t>
            </w:r>
            <w:proofErr w:type="spellEnd"/>
            <w:r w:rsidRPr="00221FC9">
              <w:t xml:space="preserve"> ora and cultural support and advice is available for staff</w:t>
            </w:r>
            <w:r w:rsidR="00594DEB">
              <w:t>.</w:t>
            </w:r>
          </w:p>
        </w:tc>
        <w:tc>
          <w:tcPr>
            <w:tcW w:w="2268" w:type="dxa"/>
          </w:tcPr>
          <w:p w14:paraId="083E26D1"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363E3F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A2D2B8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601C4369" w14:textId="77777777" w:rsidR="00FA0EA7" w:rsidRPr="00221FC9" w:rsidRDefault="00FA0EA7" w:rsidP="00FA0EA7">
      <w:pPr>
        <w:pStyle w:val="Heading4"/>
      </w:pPr>
      <w:bookmarkStart w:id="77" w:name="_Toc403048463"/>
      <w:bookmarkEnd w:id="70"/>
      <w:bookmarkEnd w:id="71"/>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368"/>
        <w:gridCol w:w="2055"/>
        <w:gridCol w:w="2056"/>
      </w:tblGrid>
      <w:tr w:rsidR="00FA0EA7" w:rsidRPr="00221FC9" w14:paraId="0409A955" w14:textId="77777777" w:rsidTr="005A0DD0">
        <w:trPr>
          <w:cantSplit/>
        </w:trPr>
        <w:tc>
          <w:tcPr>
            <w:tcW w:w="8818" w:type="dxa"/>
            <w:gridSpan w:val="4"/>
            <w:shd w:val="clear" w:color="auto" w:fill="FFFF99"/>
          </w:tcPr>
          <w:p w14:paraId="3752F18E" w14:textId="77777777" w:rsidR="00FA0EA7" w:rsidRPr="00221FC9" w:rsidRDefault="00FA0EA7" w:rsidP="009374B1">
            <w:pPr>
              <w:pStyle w:val="TableText"/>
              <w:spacing w:after="0"/>
              <w:rPr>
                <w:b/>
              </w:rPr>
            </w:pPr>
            <w:r w:rsidRPr="00221FC9">
              <w:rPr>
                <w:b/>
              </w:rPr>
              <w:t>Indicators (out of 15):</w:t>
            </w:r>
          </w:p>
        </w:tc>
      </w:tr>
      <w:tr w:rsidR="00FA0EA7" w:rsidRPr="00221FC9" w14:paraId="39C92EB9" w14:textId="77777777" w:rsidTr="005A0DD0">
        <w:trPr>
          <w:cantSplit/>
        </w:trPr>
        <w:tc>
          <w:tcPr>
            <w:tcW w:w="2339" w:type="dxa"/>
            <w:shd w:val="clear" w:color="auto" w:fill="FFFF99"/>
          </w:tcPr>
          <w:p w14:paraId="01B1E611"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368" w:type="dxa"/>
            <w:shd w:val="clear" w:color="auto" w:fill="FFFF99"/>
          </w:tcPr>
          <w:p w14:paraId="20D3D8E5"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shd w:val="clear" w:color="auto" w:fill="FFFF99"/>
          </w:tcPr>
          <w:p w14:paraId="7A347DF1"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6" w:type="dxa"/>
            <w:shd w:val="clear" w:color="auto" w:fill="FFFF99"/>
          </w:tcPr>
          <w:p w14:paraId="4AD07299"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37F6329C"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818"/>
      </w:tblGrid>
      <w:tr w:rsidR="00FA0EA7" w:rsidRPr="00221FC9" w14:paraId="555CB275" w14:textId="77777777" w:rsidTr="005A0DD0">
        <w:trPr>
          <w:cantSplit/>
          <w:trHeight w:val="1134"/>
        </w:trPr>
        <w:tc>
          <w:tcPr>
            <w:tcW w:w="8818" w:type="dxa"/>
            <w:shd w:val="clear" w:color="auto" w:fill="FFFF99"/>
          </w:tcPr>
          <w:p w14:paraId="7B004B7B"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6037073F" w14:textId="77777777" w:rsidR="00FA0EA7" w:rsidRPr="00221FC9" w:rsidRDefault="00FA0EA7" w:rsidP="00FA0EA7"/>
    <w:p w14:paraId="1D2B8817" w14:textId="77777777" w:rsidR="005A0DD0" w:rsidRDefault="005A0DD0" w:rsidP="00FA0EA7">
      <w:pPr>
        <w:pStyle w:val="Heading3"/>
        <w:ind w:left="567" w:hanging="567"/>
        <w:rPr>
          <w:rFonts w:eastAsia="PMingLiU"/>
        </w:rPr>
        <w:sectPr w:rsidR="005A0DD0" w:rsidSect="00150ECE">
          <w:pgSz w:w="11907" w:h="16834" w:code="9"/>
          <w:pgMar w:top="1418" w:right="1701" w:bottom="1134" w:left="1843" w:header="284" w:footer="425" w:gutter="284"/>
          <w:cols w:space="720"/>
        </w:sectPr>
      </w:pPr>
    </w:p>
    <w:p w14:paraId="3A1DE66F" w14:textId="77777777" w:rsidR="00FA0EA7" w:rsidRPr="00221FC9" w:rsidRDefault="00FA0EA7" w:rsidP="000D6740">
      <w:pPr>
        <w:pStyle w:val="Heading3"/>
        <w:spacing w:before="0"/>
        <w:ind w:left="567" w:hanging="567"/>
        <w:rPr>
          <w:rFonts w:eastAsia="PMingLiU"/>
        </w:rPr>
      </w:pPr>
      <w:r w:rsidRPr="00221FC9">
        <w:rPr>
          <w:rFonts w:eastAsia="PMingLiU"/>
        </w:rPr>
        <w:lastRenderedPageBreak/>
        <w:t>11</w:t>
      </w:r>
      <w:r w:rsidRPr="00221FC9">
        <w:rPr>
          <w:rFonts w:eastAsia="PMingLiU"/>
        </w:rPr>
        <w:tab/>
        <w:t>Quality systems and administrative expectations of specialist OST services</w:t>
      </w:r>
      <w:bookmarkEnd w:id="77"/>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236FB257" w14:textId="77777777" w:rsidTr="005A0DD0">
        <w:trPr>
          <w:cantSplit/>
          <w:trHeight w:val="20"/>
        </w:trPr>
        <w:tc>
          <w:tcPr>
            <w:tcW w:w="4422" w:type="dxa"/>
            <w:shd w:val="clear" w:color="auto" w:fill="D9D9D9" w:themeFill="background1" w:themeFillShade="D9"/>
          </w:tcPr>
          <w:p w14:paraId="281E1567" w14:textId="77777777" w:rsidR="00FA0EA7" w:rsidRPr="00221FC9" w:rsidRDefault="00FA0EA7" w:rsidP="009374B1">
            <w:pPr>
              <w:pStyle w:val="TableText"/>
              <w:keepNext/>
              <w:rPr>
                <w:rFonts w:eastAsia="PMingLiU"/>
                <w:b/>
              </w:rPr>
            </w:pPr>
            <w:r w:rsidRPr="00221FC9">
              <w:rPr>
                <w:rFonts w:eastAsia="PMingLiU"/>
                <w:b/>
              </w:rPr>
              <w:t>Indicators</w:t>
            </w:r>
          </w:p>
        </w:tc>
        <w:tc>
          <w:tcPr>
            <w:tcW w:w="2268" w:type="dxa"/>
            <w:shd w:val="clear" w:color="auto" w:fill="D9D9D9" w:themeFill="background1" w:themeFillShade="D9"/>
          </w:tcPr>
          <w:p w14:paraId="2527EB88" w14:textId="23C898DB" w:rsidR="00FA0EA7" w:rsidRPr="00221FC9" w:rsidRDefault="00C11D97" w:rsidP="009374B1">
            <w:pPr>
              <w:pStyle w:val="TableText"/>
              <w:keepN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07839574" w14:textId="77777777" w:rsidR="00FA0EA7" w:rsidRPr="00221FC9" w:rsidRDefault="00FA0EA7" w:rsidP="009374B1">
            <w:pPr>
              <w:pStyle w:val="TableText"/>
              <w:keepNext/>
              <w:jc w:val="center"/>
              <w:rPr>
                <w:rFonts w:eastAsia="PMingLiU"/>
                <w:b/>
              </w:rPr>
            </w:pPr>
            <w:r w:rsidRPr="00221FC9">
              <w:rPr>
                <w:rFonts w:eastAsia="PMingLiU"/>
                <w:b/>
              </w:rPr>
              <w:t>Attainment</w:t>
            </w:r>
          </w:p>
        </w:tc>
        <w:tc>
          <w:tcPr>
            <w:tcW w:w="851" w:type="dxa"/>
            <w:shd w:val="clear" w:color="auto" w:fill="D9D9D9" w:themeFill="background1" w:themeFillShade="D9"/>
          </w:tcPr>
          <w:p w14:paraId="5E093CD5" w14:textId="77777777" w:rsidR="00FA0EA7" w:rsidRPr="00221FC9" w:rsidRDefault="00FA0EA7" w:rsidP="009374B1">
            <w:pPr>
              <w:pStyle w:val="TableText"/>
              <w:keepNext/>
              <w:jc w:val="center"/>
              <w:rPr>
                <w:rFonts w:eastAsia="PMingLiU"/>
                <w:b/>
              </w:rPr>
            </w:pPr>
            <w:r w:rsidRPr="00221FC9">
              <w:rPr>
                <w:rFonts w:eastAsia="PMingLiU"/>
                <w:b/>
              </w:rPr>
              <w:t>Risk</w:t>
            </w:r>
          </w:p>
        </w:tc>
      </w:tr>
      <w:tr w:rsidR="00FA0EA7" w:rsidRPr="00221FC9" w14:paraId="5BA17AFC" w14:textId="77777777" w:rsidTr="005A0DD0">
        <w:trPr>
          <w:cantSplit/>
          <w:trHeight w:val="20"/>
        </w:trPr>
        <w:tc>
          <w:tcPr>
            <w:tcW w:w="4422" w:type="dxa"/>
            <w:shd w:val="clear" w:color="auto" w:fill="F2F2F2" w:themeFill="background1" w:themeFillShade="F2"/>
          </w:tcPr>
          <w:p w14:paraId="0F1969DB" w14:textId="77777777" w:rsidR="00FA0EA7" w:rsidRPr="00221FC9" w:rsidRDefault="00FA0EA7" w:rsidP="009374B1">
            <w:pPr>
              <w:pStyle w:val="TableText"/>
              <w:keepNext/>
              <w:rPr>
                <w:rFonts w:eastAsia="PMingLiU"/>
                <w:b/>
              </w:rPr>
            </w:pPr>
            <w:r w:rsidRPr="00221FC9">
              <w:rPr>
                <w:rFonts w:eastAsia="PMingLiU"/>
                <w:b/>
              </w:rPr>
              <w:t>11.1 Documentation</w:t>
            </w:r>
          </w:p>
          <w:p w14:paraId="5CFEBD84" w14:textId="77777777" w:rsidR="00FA0EA7" w:rsidRPr="005F0B09" w:rsidRDefault="00FA0EA7" w:rsidP="009374B1">
            <w:pPr>
              <w:pStyle w:val="TableText"/>
              <w:keepNext/>
            </w:pPr>
            <w:r w:rsidRPr="00221FC9">
              <w:t>Policy and procedure documents should be document controlled and dated and have a review date</w:t>
            </w:r>
          </w:p>
        </w:tc>
        <w:tc>
          <w:tcPr>
            <w:tcW w:w="2268" w:type="dxa"/>
            <w:shd w:val="clear" w:color="auto" w:fill="F2F2F2" w:themeFill="background1" w:themeFillShade="F2"/>
          </w:tcPr>
          <w:p w14:paraId="33B94B51" w14:textId="77777777" w:rsidR="00FA0EA7" w:rsidRPr="00221FC9" w:rsidRDefault="00FA0EA7" w:rsidP="009374B1">
            <w:pPr>
              <w:pStyle w:val="TableText"/>
              <w:keepNext/>
              <w:rPr>
                <w:rFonts w:cs="Helvetica"/>
                <w:color w:val="141413"/>
                <w:szCs w:val="22"/>
              </w:rPr>
            </w:pPr>
          </w:p>
        </w:tc>
        <w:tc>
          <w:tcPr>
            <w:tcW w:w="1275" w:type="dxa"/>
            <w:shd w:val="clear" w:color="auto" w:fill="F2F2F2" w:themeFill="background1" w:themeFillShade="F2"/>
          </w:tcPr>
          <w:p w14:paraId="668B3E83" w14:textId="77777777" w:rsidR="00FA0EA7" w:rsidRPr="00221FC9" w:rsidRDefault="00FA0EA7" w:rsidP="009374B1">
            <w:pPr>
              <w:pStyle w:val="TableText"/>
              <w:keepNext/>
              <w:jc w:val="center"/>
              <w:rPr>
                <w:rFonts w:cs="Helvetica"/>
                <w:color w:val="141413"/>
                <w:szCs w:val="22"/>
              </w:rPr>
            </w:pPr>
          </w:p>
        </w:tc>
        <w:tc>
          <w:tcPr>
            <w:tcW w:w="851" w:type="dxa"/>
            <w:shd w:val="clear" w:color="auto" w:fill="F2F2F2" w:themeFill="background1" w:themeFillShade="F2"/>
          </w:tcPr>
          <w:p w14:paraId="06EA0A80" w14:textId="77777777" w:rsidR="00FA0EA7" w:rsidRPr="00221FC9" w:rsidRDefault="00FA0EA7" w:rsidP="009374B1">
            <w:pPr>
              <w:pStyle w:val="TableText"/>
              <w:keepNext/>
              <w:jc w:val="center"/>
              <w:rPr>
                <w:rFonts w:cs="Helvetica"/>
                <w:color w:val="141413"/>
                <w:szCs w:val="22"/>
              </w:rPr>
            </w:pPr>
          </w:p>
        </w:tc>
      </w:tr>
      <w:tr w:rsidR="005A0DD0" w:rsidRPr="00221FC9" w14:paraId="70FBF91F" w14:textId="77777777" w:rsidTr="005A0DD0">
        <w:trPr>
          <w:cantSplit/>
          <w:trHeight w:val="20"/>
        </w:trPr>
        <w:tc>
          <w:tcPr>
            <w:tcW w:w="4422" w:type="dxa"/>
          </w:tcPr>
          <w:p w14:paraId="2E991B49" w14:textId="2AD07167" w:rsidR="005A0DD0" w:rsidRPr="005A0DD0" w:rsidRDefault="005A0DD0" w:rsidP="005A0DD0">
            <w:pPr>
              <w:pStyle w:val="TableText"/>
              <w:keepNext/>
            </w:pPr>
            <w:r w:rsidRPr="00221FC9">
              <w:t xml:space="preserve">Services include staff input for new policies and procedures or reviews. Tāngata </w:t>
            </w:r>
            <w:proofErr w:type="spellStart"/>
            <w:r w:rsidRPr="00221FC9">
              <w:t>whai</w:t>
            </w:r>
            <w:proofErr w:type="spellEnd"/>
            <w:r w:rsidRPr="00221FC9">
              <w:t xml:space="preserve"> ora and whānau are encouraged to provide input to new policies or reviews where </w:t>
            </w:r>
            <w:r w:rsidRPr="00221FC9" w:rsidDel="00550FEE">
              <w:t>relevant</w:t>
            </w:r>
            <w:r w:rsidRPr="00221FC9">
              <w:t xml:space="preserve"> and be reimbursed for their time.</w:t>
            </w:r>
          </w:p>
        </w:tc>
        <w:tc>
          <w:tcPr>
            <w:tcW w:w="2268" w:type="dxa"/>
          </w:tcPr>
          <w:p w14:paraId="42B88727" w14:textId="0479E0F1" w:rsidR="005A0DD0" w:rsidRPr="00221FC9" w:rsidRDefault="005A0DD0" w:rsidP="005A0DD0">
            <w:pPr>
              <w:pStyle w:val="TableText"/>
              <w:keepNext/>
              <w:rPr>
                <w:rFonts w:cs="Helvetica"/>
                <w:color w:val="141413"/>
                <w:szCs w:val="22"/>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C25AF85" w14:textId="52B7238A" w:rsidR="005A0DD0" w:rsidRPr="00221FC9" w:rsidRDefault="005A0DD0" w:rsidP="005A0DD0">
            <w:pPr>
              <w:pStyle w:val="TableText"/>
              <w:keepNext/>
              <w:jc w:val="center"/>
              <w:rPr>
                <w:rFonts w:cs="Helvetica"/>
                <w:color w:val="141413"/>
                <w:szCs w:val="22"/>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CCB5EAE" w14:textId="56DB427E" w:rsidR="005A0DD0" w:rsidRPr="00221FC9" w:rsidRDefault="005A0DD0" w:rsidP="005A0DD0">
            <w:pPr>
              <w:pStyle w:val="TableText"/>
              <w:keepNext/>
              <w:jc w:val="center"/>
              <w:rPr>
                <w:rFonts w:cs="Helvetica"/>
                <w:color w:val="141413"/>
                <w:szCs w:val="22"/>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5A0DD0" w:rsidRPr="00221FC9" w14:paraId="7A56B668" w14:textId="77777777" w:rsidTr="005A0DD0">
        <w:trPr>
          <w:cantSplit/>
          <w:trHeight w:val="20"/>
        </w:trPr>
        <w:tc>
          <w:tcPr>
            <w:tcW w:w="4422" w:type="dxa"/>
          </w:tcPr>
          <w:p w14:paraId="0D911825" w14:textId="365D405C" w:rsidR="005A0DD0" w:rsidRPr="00221FC9" w:rsidRDefault="005A0DD0" w:rsidP="005A0DD0">
            <w:pPr>
              <w:pStyle w:val="TableText"/>
              <w:keepNext/>
              <w:rPr>
                <w:rFonts w:cs="Helvetica"/>
                <w:b/>
                <w:color w:val="141413"/>
                <w:szCs w:val="22"/>
              </w:rPr>
            </w:pPr>
            <w:r w:rsidRPr="00221FC9">
              <w:t xml:space="preserve">Documents such as forms, templates, and tāngata </w:t>
            </w:r>
            <w:proofErr w:type="spellStart"/>
            <w:r w:rsidRPr="00221FC9">
              <w:t>whai</w:t>
            </w:r>
            <w:proofErr w:type="spellEnd"/>
            <w:r w:rsidRPr="00221FC9">
              <w:t xml:space="preserve"> ora information should be dated. Information for tāngata </w:t>
            </w:r>
            <w:proofErr w:type="spellStart"/>
            <w:r w:rsidRPr="00221FC9">
              <w:t>whai</w:t>
            </w:r>
            <w:proofErr w:type="spellEnd"/>
            <w:r w:rsidRPr="00221FC9">
              <w:t xml:space="preserve"> ora should be acronym and jargon-free, with medical terms explained, and information easy to understand</w:t>
            </w:r>
            <w:r w:rsidR="00594DEB">
              <w:t>.</w:t>
            </w:r>
          </w:p>
        </w:tc>
        <w:tc>
          <w:tcPr>
            <w:tcW w:w="2268" w:type="dxa"/>
          </w:tcPr>
          <w:p w14:paraId="1257FCEA" w14:textId="3492C20D" w:rsidR="005A0DD0" w:rsidRPr="00221FC9" w:rsidRDefault="005A0DD0" w:rsidP="005A0DD0">
            <w:pPr>
              <w:pStyle w:val="TableText"/>
              <w:keepNext/>
              <w:rPr>
                <w:rFonts w:cs="Helvetica"/>
                <w:color w:val="141413"/>
                <w:szCs w:val="22"/>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48E5CB2" w14:textId="7D2B443C" w:rsidR="005A0DD0" w:rsidRPr="00221FC9" w:rsidRDefault="005A0DD0" w:rsidP="005A0DD0">
            <w:pPr>
              <w:pStyle w:val="TableText"/>
              <w:keepNext/>
              <w:jc w:val="center"/>
              <w:rPr>
                <w:rFonts w:cs="Helvetica"/>
                <w:color w:val="141413"/>
                <w:szCs w:val="22"/>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48701A3" w14:textId="7FE5B7FD" w:rsidR="005A0DD0" w:rsidRPr="00221FC9" w:rsidRDefault="005A0DD0" w:rsidP="005A0DD0">
            <w:pPr>
              <w:pStyle w:val="TableText"/>
              <w:keepNext/>
              <w:jc w:val="center"/>
              <w:rPr>
                <w:rFonts w:cs="Helvetica"/>
                <w:color w:val="141413"/>
                <w:szCs w:val="22"/>
              </w:rP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B00E04A" w14:textId="77777777" w:rsidTr="005A0DD0">
        <w:trPr>
          <w:cantSplit/>
          <w:trHeight w:val="20"/>
        </w:trPr>
        <w:tc>
          <w:tcPr>
            <w:tcW w:w="4422" w:type="dxa"/>
            <w:shd w:val="clear" w:color="auto" w:fill="F2F2F2" w:themeFill="background1" w:themeFillShade="F2"/>
          </w:tcPr>
          <w:p w14:paraId="6BA0BF12" w14:textId="77777777" w:rsidR="00FA0EA7" w:rsidRPr="00221FC9" w:rsidRDefault="00FA0EA7" w:rsidP="009374B1">
            <w:pPr>
              <w:pStyle w:val="TableText"/>
              <w:keepNext/>
              <w:rPr>
                <w:rFonts w:cs="Helvetica"/>
                <w:b/>
                <w:color w:val="141413"/>
                <w:szCs w:val="22"/>
              </w:rPr>
            </w:pPr>
            <w:r w:rsidRPr="00221FC9">
              <w:rPr>
                <w:rFonts w:cs="Helvetica"/>
                <w:b/>
                <w:color w:val="141413"/>
                <w:szCs w:val="22"/>
              </w:rPr>
              <w:t>11.2</w:t>
            </w:r>
            <w:r w:rsidRPr="00221FC9">
              <w:rPr>
                <w:rFonts w:cs="Helvetica"/>
                <w:b/>
                <w:color w:val="141413"/>
                <w:szCs w:val="22"/>
              </w:rPr>
              <w:tab/>
              <w:t>Record keeping</w:t>
            </w:r>
          </w:p>
        </w:tc>
        <w:tc>
          <w:tcPr>
            <w:tcW w:w="2268" w:type="dxa"/>
            <w:shd w:val="clear" w:color="auto" w:fill="F2F2F2" w:themeFill="background1" w:themeFillShade="F2"/>
          </w:tcPr>
          <w:p w14:paraId="10CF0928" w14:textId="77777777" w:rsidR="00FA0EA7" w:rsidRPr="00221FC9" w:rsidRDefault="00FA0EA7" w:rsidP="009374B1">
            <w:pPr>
              <w:pStyle w:val="TableText"/>
              <w:keepNext/>
              <w:rPr>
                <w:rFonts w:cs="Helvetica"/>
                <w:color w:val="141413"/>
                <w:szCs w:val="22"/>
              </w:rPr>
            </w:pPr>
          </w:p>
        </w:tc>
        <w:tc>
          <w:tcPr>
            <w:tcW w:w="1275" w:type="dxa"/>
            <w:shd w:val="clear" w:color="auto" w:fill="F2F2F2" w:themeFill="background1" w:themeFillShade="F2"/>
          </w:tcPr>
          <w:p w14:paraId="719F017F" w14:textId="77777777" w:rsidR="00FA0EA7" w:rsidRPr="00221FC9" w:rsidRDefault="00FA0EA7" w:rsidP="009374B1">
            <w:pPr>
              <w:pStyle w:val="TableText"/>
              <w:keepNext/>
              <w:jc w:val="center"/>
              <w:rPr>
                <w:rFonts w:cs="Helvetica"/>
                <w:color w:val="141413"/>
                <w:szCs w:val="22"/>
              </w:rPr>
            </w:pPr>
          </w:p>
        </w:tc>
        <w:tc>
          <w:tcPr>
            <w:tcW w:w="851" w:type="dxa"/>
            <w:shd w:val="clear" w:color="auto" w:fill="F2F2F2" w:themeFill="background1" w:themeFillShade="F2"/>
          </w:tcPr>
          <w:p w14:paraId="7C09474A" w14:textId="77777777" w:rsidR="00FA0EA7" w:rsidRPr="00221FC9" w:rsidRDefault="00FA0EA7" w:rsidP="009374B1">
            <w:pPr>
              <w:pStyle w:val="TableText"/>
              <w:keepNext/>
              <w:jc w:val="center"/>
              <w:rPr>
                <w:rFonts w:cs="Helvetica"/>
                <w:color w:val="141413"/>
                <w:szCs w:val="22"/>
              </w:rPr>
            </w:pPr>
          </w:p>
        </w:tc>
      </w:tr>
      <w:tr w:rsidR="00FA0EA7" w:rsidRPr="00221FC9" w14:paraId="3133FCFD" w14:textId="77777777" w:rsidTr="005A0DD0">
        <w:trPr>
          <w:cantSplit/>
          <w:trHeight w:val="20"/>
        </w:trPr>
        <w:tc>
          <w:tcPr>
            <w:tcW w:w="4422" w:type="dxa"/>
          </w:tcPr>
          <w:p w14:paraId="3BA93AD8" w14:textId="77777777" w:rsidR="00FA0EA7" w:rsidRPr="00221FC9" w:rsidRDefault="00FA0EA7" w:rsidP="009374B1">
            <w:pPr>
              <w:pStyle w:val="TableText"/>
              <w:keepNext/>
            </w:pPr>
            <w:r w:rsidRPr="00221FC9">
              <w:t xml:space="preserve">Comprehensive records are held for all tāngata </w:t>
            </w:r>
            <w:proofErr w:type="spellStart"/>
            <w:r w:rsidRPr="00221FC9">
              <w:t>whai</w:t>
            </w:r>
            <w:proofErr w:type="spellEnd"/>
            <w:r w:rsidRPr="00221FC9">
              <w:t xml:space="preserve"> ora.</w:t>
            </w:r>
          </w:p>
        </w:tc>
        <w:tc>
          <w:tcPr>
            <w:tcW w:w="2268" w:type="dxa"/>
          </w:tcPr>
          <w:p w14:paraId="664340A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D13BB0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8FBDC0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4B65C31" w14:textId="77777777" w:rsidTr="005A0DD0">
        <w:trPr>
          <w:cantSplit/>
          <w:trHeight w:val="20"/>
        </w:trPr>
        <w:tc>
          <w:tcPr>
            <w:tcW w:w="4422" w:type="dxa"/>
            <w:shd w:val="clear" w:color="auto" w:fill="F3F3F3"/>
          </w:tcPr>
          <w:p w14:paraId="327D3B98" w14:textId="77777777" w:rsidR="00FA0EA7" w:rsidRPr="00221FC9" w:rsidRDefault="00FA0EA7" w:rsidP="009374B1">
            <w:pPr>
              <w:pStyle w:val="TableText"/>
              <w:rPr>
                <w:b/>
                <w:szCs w:val="22"/>
              </w:rPr>
            </w:pPr>
            <w:r w:rsidRPr="00221FC9">
              <w:rPr>
                <w:b/>
                <w:szCs w:val="22"/>
              </w:rPr>
              <w:t>11.4</w:t>
            </w:r>
            <w:r w:rsidRPr="00221FC9">
              <w:rPr>
                <w:b/>
                <w:szCs w:val="22"/>
              </w:rPr>
              <w:tab/>
              <w:t>The complaints procedure</w:t>
            </w:r>
          </w:p>
        </w:tc>
        <w:tc>
          <w:tcPr>
            <w:tcW w:w="2268" w:type="dxa"/>
            <w:shd w:val="clear" w:color="auto" w:fill="F3F3F3"/>
          </w:tcPr>
          <w:p w14:paraId="09640D37" w14:textId="77777777" w:rsidR="00FA0EA7" w:rsidRPr="00221FC9" w:rsidRDefault="00FA0EA7" w:rsidP="009374B1">
            <w:pPr>
              <w:pStyle w:val="TableText"/>
              <w:rPr>
                <w:szCs w:val="22"/>
              </w:rPr>
            </w:pPr>
          </w:p>
        </w:tc>
        <w:tc>
          <w:tcPr>
            <w:tcW w:w="1275" w:type="dxa"/>
            <w:shd w:val="clear" w:color="auto" w:fill="F3F3F3"/>
          </w:tcPr>
          <w:p w14:paraId="5E5BA609" w14:textId="77777777" w:rsidR="00FA0EA7" w:rsidRPr="00221FC9" w:rsidRDefault="00FA0EA7" w:rsidP="009374B1">
            <w:pPr>
              <w:pStyle w:val="TableText"/>
              <w:jc w:val="center"/>
              <w:rPr>
                <w:szCs w:val="22"/>
              </w:rPr>
            </w:pPr>
          </w:p>
        </w:tc>
        <w:tc>
          <w:tcPr>
            <w:tcW w:w="851" w:type="dxa"/>
            <w:shd w:val="clear" w:color="auto" w:fill="F3F3F3"/>
          </w:tcPr>
          <w:p w14:paraId="7CFD83CD" w14:textId="77777777" w:rsidR="00FA0EA7" w:rsidRPr="00221FC9" w:rsidRDefault="00FA0EA7" w:rsidP="009374B1">
            <w:pPr>
              <w:pStyle w:val="TableText"/>
              <w:jc w:val="center"/>
              <w:rPr>
                <w:szCs w:val="22"/>
              </w:rPr>
            </w:pPr>
          </w:p>
        </w:tc>
      </w:tr>
      <w:tr w:rsidR="00FA0EA7" w:rsidRPr="00221FC9" w14:paraId="131EA495" w14:textId="77777777" w:rsidTr="005A0DD0">
        <w:trPr>
          <w:cantSplit/>
          <w:trHeight w:val="20"/>
        </w:trPr>
        <w:tc>
          <w:tcPr>
            <w:tcW w:w="4422" w:type="dxa"/>
          </w:tcPr>
          <w:p w14:paraId="04D3A831" w14:textId="10C4C96F" w:rsidR="00FA0EA7" w:rsidRPr="00221FC9" w:rsidRDefault="00FA0EA7" w:rsidP="005A0DD0">
            <w:pPr>
              <w:pStyle w:val="TableText"/>
            </w:pPr>
            <w:r w:rsidRPr="00221FC9">
              <w:t xml:space="preserve">Services should inform all tāngata </w:t>
            </w:r>
            <w:proofErr w:type="spellStart"/>
            <w:r w:rsidRPr="00221FC9">
              <w:t>whai</w:t>
            </w:r>
            <w:proofErr w:type="spellEnd"/>
            <w:r w:rsidRPr="00221FC9">
              <w:t xml:space="preserve"> ora about the range of mechanisms available for making a complaint (including to the Health and Disability Commissioner) and their right to an independent advocate or support person. This information should be displayed prominently.</w:t>
            </w:r>
          </w:p>
        </w:tc>
        <w:tc>
          <w:tcPr>
            <w:tcW w:w="2268" w:type="dxa"/>
          </w:tcPr>
          <w:p w14:paraId="46E817A0"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p w14:paraId="50DF2BF5" w14:textId="77777777" w:rsidR="00FA0EA7" w:rsidRPr="00221FC9" w:rsidRDefault="00FA0EA7" w:rsidP="009374B1">
            <w:pPr>
              <w:pStyle w:val="TableText"/>
              <w:keepNext/>
            </w:pPr>
          </w:p>
        </w:tc>
        <w:tc>
          <w:tcPr>
            <w:tcW w:w="1275" w:type="dxa"/>
          </w:tcPr>
          <w:p w14:paraId="1CA6349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F3B5AF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5A0DD0" w:rsidRPr="00221FC9" w14:paraId="73E1A887" w14:textId="77777777" w:rsidTr="005A0DD0">
        <w:trPr>
          <w:cantSplit/>
          <w:trHeight w:val="20"/>
        </w:trPr>
        <w:tc>
          <w:tcPr>
            <w:tcW w:w="4422" w:type="dxa"/>
          </w:tcPr>
          <w:p w14:paraId="29D6464A" w14:textId="68706690" w:rsidR="005A0DD0" w:rsidRPr="00221FC9" w:rsidRDefault="005A0DD0" w:rsidP="005A0DD0">
            <w:pPr>
              <w:pStyle w:val="TableText"/>
            </w:pPr>
            <w:r w:rsidRPr="00221FC9">
              <w:t xml:space="preserve">OST services will provide clear reporting of the outcome or findings and remedies to tāngata </w:t>
            </w:r>
            <w:proofErr w:type="spellStart"/>
            <w:r w:rsidRPr="00221FC9">
              <w:t>whai</w:t>
            </w:r>
            <w:proofErr w:type="spellEnd"/>
            <w:r w:rsidRPr="00221FC9">
              <w:t xml:space="preserve"> ora as appropriate, in a form they prefer.</w:t>
            </w:r>
          </w:p>
        </w:tc>
        <w:tc>
          <w:tcPr>
            <w:tcW w:w="2268" w:type="dxa"/>
          </w:tcPr>
          <w:p w14:paraId="25B0C8F1" w14:textId="77777777" w:rsidR="005A0DD0" w:rsidRPr="00221FC9" w:rsidRDefault="005A0DD0" w:rsidP="005A0DD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p w14:paraId="1C535715" w14:textId="77777777" w:rsidR="005A0DD0" w:rsidRPr="00221FC9" w:rsidRDefault="005A0DD0" w:rsidP="005A0DD0">
            <w:pPr>
              <w:pStyle w:val="TableText"/>
              <w:keepNext/>
            </w:pPr>
          </w:p>
        </w:tc>
        <w:tc>
          <w:tcPr>
            <w:tcW w:w="1275" w:type="dxa"/>
          </w:tcPr>
          <w:p w14:paraId="44407E12" w14:textId="0A199F05" w:rsidR="005A0DD0" w:rsidRPr="00221FC9" w:rsidRDefault="005A0DD0" w:rsidP="005A0DD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9315047" w14:textId="13F631A6" w:rsidR="005A0DD0" w:rsidRPr="00221FC9" w:rsidRDefault="005A0DD0" w:rsidP="005A0DD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740DE56" w14:textId="77777777" w:rsidTr="005A0DD0">
        <w:trPr>
          <w:cantSplit/>
          <w:trHeight w:val="20"/>
        </w:trPr>
        <w:tc>
          <w:tcPr>
            <w:tcW w:w="4422" w:type="dxa"/>
            <w:shd w:val="clear" w:color="auto" w:fill="F3F3F3"/>
          </w:tcPr>
          <w:p w14:paraId="330B433F" w14:textId="77777777" w:rsidR="00FA0EA7" w:rsidRPr="00221FC9" w:rsidRDefault="00FA0EA7" w:rsidP="009374B1">
            <w:pPr>
              <w:pStyle w:val="TableText"/>
              <w:rPr>
                <w:b/>
                <w:szCs w:val="22"/>
              </w:rPr>
            </w:pPr>
            <w:r w:rsidRPr="00221FC9">
              <w:rPr>
                <w:b/>
                <w:szCs w:val="22"/>
              </w:rPr>
              <w:t>11.5</w:t>
            </w:r>
            <w:r w:rsidRPr="00221FC9">
              <w:rPr>
                <w:b/>
                <w:szCs w:val="22"/>
              </w:rPr>
              <w:tab/>
              <w:t>Safety requirements of specialist services</w:t>
            </w:r>
          </w:p>
        </w:tc>
        <w:tc>
          <w:tcPr>
            <w:tcW w:w="2268" w:type="dxa"/>
            <w:shd w:val="clear" w:color="auto" w:fill="F3F3F3"/>
          </w:tcPr>
          <w:p w14:paraId="521F99A2" w14:textId="77777777" w:rsidR="00FA0EA7" w:rsidRPr="00221FC9" w:rsidRDefault="00FA0EA7" w:rsidP="009374B1">
            <w:pPr>
              <w:pStyle w:val="TableText"/>
              <w:rPr>
                <w:szCs w:val="22"/>
              </w:rPr>
            </w:pPr>
          </w:p>
        </w:tc>
        <w:tc>
          <w:tcPr>
            <w:tcW w:w="1275" w:type="dxa"/>
            <w:shd w:val="clear" w:color="auto" w:fill="F3F3F3"/>
          </w:tcPr>
          <w:p w14:paraId="2155BC36" w14:textId="77777777" w:rsidR="00FA0EA7" w:rsidRPr="00221FC9" w:rsidRDefault="00FA0EA7" w:rsidP="009374B1">
            <w:pPr>
              <w:pStyle w:val="TableText"/>
              <w:jc w:val="center"/>
              <w:rPr>
                <w:szCs w:val="22"/>
              </w:rPr>
            </w:pPr>
          </w:p>
        </w:tc>
        <w:tc>
          <w:tcPr>
            <w:tcW w:w="851" w:type="dxa"/>
            <w:shd w:val="clear" w:color="auto" w:fill="F3F3F3"/>
          </w:tcPr>
          <w:p w14:paraId="71222DB8" w14:textId="77777777" w:rsidR="00FA0EA7" w:rsidRPr="00221FC9" w:rsidRDefault="00FA0EA7" w:rsidP="009374B1">
            <w:pPr>
              <w:pStyle w:val="TableText"/>
              <w:jc w:val="center"/>
              <w:rPr>
                <w:szCs w:val="22"/>
              </w:rPr>
            </w:pPr>
          </w:p>
        </w:tc>
      </w:tr>
      <w:tr w:rsidR="00FA0EA7" w:rsidRPr="00221FC9" w14:paraId="175A7928" w14:textId="77777777" w:rsidTr="005A0DD0">
        <w:trPr>
          <w:cantSplit/>
          <w:trHeight w:val="20"/>
        </w:trPr>
        <w:tc>
          <w:tcPr>
            <w:tcW w:w="4422" w:type="dxa"/>
          </w:tcPr>
          <w:p w14:paraId="3AB10C4E" w14:textId="3B1B87D7" w:rsidR="00FA0EA7" w:rsidRPr="00221FC9" w:rsidRDefault="00FA0EA7" w:rsidP="009374B1">
            <w:pPr>
              <w:pStyle w:val="TableText"/>
            </w:pPr>
            <w:r w:rsidRPr="00221FC9">
              <w:t xml:space="preserve">The service has a set of safety requirements that addresses the personal safety of tāngata </w:t>
            </w:r>
            <w:proofErr w:type="spellStart"/>
            <w:r w:rsidRPr="00221FC9">
              <w:t>whai</w:t>
            </w:r>
            <w:proofErr w:type="spellEnd"/>
            <w:r w:rsidRPr="00221FC9">
              <w:t xml:space="preserve"> ora and staff, as well as safety in prescribing and dispensing doses, including takeaways. Services should discuss safety requirements with tāngata </w:t>
            </w:r>
            <w:proofErr w:type="spellStart"/>
            <w:r w:rsidRPr="00221FC9">
              <w:t>whai</w:t>
            </w:r>
            <w:proofErr w:type="spellEnd"/>
            <w:r w:rsidRPr="00221FC9">
              <w:t xml:space="preserve"> ora and whānau</w:t>
            </w:r>
            <w:r w:rsidRPr="00221FC9" w:rsidDel="00DB78D6">
              <w:t xml:space="preserve"> </w:t>
            </w:r>
            <w:r w:rsidRPr="00221FC9">
              <w:t>as part of initial assessments and whenever relevant.</w:t>
            </w:r>
          </w:p>
        </w:tc>
        <w:tc>
          <w:tcPr>
            <w:tcW w:w="2268" w:type="dxa"/>
          </w:tcPr>
          <w:p w14:paraId="3531E2BB"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5D3E3F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CDD783C"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4963407" w14:textId="77777777" w:rsidTr="005A0DD0">
        <w:trPr>
          <w:cantSplit/>
          <w:trHeight w:val="20"/>
        </w:trPr>
        <w:tc>
          <w:tcPr>
            <w:tcW w:w="4422" w:type="dxa"/>
            <w:shd w:val="clear" w:color="auto" w:fill="F3F3F3"/>
          </w:tcPr>
          <w:p w14:paraId="04E6A177" w14:textId="77777777" w:rsidR="00FA0EA7" w:rsidRPr="00221FC9" w:rsidRDefault="00FA0EA7" w:rsidP="009374B1">
            <w:pPr>
              <w:pStyle w:val="TableText"/>
              <w:rPr>
                <w:b/>
                <w:szCs w:val="22"/>
              </w:rPr>
            </w:pPr>
            <w:r w:rsidRPr="00221FC9">
              <w:rPr>
                <w:b/>
                <w:szCs w:val="22"/>
              </w:rPr>
              <w:t>11.6</w:t>
            </w:r>
            <w:r w:rsidRPr="00221FC9">
              <w:rPr>
                <w:b/>
                <w:szCs w:val="22"/>
              </w:rPr>
              <w:tab/>
              <w:t>Local protocols in specialist services</w:t>
            </w:r>
          </w:p>
        </w:tc>
        <w:tc>
          <w:tcPr>
            <w:tcW w:w="2268" w:type="dxa"/>
            <w:shd w:val="clear" w:color="auto" w:fill="F3F3F3"/>
          </w:tcPr>
          <w:p w14:paraId="1ECD12F9" w14:textId="77777777" w:rsidR="00FA0EA7" w:rsidRPr="00221FC9" w:rsidRDefault="00FA0EA7" w:rsidP="009374B1">
            <w:pPr>
              <w:pStyle w:val="TableText"/>
              <w:rPr>
                <w:szCs w:val="22"/>
              </w:rPr>
            </w:pPr>
          </w:p>
        </w:tc>
        <w:tc>
          <w:tcPr>
            <w:tcW w:w="1275" w:type="dxa"/>
            <w:shd w:val="clear" w:color="auto" w:fill="F3F3F3"/>
          </w:tcPr>
          <w:p w14:paraId="3C5D8B89" w14:textId="77777777" w:rsidR="00FA0EA7" w:rsidRPr="00221FC9" w:rsidRDefault="00FA0EA7" w:rsidP="009374B1">
            <w:pPr>
              <w:pStyle w:val="TableText"/>
              <w:jc w:val="center"/>
              <w:rPr>
                <w:szCs w:val="22"/>
              </w:rPr>
            </w:pPr>
          </w:p>
        </w:tc>
        <w:tc>
          <w:tcPr>
            <w:tcW w:w="851" w:type="dxa"/>
            <w:shd w:val="clear" w:color="auto" w:fill="F3F3F3"/>
          </w:tcPr>
          <w:p w14:paraId="6BBEDFA2" w14:textId="77777777" w:rsidR="00FA0EA7" w:rsidRPr="00221FC9" w:rsidRDefault="00FA0EA7" w:rsidP="009374B1">
            <w:pPr>
              <w:pStyle w:val="TableText"/>
              <w:jc w:val="center"/>
              <w:rPr>
                <w:szCs w:val="22"/>
              </w:rPr>
            </w:pPr>
          </w:p>
        </w:tc>
      </w:tr>
      <w:tr w:rsidR="00FA0EA7" w:rsidRPr="00221FC9" w14:paraId="0F94CCFE" w14:textId="77777777" w:rsidTr="005A0DD0">
        <w:trPr>
          <w:cantSplit/>
          <w:trHeight w:val="20"/>
        </w:trPr>
        <w:tc>
          <w:tcPr>
            <w:tcW w:w="4422" w:type="dxa"/>
          </w:tcPr>
          <w:p w14:paraId="6156B2DA" w14:textId="77777777" w:rsidR="00FA0EA7" w:rsidRPr="00221FC9" w:rsidRDefault="00FA0EA7" w:rsidP="009374B1">
            <w:pPr>
              <w:pStyle w:val="TableText"/>
            </w:pPr>
            <w:r w:rsidRPr="00221FC9">
              <w:t xml:space="preserve">Local protocols are consistent and do not conflict with the </w:t>
            </w:r>
            <w:r w:rsidRPr="00221FC9">
              <w:rPr>
                <w:i/>
              </w:rPr>
              <w:t>OST Guidelines</w:t>
            </w:r>
            <w:r w:rsidRPr="00221FC9">
              <w:t xml:space="preserve"> or with relevant legislation, codes of practice or accountability requirements.</w:t>
            </w:r>
          </w:p>
        </w:tc>
        <w:tc>
          <w:tcPr>
            <w:tcW w:w="2268" w:type="dxa"/>
          </w:tcPr>
          <w:p w14:paraId="56184BE1"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7D23EC2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6275FD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0930F23" w14:textId="77777777" w:rsidTr="005A0DD0">
        <w:trPr>
          <w:cantSplit/>
          <w:trHeight w:val="20"/>
        </w:trPr>
        <w:tc>
          <w:tcPr>
            <w:tcW w:w="4422" w:type="dxa"/>
            <w:shd w:val="clear" w:color="auto" w:fill="F3F3F3"/>
          </w:tcPr>
          <w:p w14:paraId="5A88F8D9" w14:textId="77777777" w:rsidR="00FA0EA7" w:rsidRPr="00221FC9" w:rsidRDefault="00FA0EA7" w:rsidP="009374B1">
            <w:pPr>
              <w:pStyle w:val="TableText"/>
              <w:rPr>
                <w:b/>
                <w:szCs w:val="22"/>
              </w:rPr>
            </w:pPr>
            <w:r w:rsidRPr="00221FC9">
              <w:rPr>
                <w:b/>
                <w:szCs w:val="22"/>
              </w:rPr>
              <w:t>11.7</w:t>
            </w:r>
            <w:r w:rsidRPr="00221FC9">
              <w:rPr>
                <w:b/>
                <w:szCs w:val="22"/>
              </w:rPr>
              <w:tab/>
              <w:t>Civil defence emergencies</w:t>
            </w:r>
          </w:p>
        </w:tc>
        <w:tc>
          <w:tcPr>
            <w:tcW w:w="2268" w:type="dxa"/>
            <w:shd w:val="clear" w:color="auto" w:fill="F3F3F3"/>
          </w:tcPr>
          <w:p w14:paraId="53BF8F19" w14:textId="77777777" w:rsidR="00FA0EA7" w:rsidRPr="00221FC9" w:rsidRDefault="00FA0EA7" w:rsidP="009374B1">
            <w:pPr>
              <w:pStyle w:val="TableText"/>
              <w:rPr>
                <w:szCs w:val="22"/>
              </w:rPr>
            </w:pPr>
          </w:p>
        </w:tc>
        <w:tc>
          <w:tcPr>
            <w:tcW w:w="1275" w:type="dxa"/>
            <w:shd w:val="clear" w:color="auto" w:fill="F3F3F3"/>
          </w:tcPr>
          <w:p w14:paraId="76E18BFE" w14:textId="77777777" w:rsidR="00FA0EA7" w:rsidRPr="00221FC9" w:rsidRDefault="00FA0EA7" w:rsidP="009374B1">
            <w:pPr>
              <w:pStyle w:val="TableText"/>
              <w:jc w:val="center"/>
              <w:rPr>
                <w:szCs w:val="22"/>
              </w:rPr>
            </w:pPr>
          </w:p>
        </w:tc>
        <w:tc>
          <w:tcPr>
            <w:tcW w:w="851" w:type="dxa"/>
            <w:shd w:val="clear" w:color="auto" w:fill="F3F3F3"/>
          </w:tcPr>
          <w:p w14:paraId="45C48E47" w14:textId="77777777" w:rsidR="00FA0EA7" w:rsidRPr="00221FC9" w:rsidRDefault="00FA0EA7" w:rsidP="009374B1">
            <w:pPr>
              <w:pStyle w:val="TableText"/>
              <w:jc w:val="center"/>
              <w:rPr>
                <w:szCs w:val="22"/>
              </w:rPr>
            </w:pPr>
          </w:p>
        </w:tc>
      </w:tr>
      <w:tr w:rsidR="00FA0EA7" w:rsidRPr="00221FC9" w14:paraId="4C7089CC" w14:textId="77777777" w:rsidTr="005A0DD0">
        <w:trPr>
          <w:cantSplit/>
          <w:trHeight w:val="20"/>
        </w:trPr>
        <w:tc>
          <w:tcPr>
            <w:tcW w:w="4422" w:type="dxa"/>
          </w:tcPr>
          <w:p w14:paraId="44B88748" w14:textId="77777777" w:rsidR="00FA0EA7" w:rsidRPr="00221FC9" w:rsidRDefault="00FA0EA7" w:rsidP="009374B1">
            <w:pPr>
              <w:pStyle w:val="TableText"/>
            </w:pPr>
            <w:r w:rsidRPr="00221FC9">
              <w:t>Management plans are in place for civil defence emergencies which includes local pharmacies.</w:t>
            </w:r>
          </w:p>
        </w:tc>
        <w:tc>
          <w:tcPr>
            <w:tcW w:w="2268" w:type="dxa"/>
          </w:tcPr>
          <w:p w14:paraId="762ABFA0"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p w14:paraId="61066199" w14:textId="77777777" w:rsidR="00FA0EA7" w:rsidRPr="00221FC9" w:rsidRDefault="00FA0EA7" w:rsidP="009374B1">
            <w:pPr>
              <w:pStyle w:val="TableText"/>
              <w:keepNext/>
            </w:pPr>
          </w:p>
        </w:tc>
        <w:tc>
          <w:tcPr>
            <w:tcW w:w="1275" w:type="dxa"/>
          </w:tcPr>
          <w:p w14:paraId="4CDB09D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0A146B99"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CAD80BA" w14:textId="77777777" w:rsidTr="005A0DD0">
        <w:trPr>
          <w:cantSplit/>
          <w:trHeight w:val="20"/>
        </w:trPr>
        <w:tc>
          <w:tcPr>
            <w:tcW w:w="4422" w:type="dxa"/>
            <w:shd w:val="clear" w:color="auto" w:fill="F2F2F2" w:themeFill="background1" w:themeFillShade="F2"/>
          </w:tcPr>
          <w:p w14:paraId="14634050" w14:textId="77777777" w:rsidR="00FA0EA7" w:rsidRPr="00E26DC3" w:rsidRDefault="00FA0EA7" w:rsidP="005A0DD0">
            <w:pPr>
              <w:pStyle w:val="TableText"/>
              <w:keepNext/>
              <w:rPr>
                <w:b/>
                <w:bCs/>
              </w:rPr>
            </w:pPr>
            <w:r w:rsidRPr="00221FC9">
              <w:rPr>
                <w:b/>
                <w:bCs/>
              </w:rPr>
              <w:lastRenderedPageBreak/>
              <w:t>11.8 Service planning and review</w:t>
            </w:r>
          </w:p>
        </w:tc>
        <w:tc>
          <w:tcPr>
            <w:tcW w:w="2268" w:type="dxa"/>
            <w:shd w:val="clear" w:color="auto" w:fill="F2F2F2" w:themeFill="background1" w:themeFillShade="F2"/>
          </w:tcPr>
          <w:p w14:paraId="3EA6F170" w14:textId="77777777" w:rsidR="00FA0EA7" w:rsidRPr="00221FC9" w:rsidRDefault="00FA0EA7" w:rsidP="005A0DD0">
            <w:pPr>
              <w:pStyle w:val="TableText"/>
              <w:keepNext/>
            </w:pPr>
          </w:p>
        </w:tc>
        <w:tc>
          <w:tcPr>
            <w:tcW w:w="1275" w:type="dxa"/>
            <w:shd w:val="clear" w:color="auto" w:fill="F2F2F2" w:themeFill="background1" w:themeFillShade="F2"/>
          </w:tcPr>
          <w:p w14:paraId="25892E41" w14:textId="77777777" w:rsidR="00FA0EA7" w:rsidRPr="00221FC9" w:rsidRDefault="00FA0EA7" w:rsidP="005A0DD0">
            <w:pPr>
              <w:pStyle w:val="TableText"/>
              <w:keepNext/>
              <w:jc w:val="center"/>
            </w:pPr>
          </w:p>
        </w:tc>
        <w:tc>
          <w:tcPr>
            <w:tcW w:w="851" w:type="dxa"/>
            <w:shd w:val="clear" w:color="auto" w:fill="F2F2F2" w:themeFill="background1" w:themeFillShade="F2"/>
          </w:tcPr>
          <w:p w14:paraId="1AC041EA" w14:textId="77777777" w:rsidR="00FA0EA7" w:rsidRPr="00221FC9" w:rsidRDefault="00FA0EA7" w:rsidP="005A0DD0">
            <w:pPr>
              <w:pStyle w:val="TableText"/>
              <w:keepNext/>
              <w:jc w:val="center"/>
            </w:pPr>
          </w:p>
        </w:tc>
      </w:tr>
      <w:tr w:rsidR="005A0DD0" w:rsidRPr="00221FC9" w14:paraId="2A5140CA" w14:textId="77777777" w:rsidTr="005A0DD0">
        <w:trPr>
          <w:cantSplit/>
          <w:trHeight w:val="20"/>
        </w:trPr>
        <w:tc>
          <w:tcPr>
            <w:tcW w:w="4422" w:type="dxa"/>
          </w:tcPr>
          <w:p w14:paraId="07304DCB" w14:textId="19B03047" w:rsidR="005A0DD0" w:rsidRPr="00221FC9" w:rsidRDefault="005A0DD0" w:rsidP="005A0DD0">
            <w:pPr>
              <w:pStyle w:val="TableText"/>
            </w:pPr>
            <w:r w:rsidRPr="00221FC9">
              <w:t xml:space="preserve">Service planning and regular review includes all </w:t>
            </w:r>
            <w:proofErr w:type="gramStart"/>
            <w:r w:rsidRPr="00221FC9">
              <w:t>staff,  Tāngata</w:t>
            </w:r>
            <w:proofErr w:type="gramEnd"/>
            <w:r w:rsidRPr="00221FC9">
              <w:t xml:space="preserve"> </w:t>
            </w:r>
            <w:proofErr w:type="spellStart"/>
            <w:r w:rsidRPr="00221FC9">
              <w:t>whai</w:t>
            </w:r>
            <w:proofErr w:type="spellEnd"/>
            <w:r w:rsidRPr="00221FC9">
              <w:t xml:space="preserve"> ora and whānau input</w:t>
            </w:r>
            <w:r w:rsidR="00594DEB">
              <w:t>.</w:t>
            </w:r>
          </w:p>
        </w:tc>
        <w:tc>
          <w:tcPr>
            <w:tcW w:w="2268" w:type="dxa"/>
          </w:tcPr>
          <w:p w14:paraId="63251FA3" w14:textId="7592D398" w:rsidR="005A0DD0" w:rsidRPr="00221FC9" w:rsidRDefault="005A0DD0" w:rsidP="005A0DD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23BA794" w14:textId="1CCC674E" w:rsidR="005A0DD0" w:rsidRPr="00221FC9" w:rsidRDefault="005A0DD0" w:rsidP="005A0DD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59899CD" w14:textId="68A3E331" w:rsidR="005A0DD0" w:rsidRPr="00221FC9" w:rsidRDefault="005A0DD0" w:rsidP="005A0DD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68BC0D4" w14:textId="77777777" w:rsidTr="005A0DD0">
        <w:trPr>
          <w:cantSplit/>
          <w:trHeight w:val="20"/>
        </w:trPr>
        <w:tc>
          <w:tcPr>
            <w:tcW w:w="4422" w:type="dxa"/>
            <w:shd w:val="clear" w:color="auto" w:fill="F2F2F2" w:themeFill="background1" w:themeFillShade="F2"/>
          </w:tcPr>
          <w:p w14:paraId="0A2F4DC4" w14:textId="77777777" w:rsidR="00FA0EA7" w:rsidRPr="005A0DD0" w:rsidRDefault="00FA0EA7" w:rsidP="005A0DD0">
            <w:pPr>
              <w:pStyle w:val="TableText"/>
              <w:rPr>
                <w:b/>
                <w:bCs/>
              </w:rPr>
            </w:pPr>
            <w:r w:rsidRPr="005A0DD0">
              <w:rPr>
                <w:b/>
                <w:bCs/>
              </w:rPr>
              <w:t>11.10 Technology systems</w:t>
            </w:r>
          </w:p>
          <w:p w14:paraId="18C4051B" w14:textId="368ED1AA" w:rsidR="00FA0EA7" w:rsidRPr="005A0DD0" w:rsidRDefault="00FA0EA7" w:rsidP="005A0DD0">
            <w:pPr>
              <w:pStyle w:val="TableText"/>
            </w:pPr>
            <w:r w:rsidRPr="005A0DD0">
              <w:t>There is an approved, efficient e-prescribing programme that converses with community pharmacies.</w:t>
            </w:r>
          </w:p>
        </w:tc>
        <w:tc>
          <w:tcPr>
            <w:tcW w:w="2268" w:type="dxa"/>
            <w:shd w:val="clear" w:color="auto" w:fill="F2F2F2" w:themeFill="background1" w:themeFillShade="F2"/>
          </w:tcPr>
          <w:p w14:paraId="3304A078" w14:textId="77777777" w:rsidR="00FA0EA7" w:rsidRPr="00221FC9" w:rsidRDefault="00FA0EA7" w:rsidP="009374B1">
            <w:pPr>
              <w:pStyle w:val="TableText"/>
              <w:keepNext/>
            </w:pPr>
          </w:p>
        </w:tc>
        <w:tc>
          <w:tcPr>
            <w:tcW w:w="1275" w:type="dxa"/>
            <w:shd w:val="clear" w:color="auto" w:fill="F2F2F2" w:themeFill="background1" w:themeFillShade="F2"/>
          </w:tcPr>
          <w:p w14:paraId="538CF642" w14:textId="77777777" w:rsidR="00FA0EA7" w:rsidRPr="00221FC9" w:rsidRDefault="00FA0EA7" w:rsidP="009374B1">
            <w:pPr>
              <w:pStyle w:val="TableText"/>
              <w:keepNext/>
              <w:jc w:val="center"/>
            </w:pPr>
          </w:p>
        </w:tc>
        <w:tc>
          <w:tcPr>
            <w:tcW w:w="851" w:type="dxa"/>
            <w:shd w:val="clear" w:color="auto" w:fill="F2F2F2" w:themeFill="background1" w:themeFillShade="F2"/>
          </w:tcPr>
          <w:p w14:paraId="61D01392" w14:textId="77777777" w:rsidR="00FA0EA7" w:rsidRPr="00221FC9" w:rsidRDefault="00FA0EA7" w:rsidP="009374B1">
            <w:pPr>
              <w:pStyle w:val="TableText"/>
              <w:keepNext/>
              <w:jc w:val="center"/>
            </w:pPr>
          </w:p>
        </w:tc>
      </w:tr>
      <w:tr w:rsidR="005A0DD0" w:rsidRPr="00221FC9" w14:paraId="395BA702" w14:textId="77777777" w:rsidTr="005A0DD0">
        <w:trPr>
          <w:cantSplit/>
          <w:trHeight w:val="20"/>
        </w:trPr>
        <w:tc>
          <w:tcPr>
            <w:tcW w:w="4422" w:type="dxa"/>
          </w:tcPr>
          <w:p w14:paraId="23719861" w14:textId="5661BBE8" w:rsidR="005A0DD0" w:rsidRPr="005A0DD0" w:rsidRDefault="005A0DD0" w:rsidP="005A0DD0">
            <w:pPr>
              <w:pStyle w:val="TableText"/>
            </w:pPr>
            <w:r w:rsidRPr="005A0DD0">
              <w:t xml:space="preserve">Telehealth options are to be available for supporting tāngata </w:t>
            </w:r>
            <w:proofErr w:type="spellStart"/>
            <w:r w:rsidRPr="005A0DD0">
              <w:t>whai</w:t>
            </w:r>
            <w:proofErr w:type="spellEnd"/>
            <w:r w:rsidRPr="005A0DD0">
              <w:t xml:space="preserve"> ora out-of-area, for example, those who have transferred to another part of the country and for those in prison</w:t>
            </w:r>
            <w:r w:rsidR="00594DEB">
              <w:t>.</w:t>
            </w:r>
          </w:p>
        </w:tc>
        <w:tc>
          <w:tcPr>
            <w:tcW w:w="2268" w:type="dxa"/>
          </w:tcPr>
          <w:p w14:paraId="57EF90BC" w14:textId="34DA14B0" w:rsidR="005A0DD0" w:rsidRPr="00221FC9" w:rsidRDefault="005A0DD0" w:rsidP="005A0DD0">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C9071C9" w14:textId="2D586CC5" w:rsidR="005A0DD0" w:rsidRPr="00221FC9" w:rsidRDefault="005A0DD0" w:rsidP="005A0DD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6C69FEAA" w14:textId="34518A53" w:rsidR="005A0DD0" w:rsidRPr="00221FC9" w:rsidRDefault="005A0DD0" w:rsidP="005A0DD0">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308EE52D" w14:textId="77777777" w:rsidR="00FA0EA7" w:rsidRPr="00221FC9" w:rsidRDefault="00FA0EA7" w:rsidP="00FA0EA7">
      <w:pPr>
        <w:pStyle w:val="Heading4"/>
      </w:pPr>
      <w:bookmarkStart w:id="78" w:name="_Toc403048464"/>
      <w:r w:rsidRPr="00221FC9">
        <w:t>Section attainment summary</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368"/>
        <w:gridCol w:w="2055"/>
        <w:gridCol w:w="2056"/>
      </w:tblGrid>
      <w:tr w:rsidR="00FA0EA7" w:rsidRPr="00221FC9" w14:paraId="4F987B10" w14:textId="77777777" w:rsidTr="005A0DD0">
        <w:trPr>
          <w:cantSplit/>
        </w:trPr>
        <w:tc>
          <w:tcPr>
            <w:tcW w:w="8818" w:type="dxa"/>
            <w:gridSpan w:val="4"/>
            <w:shd w:val="clear" w:color="auto" w:fill="FFFF99"/>
          </w:tcPr>
          <w:p w14:paraId="74FAABA9" w14:textId="77777777" w:rsidR="00FA0EA7" w:rsidRPr="00221FC9" w:rsidRDefault="00FA0EA7" w:rsidP="009374B1">
            <w:pPr>
              <w:pStyle w:val="TableText"/>
              <w:spacing w:after="0"/>
              <w:rPr>
                <w:b/>
              </w:rPr>
            </w:pPr>
            <w:r w:rsidRPr="00221FC9">
              <w:rPr>
                <w:b/>
              </w:rPr>
              <w:t>Indicators (out of 12):</w:t>
            </w:r>
          </w:p>
        </w:tc>
      </w:tr>
      <w:tr w:rsidR="00FA0EA7" w:rsidRPr="00221FC9" w14:paraId="33C7F114" w14:textId="77777777" w:rsidTr="005A0DD0">
        <w:trPr>
          <w:cantSplit/>
        </w:trPr>
        <w:tc>
          <w:tcPr>
            <w:tcW w:w="2339" w:type="dxa"/>
            <w:shd w:val="clear" w:color="auto" w:fill="FFFF99"/>
          </w:tcPr>
          <w:p w14:paraId="27B5FAA4"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368" w:type="dxa"/>
            <w:shd w:val="clear" w:color="auto" w:fill="FFFF99"/>
          </w:tcPr>
          <w:p w14:paraId="0B5D39A7"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shd w:val="clear" w:color="auto" w:fill="FFFF99"/>
          </w:tcPr>
          <w:p w14:paraId="12796781"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6" w:type="dxa"/>
            <w:shd w:val="clear" w:color="auto" w:fill="FFFF99"/>
          </w:tcPr>
          <w:p w14:paraId="56847D4E"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5C3A1F44" w14:textId="77777777" w:rsidR="00FA0EA7" w:rsidRPr="00221FC9" w:rsidRDefault="00FA0EA7" w:rsidP="00FA0EA7">
      <w:pPr>
        <w:pStyle w:val="Heading4"/>
      </w:pPr>
      <w:r w:rsidRPr="00221FC9">
        <w:t>Summary of recommended actions</w:t>
      </w:r>
    </w:p>
    <w:tbl>
      <w:tblPr>
        <w:tblStyle w:val="TableGrid"/>
        <w:tblW w:w="8818"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818"/>
      </w:tblGrid>
      <w:tr w:rsidR="00FA0EA7" w:rsidRPr="00221FC9" w14:paraId="53F1631A" w14:textId="77777777" w:rsidTr="005A0DD0">
        <w:trPr>
          <w:cantSplit/>
          <w:trHeight w:val="1134"/>
        </w:trPr>
        <w:tc>
          <w:tcPr>
            <w:tcW w:w="8818" w:type="dxa"/>
            <w:shd w:val="clear" w:color="auto" w:fill="FFFF99"/>
          </w:tcPr>
          <w:p w14:paraId="3CCE5DCD"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6E73D048" w14:textId="77777777" w:rsidR="00FA0EA7" w:rsidRPr="00221FC9" w:rsidRDefault="00FA0EA7" w:rsidP="00FA0EA7"/>
    <w:p w14:paraId="3B25C42C" w14:textId="77777777" w:rsidR="00AE32F4" w:rsidRDefault="00AE32F4" w:rsidP="00FA0EA7">
      <w:pPr>
        <w:pStyle w:val="Heading3"/>
        <w:ind w:left="567" w:hanging="567"/>
        <w:rPr>
          <w:rFonts w:eastAsia="PMingLiU"/>
        </w:rPr>
        <w:sectPr w:rsidR="00AE32F4" w:rsidSect="00150ECE">
          <w:pgSz w:w="11907" w:h="16834" w:code="9"/>
          <w:pgMar w:top="1418" w:right="1701" w:bottom="1134" w:left="1843" w:header="284" w:footer="425" w:gutter="284"/>
          <w:cols w:space="720"/>
        </w:sectPr>
      </w:pPr>
    </w:p>
    <w:p w14:paraId="6C0A5350" w14:textId="77777777" w:rsidR="00FA0EA7" w:rsidRPr="00221FC9" w:rsidRDefault="00FA0EA7" w:rsidP="00FA0EA7">
      <w:pPr>
        <w:pStyle w:val="Heading3"/>
        <w:ind w:left="567" w:hanging="567"/>
      </w:pPr>
      <w:r w:rsidRPr="00221FC9">
        <w:rPr>
          <w:rFonts w:eastAsia="PMingLiU"/>
        </w:rPr>
        <w:lastRenderedPageBreak/>
        <w:t>12</w:t>
      </w:r>
      <w:r w:rsidRPr="00221FC9">
        <w:rPr>
          <w:rFonts w:eastAsia="PMingLiU"/>
        </w:rPr>
        <w:tab/>
        <w:t xml:space="preserve">Prescribing controlled drugs in addiction treatment </w:t>
      </w:r>
      <w:r w:rsidRPr="00221FC9">
        <w:t>(Misuse of Drugs Act 1975, section 24)</w:t>
      </w:r>
      <w:bookmarkEnd w:id="78"/>
    </w:p>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3835C28B" w14:textId="77777777" w:rsidTr="007B75B0">
        <w:trPr>
          <w:cantSplit/>
          <w:trHeight w:val="20"/>
          <w:tblHeader/>
        </w:trPr>
        <w:tc>
          <w:tcPr>
            <w:tcW w:w="4422" w:type="dxa"/>
            <w:shd w:val="clear" w:color="auto" w:fill="D9D9D9" w:themeFill="background1" w:themeFillShade="D9"/>
          </w:tcPr>
          <w:p w14:paraId="632B1953" w14:textId="77777777" w:rsidR="00FA0EA7" w:rsidRPr="00221FC9" w:rsidRDefault="00FA0EA7" w:rsidP="009374B1">
            <w:pPr>
              <w:pStyle w:val="TableText"/>
              <w:rPr>
                <w:rFonts w:eastAsia="PMingLiU"/>
                <w:b/>
              </w:rPr>
            </w:pPr>
            <w:r w:rsidRPr="00221FC9">
              <w:rPr>
                <w:rFonts w:eastAsia="PMingLiU"/>
                <w:b/>
              </w:rPr>
              <w:t>Indicators</w:t>
            </w:r>
          </w:p>
        </w:tc>
        <w:tc>
          <w:tcPr>
            <w:tcW w:w="2268" w:type="dxa"/>
            <w:shd w:val="clear" w:color="auto" w:fill="D9D9D9" w:themeFill="background1" w:themeFillShade="D9"/>
          </w:tcPr>
          <w:p w14:paraId="07776956" w14:textId="619CC1AE" w:rsidR="00FA0EA7" w:rsidRPr="00221FC9" w:rsidRDefault="00C11D97" w:rsidP="009374B1">
            <w:pPr>
              <w:pStyle w:val="TableT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0B10B61A" w14:textId="77777777" w:rsidR="00FA0EA7" w:rsidRPr="00221FC9" w:rsidRDefault="00FA0EA7" w:rsidP="009374B1">
            <w:pPr>
              <w:pStyle w:val="TableText"/>
              <w:jc w:val="center"/>
              <w:rPr>
                <w:rFonts w:eastAsia="PMingLiU"/>
                <w:b/>
              </w:rPr>
            </w:pPr>
            <w:r w:rsidRPr="00221FC9">
              <w:rPr>
                <w:rFonts w:eastAsia="PMingLiU"/>
                <w:b/>
              </w:rPr>
              <w:t>Attainment</w:t>
            </w:r>
          </w:p>
        </w:tc>
        <w:tc>
          <w:tcPr>
            <w:tcW w:w="851" w:type="dxa"/>
            <w:shd w:val="clear" w:color="auto" w:fill="D9D9D9" w:themeFill="background1" w:themeFillShade="D9"/>
          </w:tcPr>
          <w:p w14:paraId="1B26BD38" w14:textId="77777777" w:rsidR="00FA0EA7" w:rsidRPr="00221FC9" w:rsidRDefault="00FA0EA7" w:rsidP="009374B1">
            <w:pPr>
              <w:pStyle w:val="TableText"/>
              <w:jc w:val="center"/>
              <w:rPr>
                <w:rFonts w:eastAsia="PMingLiU"/>
                <w:b/>
              </w:rPr>
            </w:pPr>
            <w:r w:rsidRPr="00221FC9">
              <w:rPr>
                <w:rFonts w:eastAsia="PMingLiU"/>
                <w:b/>
              </w:rPr>
              <w:t>Risk</w:t>
            </w:r>
          </w:p>
        </w:tc>
      </w:tr>
      <w:tr w:rsidR="00FA0EA7" w:rsidRPr="00221FC9" w14:paraId="445EC072" w14:textId="77777777" w:rsidTr="007B75B0">
        <w:trPr>
          <w:cantSplit/>
          <w:trHeight w:val="20"/>
        </w:trPr>
        <w:tc>
          <w:tcPr>
            <w:tcW w:w="4422" w:type="dxa"/>
            <w:shd w:val="clear" w:color="auto" w:fill="F3F3F3"/>
          </w:tcPr>
          <w:p w14:paraId="017526FE" w14:textId="77777777" w:rsidR="00FA0EA7" w:rsidRPr="00221FC9" w:rsidRDefault="00FA0EA7" w:rsidP="009374B1">
            <w:pPr>
              <w:pStyle w:val="TableText"/>
              <w:rPr>
                <w:rFonts w:cs="Helvetica"/>
                <w:b/>
                <w:color w:val="141413"/>
                <w:szCs w:val="26"/>
              </w:rPr>
            </w:pPr>
            <w:r w:rsidRPr="00221FC9">
              <w:rPr>
                <w:rFonts w:cs="Helvetica"/>
                <w:b/>
                <w:color w:val="141413"/>
                <w:szCs w:val="26"/>
              </w:rPr>
              <w:t>12.1</w:t>
            </w:r>
            <w:r w:rsidRPr="00221FC9">
              <w:rPr>
                <w:rFonts w:cs="Helvetica"/>
                <w:b/>
                <w:color w:val="141413"/>
                <w:szCs w:val="26"/>
              </w:rPr>
              <w:tab/>
              <w:t>Operation of MODA, section 24</w:t>
            </w:r>
          </w:p>
        </w:tc>
        <w:tc>
          <w:tcPr>
            <w:tcW w:w="2268" w:type="dxa"/>
            <w:shd w:val="clear" w:color="auto" w:fill="F3F3F3"/>
          </w:tcPr>
          <w:p w14:paraId="06657F3F" w14:textId="77777777" w:rsidR="00FA0EA7" w:rsidRPr="00221FC9" w:rsidRDefault="00FA0EA7" w:rsidP="009374B1">
            <w:pPr>
              <w:pStyle w:val="TableText"/>
              <w:rPr>
                <w:rFonts w:cs="Helvetica"/>
                <w:color w:val="141413"/>
                <w:szCs w:val="26"/>
              </w:rPr>
            </w:pPr>
          </w:p>
        </w:tc>
        <w:tc>
          <w:tcPr>
            <w:tcW w:w="1275" w:type="dxa"/>
            <w:shd w:val="clear" w:color="auto" w:fill="F3F3F3"/>
          </w:tcPr>
          <w:p w14:paraId="7ECF445D" w14:textId="77777777" w:rsidR="00FA0EA7" w:rsidRPr="00221FC9" w:rsidRDefault="00FA0EA7" w:rsidP="009374B1">
            <w:pPr>
              <w:pStyle w:val="TableText"/>
              <w:rPr>
                <w:rFonts w:cs="Helvetica"/>
                <w:color w:val="141413"/>
                <w:szCs w:val="26"/>
              </w:rPr>
            </w:pPr>
          </w:p>
        </w:tc>
        <w:tc>
          <w:tcPr>
            <w:tcW w:w="851" w:type="dxa"/>
            <w:shd w:val="clear" w:color="auto" w:fill="F3F3F3"/>
          </w:tcPr>
          <w:p w14:paraId="707E9D20" w14:textId="77777777" w:rsidR="00FA0EA7" w:rsidRPr="00221FC9" w:rsidRDefault="00FA0EA7" w:rsidP="009374B1">
            <w:pPr>
              <w:pStyle w:val="TableText"/>
              <w:rPr>
                <w:rFonts w:cs="Helvetica"/>
                <w:color w:val="141413"/>
                <w:szCs w:val="26"/>
              </w:rPr>
            </w:pPr>
          </w:p>
        </w:tc>
      </w:tr>
      <w:tr w:rsidR="00FA0EA7" w:rsidRPr="00221FC9" w14:paraId="66F6E662" w14:textId="77777777" w:rsidTr="007B75B0">
        <w:trPr>
          <w:cantSplit/>
          <w:trHeight w:val="20"/>
        </w:trPr>
        <w:tc>
          <w:tcPr>
            <w:tcW w:w="4422" w:type="dxa"/>
            <w:shd w:val="clear" w:color="auto" w:fill="F3F3F3"/>
          </w:tcPr>
          <w:p w14:paraId="0209BDF1" w14:textId="77777777" w:rsidR="00FA0EA7" w:rsidRPr="00221FC9" w:rsidRDefault="00FA0EA7" w:rsidP="009374B1">
            <w:pPr>
              <w:pStyle w:val="TableText"/>
              <w:rPr>
                <w:rFonts w:cs="Helvetica"/>
                <w:b/>
                <w:color w:val="141413"/>
                <w:szCs w:val="26"/>
              </w:rPr>
            </w:pPr>
            <w:r w:rsidRPr="00221FC9">
              <w:rPr>
                <w:rFonts w:cs="Helvetica"/>
                <w:b/>
                <w:color w:val="141413"/>
                <w:szCs w:val="26"/>
              </w:rPr>
              <w:t>12.2</w:t>
            </w:r>
            <w:r w:rsidRPr="00221FC9">
              <w:rPr>
                <w:rFonts w:cs="Helvetica"/>
                <w:b/>
                <w:color w:val="141413"/>
                <w:szCs w:val="26"/>
              </w:rPr>
              <w:tab/>
              <w:t>Protocol: designation of specialist services</w:t>
            </w:r>
          </w:p>
        </w:tc>
        <w:tc>
          <w:tcPr>
            <w:tcW w:w="2268" w:type="dxa"/>
            <w:shd w:val="clear" w:color="auto" w:fill="F3F3F3"/>
          </w:tcPr>
          <w:p w14:paraId="4AC888F0" w14:textId="77777777" w:rsidR="00FA0EA7" w:rsidRPr="00221FC9" w:rsidRDefault="00FA0EA7" w:rsidP="009374B1">
            <w:pPr>
              <w:pStyle w:val="TableText"/>
              <w:rPr>
                <w:rFonts w:cs="Helvetica"/>
                <w:color w:val="141413"/>
                <w:szCs w:val="26"/>
              </w:rPr>
            </w:pPr>
          </w:p>
        </w:tc>
        <w:tc>
          <w:tcPr>
            <w:tcW w:w="1275" w:type="dxa"/>
            <w:shd w:val="clear" w:color="auto" w:fill="F3F3F3"/>
          </w:tcPr>
          <w:p w14:paraId="0A3A367C" w14:textId="77777777" w:rsidR="00FA0EA7" w:rsidRPr="00221FC9" w:rsidRDefault="00FA0EA7" w:rsidP="009374B1">
            <w:pPr>
              <w:pStyle w:val="TableText"/>
              <w:rPr>
                <w:rFonts w:cs="Helvetica"/>
                <w:color w:val="141413"/>
                <w:szCs w:val="26"/>
              </w:rPr>
            </w:pPr>
          </w:p>
        </w:tc>
        <w:tc>
          <w:tcPr>
            <w:tcW w:w="851" w:type="dxa"/>
            <w:shd w:val="clear" w:color="auto" w:fill="F3F3F3"/>
          </w:tcPr>
          <w:p w14:paraId="7648EE9D" w14:textId="77777777" w:rsidR="00FA0EA7" w:rsidRPr="00221FC9" w:rsidRDefault="00FA0EA7" w:rsidP="009374B1">
            <w:pPr>
              <w:pStyle w:val="TableText"/>
              <w:rPr>
                <w:rFonts w:cs="Helvetica"/>
                <w:color w:val="141413"/>
                <w:szCs w:val="26"/>
              </w:rPr>
            </w:pPr>
          </w:p>
        </w:tc>
      </w:tr>
      <w:tr w:rsidR="00FA0EA7" w:rsidRPr="00221FC9" w14:paraId="79DF2ABF" w14:textId="77777777" w:rsidTr="007B75B0">
        <w:trPr>
          <w:cantSplit/>
          <w:trHeight w:val="20"/>
        </w:trPr>
        <w:tc>
          <w:tcPr>
            <w:tcW w:w="4422" w:type="dxa"/>
            <w:shd w:val="clear" w:color="auto" w:fill="F3F3F3"/>
          </w:tcPr>
          <w:p w14:paraId="28F1266E" w14:textId="77777777" w:rsidR="00FA0EA7" w:rsidRPr="00221FC9" w:rsidRDefault="00FA0EA7" w:rsidP="009374B1">
            <w:pPr>
              <w:pStyle w:val="TableText"/>
              <w:rPr>
                <w:rFonts w:cs="Helvetica"/>
                <w:b/>
                <w:color w:val="141413"/>
                <w:szCs w:val="26"/>
              </w:rPr>
            </w:pPr>
            <w:r w:rsidRPr="00221FC9">
              <w:rPr>
                <w:rFonts w:cs="Helvetica"/>
                <w:b/>
                <w:color w:val="141413"/>
                <w:szCs w:val="26"/>
              </w:rPr>
              <w:t>12.3</w:t>
            </w:r>
            <w:r w:rsidRPr="00221FC9">
              <w:rPr>
                <w:rFonts w:cs="Helvetica"/>
                <w:b/>
                <w:color w:val="141413"/>
                <w:szCs w:val="26"/>
              </w:rPr>
              <w:tab/>
              <w:t>Protocol: designation of lead clinicians</w:t>
            </w:r>
          </w:p>
        </w:tc>
        <w:tc>
          <w:tcPr>
            <w:tcW w:w="2268" w:type="dxa"/>
            <w:shd w:val="clear" w:color="auto" w:fill="F3F3F3"/>
          </w:tcPr>
          <w:p w14:paraId="465C01DB" w14:textId="77777777" w:rsidR="00FA0EA7" w:rsidRPr="00221FC9" w:rsidRDefault="00FA0EA7" w:rsidP="009374B1">
            <w:pPr>
              <w:pStyle w:val="TableText"/>
              <w:rPr>
                <w:rFonts w:cs="Helvetica"/>
                <w:color w:val="141413"/>
                <w:szCs w:val="26"/>
              </w:rPr>
            </w:pPr>
          </w:p>
        </w:tc>
        <w:tc>
          <w:tcPr>
            <w:tcW w:w="1275" w:type="dxa"/>
            <w:shd w:val="clear" w:color="auto" w:fill="F3F3F3"/>
          </w:tcPr>
          <w:p w14:paraId="52C01BBA" w14:textId="77777777" w:rsidR="00FA0EA7" w:rsidRPr="00221FC9" w:rsidRDefault="00FA0EA7" w:rsidP="009374B1">
            <w:pPr>
              <w:pStyle w:val="TableText"/>
              <w:rPr>
                <w:rFonts w:cs="Helvetica"/>
                <w:color w:val="141413"/>
                <w:szCs w:val="26"/>
              </w:rPr>
            </w:pPr>
          </w:p>
        </w:tc>
        <w:tc>
          <w:tcPr>
            <w:tcW w:w="851" w:type="dxa"/>
            <w:shd w:val="clear" w:color="auto" w:fill="F3F3F3"/>
          </w:tcPr>
          <w:p w14:paraId="2EF4A15D" w14:textId="77777777" w:rsidR="00FA0EA7" w:rsidRPr="00221FC9" w:rsidRDefault="00FA0EA7" w:rsidP="009374B1">
            <w:pPr>
              <w:pStyle w:val="TableText"/>
              <w:rPr>
                <w:rFonts w:cs="Helvetica"/>
                <w:color w:val="141413"/>
                <w:szCs w:val="26"/>
              </w:rPr>
            </w:pPr>
          </w:p>
        </w:tc>
      </w:tr>
      <w:tr w:rsidR="00FA0EA7" w:rsidRPr="00221FC9" w14:paraId="1D67EA6D" w14:textId="77777777" w:rsidTr="007B75B0">
        <w:trPr>
          <w:cantSplit/>
          <w:trHeight w:val="20"/>
        </w:trPr>
        <w:tc>
          <w:tcPr>
            <w:tcW w:w="4422" w:type="dxa"/>
            <w:shd w:val="clear" w:color="auto" w:fill="F3F3F3"/>
          </w:tcPr>
          <w:p w14:paraId="0177E9E9" w14:textId="77777777" w:rsidR="00FA0EA7" w:rsidRPr="00221FC9" w:rsidRDefault="00FA0EA7" w:rsidP="009374B1">
            <w:pPr>
              <w:pStyle w:val="TableText"/>
              <w:rPr>
                <w:rFonts w:cs="Helvetica"/>
                <w:b/>
                <w:color w:val="141413"/>
                <w:szCs w:val="26"/>
              </w:rPr>
            </w:pPr>
            <w:r w:rsidRPr="00221FC9">
              <w:rPr>
                <w:rFonts w:cs="Helvetica"/>
                <w:b/>
                <w:color w:val="141413"/>
                <w:szCs w:val="26"/>
              </w:rPr>
              <w:t>12.4</w:t>
            </w:r>
            <w:r w:rsidRPr="00221FC9">
              <w:rPr>
                <w:rFonts w:cs="Helvetica"/>
                <w:b/>
                <w:color w:val="141413"/>
                <w:szCs w:val="26"/>
              </w:rPr>
              <w:tab/>
              <w:t>Departure from appointment protocol</w:t>
            </w:r>
          </w:p>
        </w:tc>
        <w:tc>
          <w:tcPr>
            <w:tcW w:w="2268" w:type="dxa"/>
            <w:shd w:val="clear" w:color="auto" w:fill="F3F3F3"/>
          </w:tcPr>
          <w:p w14:paraId="70554152" w14:textId="77777777" w:rsidR="00FA0EA7" w:rsidRPr="00221FC9" w:rsidRDefault="00FA0EA7" w:rsidP="009374B1">
            <w:pPr>
              <w:pStyle w:val="TableText"/>
              <w:rPr>
                <w:rFonts w:cs="Helvetica"/>
                <w:color w:val="141413"/>
                <w:szCs w:val="26"/>
              </w:rPr>
            </w:pPr>
          </w:p>
        </w:tc>
        <w:tc>
          <w:tcPr>
            <w:tcW w:w="1275" w:type="dxa"/>
            <w:shd w:val="clear" w:color="auto" w:fill="F3F3F3"/>
          </w:tcPr>
          <w:p w14:paraId="11B7D10B" w14:textId="77777777" w:rsidR="00FA0EA7" w:rsidRPr="00221FC9" w:rsidRDefault="00FA0EA7" w:rsidP="009374B1">
            <w:pPr>
              <w:pStyle w:val="TableText"/>
              <w:rPr>
                <w:rFonts w:cs="Helvetica"/>
                <w:color w:val="141413"/>
                <w:szCs w:val="26"/>
              </w:rPr>
            </w:pPr>
          </w:p>
        </w:tc>
        <w:tc>
          <w:tcPr>
            <w:tcW w:w="851" w:type="dxa"/>
            <w:shd w:val="clear" w:color="auto" w:fill="F3F3F3"/>
          </w:tcPr>
          <w:p w14:paraId="53DB4160" w14:textId="77777777" w:rsidR="00FA0EA7" w:rsidRPr="00221FC9" w:rsidRDefault="00FA0EA7" w:rsidP="009374B1">
            <w:pPr>
              <w:pStyle w:val="TableText"/>
              <w:rPr>
                <w:rFonts w:cs="Helvetica"/>
                <w:color w:val="141413"/>
                <w:szCs w:val="26"/>
              </w:rPr>
            </w:pPr>
          </w:p>
        </w:tc>
      </w:tr>
      <w:tr w:rsidR="00FA0EA7" w:rsidRPr="00221FC9" w14:paraId="5CD92FB5" w14:textId="77777777" w:rsidTr="007B75B0">
        <w:trPr>
          <w:cantSplit/>
          <w:trHeight w:val="20"/>
        </w:trPr>
        <w:tc>
          <w:tcPr>
            <w:tcW w:w="4422" w:type="dxa"/>
            <w:shd w:val="clear" w:color="auto" w:fill="F3F3F3"/>
          </w:tcPr>
          <w:p w14:paraId="36991650" w14:textId="77777777" w:rsidR="00FA0EA7" w:rsidRPr="00221FC9" w:rsidRDefault="00FA0EA7" w:rsidP="009374B1">
            <w:pPr>
              <w:pStyle w:val="TableText"/>
              <w:rPr>
                <w:rFonts w:cs="Helvetica"/>
                <w:b/>
                <w:color w:val="141413"/>
                <w:szCs w:val="26"/>
              </w:rPr>
            </w:pPr>
            <w:r w:rsidRPr="00221FC9">
              <w:rPr>
                <w:rFonts w:cs="Helvetica"/>
                <w:b/>
                <w:color w:val="141413"/>
                <w:szCs w:val="26"/>
              </w:rPr>
              <w:t>12.5</w:t>
            </w:r>
            <w:r w:rsidRPr="00221FC9">
              <w:rPr>
                <w:rFonts w:cs="Helvetica"/>
                <w:b/>
                <w:color w:val="141413"/>
                <w:szCs w:val="26"/>
              </w:rPr>
              <w:tab/>
              <w:t>Criteria for appointment of lead clinicians</w:t>
            </w:r>
          </w:p>
        </w:tc>
        <w:tc>
          <w:tcPr>
            <w:tcW w:w="2268" w:type="dxa"/>
            <w:shd w:val="clear" w:color="auto" w:fill="F3F3F3"/>
          </w:tcPr>
          <w:p w14:paraId="29F9D62D" w14:textId="77777777" w:rsidR="00FA0EA7" w:rsidRPr="00221FC9" w:rsidRDefault="00FA0EA7" w:rsidP="009374B1">
            <w:pPr>
              <w:pStyle w:val="TableText"/>
              <w:rPr>
                <w:rFonts w:cs="Helvetica"/>
                <w:color w:val="141413"/>
                <w:szCs w:val="26"/>
              </w:rPr>
            </w:pPr>
          </w:p>
        </w:tc>
        <w:tc>
          <w:tcPr>
            <w:tcW w:w="1275" w:type="dxa"/>
            <w:shd w:val="clear" w:color="auto" w:fill="F3F3F3"/>
          </w:tcPr>
          <w:p w14:paraId="709A5163" w14:textId="77777777" w:rsidR="00FA0EA7" w:rsidRPr="00221FC9" w:rsidRDefault="00FA0EA7" w:rsidP="009374B1">
            <w:pPr>
              <w:pStyle w:val="TableText"/>
              <w:rPr>
                <w:rFonts w:cs="Helvetica"/>
                <w:color w:val="141413"/>
                <w:szCs w:val="26"/>
              </w:rPr>
            </w:pPr>
          </w:p>
        </w:tc>
        <w:tc>
          <w:tcPr>
            <w:tcW w:w="851" w:type="dxa"/>
            <w:shd w:val="clear" w:color="auto" w:fill="F3F3F3"/>
          </w:tcPr>
          <w:p w14:paraId="6B314962" w14:textId="77777777" w:rsidR="00FA0EA7" w:rsidRPr="00221FC9" w:rsidRDefault="00FA0EA7" w:rsidP="009374B1">
            <w:pPr>
              <w:pStyle w:val="TableText"/>
              <w:rPr>
                <w:rFonts w:cs="Helvetica"/>
                <w:color w:val="141413"/>
                <w:szCs w:val="26"/>
              </w:rPr>
            </w:pPr>
          </w:p>
        </w:tc>
      </w:tr>
      <w:tr w:rsidR="00FA0EA7" w:rsidRPr="00221FC9" w14:paraId="52B43172" w14:textId="77777777" w:rsidTr="007B75B0">
        <w:trPr>
          <w:cantSplit/>
          <w:trHeight w:val="20"/>
        </w:trPr>
        <w:tc>
          <w:tcPr>
            <w:tcW w:w="4422" w:type="dxa"/>
            <w:shd w:val="clear" w:color="auto" w:fill="F3F3F3"/>
          </w:tcPr>
          <w:p w14:paraId="13081D61" w14:textId="77777777" w:rsidR="00FA0EA7" w:rsidRPr="00221FC9" w:rsidRDefault="00FA0EA7" w:rsidP="009374B1">
            <w:pPr>
              <w:pStyle w:val="TableText"/>
              <w:ind w:left="567" w:hanging="567"/>
              <w:rPr>
                <w:rFonts w:cs="Helvetica"/>
                <w:b/>
                <w:color w:val="141413"/>
                <w:szCs w:val="26"/>
              </w:rPr>
            </w:pPr>
            <w:r w:rsidRPr="00221FC9">
              <w:rPr>
                <w:rFonts w:cs="Helvetica"/>
                <w:b/>
                <w:color w:val="141413"/>
                <w:szCs w:val="26"/>
              </w:rPr>
              <w:t>12.6</w:t>
            </w:r>
            <w:r w:rsidRPr="00221FC9">
              <w:rPr>
                <w:rFonts w:cs="Helvetica"/>
                <w:b/>
                <w:color w:val="141413"/>
                <w:szCs w:val="26"/>
              </w:rPr>
              <w:tab/>
              <w:t>Operating a specialist service in compliance with MODA, section 24</w:t>
            </w:r>
          </w:p>
        </w:tc>
        <w:tc>
          <w:tcPr>
            <w:tcW w:w="2268" w:type="dxa"/>
            <w:shd w:val="clear" w:color="auto" w:fill="F3F3F3"/>
          </w:tcPr>
          <w:p w14:paraId="395BD7EC" w14:textId="77777777" w:rsidR="00FA0EA7" w:rsidRPr="00221FC9" w:rsidRDefault="00FA0EA7" w:rsidP="009374B1">
            <w:pPr>
              <w:pStyle w:val="TableText"/>
              <w:rPr>
                <w:rFonts w:cs="Helvetica"/>
                <w:color w:val="141413"/>
                <w:szCs w:val="26"/>
              </w:rPr>
            </w:pPr>
          </w:p>
        </w:tc>
        <w:tc>
          <w:tcPr>
            <w:tcW w:w="1275" w:type="dxa"/>
            <w:shd w:val="clear" w:color="auto" w:fill="F3F3F3"/>
          </w:tcPr>
          <w:p w14:paraId="13774FBB" w14:textId="77777777" w:rsidR="00FA0EA7" w:rsidRPr="00221FC9" w:rsidRDefault="00FA0EA7" w:rsidP="009374B1">
            <w:pPr>
              <w:pStyle w:val="TableText"/>
              <w:rPr>
                <w:rFonts w:cs="Helvetica"/>
                <w:color w:val="141413"/>
                <w:szCs w:val="26"/>
              </w:rPr>
            </w:pPr>
          </w:p>
        </w:tc>
        <w:tc>
          <w:tcPr>
            <w:tcW w:w="851" w:type="dxa"/>
            <w:shd w:val="clear" w:color="auto" w:fill="F3F3F3"/>
          </w:tcPr>
          <w:p w14:paraId="633A67FD" w14:textId="77777777" w:rsidR="00FA0EA7" w:rsidRPr="00221FC9" w:rsidRDefault="00FA0EA7" w:rsidP="009374B1">
            <w:pPr>
              <w:pStyle w:val="TableText"/>
              <w:rPr>
                <w:rFonts w:cs="Helvetica"/>
                <w:color w:val="141413"/>
                <w:szCs w:val="26"/>
              </w:rPr>
            </w:pPr>
          </w:p>
        </w:tc>
      </w:tr>
      <w:tr w:rsidR="00FA0EA7" w:rsidRPr="00221FC9" w14:paraId="7561A562" w14:textId="77777777" w:rsidTr="007B75B0">
        <w:trPr>
          <w:cantSplit/>
          <w:trHeight w:val="20"/>
        </w:trPr>
        <w:tc>
          <w:tcPr>
            <w:tcW w:w="4422" w:type="dxa"/>
          </w:tcPr>
          <w:p w14:paraId="65D9C8C4" w14:textId="77777777" w:rsidR="00FA0EA7" w:rsidRPr="00221FC9" w:rsidRDefault="00FA0EA7" w:rsidP="009374B1">
            <w:pPr>
              <w:pStyle w:val="TableText"/>
            </w:pPr>
            <w:r w:rsidRPr="00221FC9">
              <w:t>The service complies with provisions of the Misuse of Drugs Act 1975, section 24 (or other relevant legislation) relevant to approval to offer OST.</w:t>
            </w:r>
          </w:p>
        </w:tc>
        <w:tc>
          <w:tcPr>
            <w:tcW w:w="2268" w:type="dxa"/>
          </w:tcPr>
          <w:p w14:paraId="6EF7E5A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7336CA7"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ADC02BB"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96F8C02" w14:textId="77777777" w:rsidTr="007B75B0">
        <w:trPr>
          <w:cantSplit/>
          <w:trHeight w:val="20"/>
        </w:trPr>
        <w:tc>
          <w:tcPr>
            <w:tcW w:w="4422" w:type="dxa"/>
          </w:tcPr>
          <w:p w14:paraId="3E129E8E" w14:textId="77777777" w:rsidR="00FA0EA7" w:rsidRPr="00221FC9" w:rsidRDefault="00FA0EA7" w:rsidP="009374B1">
            <w:pPr>
              <w:pStyle w:val="TableText"/>
            </w:pPr>
            <w:r w:rsidRPr="00221FC9">
              <w:t>Master copies of the Misuse of Drugs Act 1975, section 24(2)(b) authorisation forms are contained in the service’s authorisation folder.</w:t>
            </w:r>
          </w:p>
        </w:tc>
        <w:tc>
          <w:tcPr>
            <w:tcW w:w="2268" w:type="dxa"/>
          </w:tcPr>
          <w:p w14:paraId="6B599476"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6A15BC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74A536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52A8F8AB" w14:textId="77777777" w:rsidTr="007B75B0">
        <w:trPr>
          <w:cantSplit/>
          <w:trHeight w:val="20"/>
        </w:trPr>
        <w:tc>
          <w:tcPr>
            <w:tcW w:w="4422" w:type="dxa"/>
          </w:tcPr>
          <w:p w14:paraId="275B1BE5" w14:textId="77777777" w:rsidR="00FA0EA7" w:rsidRPr="00221FC9" w:rsidRDefault="00FA0EA7" w:rsidP="009374B1">
            <w:pPr>
              <w:pStyle w:val="TableText"/>
            </w:pPr>
            <w:r w:rsidRPr="00221FC9">
              <w:t xml:space="preserve">The Misuse of Drugs Act 1975, section 24(2)(d) authorisation forms are evident in tāngata </w:t>
            </w:r>
            <w:proofErr w:type="spellStart"/>
            <w:r w:rsidRPr="00221FC9">
              <w:t>whai</w:t>
            </w:r>
            <w:proofErr w:type="spellEnd"/>
            <w:r w:rsidRPr="00221FC9">
              <w:t xml:space="preserve"> ora files.</w:t>
            </w:r>
          </w:p>
        </w:tc>
        <w:tc>
          <w:tcPr>
            <w:tcW w:w="2268" w:type="dxa"/>
          </w:tcPr>
          <w:p w14:paraId="6D49DAA2"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5556CC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93A750A"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19A150F" w14:textId="77777777" w:rsidTr="007B75B0">
        <w:trPr>
          <w:cantSplit/>
          <w:trHeight w:val="20"/>
        </w:trPr>
        <w:tc>
          <w:tcPr>
            <w:tcW w:w="4422" w:type="dxa"/>
            <w:shd w:val="clear" w:color="auto" w:fill="F3F3F3"/>
          </w:tcPr>
          <w:p w14:paraId="375891A9" w14:textId="77777777" w:rsidR="00FA0EA7" w:rsidRPr="00BD2FA8" w:rsidRDefault="00FA0EA7" w:rsidP="009374B1">
            <w:pPr>
              <w:pStyle w:val="TableText"/>
              <w:ind w:left="567" w:hanging="567"/>
              <w:rPr>
                <w:b/>
                <w:bCs/>
                <w:szCs w:val="22"/>
              </w:rPr>
            </w:pPr>
            <w:r w:rsidRPr="00BD2FA8">
              <w:rPr>
                <w:b/>
                <w:bCs/>
                <w:szCs w:val="22"/>
              </w:rPr>
              <w:t>12.6.3</w:t>
            </w:r>
            <w:r w:rsidRPr="00BD2FA8">
              <w:rPr>
                <w:b/>
                <w:bCs/>
                <w:szCs w:val="22"/>
              </w:rPr>
              <w:tab/>
              <w:t>Prescribers in primary care</w:t>
            </w:r>
          </w:p>
        </w:tc>
        <w:tc>
          <w:tcPr>
            <w:tcW w:w="2268" w:type="dxa"/>
            <w:shd w:val="clear" w:color="auto" w:fill="F3F3F3"/>
          </w:tcPr>
          <w:p w14:paraId="5BD8DC8E" w14:textId="77777777" w:rsidR="00FA0EA7" w:rsidRPr="00221FC9" w:rsidRDefault="00FA0EA7" w:rsidP="009374B1">
            <w:pPr>
              <w:pStyle w:val="TableText"/>
            </w:pPr>
          </w:p>
        </w:tc>
        <w:tc>
          <w:tcPr>
            <w:tcW w:w="1275" w:type="dxa"/>
            <w:shd w:val="clear" w:color="auto" w:fill="F3F3F3"/>
          </w:tcPr>
          <w:p w14:paraId="29921D76" w14:textId="77777777" w:rsidR="00FA0EA7" w:rsidRPr="00221FC9" w:rsidRDefault="00FA0EA7" w:rsidP="009374B1">
            <w:pPr>
              <w:pStyle w:val="TableText"/>
            </w:pPr>
          </w:p>
        </w:tc>
        <w:tc>
          <w:tcPr>
            <w:tcW w:w="851" w:type="dxa"/>
            <w:shd w:val="clear" w:color="auto" w:fill="F3F3F3"/>
          </w:tcPr>
          <w:p w14:paraId="65810497" w14:textId="77777777" w:rsidR="00FA0EA7" w:rsidRPr="00221FC9" w:rsidRDefault="00FA0EA7" w:rsidP="009374B1">
            <w:pPr>
              <w:pStyle w:val="TableText"/>
            </w:pPr>
          </w:p>
        </w:tc>
      </w:tr>
      <w:tr w:rsidR="00FA0EA7" w:rsidRPr="00221FC9" w14:paraId="3FAA77F7" w14:textId="77777777" w:rsidTr="007B75B0">
        <w:trPr>
          <w:cantSplit/>
          <w:trHeight w:val="20"/>
        </w:trPr>
        <w:tc>
          <w:tcPr>
            <w:tcW w:w="4422" w:type="dxa"/>
          </w:tcPr>
          <w:p w14:paraId="2F26B21F" w14:textId="77777777" w:rsidR="00FA0EA7" w:rsidRPr="00221FC9" w:rsidRDefault="00FA0EA7" w:rsidP="009374B1">
            <w:pPr>
              <w:pStyle w:val="TableText"/>
            </w:pPr>
            <w:r w:rsidRPr="00221FC9">
              <w:rPr>
                <w:color w:val="000000"/>
                <w:szCs w:val="22"/>
              </w:rPr>
              <w:t xml:space="preserve">Correct authorisation is given to each </w:t>
            </w:r>
            <w:proofErr w:type="gramStart"/>
            <w:r w:rsidRPr="00221FC9">
              <w:rPr>
                <w:color w:val="000000"/>
                <w:szCs w:val="22"/>
              </w:rPr>
              <w:t>prescriber  and</w:t>
            </w:r>
            <w:proofErr w:type="gramEnd"/>
            <w:r w:rsidRPr="00221FC9">
              <w:rPr>
                <w:color w:val="000000"/>
                <w:szCs w:val="22"/>
              </w:rPr>
              <w:t xml:space="preserve"> prison medical officer for named tāngata </w:t>
            </w:r>
            <w:proofErr w:type="spellStart"/>
            <w:r w:rsidRPr="00221FC9">
              <w:rPr>
                <w:color w:val="000000"/>
                <w:szCs w:val="22"/>
              </w:rPr>
              <w:t>whai</w:t>
            </w:r>
            <w:proofErr w:type="spellEnd"/>
            <w:r w:rsidRPr="00221FC9">
              <w:rPr>
                <w:color w:val="000000"/>
                <w:szCs w:val="22"/>
              </w:rPr>
              <w:t xml:space="preserve"> ora, </w:t>
            </w:r>
            <w:r w:rsidRPr="00221FC9">
              <w:t>the Misuse of Drugs Act 1975.</w:t>
            </w:r>
          </w:p>
        </w:tc>
        <w:tc>
          <w:tcPr>
            <w:tcW w:w="2268" w:type="dxa"/>
          </w:tcPr>
          <w:p w14:paraId="7A8C28A6"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6E005CE4"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EF888F2"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69216DE5" w14:textId="77777777" w:rsidTr="007B75B0">
        <w:trPr>
          <w:cantSplit/>
          <w:trHeight w:val="20"/>
        </w:trPr>
        <w:tc>
          <w:tcPr>
            <w:tcW w:w="4422" w:type="dxa"/>
          </w:tcPr>
          <w:p w14:paraId="09C92696" w14:textId="77777777" w:rsidR="00FA0EA7" w:rsidRPr="00221FC9" w:rsidRDefault="00FA0EA7" w:rsidP="009374B1">
            <w:pPr>
              <w:pStyle w:val="TableText"/>
            </w:pPr>
            <w:r w:rsidRPr="00221FC9">
              <w:t>Copies of each prescriber authority are sent to the dispensing pharmacy and to Medicines Control, the Misuse of Drugs Act 1975.</w:t>
            </w:r>
          </w:p>
        </w:tc>
        <w:tc>
          <w:tcPr>
            <w:tcW w:w="2268" w:type="dxa"/>
          </w:tcPr>
          <w:p w14:paraId="04D9F288"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839FB1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3615C5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B3A60DF" w14:textId="77777777" w:rsidTr="007B75B0">
        <w:trPr>
          <w:cantSplit/>
          <w:trHeight w:val="20"/>
        </w:trPr>
        <w:tc>
          <w:tcPr>
            <w:tcW w:w="4422" w:type="dxa"/>
          </w:tcPr>
          <w:p w14:paraId="4281CBAC" w14:textId="77777777" w:rsidR="00FA0EA7" w:rsidRPr="00221FC9" w:rsidRDefault="00FA0EA7" w:rsidP="009374B1">
            <w:pPr>
              <w:pStyle w:val="TableText"/>
            </w:pPr>
            <w:r w:rsidRPr="00221FC9">
              <w:t>The lead clinician ensures that authorised prescribers comply with the sector standards and practice guidelines and have regular clinical supervision and access to relevant training, the Misuse of Drugs Act 1975.</w:t>
            </w:r>
          </w:p>
        </w:tc>
        <w:tc>
          <w:tcPr>
            <w:tcW w:w="2268" w:type="dxa"/>
          </w:tcPr>
          <w:p w14:paraId="086F6B64"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577900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6DC447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6BFF76D" w14:textId="77777777" w:rsidTr="007B75B0">
        <w:trPr>
          <w:cantSplit/>
          <w:trHeight w:val="20"/>
        </w:trPr>
        <w:tc>
          <w:tcPr>
            <w:tcW w:w="4422" w:type="dxa"/>
          </w:tcPr>
          <w:p w14:paraId="59A2F8DE" w14:textId="77777777" w:rsidR="00FA0EA7" w:rsidRPr="00221FC9" w:rsidRDefault="00FA0EA7" w:rsidP="009374B1">
            <w:pPr>
              <w:pStyle w:val="TableText"/>
              <w:rPr>
                <w:color w:val="000000"/>
                <w:szCs w:val="22"/>
              </w:rPr>
            </w:pPr>
            <w:r w:rsidRPr="00221FC9">
              <w:rPr>
                <w:color w:val="000000"/>
                <w:szCs w:val="22"/>
              </w:rPr>
              <w:t>The service ensures that all health professionals authorised to prescribe have information on how to:</w:t>
            </w:r>
          </w:p>
          <w:p w14:paraId="5C323CC8" w14:textId="77777777" w:rsidR="00FA0EA7" w:rsidRPr="00221FC9" w:rsidRDefault="00FA0EA7" w:rsidP="009374B1">
            <w:pPr>
              <w:pStyle w:val="TableBullet"/>
            </w:pPr>
            <w:r w:rsidRPr="00221FC9">
              <w:t>discuss management problems</w:t>
            </w:r>
          </w:p>
          <w:p w14:paraId="0E52A039" w14:textId="77777777" w:rsidR="00FA0EA7" w:rsidRPr="00221FC9" w:rsidRDefault="00FA0EA7" w:rsidP="009374B1">
            <w:pPr>
              <w:pStyle w:val="TableBullet"/>
            </w:pPr>
            <w:r w:rsidRPr="00221FC9">
              <w:t>request reviews</w:t>
            </w:r>
          </w:p>
          <w:p w14:paraId="12D95CD6" w14:textId="77777777" w:rsidR="00FA0EA7" w:rsidRPr="00221FC9" w:rsidRDefault="00FA0EA7" w:rsidP="009374B1">
            <w:pPr>
              <w:pStyle w:val="TableBullet"/>
            </w:pPr>
            <w:r w:rsidRPr="00221FC9">
              <w:t xml:space="preserve">transfer tāngata </w:t>
            </w:r>
            <w:proofErr w:type="spellStart"/>
            <w:r w:rsidRPr="00221FC9">
              <w:t>whai</w:t>
            </w:r>
            <w:proofErr w:type="spellEnd"/>
            <w:r w:rsidRPr="00221FC9">
              <w:t xml:space="preserve"> ora back to services.</w:t>
            </w:r>
          </w:p>
        </w:tc>
        <w:tc>
          <w:tcPr>
            <w:tcW w:w="2268" w:type="dxa"/>
          </w:tcPr>
          <w:p w14:paraId="37CB4513"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0C25C0B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F6026DF"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2FDD912" w14:textId="77777777" w:rsidTr="007B75B0">
        <w:trPr>
          <w:cantSplit/>
          <w:trHeight w:val="20"/>
        </w:trPr>
        <w:tc>
          <w:tcPr>
            <w:tcW w:w="4422" w:type="dxa"/>
            <w:shd w:val="clear" w:color="auto" w:fill="F3F3F3"/>
          </w:tcPr>
          <w:p w14:paraId="4D83F633" w14:textId="77777777" w:rsidR="00FA0EA7" w:rsidRPr="00BD2FA8" w:rsidRDefault="00FA0EA7" w:rsidP="009374B1">
            <w:pPr>
              <w:pStyle w:val="TableText"/>
              <w:rPr>
                <w:b/>
                <w:bCs/>
                <w:szCs w:val="22"/>
              </w:rPr>
            </w:pPr>
            <w:r w:rsidRPr="00BD2FA8">
              <w:rPr>
                <w:b/>
                <w:bCs/>
                <w:szCs w:val="22"/>
              </w:rPr>
              <w:t>12.7.2</w:t>
            </w:r>
            <w:r w:rsidRPr="00BD2FA8">
              <w:rPr>
                <w:b/>
                <w:bCs/>
                <w:szCs w:val="22"/>
              </w:rPr>
              <w:tab/>
              <w:t>Period of prescriber authority</w:t>
            </w:r>
          </w:p>
        </w:tc>
        <w:tc>
          <w:tcPr>
            <w:tcW w:w="2268" w:type="dxa"/>
            <w:shd w:val="clear" w:color="auto" w:fill="F3F3F3"/>
          </w:tcPr>
          <w:p w14:paraId="5A88E80E" w14:textId="77777777" w:rsidR="00FA0EA7" w:rsidRPr="00221FC9" w:rsidRDefault="00FA0EA7" w:rsidP="009374B1">
            <w:pPr>
              <w:pStyle w:val="TableText"/>
              <w:rPr>
                <w:szCs w:val="22"/>
              </w:rPr>
            </w:pPr>
          </w:p>
        </w:tc>
        <w:tc>
          <w:tcPr>
            <w:tcW w:w="1275" w:type="dxa"/>
            <w:shd w:val="clear" w:color="auto" w:fill="F3F3F3"/>
          </w:tcPr>
          <w:p w14:paraId="513B3FA5" w14:textId="77777777" w:rsidR="00FA0EA7" w:rsidRPr="00221FC9" w:rsidRDefault="00FA0EA7" w:rsidP="009374B1">
            <w:pPr>
              <w:pStyle w:val="TableText"/>
              <w:rPr>
                <w:szCs w:val="22"/>
              </w:rPr>
            </w:pPr>
          </w:p>
        </w:tc>
        <w:tc>
          <w:tcPr>
            <w:tcW w:w="851" w:type="dxa"/>
            <w:shd w:val="clear" w:color="auto" w:fill="F3F3F3"/>
          </w:tcPr>
          <w:p w14:paraId="69057F9F" w14:textId="77777777" w:rsidR="00FA0EA7" w:rsidRPr="00221FC9" w:rsidRDefault="00FA0EA7" w:rsidP="009374B1">
            <w:pPr>
              <w:pStyle w:val="TableText"/>
              <w:rPr>
                <w:szCs w:val="22"/>
              </w:rPr>
            </w:pPr>
          </w:p>
        </w:tc>
      </w:tr>
      <w:tr w:rsidR="00FA0EA7" w:rsidRPr="00221FC9" w14:paraId="2F5993E0" w14:textId="77777777" w:rsidTr="007B75B0">
        <w:trPr>
          <w:cantSplit/>
          <w:trHeight w:val="20"/>
        </w:trPr>
        <w:tc>
          <w:tcPr>
            <w:tcW w:w="4422" w:type="dxa"/>
          </w:tcPr>
          <w:p w14:paraId="2F7D4701" w14:textId="77777777" w:rsidR="00FA0EA7" w:rsidRPr="00221FC9" w:rsidRDefault="00FA0EA7" w:rsidP="009374B1">
            <w:pPr>
              <w:pStyle w:val="TableText"/>
              <w:rPr>
                <w:color w:val="000000"/>
              </w:rPr>
            </w:pPr>
            <w:r w:rsidRPr="00221FC9">
              <w:rPr>
                <w:color w:val="000000"/>
                <w:szCs w:val="22"/>
              </w:rPr>
              <w:t xml:space="preserve">A prescribing authority is updated at three-monthly intervals, or longer only with approval from the Medical Officer of Health, Medicines Control, </w:t>
            </w:r>
            <w:r w:rsidRPr="00221FC9">
              <w:t>the Misuse of Drugs Act 1975, section</w:t>
            </w:r>
            <w:r w:rsidRPr="00221FC9">
              <w:rPr>
                <w:color w:val="000000"/>
                <w:szCs w:val="22"/>
              </w:rPr>
              <w:t xml:space="preserve"> 12.7.2.</w:t>
            </w:r>
          </w:p>
        </w:tc>
        <w:tc>
          <w:tcPr>
            <w:tcW w:w="2268" w:type="dxa"/>
          </w:tcPr>
          <w:p w14:paraId="7419C56E"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1BB80586"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7DB8A33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1A8AC2A2" w14:textId="77777777" w:rsidR="00FA0EA7" w:rsidRPr="00221FC9" w:rsidRDefault="00FA0EA7" w:rsidP="00FA0EA7"/>
    <w:p w14:paraId="5859748D" w14:textId="77777777" w:rsidR="00FA0EA7" w:rsidRPr="00221FC9" w:rsidRDefault="00FA0EA7" w:rsidP="00FA0EA7">
      <w:pPr>
        <w:pStyle w:val="Heading4"/>
      </w:pPr>
      <w:bookmarkStart w:id="79" w:name="_Toc180767068"/>
      <w:bookmarkStart w:id="80" w:name="_Toc164652368"/>
      <w:bookmarkStart w:id="81" w:name="_Toc403048465"/>
      <w:r w:rsidRPr="00221FC9">
        <w:lastRenderedPageBreak/>
        <w:t>Section attainment summary</w:t>
      </w:r>
    </w:p>
    <w:tbl>
      <w:tblPr>
        <w:tblStyle w:val="TableGrid"/>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2339"/>
        <w:gridCol w:w="2368"/>
        <w:gridCol w:w="2055"/>
        <w:gridCol w:w="1914"/>
      </w:tblGrid>
      <w:tr w:rsidR="00FA0EA7" w:rsidRPr="00221FC9" w14:paraId="7872247F" w14:textId="77777777" w:rsidTr="007B75B0">
        <w:trPr>
          <w:cantSplit/>
        </w:trPr>
        <w:tc>
          <w:tcPr>
            <w:tcW w:w="8676" w:type="dxa"/>
            <w:gridSpan w:val="4"/>
            <w:shd w:val="clear" w:color="auto" w:fill="FFFF99"/>
          </w:tcPr>
          <w:p w14:paraId="7AD92BCC" w14:textId="77777777" w:rsidR="00FA0EA7" w:rsidRPr="00221FC9" w:rsidRDefault="00FA0EA7" w:rsidP="009374B1">
            <w:pPr>
              <w:pStyle w:val="TableText"/>
              <w:spacing w:after="0"/>
              <w:rPr>
                <w:b/>
              </w:rPr>
            </w:pPr>
            <w:r w:rsidRPr="00221FC9">
              <w:rPr>
                <w:b/>
              </w:rPr>
              <w:t>Indicators (out of 8):</w:t>
            </w:r>
          </w:p>
        </w:tc>
      </w:tr>
      <w:tr w:rsidR="00FA0EA7" w:rsidRPr="00221FC9" w14:paraId="36A7FB45" w14:textId="77777777" w:rsidTr="007B75B0">
        <w:trPr>
          <w:cantSplit/>
        </w:trPr>
        <w:tc>
          <w:tcPr>
            <w:tcW w:w="2339" w:type="dxa"/>
            <w:shd w:val="clear" w:color="auto" w:fill="FFFF99"/>
          </w:tcPr>
          <w:p w14:paraId="4DEF11D9"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368" w:type="dxa"/>
            <w:shd w:val="clear" w:color="auto" w:fill="FFFF99"/>
          </w:tcPr>
          <w:p w14:paraId="678C9975"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5" w:type="dxa"/>
            <w:shd w:val="clear" w:color="auto" w:fill="FFFF99"/>
          </w:tcPr>
          <w:p w14:paraId="17E7FF5D"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914" w:type="dxa"/>
            <w:shd w:val="clear" w:color="auto" w:fill="FFFF99"/>
          </w:tcPr>
          <w:p w14:paraId="3A3C4ECE"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1573AA07" w14:textId="77777777" w:rsidR="00FA0EA7" w:rsidRPr="00221FC9" w:rsidRDefault="00FA0EA7" w:rsidP="00FA0EA7">
      <w:pPr>
        <w:pStyle w:val="Heading4"/>
      </w:pPr>
      <w:r w:rsidRPr="00221FC9">
        <w:t>Summary of recommended actions</w:t>
      </w:r>
    </w:p>
    <w:tbl>
      <w:tblPr>
        <w:tblStyle w:val="TableGrid"/>
        <w:tblW w:w="867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ayout w:type="fixed"/>
        <w:tblLook w:val="04A0" w:firstRow="1" w:lastRow="0" w:firstColumn="1" w:lastColumn="0" w:noHBand="0" w:noVBand="1"/>
      </w:tblPr>
      <w:tblGrid>
        <w:gridCol w:w="8676"/>
      </w:tblGrid>
      <w:tr w:rsidR="00FA0EA7" w:rsidRPr="00221FC9" w14:paraId="0CD6005F" w14:textId="77777777" w:rsidTr="007B75B0">
        <w:trPr>
          <w:cantSplit/>
          <w:trHeight w:val="1134"/>
        </w:trPr>
        <w:tc>
          <w:tcPr>
            <w:tcW w:w="8676" w:type="dxa"/>
            <w:shd w:val="clear" w:color="auto" w:fill="FFFF99"/>
          </w:tcPr>
          <w:p w14:paraId="114E8877"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08D8E666" w14:textId="77777777" w:rsidR="00FA0EA7" w:rsidRPr="00221FC9" w:rsidRDefault="00FA0EA7" w:rsidP="00FA0EA7"/>
    <w:p w14:paraId="32E38E99" w14:textId="77777777" w:rsidR="00AE32F4" w:rsidRDefault="00AE32F4" w:rsidP="00FA0EA7">
      <w:pPr>
        <w:pStyle w:val="Heading3"/>
        <w:rPr>
          <w:rFonts w:eastAsia="PMingLiU"/>
        </w:rPr>
        <w:sectPr w:rsidR="00AE32F4" w:rsidSect="00150ECE">
          <w:pgSz w:w="11907" w:h="16834" w:code="9"/>
          <w:pgMar w:top="1418" w:right="1701" w:bottom="1134" w:left="1843" w:header="284" w:footer="425" w:gutter="284"/>
          <w:cols w:space="720"/>
        </w:sectPr>
      </w:pPr>
    </w:p>
    <w:p w14:paraId="040B9F24" w14:textId="77777777" w:rsidR="00FA0EA7" w:rsidRPr="00221FC9" w:rsidRDefault="00FA0EA7" w:rsidP="000D6740">
      <w:pPr>
        <w:pStyle w:val="Heading3"/>
        <w:spacing w:before="0"/>
        <w:rPr>
          <w:rFonts w:eastAsia="PMingLiU"/>
        </w:rPr>
      </w:pPr>
      <w:r w:rsidRPr="00221FC9">
        <w:rPr>
          <w:rFonts w:eastAsia="PMingLiU"/>
        </w:rPr>
        <w:lastRenderedPageBreak/>
        <w:t>13</w:t>
      </w:r>
      <w:r w:rsidRPr="00221FC9">
        <w:rPr>
          <w:rFonts w:eastAsia="PMingLiU"/>
        </w:rPr>
        <w:tab/>
        <w:t xml:space="preserve">Interim </w:t>
      </w:r>
      <w:bookmarkEnd w:id="79"/>
      <w:bookmarkEnd w:id="80"/>
      <w:r w:rsidRPr="00221FC9">
        <w:rPr>
          <w:rFonts w:eastAsia="PMingLiU"/>
        </w:rPr>
        <w:t>prescribing</w:t>
      </w:r>
      <w:bookmarkEnd w:id="81"/>
    </w:p>
    <w:p w14:paraId="4CE4D183" w14:textId="77777777" w:rsidR="00FA0EA7" w:rsidRPr="00221FC9" w:rsidRDefault="00FA0EA7" w:rsidP="00FA0EA7">
      <w:r w:rsidRPr="00221FC9">
        <w:t>This section applies only to those specialist OST services that offer an interim methadone prescribing programme.</w:t>
      </w:r>
    </w:p>
    <w:p w14:paraId="01467997" w14:textId="77777777" w:rsidR="00FA0EA7" w:rsidRPr="00221FC9" w:rsidRDefault="00FA0EA7" w:rsidP="00FA0EA7"/>
    <w:p w14:paraId="07B35805" w14:textId="77777777" w:rsidR="00FA0EA7" w:rsidRPr="00221FC9" w:rsidRDefault="00FA0EA7" w:rsidP="00FA0EA7">
      <w:r w:rsidRPr="00221FC9">
        <w:t>The indicators below are set out in</w:t>
      </w:r>
      <w:r>
        <w:rPr>
          <w:i/>
        </w:rPr>
        <w:t xml:space="preserve"> New Zealand Practice Guidelines for Opioid Substitution Treatment </w:t>
      </w:r>
      <w:r w:rsidRPr="00221FC9">
        <w:t>(Ministry of Health 20</w:t>
      </w:r>
      <w:r>
        <w:t>25</w:t>
      </w:r>
      <w:r w:rsidRPr="00221FC9">
        <w:t>)</w:t>
      </w:r>
      <w:r>
        <w:t xml:space="preserve"> Appendix 7</w:t>
      </w:r>
      <w:r w:rsidRPr="00221FC9">
        <w:t>.</w:t>
      </w:r>
    </w:p>
    <w:p w14:paraId="06447A35" w14:textId="77777777" w:rsidR="00FA0EA7" w:rsidRPr="00221FC9" w:rsidRDefault="00FA0EA7" w:rsidP="00FA0EA7"/>
    <w:tbl>
      <w:tblPr>
        <w:tblW w:w="8816"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0A0" w:firstRow="1" w:lastRow="0" w:firstColumn="1" w:lastColumn="0" w:noHBand="0" w:noVBand="0"/>
      </w:tblPr>
      <w:tblGrid>
        <w:gridCol w:w="4422"/>
        <w:gridCol w:w="2268"/>
        <w:gridCol w:w="1275"/>
        <w:gridCol w:w="851"/>
      </w:tblGrid>
      <w:tr w:rsidR="00FA0EA7" w:rsidRPr="00221FC9" w14:paraId="226799F5" w14:textId="77777777" w:rsidTr="007B75B0">
        <w:trPr>
          <w:cantSplit/>
          <w:trHeight w:val="20"/>
          <w:tblHeader/>
        </w:trPr>
        <w:tc>
          <w:tcPr>
            <w:tcW w:w="4422" w:type="dxa"/>
            <w:shd w:val="clear" w:color="auto" w:fill="D9D9D9" w:themeFill="background1" w:themeFillShade="D9"/>
          </w:tcPr>
          <w:p w14:paraId="0C10FFB0" w14:textId="77777777" w:rsidR="00FA0EA7" w:rsidRPr="00221FC9" w:rsidRDefault="00FA0EA7" w:rsidP="009374B1">
            <w:pPr>
              <w:pStyle w:val="TableText"/>
              <w:rPr>
                <w:rFonts w:eastAsia="PMingLiU"/>
                <w:b/>
              </w:rPr>
            </w:pPr>
            <w:r w:rsidRPr="00221FC9">
              <w:rPr>
                <w:rFonts w:eastAsia="PMingLiU"/>
                <w:b/>
              </w:rPr>
              <w:t>Indicators</w:t>
            </w:r>
          </w:p>
        </w:tc>
        <w:tc>
          <w:tcPr>
            <w:tcW w:w="2268" w:type="dxa"/>
            <w:shd w:val="clear" w:color="auto" w:fill="D9D9D9" w:themeFill="background1" w:themeFillShade="D9"/>
          </w:tcPr>
          <w:p w14:paraId="032DB628" w14:textId="55BF0BEC" w:rsidR="00FA0EA7" w:rsidRPr="00221FC9" w:rsidRDefault="00C11D97" w:rsidP="009374B1">
            <w:pPr>
              <w:pStyle w:val="TableText"/>
              <w:rPr>
                <w:rFonts w:eastAsia="PMingLiU"/>
                <w:b/>
              </w:rPr>
            </w:pPr>
            <w:r>
              <w:rPr>
                <w:rFonts w:eastAsia="PMingLiU"/>
                <w:b/>
              </w:rPr>
              <w:t>Data source/</w:t>
            </w:r>
            <w:r w:rsidR="00FA0EA7" w:rsidRPr="00221FC9">
              <w:rPr>
                <w:rFonts w:eastAsia="PMingLiU"/>
                <w:b/>
              </w:rPr>
              <w:t>Evidence</w:t>
            </w:r>
          </w:p>
        </w:tc>
        <w:tc>
          <w:tcPr>
            <w:tcW w:w="1275" w:type="dxa"/>
            <w:shd w:val="clear" w:color="auto" w:fill="D9D9D9" w:themeFill="background1" w:themeFillShade="D9"/>
          </w:tcPr>
          <w:p w14:paraId="0BB1C2A3" w14:textId="77777777" w:rsidR="00FA0EA7" w:rsidRPr="00221FC9" w:rsidRDefault="00FA0EA7" w:rsidP="009374B1">
            <w:pPr>
              <w:pStyle w:val="TableText"/>
              <w:jc w:val="center"/>
              <w:rPr>
                <w:rFonts w:eastAsia="PMingLiU"/>
                <w:b/>
              </w:rPr>
            </w:pPr>
            <w:r w:rsidRPr="00221FC9">
              <w:rPr>
                <w:rFonts w:eastAsia="PMingLiU"/>
                <w:b/>
              </w:rPr>
              <w:t>Attainment</w:t>
            </w:r>
          </w:p>
        </w:tc>
        <w:tc>
          <w:tcPr>
            <w:tcW w:w="851" w:type="dxa"/>
            <w:shd w:val="clear" w:color="auto" w:fill="D9D9D9" w:themeFill="background1" w:themeFillShade="D9"/>
          </w:tcPr>
          <w:p w14:paraId="3D84957C" w14:textId="77777777" w:rsidR="00FA0EA7" w:rsidRPr="00221FC9" w:rsidRDefault="00FA0EA7" w:rsidP="009374B1">
            <w:pPr>
              <w:pStyle w:val="TableText"/>
              <w:jc w:val="center"/>
              <w:rPr>
                <w:rFonts w:eastAsia="PMingLiU"/>
                <w:b/>
              </w:rPr>
            </w:pPr>
            <w:r w:rsidRPr="00221FC9">
              <w:rPr>
                <w:rFonts w:eastAsia="PMingLiU"/>
                <w:b/>
              </w:rPr>
              <w:t>Risk</w:t>
            </w:r>
          </w:p>
        </w:tc>
      </w:tr>
      <w:tr w:rsidR="00FA0EA7" w:rsidRPr="00221FC9" w14:paraId="52420B48" w14:textId="77777777" w:rsidTr="007B75B0">
        <w:trPr>
          <w:cantSplit/>
          <w:trHeight w:val="20"/>
        </w:trPr>
        <w:tc>
          <w:tcPr>
            <w:tcW w:w="4422" w:type="dxa"/>
            <w:shd w:val="clear" w:color="auto" w:fill="F3F3F3"/>
          </w:tcPr>
          <w:p w14:paraId="7B8A0BC4" w14:textId="77777777" w:rsidR="00FA0EA7" w:rsidRPr="00221FC9" w:rsidRDefault="00FA0EA7" w:rsidP="009374B1">
            <w:pPr>
              <w:pStyle w:val="TableText"/>
              <w:rPr>
                <w:rFonts w:cs="Helvetica"/>
                <w:b/>
                <w:color w:val="141413"/>
                <w:szCs w:val="26"/>
              </w:rPr>
            </w:pPr>
            <w:r w:rsidRPr="00221FC9">
              <w:rPr>
                <w:rFonts w:cs="Helvetica"/>
                <w:b/>
                <w:color w:val="141413"/>
                <w:szCs w:val="26"/>
              </w:rPr>
              <w:t>13.1</w:t>
            </w:r>
            <w:r w:rsidRPr="00221FC9">
              <w:rPr>
                <w:rFonts w:cs="Helvetica"/>
                <w:b/>
                <w:color w:val="141413"/>
                <w:szCs w:val="26"/>
              </w:rPr>
              <w:tab/>
              <w:t>Eligibility</w:t>
            </w:r>
          </w:p>
        </w:tc>
        <w:tc>
          <w:tcPr>
            <w:tcW w:w="2268" w:type="dxa"/>
            <w:shd w:val="clear" w:color="auto" w:fill="F3F3F3"/>
          </w:tcPr>
          <w:p w14:paraId="79F24E25" w14:textId="77777777" w:rsidR="00FA0EA7" w:rsidRPr="00221FC9" w:rsidRDefault="00FA0EA7" w:rsidP="009374B1">
            <w:pPr>
              <w:pStyle w:val="TableText"/>
              <w:rPr>
                <w:rFonts w:cs="Helvetica"/>
                <w:color w:val="141413"/>
                <w:szCs w:val="26"/>
              </w:rPr>
            </w:pPr>
          </w:p>
        </w:tc>
        <w:tc>
          <w:tcPr>
            <w:tcW w:w="1275" w:type="dxa"/>
            <w:shd w:val="clear" w:color="auto" w:fill="F3F3F3"/>
          </w:tcPr>
          <w:p w14:paraId="5FACC9AA" w14:textId="77777777" w:rsidR="00FA0EA7" w:rsidRPr="00221FC9" w:rsidRDefault="00FA0EA7" w:rsidP="009374B1">
            <w:pPr>
              <w:pStyle w:val="TableText"/>
              <w:jc w:val="center"/>
              <w:rPr>
                <w:rFonts w:cs="Helvetica"/>
                <w:color w:val="141413"/>
                <w:szCs w:val="26"/>
              </w:rPr>
            </w:pPr>
          </w:p>
        </w:tc>
        <w:tc>
          <w:tcPr>
            <w:tcW w:w="851" w:type="dxa"/>
            <w:shd w:val="clear" w:color="auto" w:fill="F3F3F3"/>
          </w:tcPr>
          <w:p w14:paraId="02C17214" w14:textId="77777777" w:rsidR="00FA0EA7" w:rsidRPr="00221FC9" w:rsidRDefault="00FA0EA7" w:rsidP="009374B1">
            <w:pPr>
              <w:pStyle w:val="TableText"/>
              <w:jc w:val="center"/>
              <w:rPr>
                <w:rFonts w:cs="Helvetica"/>
                <w:color w:val="141413"/>
                <w:szCs w:val="26"/>
              </w:rPr>
            </w:pPr>
          </w:p>
        </w:tc>
      </w:tr>
      <w:tr w:rsidR="00FA0EA7" w:rsidRPr="00221FC9" w14:paraId="684161F3" w14:textId="77777777" w:rsidTr="007B75B0">
        <w:trPr>
          <w:cantSplit/>
          <w:trHeight w:val="20"/>
        </w:trPr>
        <w:tc>
          <w:tcPr>
            <w:tcW w:w="4422" w:type="dxa"/>
          </w:tcPr>
          <w:p w14:paraId="4AB7B4D5" w14:textId="77777777" w:rsidR="00FA0EA7" w:rsidRPr="00221FC9" w:rsidRDefault="00FA0EA7" w:rsidP="009374B1">
            <w:pPr>
              <w:pStyle w:val="TableText"/>
            </w:pPr>
            <w:r w:rsidRPr="00221FC9">
              <w:t xml:space="preserve">Interim methadone treatment prescribed by an authorised prescriber is offered to tāngata </w:t>
            </w:r>
            <w:proofErr w:type="spellStart"/>
            <w:r w:rsidRPr="00221FC9">
              <w:t>whai</w:t>
            </w:r>
            <w:proofErr w:type="spellEnd"/>
            <w:r w:rsidRPr="00221FC9">
              <w:t xml:space="preserve"> ora when OST is clinically indicated (following comprehensive assessment) and there is a longer than two-week waiting list for OST.</w:t>
            </w:r>
          </w:p>
        </w:tc>
        <w:tc>
          <w:tcPr>
            <w:tcW w:w="2268" w:type="dxa"/>
          </w:tcPr>
          <w:p w14:paraId="04A11A89"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383B45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5EAB2F45"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47850045" w14:textId="77777777" w:rsidTr="007B75B0">
        <w:trPr>
          <w:cantSplit/>
          <w:trHeight w:val="20"/>
        </w:trPr>
        <w:tc>
          <w:tcPr>
            <w:tcW w:w="4422" w:type="dxa"/>
          </w:tcPr>
          <w:p w14:paraId="2F579918" w14:textId="77777777" w:rsidR="00FA0EA7" w:rsidRPr="00221FC9" w:rsidRDefault="00FA0EA7" w:rsidP="009374B1">
            <w:pPr>
              <w:pStyle w:val="TableText"/>
            </w:pPr>
            <w:r w:rsidRPr="00221FC9">
              <w:t xml:space="preserve">Tāngata </w:t>
            </w:r>
            <w:proofErr w:type="spellStart"/>
            <w:r w:rsidRPr="00221FC9">
              <w:t>whai</w:t>
            </w:r>
            <w:proofErr w:type="spellEnd"/>
            <w:r w:rsidRPr="00221FC9">
              <w:t xml:space="preserve"> ora receiving interim methadone treatment are retained on a waiting list for the full OST programme.</w:t>
            </w:r>
          </w:p>
        </w:tc>
        <w:tc>
          <w:tcPr>
            <w:tcW w:w="2268" w:type="dxa"/>
          </w:tcPr>
          <w:p w14:paraId="4E99042F"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5F427070"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12E0721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240BC888" w14:textId="77777777" w:rsidTr="007B75B0">
        <w:trPr>
          <w:cantSplit/>
          <w:trHeight w:val="20"/>
        </w:trPr>
        <w:tc>
          <w:tcPr>
            <w:tcW w:w="4422" w:type="dxa"/>
            <w:shd w:val="clear" w:color="auto" w:fill="F3F3F3"/>
          </w:tcPr>
          <w:p w14:paraId="546827D7" w14:textId="77777777" w:rsidR="00FA0EA7" w:rsidRPr="00221FC9" w:rsidRDefault="00FA0EA7" w:rsidP="009374B1">
            <w:pPr>
              <w:pStyle w:val="TableText"/>
              <w:ind w:left="567" w:hanging="567"/>
              <w:rPr>
                <w:b/>
              </w:rPr>
            </w:pPr>
            <w:r w:rsidRPr="00221FC9">
              <w:rPr>
                <w:b/>
              </w:rPr>
              <w:t>13.2</w:t>
            </w:r>
            <w:r w:rsidRPr="00221FC9">
              <w:rPr>
                <w:b/>
              </w:rPr>
              <w:tab/>
              <w:t>Consent to interim methadone prescribing programme</w:t>
            </w:r>
          </w:p>
        </w:tc>
        <w:tc>
          <w:tcPr>
            <w:tcW w:w="2268" w:type="dxa"/>
            <w:shd w:val="clear" w:color="auto" w:fill="F3F3F3"/>
          </w:tcPr>
          <w:p w14:paraId="3ACD359A" w14:textId="77777777" w:rsidR="00FA0EA7" w:rsidRPr="00221FC9" w:rsidRDefault="00FA0EA7" w:rsidP="009374B1">
            <w:pPr>
              <w:pStyle w:val="TableText"/>
            </w:pPr>
          </w:p>
        </w:tc>
        <w:tc>
          <w:tcPr>
            <w:tcW w:w="1275" w:type="dxa"/>
            <w:shd w:val="clear" w:color="auto" w:fill="F3F3F3"/>
          </w:tcPr>
          <w:p w14:paraId="6D8E2E42" w14:textId="77777777" w:rsidR="00FA0EA7" w:rsidRPr="00221FC9" w:rsidRDefault="00FA0EA7" w:rsidP="009374B1">
            <w:pPr>
              <w:pStyle w:val="TableText"/>
              <w:jc w:val="center"/>
            </w:pPr>
          </w:p>
        </w:tc>
        <w:tc>
          <w:tcPr>
            <w:tcW w:w="851" w:type="dxa"/>
            <w:shd w:val="clear" w:color="auto" w:fill="F3F3F3"/>
          </w:tcPr>
          <w:p w14:paraId="0291879A" w14:textId="77777777" w:rsidR="00FA0EA7" w:rsidRPr="00221FC9" w:rsidRDefault="00FA0EA7" w:rsidP="009374B1">
            <w:pPr>
              <w:pStyle w:val="TableText"/>
              <w:jc w:val="center"/>
            </w:pPr>
          </w:p>
        </w:tc>
      </w:tr>
      <w:tr w:rsidR="00FA0EA7" w:rsidRPr="00221FC9" w14:paraId="0346CC43" w14:textId="77777777" w:rsidTr="007B75B0">
        <w:trPr>
          <w:cantSplit/>
          <w:trHeight w:val="20"/>
        </w:trPr>
        <w:tc>
          <w:tcPr>
            <w:tcW w:w="4422" w:type="dxa"/>
          </w:tcPr>
          <w:p w14:paraId="7318DBFA" w14:textId="77777777" w:rsidR="00FA0EA7" w:rsidRPr="00221FC9" w:rsidRDefault="00FA0EA7" w:rsidP="009374B1">
            <w:pPr>
              <w:pStyle w:val="TableText"/>
            </w:pPr>
            <w:r w:rsidRPr="00221FC9">
              <w:t>The Consent to Treatment form sets out the following treatment terms:</w:t>
            </w:r>
          </w:p>
          <w:p w14:paraId="1BBBFD1C" w14:textId="77777777" w:rsidR="00FA0EA7" w:rsidRPr="00221FC9" w:rsidRDefault="00FA0EA7" w:rsidP="009374B1">
            <w:pPr>
              <w:pStyle w:val="TableText"/>
              <w:ind w:left="284" w:hanging="284"/>
            </w:pPr>
            <w:r w:rsidRPr="00221FC9">
              <w:t>a.</w:t>
            </w:r>
            <w:r w:rsidRPr="00221FC9">
              <w:tab/>
              <w:t xml:space="preserve">The tāngata </w:t>
            </w:r>
            <w:proofErr w:type="spellStart"/>
            <w:r w:rsidRPr="00221FC9">
              <w:t>whai</w:t>
            </w:r>
            <w:proofErr w:type="spellEnd"/>
            <w:r w:rsidRPr="00221FC9">
              <w:t xml:space="preserve"> ora will pay for all GP or alternative prescriber consultations where appropriate.</w:t>
            </w:r>
          </w:p>
          <w:p w14:paraId="15E9D53F" w14:textId="77777777" w:rsidR="00FA0EA7" w:rsidRPr="00221FC9" w:rsidRDefault="00FA0EA7" w:rsidP="009374B1">
            <w:pPr>
              <w:pStyle w:val="TableText"/>
              <w:ind w:left="284" w:hanging="284"/>
            </w:pPr>
            <w:r w:rsidRPr="00221FC9">
              <w:t>b.</w:t>
            </w:r>
            <w:r w:rsidRPr="00221FC9">
              <w:tab/>
              <w:t xml:space="preserve">The tāngata </w:t>
            </w:r>
            <w:proofErr w:type="spellStart"/>
            <w:r w:rsidRPr="00221FC9">
              <w:t>whai</w:t>
            </w:r>
            <w:proofErr w:type="spellEnd"/>
            <w:r w:rsidRPr="00221FC9">
              <w:t xml:space="preserve"> ora will attend all review sessions as required on the programme.</w:t>
            </w:r>
          </w:p>
          <w:p w14:paraId="46A67C99" w14:textId="77777777" w:rsidR="00FA0EA7" w:rsidRPr="00221FC9" w:rsidRDefault="00FA0EA7" w:rsidP="009374B1">
            <w:pPr>
              <w:pStyle w:val="TableText"/>
              <w:ind w:left="284" w:hanging="284"/>
            </w:pPr>
            <w:r w:rsidRPr="00221FC9">
              <w:t>c.</w:t>
            </w:r>
            <w:r w:rsidRPr="00221FC9">
              <w:tab/>
              <w:t>The maximum daily dose on the programme is 60 mg of methadone.</w:t>
            </w:r>
          </w:p>
          <w:p w14:paraId="7C06C196" w14:textId="77777777" w:rsidR="00FA0EA7" w:rsidRPr="00221FC9" w:rsidRDefault="00FA0EA7" w:rsidP="009374B1">
            <w:pPr>
              <w:pStyle w:val="TableText"/>
              <w:ind w:left="284" w:hanging="284"/>
            </w:pPr>
            <w:r w:rsidRPr="00221FC9">
              <w:t>d.</w:t>
            </w:r>
            <w:r w:rsidRPr="00221FC9">
              <w:tab/>
              <w:t>Split dosing is not possible.</w:t>
            </w:r>
          </w:p>
          <w:p w14:paraId="2A3D86B0" w14:textId="77777777" w:rsidR="00FA0EA7" w:rsidRPr="00221FC9" w:rsidRDefault="00FA0EA7" w:rsidP="009374B1">
            <w:pPr>
              <w:pStyle w:val="TableText"/>
              <w:ind w:left="284" w:hanging="284"/>
            </w:pPr>
            <w:r w:rsidRPr="00221FC9">
              <w:t>e.</w:t>
            </w:r>
            <w:r w:rsidRPr="00221FC9">
              <w:tab/>
              <w:t>There are no takeaway doses of methadone (or buprenorphine) on the programme.</w:t>
            </w:r>
          </w:p>
        </w:tc>
        <w:tc>
          <w:tcPr>
            <w:tcW w:w="2268" w:type="dxa"/>
          </w:tcPr>
          <w:p w14:paraId="1564D6B2"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r w:rsidRPr="00221FC9">
              <w:rPr>
                <w:sz w:val="16"/>
                <w:szCs w:val="16"/>
              </w:rPr>
              <w:t xml:space="preserve"> Count as 1 indicator and provide comment and average for one attainment</w:t>
            </w:r>
          </w:p>
        </w:tc>
        <w:tc>
          <w:tcPr>
            <w:tcW w:w="1275" w:type="dxa"/>
          </w:tcPr>
          <w:p w14:paraId="588D2C7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3AEF240D"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3EF3C31B" w14:textId="77777777" w:rsidTr="007B75B0">
        <w:trPr>
          <w:cantSplit/>
          <w:trHeight w:val="20"/>
        </w:trPr>
        <w:tc>
          <w:tcPr>
            <w:tcW w:w="4422" w:type="dxa"/>
            <w:shd w:val="clear" w:color="auto" w:fill="F3F3F3"/>
          </w:tcPr>
          <w:p w14:paraId="4E16C908" w14:textId="77777777" w:rsidR="00FA0EA7" w:rsidRPr="00221FC9" w:rsidRDefault="00FA0EA7" w:rsidP="009374B1">
            <w:pPr>
              <w:pStyle w:val="TableText"/>
              <w:rPr>
                <w:b/>
              </w:rPr>
            </w:pPr>
            <w:r w:rsidRPr="00221FC9">
              <w:rPr>
                <w:b/>
              </w:rPr>
              <w:t>13.3</w:t>
            </w:r>
            <w:r w:rsidRPr="00221FC9">
              <w:rPr>
                <w:b/>
              </w:rPr>
              <w:tab/>
              <w:t>Induction and prescribing</w:t>
            </w:r>
          </w:p>
        </w:tc>
        <w:tc>
          <w:tcPr>
            <w:tcW w:w="2268" w:type="dxa"/>
            <w:shd w:val="clear" w:color="auto" w:fill="F3F3F3"/>
          </w:tcPr>
          <w:p w14:paraId="5B2B1591" w14:textId="77777777" w:rsidR="00FA0EA7" w:rsidRPr="00221FC9" w:rsidRDefault="00FA0EA7" w:rsidP="009374B1">
            <w:pPr>
              <w:pStyle w:val="TableText"/>
            </w:pPr>
          </w:p>
        </w:tc>
        <w:tc>
          <w:tcPr>
            <w:tcW w:w="1275" w:type="dxa"/>
            <w:shd w:val="clear" w:color="auto" w:fill="F3F3F3"/>
          </w:tcPr>
          <w:p w14:paraId="1EE74E78" w14:textId="77777777" w:rsidR="00FA0EA7" w:rsidRPr="00221FC9" w:rsidRDefault="00FA0EA7" w:rsidP="009374B1">
            <w:pPr>
              <w:pStyle w:val="TableText"/>
              <w:jc w:val="center"/>
            </w:pPr>
          </w:p>
        </w:tc>
        <w:tc>
          <w:tcPr>
            <w:tcW w:w="851" w:type="dxa"/>
            <w:shd w:val="clear" w:color="auto" w:fill="F3F3F3"/>
          </w:tcPr>
          <w:p w14:paraId="2ABA0F90" w14:textId="77777777" w:rsidR="00FA0EA7" w:rsidRPr="00221FC9" w:rsidRDefault="00FA0EA7" w:rsidP="009374B1">
            <w:pPr>
              <w:pStyle w:val="TableText"/>
              <w:jc w:val="center"/>
            </w:pPr>
          </w:p>
        </w:tc>
      </w:tr>
      <w:tr w:rsidR="00FA0EA7" w:rsidRPr="00221FC9" w14:paraId="3A55B71E" w14:textId="77777777" w:rsidTr="007B75B0">
        <w:trPr>
          <w:cantSplit/>
          <w:trHeight w:val="20"/>
        </w:trPr>
        <w:tc>
          <w:tcPr>
            <w:tcW w:w="4422" w:type="dxa"/>
          </w:tcPr>
          <w:p w14:paraId="2890BAB4" w14:textId="77777777" w:rsidR="00FA0EA7" w:rsidRPr="00221FC9" w:rsidRDefault="00FA0EA7" w:rsidP="009374B1">
            <w:pPr>
              <w:pStyle w:val="TableText"/>
            </w:pPr>
            <w:r w:rsidRPr="00221FC9">
              <w:t xml:space="preserve">Induction and prescribing practices for methadone are as set out in the </w:t>
            </w:r>
            <w:r w:rsidRPr="00221FC9">
              <w:rPr>
                <w:i/>
              </w:rPr>
              <w:t>OST Guidelines</w:t>
            </w:r>
            <w:r w:rsidRPr="00221FC9">
              <w:t xml:space="preserve"> (Ministry of Health 20</w:t>
            </w:r>
            <w:r>
              <w:t>25)</w:t>
            </w:r>
            <w:r w:rsidRPr="00221FC9">
              <w:t>. This includes prescribing relevant to missed doses.</w:t>
            </w:r>
          </w:p>
          <w:p w14:paraId="53574157" w14:textId="77777777" w:rsidR="00FA0EA7" w:rsidRPr="00221FC9" w:rsidRDefault="00FA0EA7" w:rsidP="009374B1">
            <w:pPr>
              <w:pStyle w:val="TableText"/>
            </w:pPr>
            <w:r w:rsidRPr="00221FC9">
              <w:t xml:space="preserve">If the interim medication is buprenorphine, induction guidelines should be followed as outlined in the </w:t>
            </w:r>
            <w:r w:rsidRPr="00221FC9">
              <w:rPr>
                <w:i/>
              </w:rPr>
              <w:t>OST Guidelines</w:t>
            </w:r>
            <w:r w:rsidRPr="00221FC9">
              <w:t>.</w:t>
            </w:r>
          </w:p>
        </w:tc>
        <w:tc>
          <w:tcPr>
            <w:tcW w:w="2268" w:type="dxa"/>
          </w:tcPr>
          <w:p w14:paraId="5572780D"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23747593"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5CF3CA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146B32C4" w14:textId="77777777" w:rsidTr="007B75B0">
        <w:trPr>
          <w:cantSplit/>
          <w:trHeight w:val="20"/>
        </w:trPr>
        <w:tc>
          <w:tcPr>
            <w:tcW w:w="4422" w:type="dxa"/>
            <w:shd w:val="clear" w:color="auto" w:fill="F3F3F3"/>
          </w:tcPr>
          <w:p w14:paraId="055ED072" w14:textId="77777777" w:rsidR="00FA0EA7" w:rsidRPr="00221FC9" w:rsidRDefault="00FA0EA7" w:rsidP="009374B1">
            <w:pPr>
              <w:pStyle w:val="TableText"/>
              <w:rPr>
                <w:b/>
              </w:rPr>
            </w:pPr>
            <w:r w:rsidRPr="00221FC9">
              <w:rPr>
                <w:b/>
              </w:rPr>
              <w:t>13.4</w:t>
            </w:r>
            <w:r w:rsidRPr="00221FC9">
              <w:rPr>
                <w:b/>
              </w:rPr>
              <w:tab/>
              <w:t>Ongoing support</w:t>
            </w:r>
          </w:p>
        </w:tc>
        <w:tc>
          <w:tcPr>
            <w:tcW w:w="2268" w:type="dxa"/>
            <w:shd w:val="clear" w:color="auto" w:fill="F3F3F3"/>
          </w:tcPr>
          <w:p w14:paraId="216F5106" w14:textId="77777777" w:rsidR="00FA0EA7" w:rsidRPr="00221FC9" w:rsidRDefault="00FA0EA7" w:rsidP="009374B1">
            <w:pPr>
              <w:pStyle w:val="TableText"/>
            </w:pPr>
          </w:p>
        </w:tc>
        <w:tc>
          <w:tcPr>
            <w:tcW w:w="1275" w:type="dxa"/>
            <w:shd w:val="clear" w:color="auto" w:fill="F3F3F3"/>
          </w:tcPr>
          <w:p w14:paraId="46842214" w14:textId="77777777" w:rsidR="00FA0EA7" w:rsidRPr="00221FC9" w:rsidRDefault="00FA0EA7" w:rsidP="009374B1">
            <w:pPr>
              <w:pStyle w:val="TableText"/>
              <w:jc w:val="center"/>
            </w:pPr>
          </w:p>
        </w:tc>
        <w:tc>
          <w:tcPr>
            <w:tcW w:w="851" w:type="dxa"/>
            <w:shd w:val="clear" w:color="auto" w:fill="F3F3F3"/>
          </w:tcPr>
          <w:p w14:paraId="561C3D5E" w14:textId="77777777" w:rsidR="00FA0EA7" w:rsidRPr="00221FC9" w:rsidRDefault="00FA0EA7" w:rsidP="009374B1">
            <w:pPr>
              <w:pStyle w:val="TableText"/>
              <w:jc w:val="center"/>
            </w:pPr>
          </w:p>
        </w:tc>
      </w:tr>
      <w:tr w:rsidR="00FA0EA7" w:rsidRPr="00221FC9" w14:paraId="5B8234EF" w14:textId="77777777" w:rsidTr="007B75B0">
        <w:trPr>
          <w:cantSplit/>
          <w:trHeight w:val="20"/>
        </w:trPr>
        <w:tc>
          <w:tcPr>
            <w:tcW w:w="4422" w:type="dxa"/>
          </w:tcPr>
          <w:p w14:paraId="6F874717" w14:textId="77777777" w:rsidR="00FA0EA7" w:rsidRPr="00221FC9" w:rsidRDefault="00FA0EA7" w:rsidP="009374B1">
            <w:pPr>
              <w:pStyle w:val="TableText"/>
            </w:pPr>
            <w:r w:rsidRPr="00221FC9">
              <w:t xml:space="preserve">The specialist service provides information to the tāngata </w:t>
            </w:r>
            <w:proofErr w:type="spellStart"/>
            <w:r w:rsidRPr="00221FC9">
              <w:t>whai</w:t>
            </w:r>
            <w:proofErr w:type="spellEnd"/>
            <w:r w:rsidRPr="00221FC9">
              <w:t xml:space="preserve"> ora and their support people regarding available psychosocial support.</w:t>
            </w:r>
          </w:p>
        </w:tc>
        <w:tc>
          <w:tcPr>
            <w:tcW w:w="2268" w:type="dxa"/>
          </w:tcPr>
          <w:p w14:paraId="33BF3EE8"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4ADD265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2115C70E"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r w:rsidR="00FA0EA7" w:rsidRPr="00221FC9" w14:paraId="0E8FF8B8" w14:textId="77777777" w:rsidTr="007B75B0">
        <w:trPr>
          <w:cantSplit/>
          <w:trHeight w:val="20"/>
        </w:trPr>
        <w:tc>
          <w:tcPr>
            <w:tcW w:w="4422" w:type="dxa"/>
            <w:shd w:val="clear" w:color="auto" w:fill="F3F3F3"/>
          </w:tcPr>
          <w:p w14:paraId="2D358E4A" w14:textId="77777777" w:rsidR="00FA0EA7" w:rsidRPr="00221FC9" w:rsidRDefault="00FA0EA7" w:rsidP="009374B1">
            <w:pPr>
              <w:pStyle w:val="TableText"/>
              <w:rPr>
                <w:b/>
              </w:rPr>
            </w:pPr>
            <w:r w:rsidRPr="00221FC9">
              <w:rPr>
                <w:b/>
              </w:rPr>
              <w:t>13.5</w:t>
            </w:r>
            <w:r w:rsidRPr="00221FC9">
              <w:rPr>
                <w:b/>
              </w:rPr>
              <w:tab/>
              <w:t>Interim buprenorphine prescribing</w:t>
            </w:r>
          </w:p>
        </w:tc>
        <w:tc>
          <w:tcPr>
            <w:tcW w:w="2268" w:type="dxa"/>
            <w:shd w:val="clear" w:color="auto" w:fill="F3F3F3"/>
          </w:tcPr>
          <w:p w14:paraId="7AA08213" w14:textId="77777777" w:rsidR="00FA0EA7" w:rsidRPr="00221FC9" w:rsidRDefault="00FA0EA7" w:rsidP="009374B1">
            <w:pPr>
              <w:pStyle w:val="TableText"/>
            </w:pPr>
          </w:p>
        </w:tc>
        <w:tc>
          <w:tcPr>
            <w:tcW w:w="1275" w:type="dxa"/>
            <w:shd w:val="clear" w:color="auto" w:fill="F3F3F3"/>
          </w:tcPr>
          <w:p w14:paraId="7AAB00E5" w14:textId="77777777" w:rsidR="00FA0EA7" w:rsidRPr="00221FC9" w:rsidRDefault="00FA0EA7" w:rsidP="009374B1">
            <w:pPr>
              <w:pStyle w:val="TableText"/>
              <w:jc w:val="center"/>
            </w:pPr>
          </w:p>
        </w:tc>
        <w:tc>
          <w:tcPr>
            <w:tcW w:w="851" w:type="dxa"/>
            <w:shd w:val="clear" w:color="auto" w:fill="F3F3F3"/>
          </w:tcPr>
          <w:p w14:paraId="0D4E43E9" w14:textId="77777777" w:rsidR="00FA0EA7" w:rsidRPr="00221FC9" w:rsidRDefault="00FA0EA7" w:rsidP="009374B1">
            <w:pPr>
              <w:pStyle w:val="TableText"/>
              <w:jc w:val="center"/>
            </w:pPr>
          </w:p>
        </w:tc>
      </w:tr>
      <w:tr w:rsidR="00FA0EA7" w:rsidRPr="00221FC9" w14:paraId="1DE33237" w14:textId="77777777" w:rsidTr="007B75B0">
        <w:trPr>
          <w:cantSplit/>
          <w:trHeight w:val="20"/>
        </w:trPr>
        <w:tc>
          <w:tcPr>
            <w:tcW w:w="4422" w:type="dxa"/>
          </w:tcPr>
          <w:p w14:paraId="444571BA" w14:textId="77777777" w:rsidR="00FA0EA7" w:rsidRPr="00221FC9" w:rsidRDefault="00FA0EA7" w:rsidP="009374B1">
            <w:pPr>
              <w:pStyle w:val="TableText"/>
            </w:pPr>
            <w:r w:rsidRPr="00221FC9">
              <w:t>Where buprenorphine is prescribed as an interim OST medication, the same requirements as per methadone (above) apply. The maximum dose should be 32 mg.</w:t>
            </w:r>
          </w:p>
        </w:tc>
        <w:tc>
          <w:tcPr>
            <w:tcW w:w="2268" w:type="dxa"/>
          </w:tcPr>
          <w:p w14:paraId="3728BFF7" w14:textId="77777777" w:rsidR="00FA0EA7" w:rsidRPr="00221FC9" w:rsidRDefault="00FA0EA7" w:rsidP="009374B1">
            <w:pPr>
              <w:pStyle w:val="TableText"/>
              <w:keepNext/>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1275" w:type="dxa"/>
          </w:tcPr>
          <w:p w14:paraId="315946F1"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c>
          <w:tcPr>
            <w:tcW w:w="851" w:type="dxa"/>
          </w:tcPr>
          <w:p w14:paraId="490347B8" w14:textId="77777777" w:rsidR="00FA0EA7" w:rsidRPr="00221FC9" w:rsidRDefault="00FA0EA7" w:rsidP="009374B1">
            <w:pPr>
              <w:pStyle w:val="TableText"/>
              <w:keepNext/>
              <w:jc w:val="center"/>
            </w:pPr>
            <w:r w:rsidRPr="00221FC9">
              <w:fldChar w:fldCharType="begin">
                <w:ffData>
                  <w:name w:val="Text28"/>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11D44643" w14:textId="77777777" w:rsidR="00FA0EA7" w:rsidRPr="00221FC9" w:rsidRDefault="00FA0EA7" w:rsidP="00FA0EA7">
      <w:pPr>
        <w:pStyle w:val="Heading4"/>
      </w:pPr>
      <w:r w:rsidRPr="00221FC9">
        <w:lastRenderedPageBreak/>
        <w:t>Section attainment summary</w:t>
      </w:r>
    </w:p>
    <w:tbl>
      <w:tblPr>
        <w:tblStyle w:val="TableGrid"/>
        <w:tblW w:w="8467" w:type="dxa"/>
        <w:tblInd w:w="108" w:type="dxa"/>
        <w:tblLayout w:type="fixed"/>
        <w:tblLook w:val="04A0" w:firstRow="1" w:lastRow="0" w:firstColumn="1" w:lastColumn="0" w:noHBand="0" w:noVBand="1"/>
      </w:tblPr>
      <w:tblGrid>
        <w:gridCol w:w="2339"/>
        <w:gridCol w:w="2084"/>
        <w:gridCol w:w="1985"/>
        <w:gridCol w:w="2059"/>
      </w:tblGrid>
      <w:tr w:rsidR="00FA0EA7" w:rsidRPr="00221FC9" w14:paraId="43BEC3A2" w14:textId="77777777" w:rsidTr="007B75B0">
        <w:trPr>
          <w:cantSplit/>
        </w:trPr>
        <w:tc>
          <w:tcPr>
            <w:tcW w:w="846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99"/>
          </w:tcPr>
          <w:p w14:paraId="17982B38" w14:textId="77777777" w:rsidR="00FA0EA7" w:rsidRPr="00221FC9" w:rsidRDefault="00FA0EA7" w:rsidP="009374B1">
            <w:pPr>
              <w:pStyle w:val="TableText"/>
              <w:spacing w:after="0"/>
              <w:rPr>
                <w:b/>
              </w:rPr>
            </w:pPr>
            <w:r w:rsidRPr="00221FC9">
              <w:rPr>
                <w:b/>
              </w:rPr>
              <w:t>Indicators (out of 6):</w:t>
            </w:r>
          </w:p>
        </w:tc>
      </w:tr>
      <w:tr w:rsidR="00FA0EA7" w:rsidRPr="00221FC9" w14:paraId="143AFE4B" w14:textId="77777777" w:rsidTr="007B75B0">
        <w:trPr>
          <w:cantSplit/>
        </w:trPr>
        <w:tc>
          <w:tcPr>
            <w:tcW w:w="2339" w:type="dxa"/>
            <w:tcBorders>
              <w:top w:val="single" w:sz="4" w:space="0" w:color="A6A6A6" w:themeColor="background1" w:themeShade="A6"/>
              <w:right w:val="nil"/>
            </w:tcBorders>
            <w:shd w:val="clear" w:color="auto" w:fill="FFFF99"/>
          </w:tcPr>
          <w:p w14:paraId="0863F1DA" w14:textId="77777777" w:rsidR="00FA0EA7" w:rsidRPr="00221FC9" w:rsidRDefault="00FA0EA7" w:rsidP="009374B1">
            <w:pPr>
              <w:pStyle w:val="TableText"/>
              <w:tabs>
                <w:tab w:val="right" w:pos="1593"/>
              </w:tabs>
            </w:pPr>
            <w:r w:rsidRPr="00221FC9">
              <w:t>Fully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84" w:type="dxa"/>
            <w:tcBorders>
              <w:top w:val="single" w:sz="4" w:space="0" w:color="A6A6A6" w:themeColor="background1" w:themeShade="A6"/>
              <w:left w:val="nil"/>
              <w:right w:val="nil"/>
            </w:tcBorders>
            <w:shd w:val="clear" w:color="auto" w:fill="FFFF99"/>
          </w:tcPr>
          <w:p w14:paraId="7D41DD0E" w14:textId="77777777" w:rsidR="00FA0EA7" w:rsidRPr="00221FC9" w:rsidRDefault="00FA0EA7" w:rsidP="009374B1">
            <w:pPr>
              <w:pStyle w:val="TableText"/>
              <w:tabs>
                <w:tab w:val="right" w:pos="1806"/>
              </w:tabs>
            </w:pPr>
            <w:r w:rsidRPr="00221FC9">
              <w:t>Partially 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1985" w:type="dxa"/>
            <w:tcBorders>
              <w:top w:val="single" w:sz="4" w:space="0" w:color="A6A6A6" w:themeColor="background1" w:themeShade="A6"/>
              <w:left w:val="nil"/>
              <w:right w:val="nil"/>
            </w:tcBorders>
            <w:shd w:val="clear" w:color="auto" w:fill="FFFF99"/>
          </w:tcPr>
          <w:p w14:paraId="62CA705F" w14:textId="77777777" w:rsidR="00FA0EA7" w:rsidRPr="00221FC9" w:rsidRDefault="00FA0EA7" w:rsidP="009374B1">
            <w:pPr>
              <w:pStyle w:val="TableText"/>
              <w:tabs>
                <w:tab w:val="right" w:pos="1451"/>
              </w:tabs>
            </w:pPr>
            <w:r w:rsidRPr="00221FC9">
              <w:t>Unattained</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c>
          <w:tcPr>
            <w:tcW w:w="2056" w:type="dxa"/>
            <w:tcBorders>
              <w:top w:val="single" w:sz="4" w:space="0" w:color="A6A6A6" w:themeColor="background1" w:themeShade="A6"/>
              <w:left w:val="nil"/>
            </w:tcBorders>
            <w:shd w:val="clear" w:color="auto" w:fill="FFFF99"/>
          </w:tcPr>
          <w:p w14:paraId="0B45EA52" w14:textId="77777777" w:rsidR="00FA0EA7" w:rsidRPr="00221FC9" w:rsidRDefault="00FA0EA7" w:rsidP="009374B1">
            <w:pPr>
              <w:pStyle w:val="TableText"/>
              <w:tabs>
                <w:tab w:val="right" w:pos="1593"/>
              </w:tabs>
            </w:pPr>
            <w:r w:rsidRPr="00221FC9">
              <w:t>Not applicable</w:t>
            </w:r>
            <w:r w:rsidRPr="00221FC9">
              <w:tab/>
            </w:r>
            <w:r w:rsidRPr="00221FC9">
              <w:rPr>
                <w:sz w:val="28"/>
                <w:szCs w:val="28"/>
              </w:rPr>
              <w:fldChar w:fldCharType="begin">
                <w:ffData>
                  <w:name w:val="Check1"/>
                  <w:enabled/>
                  <w:calcOnExit w:val="0"/>
                  <w:checkBox>
                    <w:sizeAuto/>
                    <w:default w:val="0"/>
                  </w:checkBox>
                </w:ffData>
              </w:fldChar>
            </w:r>
            <w:r w:rsidRPr="00221FC9">
              <w:rPr>
                <w:sz w:val="28"/>
                <w:szCs w:val="28"/>
              </w:rPr>
              <w:instrText xml:space="preserve"> FORMCHECKBOX </w:instrText>
            </w:r>
            <w:r w:rsidRPr="00221FC9">
              <w:rPr>
                <w:sz w:val="28"/>
                <w:szCs w:val="28"/>
              </w:rPr>
            </w:r>
            <w:r w:rsidRPr="00221FC9">
              <w:rPr>
                <w:sz w:val="28"/>
                <w:szCs w:val="28"/>
              </w:rPr>
              <w:fldChar w:fldCharType="separate"/>
            </w:r>
            <w:r w:rsidRPr="00221FC9">
              <w:rPr>
                <w:sz w:val="28"/>
                <w:szCs w:val="28"/>
              </w:rPr>
              <w:fldChar w:fldCharType="end"/>
            </w:r>
          </w:p>
        </w:tc>
      </w:tr>
    </w:tbl>
    <w:p w14:paraId="74C4CCAF" w14:textId="77777777" w:rsidR="00FA0EA7" w:rsidRPr="00221FC9" w:rsidRDefault="00FA0EA7" w:rsidP="00FA0EA7">
      <w:pPr>
        <w:pStyle w:val="Heading4"/>
      </w:pPr>
      <w:r w:rsidRPr="00221FC9">
        <w:t>Summary of recommended actions</w:t>
      </w:r>
    </w:p>
    <w:tbl>
      <w:tblPr>
        <w:tblStyle w:val="TableGrid"/>
        <w:tblW w:w="8534" w:type="dxa"/>
        <w:tblInd w:w="108" w:type="dxa"/>
        <w:tblLayout w:type="fixed"/>
        <w:tblLook w:val="04A0" w:firstRow="1" w:lastRow="0" w:firstColumn="1" w:lastColumn="0" w:noHBand="0" w:noVBand="1"/>
      </w:tblPr>
      <w:tblGrid>
        <w:gridCol w:w="8534"/>
      </w:tblGrid>
      <w:tr w:rsidR="00FA0EA7" w:rsidRPr="00221FC9" w14:paraId="7588217D" w14:textId="77777777" w:rsidTr="007B75B0">
        <w:trPr>
          <w:cantSplit/>
          <w:trHeight w:val="1134"/>
        </w:trPr>
        <w:tc>
          <w:tcPr>
            <w:tcW w:w="85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99"/>
          </w:tcPr>
          <w:p w14:paraId="3CED454B" w14:textId="77777777" w:rsidR="00FA0EA7" w:rsidRPr="00221FC9" w:rsidRDefault="00FA0EA7" w:rsidP="009374B1">
            <w:pPr>
              <w:pStyle w:val="TableText"/>
            </w:pPr>
            <w:r w:rsidRPr="00221FC9">
              <w:fldChar w:fldCharType="begin">
                <w:ffData>
                  <w:name w:val="Text29"/>
                  <w:enabled/>
                  <w:calcOnExit w:val="0"/>
                  <w:textInput/>
                </w:ffData>
              </w:fldChar>
            </w:r>
            <w:r w:rsidRPr="00221FC9">
              <w:instrText xml:space="preserve"> FORMTEXT </w:instrText>
            </w:r>
            <w:r w:rsidRPr="00221FC9">
              <w:fldChar w:fldCharType="separate"/>
            </w:r>
            <w:r w:rsidRPr="00221FC9">
              <w:t> </w:t>
            </w:r>
            <w:r w:rsidRPr="00221FC9">
              <w:t> </w:t>
            </w:r>
            <w:r w:rsidRPr="00221FC9">
              <w:t> </w:t>
            </w:r>
            <w:r w:rsidRPr="00221FC9">
              <w:t> </w:t>
            </w:r>
            <w:r w:rsidRPr="00221FC9">
              <w:t> </w:t>
            </w:r>
            <w:r w:rsidRPr="00221FC9">
              <w:fldChar w:fldCharType="end"/>
            </w:r>
          </w:p>
        </w:tc>
      </w:tr>
    </w:tbl>
    <w:p w14:paraId="1189DDEC" w14:textId="77777777" w:rsidR="00FA0EA7" w:rsidRPr="00221FC9" w:rsidRDefault="00FA0EA7" w:rsidP="00FA0EA7">
      <w:pPr>
        <w:pStyle w:val="Heading3"/>
      </w:pPr>
      <w:r w:rsidRPr="00221FC9">
        <w:t>14</w:t>
      </w:r>
      <w:r w:rsidRPr="00221FC9">
        <w:tab/>
        <w:t>Risk (if any)</w:t>
      </w:r>
    </w:p>
    <w:p w14:paraId="711361ED" w14:textId="77777777" w:rsidR="00FA0EA7" w:rsidRPr="00221FC9" w:rsidRDefault="00FA0EA7" w:rsidP="00FA0EA7">
      <w:r w:rsidRPr="00221FC9">
        <w:t>Should any risk/s be identified within the course of the audit, this will be documented and given a risk rating (see Appendix 1: Risk assessment matrix).</w:t>
      </w:r>
    </w:p>
    <w:p w14:paraId="25B1524F" w14:textId="77777777" w:rsidR="00FA0EA7" w:rsidRPr="00221FC9" w:rsidRDefault="00FA0EA7" w:rsidP="007B75B0">
      <w:pPr>
        <w:pStyle w:val="Heading3"/>
        <w:rPr>
          <w:rFonts w:eastAsiaTheme="majorEastAsia"/>
        </w:rPr>
      </w:pPr>
      <w:r w:rsidRPr="00221FC9">
        <w:rPr>
          <w:rFonts w:eastAsiaTheme="majorEastAsia"/>
        </w:rPr>
        <w:t>15</w:t>
      </w:r>
      <w:r w:rsidRPr="00221FC9">
        <w:rPr>
          <w:rFonts w:eastAsiaTheme="majorEastAsia"/>
        </w:rPr>
        <w:tab/>
        <w:t xml:space="preserve">Summary of Risks and Corrective Actions </w:t>
      </w:r>
    </w:p>
    <w:p w14:paraId="4B67840A" w14:textId="77777777" w:rsidR="00FA0EA7" w:rsidRPr="00221FC9" w:rsidRDefault="00FA0EA7" w:rsidP="00FA0EA7">
      <w:pPr>
        <w:rPr>
          <w:rFonts w:eastAsia="PMingLiU"/>
        </w:rPr>
      </w:pPr>
      <w:r w:rsidRPr="00221FC9">
        <w:rPr>
          <w:rFonts w:eastAsia="PMingLiU"/>
        </w:rPr>
        <w:t>Summary of risks (Report author must copy all risks below):</w:t>
      </w:r>
    </w:p>
    <w:p w14:paraId="5D4152A4" w14:textId="77777777" w:rsidR="00FA0EA7" w:rsidRPr="00221FC9" w:rsidRDefault="00FA0EA7" w:rsidP="00FA0EA7">
      <w:pPr>
        <w:rPr>
          <w:rFonts w:eastAsia="PMingLiU"/>
        </w:rPr>
      </w:pPr>
    </w:p>
    <w:p w14:paraId="6FD3858D" w14:textId="77777777" w:rsidR="00150ECE" w:rsidRDefault="00FA0EA7" w:rsidP="00FA0EA7">
      <w:pPr>
        <w:rPr>
          <w:rFonts w:eastAsia="PMingLiU"/>
        </w:rPr>
      </w:pPr>
      <w:r w:rsidRPr="00221FC9">
        <w:rPr>
          <w:rFonts w:eastAsia="PMingLiU"/>
        </w:rPr>
        <w:t>Summary of corrective actions (Report author must copy all corrective actions below):</w:t>
      </w:r>
    </w:p>
    <w:p w14:paraId="7FB0517A" w14:textId="77777777" w:rsidR="007B75B0" w:rsidRDefault="007B75B0" w:rsidP="00FA0EA7"/>
    <w:sectPr w:rsidR="007B75B0" w:rsidSect="00150ECE">
      <w:footerReference w:type="even" r:id="rId14"/>
      <w:footerReference w:type="default" r:id="rId15"/>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A75A" w14:textId="77777777" w:rsidR="00691903" w:rsidRDefault="00691903">
      <w:r>
        <w:separator/>
      </w:r>
    </w:p>
    <w:p w14:paraId="30BBF28D" w14:textId="77777777" w:rsidR="00691903" w:rsidRDefault="00691903"/>
  </w:endnote>
  <w:endnote w:type="continuationSeparator" w:id="0">
    <w:p w14:paraId="11C82C50" w14:textId="77777777" w:rsidR="00691903" w:rsidRDefault="00691903">
      <w:r>
        <w:continuationSeparator/>
      </w:r>
    </w:p>
    <w:p w14:paraId="4758A2B9" w14:textId="77777777" w:rsidR="00691903" w:rsidRDefault="00691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Pro-Light">
    <w:altName w:val="Calibri"/>
    <w:panose1 w:val="00000000000000000000"/>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D662F8" w14:paraId="7E34FA6B" w14:textId="77777777" w:rsidTr="00D662F8">
      <w:trPr>
        <w:cantSplit/>
      </w:trPr>
      <w:tc>
        <w:tcPr>
          <w:tcW w:w="675" w:type="dxa"/>
          <w:vAlign w:val="center"/>
        </w:tcPr>
        <w:p w14:paraId="6281C317" w14:textId="77777777" w:rsidR="00D662F8" w:rsidRPr="00931466" w:rsidRDefault="00D662F8"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2</w:t>
          </w:r>
          <w:r w:rsidRPr="00931466">
            <w:rPr>
              <w:rStyle w:val="PageNumber"/>
            </w:rPr>
            <w:fldChar w:fldCharType="end"/>
          </w:r>
        </w:p>
      </w:tc>
      <w:tc>
        <w:tcPr>
          <w:tcW w:w="9072" w:type="dxa"/>
          <w:vAlign w:val="center"/>
        </w:tcPr>
        <w:p w14:paraId="27262A64" w14:textId="4A52BAF3" w:rsidR="00D662F8" w:rsidRDefault="002E5FBF" w:rsidP="000D58DD">
          <w:pPr>
            <w:pStyle w:val="RectoFooter"/>
            <w:jc w:val="left"/>
          </w:pPr>
          <w:r>
            <w:t>AUDIT REPORT TEMPLATE</w:t>
          </w:r>
        </w:p>
      </w:tc>
    </w:tr>
  </w:tbl>
  <w:p w14:paraId="5177CEA2" w14:textId="77777777" w:rsidR="00926083" w:rsidRPr="00571223" w:rsidRDefault="00926083" w:rsidP="00571223">
    <w:pPr>
      <w:pStyle w:val="Verso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D662F8" w14:paraId="47337729" w14:textId="77777777" w:rsidTr="00D662F8">
      <w:trPr>
        <w:cantSplit/>
      </w:trPr>
      <w:tc>
        <w:tcPr>
          <w:tcW w:w="8080" w:type="dxa"/>
          <w:vAlign w:val="center"/>
        </w:tcPr>
        <w:p w14:paraId="1A33CBD1" w14:textId="4689AB21" w:rsidR="00D662F8" w:rsidRDefault="002E5FBF" w:rsidP="00931466">
          <w:pPr>
            <w:pStyle w:val="RectoFooter"/>
          </w:pPr>
          <w:r>
            <w:t>AUDIT REPORT TEMPLATE</w:t>
          </w:r>
        </w:p>
      </w:tc>
      <w:tc>
        <w:tcPr>
          <w:tcW w:w="709" w:type="dxa"/>
          <w:vAlign w:val="center"/>
        </w:tcPr>
        <w:p w14:paraId="501EC334" w14:textId="77777777" w:rsidR="00D662F8" w:rsidRPr="00931466" w:rsidRDefault="00D662F8"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sidR="00B26F0F">
            <w:rPr>
              <w:rStyle w:val="PageNumber"/>
              <w:noProof/>
            </w:rPr>
            <w:t>1</w:t>
          </w:r>
          <w:r w:rsidRPr="00931466">
            <w:rPr>
              <w:rStyle w:val="PageNumber"/>
            </w:rPr>
            <w:fldChar w:fldCharType="end"/>
          </w:r>
        </w:p>
      </w:tc>
    </w:tr>
  </w:tbl>
  <w:p w14:paraId="1C6F2E7F" w14:textId="77777777" w:rsidR="00926083" w:rsidRPr="00581EB8" w:rsidRDefault="00926083" w:rsidP="00581EB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E95FF0" w14:paraId="013E9F98" w14:textId="77777777" w:rsidTr="00D662F8">
      <w:trPr>
        <w:cantSplit/>
      </w:trPr>
      <w:tc>
        <w:tcPr>
          <w:tcW w:w="675" w:type="dxa"/>
          <w:vAlign w:val="center"/>
        </w:tcPr>
        <w:p w14:paraId="69B2786A" w14:textId="77777777" w:rsidR="00E95FF0" w:rsidRPr="00931466" w:rsidRDefault="00E95FF0"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7EC25B89" w14:textId="77777777" w:rsidR="00E95FF0" w:rsidRDefault="00E95FF0" w:rsidP="000D58DD">
          <w:pPr>
            <w:pStyle w:val="RectoFooter"/>
            <w:jc w:val="left"/>
          </w:pPr>
          <w:r w:rsidRPr="00150ECE">
            <w:t>Specialist Opioid Substitution Treatment (OST) Service Audit and Review Tool</w:t>
          </w:r>
        </w:p>
      </w:tc>
    </w:tr>
  </w:tbl>
  <w:p w14:paraId="5A7D3168" w14:textId="77777777" w:rsidR="00E95FF0" w:rsidRPr="00571223" w:rsidRDefault="00E95FF0" w:rsidP="00571223">
    <w:pPr>
      <w:pStyle w:val="Verso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E95FF0" w14:paraId="3760AFEC" w14:textId="77777777" w:rsidTr="00D662F8">
      <w:trPr>
        <w:cantSplit/>
      </w:trPr>
      <w:tc>
        <w:tcPr>
          <w:tcW w:w="8080" w:type="dxa"/>
          <w:vAlign w:val="center"/>
        </w:tcPr>
        <w:p w14:paraId="666DFDC7" w14:textId="77777777" w:rsidR="00E95FF0" w:rsidRDefault="00E95FF0" w:rsidP="00931466">
          <w:pPr>
            <w:pStyle w:val="RectoFooter"/>
          </w:pPr>
          <w:r w:rsidRPr="00150ECE">
            <w:t>Specialist Opioid Substitution Treatment (OST) Service Audit and Review Tool</w:t>
          </w:r>
        </w:p>
      </w:tc>
      <w:tc>
        <w:tcPr>
          <w:tcW w:w="709" w:type="dxa"/>
          <w:vAlign w:val="center"/>
        </w:tcPr>
        <w:p w14:paraId="24ADB760" w14:textId="77777777" w:rsidR="00E95FF0" w:rsidRPr="00931466" w:rsidRDefault="00E95FF0"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349C69B" w14:textId="77777777" w:rsidR="00E95FF0" w:rsidRPr="00581EB8" w:rsidRDefault="00E95FF0"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6BA1A" w14:textId="77777777" w:rsidR="00691903" w:rsidRPr="00A26E6B" w:rsidRDefault="00691903" w:rsidP="00A26E6B"/>
  </w:footnote>
  <w:footnote w:type="continuationSeparator" w:id="0">
    <w:p w14:paraId="360DBE23" w14:textId="77777777" w:rsidR="00691903" w:rsidRDefault="00691903">
      <w:r>
        <w:continuationSeparator/>
      </w:r>
    </w:p>
    <w:p w14:paraId="48441DE1" w14:textId="77777777" w:rsidR="00691903" w:rsidRDefault="006919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1" w15:restartNumberingAfterBreak="0">
    <w:nsid w:val="0635610B"/>
    <w:multiLevelType w:val="hybridMultilevel"/>
    <w:tmpl w:val="36BAD95C"/>
    <w:lvl w:ilvl="0" w:tplc="DE76FCD6">
      <w:start w:val="1"/>
      <w:numFmt w:val="bullet"/>
      <w:pStyle w:val="List"/>
      <w:lvlText w:val=""/>
      <w:lvlJc w:val="left"/>
      <w:pPr>
        <w:ind w:left="454" w:hanging="454"/>
      </w:pPr>
      <w:rPr>
        <w:rFonts w:ascii="Symbol" w:hAnsi="Symbol" w:hint="default"/>
        <w:color w:val="auto"/>
        <w:sz w:val="28"/>
        <w:szCs w:val="28"/>
      </w:rPr>
    </w:lvl>
    <w:lvl w:ilvl="1" w:tplc="14090003">
      <w:start w:val="1"/>
      <w:numFmt w:val="bullet"/>
      <w:lvlText w:val="o"/>
      <w:lvlJc w:val="left"/>
      <w:pPr>
        <w:ind w:left="786"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3601E13"/>
    <w:multiLevelType w:val="multilevel"/>
    <w:tmpl w:val="022816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003936"/>
    <w:multiLevelType w:val="hybridMultilevel"/>
    <w:tmpl w:val="3F5C1E28"/>
    <w:lvl w:ilvl="0" w:tplc="2C5644D0">
      <w:start w:val="1"/>
      <w:numFmt w:val="decimal"/>
      <w:lvlText w:val="%1"/>
      <w:lvlJc w:val="left"/>
      <w:pPr>
        <w:ind w:left="924" w:hanging="56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8" w15:restartNumberingAfterBreak="0">
    <w:nsid w:val="7F2B59DD"/>
    <w:multiLevelType w:val="hybridMultilevel"/>
    <w:tmpl w:val="879C004C"/>
    <w:lvl w:ilvl="0" w:tplc="17E04C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07381">
    <w:abstractNumId w:val="7"/>
  </w:num>
  <w:num w:numId="2" w16cid:durableId="72776646">
    <w:abstractNumId w:val="4"/>
  </w:num>
  <w:num w:numId="3" w16cid:durableId="1477456725">
    <w:abstractNumId w:val="5"/>
  </w:num>
  <w:num w:numId="4" w16cid:durableId="1664773935">
    <w:abstractNumId w:val="0"/>
  </w:num>
  <w:num w:numId="5" w16cid:durableId="497965942">
    <w:abstractNumId w:val="2"/>
  </w:num>
  <w:num w:numId="6" w16cid:durableId="1013422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014946">
    <w:abstractNumId w:val="1"/>
  </w:num>
  <w:num w:numId="8" w16cid:durableId="1404327360">
    <w:abstractNumId w:val="3"/>
  </w:num>
  <w:num w:numId="9" w16cid:durableId="18400805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85716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4025941">
    <w:abstractNumId w:val="8"/>
  </w:num>
  <w:num w:numId="12" w16cid:durableId="64542909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25A6F"/>
    <w:rsid w:val="0002618D"/>
    <w:rsid w:val="00030B26"/>
    <w:rsid w:val="00030E84"/>
    <w:rsid w:val="00032C0A"/>
    <w:rsid w:val="00035257"/>
    <w:rsid w:val="00035D68"/>
    <w:rsid w:val="00045F46"/>
    <w:rsid w:val="000478BC"/>
    <w:rsid w:val="000514D6"/>
    <w:rsid w:val="00054B44"/>
    <w:rsid w:val="0006228D"/>
    <w:rsid w:val="000656D4"/>
    <w:rsid w:val="000673A0"/>
    <w:rsid w:val="000709D5"/>
    <w:rsid w:val="00072BD6"/>
    <w:rsid w:val="00075B78"/>
    <w:rsid w:val="000763E9"/>
    <w:rsid w:val="00082CD6"/>
    <w:rsid w:val="0008437D"/>
    <w:rsid w:val="00085AFE"/>
    <w:rsid w:val="00093EB1"/>
    <w:rsid w:val="00094800"/>
    <w:rsid w:val="000A41ED"/>
    <w:rsid w:val="000A7279"/>
    <w:rsid w:val="000B0730"/>
    <w:rsid w:val="000C6512"/>
    <w:rsid w:val="000D19F4"/>
    <w:rsid w:val="000D58DD"/>
    <w:rsid w:val="000D6740"/>
    <w:rsid w:val="000E6F61"/>
    <w:rsid w:val="000F2AE2"/>
    <w:rsid w:val="000F2BFF"/>
    <w:rsid w:val="00102063"/>
    <w:rsid w:val="0010541C"/>
    <w:rsid w:val="00106F93"/>
    <w:rsid w:val="00111D50"/>
    <w:rsid w:val="00113B8E"/>
    <w:rsid w:val="0012053C"/>
    <w:rsid w:val="00122363"/>
    <w:rsid w:val="00123ED4"/>
    <w:rsid w:val="001342C7"/>
    <w:rsid w:val="0013585C"/>
    <w:rsid w:val="00137473"/>
    <w:rsid w:val="0013788D"/>
    <w:rsid w:val="00141ADE"/>
    <w:rsid w:val="00142261"/>
    <w:rsid w:val="00142954"/>
    <w:rsid w:val="001460E0"/>
    <w:rsid w:val="001472F0"/>
    <w:rsid w:val="00147F71"/>
    <w:rsid w:val="00150A6E"/>
    <w:rsid w:val="00150C16"/>
    <w:rsid w:val="00150ECE"/>
    <w:rsid w:val="00151FA7"/>
    <w:rsid w:val="0016304B"/>
    <w:rsid w:val="0016468A"/>
    <w:rsid w:val="0018662D"/>
    <w:rsid w:val="00186EA6"/>
    <w:rsid w:val="00196F55"/>
    <w:rsid w:val="00197427"/>
    <w:rsid w:val="001A1694"/>
    <w:rsid w:val="001A21B4"/>
    <w:rsid w:val="001A5CF5"/>
    <w:rsid w:val="001A663A"/>
    <w:rsid w:val="001B39D2"/>
    <w:rsid w:val="001B4BF8"/>
    <w:rsid w:val="001C1ABD"/>
    <w:rsid w:val="001C3AD0"/>
    <w:rsid w:val="001C4326"/>
    <w:rsid w:val="001C665E"/>
    <w:rsid w:val="001D3541"/>
    <w:rsid w:val="001D3E4E"/>
    <w:rsid w:val="001E254A"/>
    <w:rsid w:val="001E7386"/>
    <w:rsid w:val="001F3A58"/>
    <w:rsid w:val="001F45A7"/>
    <w:rsid w:val="001F5BC0"/>
    <w:rsid w:val="001F6192"/>
    <w:rsid w:val="0020194C"/>
    <w:rsid w:val="00201A01"/>
    <w:rsid w:val="002032C5"/>
    <w:rsid w:val="0020754B"/>
    <w:rsid w:val="002104D3"/>
    <w:rsid w:val="00213A33"/>
    <w:rsid w:val="0021763B"/>
    <w:rsid w:val="00223B37"/>
    <w:rsid w:val="00237F2A"/>
    <w:rsid w:val="00246DB1"/>
    <w:rsid w:val="002476B5"/>
    <w:rsid w:val="00247E8A"/>
    <w:rsid w:val="002520CC"/>
    <w:rsid w:val="002530AD"/>
    <w:rsid w:val="00253ECF"/>
    <w:rsid w:val="002546A1"/>
    <w:rsid w:val="002628F4"/>
    <w:rsid w:val="002704D2"/>
    <w:rsid w:val="00271055"/>
    <w:rsid w:val="00275D08"/>
    <w:rsid w:val="002858E3"/>
    <w:rsid w:val="00286A2A"/>
    <w:rsid w:val="0029190A"/>
    <w:rsid w:val="00292C5A"/>
    <w:rsid w:val="002933DC"/>
    <w:rsid w:val="00294764"/>
    <w:rsid w:val="00295241"/>
    <w:rsid w:val="002A0989"/>
    <w:rsid w:val="002A4DFC"/>
    <w:rsid w:val="002A56A2"/>
    <w:rsid w:val="002B047D"/>
    <w:rsid w:val="002B6E20"/>
    <w:rsid w:val="002B732B"/>
    <w:rsid w:val="002B76A7"/>
    <w:rsid w:val="002C2219"/>
    <w:rsid w:val="002C2552"/>
    <w:rsid w:val="002C380A"/>
    <w:rsid w:val="002C41DE"/>
    <w:rsid w:val="002D0091"/>
    <w:rsid w:val="002D0DF2"/>
    <w:rsid w:val="002D23BD"/>
    <w:rsid w:val="002D5421"/>
    <w:rsid w:val="002E0B47"/>
    <w:rsid w:val="002E3404"/>
    <w:rsid w:val="002E5FBF"/>
    <w:rsid w:val="002F4685"/>
    <w:rsid w:val="002F7213"/>
    <w:rsid w:val="003022A7"/>
    <w:rsid w:val="0030382F"/>
    <w:rsid w:val="0030408D"/>
    <w:rsid w:val="003060E4"/>
    <w:rsid w:val="00314F7C"/>
    <w:rsid w:val="003150A1"/>
    <w:rsid w:val="0031597D"/>
    <w:rsid w:val="003160E7"/>
    <w:rsid w:val="0031739E"/>
    <w:rsid w:val="00320949"/>
    <w:rsid w:val="003222A7"/>
    <w:rsid w:val="003309CA"/>
    <w:rsid w:val="003325AB"/>
    <w:rsid w:val="003332D1"/>
    <w:rsid w:val="0033412B"/>
    <w:rsid w:val="00341161"/>
    <w:rsid w:val="00343365"/>
    <w:rsid w:val="003445F4"/>
    <w:rsid w:val="00352B40"/>
    <w:rsid w:val="00353501"/>
    <w:rsid w:val="00353734"/>
    <w:rsid w:val="0036031B"/>
    <w:rsid w:val="003606F8"/>
    <w:rsid w:val="003648EF"/>
    <w:rsid w:val="003673E6"/>
    <w:rsid w:val="00371FEF"/>
    <w:rsid w:val="003733AD"/>
    <w:rsid w:val="00374727"/>
    <w:rsid w:val="00377264"/>
    <w:rsid w:val="003779D2"/>
    <w:rsid w:val="00383D97"/>
    <w:rsid w:val="00385E38"/>
    <w:rsid w:val="0039726D"/>
    <w:rsid w:val="003A26A5"/>
    <w:rsid w:val="003A3761"/>
    <w:rsid w:val="003A512D"/>
    <w:rsid w:val="003A5FEA"/>
    <w:rsid w:val="003B1BEA"/>
    <w:rsid w:val="003B1D10"/>
    <w:rsid w:val="003C76D4"/>
    <w:rsid w:val="003D137D"/>
    <w:rsid w:val="003D2CC5"/>
    <w:rsid w:val="003D7765"/>
    <w:rsid w:val="003E04C1"/>
    <w:rsid w:val="003E0887"/>
    <w:rsid w:val="003E74C8"/>
    <w:rsid w:val="003E7BBD"/>
    <w:rsid w:val="003E7C46"/>
    <w:rsid w:val="003F2106"/>
    <w:rsid w:val="003F4E6A"/>
    <w:rsid w:val="003F52A7"/>
    <w:rsid w:val="003F7013"/>
    <w:rsid w:val="004003B6"/>
    <w:rsid w:val="0040240C"/>
    <w:rsid w:val="00411191"/>
    <w:rsid w:val="00413021"/>
    <w:rsid w:val="004178A1"/>
    <w:rsid w:val="00421167"/>
    <w:rsid w:val="004301C6"/>
    <w:rsid w:val="0043478F"/>
    <w:rsid w:val="0043602B"/>
    <w:rsid w:val="00440BE0"/>
    <w:rsid w:val="00442274"/>
    <w:rsid w:val="00442C1C"/>
    <w:rsid w:val="0044584B"/>
    <w:rsid w:val="00447CB7"/>
    <w:rsid w:val="00455492"/>
    <w:rsid w:val="00455CC9"/>
    <w:rsid w:val="00460826"/>
    <w:rsid w:val="00460EA7"/>
    <w:rsid w:val="0046195B"/>
    <w:rsid w:val="0046362D"/>
    <w:rsid w:val="0046596D"/>
    <w:rsid w:val="00477B5E"/>
    <w:rsid w:val="004820A7"/>
    <w:rsid w:val="00487C04"/>
    <w:rsid w:val="004907E1"/>
    <w:rsid w:val="004A035B"/>
    <w:rsid w:val="004A2108"/>
    <w:rsid w:val="004A38D7"/>
    <w:rsid w:val="004A778C"/>
    <w:rsid w:val="004B43AB"/>
    <w:rsid w:val="004B48C7"/>
    <w:rsid w:val="004B5A14"/>
    <w:rsid w:val="004B6E88"/>
    <w:rsid w:val="004C2E6A"/>
    <w:rsid w:val="004C64B8"/>
    <w:rsid w:val="004C686C"/>
    <w:rsid w:val="004D2A2D"/>
    <w:rsid w:val="004D3269"/>
    <w:rsid w:val="004D479F"/>
    <w:rsid w:val="004D6689"/>
    <w:rsid w:val="004E1D1D"/>
    <w:rsid w:val="004E7AC8"/>
    <w:rsid w:val="004F0C94"/>
    <w:rsid w:val="004F3EFD"/>
    <w:rsid w:val="004F4742"/>
    <w:rsid w:val="004F61FF"/>
    <w:rsid w:val="005005C6"/>
    <w:rsid w:val="005019AE"/>
    <w:rsid w:val="00503749"/>
    <w:rsid w:val="00504CF4"/>
    <w:rsid w:val="0050635B"/>
    <w:rsid w:val="005126FD"/>
    <w:rsid w:val="005151C2"/>
    <w:rsid w:val="00515E93"/>
    <w:rsid w:val="005244A0"/>
    <w:rsid w:val="005315B6"/>
    <w:rsid w:val="0053199F"/>
    <w:rsid w:val="00531E12"/>
    <w:rsid w:val="00532F92"/>
    <w:rsid w:val="00533B90"/>
    <w:rsid w:val="005410F8"/>
    <w:rsid w:val="005448EC"/>
    <w:rsid w:val="00545963"/>
    <w:rsid w:val="00547EB6"/>
    <w:rsid w:val="00550256"/>
    <w:rsid w:val="00553165"/>
    <w:rsid w:val="00553958"/>
    <w:rsid w:val="005555D7"/>
    <w:rsid w:val="00555DBA"/>
    <w:rsid w:val="00556BB7"/>
    <w:rsid w:val="0055763D"/>
    <w:rsid w:val="00561516"/>
    <w:rsid w:val="005621F2"/>
    <w:rsid w:val="00565B31"/>
    <w:rsid w:val="005665FD"/>
    <w:rsid w:val="00567B58"/>
    <w:rsid w:val="00571223"/>
    <w:rsid w:val="005763E0"/>
    <w:rsid w:val="005764A5"/>
    <w:rsid w:val="00581136"/>
    <w:rsid w:val="00581EB8"/>
    <w:rsid w:val="00585A3A"/>
    <w:rsid w:val="00594DEB"/>
    <w:rsid w:val="005A0DD0"/>
    <w:rsid w:val="005A27CA"/>
    <w:rsid w:val="005A43BD"/>
    <w:rsid w:val="005A79E5"/>
    <w:rsid w:val="005C0D54"/>
    <w:rsid w:val="005C13EF"/>
    <w:rsid w:val="005D034C"/>
    <w:rsid w:val="005D2B48"/>
    <w:rsid w:val="005D68C0"/>
    <w:rsid w:val="005E226E"/>
    <w:rsid w:val="005E2636"/>
    <w:rsid w:val="005E666E"/>
    <w:rsid w:val="005F473B"/>
    <w:rsid w:val="005F77FC"/>
    <w:rsid w:val="006015D7"/>
    <w:rsid w:val="00601B21"/>
    <w:rsid w:val="006041F0"/>
    <w:rsid w:val="00605C6D"/>
    <w:rsid w:val="006120CA"/>
    <w:rsid w:val="00624174"/>
    <w:rsid w:val="0062544E"/>
    <w:rsid w:val="00626CF8"/>
    <w:rsid w:val="006274F8"/>
    <w:rsid w:val="006314AF"/>
    <w:rsid w:val="00634ED8"/>
    <w:rsid w:val="00636D7D"/>
    <w:rsid w:val="00637408"/>
    <w:rsid w:val="00640C53"/>
    <w:rsid w:val="00642868"/>
    <w:rsid w:val="0064353C"/>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2CBC"/>
    <w:rsid w:val="00683139"/>
    <w:rsid w:val="00686D80"/>
    <w:rsid w:val="00691903"/>
    <w:rsid w:val="00694895"/>
    <w:rsid w:val="00697E2E"/>
    <w:rsid w:val="006A25A2"/>
    <w:rsid w:val="006A3B87"/>
    <w:rsid w:val="006B0E73"/>
    <w:rsid w:val="006B12DA"/>
    <w:rsid w:val="006B1E3D"/>
    <w:rsid w:val="006B4A4D"/>
    <w:rsid w:val="006B4DE2"/>
    <w:rsid w:val="006B5695"/>
    <w:rsid w:val="006B7B2E"/>
    <w:rsid w:val="006B7FBA"/>
    <w:rsid w:val="006C1C8A"/>
    <w:rsid w:val="006C78EB"/>
    <w:rsid w:val="006D1660"/>
    <w:rsid w:val="006D63E5"/>
    <w:rsid w:val="006E087E"/>
    <w:rsid w:val="006E1753"/>
    <w:rsid w:val="006E1C0A"/>
    <w:rsid w:val="006E3911"/>
    <w:rsid w:val="006E3AD9"/>
    <w:rsid w:val="006F1B67"/>
    <w:rsid w:val="006F4D9C"/>
    <w:rsid w:val="0070091D"/>
    <w:rsid w:val="00702854"/>
    <w:rsid w:val="0070422C"/>
    <w:rsid w:val="007079B4"/>
    <w:rsid w:val="007116D8"/>
    <w:rsid w:val="0071741C"/>
    <w:rsid w:val="0071754A"/>
    <w:rsid w:val="00741C8A"/>
    <w:rsid w:val="00742B90"/>
    <w:rsid w:val="0074434D"/>
    <w:rsid w:val="00750853"/>
    <w:rsid w:val="007570C4"/>
    <w:rsid w:val="007605B8"/>
    <w:rsid w:val="00771B1E"/>
    <w:rsid w:val="00773C95"/>
    <w:rsid w:val="00776420"/>
    <w:rsid w:val="0078171E"/>
    <w:rsid w:val="0078658E"/>
    <w:rsid w:val="007920E2"/>
    <w:rsid w:val="0079566E"/>
    <w:rsid w:val="00795B34"/>
    <w:rsid w:val="007A067F"/>
    <w:rsid w:val="007A4C26"/>
    <w:rsid w:val="007B1770"/>
    <w:rsid w:val="007B4D3E"/>
    <w:rsid w:val="007B75B0"/>
    <w:rsid w:val="007B7C70"/>
    <w:rsid w:val="007B7DEB"/>
    <w:rsid w:val="007C0449"/>
    <w:rsid w:val="007D20BF"/>
    <w:rsid w:val="007D2151"/>
    <w:rsid w:val="007D3B90"/>
    <w:rsid w:val="007D42CC"/>
    <w:rsid w:val="007D5DE4"/>
    <w:rsid w:val="007D665F"/>
    <w:rsid w:val="007D7C3A"/>
    <w:rsid w:val="007E0777"/>
    <w:rsid w:val="007E1341"/>
    <w:rsid w:val="007E1B41"/>
    <w:rsid w:val="007E1EC4"/>
    <w:rsid w:val="007E30B9"/>
    <w:rsid w:val="007E74F1"/>
    <w:rsid w:val="007F084D"/>
    <w:rsid w:val="007F0F0C"/>
    <w:rsid w:val="007F1288"/>
    <w:rsid w:val="00800A8A"/>
    <w:rsid w:val="0080155C"/>
    <w:rsid w:val="0080186A"/>
    <w:rsid w:val="00802075"/>
    <w:rsid w:val="0080433C"/>
    <w:rsid w:val="008052E1"/>
    <w:rsid w:val="00815765"/>
    <w:rsid w:val="00821491"/>
    <w:rsid w:val="00822F2C"/>
    <w:rsid w:val="00823DEE"/>
    <w:rsid w:val="00825F38"/>
    <w:rsid w:val="008305E8"/>
    <w:rsid w:val="00836165"/>
    <w:rsid w:val="0084369E"/>
    <w:rsid w:val="0084640C"/>
    <w:rsid w:val="00856088"/>
    <w:rsid w:val="00860826"/>
    <w:rsid w:val="00860E21"/>
    <w:rsid w:val="00863117"/>
    <w:rsid w:val="0086388B"/>
    <w:rsid w:val="008642E5"/>
    <w:rsid w:val="00864488"/>
    <w:rsid w:val="00870A36"/>
    <w:rsid w:val="00872D93"/>
    <w:rsid w:val="00880470"/>
    <w:rsid w:val="00880D94"/>
    <w:rsid w:val="00886AB3"/>
    <w:rsid w:val="00886F64"/>
    <w:rsid w:val="00886FA4"/>
    <w:rsid w:val="00887CA2"/>
    <w:rsid w:val="00890138"/>
    <w:rsid w:val="00890A4F"/>
    <w:rsid w:val="008924DE"/>
    <w:rsid w:val="00894A74"/>
    <w:rsid w:val="008A3755"/>
    <w:rsid w:val="008B06D8"/>
    <w:rsid w:val="008B19DC"/>
    <w:rsid w:val="008B1F64"/>
    <w:rsid w:val="008B264F"/>
    <w:rsid w:val="008B6CED"/>
    <w:rsid w:val="008B6F83"/>
    <w:rsid w:val="008B797E"/>
    <w:rsid w:val="008B7FD8"/>
    <w:rsid w:val="008C1108"/>
    <w:rsid w:val="008C2973"/>
    <w:rsid w:val="008C6324"/>
    <w:rsid w:val="008C64C4"/>
    <w:rsid w:val="008C6591"/>
    <w:rsid w:val="008C6E3D"/>
    <w:rsid w:val="008D2CDD"/>
    <w:rsid w:val="008D74D5"/>
    <w:rsid w:val="008E0ED1"/>
    <w:rsid w:val="008E19A3"/>
    <w:rsid w:val="008E3A07"/>
    <w:rsid w:val="008E537B"/>
    <w:rsid w:val="008F196E"/>
    <w:rsid w:val="008F29BE"/>
    <w:rsid w:val="008F2B72"/>
    <w:rsid w:val="008F4AE5"/>
    <w:rsid w:val="008F51EB"/>
    <w:rsid w:val="008F66B0"/>
    <w:rsid w:val="008F70A0"/>
    <w:rsid w:val="00900197"/>
    <w:rsid w:val="0090068E"/>
    <w:rsid w:val="00902F55"/>
    <w:rsid w:val="00903657"/>
    <w:rsid w:val="0090582B"/>
    <w:rsid w:val="009060C0"/>
    <w:rsid w:val="00907863"/>
    <w:rsid w:val="009114A2"/>
    <w:rsid w:val="009133F5"/>
    <w:rsid w:val="00916C3A"/>
    <w:rsid w:val="0091756F"/>
    <w:rsid w:val="00920A27"/>
    <w:rsid w:val="00921216"/>
    <w:rsid w:val="009216CC"/>
    <w:rsid w:val="00926083"/>
    <w:rsid w:val="00927861"/>
    <w:rsid w:val="00930D08"/>
    <w:rsid w:val="00931466"/>
    <w:rsid w:val="00932D69"/>
    <w:rsid w:val="00934D06"/>
    <w:rsid w:val="00935589"/>
    <w:rsid w:val="0093668B"/>
    <w:rsid w:val="00944647"/>
    <w:rsid w:val="009515A6"/>
    <w:rsid w:val="0095565C"/>
    <w:rsid w:val="009566C2"/>
    <w:rsid w:val="00964AB6"/>
    <w:rsid w:val="00966F9A"/>
    <w:rsid w:val="00967D60"/>
    <w:rsid w:val="00977B8A"/>
    <w:rsid w:val="00982971"/>
    <w:rsid w:val="0098361A"/>
    <w:rsid w:val="009845AD"/>
    <w:rsid w:val="00984835"/>
    <w:rsid w:val="0098639B"/>
    <w:rsid w:val="00986519"/>
    <w:rsid w:val="009933EF"/>
    <w:rsid w:val="00995BA0"/>
    <w:rsid w:val="009967B5"/>
    <w:rsid w:val="009A194F"/>
    <w:rsid w:val="009A418B"/>
    <w:rsid w:val="009A426F"/>
    <w:rsid w:val="009A42D5"/>
    <w:rsid w:val="009A4473"/>
    <w:rsid w:val="009B05C9"/>
    <w:rsid w:val="009B2420"/>
    <w:rsid w:val="009B286C"/>
    <w:rsid w:val="009B6C33"/>
    <w:rsid w:val="009C151C"/>
    <w:rsid w:val="009C1B07"/>
    <w:rsid w:val="009C440A"/>
    <w:rsid w:val="009D2669"/>
    <w:rsid w:val="009D5125"/>
    <w:rsid w:val="009D60B8"/>
    <w:rsid w:val="009D7D4B"/>
    <w:rsid w:val="009E36ED"/>
    <w:rsid w:val="009E3C8C"/>
    <w:rsid w:val="009E6B77"/>
    <w:rsid w:val="009F37B9"/>
    <w:rsid w:val="009F460A"/>
    <w:rsid w:val="00A043FB"/>
    <w:rsid w:val="00A06BE4"/>
    <w:rsid w:val="00A0729C"/>
    <w:rsid w:val="00A07779"/>
    <w:rsid w:val="00A1166A"/>
    <w:rsid w:val="00A20B2E"/>
    <w:rsid w:val="00A232EE"/>
    <w:rsid w:val="00A23FED"/>
    <w:rsid w:val="00A24F33"/>
    <w:rsid w:val="00A25069"/>
    <w:rsid w:val="00A26E6B"/>
    <w:rsid w:val="00A3068F"/>
    <w:rsid w:val="00A3145B"/>
    <w:rsid w:val="00A339D0"/>
    <w:rsid w:val="00A40C1E"/>
    <w:rsid w:val="00A41002"/>
    <w:rsid w:val="00A4201A"/>
    <w:rsid w:val="00A51296"/>
    <w:rsid w:val="00A531A4"/>
    <w:rsid w:val="00A5465D"/>
    <w:rsid w:val="00A54C4A"/>
    <w:rsid w:val="00A54E93"/>
    <w:rsid w:val="00A553CE"/>
    <w:rsid w:val="00A5677A"/>
    <w:rsid w:val="00A56DCC"/>
    <w:rsid w:val="00A6159F"/>
    <w:rsid w:val="00A625E8"/>
    <w:rsid w:val="00A63DFF"/>
    <w:rsid w:val="00A6490D"/>
    <w:rsid w:val="00A72DD3"/>
    <w:rsid w:val="00A7415D"/>
    <w:rsid w:val="00A80363"/>
    <w:rsid w:val="00A80939"/>
    <w:rsid w:val="00A81E21"/>
    <w:rsid w:val="00A83E9D"/>
    <w:rsid w:val="00A87C05"/>
    <w:rsid w:val="00A9169D"/>
    <w:rsid w:val="00A92492"/>
    <w:rsid w:val="00A96156"/>
    <w:rsid w:val="00AA240C"/>
    <w:rsid w:val="00AB682C"/>
    <w:rsid w:val="00AB7393"/>
    <w:rsid w:val="00AC101C"/>
    <w:rsid w:val="00AD4CF1"/>
    <w:rsid w:val="00AD5988"/>
    <w:rsid w:val="00AD6293"/>
    <w:rsid w:val="00AD7639"/>
    <w:rsid w:val="00AE32F4"/>
    <w:rsid w:val="00AE3CD8"/>
    <w:rsid w:val="00AE7C43"/>
    <w:rsid w:val="00AF1BA8"/>
    <w:rsid w:val="00AF2910"/>
    <w:rsid w:val="00AF7800"/>
    <w:rsid w:val="00B00CF5"/>
    <w:rsid w:val="00B04361"/>
    <w:rsid w:val="00B072E0"/>
    <w:rsid w:val="00B07CF4"/>
    <w:rsid w:val="00B1007E"/>
    <w:rsid w:val="00B229EB"/>
    <w:rsid w:val="00B253F6"/>
    <w:rsid w:val="00B26675"/>
    <w:rsid w:val="00B26F0F"/>
    <w:rsid w:val="00B27050"/>
    <w:rsid w:val="00B305DB"/>
    <w:rsid w:val="00B31333"/>
    <w:rsid w:val="00B332F8"/>
    <w:rsid w:val="00B3492B"/>
    <w:rsid w:val="00B41C2B"/>
    <w:rsid w:val="00B4646F"/>
    <w:rsid w:val="00B55C7D"/>
    <w:rsid w:val="00B63038"/>
    <w:rsid w:val="00B64BD8"/>
    <w:rsid w:val="00B701D1"/>
    <w:rsid w:val="00B73AF2"/>
    <w:rsid w:val="00B7551A"/>
    <w:rsid w:val="00B773F1"/>
    <w:rsid w:val="00B807ED"/>
    <w:rsid w:val="00B84C71"/>
    <w:rsid w:val="00B86AB1"/>
    <w:rsid w:val="00B93C3A"/>
    <w:rsid w:val="00B97F07"/>
    <w:rsid w:val="00BA7EBA"/>
    <w:rsid w:val="00BB0BCF"/>
    <w:rsid w:val="00BB2A06"/>
    <w:rsid w:val="00BB2CBB"/>
    <w:rsid w:val="00BB4198"/>
    <w:rsid w:val="00BC03EE"/>
    <w:rsid w:val="00BC4C5A"/>
    <w:rsid w:val="00BC59F1"/>
    <w:rsid w:val="00BD64AD"/>
    <w:rsid w:val="00BF3DE1"/>
    <w:rsid w:val="00BF4843"/>
    <w:rsid w:val="00BF5205"/>
    <w:rsid w:val="00C03181"/>
    <w:rsid w:val="00C05132"/>
    <w:rsid w:val="00C11D97"/>
    <w:rsid w:val="00C12508"/>
    <w:rsid w:val="00C23728"/>
    <w:rsid w:val="00C3026C"/>
    <w:rsid w:val="00C313A9"/>
    <w:rsid w:val="00C34511"/>
    <w:rsid w:val="00C35188"/>
    <w:rsid w:val="00C35B12"/>
    <w:rsid w:val="00C441CF"/>
    <w:rsid w:val="00C45AA2"/>
    <w:rsid w:val="00C46758"/>
    <w:rsid w:val="00C4792C"/>
    <w:rsid w:val="00C55BEF"/>
    <w:rsid w:val="00C601AF"/>
    <w:rsid w:val="00C60D32"/>
    <w:rsid w:val="00C61A63"/>
    <w:rsid w:val="00C66296"/>
    <w:rsid w:val="00C7394D"/>
    <w:rsid w:val="00C77282"/>
    <w:rsid w:val="00C81902"/>
    <w:rsid w:val="00C82CA4"/>
    <w:rsid w:val="00C84DE5"/>
    <w:rsid w:val="00C86248"/>
    <w:rsid w:val="00C90B31"/>
    <w:rsid w:val="00CA0D6F"/>
    <w:rsid w:val="00CA25D4"/>
    <w:rsid w:val="00CA4C33"/>
    <w:rsid w:val="00CA4E7C"/>
    <w:rsid w:val="00CA6F4A"/>
    <w:rsid w:val="00CB6427"/>
    <w:rsid w:val="00CC0FBE"/>
    <w:rsid w:val="00CD2119"/>
    <w:rsid w:val="00CD237A"/>
    <w:rsid w:val="00CD36AC"/>
    <w:rsid w:val="00CE13A3"/>
    <w:rsid w:val="00CE36BC"/>
    <w:rsid w:val="00CE4F67"/>
    <w:rsid w:val="00CE7691"/>
    <w:rsid w:val="00CF1747"/>
    <w:rsid w:val="00CF60ED"/>
    <w:rsid w:val="00D05D74"/>
    <w:rsid w:val="00D153EF"/>
    <w:rsid w:val="00D159E9"/>
    <w:rsid w:val="00D170D9"/>
    <w:rsid w:val="00D20C59"/>
    <w:rsid w:val="00D23323"/>
    <w:rsid w:val="00D2392A"/>
    <w:rsid w:val="00D25FFE"/>
    <w:rsid w:val="00D37D80"/>
    <w:rsid w:val="00D4077D"/>
    <w:rsid w:val="00D4476F"/>
    <w:rsid w:val="00D50573"/>
    <w:rsid w:val="00D50D9B"/>
    <w:rsid w:val="00D54D50"/>
    <w:rsid w:val="00D560B4"/>
    <w:rsid w:val="00D662F8"/>
    <w:rsid w:val="00D66797"/>
    <w:rsid w:val="00D7074B"/>
    <w:rsid w:val="00D7087C"/>
    <w:rsid w:val="00D70C3C"/>
    <w:rsid w:val="00D71DF7"/>
    <w:rsid w:val="00D72BE5"/>
    <w:rsid w:val="00D81462"/>
    <w:rsid w:val="00D82296"/>
    <w:rsid w:val="00D82F26"/>
    <w:rsid w:val="00D863D0"/>
    <w:rsid w:val="00D86B00"/>
    <w:rsid w:val="00D86FB9"/>
    <w:rsid w:val="00D87C87"/>
    <w:rsid w:val="00D90BB4"/>
    <w:rsid w:val="00D90E07"/>
    <w:rsid w:val="00D932C2"/>
    <w:rsid w:val="00DA48AF"/>
    <w:rsid w:val="00DB39CF"/>
    <w:rsid w:val="00DB7256"/>
    <w:rsid w:val="00DC0401"/>
    <w:rsid w:val="00DC20BD"/>
    <w:rsid w:val="00DC3DD2"/>
    <w:rsid w:val="00DD0BCD"/>
    <w:rsid w:val="00DD0D6D"/>
    <w:rsid w:val="00DD1D22"/>
    <w:rsid w:val="00DD4023"/>
    <w:rsid w:val="00DD447A"/>
    <w:rsid w:val="00DE0B01"/>
    <w:rsid w:val="00DE2ED2"/>
    <w:rsid w:val="00DE3B20"/>
    <w:rsid w:val="00DE6C94"/>
    <w:rsid w:val="00DE6FD7"/>
    <w:rsid w:val="00DE7B6C"/>
    <w:rsid w:val="00DF2DB2"/>
    <w:rsid w:val="00DF603B"/>
    <w:rsid w:val="00E0675D"/>
    <w:rsid w:val="00E113F6"/>
    <w:rsid w:val="00E23271"/>
    <w:rsid w:val="00E237EE"/>
    <w:rsid w:val="00E24F80"/>
    <w:rsid w:val="00E259F3"/>
    <w:rsid w:val="00E30985"/>
    <w:rsid w:val="00E33238"/>
    <w:rsid w:val="00E376B7"/>
    <w:rsid w:val="00E42F5D"/>
    <w:rsid w:val="00E43E55"/>
    <w:rsid w:val="00E4486C"/>
    <w:rsid w:val="00E460B6"/>
    <w:rsid w:val="00E478EF"/>
    <w:rsid w:val="00E50BC7"/>
    <w:rsid w:val="00E511D5"/>
    <w:rsid w:val="00E53A9F"/>
    <w:rsid w:val="00E60249"/>
    <w:rsid w:val="00E65269"/>
    <w:rsid w:val="00E725EB"/>
    <w:rsid w:val="00E76D66"/>
    <w:rsid w:val="00E842DF"/>
    <w:rsid w:val="00E846BB"/>
    <w:rsid w:val="00E87367"/>
    <w:rsid w:val="00E91333"/>
    <w:rsid w:val="00E93B3F"/>
    <w:rsid w:val="00E95FF0"/>
    <w:rsid w:val="00EA30E5"/>
    <w:rsid w:val="00EA608C"/>
    <w:rsid w:val="00EA796A"/>
    <w:rsid w:val="00EB1856"/>
    <w:rsid w:val="00EC50CE"/>
    <w:rsid w:val="00EC5B34"/>
    <w:rsid w:val="00ED021E"/>
    <w:rsid w:val="00ED323C"/>
    <w:rsid w:val="00EE1FD7"/>
    <w:rsid w:val="00EE2D5C"/>
    <w:rsid w:val="00EE4ADE"/>
    <w:rsid w:val="00EE4DE8"/>
    <w:rsid w:val="00EE5CB7"/>
    <w:rsid w:val="00EE7349"/>
    <w:rsid w:val="00EF64E7"/>
    <w:rsid w:val="00F024FE"/>
    <w:rsid w:val="00F04012"/>
    <w:rsid w:val="00F05AD4"/>
    <w:rsid w:val="00F064FF"/>
    <w:rsid w:val="00F077E2"/>
    <w:rsid w:val="00F10EB6"/>
    <w:rsid w:val="00F13F07"/>
    <w:rsid w:val="00F140B2"/>
    <w:rsid w:val="00F25970"/>
    <w:rsid w:val="00F311A9"/>
    <w:rsid w:val="00F33E7D"/>
    <w:rsid w:val="00F5180D"/>
    <w:rsid w:val="00F63781"/>
    <w:rsid w:val="00F67496"/>
    <w:rsid w:val="00F801BA"/>
    <w:rsid w:val="00F930D9"/>
    <w:rsid w:val="00F9366A"/>
    <w:rsid w:val="00F946C9"/>
    <w:rsid w:val="00FA0EA5"/>
    <w:rsid w:val="00FA0EA7"/>
    <w:rsid w:val="00FA533E"/>
    <w:rsid w:val="00FA69FC"/>
    <w:rsid w:val="00FA74EE"/>
    <w:rsid w:val="00FB27BB"/>
    <w:rsid w:val="00FC3711"/>
    <w:rsid w:val="00FC46E7"/>
    <w:rsid w:val="00FC4DF7"/>
    <w:rsid w:val="00FC5D25"/>
    <w:rsid w:val="00FC6171"/>
    <w:rsid w:val="00FD0212"/>
    <w:rsid w:val="00FD0D7E"/>
    <w:rsid w:val="00FD13B6"/>
    <w:rsid w:val="00FD4FFB"/>
    <w:rsid w:val="00FD5B2E"/>
    <w:rsid w:val="00FE6E13"/>
    <w:rsid w:val="00FF15F6"/>
    <w:rsid w:val="00FF38F2"/>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99"/>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99"/>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99"/>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9"/>
    <w:qFormat/>
    <w:rsid w:val="00030E84"/>
    <w:pPr>
      <w:keepNext/>
      <w:spacing w:before="240" w:after="120"/>
      <w:outlineLvl w:val="3"/>
    </w:pPr>
    <w:rPr>
      <w:color w:val="0A6AB4"/>
      <w:sz w:val="28"/>
    </w:rPr>
  </w:style>
  <w:style w:type="paragraph" w:styleId="Heading5">
    <w:name w:val="heading 5"/>
    <w:basedOn w:val="Normal"/>
    <w:next w:val="Normal"/>
    <w:link w:val="Heading5Char"/>
    <w:uiPriority w:val="9"/>
    <w:qFormat/>
    <w:rsid w:val="00B00CF5"/>
    <w:pPr>
      <w:keepNext/>
      <w:spacing w:before="120" w:after="120"/>
      <w:outlineLvl w:val="4"/>
    </w:pPr>
    <w:rPr>
      <w:color w:val="0A6AB4"/>
      <w:sz w:val="24"/>
    </w:rPr>
  </w:style>
  <w:style w:type="paragraph" w:styleId="Heading6">
    <w:name w:val="heading 6"/>
    <w:basedOn w:val="Normal"/>
    <w:next w:val="Normal"/>
    <w:link w:val="Heading6Char"/>
    <w:uiPriority w:val="9"/>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9"/>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9"/>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9"/>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uiPriority w:val="1"/>
    <w:qFormat/>
    <w:rsid w:val="00FA0EA5"/>
    <w:pPr>
      <w:numPr>
        <w:numId w:val="1"/>
      </w:numPr>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rsid w:val="00A7415D"/>
    <w:pPr>
      <w:spacing w:before="60" w:line="228" w:lineRule="auto"/>
      <w:ind w:left="284" w:hanging="284"/>
    </w:pPr>
    <w:rPr>
      <w:sz w:val="17"/>
    </w:rPr>
  </w:style>
  <w:style w:type="paragraph" w:styleId="Header">
    <w:name w:val="header"/>
    <w:basedOn w:val="Normal"/>
    <w:link w:val="HeaderChar"/>
    <w:uiPriority w:val="99"/>
    <w:qFormat/>
    <w:rsid w:val="00D25FFE"/>
  </w:style>
  <w:style w:type="paragraph" w:styleId="Title">
    <w:name w:val="Title"/>
    <w:aliases w:val="Copy"/>
    <w:basedOn w:val="Normal"/>
    <w:next w:val="Normal"/>
    <w:link w:val="TitleChar"/>
    <w:uiPriority w:val="10"/>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styleId="PageNumber">
    <w:name w:val="page number"/>
    <w:uiPriority w:val="99"/>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qFormat/>
    <w:rsid w:val="00642868"/>
  </w:style>
  <w:style w:type="paragraph" w:customStyle="1" w:styleId="Dash">
    <w:name w:val="Dash"/>
    <w:basedOn w:val="Bullet"/>
    <w:uiPriority w:val="99"/>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uiPriority w:val="99"/>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uiPriority w:val="99"/>
    <w:qFormat/>
    <w:rsid w:val="0010541C"/>
    <w:pPr>
      <w:numPr>
        <w:numId w:val="3"/>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rsid w:val="00A7415D"/>
    <w:rPr>
      <w:rFonts w:ascii="Segoe UI" w:hAnsi="Segoe UI"/>
      <w:sz w:val="17"/>
      <w:lang w:eastAsia="en-GB"/>
    </w:rPr>
  </w:style>
  <w:style w:type="table" w:styleId="TableGrid">
    <w:name w:val="Table Grid"/>
    <w:basedOn w:val="TableNormal"/>
    <w:uiPriority w:val="5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uiPriority w:val="99"/>
    <w:rsid w:val="007A067F"/>
    <w:rPr>
      <w:rFonts w:ascii="Segoe UI" w:hAnsi="Segoe UI"/>
      <w:sz w:val="21"/>
      <w:lang w:eastAsia="en-GB"/>
    </w:rPr>
  </w:style>
  <w:style w:type="character" w:customStyle="1" w:styleId="Heading1Char">
    <w:name w:val="Heading 1 Char"/>
    <w:link w:val="Heading1"/>
    <w:uiPriority w:val="99"/>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99"/>
    <w:rsid w:val="00030E84"/>
    <w:rPr>
      <w:rFonts w:ascii="Segoe UI" w:hAnsi="Segoe UI"/>
      <w:b/>
      <w:color w:val="0A6AB4"/>
      <w:spacing w:val="-5"/>
      <w:sz w:val="48"/>
      <w:lang w:eastAsia="en-GB"/>
    </w:rPr>
  </w:style>
  <w:style w:type="character" w:customStyle="1" w:styleId="Heading3Char">
    <w:name w:val="Heading 3 Char"/>
    <w:link w:val="Heading3"/>
    <w:uiPriority w:val="99"/>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uiPriority w:val="9"/>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uiPriority w:val="9"/>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9"/>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uiPriority w:val="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9"/>
    <w:rsid w:val="00030E84"/>
    <w:rPr>
      <w:rFonts w:ascii="Segoe UI" w:hAnsi="Segoe UI"/>
      <w:color w:val="0A6AB4"/>
      <w:sz w:val="28"/>
      <w:lang w:eastAsia="en-GB"/>
    </w:rPr>
  </w:style>
  <w:style w:type="character" w:customStyle="1" w:styleId="Heading5Char">
    <w:name w:val="Heading 5 Char"/>
    <w:link w:val="Heading5"/>
    <w:uiPriority w:val="9"/>
    <w:rsid w:val="00B00CF5"/>
    <w:rPr>
      <w:rFonts w:ascii="Segoe UI" w:hAnsi="Segoe UI"/>
      <w:color w:val="0A6AB4"/>
      <w:sz w:val="24"/>
      <w:lang w:eastAsia="en-GB"/>
    </w:rPr>
  </w:style>
  <w:style w:type="character" w:customStyle="1" w:styleId="QuoteChar">
    <w:name w:val="Quote Char"/>
    <w:link w:val="Quote"/>
    <w:uiPriority w:val="29"/>
    <w:rsid w:val="00122363"/>
    <w:rPr>
      <w:rFonts w:ascii="Georgia" w:hAnsi="Georgia"/>
      <w:sz w:val="22"/>
      <w:lang w:eastAsia="en-GB"/>
    </w:rPr>
  </w:style>
  <w:style w:type="character" w:customStyle="1" w:styleId="TitleChar">
    <w:name w:val="Title Char"/>
    <w:aliases w:val="Copy Char"/>
    <w:link w:val="Title"/>
    <w:uiPriority w:val="10"/>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5"/>
      </w:numPr>
      <w:spacing w:before="180"/>
    </w:pPr>
    <w:rPr>
      <w:szCs w:val="24"/>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5"/>
      </w:numPr>
      <w:spacing w:before="90"/>
    </w:pPr>
    <w:rPr>
      <w:rFonts w:eastAsia="Arial Unicode MS"/>
    </w:rPr>
  </w:style>
  <w:style w:type="paragraph" w:styleId="ListParagraph">
    <w:name w:val="List Paragraph"/>
    <w:basedOn w:val="Normal"/>
    <w:uiPriority w:val="34"/>
    <w:qFormat/>
    <w:rsid w:val="00150ECE"/>
    <w:pPr>
      <w:ind w:left="720"/>
      <w:contextualSpacing/>
    </w:pPr>
  </w:style>
  <w:style w:type="character" w:styleId="UnresolvedMention">
    <w:name w:val="Unresolved Mention"/>
    <w:basedOn w:val="DefaultParagraphFont"/>
    <w:uiPriority w:val="99"/>
    <w:semiHidden/>
    <w:unhideWhenUsed/>
    <w:rsid w:val="009D2669"/>
    <w:rPr>
      <w:color w:val="605E5C"/>
      <w:shd w:val="clear" w:color="auto" w:fill="E1DFDD"/>
    </w:rPr>
  </w:style>
  <w:style w:type="paragraph" w:styleId="Caption">
    <w:name w:val="caption"/>
    <w:basedOn w:val="Normal"/>
    <w:next w:val="Normal"/>
    <w:unhideWhenUsed/>
    <w:qFormat/>
    <w:rsid w:val="00FA533E"/>
    <w:pPr>
      <w:spacing w:after="200"/>
    </w:pPr>
    <w:rPr>
      <w:i/>
      <w:iCs/>
      <w:color w:val="1F497D" w:themeColor="text2"/>
      <w:sz w:val="18"/>
      <w:szCs w:val="18"/>
    </w:rPr>
  </w:style>
  <w:style w:type="paragraph" w:styleId="Subtitle">
    <w:name w:val="Subtitle"/>
    <w:basedOn w:val="Normal"/>
    <w:next w:val="Normal"/>
    <w:link w:val="SubtitleChar"/>
    <w:uiPriority w:val="11"/>
    <w:qFormat/>
    <w:rsid w:val="00FA0EA7"/>
    <w:pPr>
      <w:numPr>
        <w:ilvl w:val="1"/>
      </w:numPr>
      <w:spacing w:line="264" w:lineRule="auto"/>
    </w:pPr>
    <w:rPr>
      <w:rFonts w:ascii="Georgia" w:eastAsiaTheme="majorEastAsia" w:hAnsi="Georg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EA7"/>
    <w:rPr>
      <w:rFonts w:ascii="Georgia" w:eastAsiaTheme="majorEastAsia" w:hAnsi="Georgia" w:cstheme="majorBidi"/>
      <w:color w:val="595959" w:themeColor="text1" w:themeTint="A6"/>
      <w:spacing w:val="15"/>
      <w:sz w:val="28"/>
      <w:szCs w:val="28"/>
      <w:lang w:eastAsia="en-GB"/>
    </w:rPr>
  </w:style>
  <w:style w:type="character" w:styleId="IntenseEmphasis">
    <w:name w:val="Intense Emphasis"/>
    <w:basedOn w:val="DefaultParagraphFont"/>
    <w:uiPriority w:val="21"/>
    <w:qFormat/>
    <w:rsid w:val="00FA0EA7"/>
    <w:rPr>
      <w:i/>
      <w:iCs/>
      <w:color w:val="365F91" w:themeColor="accent1" w:themeShade="BF"/>
    </w:rPr>
  </w:style>
  <w:style w:type="paragraph" w:styleId="IntenseQuote">
    <w:name w:val="Intense Quote"/>
    <w:basedOn w:val="Normal"/>
    <w:next w:val="Normal"/>
    <w:link w:val="IntenseQuoteChar"/>
    <w:uiPriority w:val="30"/>
    <w:qFormat/>
    <w:rsid w:val="00FA0EA7"/>
    <w:pPr>
      <w:pBdr>
        <w:top w:val="single" w:sz="4" w:space="10" w:color="365F91" w:themeColor="accent1" w:themeShade="BF"/>
        <w:bottom w:val="single" w:sz="4" w:space="10" w:color="365F91" w:themeColor="accent1" w:themeShade="BF"/>
      </w:pBdr>
      <w:spacing w:before="360" w:after="360" w:line="264" w:lineRule="auto"/>
      <w:ind w:left="864" w:right="864"/>
      <w:jc w:val="center"/>
    </w:pPr>
    <w:rPr>
      <w:rFonts w:ascii="Georgia" w:hAnsi="Georgia"/>
      <w:i/>
      <w:iCs/>
      <w:color w:val="365F91" w:themeColor="accent1" w:themeShade="BF"/>
      <w:sz w:val="22"/>
    </w:rPr>
  </w:style>
  <w:style w:type="character" w:customStyle="1" w:styleId="IntenseQuoteChar">
    <w:name w:val="Intense Quote Char"/>
    <w:basedOn w:val="DefaultParagraphFont"/>
    <w:link w:val="IntenseQuote"/>
    <w:uiPriority w:val="30"/>
    <w:rsid w:val="00FA0EA7"/>
    <w:rPr>
      <w:rFonts w:ascii="Georgia" w:hAnsi="Georgia"/>
      <w:i/>
      <w:iCs/>
      <w:color w:val="365F91" w:themeColor="accent1" w:themeShade="BF"/>
      <w:sz w:val="22"/>
      <w:lang w:eastAsia="en-GB"/>
    </w:rPr>
  </w:style>
  <w:style w:type="character" w:styleId="IntenseReference">
    <w:name w:val="Intense Reference"/>
    <w:basedOn w:val="DefaultParagraphFont"/>
    <w:uiPriority w:val="32"/>
    <w:qFormat/>
    <w:rsid w:val="00FA0EA7"/>
    <w:rPr>
      <w:b/>
      <w:bCs/>
      <w:smallCaps/>
      <w:color w:val="365F91" w:themeColor="accent1" w:themeShade="BF"/>
      <w:spacing w:val="5"/>
    </w:rPr>
  </w:style>
  <w:style w:type="paragraph" w:styleId="BalloonText">
    <w:name w:val="Balloon Text"/>
    <w:basedOn w:val="Normal"/>
    <w:link w:val="BalloonTextChar"/>
    <w:uiPriority w:val="99"/>
    <w:semiHidden/>
    <w:unhideWhenUsed/>
    <w:rsid w:val="00FA0EA7"/>
    <w:rPr>
      <w:rFonts w:ascii="Tahoma" w:hAnsi="Tahoma" w:cs="Tahoma"/>
      <w:sz w:val="16"/>
      <w:szCs w:val="16"/>
    </w:rPr>
  </w:style>
  <w:style w:type="character" w:customStyle="1" w:styleId="BalloonTextChar">
    <w:name w:val="Balloon Text Char"/>
    <w:basedOn w:val="DefaultParagraphFont"/>
    <w:link w:val="BalloonText"/>
    <w:uiPriority w:val="99"/>
    <w:semiHidden/>
    <w:rsid w:val="00FA0EA7"/>
    <w:rPr>
      <w:rFonts w:ascii="Tahoma" w:hAnsi="Tahoma" w:cs="Tahoma"/>
      <w:sz w:val="16"/>
      <w:szCs w:val="16"/>
      <w:lang w:eastAsia="en-GB"/>
    </w:rPr>
  </w:style>
  <w:style w:type="character" w:styleId="CommentReference">
    <w:name w:val="annotation reference"/>
    <w:basedOn w:val="DefaultParagraphFont"/>
    <w:uiPriority w:val="99"/>
    <w:semiHidden/>
    <w:unhideWhenUsed/>
    <w:rsid w:val="00FA0EA7"/>
    <w:rPr>
      <w:sz w:val="16"/>
      <w:szCs w:val="16"/>
    </w:rPr>
  </w:style>
  <w:style w:type="paragraph" w:styleId="CommentText">
    <w:name w:val="annotation text"/>
    <w:basedOn w:val="Normal"/>
    <w:link w:val="CommentTextChar"/>
    <w:uiPriority w:val="99"/>
    <w:unhideWhenUsed/>
    <w:rsid w:val="00FA0EA7"/>
    <w:rPr>
      <w:rFonts w:ascii="Georgia" w:hAnsi="Georgia"/>
      <w:sz w:val="20"/>
    </w:rPr>
  </w:style>
  <w:style w:type="character" w:customStyle="1" w:styleId="CommentTextChar">
    <w:name w:val="Comment Text Char"/>
    <w:basedOn w:val="DefaultParagraphFont"/>
    <w:link w:val="CommentText"/>
    <w:uiPriority w:val="99"/>
    <w:rsid w:val="00FA0EA7"/>
    <w:rPr>
      <w:rFonts w:ascii="Georgia" w:hAnsi="Georgia"/>
      <w:lang w:eastAsia="en-GB"/>
    </w:rPr>
  </w:style>
  <w:style w:type="paragraph" w:styleId="CommentSubject">
    <w:name w:val="annotation subject"/>
    <w:basedOn w:val="CommentText"/>
    <w:next w:val="CommentText"/>
    <w:link w:val="CommentSubjectChar"/>
    <w:uiPriority w:val="99"/>
    <w:semiHidden/>
    <w:unhideWhenUsed/>
    <w:rsid w:val="00FA0EA7"/>
    <w:rPr>
      <w:b/>
      <w:bCs/>
    </w:rPr>
  </w:style>
  <w:style w:type="character" w:customStyle="1" w:styleId="CommentSubjectChar">
    <w:name w:val="Comment Subject Char"/>
    <w:basedOn w:val="CommentTextChar"/>
    <w:link w:val="CommentSubject"/>
    <w:uiPriority w:val="99"/>
    <w:semiHidden/>
    <w:rsid w:val="00FA0EA7"/>
    <w:rPr>
      <w:rFonts w:ascii="Georgia" w:hAnsi="Georgia"/>
      <w:b/>
      <w:bCs/>
      <w:lang w:eastAsia="en-GB"/>
    </w:rPr>
  </w:style>
  <w:style w:type="character" w:customStyle="1" w:styleId="A4">
    <w:name w:val="A4"/>
    <w:uiPriority w:val="99"/>
    <w:rsid w:val="00FA0EA7"/>
    <w:rPr>
      <w:rFonts w:cs="DINPro-Light"/>
      <w:color w:val="000000"/>
      <w:sz w:val="14"/>
      <w:szCs w:val="14"/>
    </w:rPr>
  </w:style>
  <w:style w:type="paragraph" w:styleId="List">
    <w:name w:val="List"/>
    <w:aliases w:val="Bullet level 1"/>
    <w:basedOn w:val="Normal"/>
    <w:uiPriority w:val="99"/>
    <w:unhideWhenUsed/>
    <w:qFormat/>
    <w:rsid w:val="00FA0EA7"/>
    <w:pPr>
      <w:numPr>
        <w:numId w:val="7"/>
      </w:numPr>
      <w:spacing w:after="120" w:line="312" w:lineRule="auto"/>
    </w:pPr>
    <w:rPr>
      <w:rFonts w:ascii="Arial" w:eastAsia="Calibri" w:hAnsi="Arial" w:cs="Arial"/>
      <w:sz w:val="22"/>
      <w:szCs w:val="22"/>
      <w:lang w:eastAsia="en-US"/>
    </w:rPr>
  </w:style>
  <w:style w:type="table" w:customStyle="1" w:styleId="TableGrid1">
    <w:name w:val="Table Grid1"/>
    <w:basedOn w:val="TableNormal"/>
    <w:next w:val="TableGrid"/>
    <w:uiPriority w:val="39"/>
    <w:rsid w:val="00FA0E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2E5FBF"/>
    <w:pPr>
      <w:spacing w:after="120"/>
    </w:pPr>
  </w:style>
  <w:style w:type="character" w:customStyle="1" w:styleId="BodyTextChar">
    <w:name w:val="Body Text Char"/>
    <w:basedOn w:val="DefaultParagraphFont"/>
    <w:link w:val="BodyText"/>
    <w:uiPriority w:val="1"/>
    <w:rsid w:val="002E5FBF"/>
    <w:rPr>
      <w:rFonts w:ascii="Segoe UI" w:hAnsi="Segoe UI"/>
      <w:sz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352" ma:contentTypeDescription="Create a new document." ma:contentTypeScope="" ma:versionID="e661e1c7dae7aec020c022b16442541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1455104c60a0983416acb9c4aae37a7c"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2:SharedWithUsers" minOccurs="0"/>
                <xsd:element ref="ns2:SharedWithDetails" minOccurs="0"/>
                <xsd:element ref="ns9:lcf76f155ced4ddcb4097134ff3c332f" minOccurs="0"/>
                <xsd:element ref="ns2:TaxCatchAll" minOccurs="0"/>
                <xsd:element ref="ns9:MediaServiceDateTaken" minOccurs="0"/>
                <xsd:element ref="ns9:MediaServiceGenerationTime" minOccurs="0"/>
                <xsd:element ref="ns9:MediaServiceEventHashCode" minOccurs="0"/>
                <xsd:element ref="ns9:MediaLengthInSeconds" minOccurs="0"/>
                <xsd:element ref="ns9:MediaServiceOCR" minOccurs="0"/>
                <xsd:element ref="ns9:MediaServiceLocation"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element name="TaxCatchAll" ma:index="59" nillable="true" ma:displayName="Taxonomy Catch All Column" ma:hidden="true" ma:list="{c1f39fa3-e53e-4aaf-9341-465357fdeeb3}"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Corporate Support" ma:hidden="true" ma:internalName="FunctionGroup" ma:readOnly="false">
      <xsd:simpleType>
        <xsd:restriction base="dms:Text">
          <xsd:maxLength value="255"/>
        </xsd:restriction>
      </xsd:simpleType>
    </xsd:element>
    <xsd:element name="Function" ma:index="22" nillable="true" ma:displayName="Function" ma:default="Communication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ma:readOnly="fals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Strategic Communication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Strategic Communications" ma:hidden="true" ma:internalName="Team" ma:readOnly="false">
      <xsd:simpleType>
        <xsd:restriction base="dms:Text">
          <xsd:maxLength value="255"/>
        </xsd:restriction>
      </xsd:simpleType>
    </xsd:element>
    <xsd:element name="Level2" ma:index="40" nillable="true" ma:displayName="Level 2" ma:default="NA" ma:hidden="true" ma:internalName="Level2" ma:readOnly="false">
      <xsd:simpleType>
        <xsd:restriction base="dms:Text">
          <xsd:maxLength value="255"/>
        </xsd:restriction>
      </xsd:simpleType>
    </xsd:element>
    <xsd:element name="Level3" ma:index="41" nillable="true" ma:displayName="Level 3" ma:default="NA"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3" nillable="true" ma:displayName="Set Label" ma:default="T10M" ma:hidden="true" ma:indexed="true" ma:internalName="SetLabel" ma:readOnly="false">
      <xsd:simpleType>
        <xsd:restriction base="dms:Text">
          <xsd:maxLength value="255"/>
        </xsd:restriction>
      </xsd:simpleType>
    </xsd:element>
    <xsd:element name="OverrideLabel" ma:index="44"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5" nillable="true" ma:displayName="Has NHI" ma:default="0" ma:internalName="HasNHI" ma:readOnly="false">
      <xsd:simpleType>
        <xsd:restriction base="dms:Boolean"/>
      </xsd:simpleType>
    </xsd:element>
    <xsd:element name="zLegacy" ma:index="46" nillable="true" ma:displayName="zLegacy" ma:hidden="true" ma:internalName="zLegacy" ma:readOnly="false">
      <xsd:simpleType>
        <xsd:restriction base="dms:Note"/>
      </xsd:simpleType>
    </xsd:element>
    <xsd:element name="zLegacyID" ma:index="47" nillable="true" ma:displayName="zLegacyID" ma:hidden="true" ma:indexed="true" ma:internalName="zLegacyID" ma:readOnly="false">
      <xsd:simpleType>
        <xsd:restriction base="dms:Text">
          <xsd:maxLength value="255"/>
        </xsd:restriction>
      </xsd:simpleType>
    </xsd:element>
    <xsd:element name="zLegacyJSON" ma:index="48" nillable="true" ma:displayName="zLegacyJSON" ma:hidden="true" ma:internalName="zLegacyJSON" ma:readOnly="false">
      <xsd:simpleType>
        <xsd:restriction base="dms:Note"/>
      </xsd:simpleType>
    </xsd:element>
    <xsd:element name="CopiedFrom" ma:index="49" nillable="true" ma:displayName="Copied From" ma:hidden="true" ma:internalName="CopiedFrom" ma:readOnly="false">
      <xsd:simpleType>
        <xsd:restriction base="dms:Text">
          <xsd:maxLength value="255"/>
        </xsd:restriction>
      </xsd:simpleType>
    </xsd:element>
    <xsd:element name="Endorsements" ma:index="50"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MediaServiceAutoKeyPoints" ma:index="53" nillable="true" ma:displayName="MediaServiceAutoKeyPoints" ma:hidden="true" ma:internalName="MediaServiceAutoKeyPoints" ma:readOnly="true">
      <xsd:simpleType>
        <xsd:restriction base="dms:Note"/>
      </xsd:simpleType>
    </xsd:element>
    <xsd:element name="MediaServiceKeyPoints" ma:index="54" nillable="true" ma:displayName="KeyPoints" ma:internalName="MediaServiceKeyPoints" ma:readOnly="true">
      <xsd:simpleType>
        <xsd:restriction base="dms:Note">
          <xsd:maxLength value="255"/>
        </xsd:restriction>
      </xsd:simpleType>
    </xsd:element>
    <xsd:element name="lcf76f155ced4ddcb4097134ff3c332f" ma:index="58"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60" nillable="true" ma:displayName="MediaServiceDateTaken" ma:hidden="true" ma:internalName="MediaServiceDateTaken"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OCR" ma:index="64" nillable="true" ma:displayName="Extracted Text" ma:internalName="MediaServiceOCR" ma:readOnly="true">
      <xsd:simpleType>
        <xsd:restriction base="dms:Note">
          <xsd:maxLength value="255"/>
        </xsd:restriction>
      </xsd:simpleType>
    </xsd:element>
    <xsd:element name="MediaServiceLocation" ma:index="65" nillable="true" ma:displayName="Location" ma:indexed="true" ma:internalName="MediaServiceLocation" ma:readOnly="true">
      <xsd:simpleType>
        <xsd:restriction base="dms:Text"/>
      </xsd:simpleType>
    </xsd:element>
    <xsd:element name="MediaServiceObjectDetectorVersions" ma:index="6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Publications</Subactivity>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Strategic Communications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Templates</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Strategic Communications</Team>
    <Project xmlns="4f9c820c-e7e2-444d-97ee-45f2b3485c1d">NA</Project>
    <TaxCatchAll xmlns="a92161ee-a867-43fa-afc4-ef021add4eae" xsi:nil="true"/>
    <HasNHI xmlns="184c05c4-c568-455d-94a4-7e009b164348">false</HasNHI>
    <lcf76f155ced4ddcb4097134ff3c332f xmlns="77fc9259-9bdd-4436-bdca-cbe80b037127">
      <Terms xmlns="http://schemas.microsoft.com/office/infopath/2007/PartnerControls"/>
    </lcf76f155ced4ddcb4097134ff3c332f>
    <FunctionGroup xmlns="4f9c820c-e7e2-444d-97ee-45f2b3485c1d">Corporate Support</FunctionGroup>
    <Function xmlns="4f9c820c-e7e2-444d-97ee-45f2b3485c1d">Communications</Function>
    <SetLabel xmlns="d0b61010-d6f3-4072-b934-7bbb13e97771">T10M</SetLabel>
    <RelatedPeople xmlns="4f9c820c-e7e2-444d-97ee-45f2b3485c1d">
      <UserInfo>
        <DisplayName/>
        <AccountId xsi:nil="true"/>
        <AccountType/>
      </UserInfo>
    </RelatedPeople>
    <AggregationNarrative xmlns="725c79e5-42ce-4aa0-ac78-b6418001f0d2" xsi:nil="true"/>
    <Channel xmlns="c91a514c-9034-4fa3-897a-8352025b26ed">Design and Publications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NA</CategoryName>
    <PRADateTrigger xmlns="4f9c820c-e7e2-444d-97ee-45f2b3485c1d" xsi:nil="true"/>
    <PRAText2 xmlns="4f9c820c-e7e2-444d-97ee-45f2b3485c1d" xsi:nil="true"/>
    <zLegacyID xmlns="184c05c4-c568-455d-94a4-7e009b164348" xsi:nil="true"/>
    <_dlc_DocId xmlns="a92161ee-a867-43fa-afc4-ef021add4eae">MOHECM-2060122139-3453</_dlc_DocId>
    <_dlc_DocIdUrl xmlns="a92161ee-a867-43fa-afc4-ef021add4eae">
      <Url>https://mohgovtnz.sharepoint.com/sites/moh-ecm-StratComms/_layouts/15/DocIdRedir.aspx?ID=MOHECM-2060122139-3453</Url>
      <Description>MOHECM-2060122139-3453</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2.xml><?xml version="1.0" encoding="utf-8"?>
<ds:datastoreItem xmlns:ds="http://schemas.openxmlformats.org/officeDocument/2006/customXml" ds:itemID="{69FB8D08-374B-4339-A342-8C1BDA21A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4.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47BE128A-4E51-447D-A206-342B12F3F0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14</TotalTime>
  <Pages>29</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Specialist Opioid Substitution Treatment (OST) Service Audit and Review Tool</vt:lpstr>
    </vt:vector>
  </TitlesOfParts>
  <Company>Microsoft</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Opioid Substitution Treatment (OST) Service Audit and Review Tool: Part A: Audit report template</dc:title>
  <dc:creator>Ministry of Health</dc:creator>
  <cp:lastModifiedBy>Ministry of Health</cp:lastModifiedBy>
  <cp:revision>6</cp:revision>
  <cp:lastPrinted>2026-04-30T07:57:00Z</cp:lastPrinted>
  <dcterms:created xsi:type="dcterms:W3CDTF">2026-05-17T22:21:00Z</dcterms:created>
  <dcterms:modified xsi:type="dcterms:W3CDTF">2026-07-02T01:18:00Z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_dlc_DocIdItemGuid">
    <vt:lpwstr>101e0034-4939-4aa9-a033-1e1c325655a4</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2026-07-02T01:18:13Z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cd73a992-a2f1-47b2-b34f-318f3cfcd79a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