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6ED7" w14:textId="77777777" w:rsidR="006966DB" w:rsidRDefault="00876F96">
      <w:pPr>
        <w:pStyle w:val="BodyText"/>
        <w:rPr>
          <w:rFonts w:ascii="Times New Roman"/>
        </w:rPr>
      </w:pPr>
      <w:r>
        <w:rPr>
          <w:rFonts w:ascii="Times New Roman"/>
          <w:noProof/>
        </w:rPr>
        <w:drawing>
          <wp:anchor distT="0" distB="0" distL="0" distR="0" simplePos="0" relativeHeight="15728640" behindDoc="0" locked="0" layoutInCell="1" allowOverlap="1" wp14:anchorId="6FB56F03" wp14:editId="6FB56F04">
            <wp:simplePos x="0" y="0"/>
            <wp:positionH relativeFrom="page">
              <wp:posOffset>13971</wp:posOffset>
            </wp:positionH>
            <wp:positionV relativeFrom="page">
              <wp:posOffset>0</wp:posOffset>
            </wp:positionV>
            <wp:extent cx="7546592" cy="18002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46592" cy="1800224"/>
                    </a:xfrm>
                    <a:prstGeom prst="rect">
                      <a:avLst/>
                    </a:prstGeom>
                  </pic:spPr>
                </pic:pic>
              </a:graphicData>
            </a:graphic>
          </wp:anchor>
        </w:drawing>
      </w:r>
      <w:r>
        <w:rPr>
          <w:rFonts w:ascii="Times New Roman"/>
          <w:noProof/>
        </w:rPr>
        <w:drawing>
          <wp:anchor distT="0" distB="0" distL="0" distR="0" simplePos="0" relativeHeight="15729152" behindDoc="0" locked="0" layoutInCell="1" allowOverlap="1" wp14:anchorId="6FB56F05" wp14:editId="6FB56F06">
            <wp:simplePos x="0" y="0"/>
            <wp:positionH relativeFrom="page">
              <wp:posOffset>13971</wp:posOffset>
            </wp:positionH>
            <wp:positionV relativeFrom="page">
              <wp:posOffset>9792334</wp:posOffset>
            </wp:positionV>
            <wp:extent cx="7546592" cy="899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546592" cy="899791"/>
                    </a:xfrm>
                    <a:prstGeom prst="rect">
                      <a:avLst/>
                    </a:prstGeom>
                  </pic:spPr>
                </pic:pic>
              </a:graphicData>
            </a:graphic>
          </wp:anchor>
        </w:drawing>
      </w:r>
    </w:p>
    <w:p w14:paraId="6FB56ED8" w14:textId="77777777" w:rsidR="006966DB" w:rsidRDefault="006966DB">
      <w:pPr>
        <w:pStyle w:val="BodyText"/>
        <w:rPr>
          <w:rFonts w:ascii="Times New Roman"/>
        </w:rPr>
      </w:pPr>
    </w:p>
    <w:p w14:paraId="6FB56ED9" w14:textId="77777777" w:rsidR="006966DB" w:rsidRDefault="006966DB">
      <w:pPr>
        <w:pStyle w:val="BodyText"/>
        <w:rPr>
          <w:rFonts w:ascii="Times New Roman"/>
        </w:rPr>
      </w:pPr>
    </w:p>
    <w:p w14:paraId="6FB56EDA" w14:textId="77777777" w:rsidR="006966DB" w:rsidRDefault="006966DB">
      <w:pPr>
        <w:pStyle w:val="BodyText"/>
        <w:rPr>
          <w:rFonts w:ascii="Times New Roman"/>
        </w:rPr>
      </w:pPr>
    </w:p>
    <w:p w14:paraId="6FB56EDB" w14:textId="77777777" w:rsidR="006966DB" w:rsidRDefault="006966DB">
      <w:pPr>
        <w:pStyle w:val="BodyText"/>
        <w:rPr>
          <w:rFonts w:ascii="Times New Roman"/>
        </w:rPr>
      </w:pPr>
    </w:p>
    <w:p w14:paraId="6FB56EDC" w14:textId="77777777" w:rsidR="006966DB" w:rsidRDefault="006966DB">
      <w:pPr>
        <w:pStyle w:val="BodyText"/>
        <w:rPr>
          <w:rFonts w:ascii="Times New Roman"/>
        </w:rPr>
      </w:pPr>
    </w:p>
    <w:p w14:paraId="6FB56EDD" w14:textId="77777777" w:rsidR="006966DB" w:rsidRDefault="006966DB">
      <w:pPr>
        <w:pStyle w:val="BodyText"/>
        <w:rPr>
          <w:rFonts w:ascii="Times New Roman"/>
        </w:rPr>
      </w:pPr>
    </w:p>
    <w:p w14:paraId="6FB56EDE" w14:textId="77777777" w:rsidR="006966DB" w:rsidRDefault="006966DB">
      <w:pPr>
        <w:pStyle w:val="BodyText"/>
        <w:rPr>
          <w:rFonts w:ascii="Times New Roman"/>
        </w:rPr>
      </w:pPr>
    </w:p>
    <w:p w14:paraId="6FB56EDF" w14:textId="77777777" w:rsidR="006966DB" w:rsidRDefault="006966DB">
      <w:pPr>
        <w:pStyle w:val="BodyText"/>
        <w:rPr>
          <w:rFonts w:ascii="Times New Roman"/>
        </w:rPr>
      </w:pPr>
    </w:p>
    <w:p w14:paraId="6FB56EE0" w14:textId="77777777" w:rsidR="006966DB" w:rsidRDefault="006966DB">
      <w:pPr>
        <w:pStyle w:val="BodyText"/>
        <w:rPr>
          <w:rFonts w:ascii="Times New Roman"/>
        </w:rPr>
      </w:pPr>
    </w:p>
    <w:p w14:paraId="6FB56EE1" w14:textId="77777777" w:rsidR="006966DB" w:rsidRDefault="006966DB">
      <w:pPr>
        <w:pStyle w:val="BodyText"/>
        <w:spacing w:before="169"/>
        <w:rPr>
          <w:rFonts w:ascii="Times New Roman"/>
        </w:rPr>
      </w:pPr>
    </w:p>
    <w:p w14:paraId="6FB56EE2" w14:textId="77777777" w:rsidR="006966DB" w:rsidRDefault="00876F96">
      <w:pPr>
        <w:pStyle w:val="BodyText"/>
        <w:ind w:left="165"/>
      </w:pPr>
      <w:r>
        <w:t>23</w:t>
      </w:r>
      <w:r>
        <w:rPr>
          <w:spacing w:val="-5"/>
        </w:rPr>
        <w:t xml:space="preserve"> </w:t>
      </w:r>
      <w:r>
        <w:t>March</w:t>
      </w:r>
      <w:r>
        <w:rPr>
          <w:spacing w:val="-5"/>
        </w:rPr>
        <w:t xml:space="preserve"> </w:t>
      </w:r>
      <w:r>
        <w:rPr>
          <w:spacing w:val="-4"/>
        </w:rPr>
        <w:t>2026</w:t>
      </w:r>
    </w:p>
    <w:p w14:paraId="6FB56EE3" w14:textId="77777777" w:rsidR="006966DB" w:rsidRDefault="006966DB">
      <w:pPr>
        <w:pStyle w:val="BodyText"/>
      </w:pPr>
    </w:p>
    <w:p w14:paraId="6FB56EE4" w14:textId="77777777" w:rsidR="006966DB" w:rsidRDefault="006966DB">
      <w:pPr>
        <w:pStyle w:val="BodyText"/>
        <w:spacing w:before="13"/>
      </w:pPr>
    </w:p>
    <w:p w14:paraId="6FB56EE5" w14:textId="77777777" w:rsidR="006966DB" w:rsidRDefault="00876F96">
      <w:pPr>
        <w:pStyle w:val="BodyText"/>
        <w:spacing w:line="259" w:lineRule="auto"/>
        <w:ind w:left="165" w:right="7204"/>
      </w:pPr>
      <w:proofErr w:type="spellStart"/>
      <w:r>
        <w:t>Mr</w:t>
      </w:r>
      <w:proofErr w:type="spellEnd"/>
      <w:r>
        <w:rPr>
          <w:spacing w:val="-13"/>
        </w:rPr>
        <w:t xml:space="preserve"> </w:t>
      </w:r>
      <w:r>
        <w:t>Hayden</w:t>
      </w:r>
      <w:r>
        <w:rPr>
          <w:spacing w:val="-12"/>
        </w:rPr>
        <w:t xml:space="preserve"> </w:t>
      </w:r>
      <w:r>
        <w:t xml:space="preserve">Wano </w:t>
      </w:r>
      <w:r>
        <w:rPr>
          <w:spacing w:val="-2"/>
        </w:rPr>
        <w:t>Chair</w:t>
      </w:r>
    </w:p>
    <w:p w14:paraId="6FB56EE6" w14:textId="77777777" w:rsidR="006966DB" w:rsidRDefault="00876F96">
      <w:pPr>
        <w:pStyle w:val="BodyText"/>
        <w:spacing w:line="268" w:lineRule="exact"/>
        <w:ind w:left="165"/>
      </w:pPr>
      <w:r>
        <w:t>Mental</w:t>
      </w:r>
      <w:r>
        <w:rPr>
          <w:spacing w:val="-5"/>
        </w:rPr>
        <w:t xml:space="preserve"> </w:t>
      </w:r>
      <w:r>
        <w:t>Health</w:t>
      </w:r>
      <w:r>
        <w:rPr>
          <w:spacing w:val="-4"/>
        </w:rPr>
        <w:t xml:space="preserve"> </w:t>
      </w:r>
      <w:r>
        <w:t>and</w:t>
      </w:r>
      <w:r>
        <w:rPr>
          <w:spacing w:val="-6"/>
        </w:rPr>
        <w:t xml:space="preserve"> </w:t>
      </w:r>
      <w:r>
        <w:t>Wellbeing</w:t>
      </w:r>
      <w:r>
        <w:rPr>
          <w:spacing w:val="-5"/>
        </w:rPr>
        <w:t xml:space="preserve"> </w:t>
      </w:r>
      <w:r>
        <w:rPr>
          <w:spacing w:val="-2"/>
        </w:rPr>
        <w:t>Commission</w:t>
      </w:r>
    </w:p>
    <w:p w14:paraId="6FB56EE7" w14:textId="77777777" w:rsidR="006966DB" w:rsidRDefault="00876F96">
      <w:pPr>
        <w:tabs>
          <w:tab w:val="left" w:pos="2860"/>
        </w:tabs>
        <w:spacing w:before="55"/>
        <w:ind w:left="145"/>
        <w:rPr>
          <w:rFonts w:ascii="Arial"/>
          <w:sz w:val="20"/>
        </w:rPr>
      </w:pPr>
      <w:r>
        <w:rPr>
          <w:rFonts w:ascii="Arial"/>
          <w:color w:val="000000"/>
          <w:sz w:val="20"/>
          <w:highlight w:val="darkGray"/>
        </w:rPr>
        <w:t xml:space="preserve">s </w:t>
      </w:r>
      <w:r>
        <w:rPr>
          <w:rFonts w:ascii="Arial"/>
          <w:color w:val="000000"/>
          <w:spacing w:val="-2"/>
          <w:sz w:val="20"/>
          <w:highlight w:val="darkGray"/>
        </w:rPr>
        <w:t>9(2)(a)</w:t>
      </w:r>
      <w:r>
        <w:rPr>
          <w:rFonts w:ascii="Arial"/>
          <w:color w:val="000000"/>
          <w:sz w:val="20"/>
          <w:highlight w:val="darkGray"/>
        </w:rPr>
        <w:tab/>
      </w:r>
    </w:p>
    <w:p w14:paraId="6FB56EE8" w14:textId="77777777" w:rsidR="006966DB" w:rsidRDefault="006966DB">
      <w:pPr>
        <w:pStyle w:val="BodyText"/>
        <w:rPr>
          <w:rFonts w:ascii="Arial"/>
        </w:rPr>
      </w:pPr>
    </w:p>
    <w:p w14:paraId="6FB56EE9" w14:textId="77777777" w:rsidR="006966DB" w:rsidRDefault="006966DB">
      <w:pPr>
        <w:pStyle w:val="BodyText"/>
        <w:spacing w:before="52"/>
        <w:rPr>
          <w:rFonts w:ascii="Arial"/>
        </w:rPr>
      </w:pPr>
    </w:p>
    <w:p w14:paraId="6FB56EEA" w14:textId="77777777" w:rsidR="006966DB" w:rsidRDefault="00876F96">
      <w:pPr>
        <w:pStyle w:val="BodyText"/>
        <w:ind w:left="165"/>
      </w:pPr>
      <w:r>
        <w:t>Dear</w:t>
      </w:r>
      <w:r>
        <w:rPr>
          <w:spacing w:val="-2"/>
        </w:rPr>
        <w:t xml:space="preserve"> Hayden</w:t>
      </w:r>
    </w:p>
    <w:p w14:paraId="6FB56EEB" w14:textId="77777777" w:rsidR="006966DB" w:rsidRDefault="00876F96">
      <w:pPr>
        <w:pStyle w:val="BodyText"/>
        <w:spacing w:before="142" w:line="259" w:lineRule="auto"/>
        <w:ind w:left="165" w:right="174"/>
      </w:pPr>
      <w:r>
        <w:t xml:space="preserve">I am writing to set out my expectations for the Mental Health and Wellbeing Commission | </w:t>
      </w:r>
      <w:proofErr w:type="spellStart"/>
      <w:r>
        <w:t>Te</w:t>
      </w:r>
      <w:proofErr w:type="spellEnd"/>
      <w:r>
        <w:t xml:space="preserve"> Hiringa Mahara (the Commission) for 2026/27. As this letter builds on and does not replace my previous</w:t>
      </w:r>
      <w:r>
        <w:rPr>
          <w:spacing w:val="-5"/>
        </w:rPr>
        <w:t xml:space="preserve"> </w:t>
      </w:r>
      <w:r>
        <w:t>letters</w:t>
      </w:r>
      <w:r>
        <w:rPr>
          <w:spacing w:val="-4"/>
        </w:rPr>
        <w:t xml:space="preserve"> </w:t>
      </w:r>
      <w:r>
        <w:t>of</w:t>
      </w:r>
      <w:r>
        <w:rPr>
          <w:spacing w:val="-4"/>
        </w:rPr>
        <w:t xml:space="preserve"> </w:t>
      </w:r>
      <w:r>
        <w:t>expectations</w:t>
      </w:r>
      <w:r>
        <w:rPr>
          <w:spacing w:val="-2"/>
        </w:rPr>
        <w:t xml:space="preserve"> </w:t>
      </w:r>
      <w:r>
        <w:t>to</w:t>
      </w:r>
      <w:r>
        <w:rPr>
          <w:spacing w:val="-3"/>
        </w:rPr>
        <w:t xml:space="preserve"> </w:t>
      </w:r>
      <w:r>
        <w:t>you,</w:t>
      </w:r>
      <w:r>
        <w:rPr>
          <w:spacing w:val="-2"/>
        </w:rPr>
        <w:t xml:space="preserve"> </w:t>
      </w:r>
      <w:r>
        <w:t>please</w:t>
      </w:r>
      <w:r>
        <w:rPr>
          <w:spacing w:val="-2"/>
        </w:rPr>
        <w:t xml:space="preserve"> </w:t>
      </w:r>
      <w:r>
        <w:t>ensure</w:t>
      </w:r>
      <w:r>
        <w:rPr>
          <w:spacing w:val="-7"/>
        </w:rPr>
        <w:t xml:space="preserve"> </w:t>
      </w:r>
      <w:r>
        <w:t>all</w:t>
      </w:r>
      <w:r>
        <w:rPr>
          <w:spacing w:val="-3"/>
        </w:rPr>
        <w:t xml:space="preserve"> </w:t>
      </w:r>
      <w:r>
        <w:t>my</w:t>
      </w:r>
      <w:r>
        <w:rPr>
          <w:spacing w:val="-2"/>
        </w:rPr>
        <w:t xml:space="preserve"> </w:t>
      </w:r>
      <w:r>
        <w:t>expectations</w:t>
      </w:r>
      <w:r>
        <w:rPr>
          <w:spacing w:val="-4"/>
        </w:rPr>
        <w:t xml:space="preserve"> </w:t>
      </w:r>
      <w:r>
        <w:t>are</w:t>
      </w:r>
      <w:r>
        <w:rPr>
          <w:spacing w:val="-2"/>
        </w:rPr>
        <w:t xml:space="preserve"> </w:t>
      </w:r>
      <w:r>
        <w:t>appropriately</w:t>
      </w:r>
      <w:r>
        <w:rPr>
          <w:spacing w:val="-1"/>
        </w:rPr>
        <w:t xml:space="preserve"> </w:t>
      </w:r>
      <w:r>
        <w:t>reflected in your planning documents for 2026/27.</w:t>
      </w:r>
    </w:p>
    <w:p w14:paraId="6FB56EEC" w14:textId="77777777" w:rsidR="006966DB" w:rsidRDefault="00876F96">
      <w:pPr>
        <w:pStyle w:val="BodyText"/>
        <w:spacing w:before="119" w:line="259" w:lineRule="auto"/>
        <w:ind w:left="165" w:right="174"/>
      </w:pPr>
      <w:r>
        <w:t xml:space="preserve">The Government remains committed to improving health outcomes by providing New Zealanders with timely access with patients at its </w:t>
      </w:r>
      <w:proofErr w:type="spellStart"/>
      <w:r>
        <w:t>centre</w:t>
      </w:r>
      <w:proofErr w:type="spellEnd"/>
      <w:r>
        <w:t xml:space="preserve">. This means our system must deliver the best mix of outputs and services possible within current budgets, with a focus on </w:t>
      </w:r>
      <w:proofErr w:type="spellStart"/>
      <w:r>
        <w:t>optimising</w:t>
      </w:r>
      <w:proofErr w:type="spellEnd"/>
      <w:r>
        <w:t xml:space="preserve"> productivity and efficiency. I want to thank the Commission for the work it has undertaken to support my portfolio priorities of delivering faster access to mental health support, more frontline workers, and a better crisis</w:t>
      </w:r>
      <w:r>
        <w:rPr>
          <w:spacing w:val="-1"/>
        </w:rPr>
        <w:t xml:space="preserve"> </w:t>
      </w:r>
      <w:r>
        <w:t>response.</w:t>
      </w:r>
      <w:r>
        <w:rPr>
          <w:spacing w:val="-4"/>
        </w:rPr>
        <w:t xml:space="preserve"> </w:t>
      </w:r>
      <w:r>
        <w:t>This</w:t>
      </w:r>
      <w:r>
        <w:rPr>
          <w:spacing w:val="-1"/>
        </w:rPr>
        <w:t xml:space="preserve"> </w:t>
      </w:r>
      <w:r>
        <w:t>work</w:t>
      </w:r>
      <w:r>
        <w:rPr>
          <w:spacing w:val="-3"/>
        </w:rPr>
        <w:t xml:space="preserve"> </w:t>
      </w:r>
      <w:r>
        <w:t>helps</w:t>
      </w:r>
      <w:r>
        <w:rPr>
          <w:spacing w:val="-1"/>
        </w:rPr>
        <w:t xml:space="preserve"> </w:t>
      </w:r>
      <w:r>
        <w:t>build</w:t>
      </w:r>
      <w:r>
        <w:rPr>
          <w:spacing w:val="-2"/>
        </w:rPr>
        <w:t xml:space="preserve"> </w:t>
      </w:r>
      <w:r>
        <w:t>a</w:t>
      </w:r>
      <w:r>
        <w:rPr>
          <w:spacing w:val="-1"/>
        </w:rPr>
        <w:t xml:space="preserve"> </w:t>
      </w:r>
      <w:r>
        <w:t>foundation</w:t>
      </w:r>
      <w:r>
        <w:rPr>
          <w:spacing w:val="-2"/>
        </w:rPr>
        <w:t xml:space="preserve"> </w:t>
      </w:r>
      <w:r>
        <w:t>for</w:t>
      </w:r>
      <w:r>
        <w:rPr>
          <w:spacing w:val="-3"/>
        </w:rPr>
        <w:t xml:space="preserve"> </w:t>
      </w:r>
      <w:r>
        <w:t>the</w:t>
      </w:r>
      <w:r>
        <w:rPr>
          <w:spacing w:val="-1"/>
        </w:rPr>
        <w:t xml:space="preserve"> </w:t>
      </w:r>
      <w:r>
        <w:t>Commission</w:t>
      </w:r>
      <w:r>
        <w:rPr>
          <w:spacing w:val="-3"/>
        </w:rPr>
        <w:t xml:space="preserve"> </w:t>
      </w:r>
      <w:r>
        <w:t>to have</w:t>
      </w:r>
      <w:r>
        <w:rPr>
          <w:spacing w:val="-1"/>
        </w:rPr>
        <w:t xml:space="preserve"> </w:t>
      </w:r>
      <w:r>
        <w:t>a</w:t>
      </w:r>
      <w:r>
        <w:rPr>
          <w:spacing w:val="-3"/>
        </w:rPr>
        <w:t xml:space="preserve"> </w:t>
      </w:r>
      <w:r>
        <w:t>more</w:t>
      </w:r>
      <w:r>
        <w:rPr>
          <w:spacing w:val="-1"/>
        </w:rPr>
        <w:t xml:space="preserve"> </w:t>
      </w:r>
      <w:r>
        <w:t>targeted</w:t>
      </w:r>
      <w:r>
        <w:rPr>
          <w:spacing w:val="-4"/>
        </w:rPr>
        <w:t xml:space="preserve"> </w:t>
      </w:r>
      <w:r>
        <w:t xml:space="preserve">work </w:t>
      </w:r>
      <w:proofErr w:type="spellStart"/>
      <w:r>
        <w:t>programme</w:t>
      </w:r>
      <w:proofErr w:type="spellEnd"/>
      <w:r>
        <w:t xml:space="preserve"> in 2026/27.</w:t>
      </w:r>
    </w:p>
    <w:p w14:paraId="6FB56EED" w14:textId="77777777" w:rsidR="006966DB" w:rsidRDefault="00876F96">
      <w:pPr>
        <w:pStyle w:val="BodyText"/>
        <w:spacing w:before="118" w:line="259" w:lineRule="auto"/>
        <w:ind w:left="165" w:right="174"/>
      </w:pPr>
      <w:r>
        <w:t>To continue to achieve progress, there is</w:t>
      </w:r>
      <w:r>
        <w:rPr>
          <w:spacing w:val="-2"/>
        </w:rPr>
        <w:t xml:space="preserve"> </w:t>
      </w:r>
      <w:r>
        <w:t>a need for</w:t>
      </w:r>
      <w:r>
        <w:rPr>
          <w:spacing w:val="-2"/>
        </w:rPr>
        <w:t xml:space="preserve"> </w:t>
      </w:r>
      <w:r>
        <w:t xml:space="preserve">all agencies to work together. The Commission’s work </w:t>
      </w:r>
      <w:proofErr w:type="spellStart"/>
      <w:r>
        <w:t>programme</w:t>
      </w:r>
      <w:proofErr w:type="spellEnd"/>
      <w:r>
        <w:t xml:space="preserve"> should support and not duplicate the work of the Ministry of Health, Health New Zealand and other agencies. While the Commission’s foundational work has brought together key system performance metrics into a cohesive picture, I expect the Commission to </w:t>
      </w:r>
      <w:proofErr w:type="spellStart"/>
      <w:r>
        <w:t>prioritise</w:t>
      </w:r>
      <w:proofErr w:type="spellEnd"/>
      <w:r>
        <w:t xml:space="preserve"> its efforts towards</w:t>
      </w:r>
      <w:r>
        <w:rPr>
          <w:spacing w:val="-2"/>
        </w:rPr>
        <w:t xml:space="preserve"> </w:t>
      </w:r>
      <w:r>
        <w:t>adding</w:t>
      </w:r>
      <w:r>
        <w:rPr>
          <w:spacing w:val="-3"/>
        </w:rPr>
        <w:t xml:space="preserve"> </w:t>
      </w:r>
      <w:r>
        <w:t>new</w:t>
      </w:r>
      <w:r>
        <w:rPr>
          <w:spacing w:val="-1"/>
        </w:rPr>
        <w:t xml:space="preserve"> </w:t>
      </w:r>
      <w:r>
        <w:t xml:space="preserve">insights </w:t>
      </w:r>
      <w:proofErr w:type="gramStart"/>
      <w:r>
        <w:t>on</w:t>
      </w:r>
      <w:proofErr w:type="gramEnd"/>
      <w:r>
        <w:rPr>
          <w:spacing w:val="-5"/>
        </w:rPr>
        <w:t xml:space="preserve"> </w:t>
      </w:r>
      <w:r>
        <w:t>factors</w:t>
      </w:r>
      <w:r>
        <w:rPr>
          <w:spacing w:val="-4"/>
        </w:rPr>
        <w:t xml:space="preserve"> </w:t>
      </w:r>
      <w:r>
        <w:t>that</w:t>
      </w:r>
      <w:r>
        <w:rPr>
          <w:spacing w:val="-2"/>
        </w:rPr>
        <w:t xml:space="preserve"> </w:t>
      </w:r>
      <w:r>
        <w:t>affect</w:t>
      </w:r>
      <w:r>
        <w:rPr>
          <w:spacing w:val="-2"/>
        </w:rPr>
        <w:t xml:space="preserve"> </w:t>
      </w:r>
      <w:r>
        <w:t>people’s</w:t>
      </w:r>
      <w:r>
        <w:rPr>
          <w:spacing w:val="-4"/>
        </w:rPr>
        <w:t xml:space="preserve"> </w:t>
      </w:r>
      <w:r>
        <w:t>mental</w:t>
      </w:r>
      <w:r>
        <w:rPr>
          <w:spacing w:val="-2"/>
        </w:rPr>
        <w:t xml:space="preserve"> </w:t>
      </w:r>
      <w:r>
        <w:t>health</w:t>
      </w:r>
      <w:r>
        <w:rPr>
          <w:spacing w:val="-2"/>
        </w:rPr>
        <w:t xml:space="preserve"> </w:t>
      </w:r>
      <w:r>
        <w:t>and</w:t>
      </w:r>
      <w:r>
        <w:rPr>
          <w:spacing w:val="-4"/>
        </w:rPr>
        <w:t xml:space="preserve"> </w:t>
      </w:r>
      <w:r>
        <w:t>wellbeing,</w:t>
      </w:r>
      <w:r>
        <w:rPr>
          <w:spacing w:val="-2"/>
        </w:rPr>
        <w:t xml:space="preserve"> </w:t>
      </w:r>
      <w:r>
        <w:t>and</w:t>
      </w:r>
      <w:r>
        <w:rPr>
          <w:spacing w:val="-3"/>
        </w:rPr>
        <w:t xml:space="preserve"> </w:t>
      </w:r>
      <w:r>
        <w:t>system performance. The Commission’s work should include actionable recommendations, which can be used to inform policy and operational work where possible.</w:t>
      </w:r>
    </w:p>
    <w:p w14:paraId="6FB56EEE" w14:textId="77777777" w:rsidR="006966DB" w:rsidRDefault="00876F96">
      <w:pPr>
        <w:pStyle w:val="BodyText"/>
        <w:spacing w:before="118" w:line="259" w:lineRule="auto"/>
        <w:ind w:left="165" w:right="241"/>
      </w:pPr>
      <w:r>
        <w:t xml:space="preserve">It would be helpful for the Commission to add insights </w:t>
      </w:r>
      <w:proofErr w:type="gramStart"/>
      <w:r>
        <w:t>to</w:t>
      </w:r>
      <w:proofErr w:type="gramEnd"/>
      <w:r>
        <w:t xml:space="preserve"> areas such as enhancing productivity across</w:t>
      </w:r>
      <w:r>
        <w:rPr>
          <w:spacing w:val="-4"/>
        </w:rPr>
        <w:t xml:space="preserve"> </w:t>
      </w:r>
      <w:r>
        <w:t>the</w:t>
      </w:r>
      <w:r>
        <w:rPr>
          <w:spacing w:val="-4"/>
        </w:rPr>
        <w:t xml:space="preserve"> </w:t>
      </w:r>
      <w:r>
        <w:t>system,</w:t>
      </w:r>
      <w:r>
        <w:rPr>
          <w:spacing w:val="-4"/>
        </w:rPr>
        <w:t xml:space="preserve"> </w:t>
      </w:r>
      <w:r>
        <w:t>value</w:t>
      </w:r>
      <w:r>
        <w:rPr>
          <w:spacing w:val="-2"/>
        </w:rPr>
        <w:t xml:space="preserve"> </w:t>
      </w:r>
      <w:r>
        <w:t>for</w:t>
      </w:r>
      <w:r>
        <w:rPr>
          <w:spacing w:val="-2"/>
        </w:rPr>
        <w:t xml:space="preserve"> </w:t>
      </w:r>
      <w:r>
        <w:t>money</w:t>
      </w:r>
      <w:r>
        <w:rPr>
          <w:spacing w:val="-4"/>
        </w:rPr>
        <w:t xml:space="preserve"> </w:t>
      </w:r>
      <w:proofErr w:type="gramStart"/>
      <w:r>
        <w:t>of</w:t>
      </w:r>
      <w:proofErr w:type="gramEnd"/>
      <w:r>
        <w:rPr>
          <w:spacing w:val="-5"/>
        </w:rPr>
        <w:t xml:space="preserve"> </w:t>
      </w:r>
      <w:r>
        <w:t>mental</w:t>
      </w:r>
      <w:r>
        <w:rPr>
          <w:spacing w:val="-2"/>
        </w:rPr>
        <w:t xml:space="preserve"> </w:t>
      </w:r>
      <w:r>
        <w:t>health and</w:t>
      </w:r>
      <w:r>
        <w:rPr>
          <w:spacing w:val="-3"/>
        </w:rPr>
        <w:t xml:space="preserve"> </w:t>
      </w:r>
      <w:r>
        <w:t>addiction</w:t>
      </w:r>
      <w:r>
        <w:rPr>
          <w:spacing w:val="-2"/>
        </w:rPr>
        <w:t xml:space="preserve"> </w:t>
      </w:r>
      <w:r>
        <w:t>investment,</w:t>
      </w:r>
      <w:r>
        <w:rPr>
          <w:spacing w:val="-2"/>
        </w:rPr>
        <w:t xml:space="preserve"> </w:t>
      </w:r>
      <w:r>
        <w:t>or</w:t>
      </w:r>
      <w:r>
        <w:rPr>
          <w:spacing w:val="-2"/>
        </w:rPr>
        <w:t xml:space="preserve"> </w:t>
      </w:r>
      <w:r>
        <w:t>whether</w:t>
      </w:r>
      <w:r>
        <w:rPr>
          <w:spacing w:val="-2"/>
        </w:rPr>
        <w:t xml:space="preserve"> </w:t>
      </w:r>
      <w:r>
        <w:t xml:space="preserve">the current spread of investment aligns with population needs, with recommendations for </w:t>
      </w:r>
      <w:r>
        <w:rPr>
          <w:spacing w:val="-2"/>
        </w:rPr>
        <w:t>improvement.</w:t>
      </w:r>
    </w:p>
    <w:p w14:paraId="6FB56EEF" w14:textId="77777777" w:rsidR="006966DB" w:rsidRDefault="00876F96">
      <w:pPr>
        <w:pStyle w:val="BodyText"/>
        <w:spacing w:before="119" w:line="259" w:lineRule="auto"/>
        <w:ind w:left="165" w:right="174"/>
      </w:pPr>
      <w:r>
        <w:t xml:space="preserve">The Commission should look to include deep dives in its 2026/27 work </w:t>
      </w:r>
      <w:proofErr w:type="spellStart"/>
      <w:r>
        <w:t>programme</w:t>
      </w:r>
      <w:proofErr w:type="spellEnd"/>
      <w:r>
        <w:t xml:space="preserve"> to better understand the underlying drivers for the trends being seen from a system performance and outcomes</w:t>
      </w:r>
      <w:r>
        <w:rPr>
          <w:spacing w:val="-1"/>
        </w:rPr>
        <w:t xml:space="preserve"> </w:t>
      </w:r>
      <w:r>
        <w:t>perspective.</w:t>
      </w:r>
      <w:r>
        <w:rPr>
          <w:spacing w:val="-2"/>
        </w:rPr>
        <w:t xml:space="preserve"> </w:t>
      </w:r>
      <w:r>
        <w:t>I</w:t>
      </w:r>
      <w:r>
        <w:rPr>
          <w:spacing w:val="-5"/>
        </w:rPr>
        <w:t xml:space="preserve"> </w:t>
      </w:r>
      <w:r>
        <w:t>understand</w:t>
      </w:r>
      <w:r>
        <w:rPr>
          <w:spacing w:val="-3"/>
        </w:rPr>
        <w:t xml:space="preserve"> </w:t>
      </w:r>
      <w:r>
        <w:t>you</w:t>
      </w:r>
      <w:r>
        <w:rPr>
          <w:spacing w:val="-3"/>
        </w:rPr>
        <w:t xml:space="preserve"> </w:t>
      </w:r>
      <w:r>
        <w:t>are</w:t>
      </w:r>
      <w:r>
        <w:rPr>
          <w:spacing w:val="-2"/>
        </w:rPr>
        <w:t xml:space="preserve"> </w:t>
      </w:r>
      <w:r>
        <w:t>taking</w:t>
      </w:r>
      <w:r>
        <w:rPr>
          <w:spacing w:val="-3"/>
        </w:rPr>
        <w:t xml:space="preserve"> </w:t>
      </w:r>
      <w:r>
        <w:t>this</w:t>
      </w:r>
      <w:r>
        <w:rPr>
          <w:spacing w:val="-2"/>
        </w:rPr>
        <w:t xml:space="preserve"> </w:t>
      </w:r>
      <w:r>
        <w:t>approach</w:t>
      </w:r>
      <w:r>
        <w:rPr>
          <w:spacing w:val="-5"/>
        </w:rPr>
        <w:t xml:space="preserve"> </w:t>
      </w:r>
      <w:r>
        <w:t>to</w:t>
      </w:r>
      <w:r>
        <w:rPr>
          <w:spacing w:val="-2"/>
        </w:rPr>
        <w:t xml:space="preserve"> </w:t>
      </w:r>
      <w:r>
        <w:t>understand</w:t>
      </w:r>
      <w:r>
        <w:rPr>
          <w:spacing w:val="-3"/>
        </w:rPr>
        <w:t xml:space="preserve"> </w:t>
      </w:r>
      <w:r>
        <w:t>the</w:t>
      </w:r>
      <w:r>
        <w:rPr>
          <w:spacing w:val="-2"/>
        </w:rPr>
        <w:t xml:space="preserve"> </w:t>
      </w:r>
      <w:r>
        <w:t>access</w:t>
      </w:r>
      <w:r>
        <w:rPr>
          <w:spacing w:val="-2"/>
        </w:rPr>
        <w:t xml:space="preserve"> </w:t>
      </w:r>
      <w:r>
        <w:t xml:space="preserve">patterns for young people, which I support and would encourage consideration of other life </w:t>
      </w:r>
      <w:proofErr w:type="gramStart"/>
      <w:r>
        <w:t>course stages</w:t>
      </w:r>
      <w:proofErr w:type="gramEnd"/>
      <w:r>
        <w:t>. I am also interested in seeing what good looks like from evidence informed and lived experience perspectives. Potential focus areas could include best practice and practical steps towards eliminating seclusion.</w:t>
      </w:r>
    </w:p>
    <w:p w14:paraId="6FB56EF0" w14:textId="77777777" w:rsidR="006966DB" w:rsidRDefault="006966DB">
      <w:pPr>
        <w:pStyle w:val="BodyText"/>
        <w:spacing w:line="259" w:lineRule="auto"/>
        <w:sectPr w:rsidR="006966DB">
          <w:type w:val="continuous"/>
          <w:pgSz w:w="11910" w:h="16840"/>
          <w:pgMar w:top="0" w:right="1275" w:bottom="0" w:left="1275" w:header="720" w:footer="720" w:gutter="0"/>
          <w:cols w:space="720"/>
        </w:sectPr>
      </w:pPr>
    </w:p>
    <w:p w14:paraId="6FB56EF1" w14:textId="77777777" w:rsidR="006966DB" w:rsidRDefault="00876F96">
      <w:pPr>
        <w:pStyle w:val="BodyText"/>
        <w:spacing w:before="41" w:line="259" w:lineRule="auto"/>
        <w:ind w:left="165" w:right="241"/>
      </w:pPr>
      <w:r>
        <w:lastRenderedPageBreak/>
        <w:t xml:space="preserve">The Commission has a unique statutory role which allows it to engage </w:t>
      </w:r>
      <w:proofErr w:type="gramStart"/>
      <w:r>
        <w:t>with, and</w:t>
      </w:r>
      <w:proofErr w:type="gramEnd"/>
      <w:r>
        <w:t xml:space="preserve"> assess the impacts of agencies outside of the health system who contribute to mental health and wellbeing outcomes. The</w:t>
      </w:r>
      <w:r>
        <w:rPr>
          <w:spacing w:val="-2"/>
        </w:rPr>
        <w:t xml:space="preserve"> </w:t>
      </w:r>
      <w:r>
        <w:t>Commission</w:t>
      </w:r>
      <w:r>
        <w:rPr>
          <w:spacing w:val="-2"/>
        </w:rPr>
        <w:t xml:space="preserve"> </w:t>
      </w:r>
      <w:r>
        <w:t>should</w:t>
      </w:r>
      <w:r>
        <w:rPr>
          <w:spacing w:val="-4"/>
        </w:rPr>
        <w:t xml:space="preserve"> </w:t>
      </w:r>
      <w:r>
        <w:t>consider</w:t>
      </w:r>
      <w:r>
        <w:rPr>
          <w:spacing w:val="-2"/>
        </w:rPr>
        <w:t xml:space="preserve"> </w:t>
      </w:r>
      <w:r>
        <w:t>strengthening</w:t>
      </w:r>
      <w:r>
        <w:rPr>
          <w:spacing w:val="-2"/>
        </w:rPr>
        <w:t xml:space="preserve"> </w:t>
      </w:r>
      <w:r>
        <w:t>its</w:t>
      </w:r>
      <w:r>
        <w:rPr>
          <w:spacing w:val="-2"/>
        </w:rPr>
        <w:t xml:space="preserve"> </w:t>
      </w:r>
      <w:r>
        <w:t>focus</w:t>
      </w:r>
      <w:r>
        <w:rPr>
          <w:spacing w:val="-2"/>
        </w:rPr>
        <w:t xml:space="preserve"> </w:t>
      </w:r>
      <w:r>
        <w:t>on</w:t>
      </w:r>
      <w:r>
        <w:rPr>
          <w:spacing w:val="-3"/>
        </w:rPr>
        <w:t xml:space="preserve"> </w:t>
      </w:r>
      <w:r>
        <w:t>the</w:t>
      </w:r>
      <w:r>
        <w:rPr>
          <w:spacing w:val="-2"/>
        </w:rPr>
        <w:t xml:space="preserve"> </w:t>
      </w:r>
      <w:r>
        <w:t>interface</w:t>
      </w:r>
      <w:r>
        <w:rPr>
          <w:spacing w:val="-2"/>
        </w:rPr>
        <w:t xml:space="preserve"> </w:t>
      </w:r>
      <w:r>
        <w:t>with</w:t>
      </w:r>
      <w:r>
        <w:rPr>
          <w:spacing w:val="-3"/>
        </w:rPr>
        <w:t xml:space="preserve"> </w:t>
      </w:r>
      <w:r>
        <w:t>other</w:t>
      </w:r>
      <w:r>
        <w:rPr>
          <w:spacing w:val="-2"/>
        </w:rPr>
        <w:t xml:space="preserve"> </w:t>
      </w:r>
      <w:r>
        <w:t>sectors,</w:t>
      </w:r>
      <w:r>
        <w:rPr>
          <w:spacing w:val="-2"/>
        </w:rPr>
        <w:t xml:space="preserve"> </w:t>
      </w:r>
      <w:r>
        <w:t>such</w:t>
      </w:r>
      <w:r>
        <w:rPr>
          <w:spacing w:val="-3"/>
        </w:rPr>
        <w:t xml:space="preserve"> </w:t>
      </w:r>
      <w:r>
        <w:t>as housing, welfare and education with mental health, addiction and wellbeing outcomes, to strengthen a whole-of-government approach.</w:t>
      </w:r>
    </w:p>
    <w:p w14:paraId="6FB56EF2" w14:textId="77777777" w:rsidR="006966DB" w:rsidRDefault="00876F96">
      <w:pPr>
        <w:pStyle w:val="BodyText"/>
        <w:spacing w:before="119" w:line="259" w:lineRule="auto"/>
        <w:ind w:left="165"/>
      </w:pPr>
      <w:r>
        <w:t>The</w:t>
      </w:r>
      <w:r>
        <w:rPr>
          <w:spacing w:val="-2"/>
        </w:rPr>
        <w:t xml:space="preserve"> </w:t>
      </w:r>
      <w:r>
        <w:t>Commission</w:t>
      </w:r>
      <w:r>
        <w:rPr>
          <w:spacing w:val="-3"/>
        </w:rPr>
        <w:t xml:space="preserve"> </w:t>
      </w:r>
      <w:r>
        <w:t>has</w:t>
      </w:r>
      <w:r>
        <w:rPr>
          <w:spacing w:val="-5"/>
        </w:rPr>
        <w:t xml:space="preserve"> </w:t>
      </w:r>
      <w:r>
        <w:t>already</w:t>
      </w:r>
      <w:r>
        <w:rPr>
          <w:spacing w:val="-2"/>
        </w:rPr>
        <w:t xml:space="preserve"> </w:t>
      </w:r>
      <w:r>
        <w:t>committed</w:t>
      </w:r>
      <w:r>
        <w:rPr>
          <w:spacing w:val="-5"/>
        </w:rPr>
        <w:t xml:space="preserve"> </w:t>
      </w:r>
      <w:r>
        <w:t>to</w:t>
      </w:r>
      <w:r>
        <w:rPr>
          <w:spacing w:val="-1"/>
        </w:rPr>
        <w:t xml:space="preserve"> </w:t>
      </w:r>
      <w:r>
        <w:t>leading</w:t>
      </w:r>
      <w:r>
        <w:rPr>
          <w:spacing w:val="-3"/>
        </w:rPr>
        <w:t xml:space="preserve"> </w:t>
      </w:r>
      <w:r>
        <w:t>the</w:t>
      </w:r>
      <w:r>
        <w:rPr>
          <w:spacing w:val="-4"/>
        </w:rPr>
        <w:t xml:space="preserve"> </w:t>
      </w:r>
      <w:r>
        <w:t>national</w:t>
      </w:r>
      <w:r>
        <w:rPr>
          <w:spacing w:val="-2"/>
        </w:rPr>
        <w:t xml:space="preserve"> </w:t>
      </w:r>
      <w:r>
        <w:t>risk</w:t>
      </w:r>
      <w:r>
        <w:rPr>
          <w:spacing w:val="-2"/>
        </w:rPr>
        <w:t xml:space="preserve"> </w:t>
      </w:r>
      <w:r>
        <w:t>conversation.</w:t>
      </w:r>
      <w:r>
        <w:rPr>
          <w:spacing w:val="-5"/>
        </w:rPr>
        <w:t xml:space="preserve"> </w:t>
      </w:r>
      <w:r>
        <w:t>I</w:t>
      </w:r>
      <w:r>
        <w:rPr>
          <w:spacing w:val="-2"/>
        </w:rPr>
        <w:t xml:space="preserve"> </w:t>
      </w:r>
      <w:r>
        <w:t>would also</w:t>
      </w:r>
      <w:r>
        <w:rPr>
          <w:spacing w:val="-3"/>
        </w:rPr>
        <w:t xml:space="preserve"> </w:t>
      </w:r>
      <w:r>
        <w:t>like</w:t>
      </w:r>
      <w:r>
        <w:rPr>
          <w:spacing w:val="-4"/>
        </w:rPr>
        <w:t xml:space="preserve"> </w:t>
      </w:r>
      <w:r>
        <w:t>to see you undertake work to build on your previous crisis response report of 2025.</w:t>
      </w:r>
    </w:p>
    <w:p w14:paraId="6FB56EF3" w14:textId="77777777" w:rsidR="006966DB" w:rsidRDefault="00876F96">
      <w:pPr>
        <w:pStyle w:val="BodyText"/>
        <w:spacing w:before="119" w:line="259" w:lineRule="auto"/>
        <w:ind w:left="165" w:right="174"/>
      </w:pPr>
      <w:r>
        <w:t>In relation to the Commission’s role in monitoring suicide prevention, rather than monitoring the Suicide Prevention Action Plan (which will be undertaken by the Ministry of Health), I would ask the Commission</w:t>
      </w:r>
      <w:r>
        <w:rPr>
          <w:spacing w:val="-5"/>
        </w:rPr>
        <w:t xml:space="preserve"> </w:t>
      </w:r>
      <w:r>
        <w:t>to</w:t>
      </w:r>
      <w:r>
        <w:rPr>
          <w:spacing w:val="-3"/>
        </w:rPr>
        <w:t xml:space="preserve"> </w:t>
      </w:r>
      <w:r>
        <w:t>focus</w:t>
      </w:r>
      <w:r>
        <w:rPr>
          <w:spacing w:val="-5"/>
        </w:rPr>
        <w:t xml:space="preserve"> </w:t>
      </w:r>
      <w:r>
        <w:t>on</w:t>
      </w:r>
      <w:r>
        <w:rPr>
          <w:spacing w:val="-3"/>
        </w:rPr>
        <w:t xml:space="preserve"> </w:t>
      </w:r>
      <w:r>
        <w:t>impacts</w:t>
      </w:r>
      <w:r>
        <w:rPr>
          <w:spacing w:val="-1"/>
        </w:rPr>
        <w:t xml:space="preserve"> </w:t>
      </w:r>
      <w:r>
        <w:t>for</w:t>
      </w:r>
      <w:r>
        <w:rPr>
          <w:spacing w:val="-2"/>
        </w:rPr>
        <w:t xml:space="preserve"> </w:t>
      </w:r>
      <w:r>
        <w:t>population</w:t>
      </w:r>
      <w:r>
        <w:rPr>
          <w:spacing w:val="-3"/>
        </w:rPr>
        <w:t xml:space="preserve"> </w:t>
      </w:r>
      <w:r>
        <w:t>groups</w:t>
      </w:r>
      <w:r>
        <w:rPr>
          <w:spacing w:val="-2"/>
        </w:rPr>
        <w:t xml:space="preserve"> </w:t>
      </w:r>
      <w:r>
        <w:t>experiencing</w:t>
      </w:r>
      <w:r>
        <w:rPr>
          <w:spacing w:val="-3"/>
        </w:rPr>
        <w:t xml:space="preserve"> </w:t>
      </w:r>
      <w:r>
        <w:t>higher</w:t>
      </w:r>
      <w:r>
        <w:rPr>
          <w:spacing w:val="-2"/>
        </w:rPr>
        <w:t xml:space="preserve"> </w:t>
      </w:r>
      <w:r>
        <w:t>needs</w:t>
      </w:r>
      <w:r>
        <w:rPr>
          <w:spacing w:val="-2"/>
        </w:rPr>
        <w:t xml:space="preserve"> </w:t>
      </w:r>
      <w:r>
        <w:t>or</w:t>
      </w:r>
      <w:r>
        <w:rPr>
          <w:spacing w:val="-2"/>
        </w:rPr>
        <w:t xml:space="preserve"> </w:t>
      </w:r>
      <w:r>
        <w:t>levels</w:t>
      </w:r>
      <w:r>
        <w:rPr>
          <w:spacing w:val="-4"/>
        </w:rPr>
        <w:t xml:space="preserve"> </w:t>
      </w:r>
      <w:r>
        <w:t>of</w:t>
      </w:r>
      <w:r>
        <w:rPr>
          <w:spacing w:val="-2"/>
        </w:rPr>
        <w:t xml:space="preserve"> </w:t>
      </w:r>
      <w:r>
        <w:t>risk,</w:t>
      </w:r>
      <w:r>
        <w:rPr>
          <w:spacing w:val="-4"/>
        </w:rPr>
        <w:t xml:space="preserve"> </w:t>
      </w:r>
      <w:r>
        <w:t>or on cross-government contributions to suicide prevention where the Suicide Prevention Office only has an influencing role.</w:t>
      </w:r>
    </w:p>
    <w:p w14:paraId="6FB56EF4" w14:textId="77777777" w:rsidR="006966DB" w:rsidRDefault="00876F96">
      <w:pPr>
        <w:pStyle w:val="BodyText"/>
        <w:spacing w:before="9"/>
        <w:rPr>
          <w:sz w:val="5"/>
        </w:rPr>
      </w:pPr>
      <w:r>
        <w:rPr>
          <w:noProof/>
          <w:sz w:val="5"/>
        </w:rPr>
        <mc:AlternateContent>
          <mc:Choice Requires="wps">
            <w:drawing>
              <wp:anchor distT="0" distB="0" distL="0" distR="0" simplePos="0" relativeHeight="487588864" behindDoc="1" locked="0" layoutInCell="1" allowOverlap="1" wp14:anchorId="6FB56F07" wp14:editId="6FB56F08">
                <wp:simplePos x="0" y="0"/>
                <wp:positionH relativeFrom="page">
                  <wp:posOffset>829313</wp:posOffset>
                </wp:positionH>
                <wp:positionV relativeFrom="paragraph">
                  <wp:posOffset>60139</wp:posOffset>
                </wp:positionV>
                <wp:extent cx="5852795" cy="9144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795" cy="914400"/>
                        </a:xfrm>
                        <a:prstGeom prst="rect">
                          <a:avLst/>
                        </a:prstGeom>
                        <a:solidFill>
                          <a:srgbClr val="808080"/>
                        </a:solidFill>
                      </wps:spPr>
                      <wps:txbx>
                        <w:txbxContent>
                          <w:p w14:paraId="6FB56F09" w14:textId="77777777" w:rsidR="006966DB" w:rsidRDefault="00876F96">
                            <w:pPr>
                              <w:spacing w:line="200" w:lineRule="exact"/>
                              <w:ind w:left="-1"/>
                              <w:rPr>
                                <w:rFonts w:ascii="Arial"/>
                                <w:color w:val="000000"/>
                                <w:sz w:val="20"/>
                              </w:rPr>
                            </w:pPr>
                            <w:r>
                              <w:rPr>
                                <w:rFonts w:ascii="Arial"/>
                                <w:color w:val="000000"/>
                                <w:sz w:val="20"/>
                              </w:rPr>
                              <w:t xml:space="preserve">s </w:t>
                            </w:r>
                            <w:r>
                              <w:rPr>
                                <w:rFonts w:ascii="Arial"/>
                                <w:color w:val="000000"/>
                                <w:spacing w:val="-2"/>
                                <w:sz w:val="20"/>
                              </w:rPr>
                              <w:t>9(2)(ba)(i)</w:t>
                            </w:r>
                          </w:p>
                        </w:txbxContent>
                      </wps:txbx>
                      <wps:bodyPr wrap="square" lIns="0" tIns="0" rIns="0" bIns="0" rtlCol="0">
                        <a:noAutofit/>
                      </wps:bodyPr>
                    </wps:wsp>
                  </a:graphicData>
                </a:graphic>
              </wp:anchor>
            </w:drawing>
          </mc:Choice>
          <mc:Fallback>
            <w:pict>
              <v:shapetype w14:anchorId="6FB56F07" id="_x0000_t202" coordsize="21600,21600" o:spt="202" path="m,l,21600r21600,l21600,xe">
                <v:stroke joinstyle="miter"/>
                <v:path gradientshapeok="t" o:connecttype="rect"/>
              </v:shapetype>
              <v:shape id="Textbox 3" o:spid="_x0000_s1026" type="#_x0000_t202" style="position:absolute;margin-left:65.3pt;margin-top:4.75pt;width:460.85pt;height:1in;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" fillcolor="gray" stroked="f">
                <v:textbox inset="0,0,0,0">
                  <w:txbxContent>
                    <w:p w14:paraId="6FB56F09" w14:textId="77777777" w:rsidR="006966DB" w:rsidRDefault="00876F96">
                      <w:pPr>
                        <w:spacing w:line="200" w:lineRule="exact"/>
                        <w:ind w:left="-1"/>
                        <w:rPr>
                          <w:rFonts w:ascii="Arial"/>
                          <w:color w:val="000000"/>
                          <w:sz w:val="20"/>
                        </w:rPr>
                      </w:pPr>
                      <w:r>
                        <w:rPr>
                          <w:rFonts w:ascii="Arial"/>
                          <w:color w:val="000000"/>
                          <w:sz w:val="20"/>
                        </w:rPr>
                        <w:t xml:space="preserve">s </w:t>
                      </w:r>
                      <w:r>
                        <w:rPr>
                          <w:rFonts w:ascii="Arial"/>
                          <w:color w:val="000000"/>
                          <w:spacing w:val="-2"/>
                          <w:sz w:val="20"/>
                        </w:rPr>
                        <w:t>9(2)(ba)(i)</w:t>
                      </w:r>
                    </w:p>
                  </w:txbxContent>
                </v:textbox>
                <w10:wrap type="topAndBottom" anchorx="page"/>
              </v:shape>
            </w:pict>
          </mc:Fallback>
        </mc:AlternateContent>
      </w:r>
    </w:p>
    <w:p w14:paraId="6FB56EF5" w14:textId="77777777" w:rsidR="006966DB" w:rsidRDefault="00876F96">
      <w:pPr>
        <w:pStyle w:val="BodyText"/>
        <w:spacing w:before="155" w:line="259" w:lineRule="auto"/>
        <w:ind w:left="165" w:right="151"/>
      </w:pPr>
      <w:r>
        <w:t>During 2026 a review of the Commission will commence as required under the Mental Health and Wellbeing Commission Act 2020. The Ministry will be liaising with the Commission regarding the review</w:t>
      </w:r>
      <w:r>
        <w:rPr>
          <w:spacing w:val="-3"/>
        </w:rPr>
        <w:t xml:space="preserve"> </w:t>
      </w:r>
      <w:r>
        <w:t>once</w:t>
      </w:r>
      <w:r>
        <w:rPr>
          <w:spacing w:val="-3"/>
        </w:rPr>
        <w:t xml:space="preserve"> </w:t>
      </w:r>
      <w:r>
        <w:t>I</w:t>
      </w:r>
      <w:r>
        <w:rPr>
          <w:spacing w:val="-1"/>
        </w:rPr>
        <w:t xml:space="preserve"> </w:t>
      </w:r>
      <w:r>
        <w:t>have</w:t>
      </w:r>
      <w:r>
        <w:rPr>
          <w:spacing w:val="-1"/>
        </w:rPr>
        <w:t xml:space="preserve"> </w:t>
      </w:r>
      <w:r>
        <w:t>agreed</w:t>
      </w:r>
      <w:r>
        <w:rPr>
          <w:spacing w:val="-4"/>
        </w:rPr>
        <w:t xml:space="preserve"> </w:t>
      </w:r>
      <w:r>
        <w:t>the terms</w:t>
      </w:r>
      <w:r>
        <w:rPr>
          <w:spacing w:val="-4"/>
        </w:rPr>
        <w:t xml:space="preserve"> </w:t>
      </w:r>
      <w:r>
        <w:t>of</w:t>
      </w:r>
      <w:r>
        <w:rPr>
          <w:spacing w:val="-3"/>
        </w:rPr>
        <w:t xml:space="preserve"> </w:t>
      </w:r>
      <w:r>
        <w:t>reference</w:t>
      </w:r>
      <w:r>
        <w:rPr>
          <w:spacing w:val="-3"/>
        </w:rPr>
        <w:t xml:space="preserve"> </w:t>
      </w:r>
      <w:r>
        <w:t>for</w:t>
      </w:r>
      <w:r>
        <w:rPr>
          <w:spacing w:val="-3"/>
        </w:rPr>
        <w:t xml:space="preserve"> </w:t>
      </w:r>
      <w:r>
        <w:t>the</w:t>
      </w:r>
      <w:r>
        <w:rPr>
          <w:spacing w:val="-1"/>
        </w:rPr>
        <w:t xml:space="preserve"> </w:t>
      </w:r>
      <w:r>
        <w:t>review. I</w:t>
      </w:r>
      <w:r>
        <w:rPr>
          <w:spacing w:val="-4"/>
        </w:rPr>
        <w:t xml:space="preserve"> </w:t>
      </w:r>
      <w:r>
        <w:t>am intending</w:t>
      </w:r>
      <w:r>
        <w:rPr>
          <w:spacing w:val="-2"/>
        </w:rPr>
        <w:t xml:space="preserve"> </w:t>
      </w:r>
      <w:r>
        <w:t>that</w:t>
      </w:r>
      <w:r>
        <w:rPr>
          <w:spacing w:val="-1"/>
        </w:rPr>
        <w:t xml:space="preserve"> </w:t>
      </w:r>
      <w:r>
        <w:t>the</w:t>
      </w:r>
      <w:r>
        <w:rPr>
          <w:spacing w:val="-1"/>
        </w:rPr>
        <w:t xml:space="preserve"> </w:t>
      </w:r>
      <w:r>
        <w:t>review</w:t>
      </w:r>
      <w:r>
        <w:rPr>
          <w:spacing w:val="-3"/>
        </w:rPr>
        <w:t xml:space="preserve"> </w:t>
      </w:r>
      <w:r>
        <w:t>will include</w:t>
      </w:r>
      <w:r>
        <w:rPr>
          <w:spacing w:val="-2"/>
        </w:rPr>
        <w:t xml:space="preserve"> </w:t>
      </w:r>
      <w:r>
        <w:t>comparisons</w:t>
      </w:r>
      <w:r>
        <w:rPr>
          <w:spacing w:val="-5"/>
        </w:rPr>
        <w:t xml:space="preserve"> </w:t>
      </w:r>
      <w:r>
        <w:t>to</w:t>
      </w:r>
      <w:r>
        <w:rPr>
          <w:spacing w:val="-1"/>
        </w:rPr>
        <w:t xml:space="preserve"> </w:t>
      </w:r>
      <w:r>
        <w:t>Australian</w:t>
      </w:r>
      <w:r>
        <w:rPr>
          <w:spacing w:val="-3"/>
        </w:rPr>
        <w:t xml:space="preserve"> </w:t>
      </w:r>
      <w:r>
        <w:t>mental</w:t>
      </w:r>
      <w:r>
        <w:rPr>
          <w:spacing w:val="-2"/>
        </w:rPr>
        <w:t xml:space="preserve"> </w:t>
      </w:r>
      <w:r>
        <w:t>health</w:t>
      </w:r>
      <w:r>
        <w:rPr>
          <w:spacing w:val="-2"/>
        </w:rPr>
        <w:t xml:space="preserve"> </w:t>
      </w:r>
      <w:r>
        <w:t>commission</w:t>
      </w:r>
      <w:r>
        <w:rPr>
          <w:spacing w:val="-2"/>
        </w:rPr>
        <w:t xml:space="preserve"> </w:t>
      </w:r>
      <w:r>
        <w:t>models</w:t>
      </w:r>
      <w:r>
        <w:rPr>
          <w:spacing w:val="-2"/>
        </w:rPr>
        <w:t xml:space="preserve"> </w:t>
      </w:r>
      <w:r>
        <w:t>(at</w:t>
      </w:r>
      <w:r>
        <w:rPr>
          <w:spacing w:val="-2"/>
        </w:rPr>
        <w:t xml:space="preserve"> </w:t>
      </w:r>
      <w:r>
        <w:t>national</w:t>
      </w:r>
      <w:r>
        <w:rPr>
          <w:spacing w:val="-5"/>
        </w:rPr>
        <w:t xml:space="preserve"> </w:t>
      </w:r>
      <w:r>
        <w:t>and</w:t>
      </w:r>
      <w:r>
        <w:rPr>
          <w:spacing w:val="-4"/>
        </w:rPr>
        <w:t xml:space="preserve"> </w:t>
      </w:r>
      <w:r>
        <w:t>state</w:t>
      </w:r>
      <w:r>
        <w:rPr>
          <w:spacing w:val="-4"/>
        </w:rPr>
        <w:t xml:space="preserve"> </w:t>
      </w:r>
      <w:r>
        <w:t>level)</w:t>
      </w:r>
      <w:r>
        <w:rPr>
          <w:spacing w:val="-2"/>
        </w:rPr>
        <w:t xml:space="preserve"> </w:t>
      </w:r>
      <w:r>
        <w:t>to inform decision about the shape, form, design and structure of the Commission</w:t>
      </w:r>
      <w:r>
        <w:rPr>
          <w:color w:val="FF0000"/>
        </w:rPr>
        <w:t>.</w:t>
      </w:r>
    </w:p>
    <w:p w14:paraId="6FB56EF6" w14:textId="77777777" w:rsidR="006966DB" w:rsidRDefault="00876F96">
      <w:pPr>
        <w:pStyle w:val="BodyText"/>
        <w:spacing w:before="119" w:line="259" w:lineRule="auto"/>
        <w:ind w:left="165" w:right="151"/>
      </w:pPr>
      <w:r>
        <w:t>Under the Crown Entities Act 2004, the Commission is due to provide me with a draft Statement of Performance Expectations (SPE) for 2026/27 by 30 April 2026. As the Commission is now a mature entity,</w:t>
      </w:r>
      <w:r>
        <w:rPr>
          <w:spacing w:val="-4"/>
        </w:rPr>
        <w:t xml:space="preserve"> </w:t>
      </w:r>
      <w:r>
        <w:t>I</w:t>
      </w:r>
      <w:r>
        <w:rPr>
          <w:spacing w:val="-2"/>
        </w:rPr>
        <w:t xml:space="preserve"> </w:t>
      </w:r>
      <w:r>
        <w:t>would</w:t>
      </w:r>
      <w:r>
        <w:rPr>
          <w:spacing w:val="-4"/>
        </w:rPr>
        <w:t xml:space="preserve"> </w:t>
      </w:r>
      <w:r>
        <w:t>like</w:t>
      </w:r>
      <w:r>
        <w:rPr>
          <w:spacing w:val="-1"/>
        </w:rPr>
        <w:t xml:space="preserve"> </w:t>
      </w:r>
      <w:r>
        <w:t>you</w:t>
      </w:r>
      <w:r>
        <w:rPr>
          <w:spacing w:val="-3"/>
        </w:rPr>
        <w:t xml:space="preserve"> </w:t>
      </w:r>
      <w:r>
        <w:t>to develop</w:t>
      </w:r>
      <w:r>
        <w:rPr>
          <w:spacing w:val="-2"/>
        </w:rPr>
        <w:t xml:space="preserve"> </w:t>
      </w:r>
      <w:r>
        <w:t>performance</w:t>
      </w:r>
      <w:r>
        <w:rPr>
          <w:spacing w:val="-4"/>
        </w:rPr>
        <w:t xml:space="preserve"> </w:t>
      </w:r>
      <w:r>
        <w:t>measures which</w:t>
      </w:r>
      <w:r>
        <w:rPr>
          <w:spacing w:val="-3"/>
        </w:rPr>
        <w:t xml:space="preserve"> </w:t>
      </w:r>
      <w:proofErr w:type="gramStart"/>
      <w:r>
        <w:t>demonstrates</w:t>
      </w:r>
      <w:proofErr w:type="gramEnd"/>
      <w:r>
        <w:rPr>
          <w:spacing w:val="-4"/>
        </w:rPr>
        <w:t xml:space="preserve"> </w:t>
      </w:r>
      <w:r>
        <w:t>how</w:t>
      </w:r>
      <w:r>
        <w:rPr>
          <w:spacing w:val="-1"/>
        </w:rPr>
        <w:t xml:space="preserve"> </w:t>
      </w:r>
      <w:r>
        <w:t>the</w:t>
      </w:r>
      <w:r>
        <w:rPr>
          <w:spacing w:val="-4"/>
        </w:rPr>
        <w:t xml:space="preserve"> </w:t>
      </w:r>
      <w:r>
        <w:t xml:space="preserve">Commission is contributing to improved and equitable mental health and </w:t>
      </w:r>
      <w:proofErr w:type="gramStart"/>
      <w:r>
        <w:t>wellbeing</w:t>
      </w:r>
      <w:proofErr w:type="gramEnd"/>
      <w:r>
        <w:t xml:space="preserve"> outcomes. The Commission should show good stewardship of public resources, and that you can clearly measure and demonstrate how you are delivering value for money. I ask you provide a draft of your SPE to your contact at the Ministry by 30 April 2026, who will be providing feedback on my behalf.</w:t>
      </w:r>
    </w:p>
    <w:p w14:paraId="6FB56EF7" w14:textId="77777777" w:rsidR="006966DB" w:rsidRDefault="006966DB">
      <w:pPr>
        <w:pStyle w:val="BodyText"/>
        <w:spacing w:before="260"/>
      </w:pPr>
    </w:p>
    <w:p w14:paraId="6FB56EF8" w14:textId="77777777" w:rsidR="006966DB" w:rsidRDefault="00876F96">
      <w:pPr>
        <w:pStyle w:val="BodyText"/>
        <w:ind w:left="165"/>
      </w:pPr>
      <w:r>
        <w:t>Yours</w:t>
      </w:r>
      <w:r>
        <w:rPr>
          <w:spacing w:val="-2"/>
        </w:rPr>
        <w:t xml:space="preserve"> sincerely</w:t>
      </w:r>
    </w:p>
    <w:p w14:paraId="6FB56EF9" w14:textId="77777777" w:rsidR="006966DB" w:rsidRDefault="006966DB">
      <w:pPr>
        <w:pStyle w:val="BodyText"/>
      </w:pPr>
    </w:p>
    <w:p w14:paraId="6FB56EFA" w14:textId="77777777" w:rsidR="006966DB" w:rsidRDefault="006966DB">
      <w:pPr>
        <w:pStyle w:val="BodyText"/>
      </w:pPr>
    </w:p>
    <w:p w14:paraId="6FB56EFB" w14:textId="77777777" w:rsidR="006966DB" w:rsidRDefault="006966DB">
      <w:pPr>
        <w:pStyle w:val="BodyText"/>
      </w:pPr>
    </w:p>
    <w:p w14:paraId="6FB56EFC" w14:textId="77777777" w:rsidR="006966DB" w:rsidRDefault="006966DB">
      <w:pPr>
        <w:pStyle w:val="BodyText"/>
      </w:pPr>
    </w:p>
    <w:p w14:paraId="6FB56EFD" w14:textId="77777777" w:rsidR="006966DB" w:rsidRDefault="006966DB">
      <w:pPr>
        <w:pStyle w:val="BodyText"/>
        <w:spacing w:before="28"/>
      </w:pPr>
    </w:p>
    <w:p w14:paraId="6FB56EFE" w14:textId="77777777" w:rsidR="006966DB" w:rsidRDefault="00876F96">
      <w:pPr>
        <w:pStyle w:val="BodyText"/>
        <w:ind w:left="165"/>
      </w:pPr>
      <w:r>
        <w:t>Hon</w:t>
      </w:r>
      <w:r>
        <w:rPr>
          <w:spacing w:val="-5"/>
        </w:rPr>
        <w:t xml:space="preserve"> </w:t>
      </w:r>
      <w:r>
        <w:t>Matt</w:t>
      </w:r>
      <w:r>
        <w:rPr>
          <w:spacing w:val="-2"/>
        </w:rPr>
        <w:t xml:space="preserve"> Doocey</w:t>
      </w:r>
    </w:p>
    <w:p w14:paraId="6FB56EFF" w14:textId="77777777" w:rsidR="006966DB" w:rsidRDefault="00876F96">
      <w:pPr>
        <w:pStyle w:val="Heading1"/>
      </w:pPr>
      <w:r>
        <w:t>Minister</w:t>
      </w:r>
      <w:r>
        <w:rPr>
          <w:spacing w:val="-5"/>
        </w:rPr>
        <w:t xml:space="preserve"> </w:t>
      </w:r>
      <w:r>
        <w:t>for</w:t>
      </w:r>
      <w:r>
        <w:rPr>
          <w:spacing w:val="-4"/>
        </w:rPr>
        <w:t xml:space="preserve"> </w:t>
      </w:r>
      <w:r>
        <w:t>Mental</w:t>
      </w:r>
      <w:r>
        <w:rPr>
          <w:spacing w:val="-5"/>
        </w:rPr>
        <w:t xml:space="preserve"> </w:t>
      </w:r>
      <w:r>
        <w:rPr>
          <w:spacing w:val="-2"/>
        </w:rPr>
        <w:t>Health</w:t>
      </w:r>
    </w:p>
    <w:p w14:paraId="6FB56F00" w14:textId="77777777" w:rsidR="006966DB" w:rsidRDefault="00876F96">
      <w:pPr>
        <w:pStyle w:val="BodyText"/>
        <w:tabs>
          <w:tab w:val="left" w:pos="885"/>
        </w:tabs>
        <w:spacing w:before="142"/>
        <w:ind w:left="165"/>
      </w:pPr>
      <w:r>
        <w:rPr>
          <w:spacing w:val="-5"/>
        </w:rPr>
        <w:t>cc</w:t>
      </w:r>
      <w:r>
        <w:tab/>
        <w:t>Hon</w:t>
      </w:r>
      <w:r>
        <w:rPr>
          <w:spacing w:val="-4"/>
        </w:rPr>
        <w:t xml:space="preserve"> </w:t>
      </w:r>
      <w:r>
        <w:t>Simeon</w:t>
      </w:r>
      <w:r>
        <w:rPr>
          <w:spacing w:val="-4"/>
        </w:rPr>
        <w:t xml:space="preserve"> </w:t>
      </w:r>
      <w:r>
        <w:t>Brown,</w:t>
      </w:r>
      <w:r>
        <w:rPr>
          <w:spacing w:val="-4"/>
        </w:rPr>
        <w:t xml:space="preserve"> </w:t>
      </w:r>
      <w:r>
        <w:t>Minister</w:t>
      </w:r>
      <w:r>
        <w:rPr>
          <w:spacing w:val="-3"/>
        </w:rPr>
        <w:t xml:space="preserve"> </w:t>
      </w:r>
      <w:r>
        <w:t>of</w:t>
      </w:r>
      <w:r>
        <w:rPr>
          <w:spacing w:val="-4"/>
        </w:rPr>
        <w:t xml:space="preserve"> </w:t>
      </w:r>
      <w:r>
        <w:rPr>
          <w:spacing w:val="-2"/>
        </w:rPr>
        <w:t>Health</w:t>
      </w:r>
    </w:p>
    <w:p w14:paraId="6FB56F01" w14:textId="77777777" w:rsidR="006966DB" w:rsidRDefault="00876F96">
      <w:pPr>
        <w:pStyle w:val="BodyText"/>
        <w:spacing w:before="22" w:line="259" w:lineRule="auto"/>
        <w:ind w:left="885"/>
      </w:pPr>
      <w:r>
        <w:t>Audrey</w:t>
      </w:r>
      <w:r>
        <w:rPr>
          <w:spacing w:val="-3"/>
        </w:rPr>
        <w:t xml:space="preserve"> </w:t>
      </w:r>
      <w:r>
        <w:t>Sonerson,</w:t>
      </w:r>
      <w:r>
        <w:rPr>
          <w:spacing w:val="-6"/>
        </w:rPr>
        <w:t xml:space="preserve"> </w:t>
      </w:r>
      <w:r>
        <w:t>Director-General</w:t>
      </w:r>
      <w:r>
        <w:rPr>
          <w:spacing w:val="-6"/>
        </w:rPr>
        <w:t xml:space="preserve"> </w:t>
      </w:r>
      <w:r>
        <w:t>of</w:t>
      </w:r>
      <w:r>
        <w:rPr>
          <w:spacing w:val="-3"/>
        </w:rPr>
        <w:t xml:space="preserve"> </w:t>
      </w:r>
      <w:r>
        <w:t>Health,</w:t>
      </w:r>
      <w:r>
        <w:rPr>
          <w:spacing w:val="-5"/>
        </w:rPr>
        <w:t xml:space="preserve"> </w:t>
      </w:r>
      <w:r>
        <w:t>Ministry</w:t>
      </w:r>
      <w:r>
        <w:rPr>
          <w:spacing w:val="-5"/>
        </w:rPr>
        <w:t xml:space="preserve"> </w:t>
      </w:r>
      <w:r>
        <w:t>of</w:t>
      </w:r>
      <w:r>
        <w:rPr>
          <w:spacing w:val="-3"/>
        </w:rPr>
        <w:t xml:space="preserve"> </w:t>
      </w:r>
      <w:r>
        <w:t xml:space="preserve">Health, </w:t>
      </w:r>
      <w:hyperlink r:id="rId10">
        <w:r>
          <w:rPr>
            <w:color w:val="0562C1"/>
            <w:spacing w:val="-2"/>
            <w:u w:val="single" w:color="0562C1"/>
          </w:rPr>
          <w:t>audrey.sonerson@health.govt.nz</w:t>
        </w:r>
      </w:hyperlink>
    </w:p>
    <w:p w14:paraId="6FB56F02" w14:textId="77777777" w:rsidR="006966DB" w:rsidRDefault="00876F96">
      <w:pPr>
        <w:pStyle w:val="BodyText"/>
        <w:spacing w:line="259" w:lineRule="auto"/>
        <w:ind w:left="885"/>
      </w:pPr>
      <w:r>
        <w:t>Karen</w:t>
      </w:r>
      <w:r>
        <w:rPr>
          <w:spacing w:val="-4"/>
        </w:rPr>
        <w:t xml:space="preserve"> </w:t>
      </w:r>
      <w:r>
        <w:t>Orsborn,</w:t>
      </w:r>
      <w:r>
        <w:rPr>
          <w:spacing w:val="-4"/>
        </w:rPr>
        <w:t xml:space="preserve"> </w:t>
      </w:r>
      <w:r>
        <w:t>Chief</w:t>
      </w:r>
      <w:r>
        <w:rPr>
          <w:spacing w:val="-4"/>
        </w:rPr>
        <w:t xml:space="preserve"> </w:t>
      </w:r>
      <w:r>
        <w:t>Executive,</w:t>
      </w:r>
      <w:r>
        <w:rPr>
          <w:spacing w:val="-6"/>
        </w:rPr>
        <w:t xml:space="preserve"> </w:t>
      </w:r>
      <w:r>
        <w:t>Mental</w:t>
      </w:r>
      <w:r>
        <w:rPr>
          <w:spacing w:val="-4"/>
        </w:rPr>
        <w:t xml:space="preserve"> </w:t>
      </w:r>
      <w:r>
        <w:t>Health</w:t>
      </w:r>
      <w:r>
        <w:rPr>
          <w:spacing w:val="-4"/>
        </w:rPr>
        <w:t xml:space="preserve"> </w:t>
      </w:r>
      <w:r>
        <w:t>and</w:t>
      </w:r>
      <w:r>
        <w:rPr>
          <w:spacing w:val="-5"/>
        </w:rPr>
        <w:t xml:space="preserve"> </w:t>
      </w:r>
      <w:r>
        <w:t>Wellbeing</w:t>
      </w:r>
      <w:r>
        <w:rPr>
          <w:spacing w:val="-5"/>
        </w:rPr>
        <w:t xml:space="preserve"> </w:t>
      </w:r>
      <w:r>
        <w:t xml:space="preserve">Commission, </w:t>
      </w:r>
      <w:hyperlink r:id="rId11">
        <w:r>
          <w:rPr>
            <w:color w:val="0562C1"/>
            <w:spacing w:val="-2"/>
            <w:u w:val="single" w:color="0562C1"/>
          </w:rPr>
          <w:t>karen.orsborn@mhwc.govt.nz</w:t>
        </w:r>
      </w:hyperlink>
    </w:p>
    <w:sectPr w:rsidR="006966DB">
      <w:pgSz w:w="11910" w:h="1684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66DB"/>
    <w:rsid w:val="002F5AEE"/>
    <w:rsid w:val="006966DB"/>
    <w:rsid w:val="00876F96"/>
    <w:rsid w:val="00A0170D"/>
    <w:rsid w:val="00FF6A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6ED7"/>
  <w15:docId w15:val="{B2116EC6-CBFF-49BB-B46B-DBB9F5B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6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orsborn@mhwc.govt.nz" TargetMode="External"/><Relationship Id="rId5" Type="http://schemas.openxmlformats.org/officeDocument/2006/relationships/styles" Target="styles.xml"/><Relationship Id="rId10" Type="http://schemas.openxmlformats.org/officeDocument/2006/relationships/hyperlink" Target="mailto:audrey.sonerson@health.govt.nz" TargetMode="Externa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Folderdescription xmlns="54904628-6268-4ac5-9416-97794f1d508d" xsi:nil="true"/>
    <TaxCatchAll xmlns="c5b47098-0215-444c-9096-523bda4ac5c6" xsi:nil="true"/>
    <Activity xmlns="4f9c820c-e7e2-444d-97ee-45f2b3485c1d">Crown Entity Planning and Guidance</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Final LOEs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Crown Entity Planning and Guidance</Team>
    <Project xmlns="4f9c820c-e7e2-444d-97ee-45f2b3485c1d">NA</Project>
    <HasNHI xmlns="184c05c4-c568-455d-94a4-7e009b164348">false</HasNHI>
    <Attachment xmlns="54904628-6268-4ac5-9416-97794f1d508d" xsi:nil="true"/>
    <FunctionGroup xmlns="4f9c820c-e7e2-444d-97ee-45f2b3485c1d">Monitor and Support Health System</FunctionGroup>
    <Function xmlns="4f9c820c-e7e2-444d-97ee-45f2b3485c1d">Planning and Guidance</Function>
    <SetLabel xmlns="d0b61010-d6f3-4072-b934-7bbb13e97771">T10M</SetLabel>
    <Discription xmlns="54904628-6268-4ac5-9416-97794f1d508d" xsi:nil="true"/>
    <RelatedPeople xmlns="4f9c820c-e7e2-444d-97ee-45f2b3485c1d">
      <UserInfo>
        <DisplayName/>
        <AccountId xsi:nil="true"/>
        <AccountType/>
      </UserInfo>
    </RelatedPeople>
    <AggregationNarrative xmlns="725c79e5-42ce-4aa0-ac78-b6418001f0d2" xsi:nil="true"/>
    <Channel xmlns="c91a514c-9034-4fa3-897a-8352025b26ed">Letters of Expectations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Receivedate xmlns="54904628-6268-4ac5-9416-97794f1d508d" xsi:nil="true"/>
    <Year xmlns="c91a514c-9034-4fa3-897a-8352025b26ed">NA</Year>
    <Narrative xmlns="4f9c820c-e7e2-444d-97ee-45f2b3485c1d" xsi:nil="true"/>
    <CategoryName xmlns="4f9c820c-e7e2-444d-97ee-45f2b3485c1d">LoEs 2026-27</CategoryName>
    <PRADateTrigger xmlns="4f9c820c-e7e2-444d-97ee-45f2b3485c1d" xsi:nil="true"/>
    <PRAText2 xmlns="4f9c820c-e7e2-444d-97ee-45f2b3485c1d" xsi:nil="true"/>
    <zLegacyID xmlns="184c05c4-c568-455d-94a4-7e009b164348" xsi:nil="true"/>
    <_dlc_DocId xmlns="c5b47098-0215-444c-9096-523bda4ac5c6">MOHECM-1044321484-9030</_dlc_DocId>
    <_dlc_DocIdUrl xmlns="c5b47098-0215-444c-9096-523bda4ac5c6">
      <Url>https://mohgovtnz.sharepoint.com/sites/moh-ecm-CrEntPG/_layouts/15/DocIdRedir.aspx?ID=MOHECM-1044321484-9030</Url>
      <Description>MOHECM-1044321484-9030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48" ma:contentTypeDescription="Create a new document." ma:contentTypeScope="" ma:versionID="b9cd92fd887e34fc9d4a4cddf4585864">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15fca6555a5d1e98b58cfd0fd71e32a2"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ObjectDetectorVersions" minOccurs="0"/>
                <xsd:element ref="ns9:Attachment" minOccurs="0"/>
                <xsd:element ref="ns9:MediaServiceDateTaken" minOccurs="0"/>
                <xsd:element ref="ns9:MediaServiceGenerationTime" minOccurs="0"/>
                <xsd:element ref="ns9:MediaServiceEventHashCode" minOccurs="0"/>
                <xsd:element ref="ns9:MediaLengthInSeconds" minOccurs="0"/>
                <xsd:element ref="ns9:MediaServiceSearchProperties" minOccurs="0"/>
                <xsd:element ref="ns9:Folderdescription" minOccurs="0"/>
                <xsd:element ref="ns9:Receivedate" minOccurs="0"/>
                <xsd:element ref="ns9:Discription" minOccurs="0"/>
                <xsd:element ref="ns9:lcf76f155ced4ddcb4097134ff3c332f" minOccurs="0"/>
                <xsd:element ref="ns2:TaxCatchAll" minOccurs="0"/>
                <xsd:element ref="ns9: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67" nillable="true" ma:displayName="Taxonomy Catch All Column" ma:hidden="true" ma:list="{238f5a0e-3252-455d-9de5-3bf5157510b5}"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Planning and Guidanc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rown Entity Planning and Guid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rown Entity Planning and Guid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Attachment" ma:index="56" nillable="true" ma:displayName="Attachment" ma:format="Dropdown" ma:internalName="Attachment">
      <xsd:simpleType>
        <xsd:restriction base="dms:Text">
          <xsd:maxLength value="255"/>
        </xsd:restriction>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olderdescription" ma:index="62" nillable="true" ma:displayName="Folder description" ma:format="Dropdown" ma:internalName="Folderdescription">
      <xsd:simpleType>
        <xsd:restriction base="dms:Note">
          <xsd:maxLength value="255"/>
        </xsd:restriction>
      </xsd:simpleType>
    </xsd:element>
    <xsd:element name="Receivedate" ma:index="63" nillable="true" ma:displayName="Receive date" ma:description="7 October 2024" ma:format="Dropdown" ma:internalName="Receivedate">
      <xsd:simpleType>
        <xsd:restriction base="dms:Text">
          <xsd:maxLength value="255"/>
        </xsd:restriction>
      </xsd:simpleType>
    </xsd:element>
    <xsd:element name="Discription" ma:index="64" nillable="true" ma:displayName="Discription" ma:format="Dropdown" ma:internalName="Discription">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D7F60-7775-4653-86BA-D6D458531D2F}">
  <ds:schemaRefs>
    <ds:schemaRef ds:uri="http://schemas.microsoft.com/sharepoint/events"/>
  </ds:schemaRefs>
</ds:datastoreItem>
</file>

<file path=customXml/itemProps2.xml><?xml version="1.0" encoding="utf-8"?>
<ds:datastoreItem xmlns:ds="http://schemas.openxmlformats.org/officeDocument/2006/customXml" ds:itemID="{4D93AF32-DE63-4326-AAFD-9DCFC98A9A3A}">
  <ds:schemaRefs>
    <ds:schemaRef ds:uri="http://schemas.microsoft.com/sharepoint/v3/contenttype/forms"/>
  </ds:schemaRefs>
</ds:datastoreItem>
</file>

<file path=customXml/itemProps3.xml><?xml version="1.0" encoding="utf-8"?>
<ds:datastoreItem xmlns:ds="http://schemas.openxmlformats.org/officeDocument/2006/customXml" ds:itemID="{5AF0CBB0-FCD8-4490-9375-5AEE31B6CA13}">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54904628-6268-4ac5-9416-97794f1d508d"/>
    <ds:schemaRef ds:uri="c5b47098-0215-444c-9096-523bda4ac5c6"/>
    <ds:schemaRef ds:uri="d0b61010-d6f3-4072-b934-7bbb13e97771"/>
    <ds:schemaRef ds:uri="725c79e5-42ce-4aa0-ac78-b6418001f0d2"/>
  </ds:schemaRefs>
</ds:datastoreItem>
</file>

<file path=customXml/itemProps4.xml><?xml version="1.0" encoding="utf-8"?>
<ds:datastoreItem xmlns:ds="http://schemas.openxmlformats.org/officeDocument/2006/customXml" ds:itemID="{279B21A1-02C1-40D0-8417-C2D93CCD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Mental Health and Wellbeing Commission letter of expectation</vt:lpstr>
    </vt:vector>
  </TitlesOfParts>
  <Company>Ministry of Health</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 Commission letter of expectation</dc:title>
  <dc:creator>Minister for Mental Health</dc:creator>
  <cp:lastModifiedBy>Ministry of Health</cp:lastModifiedBy>
  <cp:revision>3</cp:revision>
  <dcterms:created xsi:type="dcterms:W3CDTF">2026-07-12T23:15:00Z</dcterms:created>
  <dcterms:modified xsi:type="dcterms:W3CDTF">2026-07-16T22:03:00Z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e4730dc2-2363-4595-ab53-c3d3b609fd93</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2026-07-16T21:56:02Z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fc93ebdb-3918-4bc9-aae9-9c5f216fb796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