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521"/>
        <w:gridCol w:w="2977"/>
      </w:tblGrid>
      <w:tr w:rsidR="00D56D8D" w:rsidRPr="00DD748F" w14:paraId="0D335D4D" w14:textId="77777777" w:rsidTr="00960C98">
        <w:trPr>
          <w:cantSplit/>
        </w:trPr>
        <w:tc>
          <w:tcPr>
            <w:tcW w:w="6521" w:type="dxa"/>
            <w:vAlign w:val="bottom"/>
          </w:tcPr>
          <w:p w14:paraId="6E098CD1" w14:textId="28503F90" w:rsidR="008348B7" w:rsidRPr="00DD748F" w:rsidRDefault="00C2079D" w:rsidP="002B3548">
            <w:pPr>
              <w:pStyle w:val="Title"/>
              <w:spacing w:before="0"/>
            </w:pPr>
            <w:r w:rsidRPr="00C2079D">
              <w:t>Funding to Māori Health Providers</w:t>
            </w:r>
            <w:r w:rsidR="001A7B4D">
              <w:t>,</w:t>
            </w:r>
            <w:r w:rsidRPr="00C2079D">
              <w:t xml:space="preserve"> </w:t>
            </w:r>
            <w:r w:rsidR="000D68CD">
              <w:rPr>
                <w:b w:val="0"/>
              </w:rPr>
              <w:t>2020/21 to 2024</w:t>
            </w:r>
            <w:r w:rsidR="00CA3515">
              <w:rPr>
                <w:b w:val="0"/>
              </w:rPr>
              <w:t>/</w:t>
            </w:r>
            <w:r w:rsidR="000D68CD">
              <w:rPr>
                <w:b w:val="0"/>
              </w:rPr>
              <w:t>25</w:t>
            </w:r>
          </w:p>
        </w:tc>
        <w:tc>
          <w:tcPr>
            <w:tcW w:w="2977" w:type="dxa"/>
            <w:vAlign w:val="bottom"/>
          </w:tcPr>
          <w:p w14:paraId="175F2ED7" w14:textId="77777777" w:rsidR="00C2079D" w:rsidRPr="00C2079D" w:rsidRDefault="00C2079D" w:rsidP="00C2079D">
            <w:pPr>
              <w:spacing w:after="120"/>
              <w:jc w:val="right"/>
              <w:rPr>
                <w:rFonts w:cs="Segoe UI"/>
                <w:sz w:val="28"/>
                <w:szCs w:val="28"/>
              </w:rPr>
            </w:pPr>
          </w:p>
          <w:p w14:paraId="6FF10AAC" w14:textId="57B5555C" w:rsidR="00423830" w:rsidRPr="00242284" w:rsidRDefault="00F77BF5" w:rsidP="00C2079D">
            <w:pPr>
              <w:spacing w:after="120"/>
              <w:jc w:val="right"/>
              <w:rPr>
                <w:rFonts w:cs="Segoe UI"/>
                <w:color w:val="002B7F"/>
                <w:sz w:val="28"/>
                <w:szCs w:val="28"/>
              </w:rPr>
            </w:pPr>
            <w:r>
              <w:rPr>
                <w:rFonts w:cs="Segoe UI"/>
                <w:sz w:val="28"/>
                <w:szCs w:val="28"/>
              </w:rPr>
              <w:t>April</w:t>
            </w:r>
            <w:r w:rsidR="00C2079D" w:rsidRPr="00C2079D">
              <w:rPr>
                <w:rFonts w:cs="Segoe UI"/>
                <w:sz w:val="28"/>
                <w:szCs w:val="28"/>
              </w:rPr>
              <w:t xml:space="preserve"> 202</w:t>
            </w:r>
            <w:r w:rsidR="00A8073D">
              <w:rPr>
                <w:rFonts w:cs="Segoe UI"/>
                <w:sz w:val="28"/>
                <w:szCs w:val="28"/>
              </w:rPr>
              <w:t>6</w:t>
            </w:r>
          </w:p>
        </w:tc>
      </w:tr>
    </w:tbl>
    <w:p w14:paraId="3BF18B56" w14:textId="15F58B16" w:rsidR="00960C98" w:rsidRDefault="002B3548" w:rsidP="002B3548">
      <w:pPr>
        <w:spacing w:before="120"/>
      </w:pPr>
      <w:r>
        <w:t>T</w:t>
      </w:r>
      <w:r w:rsidR="00960C98">
        <w:t xml:space="preserve">his is a report produced by the Ministry of Health </w:t>
      </w:r>
      <w:r w:rsidR="00F72E6E">
        <w:t xml:space="preserve">– </w:t>
      </w:r>
      <w:r w:rsidR="00960C98">
        <w:t>Manat</w:t>
      </w:r>
      <w:r w:rsidR="00960C98">
        <w:rPr>
          <w:lang w:val="mi-NZ"/>
        </w:rPr>
        <w:t>ū Hauora</w:t>
      </w:r>
      <w:r w:rsidR="00960C98">
        <w:t xml:space="preserve"> (the Ministry) on funding to Māori health providers.</w:t>
      </w:r>
      <w:r w:rsidR="00960C98">
        <w:rPr>
          <w:rStyle w:val="FootnoteReference"/>
        </w:rPr>
        <w:footnoteReference w:id="2"/>
      </w:r>
      <w:r w:rsidR="00960C98">
        <w:t xml:space="preserve"> It covers payments made by the Ministry, Health New Zealand </w:t>
      </w:r>
      <w:r w:rsidR="00FB6749">
        <w:t xml:space="preserve">– </w:t>
      </w:r>
      <w:proofErr w:type="spellStart"/>
      <w:r w:rsidR="00960C98">
        <w:t>Te</w:t>
      </w:r>
      <w:proofErr w:type="spellEnd"/>
      <w:r w:rsidR="00960C98">
        <w:t xml:space="preserve"> Whatu Ora</w:t>
      </w:r>
      <w:r w:rsidR="00B5548B">
        <w:t xml:space="preserve"> (Health New Zealand)</w:t>
      </w:r>
      <w:r w:rsidR="00960C98">
        <w:t xml:space="preserve">, the former Māori Health Authority </w:t>
      </w:r>
      <w:r w:rsidR="00FB6749">
        <w:t>–</w:t>
      </w:r>
      <w:r w:rsidR="004615CD">
        <w:t xml:space="preserve"> </w:t>
      </w:r>
      <w:proofErr w:type="spellStart"/>
      <w:r w:rsidR="00960C98">
        <w:t>Te</w:t>
      </w:r>
      <w:proofErr w:type="spellEnd"/>
      <w:r w:rsidR="00960C98">
        <w:t xml:space="preserve"> Aka </w:t>
      </w:r>
      <w:proofErr w:type="spellStart"/>
      <w:r w:rsidR="00960C98">
        <w:t>Whai</w:t>
      </w:r>
      <w:proofErr w:type="spellEnd"/>
      <w:r w:rsidR="00960C98">
        <w:t xml:space="preserve"> Ora</w:t>
      </w:r>
      <w:r w:rsidR="00B5548B">
        <w:t xml:space="preserve"> (Māori Health Authority)</w:t>
      </w:r>
      <w:r w:rsidR="00960C98">
        <w:t xml:space="preserve">, and the former </w:t>
      </w:r>
      <w:r w:rsidR="004615CD">
        <w:t>d</w:t>
      </w:r>
      <w:r w:rsidR="00960C98">
        <w:t xml:space="preserve">istrict </w:t>
      </w:r>
      <w:r w:rsidR="004615CD">
        <w:t>h</w:t>
      </w:r>
      <w:r w:rsidR="00960C98">
        <w:t xml:space="preserve">ealth </w:t>
      </w:r>
      <w:r w:rsidR="004615CD">
        <w:t>b</w:t>
      </w:r>
      <w:r w:rsidR="00960C98">
        <w:t xml:space="preserve">oards, together referred to as ‘health entities’. It covers the period </w:t>
      </w:r>
      <w:r w:rsidR="000D68CD">
        <w:t>2020/21 to 2024</w:t>
      </w:r>
      <w:r w:rsidR="007E6A3A">
        <w:t>/</w:t>
      </w:r>
      <w:r w:rsidR="000D68CD">
        <w:t>25</w:t>
      </w:r>
      <w:r w:rsidR="00960C98">
        <w:t xml:space="preserve"> and follows on from our previous reports</w:t>
      </w:r>
      <w:r w:rsidR="00960C98">
        <w:rPr>
          <w:rStyle w:val="FootnoteReference"/>
        </w:rPr>
        <w:footnoteReference w:id="3"/>
      </w:r>
      <w:r w:rsidR="00960C98">
        <w:t xml:space="preserve"> on the same topic.</w:t>
      </w:r>
    </w:p>
    <w:p w14:paraId="5CABDB18" w14:textId="1002DF6A" w:rsidR="00960C98" w:rsidRDefault="00960C98" w:rsidP="002B3548">
      <w:pPr>
        <w:spacing w:before="120"/>
      </w:pPr>
      <w:r>
        <w:t>The types of services delivered by Māori providers include a range of health services, such as child health, oral health, maternity, community health, mental health, health of older people and public health. These services can be categorised generally as health services. Contracts delivered by Māori health providers are services targeted towards Māori, Pacific peoples and high-needs communities. The data presented in this report does not attempt to measure the total spend on health services for Māori. Instead, it focuses on funding allocated to Māori health providers. This report does not focus on or explain how well health needs are catered for, the quality of health services provided, or other services used to help these communities.</w:t>
      </w:r>
    </w:p>
    <w:p w14:paraId="30AEB9C0" w14:textId="187FF4FC" w:rsidR="00960C98" w:rsidRPr="004E014A" w:rsidRDefault="00960C98" w:rsidP="002B3548">
      <w:pPr>
        <w:spacing w:before="120"/>
      </w:pPr>
      <w:r>
        <w:t>The number of Māori health providers is difficult to determine because of acquisitions, mergers, closures, the use of subsidiaries and trading names, and providers not receiving funding every financial year. In the 202</w:t>
      </w:r>
      <w:r w:rsidR="00E24B93">
        <w:t>4</w:t>
      </w:r>
      <w:r>
        <w:t>/2</w:t>
      </w:r>
      <w:r w:rsidR="00E24B93">
        <w:t>5</w:t>
      </w:r>
      <w:r>
        <w:t xml:space="preserve"> year there were around 3</w:t>
      </w:r>
      <w:r w:rsidR="00737228">
        <w:t>7</w:t>
      </w:r>
      <w:r>
        <w:t xml:space="preserve">0 Māori health providers, which is </w:t>
      </w:r>
      <w:r w:rsidR="00C8318D">
        <w:t>5</w:t>
      </w:r>
      <w:r>
        <w:t>0 more than reported in the 202</w:t>
      </w:r>
      <w:r w:rsidR="00C8318D">
        <w:t>3</w:t>
      </w:r>
      <w:r>
        <w:t>/2</w:t>
      </w:r>
      <w:r w:rsidR="00C8318D">
        <w:t>4</w:t>
      </w:r>
      <w:r>
        <w:t xml:space="preserve"> year. The increase in providers is made up of</w:t>
      </w:r>
      <w:r w:rsidR="00C8318D">
        <w:t xml:space="preserve"> </w:t>
      </w:r>
      <w:r>
        <w:t xml:space="preserve">new providers identified through new </w:t>
      </w:r>
      <w:r w:rsidR="0040235B">
        <w:t>Health New Zealand</w:t>
      </w:r>
      <w:r>
        <w:t xml:space="preserve"> contracts</w:t>
      </w:r>
      <w:r w:rsidR="00A61E63">
        <w:t>.</w:t>
      </w:r>
    </w:p>
    <w:p w14:paraId="3A18B652" w14:textId="1F61A67D" w:rsidR="00960C98" w:rsidRDefault="00960C98" w:rsidP="002B3548">
      <w:pPr>
        <w:pStyle w:val="Heading2"/>
        <w:spacing w:before="320"/>
      </w:pPr>
      <w:r w:rsidRPr="00960C98">
        <w:t>Changes</w:t>
      </w:r>
      <w:r>
        <w:t xml:space="preserve"> to the methodology used in this report</w:t>
      </w:r>
    </w:p>
    <w:p w14:paraId="61172AC6" w14:textId="77777777" w:rsidR="00960C98" w:rsidRPr="00E94D37" w:rsidRDefault="00960C98" w:rsidP="00960C98">
      <w:r w:rsidRPr="00E94D37">
        <w:t>There have been many recent structural changes to the New Zealand heath system resulting in different coding methods and funding streams being used. These changes include:</w:t>
      </w:r>
    </w:p>
    <w:p w14:paraId="50D0D69B" w14:textId="2827BB9A" w:rsidR="00960C98" w:rsidRPr="00E94D37" w:rsidRDefault="00960C98" w:rsidP="00960C98">
      <w:pPr>
        <w:pStyle w:val="Bullet"/>
      </w:pPr>
      <w:r w:rsidRPr="00E94D37">
        <w:t>the introduction of the Pae Ora (Healthy Futures) Act 2022</w:t>
      </w:r>
      <w:r w:rsidR="0052355D">
        <w:t>, including:</w:t>
      </w:r>
    </w:p>
    <w:p w14:paraId="76C5C8A1" w14:textId="1143D035" w:rsidR="00960C98" w:rsidRPr="00E94D37" w:rsidRDefault="00960C98" w:rsidP="002B3548">
      <w:pPr>
        <w:pStyle w:val="Dash"/>
        <w:ind w:left="993" w:hanging="419"/>
      </w:pPr>
      <w:r w:rsidRPr="00E94D37">
        <w:t>the establishment of Health New Zealand and the Māori Health Authority</w:t>
      </w:r>
    </w:p>
    <w:p w14:paraId="1CAEBDE7" w14:textId="2C1E985C" w:rsidR="00960C98" w:rsidRPr="00E94D37" w:rsidRDefault="00960C98" w:rsidP="002B3548">
      <w:pPr>
        <w:pStyle w:val="Dash"/>
        <w:ind w:left="993" w:hanging="419"/>
      </w:pPr>
      <w:r w:rsidRPr="00E94D37">
        <w:t xml:space="preserve">the transfer of provider funding responsibilities from the Ministry and the </w:t>
      </w:r>
      <w:r w:rsidR="0060132F">
        <w:t>d</w:t>
      </w:r>
      <w:r w:rsidRPr="00E94D37">
        <w:t xml:space="preserve">istrict </w:t>
      </w:r>
      <w:r w:rsidR="0060132F">
        <w:t>h</w:t>
      </w:r>
      <w:r w:rsidRPr="00E94D37">
        <w:t xml:space="preserve">ealth </w:t>
      </w:r>
      <w:r w:rsidR="0060132F">
        <w:t>b</w:t>
      </w:r>
      <w:r w:rsidRPr="00E94D37">
        <w:t>oards to Health New Zealand and the Māori Health Authority</w:t>
      </w:r>
    </w:p>
    <w:p w14:paraId="76B812AB" w14:textId="449AD8C2" w:rsidR="00960C98" w:rsidRPr="00E94D37" w:rsidRDefault="00960C98" w:rsidP="002B3548">
      <w:pPr>
        <w:pStyle w:val="Dash"/>
        <w:ind w:left="993" w:hanging="419"/>
      </w:pPr>
      <w:r w:rsidRPr="00E94D37">
        <w:t xml:space="preserve">the disestablishment of </w:t>
      </w:r>
      <w:r w:rsidR="006F074C">
        <w:t>d</w:t>
      </w:r>
      <w:r w:rsidRPr="00E94D37">
        <w:t xml:space="preserve">istrict </w:t>
      </w:r>
      <w:r w:rsidR="006F074C">
        <w:t>h</w:t>
      </w:r>
      <w:r w:rsidRPr="00E94D37">
        <w:t xml:space="preserve">ealth </w:t>
      </w:r>
      <w:r w:rsidR="006F074C">
        <w:t>b</w:t>
      </w:r>
      <w:r w:rsidRPr="00E94D37">
        <w:t>oards</w:t>
      </w:r>
    </w:p>
    <w:p w14:paraId="0EB11C77" w14:textId="3B69BDA1" w:rsidR="00960C98" w:rsidRDefault="00960C98" w:rsidP="00960C98">
      <w:pPr>
        <w:pStyle w:val="Bullet"/>
      </w:pPr>
      <w:r w:rsidRPr="00E94D37">
        <w:t>the disestablishment of the Māori Health Authority in 2024</w:t>
      </w:r>
    </w:p>
    <w:p w14:paraId="33615775" w14:textId="134BCECB" w:rsidR="00253199" w:rsidRDefault="00253199" w:rsidP="00960C98">
      <w:pPr>
        <w:pStyle w:val="Bullet"/>
      </w:pPr>
      <w:r>
        <w:t xml:space="preserve">the establishment of </w:t>
      </w:r>
      <w:r w:rsidR="00E94693">
        <w:t>a new payments system</w:t>
      </w:r>
      <w:r w:rsidR="009005AF">
        <w:t xml:space="preserve"> </w:t>
      </w:r>
      <w:r w:rsidR="00E94693">
        <w:t xml:space="preserve">by </w:t>
      </w:r>
      <w:r w:rsidR="009005AF">
        <w:t>Health New Zealand</w:t>
      </w:r>
      <w:r w:rsidR="00EF4D46">
        <w:t xml:space="preserve"> in 2024/25.</w:t>
      </w:r>
    </w:p>
    <w:p w14:paraId="335436A3" w14:textId="77777777" w:rsidR="002B3548" w:rsidRDefault="002B3548" w:rsidP="002B3548">
      <w:pPr>
        <w:spacing w:before="0"/>
      </w:pPr>
    </w:p>
    <w:p w14:paraId="0EB8C987" w14:textId="3913453E" w:rsidR="006114F1" w:rsidRDefault="006114F1" w:rsidP="002B3548">
      <w:pPr>
        <w:spacing w:before="0"/>
      </w:pPr>
      <w:r w:rsidRPr="00E94D37">
        <w:t>Th</w:t>
      </w:r>
      <w:r w:rsidR="00AC039D">
        <w:t xml:space="preserve">ese changes </w:t>
      </w:r>
      <w:r w:rsidRPr="00E94D37">
        <w:t>mean</w:t>
      </w:r>
      <w:r w:rsidR="00AC039D">
        <w:t xml:space="preserve"> </w:t>
      </w:r>
      <w:r>
        <w:t xml:space="preserve">figures </w:t>
      </w:r>
      <w:r w:rsidRPr="00E94D37">
        <w:t>shown in this report are not comparable to previous reports.</w:t>
      </w:r>
      <w:r>
        <w:t xml:space="preserve"> </w:t>
      </w:r>
    </w:p>
    <w:p w14:paraId="2A1F8655" w14:textId="0B064ABD" w:rsidR="00960C98" w:rsidRPr="003F007A" w:rsidRDefault="00960C98" w:rsidP="00A23EC5">
      <w:pPr>
        <w:pStyle w:val="Heading2"/>
      </w:pPr>
      <w:r>
        <w:lastRenderedPageBreak/>
        <w:t>F</w:t>
      </w:r>
      <w:r w:rsidRPr="003F007A">
        <w:t>unding to Māori health providers and Vote Health,</w:t>
      </w:r>
      <w:r w:rsidR="006471C6">
        <w:t xml:space="preserve"> </w:t>
      </w:r>
      <w:r w:rsidR="000D68CD">
        <w:t>2020/21 to 2024</w:t>
      </w:r>
      <w:r w:rsidR="007E6A3A">
        <w:t>/</w:t>
      </w:r>
      <w:r w:rsidR="000D68CD">
        <w:t>25</w:t>
      </w:r>
    </w:p>
    <w:p w14:paraId="16714146" w14:textId="491066CF" w:rsidR="00960C98" w:rsidRDefault="00B969B3" w:rsidP="00960C98">
      <w:pPr>
        <w:pStyle w:val="Table"/>
      </w:pPr>
      <w:r>
        <w:t xml:space="preserve">Table </w:t>
      </w:r>
      <w:r>
        <w:fldChar w:fldCharType="begin"/>
      </w:r>
      <w:r>
        <w:instrText xml:space="preserve"> SEQ Table \* ARABIC </w:instrText>
      </w:r>
      <w:r>
        <w:fldChar w:fldCharType="separate"/>
      </w:r>
      <w:r w:rsidR="006A1E3D">
        <w:rPr>
          <w:noProof/>
        </w:rPr>
        <w:t>1</w:t>
      </w:r>
      <w:r>
        <w:fldChar w:fldCharType="end"/>
      </w:r>
      <w:r>
        <w:t xml:space="preserve">: </w:t>
      </w:r>
      <w:r w:rsidR="00960C98">
        <w:t>F</w:t>
      </w:r>
      <w:r w:rsidR="00960C98" w:rsidRPr="00A87170">
        <w:t>unding to Māori health providers</w:t>
      </w:r>
      <w:r w:rsidR="00960C98">
        <w:t xml:space="preserve"> as</w:t>
      </w:r>
      <w:r w:rsidR="00960C98" w:rsidRPr="00A87170">
        <w:t xml:space="preserve"> a percentage of Vote Health,</w:t>
      </w:r>
      <w:r w:rsidR="009F27AC">
        <w:t xml:space="preserve"> </w:t>
      </w:r>
      <w:r w:rsidR="000D68CD">
        <w:t>2020/21 to 2024</w:t>
      </w:r>
      <w:r w:rsidR="007E6A3A">
        <w:t>/</w:t>
      </w:r>
      <w:r w:rsidR="000D68CD">
        <w:t>25</w:t>
      </w:r>
    </w:p>
    <w:tbl>
      <w:tblPr>
        <w:tblStyle w:val="TableGridLight"/>
        <w:tblW w:w="9356" w:type="dxa"/>
        <w:tblLayout w:type="fixed"/>
        <w:tblLook w:val="04A0" w:firstRow="1" w:lastRow="0" w:firstColumn="1" w:lastColumn="0" w:noHBand="0" w:noVBand="1"/>
      </w:tblPr>
      <w:tblGrid>
        <w:gridCol w:w="2637"/>
        <w:gridCol w:w="935"/>
        <w:gridCol w:w="935"/>
        <w:gridCol w:w="936"/>
        <w:gridCol w:w="935"/>
        <w:gridCol w:w="936"/>
        <w:gridCol w:w="1029"/>
        <w:gridCol w:w="1013"/>
      </w:tblGrid>
      <w:tr w:rsidR="007A1295" w:rsidRPr="007A1295" w14:paraId="078CBDF2" w14:textId="77777777" w:rsidTr="002B3548">
        <w:trPr>
          <w:trHeight w:val="300"/>
        </w:trPr>
        <w:tc>
          <w:tcPr>
            <w:tcW w:w="2637" w:type="dxa"/>
            <w:vMerge w:val="restart"/>
            <w:tcBorders>
              <w:top w:val="nil"/>
              <w:left w:val="nil"/>
            </w:tcBorders>
            <w:shd w:val="clear" w:color="auto" w:fill="D9D9D9" w:themeFill="background1" w:themeFillShade="D9"/>
          </w:tcPr>
          <w:p w14:paraId="11E1DE78" w14:textId="77777777" w:rsidR="00960C98" w:rsidRPr="007A1295" w:rsidRDefault="00960C98" w:rsidP="007A1295">
            <w:pPr>
              <w:pStyle w:val="TableText"/>
              <w:rPr>
                <w:rFonts w:cs="Segoe UI"/>
                <w:b/>
                <w:bCs/>
                <w:szCs w:val="18"/>
              </w:rPr>
            </w:pPr>
            <w:r w:rsidRPr="007A1295">
              <w:rPr>
                <w:rFonts w:cs="Segoe UI"/>
                <w:b/>
                <w:bCs/>
                <w:szCs w:val="18"/>
              </w:rPr>
              <w:t>Funding</w:t>
            </w:r>
          </w:p>
        </w:tc>
        <w:tc>
          <w:tcPr>
            <w:tcW w:w="4677" w:type="dxa"/>
            <w:gridSpan w:val="5"/>
            <w:tcBorders>
              <w:top w:val="nil"/>
              <w:bottom w:val="nil"/>
            </w:tcBorders>
            <w:shd w:val="clear" w:color="auto" w:fill="D9D9D9" w:themeFill="background1" w:themeFillShade="D9"/>
          </w:tcPr>
          <w:p w14:paraId="21205260" w14:textId="77777777" w:rsidR="00960C98" w:rsidRPr="007A1295"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Year</w:t>
            </w:r>
          </w:p>
        </w:tc>
        <w:tc>
          <w:tcPr>
            <w:tcW w:w="2042" w:type="dxa"/>
            <w:gridSpan w:val="2"/>
            <w:tcBorders>
              <w:top w:val="nil"/>
              <w:bottom w:val="nil"/>
              <w:right w:val="nil"/>
            </w:tcBorders>
            <w:shd w:val="clear" w:color="auto" w:fill="D9D9D9" w:themeFill="background1" w:themeFillShade="D9"/>
          </w:tcPr>
          <w:p w14:paraId="7004E9DD" w14:textId="77777777" w:rsidR="00960C98" w:rsidRPr="007A1295"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Increase</w:t>
            </w:r>
          </w:p>
        </w:tc>
      </w:tr>
      <w:tr w:rsidR="00A70A51" w:rsidRPr="007A1295" w14:paraId="63E6E150" w14:textId="77777777" w:rsidTr="002B3548">
        <w:trPr>
          <w:trHeight w:val="300"/>
        </w:trPr>
        <w:tc>
          <w:tcPr>
            <w:tcW w:w="2637" w:type="dxa"/>
            <w:vMerge/>
            <w:tcBorders>
              <w:bottom w:val="nil"/>
            </w:tcBorders>
          </w:tcPr>
          <w:p w14:paraId="3D5FADBA" w14:textId="77777777" w:rsidR="00A70A51" w:rsidRPr="007A1295" w:rsidRDefault="00A70A51" w:rsidP="00A70A51">
            <w:pPr>
              <w:pStyle w:val="TableText"/>
              <w:jc w:val="center"/>
              <w:rPr>
                <w:rFonts w:ascii="Segoe UI Semibold" w:hAnsi="Segoe UI Semibold" w:cs="Segoe UI Semibold"/>
                <w:szCs w:val="18"/>
              </w:rPr>
            </w:pPr>
          </w:p>
        </w:tc>
        <w:tc>
          <w:tcPr>
            <w:tcW w:w="935" w:type="dxa"/>
            <w:tcBorders>
              <w:top w:val="nil"/>
              <w:bottom w:val="nil"/>
              <w:right w:val="nil"/>
            </w:tcBorders>
            <w:shd w:val="clear" w:color="auto" w:fill="D9D9D9" w:themeFill="background1" w:themeFillShade="D9"/>
          </w:tcPr>
          <w:p w14:paraId="2E8DB510" w14:textId="7777777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20/21</w:t>
            </w:r>
          </w:p>
          <w:p w14:paraId="6AE4EFED" w14:textId="0D67E0E3"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5" w:type="dxa"/>
            <w:tcBorders>
              <w:top w:val="nil"/>
              <w:left w:val="nil"/>
              <w:bottom w:val="nil"/>
              <w:right w:val="nil"/>
            </w:tcBorders>
            <w:shd w:val="clear" w:color="auto" w:fill="D9D9D9" w:themeFill="background1" w:themeFillShade="D9"/>
          </w:tcPr>
          <w:p w14:paraId="3FF1F95B" w14:textId="7777777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21/22</w:t>
            </w:r>
          </w:p>
          <w:p w14:paraId="6F443C2B" w14:textId="40F7E0E4"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6" w:type="dxa"/>
            <w:tcBorders>
              <w:top w:val="nil"/>
              <w:left w:val="nil"/>
              <w:bottom w:val="nil"/>
              <w:right w:val="nil"/>
            </w:tcBorders>
            <w:shd w:val="clear" w:color="auto" w:fill="D9D9D9" w:themeFill="background1" w:themeFillShade="D9"/>
          </w:tcPr>
          <w:p w14:paraId="16426348" w14:textId="7777777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22/23</w:t>
            </w:r>
          </w:p>
          <w:p w14:paraId="516C413B" w14:textId="0BE78712"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5" w:type="dxa"/>
            <w:tcBorders>
              <w:top w:val="nil"/>
              <w:left w:val="nil"/>
              <w:bottom w:val="nil"/>
              <w:right w:val="nil"/>
            </w:tcBorders>
            <w:shd w:val="clear" w:color="auto" w:fill="D9D9D9" w:themeFill="background1" w:themeFillShade="D9"/>
          </w:tcPr>
          <w:p w14:paraId="37EBB752" w14:textId="7777777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23/24</w:t>
            </w:r>
          </w:p>
          <w:p w14:paraId="04B3342A" w14:textId="68E4A2E6"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6" w:type="dxa"/>
            <w:tcBorders>
              <w:top w:val="nil"/>
              <w:left w:val="nil"/>
              <w:bottom w:val="nil"/>
            </w:tcBorders>
            <w:shd w:val="clear" w:color="auto" w:fill="D9D9D9" w:themeFill="background1" w:themeFillShade="D9"/>
          </w:tcPr>
          <w:p w14:paraId="073E8A0E" w14:textId="7777777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w:t>
            </w:r>
            <w:r>
              <w:rPr>
                <w:rFonts w:ascii="Segoe UI Semibold" w:hAnsi="Segoe UI Semibold" w:cs="Segoe UI Semibold"/>
                <w:color w:val="231F20"/>
                <w:szCs w:val="18"/>
              </w:rPr>
              <w:t>4</w:t>
            </w:r>
            <w:r w:rsidRPr="007A1295">
              <w:rPr>
                <w:rFonts w:ascii="Segoe UI Semibold" w:hAnsi="Segoe UI Semibold" w:cs="Segoe UI Semibold"/>
                <w:color w:val="231F20"/>
                <w:szCs w:val="18"/>
              </w:rPr>
              <w:t>/2</w:t>
            </w:r>
            <w:r>
              <w:rPr>
                <w:rFonts w:ascii="Segoe UI Semibold" w:hAnsi="Segoe UI Semibold" w:cs="Segoe UI Semibold"/>
                <w:color w:val="231F20"/>
                <w:szCs w:val="18"/>
              </w:rPr>
              <w:t>5</w:t>
            </w:r>
          </w:p>
          <w:p w14:paraId="0C5F7D89" w14:textId="0542F84E"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1029" w:type="dxa"/>
            <w:tcBorders>
              <w:top w:val="nil"/>
              <w:bottom w:val="nil"/>
              <w:right w:val="nil"/>
            </w:tcBorders>
            <w:shd w:val="clear" w:color="auto" w:fill="D9D9D9" w:themeFill="background1" w:themeFillShade="D9"/>
          </w:tcPr>
          <w:p w14:paraId="2EB3F1B9" w14:textId="77777777" w:rsidR="00A70A51" w:rsidRDefault="00A70A51" w:rsidP="00A70A51">
            <w:pPr>
              <w:pStyle w:val="TableText"/>
              <w:jc w:val="center"/>
              <w:rPr>
                <w:rFonts w:ascii="Segoe UI Semibold" w:hAnsi="Segoe UI Semibold" w:cs="Segoe UI Semibold"/>
                <w:szCs w:val="18"/>
              </w:rPr>
            </w:pPr>
            <w:r>
              <w:rPr>
                <w:rFonts w:ascii="Segoe UI Semibold" w:hAnsi="Segoe UI Semibold" w:cs="Segoe UI Semibold"/>
                <w:szCs w:val="18"/>
              </w:rPr>
              <w:t>20/21</w:t>
            </w:r>
            <w:r w:rsidRPr="007A1295">
              <w:rPr>
                <w:rFonts w:ascii="Segoe UI Semibold" w:hAnsi="Segoe UI Semibold" w:cs="Segoe UI Semibold"/>
                <w:szCs w:val="18"/>
              </w:rPr>
              <w:t xml:space="preserve"> to 2</w:t>
            </w:r>
            <w:r>
              <w:rPr>
                <w:rFonts w:ascii="Segoe UI Semibold" w:hAnsi="Segoe UI Semibold" w:cs="Segoe UI Semibold"/>
                <w:szCs w:val="18"/>
              </w:rPr>
              <w:t>4/25</w:t>
            </w:r>
          </w:p>
          <w:p w14:paraId="465F952F" w14:textId="484D1ED9"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szCs w:val="18"/>
              </w:rPr>
              <w:t>$m</w:t>
            </w:r>
          </w:p>
        </w:tc>
        <w:tc>
          <w:tcPr>
            <w:tcW w:w="1013" w:type="dxa"/>
            <w:tcBorders>
              <w:top w:val="nil"/>
              <w:left w:val="nil"/>
              <w:bottom w:val="nil"/>
              <w:right w:val="nil"/>
            </w:tcBorders>
            <w:shd w:val="clear" w:color="auto" w:fill="D9D9D9" w:themeFill="background1" w:themeFillShade="D9"/>
          </w:tcPr>
          <w:p w14:paraId="4B98F40B" w14:textId="77777777" w:rsidR="00A70A51" w:rsidRDefault="00A70A51" w:rsidP="00A70A51">
            <w:pPr>
              <w:pStyle w:val="TableText"/>
              <w:jc w:val="center"/>
              <w:rPr>
                <w:rFonts w:ascii="Segoe UI Semibold" w:hAnsi="Segoe UI Semibold" w:cs="Segoe UI Semibold"/>
                <w:szCs w:val="18"/>
              </w:rPr>
            </w:pPr>
            <w:r>
              <w:rPr>
                <w:rFonts w:ascii="Segoe UI Semibold" w:hAnsi="Segoe UI Semibold" w:cs="Segoe UI Semibold"/>
                <w:szCs w:val="18"/>
              </w:rPr>
              <w:t xml:space="preserve">20/21 </w:t>
            </w:r>
            <w:r w:rsidRPr="007A1295">
              <w:rPr>
                <w:rFonts w:ascii="Segoe UI Semibold" w:hAnsi="Segoe UI Semibold" w:cs="Segoe UI Semibold"/>
                <w:szCs w:val="18"/>
              </w:rPr>
              <w:t>to 2</w:t>
            </w:r>
            <w:r>
              <w:rPr>
                <w:rFonts w:ascii="Segoe UI Semibold" w:hAnsi="Segoe UI Semibold" w:cs="Segoe UI Semibold"/>
                <w:szCs w:val="18"/>
              </w:rPr>
              <w:t>4/25</w:t>
            </w:r>
          </w:p>
          <w:p w14:paraId="5BEB108D" w14:textId="45D73897" w:rsidR="00A70A51" w:rsidRPr="007A1295" w:rsidRDefault="00A70A51" w:rsidP="00A70A51">
            <w:pPr>
              <w:pStyle w:val="TableText"/>
              <w:jc w:val="center"/>
              <w:rPr>
                <w:rFonts w:ascii="Segoe UI Semibold" w:hAnsi="Segoe UI Semibold" w:cs="Segoe UI Semibold"/>
                <w:szCs w:val="18"/>
              </w:rPr>
            </w:pPr>
            <w:r w:rsidRPr="007A1295">
              <w:rPr>
                <w:rFonts w:ascii="Segoe UI Semibold" w:hAnsi="Segoe UI Semibold" w:cs="Segoe UI Semibold"/>
                <w:szCs w:val="18"/>
              </w:rPr>
              <w:t>%</w:t>
            </w:r>
          </w:p>
        </w:tc>
      </w:tr>
      <w:tr w:rsidR="00960C98" w:rsidRPr="007A1295" w14:paraId="2E1414A2" w14:textId="77777777" w:rsidTr="002B3548">
        <w:trPr>
          <w:trHeight w:val="300"/>
        </w:trPr>
        <w:tc>
          <w:tcPr>
            <w:tcW w:w="2637" w:type="dxa"/>
            <w:tcBorders>
              <w:top w:val="nil"/>
              <w:left w:val="nil"/>
            </w:tcBorders>
          </w:tcPr>
          <w:p w14:paraId="2B5EB013" w14:textId="77777777" w:rsidR="00960C98" w:rsidRPr="002B3548" w:rsidRDefault="00960C98" w:rsidP="002B3548">
            <w:pPr>
              <w:pStyle w:val="TableText"/>
              <w:rPr>
                <w:highlight w:val="yellow"/>
              </w:rPr>
            </w:pPr>
            <w:r w:rsidRPr="002B3548">
              <w:t>Total health entities funding to Māori health providers</w:t>
            </w:r>
          </w:p>
        </w:tc>
        <w:tc>
          <w:tcPr>
            <w:tcW w:w="935" w:type="dxa"/>
            <w:tcBorders>
              <w:top w:val="nil"/>
              <w:right w:val="nil"/>
            </w:tcBorders>
          </w:tcPr>
          <w:p w14:paraId="6A95A5F6" w14:textId="45DCB616" w:rsidR="00960C98" w:rsidRPr="002B3548" w:rsidRDefault="00960C98" w:rsidP="002B3548">
            <w:pPr>
              <w:pStyle w:val="TableText"/>
              <w:jc w:val="center"/>
            </w:pPr>
            <w:r w:rsidRPr="002B3548">
              <w:t>5</w:t>
            </w:r>
            <w:r w:rsidR="0079441A" w:rsidRPr="002B3548">
              <w:t>84.8</w:t>
            </w:r>
          </w:p>
        </w:tc>
        <w:tc>
          <w:tcPr>
            <w:tcW w:w="935" w:type="dxa"/>
            <w:tcBorders>
              <w:top w:val="nil"/>
              <w:left w:val="nil"/>
              <w:right w:val="nil"/>
            </w:tcBorders>
          </w:tcPr>
          <w:p w14:paraId="0A0CBF23" w14:textId="4FD05ACB" w:rsidR="00960C98" w:rsidRPr="002B3548" w:rsidRDefault="00C8467D" w:rsidP="002B3548">
            <w:pPr>
              <w:pStyle w:val="TableText"/>
              <w:jc w:val="center"/>
            </w:pPr>
            <w:r w:rsidRPr="002B3548">
              <w:t>778.1</w:t>
            </w:r>
          </w:p>
        </w:tc>
        <w:tc>
          <w:tcPr>
            <w:tcW w:w="936" w:type="dxa"/>
            <w:tcBorders>
              <w:top w:val="nil"/>
              <w:left w:val="nil"/>
              <w:right w:val="nil"/>
            </w:tcBorders>
          </w:tcPr>
          <w:p w14:paraId="260D635B" w14:textId="0CB0C3E5" w:rsidR="00960C98" w:rsidRPr="002B3548" w:rsidRDefault="00C8467D" w:rsidP="002B3548">
            <w:pPr>
              <w:pStyle w:val="TableText"/>
              <w:jc w:val="center"/>
            </w:pPr>
            <w:r w:rsidRPr="002B3548">
              <w:t>8</w:t>
            </w:r>
            <w:r w:rsidR="00641BB7" w:rsidRPr="002B3548">
              <w:t>09</w:t>
            </w:r>
            <w:r w:rsidR="00DA4A61" w:rsidRPr="002B3548">
              <w:t>.6</w:t>
            </w:r>
          </w:p>
        </w:tc>
        <w:tc>
          <w:tcPr>
            <w:tcW w:w="935" w:type="dxa"/>
            <w:tcBorders>
              <w:top w:val="nil"/>
              <w:left w:val="nil"/>
              <w:right w:val="nil"/>
            </w:tcBorders>
          </w:tcPr>
          <w:p w14:paraId="6AA95207" w14:textId="7568E2D3" w:rsidR="00960C98" w:rsidRPr="002B3548" w:rsidRDefault="00C8467D" w:rsidP="002B3548">
            <w:pPr>
              <w:pStyle w:val="TableText"/>
              <w:jc w:val="center"/>
            </w:pPr>
            <w:r w:rsidRPr="002B3548">
              <w:t>1,01</w:t>
            </w:r>
            <w:r w:rsidR="008F450C" w:rsidRPr="002B3548">
              <w:t>4.8</w:t>
            </w:r>
          </w:p>
        </w:tc>
        <w:tc>
          <w:tcPr>
            <w:tcW w:w="936" w:type="dxa"/>
            <w:tcBorders>
              <w:top w:val="nil"/>
              <w:left w:val="nil"/>
            </w:tcBorders>
          </w:tcPr>
          <w:p w14:paraId="7CBCCAAE" w14:textId="1700C224" w:rsidR="00960C98" w:rsidRPr="002B3548" w:rsidRDefault="00512200" w:rsidP="002B3548">
            <w:pPr>
              <w:pStyle w:val="TableText"/>
              <w:jc w:val="center"/>
            </w:pPr>
            <w:r w:rsidRPr="002B3548">
              <w:t>1,0</w:t>
            </w:r>
            <w:r w:rsidR="00B12F64" w:rsidRPr="002B3548">
              <w:t>93.4</w:t>
            </w:r>
          </w:p>
        </w:tc>
        <w:tc>
          <w:tcPr>
            <w:tcW w:w="1029" w:type="dxa"/>
            <w:tcBorders>
              <w:top w:val="nil"/>
              <w:right w:val="nil"/>
            </w:tcBorders>
          </w:tcPr>
          <w:p w14:paraId="71B863E1" w14:textId="5A1C9D0E" w:rsidR="00960C98" w:rsidRPr="002B3548" w:rsidRDefault="00863FE2" w:rsidP="002B3548">
            <w:pPr>
              <w:pStyle w:val="TableText"/>
              <w:jc w:val="center"/>
            </w:pPr>
            <w:r w:rsidRPr="002B3548">
              <w:t>508</w:t>
            </w:r>
            <w:r w:rsidR="00700704" w:rsidRPr="002B3548">
              <w:t>.6</w:t>
            </w:r>
          </w:p>
        </w:tc>
        <w:tc>
          <w:tcPr>
            <w:tcW w:w="1013" w:type="dxa"/>
            <w:tcBorders>
              <w:top w:val="nil"/>
              <w:left w:val="nil"/>
              <w:right w:val="nil"/>
            </w:tcBorders>
          </w:tcPr>
          <w:p w14:paraId="49DC9384" w14:textId="7407758A" w:rsidR="00960C98" w:rsidRPr="002B3548" w:rsidRDefault="00960C98" w:rsidP="002B3548">
            <w:pPr>
              <w:pStyle w:val="TableText"/>
              <w:jc w:val="center"/>
            </w:pPr>
            <w:r w:rsidRPr="002B3548">
              <w:t>8</w:t>
            </w:r>
            <w:r w:rsidR="00700704" w:rsidRPr="002B3548">
              <w:t>7.0</w:t>
            </w:r>
          </w:p>
        </w:tc>
      </w:tr>
      <w:tr w:rsidR="00FD0903" w:rsidRPr="007A1295" w14:paraId="4F06C4CD" w14:textId="77777777" w:rsidTr="02026AB7">
        <w:trPr>
          <w:trHeight w:val="300"/>
        </w:trPr>
        <w:tc>
          <w:tcPr>
            <w:tcW w:w="2637" w:type="dxa"/>
            <w:tcBorders>
              <w:left w:val="nil"/>
            </w:tcBorders>
          </w:tcPr>
          <w:p w14:paraId="536850FC" w14:textId="77777777" w:rsidR="00FD0903" w:rsidRPr="002B3548" w:rsidRDefault="00FD0903" w:rsidP="002B3548">
            <w:pPr>
              <w:pStyle w:val="TableText"/>
            </w:pPr>
            <w:r w:rsidRPr="002B3548">
              <w:t>Vote Health</w:t>
            </w:r>
          </w:p>
        </w:tc>
        <w:tc>
          <w:tcPr>
            <w:tcW w:w="935" w:type="dxa"/>
            <w:tcBorders>
              <w:right w:val="nil"/>
            </w:tcBorders>
          </w:tcPr>
          <w:p w14:paraId="63F7ADFC" w14:textId="3323E4DC" w:rsidR="00FD0903" w:rsidRPr="002B3548" w:rsidRDefault="00FD0903" w:rsidP="002B3548">
            <w:pPr>
              <w:pStyle w:val="TableText"/>
              <w:jc w:val="center"/>
            </w:pPr>
            <w:r w:rsidRPr="002B3548">
              <w:t>19,313</w:t>
            </w:r>
          </w:p>
        </w:tc>
        <w:tc>
          <w:tcPr>
            <w:tcW w:w="935" w:type="dxa"/>
            <w:tcBorders>
              <w:left w:val="nil"/>
              <w:right w:val="nil"/>
            </w:tcBorders>
          </w:tcPr>
          <w:p w14:paraId="2FDA7F9A" w14:textId="0734FF99" w:rsidR="00FD0903" w:rsidRPr="002B3548" w:rsidRDefault="00FD0903" w:rsidP="002B3548">
            <w:pPr>
              <w:pStyle w:val="TableText"/>
              <w:jc w:val="center"/>
            </w:pPr>
            <w:r w:rsidRPr="002B3548">
              <w:t>20,704</w:t>
            </w:r>
          </w:p>
        </w:tc>
        <w:tc>
          <w:tcPr>
            <w:tcW w:w="936" w:type="dxa"/>
            <w:tcBorders>
              <w:left w:val="nil"/>
              <w:right w:val="nil"/>
            </w:tcBorders>
          </w:tcPr>
          <w:p w14:paraId="6C5E15BA" w14:textId="4A897ED5" w:rsidR="00FD0903" w:rsidRPr="002B3548" w:rsidRDefault="00FD0903" w:rsidP="002B3548">
            <w:pPr>
              <w:pStyle w:val="TableText"/>
              <w:jc w:val="center"/>
            </w:pPr>
            <w:r w:rsidRPr="002B3548">
              <w:t>21,111</w:t>
            </w:r>
          </w:p>
        </w:tc>
        <w:tc>
          <w:tcPr>
            <w:tcW w:w="935" w:type="dxa"/>
            <w:tcBorders>
              <w:left w:val="nil"/>
              <w:right w:val="nil"/>
            </w:tcBorders>
          </w:tcPr>
          <w:p w14:paraId="70747827" w14:textId="27533EC8" w:rsidR="00FD0903" w:rsidRPr="002B3548" w:rsidRDefault="00FD0903" w:rsidP="002B3548">
            <w:pPr>
              <w:pStyle w:val="TableText"/>
              <w:jc w:val="center"/>
            </w:pPr>
            <w:r w:rsidRPr="002B3548">
              <w:t>22,901</w:t>
            </w:r>
          </w:p>
        </w:tc>
        <w:tc>
          <w:tcPr>
            <w:tcW w:w="936" w:type="dxa"/>
            <w:tcBorders>
              <w:left w:val="nil"/>
            </w:tcBorders>
          </w:tcPr>
          <w:p w14:paraId="3F326C79" w14:textId="295425FC" w:rsidR="00FD0903" w:rsidRPr="002B3548" w:rsidRDefault="00FD0903" w:rsidP="002B3548">
            <w:pPr>
              <w:pStyle w:val="TableText"/>
              <w:jc w:val="center"/>
            </w:pPr>
            <w:r w:rsidRPr="002B3548">
              <w:t>2</w:t>
            </w:r>
            <w:r w:rsidR="00700704" w:rsidRPr="002B3548">
              <w:t>6</w:t>
            </w:r>
            <w:r w:rsidRPr="002B3548">
              <w:t>,</w:t>
            </w:r>
            <w:r w:rsidR="00B51902" w:rsidRPr="002B3548">
              <w:t>122</w:t>
            </w:r>
          </w:p>
        </w:tc>
        <w:tc>
          <w:tcPr>
            <w:tcW w:w="1029" w:type="dxa"/>
            <w:tcBorders>
              <w:right w:val="nil"/>
            </w:tcBorders>
          </w:tcPr>
          <w:p w14:paraId="0C7844FD" w14:textId="4764ACA2" w:rsidR="00FD0903" w:rsidRPr="002B3548" w:rsidRDefault="00B51902" w:rsidP="002B3548">
            <w:pPr>
              <w:pStyle w:val="TableText"/>
              <w:jc w:val="center"/>
            </w:pPr>
            <w:r w:rsidRPr="002B3548">
              <w:t>6,809.0</w:t>
            </w:r>
          </w:p>
        </w:tc>
        <w:tc>
          <w:tcPr>
            <w:tcW w:w="1013" w:type="dxa"/>
            <w:tcBorders>
              <w:left w:val="nil"/>
              <w:right w:val="nil"/>
            </w:tcBorders>
          </w:tcPr>
          <w:p w14:paraId="7CFB4804" w14:textId="02F067FC" w:rsidR="00FD0903" w:rsidRPr="002B3548" w:rsidRDefault="00B51902" w:rsidP="002B3548">
            <w:pPr>
              <w:pStyle w:val="TableText"/>
              <w:jc w:val="center"/>
            </w:pPr>
            <w:r w:rsidRPr="002B3548">
              <w:t>35.3</w:t>
            </w:r>
          </w:p>
        </w:tc>
      </w:tr>
      <w:tr w:rsidR="00960C98" w:rsidRPr="007A1295" w14:paraId="3A0B159F" w14:textId="77777777" w:rsidTr="02026AB7">
        <w:trPr>
          <w:trHeight w:val="300"/>
        </w:trPr>
        <w:tc>
          <w:tcPr>
            <w:tcW w:w="2637" w:type="dxa"/>
            <w:tcBorders>
              <w:left w:val="nil"/>
            </w:tcBorders>
          </w:tcPr>
          <w:p w14:paraId="51B8D658" w14:textId="77777777" w:rsidR="00960C98" w:rsidRPr="002B3548" w:rsidRDefault="00960C98" w:rsidP="002B3548">
            <w:pPr>
              <w:pStyle w:val="TableText"/>
            </w:pPr>
            <w:r w:rsidRPr="002B3548">
              <w:t>Total funding as a percentage of Vote Health</w:t>
            </w:r>
          </w:p>
        </w:tc>
        <w:tc>
          <w:tcPr>
            <w:tcW w:w="935" w:type="dxa"/>
            <w:tcBorders>
              <w:right w:val="nil"/>
            </w:tcBorders>
          </w:tcPr>
          <w:p w14:paraId="3B03E10F" w14:textId="22800C8C" w:rsidR="00960C98" w:rsidRPr="002B3548" w:rsidRDefault="00960C98" w:rsidP="002B3548">
            <w:pPr>
              <w:pStyle w:val="TableText"/>
              <w:jc w:val="center"/>
            </w:pPr>
            <w:r w:rsidRPr="002B3548">
              <w:t>3.</w:t>
            </w:r>
            <w:r w:rsidR="00A945B5" w:rsidRPr="002B3548">
              <w:t>0</w:t>
            </w:r>
            <w:r w:rsidRPr="002B3548">
              <w:t>%</w:t>
            </w:r>
          </w:p>
        </w:tc>
        <w:tc>
          <w:tcPr>
            <w:tcW w:w="935" w:type="dxa"/>
            <w:tcBorders>
              <w:left w:val="nil"/>
              <w:right w:val="nil"/>
            </w:tcBorders>
          </w:tcPr>
          <w:p w14:paraId="1EDDD64A" w14:textId="2F759F82" w:rsidR="00960C98" w:rsidRPr="002B3548" w:rsidRDefault="00960C98" w:rsidP="002B3548">
            <w:pPr>
              <w:pStyle w:val="TableText"/>
              <w:jc w:val="center"/>
            </w:pPr>
            <w:r w:rsidRPr="002B3548">
              <w:t>3.</w:t>
            </w:r>
            <w:r w:rsidR="00CF0FC6" w:rsidRPr="002B3548">
              <w:t>8</w:t>
            </w:r>
            <w:r w:rsidRPr="002B3548">
              <w:t>%</w:t>
            </w:r>
          </w:p>
        </w:tc>
        <w:tc>
          <w:tcPr>
            <w:tcW w:w="936" w:type="dxa"/>
            <w:tcBorders>
              <w:left w:val="nil"/>
              <w:right w:val="nil"/>
            </w:tcBorders>
          </w:tcPr>
          <w:p w14:paraId="3F72A68E" w14:textId="2F5647F7" w:rsidR="00960C98" w:rsidRPr="002B3548" w:rsidRDefault="00960C98" w:rsidP="002B3548">
            <w:pPr>
              <w:pStyle w:val="TableText"/>
              <w:jc w:val="center"/>
            </w:pPr>
            <w:r w:rsidRPr="002B3548">
              <w:t>3.8%</w:t>
            </w:r>
          </w:p>
        </w:tc>
        <w:tc>
          <w:tcPr>
            <w:tcW w:w="935" w:type="dxa"/>
            <w:tcBorders>
              <w:left w:val="nil"/>
              <w:right w:val="nil"/>
            </w:tcBorders>
          </w:tcPr>
          <w:p w14:paraId="2C6C6EFA" w14:textId="4A35CAE6" w:rsidR="00960C98" w:rsidRPr="002B3548" w:rsidRDefault="00CF0FC6" w:rsidP="002B3548">
            <w:pPr>
              <w:pStyle w:val="TableText"/>
              <w:jc w:val="center"/>
            </w:pPr>
            <w:r w:rsidRPr="002B3548">
              <w:t>4.4</w:t>
            </w:r>
            <w:r w:rsidR="00960C98" w:rsidRPr="002B3548">
              <w:t>%</w:t>
            </w:r>
          </w:p>
        </w:tc>
        <w:tc>
          <w:tcPr>
            <w:tcW w:w="936" w:type="dxa"/>
            <w:tcBorders>
              <w:left w:val="nil"/>
            </w:tcBorders>
          </w:tcPr>
          <w:p w14:paraId="56EA3B0B" w14:textId="65C46FB0" w:rsidR="00960C98" w:rsidRPr="002B3548" w:rsidRDefault="00960C98" w:rsidP="002B3548">
            <w:pPr>
              <w:pStyle w:val="TableText"/>
              <w:jc w:val="center"/>
            </w:pPr>
            <w:r w:rsidRPr="002B3548">
              <w:t>4.</w:t>
            </w:r>
            <w:r w:rsidR="003E4220" w:rsidRPr="002B3548">
              <w:t>2</w:t>
            </w:r>
            <w:r w:rsidRPr="002B3548">
              <w:t>%</w:t>
            </w:r>
          </w:p>
        </w:tc>
        <w:tc>
          <w:tcPr>
            <w:tcW w:w="1029" w:type="dxa"/>
            <w:tcBorders>
              <w:right w:val="nil"/>
            </w:tcBorders>
          </w:tcPr>
          <w:p w14:paraId="72E8071C" w14:textId="77777777" w:rsidR="00960C98" w:rsidRPr="002B3548" w:rsidRDefault="00960C98" w:rsidP="002B3548">
            <w:pPr>
              <w:pStyle w:val="TableText"/>
              <w:jc w:val="center"/>
            </w:pPr>
            <w:r w:rsidRPr="002B3548">
              <w:t>–</w:t>
            </w:r>
          </w:p>
        </w:tc>
        <w:tc>
          <w:tcPr>
            <w:tcW w:w="1013" w:type="dxa"/>
            <w:tcBorders>
              <w:left w:val="nil"/>
              <w:right w:val="nil"/>
            </w:tcBorders>
          </w:tcPr>
          <w:p w14:paraId="4A65AF83" w14:textId="77777777" w:rsidR="00960C98" w:rsidRPr="002B3548" w:rsidRDefault="00960C98" w:rsidP="002B3548">
            <w:pPr>
              <w:pStyle w:val="TableText"/>
              <w:jc w:val="center"/>
            </w:pPr>
            <w:r w:rsidRPr="002B3548">
              <w:t>–</w:t>
            </w:r>
          </w:p>
        </w:tc>
      </w:tr>
    </w:tbl>
    <w:p w14:paraId="56495737" w14:textId="5E5C0BC6" w:rsidR="00960C98" w:rsidRPr="002B3548" w:rsidRDefault="00960C98" w:rsidP="002B3548">
      <w:pPr>
        <w:pStyle w:val="Source"/>
        <w:spacing w:before="80" w:after="0"/>
      </w:pPr>
      <w:r w:rsidRPr="002B3548">
        <w:t xml:space="preserve">Source: Ministry of Health, Wellington; </w:t>
      </w:r>
      <w:r w:rsidR="00195E85" w:rsidRPr="002B3548">
        <w:t>Health New Zealan</w:t>
      </w:r>
      <w:r w:rsidR="00952975" w:rsidRPr="002B3548">
        <w:t>d</w:t>
      </w:r>
      <w:r w:rsidR="006446CE" w:rsidRPr="002B3548">
        <w:t xml:space="preserve">, Wellington; </w:t>
      </w:r>
      <w:r w:rsidR="000C5228" w:rsidRPr="002B3548">
        <w:t>T</w:t>
      </w:r>
      <w:r w:rsidR="00551EE1" w:rsidRPr="002B3548">
        <w:t>otal</w:t>
      </w:r>
      <w:r w:rsidR="000C5228" w:rsidRPr="002B3548">
        <w:t xml:space="preserve"> </w:t>
      </w:r>
      <w:r w:rsidR="00254F82" w:rsidRPr="002B3548">
        <w:t xml:space="preserve">Non-Departmental Output Expenses, </w:t>
      </w:r>
      <w:r w:rsidR="006446CE" w:rsidRPr="002B3548">
        <w:t xml:space="preserve">Health Sector – </w:t>
      </w:r>
      <w:r w:rsidRPr="002B3548">
        <w:t>Estimates of Appropriations, The Treasury, Wellington.</w:t>
      </w:r>
    </w:p>
    <w:p w14:paraId="56A3CCBE" w14:textId="7D3EE2B9" w:rsidR="00960C98" w:rsidRPr="002B3548" w:rsidRDefault="00960C98" w:rsidP="002B3548">
      <w:pPr>
        <w:pStyle w:val="Source"/>
        <w:spacing w:before="80" w:after="0"/>
      </w:pPr>
      <w:r w:rsidRPr="002B3548">
        <w:t>Notes: Due to rounding, individual figures in this table may not add to the stated totals and percentages may appear to differ from those stated.</w:t>
      </w:r>
    </w:p>
    <w:p w14:paraId="204A3395" w14:textId="77777777" w:rsidR="002B3548" w:rsidRDefault="002B3548" w:rsidP="002B3548">
      <w:pPr>
        <w:spacing w:before="0"/>
      </w:pPr>
    </w:p>
    <w:p w14:paraId="473A1BED" w14:textId="7B525315" w:rsidR="00960C98" w:rsidRDefault="00960C98" w:rsidP="002B3548">
      <w:pPr>
        <w:spacing w:before="0"/>
      </w:pPr>
      <w:r w:rsidRPr="00A87170">
        <w:t>Total funding to Māori health providers increas</w:t>
      </w:r>
      <w:r>
        <w:t xml:space="preserve">ed </w:t>
      </w:r>
      <w:r w:rsidRPr="00A87170">
        <w:t>from $</w:t>
      </w:r>
      <w:r>
        <w:t>5</w:t>
      </w:r>
      <w:r w:rsidR="00204761">
        <w:t>84</w:t>
      </w:r>
      <w:r>
        <w:t>.8</w:t>
      </w:r>
      <w:r w:rsidRPr="00A87170">
        <w:t xml:space="preserve"> million in 20</w:t>
      </w:r>
      <w:r w:rsidR="00161537">
        <w:t>20/21</w:t>
      </w:r>
      <w:r w:rsidRPr="00A87170">
        <w:t xml:space="preserve"> to $</w:t>
      </w:r>
      <w:r w:rsidR="00161537">
        <w:t>1,0</w:t>
      </w:r>
      <w:r w:rsidR="007A4DDE">
        <w:t>9</w:t>
      </w:r>
      <w:r w:rsidR="00161537">
        <w:t>3.4 m</w:t>
      </w:r>
      <w:r w:rsidRPr="00A87170">
        <w:t>illion in 202</w:t>
      </w:r>
      <w:r w:rsidR="00161537">
        <w:t>4/25</w:t>
      </w:r>
      <w:r>
        <w:t>, an increase of</w:t>
      </w:r>
      <w:r w:rsidRPr="00A87170">
        <w:t xml:space="preserve"> $</w:t>
      </w:r>
      <w:r w:rsidR="00DA343F">
        <w:t>508.6</w:t>
      </w:r>
      <w:r w:rsidRPr="00A87170">
        <w:t xml:space="preserve"> million </w:t>
      </w:r>
      <w:r>
        <w:t>or 8</w:t>
      </w:r>
      <w:r w:rsidR="00DA343F">
        <w:t>7.0</w:t>
      </w:r>
      <w:r>
        <w:t>%.</w:t>
      </w:r>
    </w:p>
    <w:p w14:paraId="5C237BB3" w14:textId="77777777" w:rsidR="002B3548" w:rsidRPr="00472FBC" w:rsidRDefault="002B3548" w:rsidP="002B3548">
      <w:pPr>
        <w:spacing w:before="0"/>
      </w:pPr>
    </w:p>
    <w:p w14:paraId="218EDFD1" w14:textId="35EDD687" w:rsidR="00960C98" w:rsidRPr="005C4918" w:rsidRDefault="00960C98" w:rsidP="002B3548">
      <w:pPr>
        <w:spacing w:before="0"/>
      </w:pPr>
      <w:r>
        <w:t xml:space="preserve">As in previous reports, total funding to Māori health providers remains a small but increasing part of Vote Health. </w:t>
      </w:r>
      <w:r w:rsidR="6FA89BA1">
        <w:t>Funding</w:t>
      </w:r>
      <w:r>
        <w:t xml:space="preserve"> increased from 3.0% in 20</w:t>
      </w:r>
      <w:r w:rsidR="003043E7">
        <w:t>20/21</w:t>
      </w:r>
      <w:r>
        <w:t xml:space="preserve"> to 4.</w:t>
      </w:r>
      <w:r w:rsidR="00AD0ABA">
        <w:t>4</w:t>
      </w:r>
      <w:r>
        <w:t>% in 202</w:t>
      </w:r>
      <w:r w:rsidR="002A6787">
        <w:t>3</w:t>
      </w:r>
      <w:r w:rsidR="003043E7">
        <w:t>/2</w:t>
      </w:r>
      <w:r w:rsidR="00AB42F6">
        <w:t xml:space="preserve">4, then </w:t>
      </w:r>
      <w:r w:rsidR="00F718F7">
        <w:t xml:space="preserve">decreased </w:t>
      </w:r>
      <w:r w:rsidR="00AB42F6">
        <w:t xml:space="preserve">to </w:t>
      </w:r>
      <w:r w:rsidR="007D5F5C">
        <w:t>4.</w:t>
      </w:r>
      <w:r w:rsidR="003043E7">
        <w:t>2</w:t>
      </w:r>
      <w:r>
        <w:t xml:space="preserve">% in </w:t>
      </w:r>
      <w:r w:rsidR="007D5F5C">
        <w:t>2</w:t>
      </w:r>
      <w:r w:rsidR="00AF026F">
        <w:t>4</w:t>
      </w:r>
      <w:r w:rsidR="003043E7">
        <w:t>/25</w:t>
      </w:r>
      <w:r>
        <w:t>.</w:t>
      </w:r>
      <w:r w:rsidR="005B6214">
        <w:t xml:space="preserve"> While funding increased </w:t>
      </w:r>
      <w:r w:rsidR="00110912">
        <w:t xml:space="preserve">between </w:t>
      </w:r>
      <w:r w:rsidR="0D8862BE">
        <w:t>20</w:t>
      </w:r>
      <w:r w:rsidR="00110912">
        <w:t xml:space="preserve">23/24 and </w:t>
      </w:r>
      <w:r w:rsidR="23BCED1B">
        <w:t>20</w:t>
      </w:r>
      <w:r w:rsidR="00110912">
        <w:t>24/25</w:t>
      </w:r>
      <w:r w:rsidR="00734CDE">
        <w:t xml:space="preserve"> when measured in dollar terms, the increase in Vote Health </w:t>
      </w:r>
      <w:r w:rsidR="002D2CF9">
        <w:t xml:space="preserve">was </w:t>
      </w:r>
      <w:r w:rsidR="00BB5F59">
        <w:t>greater</w:t>
      </w:r>
      <w:r w:rsidR="002D2CF9">
        <w:t xml:space="preserve"> leading to a drop </w:t>
      </w:r>
      <w:r w:rsidR="009B52BE">
        <w:t>in</w:t>
      </w:r>
      <w:r w:rsidR="002D2CF9">
        <w:t xml:space="preserve"> </w:t>
      </w:r>
      <w:r w:rsidR="00863582">
        <w:t>percentage terms.</w:t>
      </w:r>
    </w:p>
    <w:p w14:paraId="012D270D" w14:textId="1061500E" w:rsidR="00960C98" w:rsidRPr="003F007A" w:rsidRDefault="00960C98" w:rsidP="00BA4BCE">
      <w:pPr>
        <w:pStyle w:val="Heading2"/>
      </w:pPr>
      <w:r>
        <w:lastRenderedPageBreak/>
        <w:t>F</w:t>
      </w:r>
      <w:r w:rsidRPr="003F007A">
        <w:t xml:space="preserve">unding to Māori health providers </w:t>
      </w:r>
      <w:r>
        <w:t xml:space="preserve">by the five largest </w:t>
      </w:r>
      <w:r w:rsidR="002F5588">
        <w:t>m</w:t>
      </w:r>
      <w:r>
        <w:t xml:space="preserve">ajor </w:t>
      </w:r>
      <w:r w:rsidR="002F5588">
        <w:t>s</w:t>
      </w:r>
      <w:r>
        <w:t xml:space="preserve">ervice </w:t>
      </w:r>
      <w:r w:rsidR="002F5588">
        <w:t>g</w:t>
      </w:r>
      <w:r>
        <w:t xml:space="preserve">roups, </w:t>
      </w:r>
      <w:r w:rsidR="000D68CD">
        <w:t>2020/21 to 2024</w:t>
      </w:r>
      <w:r w:rsidR="007E6A3A">
        <w:t>/</w:t>
      </w:r>
      <w:r w:rsidR="000D68CD">
        <w:t>25</w:t>
      </w:r>
    </w:p>
    <w:p w14:paraId="3C3FD432" w14:textId="258D7761" w:rsidR="00960C98" w:rsidRDefault="002B3548" w:rsidP="002B3548">
      <w:pPr>
        <w:pStyle w:val="Table"/>
      </w:pPr>
      <w:r>
        <w:t xml:space="preserve">Table </w:t>
      </w:r>
      <w:r>
        <w:fldChar w:fldCharType="begin"/>
      </w:r>
      <w:r>
        <w:instrText xml:space="preserve"> SEQ Table \* ARABIC </w:instrText>
      </w:r>
      <w:r>
        <w:fldChar w:fldCharType="separate"/>
      </w:r>
      <w:r w:rsidR="006A1E3D">
        <w:rPr>
          <w:noProof/>
        </w:rPr>
        <w:t>2</w:t>
      </w:r>
      <w:r>
        <w:fldChar w:fldCharType="end"/>
      </w:r>
      <w:r>
        <w:t xml:space="preserve">: </w:t>
      </w:r>
      <w:r w:rsidR="00960C98">
        <w:t>F</w:t>
      </w:r>
      <w:r w:rsidR="00960C98" w:rsidRPr="00A87170">
        <w:t xml:space="preserve">unding to Māori health providers </w:t>
      </w:r>
      <w:r w:rsidR="00960C98">
        <w:t xml:space="preserve">by the five largest </w:t>
      </w:r>
      <w:r w:rsidR="00D905D2">
        <w:t>m</w:t>
      </w:r>
      <w:r w:rsidR="00960C98">
        <w:t xml:space="preserve">ajor </w:t>
      </w:r>
      <w:r w:rsidR="00D905D2">
        <w:t>s</w:t>
      </w:r>
      <w:r w:rsidR="00960C98">
        <w:t xml:space="preserve">ervice </w:t>
      </w:r>
      <w:r w:rsidR="00D905D2">
        <w:t>g</w:t>
      </w:r>
      <w:r w:rsidR="00960C98">
        <w:t xml:space="preserve">roups, </w:t>
      </w:r>
      <w:r w:rsidR="000D68CD">
        <w:t>2020/21 to 2024</w:t>
      </w:r>
      <w:r w:rsidR="007E6A3A">
        <w:t>/</w:t>
      </w:r>
      <w:r w:rsidR="000D68CD">
        <w:t>25</w:t>
      </w:r>
    </w:p>
    <w:tbl>
      <w:tblPr>
        <w:tblStyle w:val="TableGridLight"/>
        <w:tblW w:w="9356" w:type="dxa"/>
        <w:tblBorders>
          <w:left w:val="none" w:sz="0" w:space="0" w:color="auto"/>
          <w:right w:val="none" w:sz="0" w:space="0" w:color="auto"/>
        </w:tblBorders>
        <w:tblLayout w:type="fixed"/>
        <w:tblLook w:val="04A0" w:firstRow="1" w:lastRow="0" w:firstColumn="1" w:lastColumn="0" w:noHBand="0" w:noVBand="1"/>
      </w:tblPr>
      <w:tblGrid>
        <w:gridCol w:w="2318"/>
        <w:gridCol w:w="982"/>
        <w:gridCol w:w="982"/>
        <w:gridCol w:w="983"/>
        <w:gridCol w:w="982"/>
        <w:gridCol w:w="983"/>
        <w:gridCol w:w="1063"/>
        <w:gridCol w:w="1063"/>
      </w:tblGrid>
      <w:tr w:rsidR="007A1295" w:rsidRPr="007A1295" w14:paraId="76B64E1B" w14:textId="77777777" w:rsidTr="002B3548">
        <w:trPr>
          <w:trHeight w:val="300"/>
        </w:trPr>
        <w:tc>
          <w:tcPr>
            <w:tcW w:w="2318" w:type="dxa"/>
            <w:vMerge w:val="restart"/>
            <w:tcBorders>
              <w:top w:val="nil"/>
            </w:tcBorders>
            <w:shd w:val="clear" w:color="auto" w:fill="D9D9D9" w:themeFill="background1" w:themeFillShade="D9"/>
          </w:tcPr>
          <w:p w14:paraId="77BC5E06" w14:textId="3B174921" w:rsidR="007A1295" w:rsidRPr="007A1295" w:rsidRDefault="007A1295" w:rsidP="009573BA">
            <w:pPr>
              <w:pStyle w:val="TableText"/>
              <w:keepNext/>
              <w:rPr>
                <w:b/>
                <w:bCs/>
                <w:szCs w:val="18"/>
              </w:rPr>
            </w:pPr>
            <w:r w:rsidRPr="007A1295">
              <w:rPr>
                <w:b/>
                <w:bCs/>
                <w:szCs w:val="18"/>
              </w:rPr>
              <w:t xml:space="preserve">Funding by </w:t>
            </w:r>
            <w:r w:rsidR="002F5588">
              <w:rPr>
                <w:b/>
                <w:bCs/>
                <w:szCs w:val="18"/>
              </w:rPr>
              <w:t>t</w:t>
            </w:r>
            <w:r w:rsidRPr="007A1295">
              <w:rPr>
                <w:b/>
                <w:bCs/>
                <w:szCs w:val="18"/>
              </w:rPr>
              <w:t xml:space="preserve">op </w:t>
            </w:r>
            <w:r w:rsidR="002F5588">
              <w:rPr>
                <w:b/>
                <w:bCs/>
                <w:szCs w:val="18"/>
              </w:rPr>
              <w:t>f</w:t>
            </w:r>
            <w:r w:rsidR="002F5588" w:rsidRPr="007A1295">
              <w:rPr>
                <w:b/>
                <w:bCs/>
                <w:szCs w:val="18"/>
              </w:rPr>
              <w:t xml:space="preserve">ive </w:t>
            </w:r>
            <w:r w:rsidR="002F5588">
              <w:rPr>
                <w:b/>
                <w:bCs/>
                <w:szCs w:val="18"/>
              </w:rPr>
              <w:t>m</w:t>
            </w:r>
            <w:r w:rsidRPr="007A1295">
              <w:rPr>
                <w:b/>
                <w:bCs/>
                <w:szCs w:val="18"/>
              </w:rPr>
              <w:t xml:space="preserve">ajor </w:t>
            </w:r>
            <w:r w:rsidR="002F5588">
              <w:rPr>
                <w:b/>
                <w:bCs/>
                <w:szCs w:val="18"/>
              </w:rPr>
              <w:t>s</w:t>
            </w:r>
            <w:r w:rsidRPr="007A1295">
              <w:rPr>
                <w:b/>
                <w:bCs/>
                <w:szCs w:val="18"/>
              </w:rPr>
              <w:t xml:space="preserve">ervice </w:t>
            </w:r>
            <w:r w:rsidR="002F5588">
              <w:rPr>
                <w:b/>
                <w:bCs/>
                <w:szCs w:val="18"/>
              </w:rPr>
              <w:t>g</w:t>
            </w:r>
            <w:r w:rsidRPr="007A1295">
              <w:rPr>
                <w:b/>
                <w:bCs/>
                <w:szCs w:val="18"/>
              </w:rPr>
              <w:t>roups</w:t>
            </w:r>
          </w:p>
        </w:tc>
        <w:tc>
          <w:tcPr>
            <w:tcW w:w="4912" w:type="dxa"/>
            <w:gridSpan w:val="5"/>
            <w:tcBorders>
              <w:top w:val="nil"/>
              <w:bottom w:val="nil"/>
            </w:tcBorders>
            <w:shd w:val="clear" w:color="auto" w:fill="D9D9D9" w:themeFill="background1" w:themeFillShade="D9"/>
          </w:tcPr>
          <w:p w14:paraId="10700C03" w14:textId="77777777" w:rsidR="007A1295" w:rsidRPr="007A1295" w:rsidRDefault="007A1295" w:rsidP="009573BA">
            <w:pPr>
              <w:pStyle w:val="TableText"/>
              <w:keepNext/>
              <w:jc w:val="center"/>
              <w:rPr>
                <w:rFonts w:ascii="Segoe UI Semibold" w:hAnsi="Segoe UI Semibold" w:cs="Segoe UI Semibold"/>
                <w:szCs w:val="18"/>
              </w:rPr>
            </w:pPr>
            <w:r w:rsidRPr="007A1295">
              <w:rPr>
                <w:rFonts w:ascii="Segoe UI Semibold" w:hAnsi="Segoe UI Semibold" w:cs="Segoe UI Semibold"/>
                <w:szCs w:val="18"/>
              </w:rPr>
              <w:t>Year</w:t>
            </w:r>
          </w:p>
        </w:tc>
        <w:tc>
          <w:tcPr>
            <w:tcW w:w="2126" w:type="dxa"/>
            <w:gridSpan w:val="2"/>
            <w:tcBorders>
              <w:top w:val="nil"/>
              <w:bottom w:val="nil"/>
            </w:tcBorders>
            <w:shd w:val="clear" w:color="auto" w:fill="D9D9D9" w:themeFill="background1" w:themeFillShade="D9"/>
          </w:tcPr>
          <w:p w14:paraId="35897E12" w14:textId="77777777" w:rsidR="007A1295" w:rsidRPr="007A1295" w:rsidRDefault="007A1295" w:rsidP="009573BA">
            <w:pPr>
              <w:pStyle w:val="TableText"/>
              <w:keepNext/>
              <w:jc w:val="center"/>
              <w:rPr>
                <w:rFonts w:ascii="Segoe UI Semibold" w:hAnsi="Segoe UI Semibold" w:cs="Segoe UI Semibold"/>
                <w:szCs w:val="18"/>
              </w:rPr>
            </w:pPr>
            <w:r w:rsidRPr="007A1295">
              <w:rPr>
                <w:rFonts w:ascii="Segoe UI Semibold" w:hAnsi="Segoe UI Semibold" w:cs="Segoe UI Semibold"/>
                <w:szCs w:val="18"/>
              </w:rPr>
              <w:t>Increase</w:t>
            </w:r>
          </w:p>
        </w:tc>
      </w:tr>
      <w:tr w:rsidR="007E6A3A" w:rsidRPr="007A1295" w14:paraId="3E7381C6" w14:textId="77777777" w:rsidTr="002B3548">
        <w:trPr>
          <w:trHeight w:val="300"/>
        </w:trPr>
        <w:tc>
          <w:tcPr>
            <w:tcW w:w="2318" w:type="dxa"/>
            <w:vMerge/>
            <w:tcBorders>
              <w:bottom w:val="nil"/>
            </w:tcBorders>
          </w:tcPr>
          <w:p w14:paraId="4ADF4C48" w14:textId="77777777" w:rsidR="007E6A3A" w:rsidRPr="007A1295" w:rsidRDefault="007E6A3A" w:rsidP="009573BA">
            <w:pPr>
              <w:pStyle w:val="TableText"/>
              <w:keepNext/>
              <w:rPr>
                <w:szCs w:val="18"/>
              </w:rPr>
            </w:pPr>
          </w:p>
        </w:tc>
        <w:tc>
          <w:tcPr>
            <w:tcW w:w="982" w:type="dxa"/>
            <w:tcBorders>
              <w:top w:val="nil"/>
              <w:bottom w:val="nil"/>
              <w:right w:val="nil"/>
            </w:tcBorders>
            <w:shd w:val="clear" w:color="auto" w:fill="D9D9D9" w:themeFill="background1" w:themeFillShade="D9"/>
          </w:tcPr>
          <w:p w14:paraId="29FC8052" w14:textId="77777777"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szCs w:val="18"/>
              </w:rPr>
              <w:t>20/21</w:t>
            </w:r>
          </w:p>
          <w:p w14:paraId="4E10A3CF" w14:textId="56D39F22"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2" w:type="dxa"/>
            <w:tcBorders>
              <w:top w:val="nil"/>
              <w:left w:val="nil"/>
              <w:bottom w:val="nil"/>
              <w:right w:val="nil"/>
            </w:tcBorders>
            <w:shd w:val="clear" w:color="auto" w:fill="D9D9D9" w:themeFill="background1" w:themeFillShade="D9"/>
          </w:tcPr>
          <w:p w14:paraId="236C11D9" w14:textId="77777777"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szCs w:val="18"/>
              </w:rPr>
              <w:t>21/22</w:t>
            </w:r>
          </w:p>
          <w:p w14:paraId="2C1ADF58" w14:textId="03F56995"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3" w:type="dxa"/>
            <w:tcBorders>
              <w:top w:val="nil"/>
              <w:left w:val="nil"/>
              <w:bottom w:val="nil"/>
              <w:right w:val="nil"/>
            </w:tcBorders>
            <w:shd w:val="clear" w:color="auto" w:fill="D9D9D9" w:themeFill="background1" w:themeFillShade="D9"/>
          </w:tcPr>
          <w:p w14:paraId="4BEAFEAB" w14:textId="77777777"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szCs w:val="18"/>
              </w:rPr>
              <w:t>22/23</w:t>
            </w:r>
          </w:p>
          <w:p w14:paraId="25BF6065" w14:textId="1138C9DB"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2" w:type="dxa"/>
            <w:tcBorders>
              <w:top w:val="nil"/>
              <w:left w:val="nil"/>
              <w:bottom w:val="nil"/>
              <w:right w:val="nil"/>
            </w:tcBorders>
            <w:shd w:val="clear" w:color="auto" w:fill="D9D9D9" w:themeFill="background1" w:themeFillShade="D9"/>
          </w:tcPr>
          <w:p w14:paraId="23F47C98" w14:textId="77777777"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szCs w:val="18"/>
              </w:rPr>
              <w:t>23/24</w:t>
            </w:r>
          </w:p>
          <w:p w14:paraId="27B0EC45" w14:textId="755C862B"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3" w:type="dxa"/>
            <w:tcBorders>
              <w:top w:val="nil"/>
              <w:left w:val="nil"/>
              <w:bottom w:val="nil"/>
            </w:tcBorders>
            <w:shd w:val="clear" w:color="auto" w:fill="D9D9D9" w:themeFill="background1" w:themeFillShade="D9"/>
          </w:tcPr>
          <w:p w14:paraId="4964EACF" w14:textId="52A00132"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szCs w:val="18"/>
              </w:rPr>
              <w:t>2</w:t>
            </w:r>
            <w:r>
              <w:rPr>
                <w:rFonts w:ascii="Segoe UI Semibold" w:hAnsi="Segoe UI Semibold" w:cs="Segoe UI Semibold"/>
                <w:color w:val="231F20"/>
                <w:szCs w:val="18"/>
              </w:rPr>
              <w:t>4</w:t>
            </w:r>
            <w:r w:rsidRPr="007A1295">
              <w:rPr>
                <w:rFonts w:ascii="Segoe UI Semibold" w:hAnsi="Segoe UI Semibold" w:cs="Segoe UI Semibold"/>
                <w:color w:val="231F20"/>
                <w:szCs w:val="18"/>
              </w:rPr>
              <w:t>/2</w:t>
            </w:r>
            <w:r>
              <w:rPr>
                <w:rFonts w:ascii="Segoe UI Semibold" w:hAnsi="Segoe UI Semibold" w:cs="Segoe UI Semibold"/>
                <w:color w:val="231F20"/>
                <w:szCs w:val="18"/>
              </w:rPr>
              <w:t>5</w:t>
            </w:r>
          </w:p>
          <w:p w14:paraId="3F90D593" w14:textId="77777777"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1063" w:type="dxa"/>
            <w:tcBorders>
              <w:top w:val="nil"/>
              <w:bottom w:val="nil"/>
              <w:right w:val="nil"/>
            </w:tcBorders>
            <w:shd w:val="clear" w:color="auto" w:fill="D9D9D9" w:themeFill="background1" w:themeFillShade="D9"/>
          </w:tcPr>
          <w:p w14:paraId="77DEBE2A" w14:textId="3CE974D9" w:rsidR="007E6A3A" w:rsidRDefault="007E6A3A" w:rsidP="009573BA">
            <w:pPr>
              <w:pStyle w:val="TableText"/>
              <w:keepNext/>
              <w:jc w:val="center"/>
              <w:rPr>
                <w:rFonts w:ascii="Segoe UI Semibold" w:hAnsi="Segoe UI Semibold" w:cs="Segoe UI Semibold"/>
                <w:szCs w:val="18"/>
              </w:rPr>
            </w:pPr>
            <w:r>
              <w:rPr>
                <w:rFonts w:ascii="Segoe UI Semibold" w:hAnsi="Segoe UI Semibold" w:cs="Segoe UI Semibold"/>
                <w:szCs w:val="18"/>
              </w:rPr>
              <w:t>20/21</w:t>
            </w:r>
            <w:r w:rsidRPr="007A1295">
              <w:rPr>
                <w:rFonts w:ascii="Segoe UI Semibold" w:hAnsi="Segoe UI Semibold" w:cs="Segoe UI Semibold"/>
                <w:szCs w:val="18"/>
              </w:rPr>
              <w:t xml:space="preserve"> to 2</w:t>
            </w:r>
            <w:r w:rsidR="00A70A51">
              <w:rPr>
                <w:rFonts w:ascii="Segoe UI Semibold" w:hAnsi="Segoe UI Semibold" w:cs="Segoe UI Semibold"/>
                <w:szCs w:val="18"/>
              </w:rPr>
              <w:t>4/25</w:t>
            </w:r>
          </w:p>
          <w:p w14:paraId="325E4218" w14:textId="3CD5F9D9"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szCs w:val="18"/>
              </w:rPr>
              <w:t>$m</w:t>
            </w:r>
          </w:p>
        </w:tc>
        <w:tc>
          <w:tcPr>
            <w:tcW w:w="1063" w:type="dxa"/>
            <w:tcBorders>
              <w:top w:val="nil"/>
              <w:left w:val="nil"/>
              <w:bottom w:val="nil"/>
            </w:tcBorders>
            <w:shd w:val="clear" w:color="auto" w:fill="D9D9D9" w:themeFill="background1" w:themeFillShade="D9"/>
          </w:tcPr>
          <w:p w14:paraId="47DF6751" w14:textId="301E8C9F" w:rsidR="007E6A3A" w:rsidRDefault="00A70A51" w:rsidP="009573BA">
            <w:pPr>
              <w:pStyle w:val="TableText"/>
              <w:keepNext/>
              <w:jc w:val="center"/>
              <w:rPr>
                <w:rFonts w:ascii="Segoe UI Semibold" w:hAnsi="Segoe UI Semibold" w:cs="Segoe UI Semibold"/>
                <w:szCs w:val="18"/>
              </w:rPr>
            </w:pPr>
            <w:r>
              <w:rPr>
                <w:rFonts w:ascii="Segoe UI Semibold" w:hAnsi="Segoe UI Semibold" w:cs="Segoe UI Semibold"/>
                <w:szCs w:val="18"/>
              </w:rPr>
              <w:t>20/21</w:t>
            </w:r>
            <w:r w:rsidR="007E6A3A">
              <w:rPr>
                <w:rFonts w:ascii="Segoe UI Semibold" w:hAnsi="Segoe UI Semibold" w:cs="Segoe UI Semibold"/>
                <w:szCs w:val="18"/>
              </w:rPr>
              <w:t xml:space="preserve"> </w:t>
            </w:r>
            <w:r w:rsidR="007E6A3A" w:rsidRPr="007A1295">
              <w:rPr>
                <w:rFonts w:ascii="Segoe UI Semibold" w:hAnsi="Segoe UI Semibold" w:cs="Segoe UI Semibold"/>
                <w:szCs w:val="18"/>
              </w:rPr>
              <w:t>to 2</w:t>
            </w:r>
            <w:r>
              <w:rPr>
                <w:rFonts w:ascii="Segoe UI Semibold" w:hAnsi="Segoe UI Semibold" w:cs="Segoe UI Semibold"/>
                <w:szCs w:val="18"/>
              </w:rPr>
              <w:t>4/25</w:t>
            </w:r>
          </w:p>
          <w:p w14:paraId="651A5674" w14:textId="182E6B84" w:rsidR="007E6A3A" w:rsidRPr="007A1295" w:rsidRDefault="007E6A3A" w:rsidP="009573BA">
            <w:pPr>
              <w:pStyle w:val="TableText"/>
              <w:keepNext/>
              <w:jc w:val="center"/>
              <w:rPr>
                <w:rFonts w:ascii="Segoe UI Semibold" w:hAnsi="Segoe UI Semibold" w:cs="Segoe UI Semibold"/>
                <w:szCs w:val="18"/>
              </w:rPr>
            </w:pPr>
            <w:r w:rsidRPr="007A1295">
              <w:rPr>
                <w:rFonts w:ascii="Segoe UI Semibold" w:hAnsi="Segoe UI Semibold" w:cs="Segoe UI Semibold"/>
                <w:szCs w:val="18"/>
              </w:rPr>
              <w:t>%</w:t>
            </w:r>
          </w:p>
        </w:tc>
      </w:tr>
      <w:tr w:rsidR="00EB6120" w:rsidRPr="007A1295" w14:paraId="2B6C1F02" w14:textId="77777777" w:rsidTr="002B3548">
        <w:trPr>
          <w:trHeight w:val="300"/>
        </w:trPr>
        <w:tc>
          <w:tcPr>
            <w:tcW w:w="2318" w:type="dxa"/>
            <w:tcBorders>
              <w:top w:val="nil"/>
            </w:tcBorders>
          </w:tcPr>
          <w:p w14:paraId="7463CF69" w14:textId="1F258AED" w:rsidR="00EB6120" w:rsidRPr="00C14C0C" w:rsidRDefault="00EB6120" w:rsidP="009573BA">
            <w:pPr>
              <w:pStyle w:val="TableText"/>
              <w:keepNext/>
              <w:rPr>
                <w:rFonts w:cs="Segoe UI"/>
                <w:szCs w:val="18"/>
              </w:rPr>
            </w:pPr>
            <w:r w:rsidRPr="008920B6">
              <w:rPr>
                <w:rFonts w:cs="Segoe UI"/>
                <w:szCs w:val="18"/>
              </w:rPr>
              <w:t>Mental health services</w:t>
            </w:r>
          </w:p>
        </w:tc>
        <w:tc>
          <w:tcPr>
            <w:tcW w:w="982" w:type="dxa"/>
            <w:tcBorders>
              <w:top w:val="nil"/>
              <w:right w:val="nil"/>
            </w:tcBorders>
            <w:vAlign w:val="bottom"/>
          </w:tcPr>
          <w:p w14:paraId="3418D31A" w14:textId="7E4F5B71"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132.7 </w:t>
            </w:r>
          </w:p>
        </w:tc>
        <w:tc>
          <w:tcPr>
            <w:tcW w:w="982" w:type="dxa"/>
            <w:tcBorders>
              <w:top w:val="nil"/>
              <w:left w:val="nil"/>
              <w:right w:val="nil"/>
            </w:tcBorders>
            <w:vAlign w:val="bottom"/>
          </w:tcPr>
          <w:p w14:paraId="37674BE9" w14:textId="45740AD7"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166.9 </w:t>
            </w:r>
          </w:p>
        </w:tc>
        <w:tc>
          <w:tcPr>
            <w:tcW w:w="983" w:type="dxa"/>
            <w:tcBorders>
              <w:top w:val="nil"/>
              <w:left w:val="nil"/>
              <w:right w:val="nil"/>
            </w:tcBorders>
            <w:vAlign w:val="bottom"/>
          </w:tcPr>
          <w:p w14:paraId="10D7FDB8" w14:textId="0FD0BFA3"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198.9 </w:t>
            </w:r>
          </w:p>
        </w:tc>
        <w:tc>
          <w:tcPr>
            <w:tcW w:w="982" w:type="dxa"/>
            <w:tcBorders>
              <w:top w:val="nil"/>
              <w:left w:val="nil"/>
              <w:right w:val="nil"/>
            </w:tcBorders>
            <w:vAlign w:val="bottom"/>
          </w:tcPr>
          <w:p w14:paraId="492D27AD" w14:textId="56548869"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246.7 </w:t>
            </w:r>
          </w:p>
        </w:tc>
        <w:tc>
          <w:tcPr>
            <w:tcW w:w="983" w:type="dxa"/>
            <w:tcBorders>
              <w:top w:val="nil"/>
              <w:left w:val="nil"/>
            </w:tcBorders>
            <w:vAlign w:val="bottom"/>
          </w:tcPr>
          <w:p w14:paraId="6457FBA6" w14:textId="040206D4"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290.2 </w:t>
            </w:r>
          </w:p>
        </w:tc>
        <w:tc>
          <w:tcPr>
            <w:tcW w:w="1063" w:type="dxa"/>
            <w:tcBorders>
              <w:top w:val="nil"/>
              <w:right w:val="nil"/>
            </w:tcBorders>
          </w:tcPr>
          <w:p w14:paraId="1E5E0D69" w14:textId="5CCCAEF5"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157.5 </w:t>
            </w:r>
          </w:p>
        </w:tc>
        <w:tc>
          <w:tcPr>
            <w:tcW w:w="1063" w:type="dxa"/>
            <w:tcBorders>
              <w:top w:val="nil"/>
              <w:left w:val="nil"/>
            </w:tcBorders>
          </w:tcPr>
          <w:p w14:paraId="19354386" w14:textId="3360D2D5" w:rsidR="00EB6120" w:rsidRPr="008920B6" w:rsidRDefault="00EB6120" w:rsidP="009573BA">
            <w:pPr>
              <w:pStyle w:val="TableText"/>
              <w:keepNext/>
              <w:jc w:val="center"/>
              <w:rPr>
                <w:rFonts w:cs="Segoe UI"/>
                <w:color w:val="000000"/>
                <w:szCs w:val="18"/>
              </w:rPr>
            </w:pPr>
            <w:r w:rsidRPr="008920B6">
              <w:rPr>
                <w:rFonts w:cs="Segoe UI"/>
                <w:color w:val="000000"/>
                <w:szCs w:val="18"/>
              </w:rPr>
              <w:t xml:space="preserve">118.8 </w:t>
            </w:r>
          </w:p>
        </w:tc>
      </w:tr>
      <w:tr w:rsidR="00FB5DC8" w:rsidRPr="007A1295" w14:paraId="42E6717C" w14:textId="77777777" w:rsidTr="00FB5DC8">
        <w:trPr>
          <w:trHeight w:val="300"/>
        </w:trPr>
        <w:tc>
          <w:tcPr>
            <w:tcW w:w="2318" w:type="dxa"/>
          </w:tcPr>
          <w:p w14:paraId="70465667" w14:textId="712D2761" w:rsidR="00FB5DC8" w:rsidRPr="008920B6" w:rsidRDefault="00FB5DC8" w:rsidP="009573BA">
            <w:pPr>
              <w:pStyle w:val="TableText"/>
              <w:keepNext/>
              <w:rPr>
                <w:rFonts w:cs="Segoe UI"/>
              </w:rPr>
            </w:pPr>
            <w:r w:rsidRPr="537E243C">
              <w:rPr>
                <w:rFonts w:cs="Segoe UI"/>
              </w:rPr>
              <w:t xml:space="preserve">Primary </w:t>
            </w:r>
            <w:r w:rsidR="00721D54" w:rsidRPr="537E243C">
              <w:rPr>
                <w:rFonts w:cs="Segoe UI"/>
              </w:rPr>
              <w:t>c</w:t>
            </w:r>
            <w:r w:rsidRPr="537E243C">
              <w:rPr>
                <w:rFonts w:cs="Segoe UI"/>
              </w:rPr>
              <w:t xml:space="preserve">are </w:t>
            </w:r>
            <w:r w:rsidR="00721D54" w:rsidRPr="59D3D1BA">
              <w:rPr>
                <w:rFonts w:cs="Segoe UI"/>
              </w:rPr>
              <w:t>o</w:t>
            </w:r>
            <w:r w:rsidRPr="59D3D1BA">
              <w:rPr>
                <w:rFonts w:cs="Segoe UI"/>
              </w:rPr>
              <w:t>rganisation</w:t>
            </w:r>
            <w:r w:rsidR="004C3A1B" w:rsidRPr="537E243C">
              <w:rPr>
                <w:rFonts w:cs="Segoe UI"/>
              </w:rPr>
              <w:t xml:space="preserve"> services</w:t>
            </w:r>
          </w:p>
        </w:tc>
        <w:tc>
          <w:tcPr>
            <w:tcW w:w="982" w:type="dxa"/>
            <w:tcBorders>
              <w:right w:val="nil"/>
            </w:tcBorders>
          </w:tcPr>
          <w:p w14:paraId="556DA693" w14:textId="19C89F8D" w:rsidR="00FB5DC8" w:rsidRPr="008920B6" w:rsidRDefault="00FB5DC8" w:rsidP="009573BA">
            <w:pPr>
              <w:pStyle w:val="TableText"/>
              <w:keepNext/>
              <w:jc w:val="center"/>
              <w:rPr>
                <w:rFonts w:cs="Segoe UI"/>
                <w:szCs w:val="18"/>
              </w:rPr>
            </w:pPr>
            <w:r w:rsidRPr="008920B6">
              <w:rPr>
                <w:rFonts w:cs="Segoe UI"/>
                <w:color w:val="000000"/>
                <w:szCs w:val="18"/>
              </w:rPr>
              <w:t xml:space="preserve">189.0 </w:t>
            </w:r>
          </w:p>
        </w:tc>
        <w:tc>
          <w:tcPr>
            <w:tcW w:w="982" w:type="dxa"/>
            <w:tcBorders>
              <w:left w:val="nil"/>
              <w:right w:val="nil"/>
            </w:tcBorders>
          </w:tcPr>
          <w:p w14:paraId="6A9C4AAA" w14:textId="7A21D091" w:rsidR="00FB5DC8" w:rsidRPr="008920B6" w:rsidRDefault="00FB5DC8" w:rsidP="009573BA">
            <w:pPr>
              <w:pStyle w:val="TableText"/>
              <w:keepNext/>
              <w:jc w:val="center"/>
              <w:rPr>
                <w:rFonts w:cs="Segoe UI"/>
                <w:szCs w:val="18"/>
              </w:rPr>
            </w:pPr>
            <w:r w:rsidRPr="008920B6">
              <w:rPr>
                <w:rFonts w:cs="Segoe UI"/>
                <w:color w:val="000000"/>
                <w:szCs w:val="18"/>
              </w:rPr>
              <w:t xml:space="preserve">204.5 </w:t>
            </w:r>
          </w:p>
        </w:tc>
        <w:tc>
          <w:tcPr>
            <w:tcW w:w="983" w:type="dxa"/>
            <w:tcBorders>
              <w:left w:val="nil"/>
              <w:right w:val="nil"/>
            </w:tcBorders>
          </w:tcPr>
          <w:p w14:paraId="08E93FDE" w14:textId="262EB1F9" w:rsidR="00FB5DC8" w:rsidRPr="008920B6" w:rsidRDefault="00FB5DC8" w:rsidP="009573BA">
            <w:pPr>
              <w:pStyle w:val="TableText"/>
              <w:keepNext/>
              <w:jc w:val="center"/>
              <w:rPr>
                <w:rFonts w:cs="Segoe UI"/>
                <w:szCs w:val="18"/>
              </w:rPr>
            </w:pPr>
            <w:r w:rsidRPr="008920B6">
              <w:rPr>
                <w:rFonts w:cs="Segoe UI"/>
                <w:color w:val="000000"/>
                <w:szCs w:val="18"/>
              </w:rPr>
              <w:t xml:space="preserve">194.0 </w:t>
            </w:r>
          </w:p>
        </w:tc>
        <w:tc>
          <w:tcPr>
            <w:tcW w:w="982" w:type="dxa"/>
            <w:tcBorders>
              <w:left w:val="nil"/>
              <w:right w:val="nil"/>
            </w:tcBorders>
          </w:tcPr>
          <w:p w14:paraId="7743CE88" w14:textId="57D599E8" w:rsidR="00FB5DC8" w:rsidRPr="008920B6" w:rsidRDefault="00FB5DC8" w:rsidP="009573BA">
            <w:pPr>
              <w:pStyle w:val="TableText"/>
              <w:keepNext/>
              <w:jc w:val="center"/>
              <w:rPr>
                <w:rFonts w:cs="Segoe UI"/>
                <w:szCs w:val="18"/>
              </w:rPr>
            </w:pPr>
            <w:r w:rsidRPr="008920B6">
              <w:rPr>
                <w:rFonts w:cs="Segoe UI"/>
                <w:color w:val="000000"/>
                <w:szCs w:val="18"/>
              </w:rPr>
              <w:t>21</w:t>
            </w:r>
            <w:r w:rsidR="00093CB9">
              <w:rPr>
                <w:rFonts w:cs="Segoe UI"/>
                <w:color w:val="000000"/>
                <w:szCs w:val="18"/>
              </w:rPr>
              <w:t>3</w:t>
            </w:r>
            <w:r w:rsidRPr="008920B6">
              <w:rPr>
                <w:rFonts w:cs="Segoe UI"/>
                <w:color w:val="000000"/>
                <w:szCs w:val="18"/>
              </w:rPr>
              <w:t xml:space="preserve">.9 </w:t>
            </w:r>
          </w:p>
        </w:tc>
        <w:tc>
          <w:tcPr>
            <w:tcW w:w="983" w:type="dxa"/>
            <w:tcBorders>
              <w:left w:val="nil"/>
            </w:tcBorders>
          </w:tcPr>
          <w:p w14:paraId="7F574205" w14:textId="590F5676" w:rsidR="00FB5DC8" w:rsidRPr="008920B6" w:rsidRDefault="00FB5DC8" w:rsidP="009573BA">
            <w:pPr>
              <w:pStyle w:val="TableText"/>
              <w:keepNext/>
              <w:jc w:val="center"/>
              <w:rPr>
                <w:rFonts w:cs="Segoe UI"/>
                <w:szCs w:val="18"/>
              </w:rPr>
            </w:pPr>
            <w:r w:rsidRPr="008920B6">
              <w:rPr>
                <w:rFonts w:cs="Segoe UI"/>
                <w:color w:val="000000"/>
                <w:szCs w:val="18"/>
              </w:rPr>
              <w:t>27</w:t>
            </w:r>
            <w:r w:rsidR="00B56C23">
              <w:rPr>
                <w:rFonts w:cs="Segoe UI"/>
                <w:color w:val="000000"/>
                <w:szCs w:val="18"/>
              </w:rPr>
              <w:t>7.1</w:t>
            </w:r>
            <w:r w:rsidRPr="008920B6">
              <w:rPr>
                <w:rFonts w:cs="Segoe UI"/>
                <w:color w:val="000000"/>
                <w:szCs w:val="18"/>
              </w:rPr>
              <w:t xml:space="preserve"> </w:t>
            </w:r>
          </w:p>
        </w:tc>
        <w:tc>
          <w:tcPr>
            <w:tcW w:w="1063" w:type="dxa"/>
            <w:tcBorders>
              <w:right w:val="nil"/>
            </w:tcBorders>
          </w:tcPr>
          <w:p w14:paraId="518CBB84" w14:textId="25336C73" w:rsidR="00FB5DC8" w:rsidRPr="008920B6" w:rsidRDefault="00FB5DC8" w:rsidP="009573BA">
            <w:pPr>
              <w:pStyle w:val="TableText"/>
              <w:keepNext/>
              <w:jc w:val="center"/>
              <w:rPr>
                <w:rFonts w:cs="Segoe UI"/>
                <w:szCs w:val="18"/>
              </w:rPr>
            </w:pPr>
            <w:r w:rsidRPr="008920B6">
              <w:rPr>
                <w:rFonts w:cs="Segoe UI"/>
                <w:color w:val="000000"/>
                <w:szCs w:val="18"/>
              </w:rPr>
              <w:t>8</w:t>
            </w:r>
            <w:r w:rsidR="00B647E7">
              <w:rPr>
                <w:rFonts w:cs="Segoe UI"/>
                <w:color w:val="000000"/>
                <w:szCs w:val="18"/>
              </w:rPr>
              <w:t>8.1</w:t>
            </w:r>
            <w:r w:rsidRPr="008920B6">
              <w:rPr>
                <w:rFonts w:cs="Segoe UI"/>
                <w:color w:val="000000"/>
                <w:szCs w:val="18"/>
              </w:rPr>
              <w:t xml:space="preserve"> </w:t>
            </w:r>
          </w:p>
        </w:tc>
        <w:tc>
          <w:tcPr>
            <w:tcW w:w="1063" w:type="dxa"/>
            <w:tcBorders>
              <w:left w:val="nil"/>
            </w:tcBorders>
          </w:tcPr>
          <w:p w14:paraId="1F02A0FB" w14:textId="67F4F6BE" w:rsidR="00FB5DC8" w:rsidRPr="008920B6" w:rsidRDefault="00FB5DC8" w:rsidP="009573BA">
            <w:pPr>
              <w:pStyle w:val="TableText"/>
              <w:keepNext/>
              <w:jc w:val="center"/>
              <w:rPr>
                <w:rFonts w:cs="Segoe UI"/>
                <w:szCs w:val="18"/>
              </w:rPr>
            </w:pPr>
            <w:r w:rsidRPr="008920B6">
              <w:rPr>
                <w:rFonts w:cs="Segoe UI"/>
                <w:color w:val="000000"/>
                <w:szCs w:val="18"/>
              </w:rPr>
              <w:t>4</w:t>
            </w:r>
            <w:r w:rsidR="00781021">
              <w:rPr>
                <w:rFonts w:cs="Segoe UI"/>
                <w:color w:val="000000"/>
                <w:szCs w:val="18"/>
              </w:rPr>
              <w:t>6.6</w:t>
            </w:r>
            <w:r w:rsidRPr="008920B6">
              <w:rPr>
                <w:rFonts w:cs="Segoe UI"/>
                <w:color w:val="000000"/>
                <w:szCs w:val="18"/>
              </w:rPr>
              <w:t xml:space="preserve"> </w:t>
            </w:r>
          </w:p>
        </w:tc>
      </w:tr>
      <w:tr w:rsidR="00FB5DC8" w:rsidRPr="007A1295" w14:paraId="3B82E4EF" w14:textId="77777777" w:rsidTr="00FB5DC8">
        <w:trPr>
          <w:trHeight w:val="300"/>
        </w:trPr>
        <w:tc>
          <w:tcPr>
            <w:tcW w:w="2318" w:type="dxa"/>
          </w:tcPr>
          <w:p w14:paraId="54274F0B" w14:textId="055F23CA" w:rsidR="00FB5DC8" w:rsidRPr="008920B6" w:rsidRDefault="00FB5DC8" w:rsidP="009573BA">
            <w:pPr>
              <w:pStyle w:val="TableText"/>
              <w:keepNext/>
              <w:rPr>
                <w:rFonts w:cs="Segoe UI"/>
                <w:szCs w:val="18"/>
              </w:rPr>
            </w:pPr>
            <w:r w:rsidRPr="008920B6">
              <w:rPr>
                <w:rFonts w:cs="Segoe UI"/>
                <w:szCs w:val="18"/>
              </w:rPr>
              <w:t>Hauora Māori services</w:t>
            </w:r>
          </w:p>
        </w:tc>
        <w:tc>
          <w:tcPr>
            <w:tcW w:w="982" w:type="dxa"/>
            <w:tcBorders>
              <w:right w:val="nil"/>
            </w:tcBorders>
            <w:vAlign w:val="bottom"/>
          </w:tcPr>
          <w:p w14:paraId="03102C52" w14:textId="34483CB0" w:rsidR="00FB5DC8" w:rsidRPr="008920B6" w:rsidRDefault="00FB5DC8" w:rsidP="009573BA">
            <w:pPr>
              <w:pStyle w:val="TableText"/>
              <w:keepNext/>
              <w:jc w:val="center"/>
              <w:rPr>
                <w:rFonts w:cs="Segoe UI"/>
                <w:szCs w:val="18"/>
              </w:rPr>
            </w:pPr>
            <w:r w:rsidRPr="008920B6">
              <w:rPr>
                <w:rFonts w:cs="Segoe UI"/>
                <w:color w:val="000000"/>
                <w:szCs w:val="18"/>
              </w:rPr>
              <w:t xml:space="preserve">64.1 </w:t>
            </w:r>
          </w:p>
        </w:tc>
        <w:tc>
          <w:tcPr>
            <w:tcW w:w="982" w:type="dxa"/>
            <w:tcBorders>
              <w:left w:val="nil"/>
              <w:right w:val="nil"/>
            </w:tcBorders>
            <w:vAlign w:val="bottom"/>
          </w:tcPr>
          <w:p w14:paraId="1E80F8AB" w14:textId="6C8DBB5F" w:rsidR="00FB5DC8" w:rsidRPr="008920B6" w:rsidRDefault="00FB5DC8" w:rsidP="009573BA">
            <w:pPr>
              <w:pStyle w:val="TableText"/>
              <w:keepNext/>
              <w:jc w:val="center"/>
              <w:rPr>
                <w:rFonts w:cs="Segoe UI"/>
                <w:szCs w:val="18"/>
              </w:rPr>
            </w:pPr>
            <w:r w:rsidRPr="008920B6">
              <w:rPr>
                <w:rFonts w:cs="Segoe UI"/>
                <w:color w:val="000000"/>
                <w:szCs w:val="18"/>
              </w:rPr>
              <w:t xml:space="preserve">83.2 </w:t>
            </w:r>
          </w:p>
        </w:tc>
        <w:tc>
          <w:tcPr>
            <w:tcW w:w="983" w:type="dxa"/>
            <w:tcBorders>
              <w:left w:val="nil"/>
              <w:right w:val="nil"/>
            </w:tcBorders>
            <w:vAlign w:val="bottom"/>
          </w:tcPr>
          <w:p w14:paraId="54D07869" w14:textId="61ADC443" w:rsidR="00FB5DC8" w:rsidRPr="008920B6" w:rsidRDefault="00FB5DC8" w:rsidP="009573BA">
            <w:pPr>
              <w:pStyle w:val="TableText"/>
              <w:keepNext/>
              <w:jc w:val="center"/>
              <w:rPr>
                <w:rFonts w:cs="Segoe UI"/>
                <w:szCs w:val="18"/>
              </w:rPr>
            </w:pPr>
            <w:r w:rsidRPr="008920B6">
              <w:rPr>
                <w:rFonts w:cs="Segoe UI"/>
                <w:color w:val="000000"/>
                <w:szCs w:val="18"/>
              </w:rPr>
              <w:t xml:space="preserve">92.0 </w:t>
            </w:r>
          </w:p>
        </w:tc>
        <w:tc>
          <w:tcPr>
            <w:tcW w:w="982" w:type="dxa"/>
            <w:tcBorders>
              <w:left w:val="nil"/>
              <w:right w:val="nil"/>
            </w:tcBorders>
            <w:vAlign w:val="bottom"/>
          </w:tcPr>
          <w:p w14:paraId="5CA83F24" w14:textId="1486D306" w:rsidR="00FB5DC8" w:rsidRPr="008920B6" w:rsidRDefault="00FB5DC8" w:rsidP="009573BA">
            <w:pPr>
              <w:pStyle w:val="TableText"/>
              <w:keepNext/>
              <w:jc w:val="center"/>
              <w:rPr>
                <w:rFonts w:cs="Segoe UI"/>
                <w:szCs w:val="18"/>
              </w:rPr>
            </w:pPr>
            <w:r w:rsidRPr="008920B6">
              <w:rPr>
                <w:rFonts w:cs="Segoe UI"/>
                <w:color w:val="000000"/>
                <w:szCs w:val="18"/>
              </w:rPr>
              <w:t xml:space="preserve">238.3 </w:t>
            </w:r>
          </w:p>
        </w:tc>
        <w:tc>
          <w:tcPr>
            <w:tcW w:w="983" w:type="dxa"/>
            <w:tcBorders>
              <w:left w:val="nil"/>
            </w:tcBorders>
            <w:vAlign w:val="bottom"/>
          </w:tcPr>
          <w:p w14:paraId="3D8B309B" w14:textId="0C5A7192" w:rsidR="00FB5DC8" w:rsidRPr="008920B6" w:rsidRDefault="00FB5DC8" w:rsidP="009573BA">
            <w:pPr>
              <w:pStyle w:val="TableText"/>
              <w:keepNext/>
              <w:jc w:val="center"/>
              <w:rPr>
                <w:rFonts w:cs="Segoe UI"/>
                <w:szCs w:val="18"/>
              </w:rPr>
            </w:pPr>
            <w:r w:rsidRPr="008920B6">
              <w:rPr>
                <w:rFonts w:cs="Segoe UI"/>
                <w:color w:val="000000"/>
                <w:szCs w:val="18"/>
              </w:rPr>
              <w:t xml:space="preserve">265.2 </w:t>
            </w:r>
          </w:p>
        </w:tc>
        <w:tc>
          <w:tcPr>
            <w:tcW w:w="1063" w:type="dxa"/>
            <w:tcBorders>
              <w:right w:val="nil"/>
            </w:tcBorders>
          </w:tcPr>
          <w:p w14:paraId="1FD46CB3" w14:textId="280FCD71" w:rsidR="00FB5DC8" w:rsidRPr="008920B6" w:rsidRDefault="00FB5DC8" w:rsidP="009573BA">
            <w:pPr>
              <w:pStyle w:val="TableText"/>
              <w:keepNext/>
              <w:jc w:val="center"/>
              <w:rPr>
                <w:rFonts w:cs="Segoe UI"/>
                <w:szCs w:val="18"/>
              </w:rPr>
            </w:pPr>
            <w:r w:rsidRPr="008920B6">
              <w:rPr>
                <w:rFonts w:cs="Segoe UI"/>
                <w:color w:val="000000"/>
                <w:szCs w:val="18"/>
              </w:rPr>
              <w:t xml:space="preserve">201.1 </w:t>
            </w:r>
          </w:p>
        </w:tc>
        <w:tc>
          <w:tcPr>
            <w:tcW w:w="1063" w:type="dxa"/>
            <w:tcBorders>
              <w:left w:val="nil"/>
            </w:tcBorders>
          </w:tcPr>
          <w:p w14:paraId="335ABFF5" w14:textId="700A752C" w:rsidR="00FB5DC8" w:rsidRPr="008920B6" w:rsidRDefault="00FB5DC8" w:rsidP="009573BA">
            <w:pPr>
              <w:pStyle w:val="TableText"/>
              <w:keepNext/>
              <w:jc w:val="center"/>
              <w:rPr>
                <w:rFonts w:cs="Segoe UI"/>
                <w:szCs w:val="18"/>
              </w:rPr>
            </w:pPr>
            <w:r w:rsidRPr="008920B6">
              <w:rPr>
                <w:rFonts w:cs="Segoe UI"/>
                <w:color w:val="000000"/>
                <w:szCs w:val="18"/>
              </w:rPr>
              <w:t xml:space="preserve">313.6 </w:t>
            </w:r>
          </w:p>
        </w:tc>
      </w:tr>
      <w:tr w:rsidR="00FB5DC8" w:rsidRPr="007A1295" w14:paraId="6ED08651" w14:textId="77777777" w:rsidTr="00FB5DC8">
        <w:trPr>
          <w:trHeight w:val="300"/>
        </w:trPr>
        <w:tc>
          <w:tcPr>
            <w:tcW w:w="2318" w:type="dxa"/>
          </w:tcPr>
          <w:p w14:paraId="279570E1" w14:textId="77777777" w:rsidR="00FB5DC8" w:rsidRPr="008920B6" w:rsidRDefault="00FB5DC8" w:rsidP="009573BA">
            <w:pPr>
              <w:pStyle w:val="TableText"/>
              <w:keepNext/>
              <w:rPr>
                <w:rFonts w:cs="Segoe UI"/>
                <w:szCs w:val="18"/>
              </w:rPr>
            </w:pPr>
            <w:r w:rsidRPr="008920B6">
              <w:rPr>
                <w:rFonts w:cs="Segoe UI"/>
                <w:szCs w:val="18"/>
              </w:rPr>
              <w:t>Public health services</w:t>
            </w:r>
          </w:p>
        </w:tc>
        <w:tc>
          <w:tcPr>
            <w:tcW w:w="982" w:type="dxa"/>
            <w:tcBorders>
              <w:right w:val="nil"/>
            </w:tcBorders>
            <w:vAlign w:val="bottom"/>
          </w:tcPr>
          <w:p w14:paraId="2B18293A" w14:textId="62F515A5" w:rsidR="00FB5DC8" w:rsidRPr="008920B6" w:rsidRDefault="00FB5DC8" w:rsidP="009573BA">
            <w:pPr>
              <w:pStyle w:val="TableText"/>
              <w:keepNext/>
              <w:jc w:val="center"/>
              <w:rPr>
                <w:rFonts w:cs="Segoe UI"/>
                <w:szCs w:val="18"/>
              </w:rPr>
            </w:pPr>
            <w:r w:rsidRPr="008920B6">
              <w:rPr>
                <w:rFonts w:cs="Segoe UI"/>
                <w:color w:val="000000"/>
                <w:szCs w:val="18"/>
              </w:rPr>
              <w:t xml:space="preserve">26.9 </w:t>
            </w:r>
          </w:p>
        </w:tc>
        <w:tc>
          <w:tcPr>
            <w:tcW w:w="982" w:type="dxa"/>
            <w:tcBorders>
              <w:left w:val="nil"/>
              <w:right w:val="nil"/>
            </w:tcBorders>
            <w:vAlign w:val="bottom"/>
          </w:tcPr>
          <w:p w14:paraId="58F26678" w14:textId="5CFE66E2" w:rsidR="00FB5DC8" w:rsidRPr="008920B6" w:rsidRDefault="00FB5DC8" w:rsidP="009573BA">
            <w:pPr>
              <w:pStyle w:val="TableText"/>
              <w:keepNext/>
              <w:jc w:val="center"/>
              <w:rPr>
                <w:rFonts w:cs="Segoe UI"/>
                <w:szCs w:val="18"/>
              </w:rPr>
            </w:pPr>
            <w:r w:rsidRPr="008920B6">
              <w:rPr>
                <w:rFonts w:cs="Segoe UI"/>
                <w:color w:val="000000"/>
                <w:szCs w:val="18"/>
              </w:rPr>
              <w:t xml:space="preserve">28.2 </w:t>
            </w:r>
          </w:p>
        </w:tc>
        <w:tc>
          <w:tcPr>
            <w:tcW w:w="983" w:type="dxa"/>
            <w:tcBorders>
              <w:left w:val="nil"/>
              <w:right w:val="nil"/>
            </w:tcBorders>
            <w:vAlign w:val="bottom"/>
          </w:tcPr>
          <w:p w14:paraId="6651DF9C" w14:textId="5AACF138" w:rsidR="00FB5DC8" w:rsidRPr="008920B6" w:rsidRDefault="00FB5DC8" w:rsidP="009573BA">
            <w:pPr>
              <w:pStyle w:val="TableText"/>
              <w:keepNext/>
              <w:jc w:val="center"/>
              <w:rPr>
                <w:rFonts w:cs="Segoe UI"/>
                <w:szCs w:val="18"/>
              </w:rPr>
            </w:pPr>
            <w:r w:rsidRPr="008920B6">
              <w:rPr>
                <w:rFonts w:cs="Segoe UI"/>
                <w:color w:val="000000"/>
                <w:szCs w:val="18"/>
              </w:rPr>
              <w:t xml:space="preserve">38.5 </w:t>
            </w:r>
          </w:p>
        </w:tc>
        <w:tc>
          <w:tcPr>
            <w:tcW w:w="982" w:type="dxa"/>
            <w:tcBorders>
              <w:left w:val="nil"/>
              <w:right w:val="nil"/>
            </w:tcBorders>
            <w:vAlign w:val="bottom"/>
          </w:tcPr>
          <w:p w14:paraId="6DFC5197" w14:textId="4ABDB8D4" w:rsidR="00FB5DC8" w:rsidRPr="008920B6" w:rsidRDefault="00FB5DC8" w:rsidP="009573BA">
            <w:pPr>
              <w:pStyle w:val="TableText"/>
              <w:keepNext/>
              <w:jc w:val="center"/>
              <w:rPr>
                <w:rFonts w:cs="Segoe UI"/>
                <w:szCs w:val="18"/>
              </w:rPr>
            </w:pPr>
            <w:r w:rsidRPr="008920B6">
              <w:rPr>
                <w:rFonts w:cs="Segoe UI"/>
                <w:color w:val="000000"/>
                <w:szCs w:val="18"/>
              </w:rPr>
              <w:t xml:space="preserve">71.1 </w:t>
            </w:r>
          </w:p>
        </w:tc>
        <w:tc>
          <w:tcPr>
            <w:tcW w:w="983" w:type="dxa"/>
            <w:tcBorders>
              <w:left w:val="nil"/>
            </w:tcBorders>
            <w:vAlign w:val="bottom"/>
          </w:tcPr>
          <w:p w14:paraId="03D2F99B" w14:textId="218D8244" w:rsidR="00FB5DC8" w:rsidRPr="008920B6" w:rsidRDefault="00FB5DC8" w:rsidP="009573BA">
            <w:pPr>
              <w:pStyle w:val="TableText"/>
              <w:keepNext/>
              <w:jc w:val="center"/>
              <w:rPr>
                <w:rFonts w:cs="Segoe UI"/>
                <w:szCs w:val="18"/>
              </w:rPr>
            </w:pPr>
            <w:r w:rsidRPr="008920B6">
              <w:rPr>
                <w:rFonts w:cs="Segoe UI"/>
                <w:color w:val="000000"/>
                <w:szCs w:val="18"/>
              </w:rPr>
              <w:t xml:space="preserve">73.1 </w:t>
            </w:r>
          </w:p>
        </w:tc>
        <w:tc>
          <w:tcPr>
            <w:tcW w:w="1063" w:type="dxa"/>
            <w:tcBorders>
              <w:right w:val="nil"/>
            </w:tcBorders>
          </w:tcPr>
          <w:p w14:paraId="4FBE6A94" w14:textId="5536A546" w:rsidR="00FB5DC8" w:rsidRPr="008920B6" w:rsidRDefault="00FB5DC8" w:rsidP="009573BA">
            <w:pPr>
              <w:pStyle w:val="TableText"/>
              <w:keepNext/>
              <w:jc w:val="center"/>
              <w:rPr>
                <w:rFonts w:cs="Segoe UI"/>
                <w:szCs w:val="18"/>
              </w:rPr>
            </w:pPr>
            <w:r w:rsidRPr="008920B6">
              <w:rPr>
                <w:rFonts w:cs="Segoe UI"/>
                <w:color w:val="000000"/>
                <w:szCs w:val="18"/>
              </w:rPr>
              <w:t xml:space="preserve">46.2 </w:t>
            </w:r>
          </w:p>
        </w:tc>
        <w:tc>
          <w:tcPr>
            <w:tcW w:w="1063" w:type="dxa"/>
            <w:tcBorders>
              <w:left w:val="nil"/>
            </w:tcBorders>
          </w:tcPr>
          <w:p w14:paraId="570B7D3E" w14:textId="46AF9428" w:rsidR="00FB5DC8" w:rsidRPr="008920B6" w:rsidRDefault="00FB5DC8" w:rsidP="009573BA">
            <w:pPr>
              <w:pStyle w:val="TableText"/>
              <w:keepNext/>
              <w:jc w:val="center"/>
              <w:rPr>
                <w:rFonts w:cs="Segoe UI"/>
                <w:szCs w:val="18"/>
              </w:rPr>
            </w:pPr>
            <w:r w:rsidRPr="008920B6">
              <w:rPr>
                <w:rFonts w:cs="Segoe UI"/>
                <w:color w:val="000000"/>
                <w:szCs w:val="18"/>
              </w:rPr>
              <w:t xml:space="preserve">171.6 </w:t>
            </w:r>
          </w:p>
        </w:tc>
      </w:tr>
      <w:tr w:rsidR="00FB5DC8" w:rsidRPr="007A1295" w14:paraId="40EC7E66" w14:textId="77777777" w:rsidTr="00FB5DC8">
        <w:trPr>
          <w:trHeight w:val="300"/>
        </w:trPr>
        <w:tc>
          <w:tcPr>
            <w:tcW w:w="2318" w:type="dxa"/>
          </w:tcPr>
          <w:p w14:paraId="50BDC69D" w14:textId="6113C898" w:rsidR="00FB5DC8" w:rsidRPr="008920B6" w:rsidRDefault="00FB5DC8" w:rsidP="009573BA">
            <w:pPr>
              <w:pStyle w:val="TableText"/>
              <w:keepNext/>
              <w:rPr>
                <w:rFonts w:cs="Segoe UI"/>
                <w:szCs w:val="18"/>
              </w:rPr>
            </w:pPr>
            <w:r w:rsidRPr="008920B6">
              <w:rPr>
                <w:rFonts w:cs="Segoe UI"/>
                <w:szCs w:val="18"/>
              </w:rPr>
              <w:t>Support services</w:t>
            </w:r>
          </w:p>
        </w:tc>
        <w:tc>
          <w:tcPr>
            <w:tcW w:w="982" w:type="dxa"/>
            <w:tcBorders>
              <w:right w:val="nil"/>
            </w:tcBorders>
            <w:vAlign w:val="bottom"/>
          </w:tcPr>
          <w:p w14:paraId="1B79522C" w14:textId="2C36E400" w:rsidR="00FB5DC8" w:rsidRPr="008920B6" w:rsidRDefault="00FB5DC8" w:rsidP="009573BA">
            <w:pPr>
              <w:pStyle w:val="TableText"/>
              <w:keepNext/>
              <w:jc w:val="center"/>
              <w:rPr>
                <w:rFonts w:cs="Segoe UI"/>
                <w:szCs w:val="18"/>
              </w:rPr>
            </w:pPr>
            <w:r w:rsidRPr="008920B6">
              <w:rPr>
                <w:rFonts w:cs="Segoe UI"/>
                <w:color w:val="000000"/>
                <w:szCs w:val="18"/>
              </w:rPr>
              <w:t xml:space="preserve">40.3 </w:t>
            </w:r>
          </w:p>
        </w:tc>
        <w:tc>
          <w:tcPr>
            <w:tcW w:w="982" w:type="dxa"/>
            <w:tcBorders>
              <w:left w:val="nil"/>
              <w:right w:val="nil"/>
            </w:tcBorders>
            <w:vAlign w:val="bottom"/>
          </w:tcPr>
          <w:p w14:paraId="1852335C" w14:textId="2B9B5AE8" w:rsidR="00FB5DC8" w:rsidRPr="008920B6" w:rsidRDefault="00FB5DC8" w:rsidP="009573BA">
            <w:pPr>
              <w:pStyle w:val="TableText"/>
              <w:keepNext/>
              <w:jc w:val="center"/>
              <w:rPr>
                <w:rFonts w:cs="Segoe UI"/>
                <w:szCs w:val="18"/>
              </w:rPr>
            </w:pPr>
            <w:r w:rsidRPr="008920B6">
              <w:rPr>
                <w:rFonts w:cs="Segoe UI"/>
                <w:color w:val="000000"/>
                <w:szCs w:val="18"/>
              </w:rPr>
              <w:t xml:space="preserve">44.2 </w:t>
            </w:r>
          </w:p>
        </w:tc>
        <w:tc>
          <w:tcPr>
            <w:tcW w:w="983" w:type="dxa"/>
            <w:tcBorders>
              <w:left w:val="nil"/>
              <w:right w:val="nil"/>
            </w:tcBorders>
            <w:vAlign w:val="bottom"/>
          </w:tcPr>
          <w:p w14:paraId="24890DF1" w14:textId="1EFEA0CD" w:rsidR="00FB5DC8" w:rsidRPr="008920B6" w:rsidRDefault="00FB5DC8" w:rsidP="009573BA">
            <w:pPr>
              <w:pStyle w:val="TableText"/>
              <w:keepNext/>
              <w:jc w:val="center"/>
              <w:rPr>
                <w:rFonts w:cs="Segoe UI"/>
                <w:szCs w:val="18"/>
              </w:rPr>
            </w:pPr>
            <w:r w:rsidRPr="008920B6">
              <w:rPr>
                <w:rFonts w:cs="Segoe UI"/>
                <w:color w:val="000000"/>
                <w:szCs w:val="18"/>
              </w:rPr>
              <w:t xml:space="preserve">42.3 </w:t>
            </w:r>
          </w:p>
        </w:tc>
        <w:tc>
          <w:tcPr>
            <w:tcW w:w="982" w:type="dxa"/>
            <w:tcBorders>
              <w:left w:val="nil"/>
              <w:right w:val="nil"/>
            </w:tcBorders>
            <w:vAlign w:val="bottom"/>
          </w:tcPr>
          <w:p w14:paraId="38E88EE6" w14:textId="209C72A8" w:rsidR="00FB5DC8" w:rsidRPr="008920B6" w:rsidRDefault="00FB5DC8" w:rsidP="009573BA">
            <w:pPr>
              <w:pStyle w:val="TableText"/>
              <w:keepNext/>
              <w:jc w:val="center"/>
              <w:rPr>
                <w:rFonts w:cs="Segoe UI"/>
                <w:szCs w:val="18"/>
              </w:rPr>
            </w:pPr>
            <w:r w:rsidRPr="008920B6">
              <w:rPr>
                <w:rFonts w:cs="Segoe UI"/>
                <w:color w:val="000000"/>
                <w:szCs w:val="18"/>
              </w:rPr>
              <w:t xml:space="preserve">47.8 </w:t>
            </w:r>
          </w:p>
        </w:tc>
        <w:tc>
          <w:tcPr>
            <w:tcW w:w="983" w:type="dxa"/>
            <w:tcBorders>
              <w:left w:val="nil"/>
            </w:tcBorders>
            <w:vAlign w:val="bottom"/>
          </w:tcPr>
          <w:p w14:paraId="4CBED7CF" w14:textId="447A9CD9" w:rsidR="00FB5DC8" w:rsidRPr="008920B6" w:rsidRDefault="00FB5DC8" w:rsidP="009573BA">
            <w:pPr>
              <w:pStyle w:val="TableText"/>
              <w:keepNext/>
              <w:jc w:val="center"/>
              <w:rPr>
                <w:rFonts w:cs="Segoe UI"/>
                <w:szCs w:val="18"/>
              </w:rPr>
            </w:pPr>
            <w:r w:rsidRPr="008920B6">
              <w:rPr>
                <w:rFonts w:cs="Segoe UI"/>
                <w:color w:val="000000"/>
                <w:szCs w:val="18"/>
              </w:rPr>
              <w:t xml:space="preserve">46.2 </w:t>
            </w:r>
          </w:p>
        </w:tc>
        <w:tc>
          <w:tcPr>
            <w:tcW w:w="1063" w:type="dxa"/>
            <w:tcBorders>
              <w:right w:val="nil"/>
            </w:tcBorders>
          </w:tcPr>
          <w:p w14:paraId="5069FA43" w14:textId="4A8FC9C2" w:rsidR="00FB5DC8" w:rsidRPr="008920B6" w:rsidRDefault="00FB5DC8" w:rsidP="009573BA">
            <w:pPr>
              <w:pStyle w:val="TableText"/>
              <w:keepNext/>
              <w:jc w:val="center"/>
              <w:rPr>
                <w:rFonts w:cs="Segoe UI"/>
                <w:szCs w:val="18"/>
              </w:rPr>
            </w:pPr>
            <w:r w:rsidRPr="008920B6">
              <w:rPr>
                <w:rFonts w:cs="Segoe UI"/>
                <w:color w:val="000000"/>
                <w:szCs w:val="18"/>
              </w:rPr>
              <w:t xml:space="preserve">5.9 </w:t>
            </w:r>
          </w:p>
        </w:tc>
        <w:tc>
          <w:tcPr>
            <w:tcW w:w="1063" w:type="dxa"/>
            <w:tcBorders>
              <w:left w:val="nil"/>
            </w:tcBorders>
          </w:tcPr>
          <w:p w14:paraId="0CB2C2EC" w14:textId="5DA24B35" w:rsidR="00FB5DC8" w:rsidRPr="008920B6" w:rsidRDefault="00FB5DC8" w:rsidP="009573BA">
            <w:pPr>
              <w:pStyle w:val="TableText"/>
              <w:keepNext/>
              <w:jc w:val="center"/>
              <w:rPr>
                <w:rFonts w:cs="Segoe UI"/>
                <w:szCs w:val="18"/>
              </w:rPr>
            </w:pPr>
            <w:r w:rsidRPr="008920B6">
              <w:rPr>
                <w:rFonts w:cs="Segoe UI"/>
                <w:color w:val="000000"/>
                <w:szCs w:val="18"/>
              </w:rPr>
              <w:t xml:space="preserve">14.7 </w:t>
            </w:r>
          </w:p>
        </w:tc>
      </w:tr>
      <w:tr w:rsidR="00665585" w:rsidRPr="007A1295" w14:paraId="4D9318F3" w14:textId="77777777" w:rsidTr="00665585">
        <w:trPr>
          <w:trHeight w:val="300"/>
        </w:trPr>
        <w:tc>
          <w:tcPr>
            <w:tcW w:w="2318" w:type="dxa"/>
          </w:tcPr>
          <w:p w14:paraId="4BB9DE67" w14:textId="288979C1" w:rsidR="00665585" w:rsidRPr="008920B6" w:rsidRDefault="00665585" w:rsidP="009573BA">
            <w:pPr>
              <w:pStyle w:val="TableText"/>
              <w:keepNext/>
              <w:rPr>
                <w:rFonts w:cs="Segoe UI"/>
                <w:b/>
                <w:bCs/>
                <w:szCs w:val="18"/>
              </w:rPr>
            </w:pPr>
            <w:r w:rsidRPr="008920B6">
              <w:rPr>
                <w:rFonts w:cs="Segoe UI"/>
                <w:b/>
                <w:bCs/>
                <w:szCs w:val="18"/>
              </w:rPr>
              <w:t>Total - five largest major service groups</w:t>
            </w:r>
          </w:p>
        </w:tc>
        <w:tc>
          <w:tcPr>
            <w:tcW w:w="982" w:type="dxa"/>
            <w:tcBorders>
              <w:right w:val="nil"/>
            </w:tcBorders>
          </w:tcPr>
          <w:p w14:paraId="3495FCF8" w14:textId="3AE5BD11" w:rsidR="00665585" w:rsidRPr="008920B6" w:rsidRDefault="00665585" w:rsidP="009573BA">
            <w:pPr>
              <w:pStyle w:val="TableText"/>
              <w:keepNext/>
              <w:jc w:val="center"/>
              <w:rPr>
                <w:rFonts w:cs="Segoe UI"/>
                <w:b/>
                <w:bCs/>
                <w:szCs w:val="18"/>
              </w:rPr>
            </w:pPr>
            <w:r w:rsidRPr="008920B6">
              <w:rPr>
                <w:rFonts w:cs="Segoe UI"/>
                <w:b/>
                <w:bCs/>
                <w:color w:val="000000"/>
                <w:szCs w:val="18"/>
              </w:rPr>
              <w:t xml:space="preserve">453.0 </w:t>
            </w:r>
          </w:p>
        </w:tc>
        <w:tc>
          <w:tcPr>
            <w:tcW w:w="982" w:type="dxa"/>
            <w:tcBorders>
              <w:left w:val="nil"/>
              <w:right w:val="nil"/>
            </w:tcBorders>
          </w:tcPr>
          <w:p w14:paraId="791690FB" w14:textId="17E7704A" w:rsidR="00665585" w:rsidRPr="008920B6" w:rsidRDefault="00665585" w:rsidP="009573BA">
            <w:pPr>
              <w:pStyle w:val="TableText"/>
              <w:keepNext/>
              <w:jc w:val="center"/>
              <w:rPr>
                <w:rFonts w:cs="Segoe UI"/>
                <w:b/>
                <w:bCs/>
                <w:szCs w:val="18"/>
              </w:rPr>
            </w:pPr>
            <w:r w:rsidRPr="008920B6">
              <w:rPr>
                <w:rFonts w:cs="Segoe UI"/>
                <w:b/>
                <w:bCs/>
                <w:color w:val="000000"/>
                <w:szCs w:val="18"/>
              </w:rPr>
              <w:t xml:space="preserve">527.1 </w:t>
            </w:r>
          </w:p>
        </w:tc>
        <w:tc>
          <w:tcPr>
            <w:tcW w:w="983" w:type="dxa"/>
            <w:tcBorders>
              <w:left w:val="nil"/>
              <w:right w:val="nil"/>
            </w:tcBorders>
          </w:tcPr>
          <w:p w14:paraId="71C4D3AF" w14:textId="2FF92C60" w:rsidR="00665585" w:rsidRPr="008920B6" w:rsidRDefault="00665585" w:rsidP="009573BA">
            <w:pPr>
              <w:pStyle w:val="TableText"/>
              <w:keepNext/>
              <w:jc w:val="center"/>
              <w:rPr>
                <w:rFonts w:cs="Segoe UI"/>
                <w:b/>
                <w:bCs/>
                <w:szCs w:val="18"/>
              </w:rPr>
            </w:pPr>
            <w:r w:rsidRPr="008920B6">
              <w:rPr>
                <w:rFonts w:cs="Segoe UI"/>
                <w:b/>
                <w:bCs/>
                <w:color w:val="000000"/>
                <w:szCs w:val="18"/>
              </w:rPr>
              <w:t xml:space="preserve">565.6 </w:t>
            </w:r>
          </w:p>
        </w:tc>
        <w:tc>
          <w:tcPr>
            <w:tcW w:w="982" w:type="dxa"/>
            <w:tcBorders>
              <w:left w:val="nil"/>
              <w:right w:val="nil"/>
            </w:tcBorders>
          </w:tcPr>
          <w:p w14:paraId="26F9CCFF" w14:textId="541E0C8E" w:rsidR="00665585" w:rsidRPr="008920B6" w:rsidRDefault="00665585" w:rsidP="009573BA">
            <w:pPr>
              <w:pStyle w:val="TableText"/>
              <w:keepNext/>
              <w:jc w:val="center"/>
              <w:rPr>
                <w:rFonts w:cs="Segoe UI"/>
                <w:b/>
                <w:bCs/>
                <w:szCs w:val="18"/>
              </w:rPr>
            </w:pPr>
            <w:r w:rsidRPr="008920B6">
              <w:rPr>
                <w:rFonts w:cs="Segoe UI"/>
                <w:b/>
                <w:bCs/>
                <w:color w:val="000000"/>
                <w:szCs w:val="18"/>
              </w:rPr>
              <w:t>81</w:t>
            </w:r>
            <w:r w:rsidR="00F74324">
              <w:rPr>
                <w:rFonts w:cs="Segoe UI"/>
                <w:b/>
                <w:bCs/>
                <w:color w:val="000000"/>
                <w:szCs w:val="18"/>
              </w:rPr>
              <w:t>7</w:t>
            </w:r>
            <w:r w:rsidRPr="008920B6">
              <w:rPr>
                <w:rFonts w:cs="Segoe UI"/>
                <w:b/>
                <w:bCs/>
                <w:color w:val="000000"/>
                <w:szCs w:val="18"/>
              </w:rPr>
              <w:t xml:space="preserve">.8 </w:t>
            </w:r>
          </w:p>
        </w:tc>
        <w:tc>
          <w:tcPr>
            <w:tcW w:w="983" w:type="dxa"/>
            <w:tcBorders>
              <w:left w:val="nil"/>
            </w:tcBorders>
          </w:tcPr>
          <w:p w14:paraId="583A262E" w14:textId="67DE6423" w:rsidR="00665585" w:rsidRPr="008920B6" w:rsidRDefault="00665585" w:rsidP="009573BA">
            <w:pPr>
              <w:pStyle w:val="TableText"/>
              <w:keepNext/>
              <w:jc w:val="center"/>
              <w:rPr>
                <w:rFonts w:cs="Segoe UI"/>
                <w:b/>
                <w:bCs/>
                <w:szCs w:val="18"/>
              </w:rPr>
            </w:pPr>
            <w:r w:rsidRPr="008920B6">
              <w:rPr>
                <w:rFonts w:cs="Segoe UI"/>
                <w:b/>
                <w:bCs/>
                <w:color w:val="000000"/>
                <w:szCs w:val="18"/>
              </w:rPr>
              <w:t>95</w:t>
            </w:r>
            <w:r w:rsidR="00F71547">
              <w:rPr>
                <w:rFonts w:cs="Segoe UI"/>
                <w:b/>
                <w:bCs/>
                <w:color w:val="000000"/>
                <w:szCs w:val="18"/>
              </w:rPr>
              <w:t>1.7</w:t>
            </w:r>
            <w:r w:rsidRPr="008920B6">
              <w:rPr>
                <w:rFonts w:cs="Segoe UI"/>
                <w:b/>
                <w:bCs/>
                <w:color w:val="000000"/>
                <w:szCs w:val="18"/>
              </w:rPr>
              <w:t xml:space="preserve"> </w:t>
            </w:r>
          </w:p>
        </w:tc>
        <w:tc>
          <w:tcPr>
            <w:tcW w:w="1063" w:type="dxa"/>
            <w:tcBorders>
              <w:right w:val="nil"/>
            </w:tcBorders>
          </w:tcPr>
          <w:p w14:paraId="49D7A0DB" w14:textId="526B234C" w:rsidR="00665585" w:rsidRPr="008920B6" w:rsidRDefault="00665585" w:rsidP="009573BA">
            <w:pPr>
              <w:pStyle w:val="TableText"/>
              <w:keepNext/>
              <w:jc w:val="center"/>
              <w:rPr>
                <w:rFonts w:cs="Segoe UI"/>
                <w:b/>
                <w:bCs/>
                <w:szCs w:val="18"/>
              </w:rPr>
            </w:pPr>
            <w:r w:rsidRPr="008920B6">
              <w:rPr>
                <w:rFonts w:cs="Segoe UI"/>
                <w:b/>
                <w:bCs/>
                <w:szCs w:val="18"/>
              </w:rPr>
              <w:t>4</w:t>
            </w:r>
            <w:r w:rsidR="004B757A" w:rsidRPr="008920B6">
              <w:rPr>
                <w:rFonts w:cs="Segoe UI"/>
                <w:b/>
                <w:bCs/>
                <w:szCs w:val="18"/>
              </w:rPr>
              <w:t>9</w:t>
            </w:r>
            <w:r w:rsidR="008F49EF">
              <w:rPr>
                <w:rFonts w:cs="Segoe UI"/>
                <w:b/>
                <w:bCs/>
                <w:szCs w:val="18"/>
              </w:rPr>
              <w:t>8.8</w:t>
            </w:r>
          </w:p>
        </w:tc>
        <w:tc>
          <w:tcPr>
            <w:tcW w:w="1063" w:type="dxa"/>
            <w:tcBorders>
              <w:left w:val="nil"/>
            </w:tcBorders>
          </w:tcPr>
          <w:p w14:paraId="7042CBD8" w14:textId="28A769BB" w:rsidR="00665585" w:rsidRPr="008920B6" w:rsidRDefault="00665585" w:rsidP="009573BA">
            <w:pPr>
              <w:pStyle w:val="TableText"/>
              <w:keepNext/>
              <w:jc w:val="center"/>
              <w:rPr>
                <w:rFonts w:cs="Segoe UI"/>
                <w:b/>
                <w:bCs/>
                <w:szCs w:val="18"/>
              </w:rPr>
            </w:pPr>
            <w:r w:rsidRPr="008920B6">
              <w:rPr>
                <w:rFonts w:cs="Segoe UI"/>
                <w:b/>
                <w:bCs/>
                <w:szCs w:val="18"/>
              </w:rPr>
              <w:t>1</w:t>
            </w:r>
            <w:r w:rsidR="00F10C29">
              <w:rPr>
                <w:rFonts w:cs="Segoe UI"/>
                <w:b/>
                <w:bCs/>
                <w:szCs w:val="18"/>
              </w:rPr>
              <w:t>10.1</w:t>
            </w:r>
          </w:p>
        </w:tc>
      </w:tr>
      <w:tr w:rsidR="00F17EEF" w:rsidRPr="007A1295" w14:paraId="68E17F94" w14:textId="77777777" w:rsidTr="00F17EEF">
        <w:trPr>
          <w:trHeight w:val="300"/>
        </w:trPr>
        <w:tc>
          <w:tcPr>
            <w:tcW w:w="2318" w:type="dxa"/>
          </w:tcPr>
          <w:p w14:paraId="1F31094E" w14:textId="3D08F761" w:rsidR="00F17EEF" w:rsidRPr="008920B6" w:rsidRDefault="00F17EEF" w:rsidP="009573BA">
            <w:pPr>
              <w:pStyle w:val="TableText"/>
              <w:keepNext/>
              <w:rPr>
                <w:rFonts w:cs="Segoe UI"/>
                <w:szCs w:val="18"/>
              </w:rPr>
            </w:pPr>
            <w:r w:rsidRPr="008920B6">
              <w:rPr>
                <w:rFonts w:cs="Segoe UI"/>
                <w:szCs w:val="18"/>
              </w:rPr>
              <w:t>All other major service groups</w:t>
            </w:r>
          </w:p>
        </w:tc>
        <w:tc>
          <w:tcPr>
            <w:tcW w:w="982" w:type="dxa"/>
            <w:tcBorders>
              <w:right w:val="nil"/>
            </w:tcBorders>
          </w:tcPr>
          <w:p w14:paraId="373EC5CF" w14:textId="3B1773A4" w:rsidR="00F17EEF" w:rsidRPr="008920B6" w:rsidRDefault="00F17EEF" w:rsidP="009573BA">
            <w:pPr>
              <w:pStyle w:val="TableText"/>
              <w:keepNext/>
              <w:jc w:val="center"/>
              <w:rPr>
                <w:rFonts w:cs="Segoe UI"/>
                <w:szCs w:val="18"/>
              </w:rPr>
            </w:pPr>
            <w:r w:rsidRPr="008920B6">
              <w:rPr>
                <w:rFonts w:cs="Segoe UI"/>
                <w:color w:val="000000"/>
                <w:szCs w:val="18"/>
              </w:rPr>
              <w:t xml:space="preserve">131.8 </w:t>
            </w:r>
          </w:p>
        </w:tc>
        <w:tc>
          <w:tcPr>
            <w:tcW w:w="982" w:type="dxa"/>
            <w:tcBorders>
              <w:left w:val="nil"/>
              <w:right w:val="nil"/>
            </w:tcBorders>
          </w:tcPr>
          <w:p w14:paraId="7E37732F" w14:textId="04C705FE" w:rsidR="00F17EEF" w:rsidRPr="008920B6" w:rsidRDefault="00F17EEF" w:rsidP="009573BA">
            <w:pPr>
              <w:pStyle w:val="TableText"/>
              <w:keepNext/>
              <w:jc w:val="center"/>
              <w:rPr>
                <w:rFonts w:cs="Segoe UI"/>
                <w:szCs w:val="18"/>
              </w:rPr>
            </w:pPr>
            <w:r w:rsidRPr="008920B6">
              <w:rPr>
                <w:rFonts w:cs="Segoe UI"/>
                <w:color w:val="000000"/>
                <w:szCs w:val="18"/>
              </w:rPr>
              <w:t xml:space="preserve">251.0 </w:t>
            </w:r>
          </w:p>
        </w:tc>
        <w:tc>
          <w:tcPr>
            <w:tcW w:w="983" w:type="dxa"/>
            <w:tcBorders>
              <w:left w:val="nil"/>
              <w:right w:val="nil"/>
            </w:tcBorders>
          </w:tcPr>
          <w:p w14:paraId="304ABBE0" w14:textId="6E134BD8" w:rsidR="00F17EEF" w:rsidRPr="008920B6" w:rsidRDefault="00F17EEF" w:rsidP="009573BA">
            <w:pPr>
              <w:pStyle w:val="TableText"/>
              <w:keepNext/>
              <w:jc w:val="center"/>
              <w:rPr>
                <w:rFonts w:cs="Segoe UI"/>
                <w:szCs w:val="18"/>
              </w:rPr>
            </w:pPr>
            <w:r w:rsidRPr="008920B6">
              <w:rPr>
                <w:rFonts w:cs="Segoe UI"/>
                <w:color w:val="000000"/>
                <w:szCs w:val="18"/>
              </w:rPr>
              <w:t xml:space="preserve">244.0 </w:t>
            </w:r>
          </w:p>
        </w:tc>
        <w:tc>
          <w:tcPr>
            <w:tcW w:w="982" w:type="dxa"/>
            <w:tcBorders>
              <w:left w:val="nil"/>
              <w:right w:val="nil"/>
            </w:tcBorders>
          </w:tcPr>
          <w:p w14:paraId="3E164622" w14:textId="33128F79" w:rsidR="00F17EEF" w:rsidRPr="008920B6" w:rsidRDefault="00F17EEF" w:rsidP="009573BA">
            <w:pPr>
              <w:pStyle w:val="TableText"/>
              <w:keepNext/>
              <w:jc w:val="center"/>
              <w:rPr>
                <w:rFonts w:cs="Segoe UI"/>
                <w:szCs w:val="18"/>
              </w:rPr>
            </w:pPr>
            <w:r w:rsidRPr="008920B6">
              <w:rPr>
                <w:rFonts w:cs="Segoe UI"/>
                <w:color w:val="000000"/>
                <w:szCs w:val="18"/>
              </w:rPr>
              <w:t>19</w:t>
            </w:r>
            <w:r w:rsidR="008E40E8">
              <w:rPr>
                <w:rFonts w:cs="Segoe UI"/>
                <w:color w:val="000000"/>
                <w:szCs w:val="18"/>
              </w:rPr>
              <w:t>6</w:t>
            </w:r>
            <w:r w:rsidRPr="008920B6">
              <w:rPr>
                <w:rFonts w:cs="Segoe UI"/>
                <w:color w:val="000000"/>
                <w:szCs w:val="18"/>
              </w:rPr>
              <w:t xml:space="preserve">.9 </w:t>
            </w:r>
          </w:p>
        </w:tc>
        <w:tc>
          <w:tcPr>
            <w:tcW w:w="983" w:type="dxa"/>
            <w:tcBorders>
              <w:left w:val="nil"/>
            </w:tcBorders>
          </w:tcPr>
          <w:p w14:paraId="778D644F" w14:textId="1F9934D2" w:rsidR="00F17EEF" w:rsidRPr="008920B6" w:rsidRDefault="00F17EEF" w:rsidP="009573BA">
            <w:pPr>
              <w:pStyle w:val="TableText"/>
              <w:keepNext/>
              <w:jc w:val="center"/>
              <w:rPr>
                <w:rFonts w:cs="Segoe UI"/>
                <w:szCs w:val="18"/>
              </w:rPr>
            </w:pPr>
            <w:r w:rsidRPr="008920B6">
              <w:rPr>
                <w:rFonts w:cs="Segoe UI"/>
                <w:color w:val="000000"/>
                <w:szCs w:val="18"/>
              </w:rPr>
              <w:t>14</w:t>
            </w:r>
            <w:r w:rsidR="00856127">
              <w:rPr>
                <w:rFonts w:cs="Segoe UI"/>
                <w:color w:val="000000"/>
                <w:szCs w:val="18"/>
              </w:rPr>
              <w:t>1.6</w:t>
            </w:r>
            <w:r w:rsidRPr="008920B6">
              <w:rPr>
                <w:rFonts w:cs="Segoe UI"/>
                <w:color w:val="000000"/>
                <w:szCs w:val="18"/>
              </w:rPr>
              <w:t xml:space="preserve"> </w:t>
            </w:r>
          </w:p>
        </w:tc>
        <w:tc>
          <w:tcPr>
            <w:tcW w:w="1063" w:type="dxa"/>
            <w:tcBorders>
              <w:right w:val="nil"/>
            </w:tcBorders>
          </w:tcPr>
          <w:p w14:paraId="064E225D" w14:textId="73468ED5" w:rsidR="00F17EEF" w:rsidRPr="008920B6" w:rsidRDefault="00856127" w:rsidP="009573BA">
            <w:pPr>
              <w:pStyle w:val="TableText"/>
              <w:keepNext/>
              <w:jc w:val="center"/>
              <w:rPr>
                <w:rFonts w:cs="Segoe UI"/>
                <w:szCs w:val="18"/>
              </w:rPr>
            </w:pPr>
            <w:r>
              <w:rPr>
                <w:rFonts w:cs="Segoe UI"/>
                <w:color w:val="000000"/>
                <w:szCs w:val="18"/>
              </w:rPr>
              <w:t>9.8</w:t>
            </w:r>
            <w:r w:rsidR="00F17EEF" w:rsidRPr="008920B6">
              <w:rPr>
                <w:rFonts w:cs="Segoe UI"/>
                <w:color w:val="000000"/>
                <w:szCs w:val="18"/>
              </w:rPr>
              <w:t xml:space="preserve"> </w:t>
            </w:r>
          </w:p>
        </w:tc>
        <w:tc>
          <w:tcPr>
            <w:tcW w:w="1063" w:type="dxa"/>
            <w:tcBorders>
              <w:left w:val="nil"/>
            </w:tcBorders>
          </w:tcPr>
          <w:p w14:paraId="7E890068" w14:textId="73E0F150" w:rsidR="00F17EEF" w:rsidRPr="008920B6" w:rsidRDefault="00F17EEF" w:rsidP="009573BA">
            <w:pPr>
              <w:pStyle w:val="TableText"/>
              <w:keepNext/>
              <w:jc w:val="center"/>
              <w:rPr>
                <w:rFonts w:cs="Segoe UI"/>
                <w:szCs w:val="18"/>
              </w:rPr>
            </w:pPr>
            <w:r w:rsidRPr="008920B6">
              <w:rPr>
                <w:rFonts w:cs="Segoe UI"/>
                <w:color w:val="000000"/>
                <w:szCs w:val="18"/>
              </w:rPr>
              <w:t>7</w:t>
            </w:r>
            <w:r w:rsidR="00FA68C9">
              <w:rPr>
                <w:rFonts w:cs="Segoe UI"/>
                <w:color w:val="000000"/>
                <w:szCs w:val="18"/>
              </w:rPr>
              <w:t>.4</w:t>
            </w:r>
            <w:r w:rsidRPr="008920B6">
              <w:rPr>
                <w:rFonts w:cs="Segoe UI"/>
                <w:color w:val="000000"/>
                <w:szCs w:val="18"/>
              </w:rPr>
              <w:t xml:space="preserve"> </w:t>
            </w:r>
          </w:p>
        </w:tc>
      </w:tr>
      <w:tr w:rsidR="00F17EEF" w:rsidRPr="007A1295" w14:paraId="5AFB325B" w14:textId="77777777" w:rsidTr="00F17EEF">
        <w:trPr>
          <w:trHeight w:val="300"/>
        </w:trPr>
        <w:tc>
          <w:tcPr>
            <w:tcW w:w="2318" w:type="dxa"/>
          </w:tcPr>
          <w:p w14:paraId="2DE83CE3" w14:textId="77777777" w:rsidR="00F17EEF" w:rsidRPr="008920B6" w:rsidRDefault="00F17EEF" w:rsidP="00F17EEF">
            <w:pPr>
              <w:pStyle w:val="TableText"/>
              <w:rPr>
                <w:rFonts w:cs="Segoe UI"/>
                <w:szCs w:val="18"/>
              </w:rPr>
            </w:pPr>
            <w:r w:rsidRPr="008920B6">
              <w:rPr>
                <w:rFonts w:cs="Segoe UI"/>
                <w:szCs w:val="18"/>
              </w:rPr>
              <w:t>Total health entities funding to Māori health providers</w:t>
            </w:r>
          </w:p>
        </w:tc>
        <w:tc>
          <w:tcPr>
            <w:tcW w:w="982" w:type="dxa"/>
            <w:tcBorders>
              <w:right w:val="nil"/>
            </w:tcBorders>
          </w:tcPr>
          <w:p w14:paraId="4174AE6D" w14:textId="5DABD6DC" w:rsidR="00F17EEF" w:rsidRPr="008920B6" w:rsidRDefault="00F17EEF" w:rsidP="00F17EEF">
            <w:pPr>
              <w:pStyle w:val="TableText"/>
              <w:jc w:val="center"/>
              <w:rPr>
                <w:rFonts w:cs="Segoe UI"/>
                <w:szCs w:val="18"/>
              </w:rPr>
            </w:pPr>
            <w:r w:rsidRPr="008920B6">
              <w:rPr>
                <w:rFonts w:cs="Segoe UI"/>
                <w:color w:val="000000"/>
                <w:szCs w:val="18"/>
              </w:rPr>
              <w:t xml:space="preserve">584.8 </w:t>
            </w:r>
          </w:p>
        </w:tc>
        <w:tc>
          <w:tcPr>
            <w:tcW w:w="982" w:type="dxa"/>
            <w:tcBorders>
              <w:left w:val="nil"/>
              <w:right w:val="nil"/>
            </w:tcBorders>
          </w:tcPr>
          <w:p w14:paraId="34545CE5" w14:textId="5F474943" w:rsidR="00F17EEF" w:rsidRPr="008920B6" w:rsidRDefault="00F17EEF" w:rsidP="00F17EEF">
            <w:pPr>
              <w:pStyle w:val="TableText"/>
              <w:jc w:val="center"/>
              <w:rPr>
                <w:rFonts w:cs="Segoe UI"/>
                <w:szCs w:val="18"/>
              </w:rPr>
            </w:pPr>
            <w:r w:rsidRPr="008920B6">
              <w:rPr>
                <w:rFonts w:cs="Segoe UI"/>
                <w:color w:val="000000"/>
                <w:szCs w:val="18"/>
              </w:rPr>
              <w:t xml:space="preserve">778.1 </w:t>
            </w:r>
          </w:p>
        </w:tc>
        <w:tc>
          <w:tcPr>
            <w:tcW w:w="983" w:type="dxa"/>
            <w:tcBorders>
              <w:left w:val="nil"/>
              <w:right w:val="nil"/>
            </w:tcBorders>
          </w:tcPr>
          <w:p w14:paraId="237C9A1B" w14:textId="427DF454" w:rsidR="00F17EEF" w:rsidRPr="008920B6" w:rsidRDefault="00F17EEF" w:rsidP="00F17EEF">
            <w:pPr>
              <w:pStyle w:val="TableText"/>
              <w:jc w:val="center"/>
              <w:rPr>
                <w:rFonts w:cs="Segoe UI"/>
                <w:szCs w:val="18"/>
              </w:rPr>
            </w:pPr>
            <w:r w:rsidRPr="008920B6">
              <w:rPr>
                <w:rFonts w:cs="Segoe UI"/>
                <w:color w:val="000000"/>
                <w:szCs w:val="18"/>
              </w:rPr>
              <w:t xml:space="preserve">809.6 </w:t>
            </w:r>
          </w:p>
        </w:tc>
        <w:tc>
          <w:tcPr>
            <w:tcW w:w="982" w:type="dxa"/>
            <w:tcBorders>
              <w:left w:val="nil"/>
              <w:right w:val="nil"/>
            </w:tcBorders>
          </w:tcPr>
          <w:p w14:paraId="7E30BA46" w14:textId="7565D6BB" w:rsidR="00F17EEF" w:rsidRPr="008920B6" w:rsidRDefault="00F17EEF" w:rsidP="00F17EEF">
            <w:pPr>
              <w:pStyle w:val="TableText"/>
              <w:jc w:val="center"/>
              <w:rPr>
                <w:rFonts w:cs="Segoe UI"/>
                <w:szCs w:val="18"/>
              </w:rPr>
            </w:pPr>
            <w:r w:rsidRPr="008920B6">
              <w:rPr>
                <w:rFonts w:cs="Segoe UI"/>
                <w:color w:val="000000"/>
                <w:szCs w:val="18"/>
              </w:rPr>
              <w:t xml:space="preserve">1,014.8 </w:t>
            </w:r>
          </w:p>
        </w:tc>
        <w:tc>
          <w:tcPr>
            <w:tcW w:w="983" w:type="dxa"/>
            <w:tcBorders>
              <w:left w:val="nil"/>
            </w:tcBorders>
          </w:tcPr>
          <w:p w14:paraId="2E66FFAC" w14:textId="1551CA28" w:rsidR="00F17EEF" w:rsidRPr="008920B6" w:rsidRDefault="00F17EEF" w:rsidP="00F17EEF">
            <w:pPr>
              <w:pStyle w:val="TableText"/>
              <w:jc w:val="center"/>
              <w:rPr>
                <w:rFonts w:cs="Segoe UI"/>
                <w:szCs w:val="18"/>
              </w:rPr>
            </w:pPr>
            <w:r w:rsidRPr="008920B6">
              <w:rPr>
                <w:rFonts w:cs="Segoe UI"/>
                <w:color w:val="000000"/>
                <w:szCs w:val="18"/>
              </w:rPr>
              <w:t xml:space="preserve">1,093.4 </w:t>
            </w:r>
          </w:p>
        </w:tc>
        <w:tc>
          <w:tcPr>
            <w:tcW w:w="1063" w:type="dxa"/>
            <w:tcBorders>
              <w:right w:val="nil"/>
            </w:tcBorders>
          </w:tcPr>
          <w:p w14:paraId="406B4738" w14:textId="6B322E6C" w:rsidR="00F17EEF" w:rsidRPr="008920B6" w:rsidRDefault="00F17EEF" w:rsidP="00F17EEF">
            <w:pPr>
              <w:pStyle w:val="TableText"/>
              <w:jc w:val="center"/>
              <w:rPr>
                <w:rFonts w:cs="Segoe UI"/>
                <w:szCs w:val="18"/>
              </w:rPr>
            </w:pPr>
            <w:r w:rsidRPr="008920B6">
              <w:rPr>
                <w:rFonts w:cs="Segoe UI"/>
                <w:color w:val="000000"/>
                <w:szCs w:val="18"/>
              </w:rPr>
              <w:t xml:space="preserve">508.6 </w:t>
            </w:r>
          </w:p>
        </w:tc>
        <w:tc>
          <w:tcPr>
            <w:tcW w:w="1063" w:type="dxa"/>
            <w:tcBorders>
              <w:left w:val="nil"/>
            </w:tcBorders>
          </w:tcPr>
          <w:p w14:paraId="6E981219" w14:textId="4E36B7AA" w:rsidR="00F17EEF" w:rsidRPr="008920B6" w:rsidRDefault="00F17EEF" w:rsidP="00F17EEF">
            <w:pPr>
              <w:pStyle w:val="TableText"/>
              <w:jc w:val="center"/>
              <w:rPr>
                <w:rFonts w:cs="Segoe UI"/>
                <w:szCs w:val="18"/>
              </w:rPr>
            </w:pPr>
            <w:r w:rsidRPr="008920B6">
              <w:rPr>
                <w:rFonts w:cs="Segoe UI"/>
                <w:color w:val="000000"/>
                <w:szCs w:val="18"/>
              </w:rPr>
              <w:t xml:space="preserve">87.0 </w:t>
            </w:r>
          </w:p>
        </w:tc>
      </w:tr>
    </w:tbl>
    <w:p w14:paraId="71C7AED6" w14:textId="0D57D167" w:rsidR="00960C98" w:rsidRPr="00D43132" w:rsidRDefault="00960C98" w:rsidP="002B3548">
      <w:pPr>
        <w:pStyle w:val="Source"/>
        <w:spacing w:before="80" w:after="0"/>
      </w:pPr>
      <w:r w:rsidRPr="00D43132">
        <w:t>Source: Ministry of Health, Wellington</w:t>
      </w:r>
      <w:r w:rsidR="00180AD3">
        <w:t xml:space="preserve">; </w:t>
      </w:r>
      <w:r w:rsidR="00952975">
        <w:t>Health New Zealand</w:t>
      </w:r>
      <w:r w:rsidR="00180AD3">
        <w:t>, Wellington</w:t>
      </w:r>
    </w:p>
    <w:p w14:paraId="148B4985" w14:textId="68BF5941" w:rsidR="00960C98" w:rsidRDefault="00960C98" w:rsidP="002B3548">
      <w:pPr>
        <w:pStyle w:val="Source"/>
        <w:spacing w:before="80" w:after="0"/>
      </w:pPr>
      <w:r w:rsidRPr="00D43132">
        <w:t>Notes: Due to rounding, individual figures in this table may not add to the stated totals and percentages may appear to differ from those stated.</w:t>
      </w:r>
    </w:p>
    <w:p w14:paraId="38191F85" w14:textId="77777777" w:rsidR="00AA1306" w:rsidRPr="00AA1306" w:rsidRDefault="00AA1306" w:rsidP="00AA1306">
      <w:pPr>
        <w:spacing w:before="0"/>
      </w:pPr>
    </w:p>
    <w:p w14:paraId="3EA26396" w14:textId="13E8A022" w:rsidR="00960C98" w:rsidRDefault="00960C98" w:rsidP="00B969B3">
      <w:pPr>
        <w:spacing w:before="0"/>
      </w:pPr>
      <w:r>
        <w:t>The</w:t>
      </w:r>
      <w:r w:rsidDel="0070329A">
        <w:t xml:space="preserve"> </w:t>
      </w:r>
      <w:r>
        <w:t xml:space="preserve">purchase unit coding system used by health entities allows for service lines to be grouped by just over 30 major service groups covering all services across the health system. </w:t>
      </w:r>
      <w:r w:rsidR="001E2F27">
        <w:t>In</w:t>
      </w:r>
      <w:r>
        <w:t xml:space="preserve"> some cases</w:t>
      </w:r>
      <w:r w:rsidR="004F3084">
        <w:t>,</w:t>
      </w:r>
      <w:r>
        <w:t xml:space="preserve"> contracts could be coded under different codes. </w:t>
      </w:r>
      <w:r w:rsidR="00EA61C5">
        <w:t xml:space="preserve">For </w:t>
      </w:r>
      <w:r w:rsidR="00145D8A">
        <w:t>example,</w:t>
      </w:r>
      <w:r w:rsidR="00EA61C5">
        <w:t xml:space="preserve"> a contract for Hauora M</w:t>
      </w:r>
      <w:r w:rsidR="004F3084">
        <w:t>āori mental health services could be coded under me</w:t>
      </w:r>
      <w:r w:rsidR="00E72561">
        <w:t>n</w:t>
      </w:r>
      <w:r w:rsidR="004F3084">
        <w:t xml:space="preserve">tal health or Hauora Māori </w:t>
      </w:r>
      <w:r w:rsidR="00145D8A">
        <w:t>services. The contract Man</w:t>
      </w:r>
      <w:r w:rsidR="00DF230F">
        <w:t>a</w:t>
      </w:r>
      <w:r w:rsidR="00145D8A">
        <w:t xml:space="preserve">ger decides </w:t>
      </w:r>
      <w:r w:rsidR="008D691D">
        <w:t xml:space="preserve">which </w:t>
      </w:r>
      <w:r w:rsidR="00E31822">
        <w:t>code will be used.</w:t>
      </w:r>
      <w:r w:rsidR="00CC327A">
        <w:t xml:space="preserve"> </w:t>
      </w:r>
      <w:r>
        <w:t>Despite this, reporting by major service group allows for comparisons and provides an indication of where the increases in funding to Māori health providers were distributed.</w:t>
      </w:r>
    </w:p>
    <w:p w14:paraId="493C3E39" w14:textId="77777777" w:rsidR="00B969B3" w:rsidRDefault="00B969B3" w:rsidP="00B969B3">
      <w:pPr>
        <w:spacing w:before="0"/>
      </w:pPr>
    </w:p>
    <w:p w14:paraId="226E1405" w14:textId="3FCE4373" w:rsidR="00960C98" w:rsidRDefault="00960C98" w:rsidP="00B969B3">
      <w:pPr>
        <w:spacing w:before="0"/>
      </w:pPr>
      <w:r>
        <w:t xml:space="preserve">Information on major service groups can be found on Health New Zealand’s website, particularly within the </w:t>
      </w:r>
      <w:r w:rsidR="005E59AD">
        <w:t>p</w:t>
      </w:r>
      <w:r>
        <w:t xml:space="preserve">urchase </w:t>
      </w:r>
      <w:r w:rsidR="005E59AD">
        <w:t>u</w:t>
      </w:r>
      <w:r>
        <w:t xml:space="preserve">nit </w:t>
      </w:r>
      <w:r w:rsidR="005E59AD">
        <w:t>d</w:t>
      </w:r>
      <w:r>
        <w:t xml:space="preserve">ata </w:t>
      </w:r>
      <w:r w:rsidR="005E59AD">
        <w:t>d</w:t>
      </w:r>
      <w:r>
        <w:t>ictionary.</w:t>
      </w:r>
      <w:r>
        <w:rPr>
          <w:rStyle w:val="FootnoteReference"/>
        </w:rPr>
        <w:footnoteReference w:id="4"/>
      </w:r>
    </w:p>
    <w:p w14:paraId="5D6CB087" w14:textId="77777777" w:rsidR="00B969B3" w:rsidRDefault="00B969B3" w:rsidP="00B969B3">
      <w:pPr>
        <w:spacing w:before="0"/>
      </w:pPr>
    </w:p>
    <w:p w14:paraId="67D9F1CA" w14:textId="12252C9A" w:rsidR="00960C98" w:rsidRDefault="00960C98" w:rsidP="00B969B3">
      <w:pPr>
        <w:spacing w:before="0"/>
      </w:pPr>
      <w:r>
        <w:t xml:space="preserve">Table </w:t>
      </w:r>
      <w:r w:rsidR="00D743C7">
        <w:t xml:space="preserve">2 </w:t>
      </w:r>
      <w:r>
        <w:t>shows funding by the five largest major service groups by dollar value. These five groups accounted for 8</w:t>
      </w:r>
      <w:r w:rsidR="002E5FD5">
        <w:t>6.9</w:t>
      </w:r>
      <w:r>
        <w:t>% of total funding to Māori health providers in 202</w:t>
      </w:r>
      <w:r w:rsidR="004D76E2">
        <w:t>4</w:t>
      </w:r>
      <w:r>
        <w:t>/2</w:t>
      </w:r>
      <w:r w:rsidR="004D76E2">
        <w:t>5</w:t>
      </w:r>
      <w:r>
        <w:t xml:space="preserve">. </w:t>
      </w:r>
    </w:p>
    <w:p w14:paraId="2F1DCD1E" w14:textId="58339CED" w:rsidR="00960C98" w:rsidRDefault="00960C98" w:rsidP="00B969B3">
      <w:pPr>
        <w:keepNext/>
        <w:spacing w:before="0"/>
      </w:pPr>
      <w:r>
        <w:lastRenderedPageBreak/>
        <w:t>Between 20</w:t>
      </w:r>
      <w:r w:rsidR="00A8073D">
        <w:t>20/21</w:t>
      </w:r>
      <w:r>
        <w:t xml:space="preserve"> and 202</w:t>
      </w:r>
      <w:r w:rsidR="00A8073D">
        <w:t>4</w:t>
      </w:r>
      <w:r>
        <w:t>/2</w:t>
      </w:r>
      <w:r w:rsidR="00A8073D">
        <w:t>5</w:t>
      </w:r>
      <w:r>
        <w:t>:</w:t>
      </w:r>
    </w:p>
    <w:p w14:paraId="4D8ACED9" w14:textId="77777777" w:rsidR="00F24172" w:rsidRDefault="00F24172" w:rsidP="00F24172">
      <w:pPr>
        <w:pStyle w:val="Bullet"/>
      </w:pPr>
      <w:r>
        <w:t>mental health service funding increased by $157.5 million or 118.8%</w:t>
      </w:r>
    </w:p>
    <w:p w14:paraId="51540C3A" w14:textId="281C762F" w:rsidR="004D76E2" w:rsidRDefault="00C0459B" w:rsidP="004D76E2">
      <w:pPr>
        <w:pStyle w:val="Bullet"/>
      </w:pPr>
      <w:r>
        <w:t>p</w:t>
      </w:r>
      <w:r w:rsidR="004D76E2">
        <w:t xml:space="preserve">rimary </w:t>
      </w:r>
      <w:r w:rsidR="00721D54">
        <w:t>c</w:t>
      </w:r>
      <w:r w:rsidR="00CA4059">
        <w:t xml:space="preserve">are </w:t>
      </w:r>
      <w:r w:rsidR="004D76E2">
        <w:t xml:space="preserve">organisation </w:t>
      </w:r>
      <w:r w:rsidR="00473A8B">
        <w:t>services</w:t>
      </w:r>
      <w:r w:rsidR="004D76E2">
        <w:t xml:space="preserve"> funding increased by $</w:t>
      </w:r>
      <w:r w:rsidR="00CA4059">
        <w:t>8</w:t>
      </w:r>
      <w:r w:rsidR="009D0792">
        <w:t>8.1</w:t>
      </w:r>
      <w:r w:rsidR="004D76E2">
        <w:t xml:space="preserve"> million or </w:t>
      </w:r>
      <w:r w:rsidR="006B5432">
        <w:t>4</w:t>
      </w:r>
      <w:r w:rsidR="002A5EE0">
        <w:t>6.6</w:t>
      </w:r>
      <w:r w:rsidR="004D76E2">
        <w:t>%</w:t>
      </w:r>
    </w:p>
    <w:p w14:paraId="3726A9BB" w14:textId="4E31B8D4" w:rsidR="00960C98" w:rsidRDefault="00C0459B" w:rsidP="0005338B">
      <w:pPr>
        <w:pStyle w:val="Bullet"/>
      </w:pPr>
      <w:proofErr w:type="spellStart"/>
      <w:r>
        <w:t>h</w:t>
      </w:r>
      <w:r w:rsidR="00960C98">
        <w:t>auora</w:t>
      </w:r>
      <w:proofErr w:type="spellEnd"/>
      <w:r w:rsidR="00960C98">
        <w:t xml:space="preserve"> Māori service funding increased by $</w:t>
      </w:r>
      <w:r w:rsidR="00CD4194">
        <w:t>201.1</w:t>
      </w:r>
      <w:r w:rsidR="00960C98">
        <w:t xml:space="preserve"> million or </w:t>
      </w:r>
      <w:r w:rsidR="00CD4194">
        <w:t>313.6</w:t>
      </w:r>
      <w:r w:rsidR="00960C98">
        <w:t xml:space="preserve">%. Most of this increase came from the areas of support services for mothers and their </w:t>
      </w:r>
      <w:proofErr w:type="spellStart"/>
      <w:r w:rsidR="00960C98">
        <w:t>pēpi</w:t>
      </w:r>
      <w:proofErr w:type="spellEnd"/>
      <w:r w:rsidR="00960C98">
        <w:t xml:space="preserve"> ($</w:t>
      </w:r>
      <w:r w:rsidR="000970DA">
        <w:t>36.3</w:t>
      </w:r>
      <w:r w:rsidR="00AE0F53">
        <w:t xml:space="preserve"> </w:t>
      </w:r>
      <w:r w:rsidR="00960C98">
        <w:t>m</w:t>
      </w:r>
      <w:r w:rsidR="00AE0F53">
        <w:t>illion</w:t>
      </w:r>
      <w:r w:rsidR="00960C98">
        <w:t>), Māori health development ($3</w:t>
      </w:r>
      <w:r w:rsidR="003D73A0">
        <w:t>9.1</w:t>
      </w:r>
      <w:r w:rsidR="00AE0F53">
        <w:t xml:space="preserve"> </w:t>
      </w:r>
      <w:r w:rsidR="00960C98">
        <w:t>m</w:t>
      </w:r>
      <w:r w:rsidR="00AE0F53">
        <w:t>illion</w:t>
      </w:r>
      <w:r w:rsidR="00960C98">
        <w:t>)</w:t>
      </w:r>
      <w:r w:rsidR="00396177">
        <w:t xml:space="preserve">, </w:t>
      </w:r>
      <w:r w:rsidR="00960C98">
        <w:t>health promotion ($</w:t>
      </w:r>
      <w:r w:rsidR="00396177">
        <w:t>47.4</w:t>
      </w:r>
      <w:r w:rsidR="004E6C97">
        <w:t xml:space="preserve"> </w:t>
      </w:r>
      <w:r w:rsidR="00960C98">
        <w:t>m</w:t>
      </w:r>
      <w:r w:rsidR="004E6C97">
        <w:t>illion</w:t>
      </w:r>
      <w:r w:rsidR="00960C98">
        <w:t>)</w:t>
      </w:r>
      <w:r w:rsidR="00396177">
        <w:t xml:space="preserve">, and </w:t>
      </w:r>
      <w:proofErr w:type="spellStart"/>
      <w:r w:rsidR="00CC14DD">
        <w:t>mātauranga</w:t>
      </w:r>
      <w:proofErr w:type="spellEnd"/>
      <w:r w:rsidR="00CC14DD">
        <w:t xml:space="preserve"> Māori (</w:t>
      </w:r>
      <w:r w:rsidR="002571B5">
        <w:t>$</w:t>
      </w:r>
      <w:r w:rsidR="00CC14DD">
        <w:t>65.1 million)</w:t>
      </w:r>
    </w:p>
    <w:p w14:paraId="614A2B4C" w14:textId="63A962A9" w:rsidR="00960C98" w:rsidRDefault="00C0459B" w:rsidP="00960C98">
      <w:pPr>
        <w:pStyle w:val="Bullet"/>
      </w:pPr>
      <w:r>
        <w:t>p</w:t>
      </w:r>
      <w:r w:rsidR="00960C98">
        <w:t>ublic health service funding increased by $4</w:t>
      </w:r>
      <w:r w:rsidR="004540BE">
        <w:t>6.2</w:t>
      </w:r>
      <w:r w:rsidR="00960C98">
        <w:t xml:space="preserve"> million or 17</w:t>
      </w:r>
      <w:r w:rsidR="004540BE">
        <w:t>1.6</w:t>
      </w:r>
      <w:r w:rsidR="00960C98">
        <w:t xml:space="preserve">%. The biggest increases were observed in the areas of preventative interventions </w:t>
      </w:r>
      <w:r w:rsidR="002F5588">
        <w:t xml:space="preserve">– </w:t>
      </w:r>
      <w:r w:rsidR="00960C98">
        <w:t>immunisation services ($2</w:t>
      </w:r>
      <w:r w:rsidR="00DA2739">
        <w:t>4.8</w:t>
      </w:r>
      <w:r w:rsidR="00AE0F53">
        <w:t xml:space="preserve"> </w:t>
      </w:r>
      <w:r w:rsidR="00960C98">
        <w:t>m</w:t>
      </w:r>
      <w:r w:rsidR="00AE0F53">
        <w:t>illion</w:t>
      </w:r>
      <w:r w:rsidR="00960C98">
        <w:t>) and health promotion ($</w:t>
      </w:r>
      <w:r w:rsidR="00C510AE">
        <w:t>7.4</w:t>
      </w:r>
      <w:r w:rsidR="00AE0F53">
        <w:t xml:space="preserve"> </w:t>
      </w:r>
      <w:r w:rsidR="00960C98">
        <w:t>m</w:t>
      </w:r>
      <w:r w:rsidR="00AE0F53">
        <w:t>illion</w:t>
      </w:r>
      <w:r w:rsidR="00960C98">
        <w:t>)</w:t>
      </w:r>
    </w:p>
    <w:p w14:paraId="756BDD92" w14:textId="64DC133E" w:rsidR="00960C98" w:rsidRDefault="00C0459B" w:rsidP="00960C98">
      <w:pPr>
        <w:pStyle w:val="Bullet"/>
      </w:pPr>
      <w:r>
        <w:t>s</w:t>
      </w:r>
      <w:r w:rsidR="005A61AB">
        <w:t xml:space="preserve">upport </w:t>
      </w:r>
      <w:r w:rsidR="002B11B1">
        <w:t>s</w:t>
      </w:r>
      <w:r w:rsidR="00960C98">
        <w:t xml:space="preserve">ervice funding increased by </w:t>
      </w:r>
      <w:r w:rsidR="00733BB3">
        <w:t>$</w:t>
      </w:r>
      <w:r w:rsidR="002B11B1">
        <w:t>5.9</w:t>
      </w:r>
      <w:r w:rsidR="00960C98">
        <w:t xml:space="preserve"> million or </w:t>
      </w:r>
      <w:r w:rsidR="002B11B1">
        <w:t>14.7</w:t>
      </w:r>
      <w:r w:rsidR="00960C98">
        <w:t>%. These cover a wide range of contracts not included elsewhere.</w:t>
      </w:r>
    </w:p>
    <w:p w14:paraId="1BFC0E72" w14:textId="107C44D5" w:rsidR="35C9AA99" w:rsidRDefault="35C9AA99" w:rsidP="00B969B3">
      <w:pPr>
        <w:pStyle w:val="Bullet"/>
        <w:numPr>
          <w:ilvl w:val="0"/>
          <w:numId w:val="0"/>
        </w:numPr>
        <w:spacing w:before="0"/>
      </w:pPr>
    </w:p>
    <w:p w14:paraId="7401B38C" w14:textId="2C55C9BF" w:rsidR="7D4661FB" w:rsidRDefault="7D4661FB" w:rsidP="00B969B3">
      <w:pPr>
        <w:pStyle w:val="ListParagraph"/>
        <w:spacing w:before="0"/>
        <w:ind w:left="0"/>
        <w:rPr>
          <w:rFonts w:eastAsia="Segoe UI" w:cs="Segoe UI"/>
          <w:szCs w:val="21"/>
        </w:rPr>
      </w:pPr>
      <w:r w:rsidRPr="35C9AA99">
        <w:rPr>
          <w:rFonts w:eastAsia="Segoe UI" w:cs="Segoe UI"/>
          <w:szCs w:val="21"/>
        </w:rPr>
        <w:t xml:space="preserve">Māori health providers remain an important and growing part of Aotearoa New Zealand’s health system, delivering a wide range of services that are </w:t>
      </w:r>
      <w:r w:rsidR="00785E5F">
        <w:rPr>
          <w:rFonts w:eastAsia="Segoe UI" w:cs="Segoe UI"/>
          <w:szCs w:val="21"/>
        </w:rPr>
        <w:t xml:space="preserve">responsive </w:t>
      </w:r>
      <w:r w:rsidR="00D817D6">
        <w:rPr>
          <w:rFonts w:eastAsia="Segoe UI" w:cs="Segoe UI"/>
          <w:szCs w:val="21"/>
        </w:rPr>
        <w:t xml:space="preserve">to need, </w:t>
      </w:r>
      <w:r w:rsidRPr="35C9AA99">
        <w:rPr>
          <w:rFonts w:eastAsia="Segoe UI" w:cs="Segoe UI"/>
          <w:szCs w:val="21"/>
        </w:rPr>
        <w:t xml:space="preserve">culturally grounded and targeted to Māori, Pacific peoples, and other high‑needs communities. Between 2020/21 and 2024/25, funding to Māori health providers increased by 87%, reflecting their expanding role across key service areas such as mental health, primary care, </w:t>
      </w:r>
      <w:proofErr w:type="spellStart"/>
      <w:r w:rsidRPr="35C9AA99">
        <w:rPr>
          <w:rFonts w:eastAsia="Segoe UI" w:cs="Segoe UI"/>
          <w:szCs w:val="21"/>
        </w:rPr>
        <w:t>hauora</w:t>
      </w:r>
      <w:proofErr w:type="spellEnd"/>
      <w:r w:rsidRPr="35C9AA99">
        <w:rPr>
          <w:rFonts w:eastAsia="Segoe UI" w:cs="Segoe UI"/>
          <w:szCs w:val="21"/>
        </w:rPr>
        <w:t xml:space="preserve"> Māori, and public health. While this funding still represents a relatively small proportion of overall Vote Health, its steady growth and the increasing number of Māori providers demonstrate the system’s continued reliance on Māori‑led organisations to improve access, responsiveness</w:t>
      </w:r>
      <w:r w:rsidR="00D817D6">
        <w:rPr>
          <w:rFonts w:eastAsia="Segoe UI" w:cs="Segoe UI"/>
          <w:szCs w:val="21"/>
        </w:rPr>
        <w:t xml:space="preserve"> to need</w:t>
      </w:r>
      <w:r w:rsidRPr="35C9AA99">
        <w:rPr>
          <w:rFonts w:eastAsia="Segoe UI" w:cs="Segoe UI"/>
          <w:szCs w:val="21"/>
        </w:rPr>
        <w:t>, and outcomes for Māori and whānau.</w:t>
      </w:r>
    </w:p>
    <w:p w14:paraId="1854DED4" w14:textId="176C0BD8" w:rsidR="35C9AA99" w:rsidRDefault="35C9AA99" w:rsidP="35C9AA99">
      <w:pPr>
        <w:pStyle w:val="Bullet"/>
        <w:numPr>
          <w:ilvl w:val="0"/>
          <w:numId w:val="0"/>
        </w:numPr>
      </w:pPr>
    </w:p>
    <w:p w14:paraId="46201782" w14:textId="77777777" w:rsidR="00960C98" w:rsidRDefault="00960C98" w:rsidP="007B284E">
      <w:pPr>
        <w:spacing w:before="0"/>
      </w:pPr>
    </w:p>
    <w:p w14:paraId="53D0E226" w14:textId="77777777" w:rsidR="00783D9C" w:rsidRPr="00DD748F" w:rsidRDefault="00783D9C" w:rsidP="007B284E">
      <w:pPr>
        <w:spacing w:before="0"/>
      </w:pPr>
    </w:p>
    <w:p w14:paraId="0F80B528" w14:textId="350BD3A7" w:rsidR="00EB461E" w:rsidRPr="00DD748F" w:rsidRDefault="00EB461E" w:rsidP="00C34608">
      <w:pPr>
        <w:spacing w:before="480"/>
        <w:jc w:val="center"/>
        <w:rPr>
          <w:rFonts w:ascii="Cambria" w:hAnsi="Cambria"/>
        </w:rPr>
      </w:pPr>
    </w:p>
    <w:p w14:paraId="57B281D7" w14:textId="5713FE33" w:rsidR="00EB461E" w:rsidRDefault="00F77BF5" w:rsidP="002233D8">
      <w:pPr>
        <w:spacing w:before="240"/>
        <w:jc w:val="center"/>
        <w:rPr>
          <w:lang w:eastAsia="en-NZ"/>
        </w:rPr>
      </w:pPr>
      <w:r>
        <w:t>April</w:t>
      </w:r>
      <w:r w:rsidR="00960C98">
        <w:t xml:space="preserve"> </w:t>
      </w:r>
      <w:r w:rsidR="00B341F9">
        <w:t>202</w:t>
      </w:r>
      <w:r w:rsidR="00A8073D">
        <w:t>6</w:t>
      </w:r>
      <w:r w:rsidR="00C34608" w:rsidRPr="00DD748F">
        <w:br/>
      </w:r>
      <w:r w:rsidR="00EB461E" w:rsidRPr="00DD748F">
        <w:rPr>
          <w:lang w:eastAsia="en-NZ"/>
        </w:rPr>
        <w:t>HP</w:t>
      </w:r>
      <w:r w:rsidR="00A7460A">
        <w:rPr>
          <w:lang w:eastAsia="en-NZ"/>
        </w:rPr>
        <w:t xml:space="preserve"> </w:t>
      </w:r>
      <w:r w:rsidR="009E42E3">
        <w:rPr>
          <w:lang w:eastAsia="en-NZ"/>
        </w:rPr>
        <w:t>9163</w:t>
      </w:r>
    </w:p>
    <w:p w14:paraId="762C0BCA" w14:textId="77777777" w:rsidR="00660619" w:rsidRDefault="00660619" w:rsidP="00660619">
      <w:pPr>
        <w:rPr>
          <w:lang w:eastAsia="en-NZ"/>
        </w:rPr>
      </w:pPr>
    </w:p>
    <w:sectPr w:rsidR="00660619" w:rsidSect="000E4E05">
      <w:footerReference w:type="even" r:id="rId13"/>
      <w:footerReference w:type="default" r:id="rId14"/>
      <w:headerReference w:type="first" r:id="rId15"/>
      <w:footerReference w:type="first" r:id="rId16"/>
      <w:pgSz w:w="11906" w:h="16838" w:code="9"/>
      <w:pgMar w:top="1134" w:right="1134" w:bottom="1134" w:left="1418" w:header="284" w:footer="425"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5">
      <wne:acd wne:acdName="acd1"/>
    </wne:keymap>
  </wne:keymaps>
  <wne:toolbars>
    <wne:acdManifest>
      <wne:acdEntry wne:acdName="acd0"/>
      <wne:acdEntry wne:acdName="acd1"/>
    </wne:acdManifest>
  </wne:toolbars>
  <wne:acds>
    <wne:acd wne:argValue="AQAAAAEA" wne:acdName="acd0" wne:fciIndexBasedOn="0065"/>
    <wne:acd wne:argValue="AgBCAHUAbABsAGU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E41C" w14:textId="77777777" w:rsidR="00587614" w:rsidRDefault="00587614">
      <w:r>
        <w:separator/>
      </w:r>
    </w:p>
  </w:endnote>
  <w:endnote w:type="continuationSeparator" w:id="0">
    <w:p w14:paraId="63FCF5A1" w14:textId="77777777" w:rsidR="00587614" w:rsidRDefault="00587614">
      <w:r>
        <w:continuationSeparator/>
      </w:r>
    </w:p>
  </w:endnote>
  <w:endnote w:type="continuationNotice" w:id="1">
    <w:p w14:paraId="048BA6DA" w14:textId="77777777" w:rsidR="00587614" w:rsidRDefault="0058761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8B7E52">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2</w:t>
          </w:r>
          <w:r w:rsidRPr="00525FFB">
            <w:rPr>
              <w:rStyle w:val="PageNumber"/>
              <w:sz w:val="22"/>
              <w:szCs w:val="22"/>
            </w:rPr>
            <w:fldChar w:fldCharType="end"/>
          </w:r>
        </w:p>
      </w:tc>
      <w:tc>
        <w:tcPr>
          <w:tcW w:w="9356" w:type="dxa"/>
          <w:vAlign w:val="center"/>
        </w:tcPr>
        <w:p w14:paraId="532E9E92" w14:textId="63948CED" w:rsidR="00525FFB" w:rsidRDefault="000117D4" w:rsidP="00525FFB">
          <w:pPr>
            <w:pStyle w:val="RectoFooter"/>
            <w:jc w:val="left"/>
          </w:pPr>
          <w:r>
            <w:t xml:space="preserve">Funding to Māori Health Providers </w:t>
          </w:r>
          <w:r w:rsidR="000D68CD">
            <w:t>2020/21 to 2024</w:t>
          </w:r>
          <w:r w:rsidR="008B4FA8">
            <w:t>/</w:t>
          </w:r>
          <w:r w:rsidR="000D68CD">
            <w:t>25</w:t>
          </w:r>
        </w:p>
      </w:tc>
    </w:tr>
  </w:tbl>
  <w:p w14:paraId="3E3D2028" w14:textId="77777777" w:rsidR="00EE6CE2" w:rsidRPr="00525FFB" w:rsidRDefault="00EE6CE2" w:rsidP="00B969B3">
    <w:pPr>
      <w:spacing w:before="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3091C738" w:rsidR="00525FFB" w:rsidRDefault="000117D4" w:rsidP="00525FFB">
          <w:pPr>
            <w:pStyle w:val="RectoFooter"/>
          </w:pPr>
          <w:r>
            <w:t xml:space="preserve">Funding to Māori Health Providers </w:t>
          </w:r>
          <w:r w:rsidR="000D68CD">
            <w:t>2020/21 to 2024</w:t>
          </w:r>
          <w:r w:rsidR="008B4FA8">
            <w:t>/</w:t>
          </w:r>
          <w:r w:rsidR="000D68CD">
            <w:t>25</w:t>
          </w:r>
        </w:p>
      </w:tc>
      <w:tc>
        <w:tcPr>
          <w:tcW w:w="709" w:type="dxa"/>
          <w:vAlign w:val="center"/>
        </w:tcPr>
        <w:p w14:paraId="0A1C0C1A" w14:textId="77777777" w:rsidR="00525FFB" w:rsidRPr="00525FFB" w:rsidRDefault="00525FFB" w:rsidP="008B7E52">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3</w:t>
          </w:r>
          <w:r w:rsidRPr="00525FFB">
            <w:rPr>
              <w:rStyle w:val="PageNumber"/>
              <w:sz w:val="22"/>
              <w:szCs w:val="22"/>
            </w:rPr>
            <w:fldChar w:fldCharType="end"/>
          </w:r>
        </w:p>
      </w:tc>
    </w:tr>
  </w:tbl>
  <w:p w14:paraId="01637F7F" w14:textId="77777777" w:rsidR="00525FFB" w:rsidRPr="00525FFB" w:rsidRDefault="00525FFB" w:rsidP="00B969B3">
    <w:pP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8B7E52">
      <w:trPr>
        <w:cantSplit/>
      </w:trPr>
      <w:tc>
        <w:tcPr>
          <w:tcW w:w="8647" w:type="dxa"/>
          <w:vAlign w:val="center"/>
        </w:tcPr>
        <w:p w14:paraId="0A280F73" w14:textId="103F6CD6" w:rsidR="00113C1B" w:rsidRDefault="000117D4" w:rsidP="000117D4">
          <w:pPr>
            <w:pStyle w:val="RectoFooter"/>
          </w:pPr>
          <w:r>
            <w:t xml:space="preserve">Funding to Māori Health Providers </w:t>
          </w:r>
          <w:r w:rsidR="000D68CD">
            <w:t>2020/21 to 2024</w:t>
          </w:r>
          <w:r w:rsidR="00FD476E">
            <w:t>/</w:t>
          </w:r>
          <w:r w:rsidR="000D68CD">
            <w:t>25</w:t>
          </w:r>
        </w:p>
      </w:tc>
      <w:tc>
        <w:tcPr>
          <w:tcW w:w="709" w:type="dxa"/>
          <w:vAlign w:val="center"/>
        </w:tcPr>
        <w:p w14:paraId="3DE55418" w14:textId="77777777" w:rsidR="00113C1B" w:rsidRPr="00525FFB" w:rsidRDefault="00113C1B" w:rsidP="008B7E52">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1</w:t>
          </w:r>
          <w:r w:rsidRPr="00525FFB">
            <w:rPr>
              <w:rStyle w:val="PageNumber"/>
              <w:sz w:val="22"/>
              <w:szCs w:val="22"/>
            </w:rPr>
            <w:fldChar w:fldCharType="end"/>
          </w:r>
        </w:p>
      </w:tc>
    </w:tr>
  </w:tbl>
  <w:p w14:paraId="71FB8192" w14:textId="77777777" w:rsidR="00113C1B" w:rsidRPr="00113C1B" w:rsidRDefault="00113C1B" w:rsidP="00B969B3">
    <w:pPr>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DCFA" w14:textId="77777777" w:rsidR="00587614" w:rsidRPr="00680D2D" w:rsidRDefault="00587614" w:rsidP="00680D2D">
      <w:pPr>
        <w:pStyle w:val="Footer"/>
      </w:pPr>
    </w:p>
  </w:footnote>
  <w:footnote w:type="continuationSeparator" w:id="0">
    <w:p w14:paraId="6B6FD60D" w14:textId="77777777" w:rsidR="00587614" w:rsidRDefault="00587614">
      <w:r>
        <w:continuationSeparator/>
      </w:r>
    </w:p>
  </w:footnote>
  <w:footnote w:type="continuationNotice" w:id="1">
    <w:p w14:paraId="3BADD8FC" w14:textId="77777777" w:rsidR="00587614" w:rsidRDefault="00587614">
      <w:pPr>
        <w:spacing w:before="0" w:line="240" w:lineRule="auto"/>
      </w:pPr>
    </w:p>
  </w:footnote>
  <w:footnote w:id="2">
    <w:p w14:paraId="17A22498" w14:textId="3CE7A6F0" w:rsidR="00960C98" w:rsidRPr="007A0641" w:rsidRDefault="00960C98" w:rsidP="00960C98">
      <w:pPr>
        <w:pStyle w:val="FootnoteText"/>
        <w:ind w:left="142" w:hanging="142"/>
        <w:rPr>
          <w:lang w:val="en-US"/>
        </w:rPr>
      </w:pPr>
      <w:r>
        <w:rPr>
          <w:rStyle w:val="FootnoteReference"/>
        </w:rPr>
        <w:footnoteRef/>
      </w:r>
      <w:r w:rsidR="002B3548">
        <w:t xml:space="preserve"> </w:t>
      </w:r>
      <w:r w:rsidRPr="007A0641">
        <w:t xml:space="preserve">Māori health providers have been identified as suppliers of health care services </w:t>
      </w:r>
      <w:r>
        <w:t xml:space="preserve">that are </w:t>
      </w:r>
      <w:r w:rsidRPr="007A0641">
        <w:t>owned and governed by</w:t>
      </w:r>
      <w:r w:rsidR="00F72E6E">
        <w:t xml:space="preserve"> </w:t>
      </w:r>
      <w:r w:rsidRPr="007A0641">
        <w:t>Māori</w:t>
      </w:r>
      <w:r>
        <w:t xml:space="preserve"> and</w:t>
      </w:r>
      <w:r w:rsidRPr="007A0641">
        <w:t xml:space="preserve"> </w:t>
      </w:r>
      <w:r>
        <w:t xml:space="preserve">are </w:t>
      </w:r>
      <w:r w:rsidRPr="007A0641">
        <w:t>providing health and disability services primarily but not exclusively for Māori.</w:t>
      </w:r>
      <w:r w:rsidRPr="007A0641">
        <w:rPr>
          <w:lang w:val="en-US"/>
        </w:rPr>
        <w:t xml:space="preserve"> </w:t>
      </w:r>
    </w:p>
  </w:footnote>
  <w:footnote w:id="3">
    <w:p w14:paraId="09726386" w14:textId="6939BB67" w:rsidR="00960C98" w:rsidRPr="002B3548" w:rsidRDefault="00960C98" w:rsidP="002B3548">
      <w:pPr>
        <w:pStyle w:val="FootnoteText"/>
        <w:ind w:left="142" w:hanging="142"/>
        <w:rPr>
          <w:color w:val="auto"/>
        </w:rPr>
      </w:pPr>
      <w:r>
        <w:rPr>
          <w:rStyle w:val="FootnoteReference"/>
        </w:rPr>
        <w:footnoteRef/>
      </w:r>
      <w:r>
        <w:t xml:space="preserve"> </w:t>
      </w:r>
      <w:r w:rsidRPr="007A0641">
        <w:t>Ministry of Health. 202</w:t>
      </w:r>
      <w:r w:rsidR="00D6549D">
        <w:t>5</w:t>
      </w:r>
      <w:r w:rsidRPr="007A0641">
        <w:t xml:space="preserve">. </w:t>
      </w:r>
      <w:r w:rsidRPr="007C7EF2">
        <w:rPr>
          <w:i/>
          <w:iCs/>
        </w:rPr>
        <w:t>Funding to Māori Health Providers 201</w:t>
      </w:r>
      <w:r w:rsidR="007C6E4D">
        <w:rPr>
          <w:i/>
          <w:iCs/>
        </w:rPr>
        <w:t>9</w:t>
      </w:r>
      <w:r w:rsidRPr="007C7EF2">
        <w:rPr>
          <w:i/>
          <w:iCs/>
        </w:rPr>
        <w:t>/</w:t>
      </w:r>
      <w:r w:rsidR="007C6E4D">
        <w:rPr>
          <w:i/>
          <w:iCs/>
        </w:rPr>
        <w:t xml:space="preserve">20 </w:t>
      </w:r>
      <w:r w:rsidRPr="007C7EF2">
        <w:rPr>
          <w:i/>
          <w:iCs/>
        </w:rPr>
        <w:t>to 202</w:t>
      </w:r>
      <w:r w:rsidR="007C6E4D">
        <w:rPr>
          <w:i/>
          <w:iCs/>
        </w:rPr>
        <w:t>3</w:t>
      </w:r>
      <w:r w:rsidRPr="007C7EF2">
        <w:rPr>
          <w:i/>
          <w:iCs/>
        </w:rPr>
        <w:t>/2</w:t>
      </w:r>
      <w:r w:rsidR="007C6E4D">
        <w:rPr>
          <w:i/>
          <w:iCs/>
        </w:rPr>
        <w:t>4</w:t>
      </w:r>
      <w:r w:rsidRPr="007A0641">
        <w:t>. Wellington: Ministry of Health. URL:</w:t>
      </w:r>
      <w:r w:rsidRPr="001A64C4">
        <w:rPr>
          <w:b/>
          <w:bCs/>
          <w:color w:val="7F7F7F" w:themeColor="text1" w:themeTint="80"/>
        </w:rPr>
        <w:t xml:space="preserve"> </w:t>
      </w:r>
      <w:r w:rsidR="00700FFA" w:rsidRPr="00700FFA">
        <w:rPr>
          <w:b/>
          <w:bCs/>
          <w:color w:val="7F7F7F" w:themeColor="text1" w:themeTint="80"/>
        </w:rPr>
        <w:t>health.govt.nz/publications/funding-to-maori-health-providers-201920-to-202324</w:t>
      </w:r>
      <w:r w:rsidR="003C4DFB">
        <w:rPr>
          <w:rStyle w:val="Hyperlink"/>
        </w:rPr>
        <w:t xml:space="preserve"> (accessed 19 </w:t>
      </w:r>
      <w:r w:rsidR="00A54311">
        <w:rPr>
          <w:rStyle w:val="Hyperlink"/>
        </w:rPr>
        <w:t xml:space="preserve">December </w:t>
      </w:r>
      <w:r w:rsidR="003C4DFB">
        <w:rPr>
          <w:rStyle w:val="Hyperlink"/>
        </w:rPr>
        <w:t>2025).</w:t>
      </w:r>
    </w:p>
  </w:footnote>
  <w:footnote w:id="4">
    <w:p w14:paraId="65C8FBE4" w14:textId="2DBD076E" w:rsidR="00960C98" w:rsidRDefault="00960C98" w:rsidP="00960C98">
      <w:pPr>
        <w:pStyle w:val="FootnoteText"/>
        <w:ind w:left="142" w:hanging="142"/>
      </w:pPr>
      <w:r>
        <w:rPr>
          <w:rStyle w:val="FootnoteReference"/>
        </w:rPr>
        <w:footnoteRef/>
      </w:r>
      <w:r>
        <w:t xml:space="preserve"> </w:t>
      </w:r>
      <w:r w:rsidR="005E59AD">
        <w:t xml:space="preserve">See </w:t>
      </w:r>
      <w:r w:rsidR="00DF6719">
        <w:t>‘</w:t>
      </w:r>
      <w:r>
        <w:t xml:space="preserve">Purchase </w:t>
      </w:r>
      <w:r w:rsidR="00DF6719">
        <w:t>u</w:t>
      </w:r>
      <w:r>
        <w:t xml:space="preserve">nit </w:t>
      </w:r>
      <w:r w:rsidR="00DF6719">
        <w:t>c</w:t>
      </w:r>
      <w:r>
        <w:t>odes</w:t>
      </w:r>
      <w:r w:rsidR="007A29DA">
        <w:t>’</w:t>
      </w:r>
      <w:r w:rsidR="00DF6719">
        <w:t xml:space="preserve"> on the Health New Zealand website:</w:t>
      </w:r>
      <w:r>
        <w:t xml:space="preserve"> </w:t>
      </w:r>
      <w:hyperlink r:id="rId1" w:history="1">
        <w:r w:rsidR="00DF6719" w:rsidRPr="004D1F57">
          <w:rPr>
            <w:rStyle w:val="Hyperlink"/>
            <w:b/>
            <w:bCs/>
            <w:color w:val="7F7F7F" w:themeColor="text1" w:themeTint="80"/>
          </w:rPr>
          <w:t>tewhatuora.govt.nz/health-services-and-programmes/nationwide-service-framework-library/purchase-units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4E8A1878" w:rsidR="00EE6CE2" w:rsidRDefault="002065FF" w:rsidP="002B3548">
    <w:pPr>
      <w:pStyle w:val="Header"/>
      <w:spacing w:after="360"/>
    </w:pPr>
    <w:r>
      <w:rPr>
        <w:noProof/>
      </w:rPr>
      <w:drawing>
        <wp:anchor distT="0" distB="0" distL="114300" distR="114300" simplePos="0" relativeHeight="251658241" behindDoc="1" locked="0" layoutInCell="1" allowOverlap="1" wp14:anchorId="1A847BBA" wp14:editId="3C0565A3">
          <wp:simplePos x="0" y="0"/>
          <wp:positionH relativeFrom="column">
            <wp:posOffset>4766945</wp:posOffset>
          </wp:positionH>
          <wp:positionV relativeFrom="paragraph">
            <wp:posOffset>543560</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277183745" name="Picture 127718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55075F52">
          <wp:simplePos x="0" y="0"/>
          <wp:positionH relativeFrom="page">
            <wp:posOffset>-30480</wp:posOffset>
          </wp:positionH>
          <wp:positionV relativeFrom="margin">
            <wp:posOffset>-142875</wp:posOffset>
          </wp:positionV>
          <wp:extent cx="5528310" cy="716280"/>
          <wp:effectExtent l="0" t="0" r="0" b="7620"/>
          <wp:wrapTight wrapText="bothSides">
            <wp:wrapPolygon edited="0">
              <wp:start x="0" y="0"/>
              <wp:lineTo x="0" y="21255"/>
              <wp:lineTo x="21511" y="21255"/>
              <wp:lineTo x="21511" y="0"/>
              <wp:lineTo x="0" y="0"/>
            </wp:wrapPolygon>
          </wp:wrapTight>
          <wp:docPr id="1438250162" name="Picture 143825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893"/>
    <w:multiLevelType w:val="hybridMultilevel"/>
    <w:tmpl w:val="D18A4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C5D3FC8"/>
    <w:multiLevelType w:val="hybridMultilevel"/>
    <w:tmpl w:val="BC861396"/>
    <w:lvl w:ilvl="0" w:tplc="CE507AD4">
      <w:start w:val="1"/>
      <w:numFmt w:val="bullet"/>
      <w:lvlText w:val="·"/>
      <w:lvlJc w:val="left"/>
      <w:pPr>
        <w:ind w:left="720" w:hanging="360"/>
      </w:pPr>
      <w:rPr>
        <w:rFonts w:ascii="Symbol" w:hAnsi="Symbol" w:hint="default"/>
      </w:rPr>
    </w:lvl>
    <w:lvl w:ilvl="1" w:tplc="A80072D8">
      <w:start w:val="1"/>
      <w:numFmt w:val="bullet"/>
      <w:lvlText w:val="o"/>
      <w:lvlJc w:val="left"/>
      <w:pPr>
        <w:ind w:left="1440" w:hanging="360"/>
      </w:pPr>
      <w:rPr>
        <w:rFonts w:ascii="Courier New" w:hAnsi="Courier New" w:hint="default"/>
      </w:rPr>
    </w:lvl>
    <w:lvl w:ilvl="2" w:tplc="3230C20A">
      <w:start w:val="1"/>
      <w:numFmt w:val="bullet"/>
      <w:lvlText w:val=""/>
      <w:lvlJc w:val="left"/>
      <w:pPr>
        <w:ind w:left="2160" w:hanging="360"/>
      </w:pPr>
      <w:rPr>
        <w:rFonts w:ascii="Wingdings" w:hAnsi="Wingdings" w:hint="default"/>
      </w:rPr>
    </w:lvl>
    <w:lvl w:ilvl="3" w:tplc="98E2B71A">
      <w:start w:val="1"/>
      <w:numFmt w:val="bullet"/>
      <w:lvlText w:val=""/>
      <w:lvlJc w:val="left"/>
      <w:pPr>
        <w:ind w:left="2880" w:hanging="360"/>
      </w:pPr>
      <w:rPr>
        <w:rFonts w:ascii="Symbol" w:hAnsi="Symbol" w:hint="default"/>
      </w:rPr>
    </w:lvl>
    <w:lvl w:ilvl="4" w:tplc="F948E63E">
      <w:start w:val="1"/>
      <w:numFmt w:val="bullet"/>
      <w:lvlText w:val="o"/>
      <w:lvlJc w:val="left"/>
      <w:pPr>
        <w:ind w:left="3600" w:hanging="360"/>
      </w:pPr>
      <w:rPr>
        <w:rFonts w:ascii="Courier New" w:hAnsi="Courier New" w:hint="default"/>
      </w:rPr>
    </w:lvl>
    <w:lvl w:ilvl="5" w:tplc="56EAE660">
      <w:start w:val="1"/>
      <w:numFmt w:val="bullet"/>
      <w:lvlText w:val=""/>
      <w:lvlJc w:val="left"/>
      <w:pPr>
        <w:ind w:left="4320" w:hanging="360"/>
      </w:pPr>
      <w:rPr>
        <w:rFonts w:ascii="Wingdings" w:hAnsi="Wingdings" w:hint="default"/>
      </w:rPr>
    </w:lvl>
    <w:lvl w:ilvl="6" w:tplc="89F85E4A">
      <w:start w:val="1"/>
      <w:numFmt w:val="bullet"/>
      <w:lvlText w:val=""/>
      <w:lvlJc w:val="left"/>
      <w:pPr>
        <w:ind w:left="5040" w:hanging="360"/>
      </w:pPr>
      <w:rPr>
        <w:rFonts w:ascii="Symbol" w:hAnsi="Symbol" w:hint="default"/>
      </w:rPr>
    </w:lvl>
    <w:lvl w:ilvl="7" w:tplc="B5865BBC">
      <w:start w:val="1"/>
      <w:numFmt w:val="bullet"/>
      <w:lvlText w:val="o"/>
      <w:lvlJc w:val="left"/>
      <w:pPr>
        <w:ind w:left="5760" w:hanging="360"/>
      </w:pPr>
      <w:rPr>
        <w:rFonts w:ascii="Courier New" w:hAnsi="Courier New" w:hint="default"/>
      </w:rPr>
    </w:lvl>
    <w:lvl w:ilvl="8" w:tplc="A246D4AA">
      <w:start w:val="1"/>
      <w:numFmt w:val="bullet"/>
      <w:lvlText w:val=""/>
      <w:lvlJc w:val="left"/>
      <w:pPr>
        <w:ind w:left="6480" w:hanging="360"/>
      </w:pPr>
      <w:rPr>
        <w:rFonts w:ascii="Wingdings" w:hAnsi="Wingdings" w:hint="default"/>
      </w:rPr>
    </w:lvl>
  </w:abstractNum>
  <w:abstractNum w:abstractNumId="2"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7" w15:restartNumberingAfterBreak="0">
    <w:nsid w:val="695E1A5D"/>
    <w:multiLevelType w:val="hybridMultilevel"/>
    <w:tmpl w:val="9410D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1646304"/>
    <w:multiLevelType w:val="hybridMultilevel"/>
    <w:tmpl w:val="B5CAB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51617F6"/>
    <w:multiLevelType w:val="multilevel"/>
    <w:tmpl w:val="D294F5A6"/>
    <w:styleLink w:val="CurrentList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2451409">
    <w:abstractNumId w:val="5"/>
  </w:num>
  <w:num w:numId="2" w16cid:durableId="1092699474">
    <w:abstractNumId w:val="6"/>
  </w:num>
  <w:num w:numId="3" w16cid:durableId="869995658">
    <w:abstractNumId w:val="4"/>
  </w:num>
  <w:num w:numId="4" w16cid:durableId="1866095644">
    <w:abstractNumId w:val="2"/>
  </w:num>
  <w:num w:numId="5" w16cid:durableId="390881858">
    <w:abstractNumId w:val="3"/>
  </w:num>
  <w:num w:numId="6" w16cid:durableId="213391614">
    <w:abstractNumId w:val="8"/>
  </w:num>
  <w:num w:numId="7" w16cid:durableId="124080373">
    <w:abstractNumId w:val="0"/>
  </w:num>
  <w:num w:numId="8" w16cid:durableId="204409244">
    <w:abstractNumId w:val="7"/>
  </w:num>
  <w:num w:numId="9" w16cid:durableId="1757945479">
    <w:abstractNumId w:val="9"/>
  </w:num>
  <w:num w:numId="10" w16cid:durableId="9074943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17D4"/>
    <w:rsid w:val="000123DF"/>
    <w:rsid w:val="0001493D"/>
    <w:rsid w:val="000176FA"/>
    <w:rsid w:val="00030E9A"/>
    <w:rsid w:val="000365A3"/>
    <w:rsid w:val="00044384"/>
    <w:rsid w:val="000457B1"/>
    <w:rsid w:val="00051097"/>
    <w:rsid w:val="0005338B"/>
    <w:rsid w:val="00057483"/>
    <w:rsid w:val="00064A7F"/>
    <w:rsid w:val="00075ED0"/>
    <w:rsid w:val="000809DB"/>
    <w:rsid w:val="000827B6"/>
    <w:rsid w:val="00090184"/>
    <w:rsid w:val="00093CB9"/>
    <w:rsid w:val="00095852"/>
    <w:rsid w:val="00095CAE"/>
    <w:rsid w:val="000964CD"/>
    <w:rsid w:val="00096C0B"/>
    <w:rsid w:val="000970DA"/>
    <w:rsid w:val="000A0E36"/>
    <w:rsid w:val="000A1058"/>
    <w:rsid w:val="000A6BCB"/>
    <w:rsid w:val="000A7671"/>
    <w:rsid w:val="000B19D6"/>
    <w:rsid w:val="000B1E21"/>
    <w:rsid w:val="000B4C75"/>
    <w:rsid w:val="000B6957"/>
    <w:rsid w:val="000B6BD8"/>
    <w:rsid w:val="000C0451"/>
    <w:rsid w:val="000C3F39"/>
    <w:rsid w:val="000C3FA7"/>
    <w:rsid w:val="000C48D6"/>
    <w:rsid w:val="000C5228"/>
    <w:rsid w:val="000C68D3"/>
    <w:rsid w:val="000D0170"/>
    <w:rsid w:val="000D2D96"/>
    <w:rsid w:val="000D68CD"/>
    <w:rsid w:val="000E093C"/>
    <w:rsid w:val="000E11F8"/>
    <w:rsid w:val="000E4E05"/>
    <w:rsid w:val="000E5175"/>
    <w:rsid w:val="000F1B71"/>
    <w:rsid w:val="000F265B"/>
    <w:rsid w:val="000F7EA6"/>
    <w:rsid w:val="001009C3"/>
    <w:rsid w:val="00105DB9"/>
    <w:rsid w:val="00110025"/>
    <w:rsid w:val="00110912"/>
    <w:rsid w:val="00113C1B"/>
    <w:rsid w:val="00114008"/>
    <w:rsid w:val="00114727"/>
    <w:rsid w:val="00114FD7"/>
    <w:rsid w:val="001158C2"/>
    <w:rsid w:val="001175B4"/>
    <w:rsid w:val="0012142B"/>
    <w:rsid w:val="001227B0"/>
    <w:rsid w:val="00123376"/>
    <w:rsid w:val="00130CE3"/>
    <w:rsid w:val="001323F6"/>
    <w:rsid w:val="00132936"/>
    <w:rsid w:val="001336C6"/>
    <w:rsid w:val="00135309"/>
    <w:rsid w:val="00137536"/>
    <w:rsid w:val="00137BE7"/>
    <w:rsid w:val="001424D0"/>
    <w:rsid w:val="00142C45"/>
    <w:rsid w:val="00145424"/>
    <w:rsid w:val="00145D5F"/>
    <w:rsid w:val="00145D8A"/>
    <w:rsid w:val="00150EC4"/>
    <w:rsid w:val="00154F61"/>
    <w:rsid w:val="00161537"/>
    <w:rsid w:val="00167BD2"/>
    <w:rsid w:val="001705DC"/>
    <w:rsid w:val="00180AD3"/>
    <w:rsid w:val="00181131"/>
    <w:rsid w:val="0018777F"/>
    <w:rsid w:val="001925EF"/>
    <w:rsid w:val="00192A74"/>
    <w:rsid w:val="00195E85"/>
    <w:rsid w:val="001A0EBD"/>
    <w:rsid w:val="001A3A00"/>
    <w:rsid w:val="001A3A19"/>
    <w:rsid w:val="001A5ADF"/>
    <w:rsid w:val="001A64C4"/>
    <w:rsid w:val="001A67A6"/>
    <w:rsid w:val="001A7B4D"/>
    <w:rsid w:val="001A7FBC"/>
    <w:rsid w:val="001B115A"/>
    <w:rsid w:val="001B546D"/>
    <w:rsid w:val="001B5FAC"/>
    <w:rsid w:val="001D09D0"/>
    <w:rsid w:val="001D2D4F"/>
    <w:rsid w:val="001D74E6"/>
    <w:rsid w:val="001E0775"/>
    <w:rsid w:val="001E1749"/>
    <w:rsid w:val="001E2F27"/>
    <w:rsid w:val="001E5A77"/>
    <w:rsid w:val="001F1705"/>
    <w:rsid w:val="001F31FA"/>
    <w:rsid w:val="001F5811"/>
    <w:rsid w:val="00204761"/>
    <w:rsid w:val="002065FF"/>
    <w:rsid w:val="00206DC0"/>
    <w:rsid w:val="00220F6F"/>
    <w:rsid w:val="002222BC"/>
    <w:rsid w:val="002233D8"/>
    <w:rsid w:val="00240554"/>
    <w:rsid w:val="00242284"/>
    <w:rsid w:val="002446E4"/>
    <w:rsid w:val="00246193"/>
    <w:rsid w:val="002508EB"/>
    <w:rsid w:val="00251EEF"/>
    <w:rsid w:val="00253199"/>
    <w:rsid w:val="002542A3"/>
    <w:rsid w:val="00254ED0"/>
    <w:rsid w:val="00254F82"/>
    <w:rsid w:val="00255D89"/>
    <w:rsid w:val="002571B5"/>
    <w:rsid w:val="0026708A"/>
    <w:rsid w:val="00271166"/>
    <w:rsid w:val="00272F4E"/>
    <w:rsid w:val="002808FC"/>
    <w:rsid w:val="00281EAA"/>
    <w:rsid w:val="00285375"/>
    <w:rsid w:val="002863C8"/>
    <w:rsid w:val="0028738D"/>
    <w:rsid w:val="00290723"/>
    <w:rsid w:val="00296F98"/>
    <w:rsid w:val="002A1A6C"/>
    <w:rsid w:val="002A35E8"/>
    <w:rsid w:val="002A38BC"/>
    <w:rsid w:val="002A5EE0"/>
    <w:rsid w:val="002A6787"/>
    <w:rsid w:val="002B11B1"/>
    <w:rsid w:val="002B34DC"/>
    <w:rsid w:val="002B3548"/>
    <w:rsid w:val="002C1F8F"/>
    <w:rsid w:val="002C3EA2"/>
    <w:rsid w:val="002D2CF9"/>
    <w:rsid w:val="002D5CA6"/>
    <w:rsid w:val="002E5FD5"/>
    <w:rsid w:val="002F410F"/>
    <w:rsid w:val="002F5588"/>
    <w:rsid w:val="002F58D6"/>
    <w:rsid w:val="003005BD"/>
    <w:rsid w:val="003030F4"/>
    <w:rsid w:val="003043E7"/>
    <w:rsid w:val="003046F0"/>
    <w:rsid w:val="00306307"/>
    <w:rsid w:val="00307CE5"/>
    <w:rsid w:val="0031520E"/>
    <w:rsid w:val="00315478"/>
    <w:rsid w:val="003156B0"/>
    <w:rsid w:val="003159F9"/>
    <w:rsid w:val="003163F6"/>
    <w:rsid w:val="00324371"/>
    <w:rsid w:val="00334085"/>
    <w:rsid w:val="003426EC"/>
    <w:rsid w:val="00343CC9"/>
    <w:rsid w:val="00351AC8"/>
    <w:rsid w:val="00356A45"/>
    <w:rsid w:val="003579BD"/>
    <w:rsid w:val="00357EDE"/>
    <w:rsid w:val="003623F4"/>
    <w:rsid w:val="003632FB"/>
    <w:rsid w:val="00363CA9"/>
    <w:rsid w:val="00366943"/>
    <w:rsid w:val="00367836"/>
    <w:rsid w:val="00370161"/>
    <w:rsid w:val="0037123E"/>
    <w:rsid w:val="00371323"/>
    <w:rsid w:val="003717C9"/>
    <w:rsid w:val="003731B9"/>
    <w:rsid w:val="00373D8C"/>
    <w:rsid w:val="00373F1D"/>
    <w:rsid w:val="0037452C"/>
    <w:rsid w:val="00376C80"/>
    <w:rsid w:val="00377833"/>
    <w:rsid w:val="00377C88"/>
    <w:rsid w:val="00377F02"/>
    <w:rsid w:val="0038143C"/>
    <w:rsid w:val="003828CA"/>
    <w:rsid w:val="0038480E"/>
    <w:rsid w:val="00394793"/>
    <w:rsid w:val="00396177"/>
    <w:rsid w:val="003A0523"/>
    <w:rsid w:val="003A128B"/>
    <w:rsid w:val="003A21EA"/>
    <w:rsid w:val="003A32ED"/>
    <w:rsid w:val="003A33E0"/>
    <w:rsid w:val="003A690E"/>
    <w:rsid w:val="003A779C"/>
    <w:rsid w:val="003A7904"/>
    <w:rsid w:val="003B145F"/>
    <w:rsid w:val="003B2721"/>
    <w:rsid w:val="003B3E58"/>
    <w:rsid w:val="003B727D"/>
    <w:rsid w:val="003B7FA2"/>
    <w:rsid w:val="003C4DFB"/>
    <w:rsid w:val="003D54ED"/>
    <w:rsid w:val="003D73A0"/>
    <w:rsid w:val="003E0003"/>
    <w:rsid w:val="003E4220"/>
    <w:rsid w:val="003E43D1"/>
    <w:rsid w:val="003E6828"/>
    <w:rsid w:val="003F0969"/>
    <w:rsid w:val="003F33EE"/>
    <w:rsid w:val="003F471C"/>
    <w:rsid w:val="004014CB"/>
    <w:rsid w:val="0040235B"/>
    <w:rsid w:val="0041467A"/>
    <w:rsid w:val="00414F76"/>
    <w:rsid w:val="004174CC"/>
    <w:rsid w:val="00423830"/>
    <w:rsid w:val="004270BD"/>
    <w:rsid w:val="004378E8"/>
    <w:rsid w:val="00440BC8"/>
    <w:rsid w:val="00443649"/>
    <w:rsid w:val="0044399D"/>
    <w:rsid w:val="004440A2"/>
    <w:rsid w:val="00446F05"/>
    <w:rsid w:val="004518F6"/>
    <w:rsid w:val="004535A4"/>
    <w:rsid w:val="004540BE"/>
    <w:rsid w:val="004545A9"/>
    <w:rsid w:val="004615CD"/>
    <w:rsid w:val="00464F8E"/>
    <w:rsid w:val="00465E69"/>
    <w:rsid w:val="00466AB3"/>
    <w:rsid w:val="00472493"/>
    <w:rsid w:val="00473A8B"/>
    <w:rsid w:val="00477783"/>
    <w:rsid w:val="004845E0"/>
    <w:rsid w:val="0048760A"/>
    <w:rsid w:val="00490C80"/>
    <w:rsid w:val="00492913"/>
    <w:rsid w:val="00494E03"/>
    <w:rsid w:val="004A6CC1"/>
    <w:rsid w:val="004B28B7"/>
    <w:rsid w:val="004B368D"/>
    <w:rsid w:val="004B57F3"/>
    <w:rsid w:val="004B648D"/>
    <w:rsid w:val="004B757A"/>
    <w:rsid w:val="004B7C0A"/>
    <w:rsid w:val="004C3A1B"/>
    <w:rsid w:val="004C7982"/>
    <w:rsid w:val="004D17ED"/>
    <w:rsid w:val="004D1C83"/>
    <w:rsid w:val="004D1F57"/>
    <w:rsid w:val="004D76E2"/>
    <w:rsid w:val="004D7BCE"/>
    <w:rsid w:val="004E3982"/>
    <w:rsid w:val="004E420D"/>
    <w:rsid w:val="004E6879"/>
    <w:rsid w:val="004E6C97"/>
    <w:rsid w:val="004F3084"/>
    <w:rsid w:val="00500ED3"/>
    <w:rsid w:val="00512200"/>
    <w:rsid w:val="005132E5"/>
    <w:rsid w:val="0052355D"/>
    <w:rsid w:val="005243E3"/>
    <w:rsid w:val="00525F48"/>
    <w:rsid w:val="00525FFB"/>
    <w:rsid w:val="005363DD"/>
    <w:rsid w:val="00541C8F"/>
    <w:rsid w:val="00545BA3"/>
    <w:rsid w:val="00546D2C"/>
    <w:rsid w:val="00550621"/>
    <w:rsid w:val="00551EE1"/>
    <w:rsid w:val="00553982"/>
    <w:rsid w:val="00554E9C"/>
    <w:rsid w:val="00555074"/>
    <w:rsid w:val="005556BD"/>
    <w:rsid w:val="005559D9"/>
    <w:rsid w:val="0055711D"/>
    <w:rsid w:val="00560222"/>
    <w:rsid w:val="00561B9C"/>
    <w:rsid w:val="00563001"/>
    <w:rsid w:val="005639C1"/>
    <w:rsid w:val="00573472"/>
    <w:rsid w:val="00577711"/>
    <w:rsid w:val="005802AB"/>
    <w:rsid w:val="00582EA7"/>
    <w:rsid w:val="0058606E"/>
    <w:rsid w:val="00587614"/>
    <w:rsid w:val="00587DF4"/>
    <w:rsid w:val="00590D07"/>
    <w:rsid w:val="00593C71"/>
    <w:rsid w:val="0059475D"/>
    <w:rsid w:val="005950A6"/>
    <w:rsid w:val="005958F2"/>
    <w:rsid w:val="00597F47"/>
    <w:rsid w:val="005A61AB"/>
    <w:rsid w:val="005B2223"/>
    <w:rsid w:val="005B6214"/>
    <w:rsid w:val="005B655E"/>
    <w:rsid w:val="005C6007"/>
    <w:rsid w:val="005D3AFC"/>
    <w:rsid w:val="005D3D35"/>
    <w:rsid w:val="005E26DB"/>
    <w:rsid w:val="005E2D49"/>
    <w:rsid w:val="005E44CE"/>
    <w:rsid w:val="005E59AD"/>
    <w:rsid w:val="005F139D"/>
    <w:rsid w:val="005F79A6"/>
    <w:rsid w:val="0060132F"/>
    <w:rsid w:val="0060451F"/>
    <w:rsid w:val="006114F1"/>
    <w:rsid w:val="006140C0"/>
    <w:rsid w:val="0061782F"/>
    <w:rsid w:val="00620375"/>
    <w:rsid w:val="00622810"/>
    <w:rsid w:val="0062291E"/>
    <w:rsid w:val="006306C9"/>
    <w:rsid w:val="0063296E"/>
    <w:rsid w:val="00633377"/>
    <w:rsid w:val="00633936"/>
    <w:rsid w:val="006339A0"/>
    <w:rsid w:val="006348F6"/>
    <w:rsid w:val="00635E81"/>
    <w:rsid w:val="00640014"/>
    <w:rsid w:val="00641BB7"/>
    <w:rsid w:val="006446CE"/>
    <w:rsid w:val="00644953"/>
    <w:rsid w:val="006471C6"/>
    <w:rsid w:val="006544D3"/>
    <w:rsid w:val="0065699E"/>
    <w:rsid w:val="00656C4B"/>
    <w:rsid w:val="00660619"/>
    <w:rsid w:val="00660E5F"/>
    <w:rsid w:val="00662A64"/>
    <w:rsid w:val="00664633"/>
    <w:rsid w:val="00665585"/>
    <w:rsid w:val="00667857"/>
    <w:rsid w:val="00672B8B"/>
    <w:rsid w:val="00673303"/>
    <w:rsid w:val="00673BC3"/>
    <w:rsid w:val="006744E6"/>
    <w:rsid w:val="00676929"/>
    <w:rsid w:val="00680D2D"/>
    <w:rsid w:val="006819B0"/>
    <w:rsid w:val="0068607D"/>
    <w:rsid w:val="00686753"/>
    <w:rsid w:val="0068707D"/>
    <w:rsid w:val="0069614C"/>
    <w:rsid w:val="006A1E3D"/>
    <w:rsid w:val="006A2250"/>
    <w:rsid w:val="006A5705"/>
    <w:rsid w:val="006B3AA9"/>
    <w:rsid w:val="006B498B"/>
    <w:rsid w:val="006B5432"/>
    <w:rsid w:val="006C1FB8"/>
    <w:rsid w:val="006C407C"/>
    <w:rsid w:val="006C583E"/>
    <w:rsid w:val="006D01FF"/>
    <w:rsid w:val="006D1FA2"/>
    <w:rsid w:val="006D2458"/>
    <w:rsid w:val="006E5A3D"/>
    <w:rsid w:val="006F074C"/>
    <w:rsid w:val="006F544C"/>
    <w:rsid w:val="00700704"/>
    <w:rsid w:val="00700FFA"/>
    <w:rsid w:val="00702FBB"/>
    <w:rsid w:val="00720837"/>
    <w:rsid w:val="00721D54"/>
    <w:rsid w:val="00733BB3"/>
    <w:rsid w:val="00734CDE"/>
    <w:rsid w:val="00737228"/>
    <w:rsid w:val="00737F49"/>
    <w:rsid w:val="00740786"/>
    <w:rsid w:val="0074188F"/>
    <w:rsid w:val="0075310F"/>
    <w:rsid w:val="00753388"/>
    <w:rsid w:val="007563C7"/>
    <w:rsid w:val="00760E80"/>
    <w:rsid w:val="00761961"/>
    <w:rsid w:val="007655B2"/>
    <w:rsid w:val="00766D1F"/>
    <w:rsid w:val="00771B0E"/>
    <w:rsid w:val="00775348"/>
    <w:rsid w:val="00775DC3"/>
    <w:rsid w:val="00781021"/>
    <w:rsid w:val="00781D30"/>
    <w:rsid w:val="00782BB8"/>
    <w:rsid w:val="00783974"/>
    <w:rsid w:val="00783D9C"/>
    <w:rsid w:val="00785E5F"/>
    <w:rsid w:val="00790152"/>
    <w:rsid w:val="00790BE7"/>
    <w:rsid w:val="00791135"/>
    <w:rsid w:val="0079441A"/>
    <w:rsid w:val="007A1295"/>
    <w:rsid w:val="007A21D3"/>
    <w:rsid w:val="007A29DA"/>
    <w:rsid w:val="007A4DDE"/>
    <w:rsid w:val="007A5094"/>
    <w:rsid w:val="007B003F"/>
    <w:rsid w:val="007B284E"/>
    <w:rsid w:val="007B45B9"/>
    <w:rsid w:val="007C3953"/>
    <w:rsid w:val="007C4FF8"/>
    <w:rsid w:val="007C5BF4"/>
    <w:rsid w:val="007C6E4D"/>
    <w:rsid w:val="007D0691"/>
    <w:rsid w:val="007D1520"/>
    <w:rsid w:val="007D28E6"/>
    <w:rsid w:val="007D53FA"/>
    <w:rsid w:val="007D54FF"/>
    <w:rsid w:val="007D5F5C"/>
    <w:rsid w:val="007E44CF"/>
    <w:rsid w:val="007E53A8"/>
    <w:rsid w:val="007E5F4D"/>
    <w:rsid w:val="007E6A3A"/>
    <w:rsid w:val="007E7736"/>
    <w:rsid w:val="007F126D"/>
    <w:rsid w:val="007F366E"/>
    <w:rsid w:val="007F4CBC"/>
    <w:rsid w:val="007F6448"/>
    <w:rsid w:val="00801FF3"/>
    <w:rsid w:val="0080616C"/>
    <w:rsid w:val="00806422"/>
    <w:rsid w:val="008067DF"/>
    <w:rsid w:val="00806993"/>
    <w:rsid w:val="0080749B"/>
    <w:rsid w:val="0081034D"/>
    <w:rsid w:val="008127C4"/>
    <w:rsid w:val="00812DA2"/>
    <w:rsid w:val="00813CF6"/>
    <w:rsid w:val="0081671E"/>
    <w:rsid w:val="00817CDD"/>
    <w:rsid w:val="008205C8"/>
    <w:rsid w:val="0082109C"/>
    <w:rsid w:val="00832071"/>
    <w:rsid w:val="008348B7"/>
    <w:rsid w:val="00835714"/>
    <w:rsid w:val="008357B6"/>
    <w:rsid w:val="00836F81"/>
    <w:rsid w:val="00841451"/>
    <w:rsid w:val="00842851"/>
    <w:rsid w:val="0084791E"/>
    <w:rsid w:val="0085124D"/>
    <w:rsid w:val="00856127"/>
    <w:rsid w:val="0086178A"/>
    <w:rsid w:val="008619D3"/>
    <w:rsid w:val="0086208F"/>
    <w:rsid w:val="0086235A"/>
    <w:rsid w:val="00862C51"/>
    <w:rsid w:val="00863582"/>
    <w:rsid w:val="00863FE2"/>
    <w:rsid w:val="00864FC7"/>
    <w:rsid w:val="00871DCD"/>
    <w:rsid w:val="00874284"/>
    <w:rsid w:val="00874CFF"/>
    <w:rsid w:val="00876FB8"/>
    <w:rsid w:val="008772CA"/>
    <w:rsid w:val="0087787E"/>
    <w:rsid w:val="00880183"/>
    <w:rsid w:val="00880305"/>
    <w:rsid w:val="008855A9"/>
    <w:rsid w:val="008859A4"/>
    <w:rsid w:val="008911F1"/>
    <w:rsid w:val="008920B6"/>
    <w:rsid w:val="008B4FA8"/>
    <w:rsid w:val="008B5992"/>
    <w:rsid w:val="008B633D"/>
    <w:rsid w:val="008B7E52"/>
    <w:rsid w:val="008C4282"/>
    <w:rsid w:val="008C6C9F"/>
    <w:rsid w:val="008D2637"/>
    <w:rsid w:val="008D2C1F"/>
    <w:rsid w:val="008D691D"/>
    <w:rsid w:val="008E18DB"/>
    <w:rsid w:val="008E40E8"/>
    <w:rsid w:val="008F0E9C"/>
    <w:rsid w:val="008F2E4A"/>
    <w:rsid w:val="008F3A78"/>
    <w:rsid w:val="008F450C"/>
    <w:rsid w:val="008F49EF"/>
    <w:rsid w:val="008F6D2E"/>
    <w:rsid w:val="008F7339"/>
    <w:rsid w:val="008F7A81"/>
    <w:rsid w:val="0090028B"/>
    <w:rsid w:val="009005AF"/>
    <w:rsid w:val="00902F19"/>
    <w:rsid w:val="0090394F"/>
    <w:rsid w:val="009126F6"/>
    <w:rsid w:val="00914BAC"/>
    <w:rsid w:val="00917603"/>
    <w:rsid w:val="00920A63"/>
    <w:rsid w:val="00922FC0"/>
    <w:rsid w:val="00923D37"/>
    <w:rsid w:val="00925481"/>
    <w:rsid w:val="0092659B"/>
    <w:rsid w:val="009268B2"/>
    <w:rsid w:val="00935E9F"/>
    <w:rsid w:val="009401CC"/>
    <w:rsid w:val="0094065C"/>
    <w:rsid w:val="00942757"/>
    <w:rsid w:val="00944939"/>
    <w:rsid w:val="00946F08"/>
    <w:rsid w:val="00947E2E"/>
    <w:rsid w:val="0095076C"/>
    <w:rsid w:val="00952975"/>
    <w:rsid w:val="00952AF0"/>
    <w:rsid w:val="00953E5A"/>
    <w:rsid w:val="009573BA"/>
    <w:rsid w:val="009602C6"/>
    <w:rsid w:val="00960C98"/>
    <w:rsid w:val="00961839"/>
    <w:rsid w:val="00973036"/>
    <w:rsid w:val="009764D2"/>
    <w:rsid w:val="009814CA"/>
    <w:rsid w:val="00983F80"/>
    <w:rsid w:val="009842E4"/>
    <w:rsid w:val="00984E78"/>
    <w:rsid w:val="009864B4"/>
    <w:rsid w:val="009874FB"/>
    <w:rsid w:val="009918B4"/>
    <w:rsid w:val="00993F56"/>
    <w:rsid w:val="009948F8"/>
    <w:rsid w:val="00995D6C"/>
    <w:rsid w:val="009A05E1"/>
    <w:rsid w:val="009A3D52"/>
    <w:rsid w:val="009A612B"/>
    <w:rsid w:val="009B52BE"/>
    <w:rsid w:val="009B5859"/>
    <w:rsid w:val="009C39E2"/>
    <w:rsid w:val="009C5D77"/>
    <w:rsid w:val="009C7070"/>
    <w:rsid w:val="009D0792"/>
    <w:rsid w:val="009D1E3C"/>
    <w:rsid w:val="009E07A9"/>
    <w:rsid w:val="009E369B"/>
    <w:rsid w:val="009E42E3"/>
    <w:rsid w:val="009F1222"/>
    <w:rsid w:val="009F1BFF"/>
    <w:rsid w:val="009F26B2"/>
    <w:rsid w:val="009F27AC"/>
    <w:rsid w:val="009F441B"/>
    <w:rsid w:val="009F4949"/>
    <w:rsid w:val="009F4CBC"/>
    <w:rsid w:val="009F7068"/>
    <w:rsid w:val="00A00132"/>
    <w:rsid w:val="00A0032E"/>
    <w:rsid w:val="00A00DBD"/>
    <w:rsid w:val="00A04463"/>
    <w:rsid w:val="00A05C6B"/>
    <w:rsid w:val="00A06F6C"/>
    <w:rsid w:val="00A07CC4"/>
    <w:rsid w:val="00A14C1E"/>
    <w:rsid w:val="00A1647F"/>
    <w:rsid w:val="00A2018E"/>
    <w:rsid w:val="00A2337F"/>
    <w:rsid w:val="00A23EC5"/>
    <w:rsid w:val="00A24DC5"/>
    <w:rsid w:val="00A27B28"/>
    <w:rsid w:val="00A31F67"/>
    <w:rsid w:val="00A35D73"/>
    <w:rsid w:val="00A3619A"/>
    <w:rsid w:val="00A401D7"/>
    <w:rsid w:val="00A41A77"/>
    <w:rsid w:val="00A54311"/>
    <w:rsid w:val="00A56333"/>
    <w:rsid w:val="00A57364"/>
    <w:rsid w:val="00A613A1"/>
    <w:rsid w:val="00A61E63"/>
    <w:rsid w:val="00A621F1"/>
    <w:rsid w:val="00A655A6"/>
    <w:rsid w:val="00A7037D"/>
    <w:rsid w:val="00A70A51"/>
    <w:rsid w:val="00A71902"/>
    <w:rsid w:val="00A7460A"/>
    <w:rsid w:val="00A76764"/>
    <w:rsid w:val="00A77788"/>
    <w:rsid w:val="00A8073D"/>
    <w:rsid w:val="00A821D8"/>
    <w:rsid w:val="00A8585C"/>
    <w:rsid w:val="00A92321"/>
    <w:rsid w:val="00A945B5"/>
    <w:rsid w:val="00AA1306"/>
    <w:rsid w:val="00AA1C09"/>
    <w:rsid w:val="00AA7466"/>
    <w:rsid w:val="00AB0789"/>
    <w:rsid w:val="00AB1FC9"/>
    <w:rsid w:val="00AB42F6"/>
    <w:rsid w:val="00AC039D"/>
    <w:rsid w:val="00AD0ABA"/>
    <w:rsid w:val="00AD70F3"/>
    <w:rsid w:val="00AE0F53"/>
    <w:rsid w:val="00AE1819"/>
    <w:rsid w:val="00AE2055"/>
    <w:rsid w:val="00AE227E"/>
    <w:rsid w:val="00AE57D5"/>
    <w:rsid w:val="00AE5AC5"/>
    <w:rsid w:val="00AE710D"/>
    <w:rsid w:val="00AF026F"/>
    <w:rsid w:val="00AF2401"/>
    <w:rsid w:val="00AF3E34"/>
    <w:rsid w:val="00AF78CC"/>
    <w:rsid w:val="00B003A8"/>
    <w:rsid w:val="00B05DA5"/>
    <w:rsid w:val="00B102DF"/>
    <w:rsid w:val="00B12F64"/>
    <w:rsid w:val="00B21131"/>
    <w:rsid w:val="00B220C1"/>
    <w:rsid w:val="00B22E3B"/>
    <w:rsid w:val="00B242C0"/>
    <w:rsid w:val="00B24A7F"/>
    <w:rsid w:val="00B30B70"/>
    <w:rsid w:val="00B341F9"/>
    <w:rsid w:val="00B37B98"/>
    <w:rsid w:val="00B45B34"/>
    <w:rsid w:val="00B47163"/>
    <w:rsid w:val="00B51902"/>
    <w:rsid w:val="00B52D24"/>
    <w:rsid w:val="00B530A4"/>
    <w:rsid w:val="00B5548B"/>
    <w:rsid w:val="00B56C23"/>
    <w:rsid w:val="00B57C49"/>
    <w:rsid w:val="00B61017"/>
    <w:rsid w:val="00B61631"/>
    <w:rsid w:val="00B63D45"/>
    <w:rsid w:val="00B647E7"/>
    <w:rsid w:val="00B65B0A"/>
    <w:rsid w:val="00B65FB0"/>
    <w:rsid w:val="00B7079A"/>
    <w:rsid w:val="00B70D1A"/>
    <w:rsid w:val="00B75827"/>
    <w:rsid w:val="00B75C16"/>
    <w:rsid w:val="00B81B31"/>
    <w:rsid w:val="00B81E88"/>
    <w:rsid w:val="00B84B3A"/>
    <w:rsid w:val="00B86FF2"/>
    <w:rsid w:val="00B92AC6"/>
    <w:rsid w:val="00B94CCA"/>
    <w:rsid w:val="00B958CC"/>
    <w:rsid w:val="00B969B3"/>
    <w:rsid w:val="00B96CEA"/>
    <w:rsid w:val="00B97183"/>
    <w:rsid w:val="00BA4BCE"/>
    <w:rsid w:val="00BA6381"/>
    <w:rsid w:val="00BB04D3"/>
    <w:rsid w:val="00BB43E8"/>
    <w:rsid w:val="00BB5639"/>
    <w:rsid w:val="00BB5F59"/>
    <w:rsid w:val="00BB7C1E"/>
    <w:rsid w:val="00BC2FB8"/>
    <w:rsid w:val="00BC4B9D"/>
    <w:rsid w:val="00BC6094"/>
    <w:rsid w:val="00BC61BF"/>
    <w:rsid w:val="00BD22FC"/>
    <w:rsid w:val="00BD23EA"/>
    <w:rsid w:val="00BD54E0"/>
    <w:rsid w:val="00BD711E"/>
    <w:rsid w:val="00BE3BEA"/>
    <w:rsid w:val="00BE5D75"/>
    <w:rsid w:val="00BE67E1"/>
    <w:rsid w:val="00BE74EE"/>
    <w:rsid w:val="00BF1264"/>
    <w:rsid w:val="00BF23CB"/>
    <w:rsid w:val="00C014E4"/>
    <w:rsid w:val="00C0459B"/>
    <w:rsid w:val="00C05555"/>
    <w:rsid w:val="00C059F0"/>
    <w:rsid w:val="00C07E3F"/>
    <w:rsid w:val="00C1042F"/>
    <w:rsid w:val="00C14C0C"/>
    <w:rsid w:val="00C169F3"/>
    <w:rsid w:val="00C2079D"/>
    <w:rsid w:val="00C25485"/>
    <w:rsid w:val="00C260A1"/>
    <w:rsid w:val="00C2679E"/>
    <w:rsid w:val="00C3035A"/>
    <w:rsid w:val="00C32E23"/>
    <w:rsid w:val="00C34608"/>
    <w:rsid w:val="00C37086"/>
    <w:rsid w:val="00C44CE3"/>
    <w:rsid w:val="00C45080"/>
    <w:rsid w:val="00C510AE"/>
    <w:rsid w:val="00C5449C"/>
    <w:rsid w:val="00C54837"/>
    <w:rsid w:val="00C5499B"/>
    <w:rsid w:val="00C56BF6"/>
    <w:rsid w:val="00C60C5C"/>
    <w:rsid w:val="00C63124"/>
    <w:rsid w:val="00C67A06"/>
    <w:rsid w:val="00C8318D"/>
    <w:rsid w:val="00C8457A"/>
    <w:rsid w:val="00C8467D"/>
    <w:rsid w:val="00C903AA"/>
    <w:rsid w:val="00CA2A9E"/>
    <w:rsid w:val="00CA3515"/>
    <w:rsid w:val="00CA365E"/>
    <w:rsid w:val="00CA4059"/>
    <w:rsid w:val="00CB1A8D"/>
    <w:rsid w:val="00CB6E4F"/>
    <w:rsid w:val="00CC140B"/>
    <w:rsid w:val="00CC14DD"/>
    <w:rsid w:val="00CC327A"/>
    <w:rsid w:val="00CC3C38"/>
    <w:rsid w:val="00CD373C"/>
    <w:rsid w:val="00CD4194"/>
    <w:rsid w:val="00CD6D75"/>
    <w:rsid w:val="00CE40B9"/>
    <w:rsid w:val="00CE6018"/>
    <w:rsid w:val="00CE636E"/>
    <w:rsid w:val="00CE689C"/>
    <w:rsid w:val="00CE689F"/>
    <w:rsid w:val="00CF0FC6"/>
    <w:rsid w:val="00CF580E"/>
    <w:rsid w:val="00CF7EBD"/>
    <w:rsid w:val="00D0238F"/>
    <w:rsid w:val="00D04392"/>
    <w:rsid w:val="00D0569E"/>
    <w:rsid w:val="00D1061D"/>
    <w:rsid w:val="00D1564D"/>
    <w:rsid w:val="00D20C0C"/>
    <w:rsid w:val="00D24A2A"/>
    <w:rsid w:val="00D2793F"/>
    <w:rsid w:val="00D3063B"/>
    <w:rsid w:val="00D307BA"/>
    <w:rsid w:val="00D30984"/>
    <w:rsid w:val="00D36191"/>
    <w:rsid w:val="00D40578"/>
    <w:rsid w:val="00D51803"/>
    <w:rsid w:val="00D518A4"/>
    <w:rsid w:val="00D52304"/>
    <w:rsid w:val="00D532EE"/>
    <w:rsid w:val="00D551B0"/>
    <w:rsid w:val="00D56D8D"/>
    <w:rsid w:val="00D61C53"/>
    <w:rsid w:val="00D6287D"/>
    <w:rsid w:val="00D6549D"/>
    <w:rsid w:val="00D67409"/>
    <w:rsid w:val="00D67D08"/>
    <w:rsid w:val="00D67EA3"/>
    <w:rsid w:val="00D710D5"/>
    <w:rsid w:val="00D723A2"/>
    <w:rsid w:val="00D7305B"/>
    <w:rsid w:val="00D738F0"/>
    <w:rsid w:val="00D743C7"/>
    <w:rsid w:val="00D76A3D"/>
    <w:rsid w:val="00D77A3F"/>
    <w:rsid w:val="00D81249"/>
    <w:rsid w:val="00D817D6"/>
    <w:rsid w:val="00D84835"/>
    <w:rsid w:val="00D905D2"/>
    <w:rsid w:val="00D96F46"/>
    <w:rsid w:val="00DA050F"/>
    <w:rsid w:val="00DA12D6"/>
    <w:rsid w:val="00DA1DDB"/>
    <w:rsid w:val="00DA1F61"/>
    <w:rsid w:val="00DA2739"/>
    <w:rsid w:val="00DA28EE"/>
    <w:rsid w:val="00DA30E7"/>
    <w:rsid w:val="00DA343F"/>
    <w:rsid w:val="00DA4A61"/>
    <w:rsid w:val="00DA5318"/>
    <w:rsid w:val="00DA56D5"/>
    <w:rsid w:val="00DB1F61"/>
    <w:rsid w:val="00DB49B8"/>
    <w:rsid w:val="00DD2C28"/>
    <w:rsid w:val="00DD748F"/>
    <w:rsid w:val="00DE1DFF"/>
    <w:rsid w:val="00DE5ADA"/>
    <w:rsid w:val="00DE6CFB"/>
    <w:rsid w:val="00DF0496"/>
    <w:rsid w:val="00DF230F"/>
    <w:rsid w:val="00DF2727"/>
    <w:rsid w:val="00DF6719"/>
    <w:rsid w:val="00E062F3"/>
    <w:rsid w:val="00E158A8"/>
    <w:rsid w:val="00E2207D"/>
    <w:rsid w:val="00E24B93"/>
    <w:rsid w:val="00E2772A"/>
    <w:rsid w:val="00E27894"/>
    <w:rsid w:val="00E27F17"/>
    <w:rsid w:val="00E31822"/>
    <w:rsid w:val="00E35F66"/>
    <w:rsid w:val="00E362D1"/>
    <w:rsid w:val="00E36C69"/>
    <w:rsid w:val="00E40493"/>
    <w:rsid w:val="00E43A89"/>
    <w:rsid w:val="00E43F39"/>
    <w:rsid w:val="00E44733"/>
    <w:rsid w:val="00E4678E"/>
    <w:rsid w:val="00E5476D"/>
    <w:rsid w:val="00E547BB"/>
    <w:rsid w:val="00E54AB1"/>
    <w:rsid w:val="00E560C9"/>
    <w:rsid w:val="00E63A07"/>
    <w:rsid w:val="00E6667B"/>
    <w:rsid w:val="00E72561"/>
    <w:rsid w:val="00E725B7"/>
    <w:rsid w:val="00E76C82"/>
    <w:rsid w:val="00E81103"/>
    <w:rsid w:val="00E82A97"/>
    <w:rsid w:val="00E92CBA"/>
    <w:rsid w:val="00E93AE4"/>
    <w:rsid w:val="00E94693"/>
    <w:rsid w:val="00E960C8"/>
    <w:rsid w:val="00EA53FA"/>
    <w:rsid w:val="00EA5579"/>
    <w:rsid w:val="00EA595C"/>
    <w:rsid w:val="00EA61C5"/>
    <w:rsid w:val="00EA61E3"/>
    <w:rsid w:val="00EB1603"/>
    <w:rsid w:val="00EB1B10"/>
    <w:rsid w:val="00EB2BCC"/>
    <w:rsid w:val="00EB461E"/>
    <w:rsid w:val="00EB6120"/>
    <w:rsid w:val="00EC3145"/>
    <w:rsid w:val="00ED15B8"/>
    <w:rsid w:val="00ED414F"/>
    <w:rsid w:val="00ED69AB"/>
    <w:rsid w:val="00ED6E2B"/>
    <w:rsid w:val="00EE1FAA"/>
    <w:rsid w:val="00EE6CE2"/>
    <w:rsid w:val="00EF1CA8"/>
    <w:rsid w:val="00EF20E5"/>
    <w:rsid w:val="00EF3820"/>
    <w:rsid w:val="00EF4D46"/>
    <w:rsid w:val="00EF545D"/>
    <w:rsid w:val="00EF7B4C"/>
    <w:rsid w:val="00F014E3"/>
    <w:rsid w:val="00F04CD1"/>
    <w:rsid w:val="00F06432"/>
    <w:rsid w:val="00F10C29"/>
    <w:rsid w:val="00F11884"/>
    <w:rsid w:val="00F128E9"/>
    <w:rsid w:val="00F1342C"/>
    <w:rsid w:val="00F17EEF"/>
    <w:rsid w:val="00F24172"/>
    <w:rsid w:val="00F262A4"/>
    <w:rsid w:val="00F27050"/>
    <w:rsid w:val="00F270ED"/>
    <w:rsid w:val="00F2766C"/>
    <w:rsid w:val="00F309AE"/>
    <w:rsid w:val="00F313D0"/>
    <w:rsid w:val="00F36D1B"/>
    <w:rsid w:val="00F41F04"/>
    <w:rsid w:val="00F44338"/>
    <w:rsid w:val="00F45052"/>
    <w:rsid w:val="00F56D52"/>
    <w:rsid w:val="00F57118"/>
    <w:rsid w:val="00F612A9"/>
    <w:rsid w:val="00F6497A"/>
    <w:rsid w:val="00F6638E"/>
    <w:rsid w:val="00F6682D"/>
    <w:rsid w:val="00F71547"/>
    <w:rsid w:val="00F718F7"/>
    <w:rsid w:val="00F72E6E"/>
    <w:rsid w:val="00F74042"/>
    <w:rsid w:val="00F74324"/>
    <w:rsid w:val="00F75AA1"/>
    <w:rsid w:val="00F77BF5"/>
    <w:rsid w:val="00F824C7"/>
    <w:rsid w:val="00F84F15"/>
    <w:rsid w:val="00F9005E"/>
    <w:rsid w:val="00FA5B0D"/>
    <w:rsid w:val="00FA68C9"/>
    <w:rsid w:val="00FA6AD2"/>
    <w:rsid w:val="00FB5DC8"/>
    <w:rsid w:val="00FB6749"/>
    <w:rsid w:val="00FB7095"/>
    <w:rsid w:val="00FC3B66"/>
    <w:rsid w:val="00FC4D37"/>
    <w:rsid w:val="00FD0903"/>
    <w:rsid w:val="00FD291A"/>
    <w:rsid w:val="00FD2CBB"/>
    <w:rsid w:val="00FD476E"/>
    <w:rsid w:val="00FE0C1F"/>
    <w:rsid w:val="00FE363D"/>
    <w:rsid w:val="00FE3BCF"/>
    <w:rsid w:val="00FE54F2"/>
    <w:rsid w:val="00FF2719"/>
    <w:rsid w:val="00FF379D"/>
    <w:rsid w:val="00FF7FE9"/>
    <w:rsid w:val="02026AB7"/>
    <w:rsid w:val="0D8862BE"/>
    <w:rsid w:val="23BCED1B"/>
    <w:rsid w:val="35C9AA99"/>
    <w:rsid w:val="3B2072C3"/>
    <w:rsid w:val="537E243C"/>
    <w:rsid w:val="5405859E"/>
    <w:rsid w:val="59D3D1BA"/>
    <w:rsid w:val="6FA89BA1"/>
    <w:rsid w:val="737984E6"/>
    <w:rsid w:val="738B58D2"/>
    <w:rsid w:val="7D4661F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AFCB007C-1088-4E2A-98F6-633D1805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5"/>
    <w:pPr>
      <w:spacing w:before="160" w:line="264" w:lineRule="auto"/>
    </w:pPr>
    <w:rPr>
      <w:rFonts w:ascii="Segoe UI" w:hAnsi="Segoe UI"/>
      <w:color w:val="000000" w:themeColor="text1"/>
      <w:sz w:val="21"/>
      <w:szCs w:val="24"/>
      <w:lang w:eastAsia="en-US"/>
    </w:rPr>
  </w:style>
  <w:style w:type="paragraph" w:styleId="Heading1">
    <w:name w:val="heading 1"/>
    <w:basedOn w:val="Normal"/>
    <w:next w:val="Normal"/>
    <w:link w:val="Heading1Char"/>
    <w:uiPriority w:val="9"/>
    <w:qFormat/>
    <w:rsid w:val="003A32ED"/>
    <w:pPr>
      <w:keepNext/>
      <w:spacing w:before="480" w:after="80"/>
      <w:outlineLvl w:val="0"/>
    </w:pPr>
    <w:rPr>
      <w:rFonts w:cs="Arial"/>
      <w:b/>
      <w:bCs/>
      <w:sz w:val="28"/>
      <w:szCs w:val="48"/>
    </w:rPr>
  </w:style>
  <w:style w:type="paragraph" w:styleId="Heading2">
    <w:name w:val="heading 2"/>
    <w:basedOn w:val="Normal"/>
    <w:next w:val="Normal"/>
    <w:link w:val="Heading2Char"/>
    <w:uiPriority w:val="1"/>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3A32ED"/>
    <w:pPr>
      <w:numPr>
        <w:numId w:val="1"/>
      </w:numPr>
      <w:tabs>
        <w:tab w:val="clear" w:pos="284"/>
        <w:tab w:val="left" w:pos="567"/>
      </w:tabs>
      <w:spacing w:before="90"/>
      <w:ind w:left="567" w:hanging="567"/>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qFormat/>
    <w:rsid w:val="007A1295"/>
    <w:pPr>
      <w:spacing w:after="120"/>
    </w:pPr>
    <w:rPr>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3A32ED"/>
    <w:rPr>
      <w:rFonts w:ascii="Segoe UI" w:hAnsi="Segoe UI"/>
      <w:color w:val="000000" w:themeColor="text1"/>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3A32ED"/>
    <w:rPr>
      <w:rFonts w:ascii="Segoe UI" w:hAnsi="Segoe UI" w:cs="Arial"/>
      <w:b/>
      <w:bCs/>
      <w:color w:val="000000" w:themeColor="text1"/>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paragraph" w:customStyle="1" w:styleId="TableParagraph">
    <w:name w:val="Table Paragraph"/>
    <w:basedOn w:val="Normal"/>
    <w:uiPriority w:val="1"/>
    <w:qFormat/>
    <w:rsid w:val="00960C98"/>
    <w:pPr>
      <w:widowControl w:val="0"/>
      <w:autoSpaceDE w:val="0"/>
      <w:autoSpaceDN w:val="0"/>
      <w:spacing w:before="76" w:line="240" w:lineRule="auto"/>
      <w:ind w:right="72"/>
      <w:jc w:val="right"/>
    </w:pPr>
    <w:rPr>
      <w:rFonts w:ascii="Lucida Sans Unicode" w:eastAsia="Lucida Sans Unicode" w:hAnsi="Lucida Sans Unicode" w:cs="Lucida Sans Unicode"/>
      <w:sz w:val="22"/>
      <w:szCs w:val="22"/>
      <w:lang w:val="en-US"/>
    </w:rPr>
  </w:style>
  <w:style w:type="paragraph" w:styleId="ListParagraph">
    <w:name w:val="List Paragraph"/>
    <w:basedOn w:val="Normal"/>
    <w:uiPriority w:val="34"/>
    <w:qFormat/>
    <w:rsid w:val="00960C98"/>
    <w:pPr>
      <w:ind w:left="720"/>
      <w:contextualSpacing/>
    </w:pPr>
  </w:style>
  <w:style w:type="numbering" w:customStyle="1" w:styleId="CurrentList1">
    <w:name w:val="Current List1"/>
    <w:uiPriority w:val="99"/>
    <w:rsid w:val="00960C98"/>
    <w:pPr>
      <w:numPr>
        <w:numId w:val="9"/>
      </w:numPr>
    </w:pPr>
  </w:style>
  <w:style w:type="character" w:styleId="CommentReference">
    <w:name w:val="annotation reference"/>
    <w:basedOn w:val="DefaultParagraphFont"/>
    <w:uiPriority w:val="99"/>
    <w:semiHidden/>
    <w:unhideWhenUsed/>
    <w:rsid w:val="00573472"/>
    <w:rPr>
      <w:sz w:val="16"/>
      <w:szCs w:val="16"/>
    </w:rPr>
  </w:style>
  <w:style w:type="paragraph" w:styleId="CommentText">
    <w:name w:val="annotation text"/>
    <w:basedOn w:val="Normal"/>
    <w:link w:val="CommentTextChar"/>
    <w:uiPriority w:val="99"/>
    <w:unhideWhenUsed/>
    <w:rsid w:val="00573472"/>
    <w:pPr>
      <w:spacing w:line="240" w:lineRule="auto"/>
    </w:pPr>
    <w:rPr>
      <w:sz w:val="20"/>
      <w:szCs w:val="20"/>
    </w:rPr>
  </w:style>
  <w:style w:type="character" w:customStyle="1" w:styleId="CommentTextChar">
    <w:name w:val="Comment Text Char"/>
    <w:basedOn w:val="DefaultParagraphFont"/>
    <w:link w:val="CommentText"/>
    <w:uiPriority w:val="99"/>
    <w:rsid w:val="00573472"/>
    <w:rPr>
      <w:rFonts w:ascii="Segoe UI" w:hAnsi="Segoe UI"/>
      <w:color w:val="000000" w:themeColor="text1"/>
      <w:lang w:eastAsia="en-US"/>
    </w:rPr>
  </w:style>
  <w:style w:type="paragraph" w:styleId="CommentSubject">
    <w:name w:val="annotation subject"/>
    <w:basedOn w:val="CommentText"/>
    <w:next w:val="CommentText"/>
    <w:link w:val="CommentSubjectChar"/>
    <w:uiPriority w:val="99"/>
    <w:semiHidden/>
    <w:unhideWhenUsed/>
    <w:rsid w:val="00573472"/>
    <w:rPr>
      <w:b/>
      <w:bCs/>
    </w:rPr>
  </w:style>
  <w:style w:type="character" w:customStyle="1" w:styleId="CommentSubjectChar">
    <w:name w:val="Comment Subject Char"/>
    <w:basedOn w:val="CommentTextChar"/>
    <w:link w:val="CommentSubject"/>
    <w:uiPriority w:val="99"/>
    <w:semiHidden/>
    <w:rsid w:val="00573472"/>
    <w:rPr>
      <w:rFonts w:ascii="Segoe UI" w:hAnsi="Segoe UI"/>
      <w:b/>
      <w:bCs/>
      <w:color w:val="000000" w:themeColor="text1"/>
      <w:lang w:eastAsia="en-US"/>
    </w:rPr>
  </w:style>
  <w:style w:type="table" w:styleId="TableGridLight">
    <w:name w:val="Grid Table Light"/>
    <w:basedOn w:val="TableNormal"/>
    <w:uiPriority w:val="40"/>
    <w:rsid w:val="000443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2B3548"/>
    <w:pPr>
      <w:spacing w:before="0" w:after="200" w:line="240" w:lineRule="auto"/>
    </w:pPr>
    <w:rPr>
      <w:i/>
      <w:iCs/>
      <w:color w:val="22305D" w:themeColor="text2"/>
      <w:sz w:val="18"/>
      <w:szCs w:val="18"/>
    </w:rPr>
  </w:style>
  <w:style w:type="character" w:styleId="UnresolvedMention">
    <w:name w:val="Unresolved Mention"/>
    <w:basedOn w:val="DefaultParagraphFont"/>
    <w:uiPriority w:val="99"/>
    <w:semiHidden/>
    <w:unhideWhenUsed/>
    <w:rsid w:val="00FB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whatuora.govt.nz/health-services-and-programmes/nationwide-service-framework-library/purchase-uni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Ministry 20-6-24">
      <a:dk1>
        <a:sysClr val="windowText" lastClr="000000"/>
      </a:dk1>
      <a:lt1>
        <a:sysClr val="window" lastClr="FFFFFF"/>
      </a:lt1>
      <a:dk2>
        <a:srgbClr val="22305D"/>
      </a:dk2>
      <a:lt2>
        <a:srgbClr val="C6CFEA"/>
      </a:lt2>
      <a:accent1>
        <a:srgbClr val="1B83A0"/>
      </a:accent1>
      <a:accent2>
        <a:srgbClr val="C7EBF5"/>
      </a:accent2>
      <a:accent3>
        <a:srgbClr val="1F806A"/>
      </a:accent3>
      <a:accent4>
        <a:srgbClr val="ED6C77"/>
      </a:accent4>
      <a:accent5>
        <a:srgbClr val="4BAFB0"/>
      </a:accent5>
      <a:accent6>
        <a:srgbClr val="DAEFEF"/>
      </a:accent6>
      <a:hlink>
        <a:srgbClr val="595959"/>
      </a:hlink>
      <a:folHlink>
        <a:srgbClr val="2230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6B508744A2AC848B695886D527F4BAE" ma:contentTypeVersion="223" ma:contentTypeDescription="Create a new document." ma:contentTypeScope="" ma:versionID="b1231edaf15d6abe935b91e9079c3d73">
  <xsd:schema xmlns:xsd="http://www.w3.org/2001/XMLSchema" xmlns:xs="http://www.w3.org/2001/XMLSchema" xmlns:p="http://schemas.microsoft.com/office/2006/metadata/properties" xmlns:ns2="94106329-9bbb-49eb-b32b-6355cff7f379" xmlns:ns3="4f9c820c-e7e2-444d-97ee-45f2b3485c1d" xmlns:ns4="15ffb055-6eb4-45a1-bc20-bf2ac0d420da" xmlns:ns5="725c79e5-42ce-4aa0-ac78-b6418001f0d2" xmlns:ns6="c91a514c-9034-4fa3-897a-8352025b26ed" xmlns:ns7="d0b61010-d6f3-4072-b934-7bbb13e97771" xmlns:ns8="184c05c4-c568-455d-94a4-7e009b164348" xmlns:ns9="481b176e-4748-40e6-b4c2-5c78c09fb5f8" targetNamespace="http://schemas.microsoft.com/office/2006/metadata/properties" ma:root="true" ma:fieldsID="89c999dd03f745704b723349395b4d41" ns2:_="" ns3:_="" ns4:_="" ns5:_="" ns6:_="" ns7:_="" ns8:_="" ns9:_="">
    <xsd:import namespace="94106329-9bbb-49eb-b32b-6355cff7f379"/>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481b176e-4748-40e6-b4c2-5c78c09fb5f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DateTaken" minOccurs="0"/>
                <xsd:element ref="ns9:MediaServiceLocation" minOccurs="0"/>
                <xsd:element ref="ns9:MediaServiceObjectDetectorVersions" minOccurs="0"/>
                <xsd:element ref="ns9:MediaServiceSearchProperties" minOccurs="0"/>
                <xsd:element ref="ns9:_Flow_SignoffStatus" minOccurs="0"/>
                <xsd:element ref="ns9:MediaLengthInSeconds" minOccurs="0"/>
                <xsd:element ref="ns9: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6329-9bbb-49eb-b32b-6355cff7f3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0164d9b9-2436-4bb3-8c6e-a385b1d9704c}" ma:internalName="TaxCatchAll" ma:showField="CatchAllData" ma:web="94106329-9bbb-49eb-b32b-6355cff7f3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Data and Analysi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Māori Health Data and Analysi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Māori Health Data and Analysi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481b176e-4748-40e6-b4c2-5c78c09fb5f8"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element name="MediaLengthInSeconds" ma:index="66" nillable="true" ma:displayName="MediaLengthInSeconds" ma:hidden="true" ma:internalName="MediaLengthInSeconds" ma:readOnly="true">
      <xsd:simpleType>
        <xsd:restriction base="dms:Unknown"/>
      </xsd:simpleType>
    </xsd:element>
    <xsd:element name="MediaServiceBillingMetadata" ma:index="6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Māori Health Data and Analysis</Activity>
    <lcf76f155ced4ddcb4097134ff3c332f xmlns="481b176e-4748-40e6-b4c2-5c78c09fb5f8">
      <Terms xmlns="http://schemas.microsoft.com/office/infopath/2007/PartnerControls"/>
    </lcf76f155ced4ddcb4097134ff3c332f>
    <AggregationStatus xmlns="4f9c820c-e7e2-444d-97ee-45f2b3485c1d">Normal</AggregationStatus>
    <OverrideLabel xmlns="d0b61010-d6f3-4072-b934-7bbb13e97771" xsi:nil="true"/>
    <CategoryValue xmlns="4f9c820c-e7e2-444d-97ee-45f2b3485c1d">2025</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Māori Health Data and Analysis</Team>
    <Project xmlns="4f9c820c-e7e2-444d-97ee-45f2b3485c1d">NA</Project>
    <HasNHI xmlns="184c05c4-c568-455d-94a4-7e009b164348">false</HasNHI>
    <FunctionGroup xmlns="4f9c820c-e7e2-444d-97ee-45f2b3485c1d">Monitor and Support Health System</FunctionGroup>
    <Function xmlns="4f9c820c-e7e2-444d-97ee-45f2b3485c1d">Data and Analysis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_Flow_SignoffStatus xmlns="481b176e-4748-40e6-b4c2-5c78c09fb5f8"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TaxCatchAll xmlns="94106329-9bbb-49eb-b32b-6355cff7f379" xsi:nil="true"/>
    <Year xmlns="c91a514c-9034-4fa3-897a-8352025b26ed">NA</Year>
    <Narrative xmlns="4f9c820c-e7e2-444d-97ee-45f2b3485c1d" xsi:nil="true"/>
    <CategoryName xmlns="4f9c820c-e7e2-444d-97ee-45f2b3485c1d">Māori provider funding report</CategoryName>
    <PRADateTrigger xmlns="4f9c820c-e7e2-444d-97ee-45f2b3485c1d" xsi:nil="true"/>
    <PRAText2 xmlns="4f9c820c-e7e2-444d-97ee-45f2b3485c1d" xsi:nil="true"/>
    <zLegacyID xmlns="184c05c4-c568-455d-94a4-7e009b164348" xsi:nil="true"/>
    <_dlc_DocId xmlns="94106329-9bbb-49eb-b32b-6355cff7f379">MOHECM-1747730376-30349</_dlc_DocId>
    <_dlc_DocIdUrl xmlns="94106329-9bbb-49eb-b32b-6355cff7f379">
      <Url>https://mohgovtnz.sharepoint.com/sites/moh-ecm-MHDA/_layouts/15/DocIdRedir.aspx?ID=MOHECM-1747730376-30349</Url>
      <Description>MOHECM-1747730376-30349</Description>
    </_dlc_DocIdUrl>
  </documentManagement>
</p:properties>
</file>

<file path=customXml/itemProps1.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2.xml><?xml version="1.0" encoding="utf-8"?>
<ds:datastoreItem xmlns:ds="http://schemas.openxmlformats.org/officeDocument/2006/customXml" ds:itemID="{5D174AA4-98F0-40F0-A120-F99F74DC1567}">
  <ds:schemaRefs>
    <ds:schemaRef ds:uri="http://schemas.microsoft.com/sharepoint/events"/>
  </ds:schemaRefs>
</ds:datastoreItem>
</file>

<file path=customXml/itemProps3.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4.xml><?xml version="1.0" encoding="utf-8"?>
<ds:datastoreItem xmlns:ds="http://schemas.openxmlformats.org/officeDocument/2006/customXml" ds:itemID="{8674EF63-B8D0-42BD-9D08-335E3F6B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6329-9bbb-49eb-b32b-6355cff7f379"/>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481b176e-4748-40e6-b4c2-5c78c09fb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4CB951-6F69-4E40-AD3A-CFD37072A6E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481b176e-4748-40e6-b4c2-5c78c09fb5f8"/>
    <ds:schemaRef ds:uri="d0b61010-d6f3-4072-b934-7bbb13e97771"/>
    <ds:schemaRef ds:uri="725c79e5-42ce-4aa0-ac78-b6418001f0d2"/>
    <ds:schemaRef ds:uri="94106329-9bbb-49eb-b32b-6355cff7f379"/>
  </ds:schemaRefs>
</ds:datastoreItem>
</file>

<file path=docProps/app.xml><?xml version="1.0" encoding="utf-8"?>
<Properties xmlns="http://schemas.openxmlformats.org/officeDocument/2006/extended-properties" xmlns:vt="http://schemas.openxmlformats.org/officeDocument/2006/docPropsVTypes">
  <Template>Factsheet template</Template>
  <TotalTime>3</TotalTime>
  <Pages>4</Pages>
  <Words>1168</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Funding to Māori Health Providers, 2021/22 to 2024/25</vt:lpstr>
    </vt:vector>
  </TitlesOfParts>
  <Company>Ministry of Health</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to Māori Health Providers, 2021/22 to 2024/25</dc:title>
  <dc:subject/>
  <dc:creator>Ministry of Health</dc:creator>
  <cp:keywords/>
  <cp:lastModifiedBy>Ministry of Health</cp:lastModifiedBy>
  <cp:revision>6</cp:revision>
  <cp:lastPrinted>2026-04-22T23:46:00Z</cp:lastPrinted>
  <dcterms:created xsi:type="dcterms:W3CDTF">2026-03-12T03:15:00Z</dcterms:created>
  <dcterms:modified xsi:type="dcterms:W3CDTF">2026-04-22T23:46:00Z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0x01010006B508744A2AC848B695886D527F4BAE</vt:lpwstr>
  </property>
  <property fmtid="{D5CDD505-2E9C-101B-9397-08002B2CF9AE}" pid="3" name="_dlc_DocIdItemGuid">
    <vt:lpwstr>ed9282f1-ad17-4752-a740-2c64de49133a</vt:lpwstr>
  </property>
  <property fmtid="{D5CDD505-2E9C-101B-9397-08002B2CF9AE}" pid="4" name="MediaServiceImageTags">
    <vt:lpwstr/>
  </property>
  <property fmtid="{D5CDD505-2E9C-101B-9397-08002B2CF9AE}" pid="5" name="docLang">
    <vt:lpwstr>en</vt:lpwstr>
  </property>
</Properties>
</file>