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17359" w14:textId="0F93D0DF" w:rsidR="0015457A" w:rsidRPr="00B360A1" w:rsidRDefault="0015457A">
      <w:pPr>
        <w:rPr>
          <w:rFonts w:cstheme="minorHAnsi"/>
        </w:rPr>
      </w:pPr>
    </w:p>
    <w:p w14:paraId="6495CA07" w14:textId="0B55C18A" w:rsidR="1880137D" w:rsidRPr="004617D8" w:rsidRDefault="009B3287" w:rsidP="004617D8">
      <w:pPr>
        <w:pStyle w:val="NormalWeb"/>
        <w:shd w:val="clear" w:color="auto" w:fill="FFFFFF" w:themeFill="background1"/>
        <w:spacing w:before="0" w:beforeAutospacing="0"/>
        <w:jc w:val="center"/>
        <w:rPr>
          <w:rFonts w:asciiTheme="minorHAnsi" w:hAnsiTheme="minorHAnsi" w:cstheme="minorBidi"/>
          <w:color w:val="212529"/>
          <w:sz w:val="28"/>
          <w:szCs w:val="28"/>
        </w:rPr>
      </w:pPr>
      <w:r>
        <w:rPr>
          <w:rFonts w:asciiTheme="minorHAnsi" w:hAnsiTheme="minorHAnsi" w:cstheme="minorBidi"/>
          <w:color w:val="212529"/>
          <w:sz w:val="28"/>
          <w:szCs w:val="28"/>
        </w:rPr>
        <w:t xml:space="preserve"> </w:t>
      </w:r>
    </w:p>
    <w:p w14:paraId="67F08A99" w14:textId="74CBDFD1" w:rsidR="00D4786C" w:rsidRDefault="00055AC6" w:rsidP="5E3DFD2A">
      <w:pPr>
        <w:pStyle w:val="NormalWeb"/>
        <w:shd w:val="clear" w:color="auto" w:fill="FFFFFF" w:themeFill="background1"/>
        <w:spacing w:before="0" w:beforeAutospacing="0"/>
        <w:jc w:val="center"/>
        <w:rPr>
          <w:rFonts w:asciiTheme="minorHAnsi" w:hAnsiTheme="minorHAnsi" w:cstheme="minorBidi"/>
          <w:color w:val="212529"/>
          <w:sz w:val="22"/>
          <w:szCs w:val="22"/>
        </w:rPr>
      </w:pPr>
      <w:r w:rsidRPr="5E3DFD2A">
        <w:rPr>
          <w:rFonts w:asciiTheme="minorHAnsi" w:hAnsiTheme="minorHAnsi" w:cstheme="minorBidi"/>
          <w:color w:val="212529"/>
          <w:sz w:val="28"/>
          <w:szCs w:val="28"/>
        </w:rPr>
        <w:t>Minister of Health</w:t>
      </w:r>
    </w:p>
    <w:p w14:paraId="3E97580E" w14:textId="77777777" w:rsidR="00617B48" w:rsidRDefault="00617B48" w:rsidP="5E3DFD2A">
      <w:pPr>
        <w:pStyle w:val="NormalWeb"/>
        <w:shd w:val="clear" w:color="auto" w:fill="FFFFFF" w:themeFill="background1"/>
        <w:spacing w:before="0" w:beforeAutospacing="0"/>
        <w:jc w:val="center"/>
        <w:rPr>
          <w:rFonts w:asciiTheme="minorHAnsi" w:hAnsiTheme="minorHAnsi" w:cstheme="minorBidi"/>
          <w:b/>
          <w:bCs/>
          <w:color w:val="212529"/>
          <w:sz w:val="22"/>
          <w:szCs w:val="22"/>
        </w:rPr>
      </w:pPr>
    </w:p>
    <w:p w14:paraId="5159C278" w14:textId="5474C81B" w:rsidR="00DC76F5" w:rsidRDefault="00030DEB" w:rsidP="00DC76F5">
      <w:pPr>
        <w:pStyle w:val="NormalWeb"/>
        <w:shd w:val="clear" w:color="auto" w:fill="FFFFFF" w:themeFill="background1"/>
        <w:spacing w:before="0" w:beforeAutospacing="0"/>
        <w:jc w:val="center"/>
        <w:rPr>
          <w:rFonts w:asciiTheme="minorHAnsi" w:hAnsiTheme="minorHAnsi" w:cstheme="minorBidi"/>
          <w:b/>
          <w:bCs/>
          <w:color w:val="212529"/>
          <w:sz w:val="22"/>
          <w:szCs w:val="22"/>
        </w:rPr>
      </w:pPr>
      <w:r>
        <w:rPr>
          <w:rFonts w:asciiTheme="minorHAnsi" w:hAnsiTheme="minorHAnsi" w:cstheme="minorBidi"/>
          <w:b/>
          <w:bCs/>
          <w:color w:val="212529"/>
          <w:sz w:val="22"/>
          <w:szCs w:val="22"/>
        </w:rPr>
        <w:t>Appointments to Priority Governance Roles for Health New Zealand</w:t>
      </w:r>
    </w:p>
    <w:p w14:paraId="63196264" w14:textId="794B45C2" w:rsidR="08B52CBB" w:rsidRDefault="00030DEB" w:rsidP="5E3DFD2A">
      <w:pPr>
        <w:pStyle w:val="NormalWeb"/>
        <w:shd w:val="clear" w:color="auto" w:fill="FFFFFF" w:themeFill="background1"/>
        <w:spacing w:before="0" w:beforeAutospacing="0"/>
        <w:jc w:val="center"/>
        <w:rPr>
          <w:rFonts w:asciiTheme="minorHAnsi" w:hAnsiTheme="minorHAnsi" w:cstheme="minorBidi"/>
          <w:color w:val="212529"/>
          <w:sz w:val="22"/>
          <w:szCs w:val="22"/>
        </w:rPr>
      </w:pPr>
      <w:r>
        <w:rPr>
          <w:rFonts w:asciiTheme="minorHAnsi" w:hAnsiTheme="minorHAnsi" w:cstheme="minorBidi"/>
          <w:color w:val="212529"/>
          <w:sz w:val="22"/>
          <w:szCs w:val="22"/>
        </w:rPr>
        <w:t>20</w:t>
      </w:r>
      <w:r w:rsidR="00E73FEC">
        <w:rPr>
          <w:rFonts w:asciiTheme="minorHAnsi" w:hAnsiTheme="minorHAnsi" w:cstheme="minorBidi"/>
          <w:color w:val="212529"/>
          <w:sz w:val="22"/>
          <w:szCs w:val="22"/>
        </w:rPr>
        <w:t xml:space="preserve"> April </w:t>
      </w:r>
      <w:r w:rsidR="5BF82606" w:rsidRPr="5E3DFD2A">
        <w:rPr>
          <w:rFonts w:asciiTheme="minorHAnsi" w:hAnsiTheme="minorHAnsi" w:cstheme="minorBidi"/>
          <w:color w:val="212529"/>
          <w:sz w:val="22"/>
          <w:szCs w:val="22"/>
        </w:rPr>
        <w:t>202</w:t>
      </w:r>
      <w:r w:rsidR="0068626B">
        <w:rPr>
          <w:rFonts w:asciiTheme="minorHAnsi" w:hAnsiTheme="minorHAnsi" w:cstheme="minorBidi"/>
          <w:color w:val="212529"/>
          <w:sz w:val="22"/>
          <w:szCs w:val="22"/>
        </w:rPr>
        <w:t>6</w:t>
      </w:r>
    </w:p>
    <w:p w14:paraId="233C3A3C" w14:textId="7797A92E" w:rsidR="1880137D" w:rsidRDefault="1880137D" w:rsidP="1880137D">
      <w:pPr>
        <w:pStyle w:val="NormalWeb"/>
        <w:shd w:val="clear" w:color="auto" w:fill="FFFFFF" w:themeFill="background1"/>
        <w:spacing w:before="0" w:beforeAutospacing="0"/>
        <w:rPr>
          <w:rFonts w:asciiTheme="minorHAnsi" w:hAnsiTheme="minorHAnsi" w:cstheme="minorBidi"/>
          <w:color w:val="212529"/>
          <w:sz w:val="22"/>
          <w:szCs w:val="22"/>
        </w:rPr>
      </w:pPr>
    </w:p>
    <w:p w14:paraId="51B4FD1F" w14:textId="3D9CF0B7" w:rsidR="141CF13F" w:rsidRDefault="003D388B" w:rsidP="5E3DFD2A">
      <w:pPr>
        <w:pStyle w:val="NormalWeb"/>
        <w:shd w:val="clear" w:color="auto" w:fill="FFFFFF" w:themeFill="background1"/>
        <w:spacing w:before="0" w:beforeAutospacing="0"/>
        <w:rPr>
          <w:rFonts w:asciiTheme="minorHAnsi" w:hAnsiTheme="minorHAnsi" w:cstheme="minorBidi"/>
          <w:color w:val="212529"/>
          <w:sz w:val="22"/>
          <w:szCs w:val="22"/>
        </w:rPr>
      </w:pPr>
      <w:r w:rsidRPr="5E3DFD2A">
        <w:rPr>
          <w:rFonts w:asciiTheme="minorHAnsi" w:hAnsiTheme="minorHAnsi" w:cstheme="minorBidi"/>
          <w:color w:val="212529"/>
          <w:sz w:val="22"/>
          <w:szCs w:val="22"/>
        </w:rPr>
        <w:t>These</w:t>
      </w:r>
      <w:r w:rsidR="00B360A1" w:rsidRPr="5E3DFD2A">
        <w:rPr>
          <w:rFonts w:asciiTheme="minorHAnsi" w:hAnsiTheme="minorHAnsi" w:cstheme="minorBidi"/>
          <w:color w:val="212529"/>
          <w:sz w:val="22"/>
          <w:szCs w:val="22"/>
        </w:rPr>
        <w:t xml:space="preserve"> documents have been proactively released</w:t>
      </w:r>
      <w:r w:rsidR="008A7BB0" w:rsidRPr="5E3DFD2A">
        <w:rPr>
          <w:rFonts w:asciiTheme="minorHAnsi" w:hAnsiTheme="minorHAnsi" w:cstheme="minorBidi"/>
          <w:color w:val="212529"/>
          <w:sz w:val="22"/>
          <w:szCs w:val="22"/>
        </w:rPr>
        <w:t xml:space="preserve"> by the Ministry of Health on behalf of the</w:t>
      </w:r>
      <w:r w:rsidR="005B2EE6" w:rsidRPr="5E3DFD2A">
        <w:rPr>
          <w:rFonts w:asciiTheme="minorHAnsi" w:hAnsiTheme="minorHAnsi" w:cstheme="minorBidi"/>
          <w:color w:val="212529"/>
          <w:sz w:val="22"/>
          <w:szCs w:val="22"/>
        </w:rPr>
        <w:t xml:space="preserve"> Minister</w:t>
      </w:r>
      <w:r w:rsidRPr="5E3DFD2A">
        <w:rPr>
          <w:rFonts w:asciiTheme="minorHAnsi" w:hAnsiTheme="minorHAnsi" w:cstheme="minorBidi"/>
          <w:color w:val="212529"/>
          <w:sz w:val="22"/>
          <w:szCs w:val="22"/>
        </w:rPr>
        <w:t xml:space="preserve"> of Health</w:t>
      </w:r>
      <w:r w:rsidR="00E16415" w:rsidRPr="5E3DFD2A">
        <w:rPr>
          <w:rFonts w:asciiTheme="minorHAnsi" w:hAnsiTheme="minorHAnsi" w:cstheme="minorBidi"/>
          <w:color w:val="212529"/>
          <w:sz w:val="22"/>
          <w:szCs w:val="22"/>
        </w:rPr>
        <w:t xml:space="preserve">, </w:t>
      </w:r>
      <w:r w:rsidR="005B2EE6" w:rsidRPr="5E3DFD2A">
        <w:rPr>
          <w:rFonts w:asciiTheme="minorHAnsi" w:hAnsiTheme="minorHAnsi" w:cstheme="minorBidi"/>
          <w:color w:val="212529"/>
          <w:sz w:val="22"/>
          <w:szCs w:val="22"/>
        </w:rPr>
        <w:t>Hon</w:t>
      </w:r>
      <w:r w:rsidR="4EDC872C" w:rsidRPr="5E3DFD2A">
        <w:rPr>
          <w:rFonts w:asciiTheme="minorHAnsi" w:hAnsiTheme="minorHAnsi" w:cstheme="minorBidi"/>
          <w:color w:val="212529"/>
          <w:sz w:val="22"/>
          <w:szCs w:val="22"/>
        </w:rPr>
        <w:t xml:space="preserve"> </w:t>
      </w:r>
      <w:r w:rsidR="00ED3B24">
        <w:rPr>
          <w:rFonts w:asciiTheme="minorHAnsi" w:hAnsiTheme="minorHAnsi" w:cstheme="minorBidi"/>
          <w:color w:val="212529"/>
          <w:sz w:val="22"/>
          <w:szCs w:val="22"/>
        </w:rPr>
        <w:t>Simeon Brown</w:t>
      </w:r>
    </w:p>
    <w:p w14:paraId="0D78B7D1" w14:textId="25691C11" w:rsidR="1880137D" w:rsidRDefault="1880137D" w:rsidP="1880137D">
      <w:pPr>
        <w:pStyle w:val="NormalWeb"/>
        <w:shd w:val="clear" w:color="auto" w:fill="FFFFFF" w:themeFill="background1"/>
        <w:spacing w:before="0" w:beforeAutospacing="0"/>
        <w:rPr>
          <w:rFonts w:asciiTheme="minorHAnsi" w:hAnsiTheme="minorHAnsi" w:cstheme="minorBidi"/>
          <w:color w:val="212529"/>
          <w:sz w:val="22"/>
          <w:szCs w:val="22"/>
        </w:rPr>
      </w:pPr>
    </w:p>
    <w:p w14:paraId="62E3E12E" w14:textId="2DB90F0C" w:rsidR="000339A7" w:rsidRPr="002B0A43" w:rsidRDefault="00C05AD9" w:rsidP="000339A7">
      <w:pPr>
        <w:pStyle w:val="NormalWeb"/>
        <w:shd w:val="clear" w:color="auto" w:fill="FFFFFF" w:themeFill="background1"/>
        <w:spacing w:before="0" w:beforeAutospacing="0"/>
        <w:jc w:val="center"/>
      </w:pPr>
      <w:r w:rsidRPr="002B0A43">
        <w:rPr>
          <w:rStyle w:val="Emphasis"/>
          <w:rFonts w:asciiTheme="minorHAnsi" w:hAnsiTheme="minorHAnsi" w:cstheme="minorBidi"/>
          <w:i w:val="0"/>
          <w:iCs w:val="0"/>
          <w:color w:val="212529"/>
          <w:sz w:val="22"/>
          <w:szCs w:val="22"/>
        </w:rPr>
        <w:t xml:space="preserve">Title of </w:t>
      </w:r>
      <w:r w:rsidR="008A7BB0" w:rsidRPr="002B0A43">
        <w:rPr>
          <w:rStyle w:val="Emphasis"/>
          <w:rFonts w:asciiTheme="minorHAnsi" w:hAnsiTheme="minorHAnsi" w:cstheme="minorBidi"/>
          <w:i w:val="0"/>
          <w:iCs w:val="0"/>
          <w:color w:val="212529"/>
          <w:sz w:val="22"/>
          <w:szCs w:val="22"/>
        </w:rPr>
        <w:t xml:space="preserve">Cabinet </w:t>
      </w:r>
      <w:r w:rsidRPr="002B0A43">
        <w:rPr>
          <w:rStyle w:val="Emphasis"/>
          <w:rFonts w:asciiTheme="minorHAnsi" w:hAnsiTheme="minorHAnsi" w:cstheme="minorBidi"/>
          <w:i w:val="0"/>
          <w:iCs w:val="0"/>
          <w:color w:val="212529"/>
          <w:sz w:val="22"/>
          <w:szCs w:val="22"/>
        </w:rPr>
        <w:t>paper</w:t>
      </w:r>
      <w:r w:rsidR="000012DE" w:rsidRPr="002B0A43">
        <w:rPr>
          <w:rStyle w:val="Emphasis"/>
          <w:rFonts w:asciiTheme="minorHAnsi" w:hAnsiTheme="minorHAnsi" w:cstheme="minorBidi"/>
          <w:i w:val="0"/>
          <w:iCs w:val="0"/>
          <w:color w:val="212529"/>
          <w:sz w:val="22"/>
          <w:szCs w:val="22"/>
        </w:rPr>
        <w:t>:</w:t>
      </w:r>
      <w:r w:rsidR="0CDB14B8" w:rsidRPr="002B0A43">
        <w:rPr>
          <w:rStyle w:val="Emphasis"/>
          <w:rFonts w:asciiTheme="minorHAnsi" w:hAnsiTheme="minorHAnsi" w:cstheme="minorBidi"/>
          <w:i w:val="0"/>
          <w:iCs w:val="0"/>
          <w:color w:val="212529"/>
          <w:sz w:val="22"/>
          <w:szCs w:val="22"/>
        </w:rPr>
        <w:t xml:space="preserve"> </w:t>
      </w:r>
      <w:r w:rsidR="00030DEB">
        <w:rPr>
          <w:rStyle w:val="Emphasis"/>
          <w:rFonts w:asciiTheme="minorHAnsi" w:hAnsiTheme="minorHAnsi" w:cstheme="minorBidi"/>
          <w:i w:val="0"/>
          <w:iCs w:val="0"/>
          <w:color w:val="212529"/>
          <w:sz w:val="22"/>
          <w:szCs w:val="22"/>
        </w:rPr>
        <w:t>Appointments to Priority Governance Roles for Health New Zealand</w:t>
      </w:r>
    </w:p>
    <w:p w14:paraId="43B8CA67" w14:textId="5B428CC8" w:rsidR="00B360A1" w:rsidRPr="00F14F81" w:rsidRDefault="00B360A1" w:rsidP="5E3DFD2A">
      <w:pPr>
        <w:pStyle w:val="NormalWeb"/>
        <w:shd w:val="clear" w:color="auto" w:fill="FFFFFF" w:themeFill="background1"/>
        <w:spacing w:before="0" w:beforeAutospacing="0"/>
        <w:rPr>
          <w:rStyle w:val="Emphasis"/>
          <w:rFonts w:asciiTheme="minorHAnsi" w:hAnsiTheme="minorHAnsi" w:cstheme="minorBidi"/>
          <w:b/>
          <w:bCs/>
          <w:i w:val="0"/>
          <w:iCs w:val="0"/>
          <w:color w:val="212529"/>
          <w:sz w:val="22"/>
          <w:szCs w:val="22"/>
        </w:rPr>
      </w:pPr>
    </w:p>
    <w:p w14:paraId="1BB0179B" w14:textId="691DB938" w:rsidR="000012DE" w:rsidRDefault="000012DE" w:rsidP="00B360A1">
      <w:pPr>
        <w:pStyle w:val="NormalWeb"/>
        <w:shd w:val="clear" w:color="auto" w:fill="FFFFFF"/>
        <w:spacing w:before="0" w:beforeAutospacing="0"/>
        <w:rPr>
          <w:rStyle w:val="Emphasis"/>
          <w:rFonts w:asciiTheme="minorHAnsi" w:hAnsiTheme="minorHAnsi" w:cstheme="minorBidi"/>
          <w:b/>
          <w:bCs/>
          <w:i w:val="0"/>
          <w:iCs w:val="0"/>
          <w:color w:val="212529"/>
          <w:sz w:val="22"/>
          <w:szCs w:val="22"/>
        </w:rPr>
      </w:pPr>
      <w:r w:rsidRPr="1BC48370">
        <w:rPr>
          <w:rStyle w:val="Emphasis"/>
          <w:rFonts w:asciiTheme="minorHAnsi" w:hAnsiTheme="minorHAnsi" w:cstheme="minorBidi"/>
          <w:b/>
          <w:bCs/>
          <w:i w:val="0"/>
          <w:iCs w:val="0"/>
          <w:color w:val="212529"/>
          <w:sz w:val="22"/>
          <w:szCs w:val="22"/>
        </w:rPr>
        <w:t>Title of minute</w:t>
      </w:r>
      <w:r w:rsidR="008A7BB0" w:rsidRPr="1BC48370">
        <w:rPr>
          <w:rStyle w:val="Emphasis"/>
          <w:rFonts w:asciiTheme="minorHAnsi" w:hAnsiTheme="minorHAnsi" w:cstheme="minorBidi"/>
          <w:b/>
          <w:bCs/>
          <w:i w:val="0"/>
          <w:iCs w:val="0"/>
          <w:color w:val="212529"/>
          <w:sz w:val="22"/>
          <w:szCs w:val="22"/>
        </w:rPr>
        <w:t>s</w:t>
      </w:r>
      <w:r w:rsidRPr="1BC48370">
        <w:rPr>
          <w:rStyle w:val="Emphasis"/>
          <w:rFonts w:asciiTheme="minorHAnsi" w:hAnsiTheme="minorHAnsi" w:cstheme="minorBidi"/>
          <w:b/>
          <w:bCs/>
          <w:i w:val="0"/>
          <w:iCs w:val="0"/>
          <w:color w:val="212529"/>
          <w:sz w:val="22"/>
          <w:szCs w:val="22"/>
        </w:rPr>
        <w:t>:</w:t>
      </w:r>
    </w:p>
    <w:p w14:paraId="3BBA170A" w14:textId="642656C8" w:rsidR="00DE3E0F" w:rsidRDefault="00E76CBA" w:rsidP="00CA19EB">
      <w:pPr>
        <w:numPr>
          <w:ilvl w:val="0"/>
          <w:numId w:val="5"/>
        </w:numPr>
        <w:spacing w:before="100" w:beforeAutospacing="1" w:line="240" w:lineRule="auto"/>
        <w:rPr>
          <w:rFonts w:eastAsia="Times New Roman" w:cstheme="minorHAnsi"/>
          <w:lang w:eastAsia="en-NZ"/>
        </w:rPr>
      </w:pPr>
      <w:r>
        <w:rPr>
          <w:rFonts w:eastAsia="Times New Roman" w:cstheme="minorHAnsi"/>
          <w:lang w:eastAsia="en-NZ"/>
        </w:rPr>
        <w:t xml:space="preserve">Report of the Cabinet </w:t>
      </w:r>
      <w:r w:rsidR="00030DEB">
        <w:rPr>
          <w:rFonts w:eastAsia="Times New Roman" w:cstheme="minorHAnsi"/>
          <w:lang w:eastAsia="en-NZ"/>
        </w:rPr>
        <w:t>Appointments and Honours Committee</w:t>
      </w:r>
      <w:r>
        <w:rPr>
          <w:rFonts w:eastAsia="Times New Roman" w:cstheme="minorHAnsi"/>
          <w:lang w:eastAsia="en-NZ"/>
        </w:rPr>
        <w:t xml:space="preserve">: Period Ended </w:t>
      </w:r>
      <w:r w:rsidR="00030DEB">
        <w:rPr>
          <w:rFonts w:eastAsia="Times New Roman" w:cstheme="minorHAnsi"/>
          <w:lang w:eastAsia="en-NZ"/>
        </w:rPr>
        <w:t>27 June 2026</w:t>
      </w:r>
      <w:r>
        <w:rPr>
          <w:rFonts w:eastAsia="Times New Roman" w:cstheme="minorHAnsi"/>
          <w:lang w:eastAsia="en-NZ"/>
        </w:rPr>
        <w:t xml:space="preserve"> (CAB-25-MIN-0</w:t>
      </w:r>
      <w:r w:rsidR="00030DEB">
        <w:rPr>
          <w:rFonts w:eastAsia="Times New Roman" w:cstheme="minorHAnsi"/>
          <w:lang w:eastAsia="en-NZ"/>
        </w:rPr>
        <w:t>207</w:t>
      </w:r>
      <w:r>
        <w:rPr>
          <w:rFonts w:eastAsia="Times New Roman" w:cstheme="minorHAnsi"/>
          <w:lang w:eastAsia="en-NZ"/>
        </w:rPr>
        <w:t>)</w:t>
      </w:r>
    </w:p>
    <w:p w14:paraId="163099DF" w14:textId="56284D05" w:rsidR="00E3648C" w:rsidRPr="00E3648C" w:rsidRDefault="00E3648C" w:rsidP="00E3648C">
      <w:pPr>
        <w:numPr>
          <w:ilvl w:val="0"/>
          <w:numId w:val="5"/>
        </w:numPr>
        <w:spacing w:before="100" w:beforeAutospacing="1" w:after="100" w:afterAutospacing="1" w:line="240" w:lineRule="auto"/>
        <w:rPr>
          <w:rFonts w:eastAsia="Times New Roman" w:cstheme="minorHAnsi"/>
          <w:lang w:eastAsia="en-NZ"/>
        </w:rPr>
      </w:pPr>
      <w:r w:rsidRPr="00E3648C">
        <w:rPr>
          <w:rFonts w:eastAsia="Times New Roman" w:cstheme="minorHAnsi"/>
          <w:lang w:eastAsia="en-NZ"/>
        </w:rPr>
        <w:t>Minute of Decisio</w:t>
      </w:r>
      <w:r w:rsidR="008E5C72">
        <w:rPr>
          <w:rFonts w:eastAsia="Times New Roman" w:cstheme="minorHAnsi"/>
          <w:lang w:eastAsia="en-NZ"/>
        </w:rPr>
        <w:t>n</w:t>
      </w:r>
      <w:r w:rsidR="00696EFB">
        <w:rPr>
          <w:rFonts w:eastAsia="Times New Roman" w:cstheme="minorHAnsi"/>
          <w:lang w:eastAsia="en-NZ"/>
        </w:rPr>
        <w:t xml:space="preserve">: </w:t>
      </w:r>
      <w:r w:rsidR="005F25C3">
        <w:rPr>
          <w:rFonts w:eastAsia="Times New Roman" w:cstheme="minorHAnsi"/>
          <w:lang w:eastAsia="en-NZ"/>
        </w:rPr>
        <w:t>Health New Zealand: Priority Governance Appointments</w:t>
      </w:r>
      <w:r w:rsidR="006A024B">
        <w:rPr>
          <w:rFonts w:eastAsia="Times New Roman" w:cstheme="minorHAnsi"/>
          <w:lang w:eastAsia="en-NZ"/>
        </w:rPr>
        <w:t xml:space="preserve"> </w:t>
      </w:r>
      <w:r w:rsidRPr="00E3648C">
        <w:rPr>
          <w:rFonts w:eastAsia="Times New Roman" w:cstheme="minorHAnsi"/>
          <w:lang w:eastAsia="en-NZ"/>
        </w:rPr>
        <w:t>(</w:t>
      </w:r>
      <w:r w:rsidR="005F25C3">
        <w:rPr>
          <w:rFonts w:eastAsia="Times New Roman" w:cstheme="minorHAnsi"/>
          <w:lang w:eastAsia="en-NZ"/>
        </w:rPr>
        <w:t>APH</w:t>
      </w:r>
      <w:r w:rsidRPr="00E3648C">
        <w:rPr>
          <w:rFonts w:eastAsia="Times New Roman" w:cstheme="minorHAnsi"/>
          <w:lang w:eastAsia="en-NZ"/>
        </w:rPr>
        <w:t>-2</w:t>
      </w:r>
      <w:r w:rsidR="003C32D2">
        <w:rPr>
          <w:rFonts w:eastAsia="Times New Roman" w:cstheme="minorHAnsi"/>
          <w:lang w:eastAsia="en-NZ"/>
        </w:rPr>
        <w:t>5</w:t>
      </w:r>
      <w:r w:rsidRPr="00E3648C">
        <w:rPr>
          <w:rFonts w:eastAsia="Times New Roman" w:cstheme="minorHAnsi"/>
          <w:lang w:eastAsia="en-NZ"/>
        </w:rPr>
        <w:t>-MIN-</w:t>
      </w:r>
      <w:r w:rsidR="00ED4E4B">
        <w:rPr>
          <w:rFonts w:eastAsia="Times New Roman" w:cstheme="minorHAnsi"/>
          <w:lang w:eastAsia="en-NZ"/>
        </w:rPr>
        <w:t>0</w:t>
      </w:r>
      <w:r w:rsidR="005F25C3">
        <w:rPr>
          <w:rFonts w:eastAsia="Times New Roman" w:cstheme="minorHAnsi"/>
          <w:lang w:eastAsia="en-NZ"/>
        </w:rPr>
        <w:t>110</w:t>
      </w:r>
      <w:r w:rsidR="00ED4E4B">
        <w:rPr>
          <w:rFonts w:eastAsia="Times New Roman" w:cstheme="minorHAnsi"/>
          <w:lang w:eastAsia="en-NZ"/>
        </w:rPr>
        <w:t>)</w:t>
      </w:r>
    </w:p>
    <w:p w14:paraId="753A21CD" w14:textId="44AA79C5" w:rsidR="000427E8" w:rsidRPr="00C056F4" w:rsidRDefault="001B056C" w:rsidP="000427E8">
      <w:pPr>
        <w:pStyle w:val="NormalWeb"/>
        <w:shd w:val="clear" w:color="auto" w:fill="FFFFFF" w:themeFill="background1"/>
        <w:spacing w:before="0" w:beforeAutospacing="0"/>
        <w:rPr>
          <w:rFonts w:asciiTheme="minorHAnsi" w:hAnsiTheme="minorHAnsi" w:cstheme="minorBidi"/>
          <w:color w:val="212529"/>
          <w:sz w:val="22"/>
          <w:szCs w:val="22"/>
        </w:rPr>
      </w:pPr>
      <w:r>
        <w:rPr>
          <w:rFonts w:asciiTheme="minorHAnsi" w:hAnsiTheme="minorHAnsi" w:cstheme="minorBidi"/>
          <w:color w:val="212529"/>
          <w:sz w:val="22"/>
          <w:szCs w:val="22"/>
        </w:rPr>
        <w:t>S</w:t>
      </w:r>
      <w:r w:rsidR="000427E8" w:rsidRPr="141CF13F">
        <w:rPr>
          <w:rFonts w:asciiTheme="minorHAnsi" w:hAnsiTheme="minorHAnsi" w:cstheme="minorBidi"/>
          <w:color w:val="212529"/>
          <w:sz w:val="22"/>
          <w:szCs w:val="22"/>
        </w:rPr>
        <w:t>ome parts of this information release would not be appropriate to release and, if requested, would be withheld under the Official Information Act 1982 (the Act). Where this is the case, the relevant sections of the Act that would apply have been identified. Where information has been withheld, no public interest has been identified that would outweigh the reasons for withholding it.</w:t>
      </w:r>
    </w:p>
    <w:p w14:paraId="4174FCD2" w14:textId="5A7CF5D4" w:rsidR="007C2B58" w:rsidRDefault="00B360A1" w:rsidP="00B360A1">
      <w:pPr>
        <w:pStyle w:val="NormalWeb"/>
        <w:shd w:val="clear" w:color="auto" w:fill="FFFFFF"/>
        <w:spacing w:before="0" w:beforeAutospacing="0"/>
        <w:rPr>
          <w:rStyle w:val="Strong"/>
          <w:rFonts w:asciiTheme="minorHAnsi" w:hAnsiTheme="minorHAnsi" w:cstheme="minorHAnsi"/>
          <w:color w:val="212529"/>
          <w:sz w:val="22"/>
          <w:szCs w:val="22"/>
        </w:rPr>
      </w:pPr>
      <w:r w:rsidRPr="00B360A1">
        <w:rPr>
          <w:rStyle w:val="Strong"/>
          <w:rFonts w:asciiTheme="minorHAnsi" w:hAnsiTheme="minorHAnsi" w:cstheme="minorHAnsi"/>
          <w:color w:val="212529"/>
          <w:sz w:val="22"/>
          <w:szCs w:val="22"/>
        </w:rPr>
        <w:t xml:space="preserve">Key to </w:t>
      </w:r>
      <w:r w:rsidR="007C2B58">
        <w:rPr>
          <w:rStyle w:val="Strong"/>
          <w:rFonts w:asciiTheme="minorHAnsi" w:hAnsiTheme="minorHAnsi" w:cstheme="minorHAnsi"/>
          <w:color w:val="212529"/>
          <w:sz w:val="22"/>
          <w:szCs w:val="22"/>
        </w:rPr>
        <w:t>r</w:t>
      </w:r>
      <w:r w:rsidRPr="00B360A1">
        <w:rPr>
          <w:rStyle w:val="Strong"/>
          <w:rFonts w:asciiTheme="minorHAnsi" w:hAnsiTheme="minorHAnsi" w:cstheme="minorHAnsi"/>
          <w:color w:val="212529"/>
          <w:sz w:val="22"/>
          <w:szCs w:val="22"/>
        </w:rPr>
        <w:t xml:space="preserve">edaction </w:t>
      </w:r>
      <w:r w:rsidR="007C2B58">
        <w:rPr>
          <w:rStyle w:val="Strong"/>
          <w:rFonts w:asciiTheme="minorHAnsi" w:hAnsiTheme="minorHAnsi" w:cstheme="minorHAnsi"/>
          <w:color w:val="212529"/>
          <w:sz w:val="22"/>
          <w:szCs w:val="22"/>
        </w:rPr>
        <w:t>c</w:t>
      </w:r>
      <w:r w:rsidRPr="00B360A1">
        <w:rPr>
          <w:rStyle w:val="Strong"/>
          <w:rFonts w:asciiTheme="minorHAnsi" w:hAnsiTheme="minorHAnsi" w:cstheme="minorHAnsi"/>
          <w:color w:val="212529"/>
          <w:sz w:val="22"/>
          <w:szCs w:val="22"/>
        </w:rPr>
        <w:t>ode</w:t>
      </w:r>
      <w:r w:rsidR="007C2B58">
        <w:rPr>
          <w:rStyle w:val="Strong"/>
          <w:rFonts w:asciiTheme="minorHAnsi" w:hAnsiTheme="minorHAnsi" w:cstheme="minorHAnsi"/>
          <w:color w:val="212529"/>
          <w:sz w:val="22"/>
          <w:szCs w:val="22"/>
        </w:rPr>
        <w:t>/</w:t>
      </w:r>
      <w:r w:rsidRPr="00B360A1">
        <w:rPr>
          <w:rStyle w:val="Strong"/>
          <w:rFonts w:asciiTheme="minorHAnsi" w:hAnsiTheme="minorHAnsi" w:cstheme="minorHAnsi"/>
          <w:color w:val="212529"/>
          <w:sz w:val="22"/>
          <w:szCs w:val="22"/>
        </w:rPr>
        <w:t>s:</w:t>
      </w:r>
    </w:p>
    <w:tbl>
      <w:tblPr>
        <w:tblW w:w="5000" w:type="pct"/>
        <w:tblCellMar>
          <w:left w:w="0" w:type="dxa"/>
          <w:right w:w="0" w:type="dxa"/>
        </w:tblCellMar>
        <w:tblLook w:val="04A0" w:firstRow="1" w:lastRow="0" w:firstColumn="1" w:lastColumn="0" w:noHBand="0" w:noVBand="1"/>
      </w:tblPr>
      <w:tblGrid>
        <w:gridCol w:w="1708"/>
        <w:gridCol w:w="7302"/>
      </w:tblGrid>
      <w:tr w:rsidR="007251BC" w:rsidRPr="00D32BEC" w14:paraId="74C7CD77" w14:textId="77777777" w:rsidTr="004E1BBE">
        <w:trPr>
          <w:tblHeader/>
        </w:trPr>
        <w:tc>
          <w:tcPr>
            <w:tcW w:w="948" w:type="pct"/>
            <w:tcBorders>
              <w:top w:val="single" w:sz="6" w:space="0" w:color="F0F0EE"/>
              <w:left w:val="single" w:sz="6" w:space="0" w:color="F0F0EE"/>
              <w:bottom w:val="single" w:sz="6" w:space="0" w:color="F0F0EE"/>
              <w:right w:val="single" w:sz="6" w:space="0" w:color="F0F0EE"/>
            </w:tcBorders>
            <w:shd w:val="clear" w:color="auto" w:fill="235369"/>
          </w:tcPr>
          <w:p w14:paraId="3E9F89C6" w14:textId="77777777" w:rsidR="007251BC" w:rsidRPr="00D32BEC" w:rsidRDefault="007251BC" w:rsidP="004E1BBE">
            <w:pPr>
              <w:rPr>
                <w:b/>
                <w:bCs/>
                <w:color w:val="E7E6E6" w:themeColor="background2"/>
              </w:rPr>
            </w:pPr>
            <w:r w:rsidRPr="00D32BEC">
              <w:rPr>
                <w:b/>
                <w:bCs/>
                <w:color w:val="E7E6E6" w:themeColor="background2"/>
              </w:rPr>
              <w:t>Legislation</w:t>
            </w:r>
          </w:p>
        </w:tc>
        <w:tc>
          <w:tcPr>
            <w:tcW w:w="4052" w:type="pct"/>
            <w:tcBorders>
              <w:top w:val="single" w:sz="6" w:space="0" w:color="F0F0EE"/>
              <w:left w:val="single" w:sz="6" w:space="0" w:color="F0F0EE"/>
              <w:bottom w:val="single" w:sz="6" w:space="0" w:color="F0F0EE"/>
              <w:right w:val="single" w:sz="6" w:space="0" w:color="F0F0EE"/>
            </w:tcBorders>
            <w:shd w:val="clear" w:color="auto" w:fill="235369"/>
            <w:tcMar>
              <w:top w:w="75" w:type="dxa"/>
              <w:left w:w="150" w:type="dxa"/>
              <w:bottom w:w="75" w:type="dxa"/>
              <w:right w:w="150" w:type="dxa"/>
            </w:tcMar>
            <w:hideMark/>
          </w:tcPr>
          <w:p w14:paraId="09755197" w14:textId="77777777" w:rsidR="007251BC" w:rsidRPr="00D32BEC" w:rsidRDefault="007251BC" w:rsidP="004E1BBE">
            <w:pPr>
              <w:rPr>
                <w:b/>
                <w:bCs/>
                <w:color w:val="E7E6E6" w:themeColor="background2"/>
              </w:rPr>
            </w:pPr>
            <w:r w:rsidRPr="00D32BEC">
              <w:rPr>
                <w:b/>
                <w:bCs/>
                <w:color w:val="E7E6E6" w:themeColor="background2"/>
              </w:rPr>
              <w:t>Conclusive reasons to withhold official information</w:t>
            </w:r>
          </w:p>
        </w:tc>
      </w:tr>
      <w:tr w:rsidR="007251BC" w:rsidRPr="00D32BEC" w14:paraId="18782B1C" w14:textId="77777777" w:rsidTr="004E1BBE">
        <w:tc>
          <w:tcPr>
            <w:tcW w:w="948" w:type="pct"/>
            <w:tcBorders>
              <w:top w:val="single" w:sz="6" w:space="0" w:color="F0F0EE"/>
              <w:left w:val="single" w:sz="6" w:space="0" w:color="F0F0EE"/>
              <w:bottom w:val="single" w:sz="6" w:space="0" w:color="F0F0EE"/>
              <w:right w:val="single" w:sz="6" w:space="0" w:color="F0F0EE"/>
            </w:tcBorders>
          </w:tcPr>
          <w:p w14:paraId="3022569A" w14:textId="77777777" w:rsidR="007251BC" w:rsidRPr="00D32BEC" w:rsidRDefault="007251BC" w:rsidP="004E1BBE">
            <w:r w:rsidRPr="00D32BEC">
              <w:t>Section 6(a)</w:t>
            </w:r>
          </w:p>
        </w:tc>
        <w:tc>
          <w:tcPr>
            <w:tcW w:w="4052" w:type="pct"/>
            <w:tcBorders>
              <w:top w:val="single" w:sz="6" w:space="0" w:color="F0F0EE"/>
              <w:left w:val="single" w:sz="6" w:space="0" w:color="F0F0EE"/>
              <w:bottom w:val="single" w:sz="6" w:space="0" w:color="F0F0EE"/>
              <w:right w:val="single" w:sz="6" w:space="0" w:color="F0F0EE"/>
            </w:tcBorders>
            <w:shd w:val="clear" w:color="auto" w:fill="auto"/>
            <w:tcMar>
              <w:top w:w="75" w:type="dxa"/>
              <w:left w:w="150" w:type="dxa"/>
              <w:bottom w:w="75" w:type="dxa"/>
              <w:right w:w="150" w:type="dxa"/>
            </w:tcMar>
            <w:hideMark/>
          </w:tcPr>
          <w:p w14:paraId="30611BE7" w14:textId="77777777" w:rsidR="007251BC" w:rsidRPr="00D32BEC" w:rsidRDefault="007251BC" w:rsidP="004E1BBE">
            <w:r w:rsidRPr="00D32BEC">
              <w:t>Prejudice New Zealand’s defence, security or international relations.</w:t>
            </w:r>
          </w:p>
        </w:tc>
      </w:tr>
      <w:tr w:rsidR="007251BC" w:rsidRPr="00D32BEC" w14:paraId="70B49291" w14:textId="77777777" w:rsidTr="004E1BBE">
        <w:tc>
          <w:tcPr>
            <w:tcW w:w="948" w:type="pct"/>
            <w:tcBorders>
              <w:top w:val="single" w:sz="6" w:space="0" w:color="F0F0EE"/>
              <w:left w:val="single" w:sz="6" w:space="0" w:color="F0F0EE"/>
              <w:bottom w:val="single" w:sz="6" w:space="0" w:color="F0F0EE"/>
              <w:right w:val="single" w:sz="6" w:space="0" w:color="F0F0EE"/>
            </w:tcBorders>
          </w:tcPr>
          <w:p w14:paraId="551AA1DE" w14:textId="77777777" w:rsidR="007251BC" w:rsidRPr="00D32BEC" w:rsidRDefault="007251BC" w:rsidP="004E1BBE">
            <w:r w:rsidRPr="00D32BEC">
              <w:t>Section 6(b)</w:t>
            </w:r>
          </w:p>
        </w:tc>
        <w:tc>
          <w:tcPr>
            <w:tcW w:w="4052" w:type="pct"/>
            <w:tcBorders>
              <w:top w:val="single" w:sz="6" w:space="0" w:color="F0F0EE"/>
              <w:left w:val="single" w:sz="6" w:space="0" w:color="F0F0EE"/>
              <w:bottom w:val="single" w:sz="6" w:space="0" w:color="F0F0EE"/>
              <w:right w:val="single" w:sz="6" w:space="0" w:color="F0F0EE"/>
            </w:tcBorders>
            <w:shd w:val="clear" w:color="auto" w:fill="auto"/>
            <w:tcMar>
              <w:top w:w="75" w:type="dxa"/>
              <w:left w:w="150" w:type="dxa"/>
              <w:bottom w:w="75" w:type="dxa"/>
              <w:right w:w="150" w:type="dxa"/>
            </w:tcMar>
            <w:hideMark/>
          </w:tcPr>
          <w:p w14:paraId="79C0B389" w14:textId="77777777" w:rsidR="007251BC" w:rsidRPr="00D32BEC" w:rsidRDefault="007251BC" w:rsidP="004E1BBE">
            <w:r w:rsidRPr="00D32BEC">
              <w:t>Prejudice any international government or organisations entrusting information to the government on a basis of confidence.</w:t>
            </w:r>
          </w:p>
        </w:tc>
      </w:tr>
      <w:tr w:rsidR="007251BC" w:rsidRPr="00D32BEC" w14:paraId="2939E1F6" w14:textId="77777777" w:rsidTr="004E1BBE">
        <w:tc>
          <w:tcPr>
            <w:tcW w:w="948" w:type="pct"/>
            <w:tcBorders>
              <w:top w:val="single" w:sz="6" w:space="0" w:color="F0F0EE"/>
              <w:left w:val="single" w:sz="6" w:space="0" w:color="F0F0EE"/>
              <w:bottom w:val="single" w:sz="6" w:space="0" w:color="F0F0EE"/>
              <w:right w:val="single" w:sz="6" w:space="0" w:color="F0F0EE"/>
            </w:tcBorders>
          </w:tcPr>
          <w:p w14:paraId="5A67B1FF" w14:textId="77777777" w:rsidR="007251BC" w:rsidRPr="00D32BEC" w:rsidRDefault="007251BC" w:rsidP="004E1BBE">
            <w:r w:rsidRPr="00D32BEC">
              <w:t>Section 6(c)</w:t>
            </w:r>
          </w:p>
        </w:tc>
        <w:tc>
          <w:tcPr>
            <w:tcW w:w="4052" w:type="pct"/>
            <w:tcBorders>
              <w:top w:val="single" w:sz="6" w:space="0" w:color="F0F0EE"/>
              <w:left w:val="single" w:sz="6" w:space="0" w:color="F0F0EE"/>
              <w:bottom w:val="single" w:sz="6" w:space="0" w:color="F0F0EE"/>
              <w:right w:val="single" w:sz="6" w:space="0" w:color="F0F0EE"/>
            </w:tcBorders>
            <w:shd w:val="clear" w:color="auto" w:fill="auto"/>
            <w:tcMar>
              <w:top w:w="75" w:type="dxa"/>
              <w:left w:w="150" w:type="dxa"/>
              <w:bottom w:w="75" w:type="dxa"/>
              <w:right w:w="150" w:type="dxa"/>
            </w:tcMar>
            <w:hideMark/>
          </w:tcPr>
          <w:p w14:paraId="57245E13" w14:textId="77777777" w:rsidR="007251BC" w:rsidRPr="00D32BEC" w:rsidRDefault="007251BC" w:rsidP="004E1BBE">
            <w:r w:rsidRPr="00D32BEC">
              <w:t>Prejudice the maintenance of the law (including the prevention, investigation, and detection of offences and the right to a fair trial).</w:t>
            </w:r>
          </w:p>
        </w:tc>
      </w:tr>
      <w:tr w:rsidR="007251BC" w:rsidRPr="00D32BEC" w14:paraId="77E77040" w14:textId="77777777" w:rsidTr="004E1BBE">
        <w:tc>
          <w:tcPr>
            <w:tcW w:w="948" w:type="pct"/>
            <w:tcBorders>
              <w:top w:val="single" w:sz="6" w:space="0" w:color="F0F0EE"/>
              <w:left w:val="single" w:sz="6" w:space="0" w:color="F0F0EE"/>
              <w:bottom w:val="single" w:sz="6" w:space="0" w:color="F0F0EE"/>
              <w:right w:val="single" w:sz="6" w:space="0" w:color="F0F0EE"/>
            </w:tcBorders>
          </w:tcPr>
          <w:p w14:paraId="2C9E52CA" w14:textId="77777777" w:rsidR="007251BC" w:rsidRPr="00D32BEC" w:rsidRDefault="007251BC" w:rsidP="004E1BBE">
            <w:r w:rsidRPr="00D32BEC">
              <w:lastRenderedPageBreak/>
              <w:t>Section 6(d)</w:t>
            </w:r>
          </w:p>
        </w:tc>
        <w:tc>
          <w:tcPr>
            <w:tcW w:w="4052" w:type="pct"/>
            <w:tcBorders>
              <w:top w:val="single" w:sz="6" w:space="0" w:color="F0F0EE"/>
              <w:left w:val="single" w:sz="6" w:space="0" w:color="F0F0EE"/>
              <w:bottom w:val="single" w:sz="6" w:space="0" w:color="F0F0EE"/>
              <w:right w:val="single" w:sz="6" w:space="0" w:color="F0F0EE"/>
            </w:tcBorders>
            <w:shd w:val="clear" w:color="auto" w:fill="auto"/>
            <w:tcMar>
              <w:top w:w="75" w:type="dxa"/>
              <w:left w:w="150" w:type="dxa"/>
              <w:bottom w:w="75" w:type="dxa"/>
              <w:right w:w="150" w:type="dxa"/>
            </w:tcMar>
            <w:hideMark/>
          </w:tcPr>
          <w:p w14:paraId="50DAE09B" w14:textId="77777777" w:rsidR="007251BC" w:rsidRPr="00D32BEC" w:rsidRDefault="007251BC" w:rsidP="004E1BBE">
            <w:r w:rsidRPr="00D32BEC">
              <w:t>Endanger the safety of any person.</w:t>
            </w:r>
          </w:p>
        </w:tc>
      </w:tr>
      <w:tr w:rsidR="007251BC" w:rsidRPr="00D32BEC" w14:paraId="5847A58A" w14:textId="77777777" w:rsidTr="004E1BBE">
        <w:tc>
          <w:tcPr>
            <w:tcW w:w="948" w:type="pct"/>
            <w:tcBorders>
              <w:top w:val="single" w:sz="6" w:space="0" w:color="F0F0EE"/>
              <w:left w:val="single" w:sz="6" w:space="0" w:color="F0F0EE"/>
              <w:bottom w:val="single" w:sz="6" w:space="0" w:color="F0F0EE"/>
              <w:right w:val="single" w:sz="6" w:space="0" w:color="F0F0EE"/>
            </w:tcBorders>
          </w:tcPr>
          <w:p w14:paraId="04CA2E35" w14:textId="77777777" w:rsidR="007251BC" w:rsidRPr="00D32BEC" w:rsidRDefault="007251BC" w:rsidP="004E1BBE">
            <w:r w:rsidRPr="00D32BEC">
              <w:t>Section 6(e)</w:t>
            </w:r>
          </w:p>
        </w:tc>
        <w:tc>
          <w:tcPr>
            <w:tcW w:w="4052" w:type="pct"/>
            <w:tcBorders>
              <w:top w:val="single" w:sz="6" w:space="0" w:color="F0F0EE"/>
              <w:left w:val="single" w:sz="6" w:space="0" w:color="F0F0EE"/>
              <w:bottom w:val="single" w:sz="6" w:space="0" w:color="F0F0EE"/>
              <w:right w:val="single" w:sz="6" w:space="0" w:color="F0F0EE"/>
            </w:tcBorders>
            <w:shd w:val="clear" w:color="auto" w:fill="auto"/>
            <w:tcMar>
              <w:top w:w="75" w:type="dxa"/>
              <w:left w:w="150" w:type="dxa"/>
              <w:bottom w:w="75" w:type="dxa"/>
              <w:right w:w="150" w:type="dxa"/>
            </w:tcMar>
            <w:hideMark/>
          </w:tcPr>
          <w:p w14:paraId="5B5B4A8B" w14:textId="77777777" w:rsidR="007251BC" w:rsidRPr="00D32BEC" w:rsidRDefault="007251BC" w:rsidP="004E1BBE">
            <w:r w:rsidRPr="00D32BEC">
              <w:t>Seriously damage the economy by prematurely disclosing decisions to change or continue with Government economic or financial policies.</w:t>
            </w:r>
          </w:p>
        </w:tc>
      </w:tr>
      <w:tr w:rsidR="007251BC" w:rsidRPr="00D32BEC" w14:paraId="1C94E6AA" w14:textId="77777777" w:rsidTr="004E1BBE">
        <w:trPr>
          <w:tblHeader/>
        </w:trPr>
        <w:tc>
          <w:tcPr>
            <w:tcW w:w="948" w:type="pct"/>
            <w:tcBorders>
              <w:top w:val="single" w:sz="6" w:space="0" w:color="F0F0EE"/>
              <w:left w:val="single" w:sz="6" w:space="0" w:color="F0F0EE"/>
              <w:bottom w:val="single" w:sz="6" w:space="0" w:color="F0F0EE"/>
              <w:right w:val="single" w:sz="6" w:space="0" w:color="F0F0EE"/>
            </w:tcBorders>
            <w:shd w:val="clear" w:color="auto" w:fill="235369"/>
          </w:tcPr>
          <w:p w14:paraId="4FA68050" w14:textId="77777777" w:rsidR="007251BC" w:rsidRPr="00D32BEC" w:rsidRDefault="007251BC" w:rsidP="004E1BBE">
            <w:pPr>
              <w:rPr>
                <w:b/>
                <w:bCs/>
                <w:color w:val="E7E6E6" w:themeColor="background2"/>
              </w:rPr>
            </w:pPr>
            <w:r w:rsidRPr="00D32BEC">
              <w:rPr>
                <w:b/>
                <w:bCs/>
                <w:color w:val="E7E6E6" w:themeColor="background2"/>
              </w:rPr>
              <w:t>Section</w:t>
            </w:r>
          </w:p>
        </w:tc>
        <w:tc>
          <w:tcPr>
            <w:tcW w:w="4052" w:type="pct"/>
            <w:tcBorders>
              <w:top w:val="single" w:sz="6" w:space="0" w:color="F0F0EE"/>
              <w:left w:val="single" w:sz="6" w:space="0" w:color="F0F0EE"/>
              <w:bottom w:val="single" w:sz="6" w:space="0" w:color="F0F0EE"/>
              <w:right w:val="single" w:sz="6" w:space="0" w:color="F0F0EE"/>
            </w:tcBorders>
            <w:shd w:val="clear" w:color="auto" w:fill="235369"/>
            <w:tcMar>
              <w:top w:w="75" w:type="dxa"/>
              <w:left w:w="150" w:type="dxa"/>
              <w:bottom w:w="75" w:type="dxa"/>
              <w:right w:w="150" w:type="dxa"/>
            </w:tcMar>
            <w:hideMark/>
          </w:tcPr>
          <w:p w14:paraId="41956D75" w14:textId="77777777" w:rsidR="007251BC" w:rsidRPr="00D32BEC" w:rsidRDefault="007251BC" w:rsidP="004E1BBE">
            <w:pPr>
              <w:rPr>
                <w:b/>
                <w:bCs/>
                <w:color w:val="E7E6E6" w:themeColor="background2"/>
              </w:rPr>
            </w:pPr>
            <w:r w:rsidRPr="00D32BEC">
              <w:rPr>
                <w:b/>
                <w:bCs/>
                <w:color w:val="E7E6E6" w:themeColor="background2"/>
              </w:rPr>
              <w:t>Other reasons to withhold official information</w:t>
            </w:r>
          </w:p>
        </w:tc>
      </w:tr>
      <w:tr w:rsidR="007251BC" w:rsidRPr="00D32BEC" w14:paraId="04B46C5C" w14:textId="77777777" w:rsidTr="004E1BBE">
        <w:tc>
          <w:tcPr>
            <w:tcW w:w="948" w:type="pct"/>
            <w:tcBorders>
              <w:top w:val="single" w:sz="6" w:space="0" w:color="F0F0EE"/>
              <w:left w:val="single" w:sz="6" w:space="0" w:color="F0F0EE"/>
              <w:bottom w:val="single" w:sz="6" w:space="0" w:color="F0F0EE"/>
              <w:right w:val="single" w:sz="6" w:space="0" w:color="F0F0EE"/>
            </w:tcBorders>
          </w:tcPr>
          <w:p w14:paraId="1761D456" w14:textId="77777777" w:rsidR="007251BC" w:rsidRPr="00D32BEC" w:rsidRDefault="007251BC" w:rsidP="004E1BBE">
            <w:r w:rsidRPr="00D32BEC">
              <w:t>Section 9 (2)(a)</w:t>
            </w:r>
          </w:p>
        </w:tc>
        <w:tc>
          <w:tcPr>
            <w:tcW w:w="4052" w:type="pct"/>
            <w:tcBorders>
              <w:top w:val="single" w:sz="6" w:space="0" w:color="F0F0EE"/>
              <w:left w:val="single" w:sz="6" w:space="0" w:color="F0F0EE"/>
              <w:bottom w:val="single" w:sz="6" w:space="0" w:color="F0F0EE"/>
              <w:right w:val="single" w:sz="6" w:space="0" w:color="F0F0EE"/>
            </w:tcBorders>
            <w:shd w:val="clear" w:color="auto" w:fill="auto"/>
            <w:tcMar>
              <w:top w:w="75" w:type="dxa"/>
              <w:left w:w="150" w:type="dxa"/>
              <w:bottom w:w="75" w:type="dxa"/>
              <w:right w:w="150" w:type="dxa"/>
            </w:tcMar>
            <w:hideMark/>
          </w:tcPr>
          <w:p w14:paraId="1F1BB326" w14:textId="77777777" w:rsidR="007251BC" w:rsidRPr="00D32BEC" w:rsidRDefault="007251BC" w:rsidP="004E1BBE">
            <w:r w:rsidRPr="00D32BEC">
              <w:t>Protect the privacy of natural persons (including the privacy of a deceased person).</w:t>
            </w:r>
          </w:p>
        </w:tc>
      </w:tr>
      <w:tr w:rsidR="007251BC" w:rsidRPr="00D32BEC" w14:paraId="04EFE937" w14:textId="77777777" w:rsidTr="004E1BBE">
        <w:tc>
          <w:tcPr>
            <w:tcW w:w="948" w:type="pct"/>
            <w:tcBorders>
              <w:top w:val="single" w:sz="6" w:space="0" w:color="F0F0EE"/>
              <w:left w:val="single" w:sz="6" w:space="0" w:color="F0F0EE"/>
              <w:bottom w:val="single" w:sz="6" w:space="0" w:color="F0F0EE"/>
              <w:right w:val="single" w:sz="6" w:space="0" w:color="F0F0EE"/>
            </w:tcBorders>
          </w:tcPr>
          <w:p w14:paraId="18ADB7B4" w14:textId="77777777" w:rsidR="007251BC" w:rsidRPr="00D32BEC" w:rsidRDefault="007251BC" w:rsidP="004E1BBE">
            <w:r w:rsidRPr="00D32BEC">
              <w:t>Section 9 (2)(b)</w:t>
            </w:r>
          </w:p>
        </w:tc>
        <w:tc>
          <w:tcPr>
            <w:tcW w:w="4052" w:type="pct"/>
            <w:tcBorders>
              <w:top w:val="single" w:sz="6" w:space="0" w:color="F0F0EE"/>
              <w:left w:val="single" w:sz="6" w:space="0" w:color="F0F0EE"/>
              <w:bottom w:val="single" w:sz="6" w:space="0" w:color="F0F0EE"/>
              <w:right w:val="single" w:sz="6" w:space="0" w:color="F0F0EE"/>
            </w:tcBorders>
            <w:shd w:val="clear" w:color="auto" w:fill="auto"/>
            <w:tcMar>
              <w:top w:w="75" w:type="dxa"/>
              <w:left w:w="150" w:type="dxa"/>
              <w:bottom w:w="75" w:type="dxa"/>
              <w:right w:w="150" w:type="dxa"/>
            </w:tcMar>
            <w:hideMark/>
          </w:tcPr>
          <w:p w14:paraId="5B6D234B" w14:textId="77777777" w:rsidR="007251BC" w:rsidRPr="00D32BEC" w:rsidRDefault="007251BC" w:rsidP="004E1BBE">
            <w:r w:rsidRPr="00D32BEC">
              <w:t>Protect information where the making available of the information would disclose a trade secret or would be likely unreasonably to prejudice the commercial position of the person who supplied or who is the subject of the information.</w:t>
            </w:r>
          </w:p>
        </w:tc>
      </w:tr>
      <w:tr w:rsidR="007251BC" w:rsidRPr="00D32BEC" w14:paraId="55E8DB6F" w14:textId="77777777" w:rsidTr="004E1BBE">
        <w:tc>
          <w:tcPr>
            <w:tcW w:w="948" w:type="pct"/>
            <w:tcBorders>
              <w:top w:val="single" w:sz="6" w:space="0" w:color="F0F0EE"/>
              <w:left w:val="single" w:sz="6" w:space="0" w:color="F0F0EE"/>
              <w:bottom w:val="single" w:sz="6" w:space="0" w:color="F0F0EE"/>
              <w:right w:val="single" w:sz="6" w:space="0" w:color="F0F0EE"/>
            </w:tcBorders>
          </w:tcPr>
          <w:p w14:paraId="02D284DA" w14:textId="77777777" w:rsidR="007251BC" w:rsidRPr="00D32BEC" w:rsidRDefault="007251BC" w:rsidP="004E1BBE">
            <w:r w:rsidRPr="00D32BEC">
              <w:t>Section 9 (2)(b</w:t>
            </w:r>
            <w:r>
              <w:t>a</w:t>
            </w:r>
            <w:r w:rsidRPr="00D32BEC">
              <w:t>)</w:t>
            </w:r>
          </w:p>
        </w:tc>
        <w:tc>
          <w:tcPr>
            <w:tcW w:w="4052" w:type="pct"/>
            <w:tcBorders>
              <w:top w:val="single" w:sz="6" w:space="0" w:color="F0F0EE"/>
              <w:left w:val="single" w:sz="6" w:space="0" w:color="F0F0EE"/>
              <w:bottom w:val="single" w:sz="6" w:space="0" w:color="F0F0EE"/>
              <w:right w:val="single" w:sz="6" w:space="0" w:color="F0F0EE"/>
            </w:tcBorders>
            <w:shd w:val="clear" w:color="auto" w:fill="auto"/>
            <w:tcMar>
              <w:top w:w="75" w:type="dxa"/>
              <w:left w:w="150" w:type="dxa"/>
              <w:bottom w:w="75" w:type="dxa"/>
              <w:right w:w="150" w:type="dxa"/>
            </w:tcMar>
            <w:hideMark/>
          </w:tcPr>
          <w:p w14:paraId="613F5691" w14:textId="77777777" w:rsidR="007251BC" w:rsidRPr="00D32BEC" w:rsidRDefault="007251BC" w:rsidP="004E1BBE">
            <w:r w:rsidRPr="00D32BEC">
              <w:t>Protect information which is subject to an obligation of confidence or which any person is compellable to provide, where the making available of the information would be likely to prejudice the supply of similar information or information from a similar source and it is in the public interest that such information should continue to be supplied, or it would be likely otherwise to damage the public interest.</w:t>
            </w:r>
          </w:p>
        </w:tc>
      </w:tr>
      <w:tr w:rsidR="007251BC" w:rsidRPr="00D32BEC" w14:paraId="61E6BCBD" w14:textId="77777777" w:rsidTr="004E1BBE">
        <w:tc>
          <w:tcPr>
            <w:tcW w:w="948" w:type="pct"/>
            <w:tcBorders>
              <w:top w:val="single" w:sz="6" w:space="0" w:color="F0F0EE"/>
              <w:left w:val="single" w:sz="6" w:space="0" w:color="F0F0EE"/>
              <w:bottom w:val="single" w:sz="6" w:space="0" w:color="F0F0EE"/>
              <w:right w:val="single" w:sz="6" w:space="0" w:color="F0F0EE"/>
            </w:tcBorders>
          </w:tcPr>
          <w:p w14:paraId="61370B3D" w14:textId="77777777" w:rsidR="007251BC" w:rsidRPr="00D32BEC" w:rsidRDefault="007251BC" w:rsidP="004E1BBE">
            <w:r w:rsidRPr="00D32BEC">
              <w:t>Section 9 (2)(c)</w:t>
            </w:r>
          </w:p>
        </w:tc>
        <w:tc>
          <w:tcPr>
            <w:tcW w:w="4052" w:type="pct"/>
            <w:tcBorders>
              <w:top w:val="single" w:sz="6" w:space="0" w:color="F0F0EE"/>
              <w:left w:val="single" w:sz="6" w:space="0" w:color="F0F0EE"/>
              <w:bottom w:val="single" w:sz="6" w:space="0" w:color="F0F0EE"/>
              <w:right w:val="single" w:sz="6" w:space="0" w:color="F0F0EE"/>
            </w:tcBorders>
            <w:shd w:val="clear" w:color="auto" w:fill="auto"/>
            <w:tcMar>
              <w:top w:w="75" w:type="dxa"/>
              <w:left w:w="150" w:type="dxa"/>
              <w:bottom w:w="75" w:type="dxa"/>
              <w:right w:w="150" w:type="dxa"/>
            </w:tcMar>
            <w:hideMark/>
          </w:tcPr>
          <w:p w14:paraId="17B6FBCE" w14:textId="77777777" w:rsidR="007251BC" w:rsidRPr="00D32BEC" w:rsidRDefault="007251BC" w:rsidP="004E1BBE">
            <w:r w:rsidRPr="00D32BEC">
              <w:t>Avoid prejudice to measures protecting the health or safety of members of the public.</w:t>
            </w:r>
          </w:p>
        </w:tc>
      </w:tr>
      <w:tr w:rsidR="007251BC" w:rsidRPr="00D32BEC" w14:paraId="527665CB" w14:textId="77777777" w:rsidTr="004E1BBE">
        <w:tc>
          <w:tcPr>
            <w:tcW w:w="948" w:type="pct"/>
            <w:tcBorders>
              <w:top w:val="single" w:sz="6" w:space="0" w:color="F0F0EE"/>
              <w:left w:val="single" w:sz="6" w:space="0" w:color="F0F0EE"/>
              <w:bottom w:val="single" w:sz="6" w:space="0" w:color="F0F0EE"/>
              <w:right w:val="single" w:sz="6" w:space="0" w:color="F0F0EE"/>
            </w:tcBorders>
          </w:tcPr>
          <w:p w14:paraId="6BE3939F" w14:textId="77777777" w:rsidR="007251BC" w:rsidRPr="00D32BEC" w:rsidRDefault="007251BC" w:rsidP="004E1BBE">
            <w:r w:rsidRPr="00D32BEC">
              <w:t>Section 9 (2)(d)</w:t>
            </w:r>
          </w:p>
        </w:tc>
        <w:tc>
          <w:tcPr>
            <w:tcW w:w="4052" w:type="pct"/>
            <w:tcBorders>
              <w:top w:val="single" w:sz="6" w:space="0" w:color="F0F0EE"/>
              <w:left w:val="single" w:sz="6" w:space="0" w:color="F0F0EE"/>
              <w:bottom w:val="single" w:sz="6" w:space="0" w:color="F0F0EE"/>
              <w:right w:val="single" w:sz="6" w:space="0" w:color="F0F0EE"/>
            </w:tcBorders>
            <w:shd w:val="clear" w:color="auto" w:fill="auto"/>
            <w:tcMar>
              <w:top w:w="75" w:type="dxa"/>
              <w:left w:w="150" w:type="dxa"/>
              <w:bottom w:w="75" w:type="dxa"/>
              <w:right w:w="150" w:type="dxa"/>
            </w:tcMar>
            <w:hideMark/>
          </w:tcPr>
          <w:p w14:paraId="14A3295C" w14:textId="77777777" w:rsidR="007251BC" w:rsidRPr="00D32BEC" w:rsidRDefault="007251BC" w:rsidP="004E1BBE">
            <w:r w:rsidRPr="00D32BEC">
              <w:t>Avoid prejudice to the substantial economic interests of New Zealand.</w:t>
            </w:r>
          </w:p>
        </w:tc>
      </w:tr>
      <w:tr w:rsidR="007251BC" w:rsidRPr="00D32BEC" w14:paraId="130B1FA4" w14:textId="77777777" w:rsidTr="004E1BBE">
        <w:tc>
          <w:tcPr>
            <w:tcW w:w="948" w:type="pct"/>
            <w:tcBorders>
              <w:top w:val="single" w:sz="6" w:space="0" w:color="F0F0EE"/>
              <w:left w:val="single" w:sz="6" w:space="0" w:color="F0F0EE"/>
              <w:bottom w:val="single" w:sz="6" w:space="0" w:color="F0F0EE"/>
              <w:right w:val="single" w:sz="6" w:space="0" w:color="F0F0EE"/>
            </w:tcBorders>
          </w:tcPr>
          <w:p w14:paraId="232BFF81" w14:textId="77777777" w:rsidR="007251BC" w:rsidRPr="00D32BEC" w:rsidRDefault="007251BC" w:rsidP="004E1BBE">
            <w:r w:rsidRPr="00D32BEC">
              <w:t>Section 9 (2)(e)</w:t>
            </w:r>
          </w:p>
        </w:tc>
        <w:tc>
          <w:tcPr>
            <w:tcW w:w="4052" w:type="pct"/>
            <w:tcBorders>
              <w:top w:val="single" w:sz="6" w:space="0" w:color="F0F0EE"/>
              <w:left w:val="single" w:sz="6" w:space="0" w:color="F0F0EE"/>
              <w:bottom w:val="single" w:sz="6" w:space="0" w:color="F0F0EE"/>
              <w:right w:val="single" w:sz="6" w:space="0" w:color="F0F0EE"/>
            </w:tcBorders>
            <w:shd w:val="clear" w:color="auto" w:fill="auto"/>
            <w:tcMar>
              <w:top w:w="75" w:type="dxa"/>
              <w:left w:w="150" w:type="dxa"/>
              <w:bottom w:w="75" w:type="dxa"/>
              <w:right w:w="150" w:type="dxa"/>
            </w:tcMar>
            <w:hideMark/>
          </w:tcPr>
          <w:p w14:paraId="69F5BAC6" w14:textId="77777777" w:rsidR="007251BC" w:rsidRPr="00D32BEC" w:rsidRDefault="007251BC" w:rsidP="004E1BBE">
            <w:r w:rsidRPr="00D32BEC">
              <w:t>Avoid prejudice to measures that prevent or mitigate material loss to members of the public.</w:t>
            </w:r>
          </w:p>
        </w:tc>
      </w:tr>
      <w:tr w:rsidR="007251BC" w:rsidRPr="00D32BEC" w14:paraId="0DA27FBE" w14:textId="77777777" w:rsidTr="004E1BBE">
        <w:tc>
          <w:tcPr>
            <w:tcW w:w="948" w:type="pct"/>
            <w:tcBorders>
              <w:top w:val="single" w:sz="6" w:space="0" w:color="F0F0EE"/>
              <w:left w:val="single" w:sz="6" w:space="0" w:color="F0F0EE"/>
              <w:bottom w:val="single" w:sz="6" w:space="0" w:color="F0F0EE"/>
              <w:right w:val="single" w:sz="6" w:space="0" w:color="F0F0EE"/>
            </w:tcBorders>
          </w:tcPr>
          <w:p w14:paraId="2CC984A9" w14:textId="77777777" w:rsidR="007251BC" w:rsidRPr="00D32BEC" w:rsidRDefault="007251BC" w:rsidP="004E1BBE">
            <w:r w:rsidRPr="00D32BEC">
              <w:t>Section 9 (2)(f)</w:t>
            </w:r>
          </w:p>
        </w:tc>
        <w:tc>
          <w:tcPr>
            <w:tcW w:w="4052" w:type="pct"/>
            <w:tcBorders>
              <w:top w:val="single" w:sz="6" w:space="0" w:color="F0F0EE"/>
              <w:left w:val="single" w:sz="6" w:space="0" w:color="F0F0EE"/>
              <w:bottom w:val="single" w:sz="6" w:space="0" w:color="F0F0EE"/>
              <w:right w:val="single" w:sz="6" w:space="0" w:color="F0F0EE"/>
            </w:tcBorders>
            <w:shd w:val="clear" w:color="auto" w:fill="auto"/>
            <w:tcMar>
              <w:top w:w="75" w:type="dxa"/>
              <w:left w:w="150" w:type="dxa"/>
              <w:bottom w:w="75" w:type="dxa"/>
              <w:right w:w="150" w:type="dxa"/>
            </w:tcMar>
            <w:hideMark/>
          </w:tcPr>
          <w:p w14:paraId="49F31612" w14:textId="77777777" w:rsidR="007251BC" w:rsidRPr="00D32BEC" w:rsidRDefault="007251BC" w:rsidP="004E1BBE">
            <w:r w:rsidRPr="00D32BEC">
              <w:t>Maintain the constitutional conventions which protect confidentiality of communications by or with the Sovereign or her representative, collective and individual ministerial responsibility, the political neutrality of officials, and the confidentiality of advice tendered by Ministers and officials.</w:t>
            </w:r>
          </w:p>
        </w:tc>
      </w:tr>
      <w:tr w:rsidR="007251BC" w:rsidRPr="00D32BEC" w14:paraId="5C143AB3" w14:textId="77777777" w:rsidTr="004E1BBE">
        <w:tc>
          <w:tcPr>
            <w:tcW w:w="948" w:type="pct"/>
            <w:tcBorders>
              <w:top w:val="single" w:sz="6" w:space="0" w:color="F0F0EE"/>
              <w:left w:val="single" w:sz="6" w:space="0" w:color="F0F0EE"/>
              <w:bottom w:val="single" w:sz="6" w:space="0" w:color="F0F0EE"/>
              <w:right w:val="single" w:sz="6" w:space="0" w:color="F0F0EE"/>
            </w:tcBorders>
          </w:tcPr>
          <w:p w14:paraId="2E0B4F47" w14:textId="77777777" w:rsidR="007251BC" w:rsidRPr="00D32BEC" w:rsidRDefault="007251BC" w:rsidP="004E1BBE">
            <w:r w:rsidRPr="00D32BEC">
              <w:t>Section 9 (2)(g)</w:t>
            </w:r>
          </w:p>
        </w:tc>
        <w:tc>
          <w:tcPr>
            <w:tcW w:w="4052" w:type="pct"/>
            <w:tcBorders>
              <w:top w:val="single" w:sz="6" w:space="0" w:color="F0F0EE"/>
              <w:left w:val="single" w:sz="6" w:space="0" w:color="F0F0EE"/>
              <w:bottom w:val="single" w:sz="6" w:space="0" w:color="F0F0EE"/>
              <w:right w:val="single" w:sz="6" w:space="0" w:color="F0F0EE"/>
            </w:tcBorders>
            <w:shd w:val="clear" w:color="auto" w:fill="auto"/>
            <w:tcMar>
              <w:top w:w="75" w:type="dxa"/>
              <w:left w:w="150" w:type="dxa"/>
              <w:bottom w:w="75" w:type="dxa"/>
              <w:right w:w="150" w:type="dxa"/>
            </w:tcMar>
            <w:hideMark/>
          </w:tcPr>
          <w:p w14:paraId="02ED1390" w14:textId="77777777" w:rsidR="007251BC" w:rsidRPr="00D32BEC" w:rsidRDefault="007251BC" w:rsidP="004E1BBE">
            <w:r w:rsidRPr="00D32BEC">
              <w:t>Maintain the effective conduct of public affairs through the free and frank expression of opinions by, between, or to, Ministers, officers and employees of a Department or members of an organisation, in the course of their duty, or through protection of any of them from improper pressure or harassment.</w:t>
            </w:r>
          </w:p>
        </w:tc>
      </w:tr>
      <w:tr w:rsidR="007251BC" w:rsidRPr="00D32BEC" w14:paraId="7F763E14" w14:textId="77777777" w:rsidTr="004E1BBE">
        <w:tc>
          <w:tcPr>
            <w:tcW w:w="948" w:type="pct"/>
            <w:tcBorders>
              <w:top w:val="single" w:sz="6" w:space="0" w:color="F0F0EE"/>
              <w:left w:val="single" w:sz="6" w:space="0" w:color="F0F0EE"/>
              <w:bottom w:val="single" w:sz="6" w:space="0" w:color="F0F0EE"/>
              <w:right w:val="single" w:sz="6" w:space="0" w:color="F0F0EE"/>
            </w:tcBorders>
          </w:tcPr>
          <w:p w14:paraId="0F1CD87F" w14:textId="77777777" w:rsidR="007251BC" w:rsidRPr="00D32BEC" w:rsidRDefault="007251BC" w:rsidP="004E1BBE">
            <w:r w:rsidRPr="00D32BEC">
              <w:t>Section 9 (2)(h)</w:t>
            </w:r>
          </w:p>
        </w:tc>
        <w:tc>
          <w:tcPr>
            <w:tcW w:w="4052" w:type="pct"/>
            <w:tcBorders>
              <w:top w:val="single" w:sz="6" w:space="0" w:color="F0F0EE"/>
              <w:left w:val="single" w:sz="6" w:space="0" w:color="F0F0EE"/>
              <w:bottom w:val="single" w:sz="6" w:space="0" w:color="F0F0EE"/>
              <w:right w:val="single" w:sz="6" w:space="0" w:color="F0F0EE"/>
            </w:tcBorders>
            <w:shd w:val="clear" w:color="auto" w:fill="auto"/>
            <w:tcMar>
              <w:top w:w="75" w:type="dxa"/>
              <w:left w:w="150" w:type="dxa"/>
              <w:bottom w:w="75" w:type="dxa"/>
              <w:right w:w="150" w:type="dxa"/>
            </w:tcMar>
            <w:hideMark/>
          </w:tcPr>
          <w:p w14:paraId="60AA4718" w14:textId="77777777" w:rsidR="007251BC" w:rsidRPr="00D32BEC" w:rsidRDefault="007251BC" w:rsidP="004E1BBE">
            <w:r w:rsidRPr="00D32BEC">
              <w:t>Maintain legal professional privilege.</w:t>
            </w:r>
          </w:p>
        </w:tc>
      </w:tr>
      <w:tr w:rsidR="007251BC" w:rsidRPr="00D32BEC" w14:paraId="3B8A38C2" w14:textId="77777777" w:rsidTr="004E1BBE">
        <w:tc>
          <w:tcPr>
            <w:tcW w:w="948" w:type="pct"/>
            <w:tcBorders>
              <w:top w:val="single" w:sz="6" w:space="0" w:color="F0F0EE"/>
              <w:left w:val="single" w:sz="6" w:space="0" w:color="F0F0EE"/>
              <w:bottom w:val="single" w:sz="6" w:space="0" w:color="F0F0EE"/>
              <w:right w:val="single" w:sz="6" w:space="0" w:color="F0F0EE"/>
            </w:tcBorders>
          </w:tcPr>
          <w:p w14:paraId="763887B6" w14:textId="77777777" w:rsidR="007251BC" w:rsidRPr="00D32BEC" w:rsidRDefault="007251BC" w:rsidP="004E1BBE">
            <w:r w:rsidRPr="00D32BEC">
              <w:lastRenderedPageBreak/>
              <w:t>Section 9 (2)(</w:t>
            </w:r>
            <w:r>
              <w:t>i</w:t>
            </w:r>
            <w:r w:rsidRPr="00D32BEC">
              <w:t>)</w:t>
            </w:r>
          </w:p>
        </w:tc>
        <w:tc>
          <w:tcPr>
            <w:tcW w:w="4052" w:type="pct"/>
            <w:tcBorders>
              <w:top w:val="single" w:sz="6" w:space="0" w:color="F0F0EE"/>
              <w:left w:val="single" w:sz="6" w:space="0" w:color="F0F0EE"/>
              <w:bottom w:val="single" w:sz="6" w:space="0" w:color="F0F0EE"/>
              <w:right w:val="single" w:sz="6" w:space="0" w:color="F0F0EE"/>
            </w:tcBorders>
            <w:shd w:val="clear" w:color="auto" w:fill="auto"/>
            <w:tcMar>
              <w:top w:w="75" w:type="dxa"/>
              <w:left w:w="150" w:type="dxa"/>
              <w:bottom w:w="75" w:type="dxa"/>
              <w:right w:w="150" w:type="dxa"/>
            </w:tcMar>
            <w:hideMark/>
          </w:tcPr>
          <w:p w14:paraId="71BB5A75" w14:textId="77777777" w:rsidR="007251BC" w:rsidRPr="00D32BEC" w:rsidRDefault="007251BC" w:rsidP="004E1BBE">
            <w:r w:rsidRPr="00D32BEC">
              <w:t>Enable a Minister or Department to carry out commercial activities.</w:t>
            </w:r>
          </w:p>
        </w:tc>
      </w:tr>
      <w:tr w:rsidR="007251BC" w:rsidRPr="00D32BEC" w14:paraId="75730DC0" w14:textId="77777777" w:rsidTr="004E1BBE">
        <w:tc>
          <w:tcPr>
            <w:tcW w:w="948" w:type="pct"/>
            <w:tcBorders>
              <w:top w:val="single" w:sz="6" w:space="0" w:color="F0F0EE"/>
              <w:left w:val="single" w:sz="6" w:space="0" w:color="F0F0EE"/>
              <w:bottom w:val="single" w:sz="6" w:space="0" w:color="F0F0EE"/>
              <w:right w:val="single" w:sz="6" w:space="0" w:color="F0F0EE"/>
            </w:tcBorders>
          </w:tcPr>
          <w:p w14:paraId="40B046DD" w14:textId="77777777" w:rsidR="007251BC" w:rsidRPr="00D32BEC" w:rsidRDefault="007251BC" w:rsidP="004E1BBE">
            <w:r w:rsidRPr="00D32BEC">
              <w:t>Section 9 (2)(j)</w:t>
            </w:r>
          </w:p>
        </w:tc>
        <w:tc>
          <w:tcPr>
            <w:tcW w:w="4052" w:type="pct"/>
            <w:tcBorders>
              <w:top w:val="single" w:sz="6" w:space="0" w:color="F0F0EE"/>
              <w:left w:val="single" w:sz="6" w:space="0" w:color="F0F0EE"/>
              <w:bottom w:val="single" w:sz="6" w:space="0" w:color="F0F0EE"/>
              <w:right w:val="single" w:sz="6" w:space="0" w:color="F0F0EE"/>
            </w:tcBorders>
            <w:shd w:val="clear" w:color="auto" w:fill="auto"/>
            <w:tcMar>
              <w:top w:w="75" w:type="dxa"/>
              <w:left w:w="150" w:type="dxa"/>
              <w:bottom w:w="75" w:type="dxa"/>
              <w:right w:w="150" w:type="dxa"/>
            </w:tcMar>
            <w:hideMark/>
          </w:tcPr>
          <w:p w14:paraId="459B64B3" w14:textId="77777777" w:rsidR="007251BC" w:rsidRPr="00D32BEC" w:rsidRDefault="007251BC" w:rsidP="004E1BBE">
            <w:r w:rsidRPr="00D32BEC">
              <w:t>Enable a Minister or Department to carry out negotiations without prejudice or disadvantage.</w:t>
            </w:r>
          </w:p>
        </w:tc>
      </w:tr>
      <w:tr w:rsidR="007251BC" w:rsidRPr="00D32BEC" w14:paraId="505F528D" w14:textId="77777777" w:rsidTr="004E1BBE">
        <w:tc>
          <w:tcPr>
            <w:tcW w:w="948" w:type="pct"/>
            <w:tcBorders>
              <w:top w:val="single" w:sz="6" w:space="0" w:color="F0F0EE"/>
              <w:left w:val="single" w:sz="6" w:space="0" w:color="F0F0EE"/>
              <w:bottom w:val="single" w:sz="6" w:space="0" w:color="F0F0EE"/>
              <w:right w:val="single" w:sz="6" w:space="0" w:color="F0F0EE"/>
            </w:tcBorders>
          </w:tcPr>
          <w:p w14:paraId="59E38013" w14:textId="77777777" w:rsidR="007251BC" w:rsidRPr="00D32BEC" w:rsidRDefault="007251BC" w:rsidP="004E1BBE">
            <w:r w:rsidRPr="00D32BEC">
              <w:t>Section 9 (2)</w:t>
            </w:r>
            <w:r>
              <w:t>(</w:t>
            </w:r>
            <w:r w:rsidRPr="00D32BEC">
              <w:t>k)</w:t>
            </w:r>
          </w:p>
        </w:tc>
        <w:tc>
          <w:tcPr>
            <w:tcW w:w="4052" w:type="pct"/>
            <w:tcBorders>
              <w:top w:val="single" w:sz="6" w:space="0" w:color="F0F0EE"/>
              <w:left w:val="single" w:sz="6" w:space="0" w:color="F0F0EE"/>
              <w:bottom w:val="single" w:sz="6" w:space="0" w:color="F0F0EE"/>
              <w:right w:val="single" w:sz="6" w:space="0" w:color="F0F0EE"/>
            </w:tcBorders>
            <w:shd w:val="clear" w:color="auto" w:fill="auto"/>
            <w:tcMar>
              <w:top w:w="75" w:type="dxa"/>
              <w:left w:w="150" w:type="dxa"/>
              <w:bottom w:w="75" w:type="dxa"/>
              <w:right w:w="150" w:type="dxa"/>
            </w:tcMar>
            <w:hideMark/>
          </w:tcPr>
          <w:p w14:paraId="07B54687" w14:textId="77777777" w:rsidR="007251BC" w:rsidRPr="00D32BEC" w:rsidRDefault="007251BC" w:rsidP="004E1BBE">
            <w:r w:rsidRPr="00D32BEC">
              <w:t xml:space="preserve">Prevent </w:t>
            </w:r>
            <w:r>
              <w:t xml:space="preserve">the </w:t>
            </w:r>
            <w:r w:rsidRPr="00D32BEC">
              <w:t>disclosure or use of information for improper gain.</w:t>
            </w:r>
          </w:p>
        </w:tc>
      </w:tr>
    </w:tbl>
    <w:p w14:paraId="5D088388" w14:textId="7F4EC6D7" w:rsidR="00B360A1" w:rsidRPr="00B360A1" w:rsidRDefault="00B360A1" w:rsidP="00B360A1">
      <w:pPr>
        <w:pStyle w:val="NormalWeb"/>
        <w:shd w:val="clear" w:color="auto" w:fill="FFFFFF"/>
        <w:spacing w:before="0" w:beforeAutospacing="0"/>
        <w:rPr>
          <w:rFonts w:asciiTheme="minorHAnsi" w:hAnsiTheme="minorHAnsi" w:cstheme="minorHAnsi"/>
          <w:color w:val="212529"/>
          <w:sz w:val="22"/>
          <w:szCs w:val="22"/>
        </w:rPr>
      </w:pPr>
    </w:p>
    <w:sectPr w:rsidR="00B360A1" w:rsidRPr="00B360A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BD0F0" w14:textId="77777777" w:rsidR="007007C6" w:rsidRDefault="007007C6" w:rsidP="00EF3127">
      <w:pPr>
        <w:spacing w:after="0" w:line="240" w:lineRule="auto"/>
      </w:pPr>
      <w:r>
        <w:separator/>
      </w:r>
    </w:p>
  </w:endnote>
  <w:endnote w:type="continuationSeparator" w:id="0">
    <w:p w14:paraId="38DF1006" w14:textId="77777777" w:rsidR="007007C6" w:rsidRDefault="007007C6" w:rsidP="00EF3127">
      <w:pPr>
        <w:spacing w:after="0" w:line="240" w:lineRule="auto"/>
      </w:pPr>
      <w:r>
        <w:continuationSeparator/>
      </w:r>
    </w:p>
  </w:endnote>
  <w:endnote w:type="continuationNotice" w:id="1">
    <w:p w14:paraId="3D7D58A3" w14:textId="77777777" w:rsidR="007007C6" w:rsidRDefault="00700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0E33" w14:textId="60840CAB" w:rsidR="00EF3127" w:rsidRDefault="00EF3127">
    <w:pPr>
      <w:pStyle w:val="Footer"/>
    </w:pPr>
    <w:hyperlink r:id="rId1" w:tgtFrame="_blank" w:history="1">
      <w:r w:rsidRPr="00B360A1">
        <w:rPr>
          <w:rStyle w:val="Hyperlink"/>
          <w:rFonts w:cstheme="minorHAnsi"/>
          <w:i/>
          <w:iCs/>
          <w:color w:val="005EA5"/>
        </w:rPr>
        <w:t>© Crown Copyright, Creative Commons Attribution 4.0 International (CC BY 4.0)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BAF36" w14:textId="77777777" w:rsidR="007007C6" w:rsidRDefault="007007C6" w:rsidP="00EF3127">
      <w:pPr>
        <w:spacing w:after="0" w:line="240" w:lineRule="auto"/>
      </w:pPr>
      <w:r>
        <w:separator/>
      </w:r>
    </w:p>
  </w:footnote>
  <w:footnote w:type="continuationSeparator" w:id="0">
    <w:p w14:paraId="4BDD2557" w14:textId="77777777" w:rsidR="007007C6" w:rsidRDefault="007007C6" w:rsidP="00EF3127">
      <w:pPr>
        <w:spacing w:after="0" w:line="240" w:lineRule="auto"/>
      </w:pPr>
      <w:r>
        <w:continuationSeparator/>
      </w:r>
    </w:p>
  </w:footnote>
  <w:footnote w:type="continuationNotice" w:id="1">
    <w:p w14:paraId="3DC82CF4" w14:textId="77777777" w:rsidR="007007C6" w:rsidRDefault="007007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D9DA" w14:textId="4DB16E54" w:rsidR="009B2A34" w:rsidRDefault="004617D8" w:rsidP="004617D8">
    <w:pPr>
      <w:pStyle w:val="Header"/>
      <w:jc w:val="right"/>
    </w:pPr>
    <w:r>
      <w:rPr>
        <w:noProof/>
      </w:rPr>
      <w:drawing>
        <wp:inline distT="0" distB="0" distL="0" distR="0" wp14:anchorId="5755B320" wp14:editId="76FFC83B">
          <wp:extent cx="1304925" cy="621665"/>
          <wp:effectExtent l="0" t="0" r="0" b="0"/>
          <wp:docPr id="1046705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6216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29B1"/>
    <w:multiLevelType w:val="hybridMultilevel"/>
    <w:tmpl w:val="13F888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16323E6"/>
    <w:multiLevelType w:val="hybridMultilevel"/>
    <w:tmpl w:val="50FEB1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20B3448"/>
    <w:multiLevelType w:val="hybridMultilevel"/>
    <w:tmpl w:val="B8F8B9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BD53364"/>
    <w:multiLevelType w:val="multilevel"/>
    <w:tmpl w:val="621E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700EA7"/>
    <w:multiLevelType w:val="multilevel"/>
    <w:tmpl w:val="9548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0885943">
    <w:abstractNumId w:val="4"/>
  </w:num>
  <w:num w:numId="2" w16cid:durableId="2137412173">
    <w:abstractNumId w:val="2"/>
  </w:num>
  <w:num w:numId="3" w16cid:durableId="2088572064">
    <w:abstractNumId w:val="0"/>
  </w:num>
  <w:num w:numId="4" w16cid:durableId="80952854">
    <w:abstractNumId w:val="1"/>
  </w:num>
  <w:num w:numId="5" w16cid:durableId="1476802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0A1"/>
    <w:rsid w:val="000012DE"/>
    <w:rsid w:val="00013910"/>
    <w:rsid w:val="0002159E"/>
    <w:rsid w:val="00022E97"/>
    <w:rsid w:val="00030DEB"/>
    <w:rsid w:val="0003164B"/>
    <w:rsid w:val="00032E1D"/>
    <w:rsid w:val="000339A7"/>
    <w:rsid w:val="000427E8"/>
    <w:rsid w:val="00053437"/>
    <w:rsid w:val="00055AC6"/>
    <w:rsid w:val="000866EF"/>
    <w:rsid w:val="000C5674"/>
    <w:rsid w:val="00116B71"/>
    <w:rsid w:val="00122E8F"/>
    <w:rsid w:val="00152105"/>
    <w:rsid w:val="0015457A"/>
    <w:rsid w:val="0016117F"/>
    <w:rsid w:val="001676D0"/>
    <w:rsid w:val="00192BD9"/>
    <w:rsid w:val="001971AD"/>
    <w:rsid w:val="001B056C"/>
    <w:rsid w:val="001F4638"/>
    <w:rsid w:val="001F6925"/>
    <w:rsid w:val="00260610"/>
    <w:rsid w:val="002631EE"/>
    <w:rsid w:val="0027463C"/>
    <w:rsid w:val="00276037"/>
    <w:rsid w:val="002917EC"/>
    <w:rsid w:val="002A4E15"/>
    <w:rsid w:val="002B0A43"/>
    <w:rsid w:val="002B46F8"/>
    <w:rsid w:val="002B7D1B"/>
    <w:rsid w:val="003034F0"/>
    <w:rsid w:val="003170EA"/>
    <w:rsid w:val="00327FA0"/>
    <w:rsid w:val="00341486"/>
    <w:rsid w:val="0034738D"/>
    <w:rsid w:val="003647F1"/>
    <w:rsid w:val="003669F8"/>
    <w:rsid w:val="00370A9D"/>
    <w:rsid w:val="00391833"/>
    <w:rsid w:val="003B1CD6"/>
    <w:rsid w:val="003B5529"/>
    <w:rsid w:val="003C32D2"/>
    <w:rsid w:val="003C3450"/>
    <w:rsid w:val="003D388B"/>
    <w:rsid w:val="003F1A78"/>
    <w:rsid w:val="003F2295"/>
    <w:rsid w:val="003F338C"/>
    <w:rsid w:val="00404743"/>
    <w:rsid w:val="00456604"/>
    <w:rsid w:val="004617D8"/>
    <w:rsid w:val="004B0885"/>
    <w:rsid w:val="004C4239"/>
    <w:rsid w:val="004D5041"/>
    <w:rsid w:val="004E66A4"/>
    <w:rsid w:val="00503B4D"/>
    <w:rsid w:val="00513B15"/>
    <w:rsid w:val="005218C8"/>
    <w:rsid w:val="00546B5A"/>
    <w:rsid w:val="00547E75"/>
    <w:rsid w:val="00564AE0"/>
    <w:rsid w:val="005850FE"/>
    <w:rsid w:val="005B2EE6"/>
    <w:rsid w:val="005C4002"/>
    <w:rsid w:val="005E00E5"/>
    <w:rsid w:val="005F25C3"/>
    <w:rsid w:val="00617B48"/>
    <w:rsid w:val="0062752B"/>
    <w:rsid w:val="006419A0"/>
    <w:rsid w:val="006652A4"/>
    <w:rsid w:val="00674ED3"/>
    <w:rsid w:val="0068626B"/>
    <w:rsid w:val="00692025"/>
    <w:rsid w:val="00696EFB"/>
    <w:rsid w:val="006A024B"/>
    <w:rsid w:val="006A40BA"/>
    <w:rsid w:val="006A4FB8"/>
    <w:rsid w:val="006A62E4"/>
    <w:rsid w:val="006A77D5"/>
    <w:rsid w:val="006F31BC"/>
    <w:rsid w:val="007007C6"/>
    <w:rsid w:val="00704DA4"/>
    <w:rsid w:val="007251BC"/>
    <w:rsid w:val="00730112"/>
    <w:rsid w:val="00744A23"/>
    <w:rsid w:val="007477F5"/>
    <w:rsid w:val="00754E01"/>
    <w:rsid w:val="00764851"/>
    <w:rsid w:val="00784720"/>
    <w:rsid w:val="00791619"/>
    <w:rsid w:val="007958B9"/>
    <w:rsid w:val="007A0118"/>
    <w:rsid w:val="007A35F1"/>
    <w:rsid w:val="007A6070"/>
    <w:rsid w:val="007C2B58"/>
    <w:rsid w:val="007D0431"/>
    <w:rsid w:val="007E2BE1"/>
    <w:rsid w:val="007E634D"/>
    <w:rsid w:val="007F3FDD"/>
    <w:rsid w:val="0080365E"/>
    <w:rsid w:val="00812F62"/>
    <w:rsid w:val="0081465A"/>
    <w:rsid w:val="00821907"/>
    <w:rsid w:val="00823735"/>
    <w:rsid w:val="0083106D"/>
    <w:rsid w:val="00840CB6"/>
    <w:rsid w:val="00857C23"/>
    <w:rsid w:val="0089731B"/>
    <w:rsid w:val="008A4062"/>
    <w:rsid w:val="008A7BB0"/>
    <w:rsid w:val="008C3B51"/>
    <w:rsid w:val="008C5C02"/>
    <w:rsid w:val="008D1108"/>
    <w:rsid w:val="008D73A7"/>
    <w:rsid w:val="008E553C"/>
    <w:rsid w:val="008E5800"/>
    <w:rsid w:val="008E5C72"/>
    <w:rsid w:val="00903208"/>
    <w:rsid w:val="00905680"/>
    <w:rsid w:val="00910FDD"/>
    <w:rsid w:val="00923D36"/>
    <w:rsid w:val="00926B3C"/>
    <w:rsid w:val="00933095"/>
    <w:rsid w:val="00991B0F"/>
    <w:rsid w:val="009A3E77"/>
    <w:rsid w:val="009B2A34"/>
    <w:rsid w:val="009B3287"/>
    <w:rsid w:val="009B344E"/>
    <w:rsid w:val="009D5B12"/>
    <w:rsid w:val="009F60B0"/>
    <w:rsid w:val="009F6264"/>
    <w:rsid w:val="00A0275E"/>
    <w:rsid w:val="00A11218"/>
    <w:rsid w:val="00A26475"/>
    <w:rsid w:val="00A34A21"/>
    <w:rsid w:val="00A52000"/>
    <w:rsid w:val="00A54F12"/>
    <w:rsid w:val="00A746AA"/>
    <w:rsid w:val="00A83087"/>
    <w:rsid w:val="00A955E6"/>
    <w:rsid w:val="00AA2D5F"/>
    <w:rsid w:val="00AC17B3"/>
    <w:rsid w:val="00AD6AE4"/>
    <w:rsid w:val="00AF3D31"/>
    <w:rsid w:val="00B037FC"/>
    <w:rsid w:val="00B22CCC"/>
    <w:rsid w:val="00B2727F"/>
    <w:rsid w:val="00B360A1"/>
    <w:rsid w:val="00B42A7E"/>
    <w:rsid w:val="00B468E6"/>
    <w:rsid w:val="00B5655D"/>
    <w:rsid w:val="00B9589C"/>
    <w:rsid w:val="00BD7D1B"/>
    <w:rsid w:val="00BF4403"/>
    <w:rsid w:val="00BF486B"/>
    <w:rsid w:val="00C056F4"/>
    <w:rsid w:val="00C05AD9"/>
    <w:rsid w:val="00C4426F"/>
    <w:rsid w:val="00C52A14"/>
    <w:rsid w:val="00C807A9"/>
    <w:rsid w:val="00C80819"/>
    <w:rsid w:val="00CA19EB"/>
    <w:rsid w:val="00CA2D8A"/>
    <w:rsid w:val="00CC6829"/>
    <w:rsid w:val="00CD2543"/>
    <w:rsid w:val="00D325F7"/>
    <w:rsid w:val="00D4037E"/>
    <w:rsid w:val="00D45BAE"/>
    <w:rsid w:val="00D464D1"/>
    <w:rsid w:val="00D4786C"/>
    <w:rsid w:val="00D47C02"/>
    <w:rsid w:val="00D968E0"/>
    <w:rsid w:val="00DA5BDA"/>
    <w:rsid w:val="00DB0C1E"/>
    <w:rsid w:val="00DB640E"/>
    <w:rsid w:val="00DB77F9"/>
    <w:rsid w:val="00DC76F5"/>
    <w:rsid w:val="00DD5AD4"/>
    <w:rsid w:val="00DE3E0F"/>
    <w:rsid w:val="00E11DB5"/>
    <w:rsid w:val="00E15E97"/>
    <w:rsid w:val="00E16415"/>
    <w:rsid w:val="00E258CA"/>
    <w:rsid w:val="00E3292A"/>
    <w:rsid w:val="00E3648C"/>
    <w:rsid w:val="00E37D21"/>
    <w:rsid w:val="00E57096"/>
    <w:rsid w:val="00E73FA6"/>
    <w:rsid w:val="00E73FEC"/>
    <w:rsid w:val="00E76CBA"/>
    <w:rsid w:val="00EA1B5F"/>
    <w:rsid w:val="00EB1F37"/>
    <w:rsid w:val="00EC0496"/>
    <w:rsid w:val="00ED0BDF"/>
    <w:rsid w:val="00ED116E"/>
    <w:rsid w:val="00ED3B24"/>
    <w:rsid w:val="00ED4E4B"/>
    <w:rsid w:val="00ED562D"/>
    <w:rsid w:val="00EF3127"/>
    <w:rsid w:val="00F14F81"/>
    <w:rsid w:val="00F43895"/>
    <w:rsid w:val="00F45B3C"/>
    <w:rsid w:val="00F65D64"/>
    <w:rsid w:val="00F753EF"/>
    <w:rsid w:val="00F85835"/>
    <w:rsid w:val="00FA09B1"/>
    <w:rsid w:val="00FA3DCE"/>
    <w:rsid w:val="00FA4A79"/>
    <w:rsid w:val="00FA4EFA"/>
    <w:rsid w:val="00FA55C6"/>
    <w:rsid w:val="00FB2906"/>
    <w:rsid w:val="00FC6E14"/>
    <w:rsid w:val="00FE39CB"/>
    <w:rsid w:val="00FE7CB7"/>
    <w:rsid w:val="035F0B17"/>
    <w:rsid w:val="0554D6D0"/>
    <w:rsid w:val="05B609D9"/>
    <w:rsid w:val="05BBC633"/>
    <w:rsid w:val="05FDAE81"/>
    <w:rsid w:val="08B52CBB"/>
    <w:rsid w:val="099C51E6"/>
    <w:rsid w:val="0B6A3C0E"/>
    <w:rsid w:val="0CDB14B8"/>
    <w:rsid w:val="0DADAFBB"/>
    <w:rsid w:val="0E5EA88D"/>
    <w:rsid w:val="0FD368EB"/>
    <w:rsid w:val="128120DE"/>
    <w:rsid w:val="141CF13F"/>
    <w:rsid w:val="1880137D"/>
    <w:rsid w:val="1BC48370"/>
    <w:rsid w:val="1C882FF5"/>
    <w:rsid w:val="22B948E4"/>
    <w:rsid w:val="297F3803"/>
    <w:rsid w:val="2BC6DD9C"/>
    <w:rsid w:val="2C2CEC17"/>
    <w:rsid w:val="2CA63815"/>
    <w:rsid w:val="2CD4C2BC"/>
    <w:rsid w:val="343EB8DC"/>
    <w:rsid w:val="34467ADE"/>
    <w:rsid w:val="36E171F7"/>
    <w:rsid w:val="37504136"/>
    <w:rsid w:val="3CE16A66"/>
    <w:rsid w:val="3D36D2D4"/>
    <w:rsid w:val="410FFC74"/>
    <w:rsid w:val="42AF80AE"/>
    <w:rsid w:val="454B3126"/>
    <w:rsid w:val="45D5D4E9"/>
    <w:rsid w:val="47E6548A"/>
    <w:rsid w:val="4B20BC49"/>
    <w:rsid w:val="4B991668"/>
    <w:rsid w:val="4DFFE11E"/>
    <w:rsid w:val="4EDC872C"/>
    <w:rsid w:val="5181CD74"/>
    <w:rsid w:val="53C87C55"/>
    <w:rsid w:val="596CE764"/>
    <w:rsid w:val="5B37B2B8"/>
    <w:rsid w:val="5BF82606"/>
    <w:rsid w:val="5C301105"/>
    <w:rsid w:val="5E3DFD2A"/>
    <w:rsid w:val="5E83914D"/>
    <w:rsid w:val="5F785749"/>
    <w:rsid w:val="605CC784"/>
    <w:rsid w:val="6168A18D"/>
    <w:rsid w:val="628DB8DF"/>
    <w:rsid w:val="660CBD60"/>
    <w:rsid w:val="69181413"/>
    <w:rsid w:val="6B5CD918"/>
    <w:rsid w:val="6B990519"/>
    <w:rsid w:val="6D0024E2"/>
    <w:rsid w:val="6F18433E"/>
    <w:rsid w:val="6FA87533"/>
    <w:rsid w:val="70CB9818"/>
    <w:rsid w:val="71F0E7C3"/>
    <w:rsid w:val="739010E9"/>
    <w:rsid w:val="74851D0A"/>
    <w:rsid w:val="7A50782F"/>
    <w:rsid w:val="7A63612F"/>
    <w:rsid w:val="7D49AE26"/>
    <w:rsid w:val="7F9390E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B3F8E"/>
  <w15:chartTrackingRefBased/>
  <w15:docId w15:val="{0A6EF6B9-B425-42A7-A969-E8FC58BB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60A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Emphasis">
    <w:name w:val="Emphasis"/>
    <w:basedOn w:val="DefaultParagraphFont"/>
    <w:uiPriority w:val="20"/>
    <w:qFormat/>
    <w:rsid w:val="00B360A1"/>
    <w:rPr>
      <w:i/>
      <w:iCs/>
    </w:rPr>
  </w:style>
  <w:style w:type="character" w:styleId="Strong">
    <w:name w:val="Strong"/>
    <w:basedOn w:val="DefaultParagraphFont"/>
    <w:uiPriority w:val="22"/>
    <w:qFormat/>
    <w:rsid w:val="00B360A1"/>
    <w:rPr>
      <w:b/>
      <w:bCs/>
    </w:rPr>
  </w:style>
  <w:style w:type="character" w:styleId="Hyperlink">
    <w:name w:val="Hyperlink"/>
    <w:basedOn w:val="DefaultParagraphFont"/>
    <w:uiPriority w:val="99"/>
    <w:semiHidden/>
    <w:unhideWhenUsed/>
    <w:rsid w:val="00B360A1"/>
    <w:rPr>
      <w:color w:val="0000FF"/>
      <w:u w:val="single"/>
    </w:rPr>
  </w:style>
  <w:style w:type="paragraph" w:styleId="Header">
    <w:name w:val="header"/>
    <w:basedOn w:val="Normal"/>
    <w:link w:val="HeaderChar"/>
    <w:uiPriority w:val="99"/>
    <w:unhideWhenUsed/>
    <w:rsid w:val="00EF3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127"/>
  </w:style>
  <w:style w:type="paragraph" w:styleId="Footer">
    <w:name w:val="footer"/>
    <w:basedOn w:val="Normal"/>
    <w:link w:val="FooterChar"/>
    <w:uiPriority w:val="99"/>
    <w:unhideWhenUsed/>
    <w:rsid w:val="00EF3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127"/>
  </w:style>
  <w:style w:type="paragraph" w:styleId="ListParagraph">
    <w:name w:val="List Paragraph"/>
    <w:basedOn w:val="Normal"/>
    <w:uiPriority w:val="34"/>
    <w:qFormat/>
    <w:rsid w:val="00E37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581">
      <w:bodyDiv w:val="1"/>
      <w:marLeft w:val="0"/>
      <w:marRight w:val="0"/>
      <w:marTop w:val="0"/>
      <w:marBottom w:val="0"/>
      <w:divBdr>
        <w:top w:val="none" w:sz="0" w:space="0" w:color="auto"/>
        <w:left w:val="none" w:sz="0" w:space="0" w:color="auto"/>
        <w:bottom w:val="none" w:sz="0" w:space="0" w:color="auto"/>
        <w:right w:val="none" w:sz="0" w:space="0" w:color="auto"/>
      </w:divBdr>
    </w:div>
    <w:div w:id="492376293">
      <w:bodyDiv w:val="1"/>
      <w:marLeft w:val="0"/>
      <w:marRight w:val="0"/>
      <w:marTop w:val="0"/>
      <w:marBottom w:val="0"/>
      <w:divBdr>
        <w:top w:val="none" w:sz="0" w:space="0" w:color="auto"/>
        <w:left w:val="none" w:sz="0" w:space="0" w:color="auto"/>
        <w:bottom w:val="none" w:sz="0" w:space="0" w:color="auto"/>
        <w:right w:val="none" w:sz="0" w:space="0" w:color="auto"/>
      </w:divBdr>
    </w:div>
    <w:div w:id="836923463">
      <w:bodyDiv w:val="1"/>
      <w:marLeft w:val="0"/>
      <w:marRight w:val="0"/>
      <w:marTop w:val="0"/>
      <w:marBottom w:val="0"/>
      <w:divBdr>
        <w:top w:val="none" w:sz="0" w:space="0" w:color="auto"/>
        <w:left w:val="none" w:sz="0" w:space="0" w:color="auto"/>
        <w:bottom w:val="none" w:sz="0" w:space="0" w:color="auto"/>
        <w:right w:val="none" w:sz="0" w:space="0" w:color="auto"/>
      </w:divBdr>
    </w:div>
    <w:div w:id="1565987552">
      <w:bodyDiv w:val="1"/>
      <w:marLeft w:val="0"/>
      <w:marRight w:val="0"/>
      <w:marTop w:val="0"/>
      <w:marBottom w:val="0"/>
      <w:divBdr>
        <w:top w:val="none" w:sz="0" w:space="0" w:color="auto"/>
        <w:left w:val="none" w:sz="0" w:space="0" w:color="auto"/>
        <w:bottom w:val="none" w:sz="0" w:space="0" w:color="auto"/>
        <w:right w:val="none" w:sz="0" w:space="0" w:color="auto"/>
      </w:divBdr>
    </w:div>
    <w:div w:id="1859468017">
      <w:bodyDiv w:val="1"/>
      <w:marLeft w:val="0"/>
      <w:marRight w:val="0"/>
      <w:marTop w:val="0"/>
      <w:marBottom w:val="0"/>
      <w:divBdr>
        <w:top w:val="none" w:sz="0" w:space="0" w:color="auto"/>
        <w:left w:val="none" w:sz="0" w:space="0" w:color="auto"/>
        <w:bottom w:val="none" w:sz="0" w:space="0" w:color="auto"/>
        <w:right w:val="none" w:sz="0" w:space="0" w:color="auto"/>
      </w:divBdr>
    </w:div>
    <w:div w:id="213733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49" ma:contentTypeDescription="Create a new document." ma:contentTypeScope="" ma:versionID="53d26d02bdc9bbdff38d2524fa3331a6">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6db94a41796260940022e9cde5097e07"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MediaServiceObjectDetectorVersions" minOccurs="0"/>
                <xsd:element ref="ns10:lcf76f155ced4ddcb4097134ff3c332f" minOccurs="0"/>
                <xsd:element ref="ns2:TaxCatchAll" minOccurs="0"/>
                <xsd:element ref="ns10:MediaServiceDateTaken" minOccurs="0"/>
                <xsd:element ref="ns10:MediaServiceLocation" minOccurs="0"/>
                <xsd:element ref="ns10:MediaServiceGenerationTime" minOccurs="0"/>
                <xsd:element ref="ns10:MediaServiceEventHashCode" minOccurs="0"/>
                <xsd:element ref="ns10:MediaLengthInSeconds" minOccurs="0"/>
                <xsd:element ref="ns10:MediaServiceOCR"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b801b49d-ddbb-4c9b-bc3a-4d8344ea0d6f}"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1" nillable="true" ma:displayName="Case" ma:default="Government Services"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Government Services"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2" nillable="true" ma:displayName="MediaServiceMetadata" ma:hidden="true" ma:internalName="MediaServiceMetadata" ma:readOnly="true">
      <xsd:simpleType>
        <xsd:restriction base="dms:Note"/>
      </xsd:simpleType>
    </xsd:element>
    <xsd:element name="MediaServiceFastMetadata" ma:index="53" nillable="true" ma:displayName="MediaServiceFastMetadata" ma:hidden="true" ma:internalName="MediaServiceFastMetadata" ma:readOnly="true">
      <xsd:simpleType>
        <xsd:restriction base="dms:Note"/>
      </xsd:simpleType>
    </xsd:element>
    <xsd:element name="MediaServiceObjectDetectorVersions" ma:index="56" nillable="true" ma:displayName="MediaServiceObjectDetectorVersions" ma:hidden="true" ma:indexed="true" ma:internalName="MediaServiceObjectDetectorVersions" ma:readOnly="true">
      <xsd:simpleType>
        <xsd:restriction base="dms:Text"/>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60" nillable="true" ma:displayName="MediaServiceDateTaken" ma:hidden="true" ma:indexed="true" ma:internalName="MediaServiceDateTaken" ma:readOnly="true">
      <xsd:simpleType>
        <xsd:restriction base="dms:Text"/>
      </xsd:simpleType>
    </xsd:element>
    <xsd:element name="MediaServiceLocation" ma:index="61" nillable="true" ma:displayName="Location" ma:indexed="true" ma:internalName="MediaServiceLocation" ma:readOnly="true">
      <xsd:simpleType>
        <xsd:restriction base="dms:Text"/>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LengthInSeconds" ma:index="64" nillable="true" ma:displayName="MediaLengthInSeconds" ma:hidden="true" ma:internalName="MediaLengthInSeconds" ma:readOnly="true">
      <xsd:simpleType>
        <xsd:restriction base="dms:Unknown"/>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SearchProperties" ma:index="6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Government Services</Case>
    <Team xmlns="c91a514c-9034-4fa3-897a-8352025b26ed">Government Services</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Official Information Advisory</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Templates</CategoryName>
    <PRADateTrigger xmlns="4f9c820c-e7e2-444d-97ee-45f2b3485c1d" xsi:nil="true"/>
    <PRAText2 xmlns="4f9c820c-e7e2-444d-97ee-45f2b3485c1d" xsi:nil="true"/>
    <zLegacyID xmlns="184c05c4-c568-455d-94a4-7e009b164348" xsi:nil="true"/>
    <_dlc_DocId xmlns="56bce0aa-d130-428b-89aa-972bdc26e82f">MOHECM-1952987276-828</_dlc_DocId>
    <_dlc_DocIdUrl xmlns="56bce0aa-d130-428b-89aa-972bdc26e82f">
      <Url>https://mohgovtnz.sharepoint.com/sites/moh-ecm-GovtServices/_layouts/15/DocIdRedir.aspx?ID=MOHECM-1952987276-828</Url>
      <Description>MOHECM-1952987276-828</Description>
    </_dlc_DocIdUrl>
    <lcf76f155ced4ddcb4097134ff3c332f xmlns="6680c44c-cc36-4314-ad61-78a9951b8b47">
      <Terms xmlns="http://schemas.microsoft.com/office/infopath/2007/PartnerControls"/>
    </lcf76f155ced4ddcb4097134ff3c332f>
    <TaxCatchAll xmlns="56bce0aa-d130-428b-89aa-972bdc26e82f"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29DFCD-E0BD-4ECB-9FB1-6C1D1B846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ce0aa-d130-428b-89aa-972bdc26e82f"/>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010488e4-b9d5-423b-986c-ca7bae9bcc03"/>
    <ds:schemaRef ds:uri="6680c44c-cc36-4314-ad61-78a9951b8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1D4848-936A-408D-9B03-8C2379455237}">
  <ds:schemaRefs>
    <ds:schemaRef ds:uri="http://schemas.microsoft.com/sharepoint/v3/contenttype/forms"/>
  </ds:schemaRefs>
</ds:datastoreItem>
</file>

<file path=customXml/itemProps3.xml><?xml version="1.0" encoding="utf-8"?>
<ds:datastoreItem xmlns:ds="http://schemas.openxmlformats.org/officeDocument/2006/customXml" ds:itemID="{C8605E9C-ACD3-4F94-B594-D93BE31BB599}">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010488e4-b9d5-423b-986c-ca7bae9bcc03"/>
    <ds:schemaRef ds:uri="56bce0aa-d130-428b-89aa-972bdc26e82f"/>
    <ds:schemaRef ds:uri="6680c44c-cc36-4314-ad61-78a9951b8b47"/>
  </ds:schemaRefs>
</ds:datastoreItem>
</file>

<file path=customXml/itemProps4.xml><?xml version="1.0" encoding="utf-8"?>
<ds:datastoreItem xmlns:ds="http://schemas.openxmlformats.org/officeDocument/2006/customXml" ds:itemID="{545068A1-D915-479C-B875-B413AFE31C5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552</Words>
  <Characters>3148</Characters>
  <Application>Microsoft Office Word</Application>
  <DocSecurity>0</DocSecurity>
  <Lines>26</Lines>
  <Paragraphs>7</Paragraphs>
  <ScaleCrop>false</ScaleCrop>
  <Company>Ministry of Health</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De Lambert</dc:creator>
  <cp:keywords/>
  <dc:description/>
  <cp:lastModifiedBy>Tony Bates</cp:lastModifiedBy>
  <cp:revision>18</cp:revision>
  <dcterms:created xsi:type="dcterms:W3CDTF">2026-03-30T03:23:00Z</dcterms:created>
  <dcterms:modified xsi:type="dcterms:W3CDTF">2026-04-20T00:50:00Z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8755c0c7-979c-4807-9c45-6227e870201f</vt:lpwstr>
  </property>
  <property fmtid="{D5CDD505-2E9C-101B-9397-08002B2CF9AE}" pid="4" name="MediaServiceImageTags">
    <vt:lpwstr/>
  </property>
  <property fmtid="{D5CDD505-2E9C-101B-9397-08002B2CF9AE}" pid="5" name="docLang">
    <vt:lpwstr>en</vt:lpwstr>
  </property>
</Properties>
</file>