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55161" w14:textId="1183C988" w:rsidR="00C86248" w:rsidRPr="00ED2B1F" w:rsidRDefault="00753A1F" w:rsidP="00926083">
      <w:pPr>
        <w:pStyle w:val="Title"/>
      </w:pPr>
      <w:r w:rsidRPr="00ED2B1F">
        <w:t>Office of the Director of Mental Health and Addiction Services</w:t>
      </w:r>
    </w:p>
    <w:p w14:paraId="70097830" w14:textId="003CBF21" w:rsidR="00753A1F" w:rsidRPr="00ED2B1F" w:rsidRDefault="00753A1F" w:rsidP="00753A1F">
      <w:pPr>
        <w:pStyle w:val="Subhead"/>
      </w:pPr>
      <w:r w:rsidRPr="00ED2B1F">
        <w:t xml:space="preserve">Regulatory Report </w:t>
      </w:r>
      <w:r w:rsidRPr="00ED2B1F">
        <w:br/>
      </w:r>
      <w:r w:rsidR="00211D17" w:rsidRPr="00ED2B1F">
        <w:t>1 July 2023 to 30 June 2024</w:t>
      </w:r>
    </w:p>
    <w:p w14:paraId="2A961E80" w14:textId="04F58760" w:rsidR="00531E12" w:rsidRPr="00ED2B1F" w:rsidRDefault="00531E12" w:rsidP="00531E12">
      <w:pPr>
        <w:pStyle w:val="Year"/>
      </w:pPr>
    </w:p>
    <w:p w14:paraId="5C1CCC9F" w14:textId="77777777" w:rsidR="00C05132" w:rsidRPr="00ED2B1F" w:rsidRDefault="00C05132" w:rsidP="00A06BE4"/>
    <w:p w14:paraId="57E2CB79" w14:textId="77777777" w:rsidR="00142954" w:rsidRPr="00ED2B1F" w:rsidRDefault="00142954" w:rsidP="00142954">
      <w:pPr>
        <w:sectPr w:rsidR="00142954" w:rsidRPr="00ED2B1F"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32040EE1" w:rsidR="00A80363" w:rsidRPr="00ED2B1F" w:rsidRDefault="00A80363" w:rsidP="00A63DFF">
      <w:pPr>
        <w:pStyle w:val="Imprint"/>
        <w:spacing w:before="1200"/>
        <w:rPr>
          <w:rFonts w:cs="Segoe UI"/>
        </w:rPr>
      </w:pPr>
      <w:r w:rsidRPr="00ED2B1F">
        <w:rPr>
          <w:rFonts w:cs="Segoe UI"/>
        </w:rPr>
        <w:lastRenderedPageBreak/>
        <w:t xml:space="preserve">Citation: </w:t>
      </w:r>
      <w:r w:rsidR="00442C1C" w:rsidRPr="00ED2B1F">
        <w:rPr>
          <w:rFonts w:cs="Segoe UI"/>
        </w:rPr>
        <w:t xml:space="preserve">Ministry of Health. </w:t>
      </w:r>
      <w:r w:rsidR="00753A1F" w:rsidRPr="00ED2B1F">
        <w:rPr>
          <w:rFonts w:cs="Segoe UI"/>
        </w:rPr>
        <w:t>202</w:t>
      </w:r>
      <w:r w:rsidR="00324B32" w:rsidRPr="00ED2B1F">
        <w:rPr>
          <w:rFonts w:cs="Segoe UI"/>
        </w:rPr>
        <w:t>6</w:t>
      </w:r>
      <w:r w:rsidR="00442C1C" w:rsidRPr="00ED2B1F">
        <w:rPr>
          <w:rFonts w:cs="Segoe UI"/>
        </w:rPr>
        <w:t xml:space="preserve">. </w:t>
      </w:r>
      <w:r w:rsidR="00753A1F" w:rsidRPr="00ED2B1F">
        <w:rPr>
          <w:rFonts w:cs="Segoe UI"/>
          <w:i/>
        </w:rPr>
        <w:t xml:space="preserve">Office of the Director of Mental Health and Addiction Services: Regulatory Report </w:t>
      </w:r>
      <w:r w:rsidR="00211D17" w:rsidRPr="00ED2B1F">
        <w:rPr>
          <w:rFonts w:cs="Segoe UI"/>
          <w:i/>
        </w:rPr>
        <w:t>1 July 2023 to 30 June 2024</w:t>
      </w:r>
      <w:r w:rsidR="00442C1C" w:rsidRPr="00ED2B1F">
        <w:rPr>
          <w:rFonts w:cs="Segoe UI"/>
        </w:rPr>
        <w:t>. Wellington: Ministry of Health.</w:t>
      </w:r>
    </w:p>
    <w:p w14:paraId="7909192E" w14:textId="1783882F" w:rsidR="00C86248" w:rsidRPr="00ED2B1F" w:rsidRDefault="00C86248">
      <w:pPr>
        <w:pStyle w:val="Imprint"/>
      </w:pPr>
      <w:r w:rsidRPr="00ED2B1F">
        <w:t xml:space="preserve">Published in </w:t>
      </w:r>
      <w:r w:rsidR="00F84963" w:rsidRPr="00F84963">
        <w:t>March</w:t>
      </w:r>
      <w:r w:rsidR="00753A1F" w:rsidRPr="00F84963">
        <w:t xml:space="preserve"> 202</w:t>
      </w:r>
      <w:r w:rsidR="00324B32" w:rsidRPr="00F84963">
        <w:t>6</w:t>
      </w:r>
      <w:r w:rsidR="00A63DFF" w:rsidRPr="00ED2B1F">
        <w:t xml:space="preserve"> </w:t>
      </w:r>
      <w:r w:rsidRPr="00ED2B1F">
        <w:t>by the</w:t>
      </w:r>
      <w:r w:rsidR="00442C1C" w:rsidRPr="00ED2B1F">
        <w:t xml:space="preserve"> </w:t>
      </w:r>
      <w:r w:rsidRPr="00ED2B1F">
        <w:t>Ministry of Health</w:t>
      </w:r>
      <w:r w:rsidRPr="00ED2B1F">
        <w:br/>
        <w:t>PO Box 5013, Wellington</w:t>
      </w:r>
      <w:r w:rsidR="00A80363" w:rsidRPr="00ED2B1F">
        <w:t xml:space="preserve"> 614</w:t>
      </w:r>
      <w:r w:rsidR="006041F0" w:rsidRPr="00ED2B1F">
        <w:t>0</w:t>
      </w:r>
      <w:r w:rsidRPr="00ED2B1F">
        <w:t xml:space="preserve">, </w:t>
      </w:r>
      <w:r w:rsidR="00571223" w:rsidRPr="00ED2B1F">
        <w:t>New Zealand</w:t>
      </w:r>
    </w:p>
    <w:p w14:paraId="5E92E04B" w14:textId="54C86435" w:rsidR="00753A1F" w:rsidRPr="00ED2B1F" w:rsidRDefault="00753A1F" w:rsidP="00753A1F">
      <w:pPr>
        <w:pStyle w:val="Imprint"/>
      </w:pPr>
      <w:r w:rsidRPr="00ED2B1F">
        <w:t xml:space="preserve">ISBN </w:t>
      </w:r>
      <w:r w:rsidR="00CE3ACD" w:rsidRPr="00CE3ACD">
        <w:t>978-1-991324-77-1</w:t>
      </w:r>
      <w:r w:rsidRPr="00ED2B1F">
        <w:t xml:space="preserve"> (online)</w:t>
      </w:r>
      <w:r w:rsidRPr="00ED2B1F">
        <w:br/>
        <w:t xml:space="preserve">HP </w:t>
      </w:r>
      <w:r w:rsidR="003641F2">
        <w:t>9162</w:t>
      </w:r>
    </w:p>
    <w:p w14:paraId="48DBDA36" w14:textId="7263F306" w:rsidR="00C86248" w:rsidRPr="00ED2B1F" w:rsidRDefault="00EA608C" w:rsidP="00A63DFF">
      <w:r w:rsidRPr="00ED2B1F">
        <w:rPr>
          <w:noProof/>
        </w:rPr>
        <w:drawing>
          <wp:inline distT="0" distB="0" distL="0" distR="0" wp14:anchorId="7F6F146D" wp14:editId="49DD7DF6">
            <wp:extent cx="1216800" cy="494305"/>
            <wp:effectExtent l="0" t="0" r="2540" b="127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Pr="00ED2B1F" w:rsidRDefault="00A63DFF" w:rsidP="00A63DFF">
      <w:pPr>
        <w:pStyle w:val="Imprint"/>
        <w:spacing w:before="240" w:after="480"/>
      </w:pPr>
      <w:r w:rsidRPr="00ED2B1F">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ED2B1F" w14:paraId="3FC6B2D2" w14:textId="77777777" w:rsidTr="00A63DFF">
        <w:trPr>
          <w:cantSplit/>
        </w:trPr>
        <w:tc>
          <w:tcPr>
            <w:tcW w:w="1526" w:type="dxa"/>
          </w:tcPr>
          <w:p w14:paraId="362D26E7" w14:textId="77777777" w:rsidR="00A63DFF" w:rsidRPr="00ED2B1F" w:rsidRDefault="00A63DFF" w:rsidP="00A63DFF">
            <w:pPr>
              <w:rPr>
                <w:rFonts w:cs="Segoe UI"/>
                <w:sz w:val="15"/>
                <w:szCs w:val="15"/>
              </w:rPr>
            </w:pPr>
            <w:r w:rsidRPr="00ED2B1F">
              <w:rPr>
                <w:rFonts w:cs="Segoe UI"/>
                <w:b/>
                <w:noProof/>
                <w:sz w:val="15"/>
                <w:szCs w:val="15"/>
                <w:lang w:eastAsia="en-NZ"/>
              </w:rPr>
              <w:drawing>
                <wp:inline distT="0" distB="0" distL="0" distR="0" wp14:anchorId="4BFD7476" wp14:editId="15BAAC3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ED2B1F" w:rsidRDefault="00A63DFF" w:rsidP="00A63DFF">
            <w:pPr>
              <w:rPr>
                <w:rFonts w:cs="Segoe UI"/>
                <w:sz w:val="15"/>
                <w:szCs w:val="15"/>
              </w:rPr>
            </w:pPr>
            <w:r w:rsidRPr="00ED2B1F">
              <w:rPr>
                <w:rFonts w:cs="Segoe UI"/>
                <w:sz w:val="15"/>
                <w:szCs w:val="15"/>
              </w:rPr>
              <w:t xml:space="preserve">This work is licensed under the Creative Commons Attribution 4.0 International licence. In essence, </w:t>
            </w:r>
            <w:r w:rsidRPr="00ED2B1F">
              <w:rPr>
                <w:rFonts w:cs="Segoe UI"/>
                <w:bCs/>
                <w:sz w:val="15"/>
                <w:szCs w:val="15"/>
              </w:rPr>
              <w:t xml:space="preserve">you are free to: </w:t>
            </w:r>
            <w:r w:rsidRPr="00ED2B1F">
              <w:rPr>
                <w:rFonts w:cs="Segoe UI"/>
                <w:sz w:val="15"/>
                <w:szCs w:val="15"/>
              </w:rPr>
              <w:t xml:space="preserve">share ie, copy and redistribute the material in any medium or format; adapt ie, remix, transform and build upon the material. </w:t>
            </w:r>
            <w:r w:rsidRPr="00ED2B1F">
              <w:rPr>
                <w:rFonts w:cs="Segoe UI"/>
                <w:bCs/>
                <w:sz w:val="15"/>
                <w:szCs w:val="15"/>
              </w:rPr>
              <w:t>You must give appropriate credit, provide a link to the licence and indicate if changes were made.</w:t>
            </w:r>
          </w:p>
        </w:tc>
      </w:tr>
    </w:tbl>
    <w:p w14:paraId="44C6FE3A" w14:textId="13E3A6E4" w:rsidR="007E74F1" w:rsidRPr="00ED2B1F" w:rsidRDefault="007E74F1" w:rsidP="00A63DFF"/>
    <w:p w14:paraId="2113CC0B" w14:textId="77777777" w:rsidR="00C86248" w:rsidRPr="00ED2B1F" w:rsidRDefault="00C86248">
      <w:pPr>
        <w:jc w:val="center"/>
        <w:sectPr w:rsidR="00C86248" w:rsidRPr="00ED2B1F"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52BE4E20" w:rsidR="00032C0A" w:rsidRPr="00ED2B1F" w:rsidRDefault="008E3A07" w:rsidP="001D3E4E">
      <w:pPr>
        <w:pStyle w:val="Heading1"/>
        <w:spacing w:before="0"/>
      </w:pPr>
      <w:bookmarkStart w:id="0" w:name="_Toc224638084"/>
      <w:bookmarkStart w:id="1" w:name="_Toc405792991"/>
      <w:bookmarkStart w:id="2" w:name="_Toc405793224"/>
      <w:r w:rsidRPr="00ED2B1F">
        <w:lastRenderedPageBreak/>
        <w:t>Foreword</w:t>
      </w:r>
      <w:bookmarkEnd w:id="0"/>
    </w:p>
    <w:p w14:paraId="673BCA46" w14:textId="7FE8A42B" w:rsidR="00753A1F" w:rsidRPr="00ED2B1F" w:rsidRDefault="00753A1F" w:rsidP="00535C2F">
      <w:pPr>
        <w:ind w:right="-180"/>
        <w:rPr>
          <w:spacing w:val="-3"/>
        </w:rPr>
      </w:pPr>
      <w:r w:rsidRPr="00ED2B1F">
        <w:rPr>
          <w:spacing w:val="-3"/>
        </w:rPr>
        <w:t xml:space="preserve">This regulatory report </w:t>
      </w:r>
      <w:r w:rsidR="001D618C" w:rsidRPr="00ED2B1F">
        <w:rPr>
          <w:spacing w:val="-3"/>
        </w:rPr>
        <w:t>contain</w:t>
      </w:r>
      <w:r w:rsidR="00CD4116" w:rsidRPr="00ED2B1F">
        <w:rPr>
          <w:spacing w:val="-3"/>
        </w:rPr>
        <w:t>s</w:t>
      </w:r>
      <w:r w:rsidRPr="00ED2B1F">
        <w:rPr>
          <w:spacing w:val="-3"/>
        </w:rPr>
        <w:t xml:space="preserve"> </w:t>
      </w:r>
      <w:r w:rsidR="00661893" w:rsidRPr="00ED2B1F">
        <w:rPr>
          <w:spacing w:val="-3"/>
        </w:rPr>
        <w:t>collated</w:t>
      </w:r>
      <w:r w:rsidRPr="00ED2B1F">
        <w:rPr>
          <w:spacing w:val="-3"/>
        </w:rPr>
        <w:t xml:space="preserve"> data </w:t>
      </w:r>
      <w:r w:rsidR="00CD4116" w:rsidRPr="00ED2B1F">
        <w:rPr>
          <w:spacing w:val="-3"/>
        </w:rPr>
        <w:t>on</w:t>
      </w:r>
      <w:r w:rsidRPr="00ED2B1F">
        <w:rPr>
          <w:spacing w:val="-3"/>
        </w:rPr>
        <w:t xml:space="preserve"> the use of compulsory assessment and treatment legislation in Aotearoa New Zealand under the Mental Health (Compulsory Assessment and Treatment) Act 1992 (the Mental Health Act)</w:t>
      </w:r>
      <w:r w:rsidR="00661893" w:rsidRPr="00ED2B1F">
        <w:rPr>
          <w:spacing w:val="-3"/>
        </w:rPr>
        <w:t xml:space="preserve"> for the financial year from 1 July 2023 to 30 June 2024.</w:t>
      </w:r>
      <w:r w:rsidR="00403AB2" w:rsidRPr="00ED2B1F">
        <w:rPr>
          <w:spacing w:val="-3"/>
        </w:rPr>
        <w:t xml:space="preserve"> </w:t>
      </w:r>
      <w:r w:rsidR="00000425" w:rsidRPr="00ED2B1F">
        <w:rPr>
          <w:spacing w:val="-3"/>
        </w:rPr>
        <w:t>The report also contains data on</w:t>
      </w:r>
      <w:r w:rsidRPr="00ED2B1F">
        <w:rPr>
          <w:spacing w:val="-3"/>
        </w:rPr>
        <w:t xml:space="preserve"> related activities under the Intellectual Disability (Compulsory Care and Rehabilitation) Act 2003 (the Intellectual Disability Care Act) and the Misuse of Drugs Act 1975. For more information</w:t>
      </w:r>
      <w:r w:rsidR="00641C25" w:rsidRPr="00ED2B1F">
        <w:rPr>
          <w:spacing w:val="-3"/>
        </w:rPr>
        <w:t xml:space="preserve"> about the </w:t>
      </w:r>
      <w:r w:rsidR="006A641D" w:rsidRPr="00ED2B1F">
        <w:rPr>
          <w:spacing w:val="-3"/>
        </w:rPr>
        <w:t>A</w:t>
      </w:r>
      <w:r w:rsidR="00641C25" w:rsidRPr="00ED2B1F">
        <w:rPr>
          <w:spacing w:val="-3"/>
        </w:rPr>
        <w:t>cts</w:t>
      </w:r>
      <w:r w:rsidRPr="00ED2B1F">
        <w:rPr>
          <w:spacing w:val="-3"/>
        </w:rPr>
        <w:t>, see</w:t>
      </w:r>
      <w:r w:rsidRPr="00ED2B1F" w:rsidDel="00FD6D9B">
        <w:rPr>
          <w:spacing w:val="-3"/>
        </w:rPr>
        <w:t xml:space="preserve"> </w:t>
      </w:r>
      <w:hyperlink r:id="rId18">
        <w:r w:rsidRPr="00ED2B1F">
          <w:rPr>
            <w:rStyle w:val="Hyperlink"/>
            <w:spacing w:val="-3"/>
          </w:rPr>
          <w:t>Mental health and addiction</w:t>
        </w:r>
      </w:hyperlink>
      <w:r w:rsidRPr="00ED2B1F">
        <w:rPr>
          <w:spacing w:val="-3"/>
        </w:rPr>
        <w:t xml:space="preserve"> on </w:t>
      </w:r>
      <w:r w:rsidR="004A2256" w:rsidRPr="00ED2B1F">
        <w:rPr>
          <w:spacing w:val="-3"/>
        </w:rPr>
        <w:t>the Ministry of Health – Manat</w:t>
      </w:r>
      <w:r w:rsidR="004A2256" w:rsidRPr="00ED2B1F">
        <w:rPr>
          <w:rFonts w:cs="Segoe UI"/>
          <w:spacing w:val="-3"/>
        </w:rPr>
        <w:t>ū</w:t>
      </w:r>
      <w:r w:rsidR="004A2256" w:rsidRPr="00ED2B1F">
        <w:rPr>
          <w:spacing w:val="-3"/>
        </w:rPr>
        <w:t xml:space="preserve"> Hauora </w:t>
      </w:r>
      <w:r w:rsidRPr="00ED2B1F">
        <w:rPr>
          <w:spacing w:val="-3"/>
        </w:rPr>
        <w:t xml:space="preserve">website. </w:t>
      </w:r>
    </w:p>
    <w:p w14:paraId="7BCBD7D6" w14:textId="77777777" w:rsidR="00753A1F" w:rsidRPr="00ED2B1F" w:rsidRDefault="00753A1F" w:rsidP="00535C2F">
      <w:pPr>
        <w:ind w:right="-180"/>
      </w:pPr>
    </w:p>
    <w:p w14:paraId="562428F9" w14:textId="4910B573" w:rsidR="00753A1F" w:rsidRPr="00ED2B1F" w:rsidRDefault="00AC4235" w:rsidP="00535C2F">
      <w:pPr>
        <w:ind w:right="-180"/>
        <w:rPr>
          <w:spacing w:val="-3"/>
        </w:rPr>
      </w:pPr>
      <w:r w:rsidRPr="00ED2B1F">
        <w:rPr>
          <w:spacing w:val="-3"/>
        </w:rPr>
        <w:t>I want to acknowledge that t</w:t>
      </w:r>
      <w:r w:rsidR="00753A1F" w:rsidRPr="00ED2B1F">
        <w:rPr>
          <w:spacing w:val="-3"/>
        </w:rPr>
        <w:t>he mental health, intellectual disability and addiction workforce in New Zealand continue</w:t>
      </w:r>
      <w:r w:rsidR="00AE76F1" w:rsidRPr="00ED2B1F">
        <w:rPr>
          <w:spacing w:val="-3"/>
        </w:rPr>
        <w:t>s</w:t>
      </w:r>
      <w:r w:rsidR="00753A1F" w:rsidRPr="00ED2B1F">
        <w:rPr>
          <w:spacing w:val="-3"/>
        </w:rPr>
        <w:t xml:space="preserve"> to demonstrate passion</w:t>
      </w:r>
      <w:r w:rsidR="00F74F5E" w:rsidRPr="00ED2B1F">
        <w:rPr>
          <w:spacing w:val="-3"/>
        </w:rPr>
        <w:t xml:space="preserve">, </w:t>
      </w:r>
      <w:r w:rsidR="00114D69" w:rsidRPr="00ED2B1F">
        <w:rPr>
          <w:spacing w:val="-3"/>
        </w:rPr>
        <w:t>professionalism</w:t>
      </w:r>
      <w:r w:rsidR="00753A1F" w:rsidRPr="00ED2B1F">
        <w:rPr>
          <w:spacing w:val="-3"/>
        </w:rPr>
        <w:t xml:space="preserve"> and care </w:t>
      </w:r>
      <w:r w:rsidR="00AE76F1" w:rsidRPr="00ED2B1F">
        <w:rPr>
          <w:spacing w:val="-3"/>
        </w:rPr>
        <w:t xml:space="preserve">in working with </w:t>
      </w:r>
      <w:r w:rsidR="00753A1F" w:rsidRPr="00ED2B1F">
        <w:rPr>
          <w:spacing w:val="-3"/>
        </w:rPr>
        <w:t xml:space="preserve">people </w:t>
      </w:r>
      <w:r w:rsidR="004F1206" w:rsidRPr="00ED2B1F">
        <w:rPr>
          <w:spacing w:val="-3"/>
        </w:rPr>
        <w:t>who are exp</w:t>
      </w:r>
      <w:r w:rsidR="001813A1" w:rsidRPr="00ED2B1F">
        <w:rPr>
          <w:spacing w:val="-3"/>
        </w:rPr>
        <w:t>eriencing</w:t>
      </w:r>
      <w:r w:rsidR="00753A1F" w:rsidRPr="00ED2B1F">
        <w:rPr>
          <w:spacing w:val="-3"/>
        </w:rPr>
        <w:t xml:space="preserve"> significant vulnerability</w:t>
      </w:r>
      <w:r w:rsidRPr="00ED2B1F">
        <w:rPr>
          <w:spacing w:val="-3"/>
        </w:rPr>
        <w:t>.</w:t>
      </w:r>
      <w:r w:rsidR="00753A1F" w:rsidRPr="00ED2B1F">
        <w:rPr>
          <w:spacing w:val="-3"/>
        </w:rPr>
        <w:t xml:space="preserve"> I truly thank everyone for this.</w:t>
      </w:r>
      <w:r w:rsidR="00753A1F" w:rsidRPr="00ED2B1F" w:rsidDel="001D3305">
        <w:rPr>
          <w:spacing w:val="-3"/>
        </w:rPr>
        <w:t xml:space="preserve"> </w:t>
      </w:r>
      <w:r w:rsidR="00920D2E" w:rsidRPr="00ED2B1F">
        <w:rPr>
          <w:spacing w:val="-3"/>
        </w:rPr>
        <w:t>T</w:t>
      </w:r>
      <w:r w:rsidR="00753A1F" w:rsidRPr="00ED2B1F">
        <w:rPr>
          <w:spacing w:val="-3"/>
        </w:rPr>
        <w:t xml:space="preserve">he demand for </w:t>
      </w:r>
      <w:r w:rsidR="00E456EA" w:rsidRPr="00ED2B1F">
        <w:rPr>
          <w:spacing w:val="-3"/>
        </w:rPr>
        <w:t>mental health</w:t>
      </w:r>
      <w:r w:rsidR="006D32E1" w:rsidRPr="00ED2B1F">
        <w:rPr>
          <w:spacing w:val="-3"/>
        </w:rPr>
        <w:t>, intellectual disability,</w:t>
      </w:r>
      <w:r w:rsidR="00A661D3" w:rsidRPr="00ED2B1F">
        <w:rPr>
          <w:spacing w:val="-3"/>
        </w:rPr>
        <w:t xml:space="preserve"> and addiction </w:t>
      </w:r>
      <w:r w:rsidR="00753A1F" w:rsidRPr="00ED2B1F">
        <w:rPr>
          <w:spacing w:val="-3"/>
        </w:rPr>
        <w:t xml:space="preserve">services </w:t>
      </w:r>
      <w:r w:rsidR="00A661D3" w:rsidRPr="00ED2B1F">
        <w:rPr>
          <w:spacing w:val="-3"/>
        </w:rPr>
        <w:t>remains</w:t>
      </w:r>
      <w:r w:rsidR="00753A1F" w:rsidRPr="00ED2B1F">
        <w:rPr>
          <w:spacing w:val="-3"/>
        </w:rPr>
        <w:t xml:space="preserve"> high, </w:t>
      </w:r>
      <w:r w:rsidR="00A661D3" w:rsidRPr="00ED2B1F">
        <w:rPr>
          <w:spacing w:val="-3"/>
        </w:rPr>
        <w:t xml:space="preserve">placing </w:t>
      </w:r>
      <w:r w:rsidR="001C25D9" w:rsidRPr="00ED2B1F">
        <w:rPr>
          <w:spacing w:val="-3"/>
        </w:rPr>
        <w:t>increased</w:t>
      </w:r>
      <w:r w:rsidR="00753A1F" w:rsidRPr="00ED2B1F" w:rsidDel="001D3305">
        <w:rPr>
          <w:spacing w:val="-3"/>
        </w:rPr>
        <w:t xml:space="preserve"> </w:t>
      </w:r>
      <w:r w:rsidR="00753A1F" w:rsidRPr="00ED2B1F">
        <w:rPr>
          <w:spacing w:val="-3"/>
        </w:rPr>
        <w:t>pressure on our workforce. We know improvements</w:t>
      </w:r>
      <w:r w:rsidR="00324B32" w:rsidRPr="00ED2B1F">
        <w:rPr>
          <w:spacing w:val="-3"/>
        </w:rPr>
        <w:t xml:space="preserve"> are</w:t>
      </w:r>
      <w:r w:rsidR="00753A1F" w:rsidRPr="00ED2B1F">
        <w:rPr>
          <w:spacing w:val="-3"/>
        </w:rPr>
        <w:t xml:space="preserve"> </w:t>
      </w:r>
      <w:r w:rsidR="006D32E1" w:rsidRPr="00ED2B1F">
        <w:rPr>
          <w:spacing w:val="-3"/>
        </w:rPr>
        <w:t>need</w:t>
      </w:r>
      <w:r w:rsidR="00324B32" w:rsidRPr="00ED2B1F">
        <w:rPr>
          <w:spacing w:val="-3"/>
        </w:rPr>
        <w:t>ed</w:t>
      </w:r>
      <w:r w:rsidR="00753A1F" w:rsidRPr="00ED2B1F">
        <w:rPr>
          <w:spacing w:val="-3"/>
        </w:rPr>
        <w:t xml:space="preserve"> to reduce this pressure, and we are working closely with our colleagues in Health New Zealand – Te Whatu Ora</w:t>
      </w:r>
      <w:r w:rsidR="006E2E95" w:rsidRPr="00ED2B1F">
        <w:rPr>
          <w:spacing w:val="-3"/>
        </w:rPr>
        <w:t xml:space="preserve"> (Health New Zealand)</w:t>
      </w:r>
      <w:r w:rsidR="00753A1F" w:rsidRPr="00ED2B1F">
        <w:rPr>
          <w:spacing w:val="-3"/>
        </w:rPr>
        <w:t xml:space="preserve"> to provide sustainable solutions. </w:t>
      </w:r>
    </w:p>
    <w:p w14:paraId="4444B897" w14:textId="77777777" w:rsidR="00753A1F" w:rsidRPr="00ED2B1F" w:rsidRDefault="00753A1F" w:rsidP="00535C2F">
      <w:pPr>
        <w:ind w:right="-180"/>
      </w:pPr>
    </w:p>
    <w:p w14:paraId="1B6A546C" w14:textId="58B83F02" w:rsidR="00753A1F" w:rsidRPr="00ED2B1F" w:rsidRDefault="00753A1F" w:rsidP="00535C2F">
      <w:pPr>
        <w:ind w:right="-180"/>
        <w:rPr>
          <w:spacing w:val="-3"/>
        </w:rPr>
      </w:pPr>
      <w:r w:rsidRPr="00ED2B1F">
        <w:rPr>
          <w:spacing w:val="-3"/>
        </w:rPr>
        <w:t xml:space="preserve">As the Director of Mental Health and Addiction, I am responsible for the general administration of the relevant compulsory assessment, care and treatment legislation under the direction of the Minister of Health, the </w:t>
      </w:r>
      <w:r w:rsidR="002F1CE7" w:rsidRPr="00ED2B1F">
        <w:rPr>
          <w:spacing w:val="-3"/>
        </w:rPr>
        <w:t>Minister for Mental Health</w:t>
      </w:r>
      <w:r w:rsidR="001D1D49" w:rsidRPr="00ED2B1F">
        <w:rPr>
          <w:spacing w:val="-3"/>
        </w:rPr>
        <w:t xml:space="preserve"> and</w:t>
      </w:r>
      <w:r w:rsidR="002F1CE7" w:rsidRPr="00ED2B1F">
        <w:rPr>
          <w:spacing w:val="-3"/>
        </w:rPr>
        <w:t xml:space="preserve"> </w:t>
      </w:r>
      <w:r w:rsidRPr="00ED2B1F">
        <w:rPr>
          <w:spacing w:val="-3"/>
        </w:rPr>
        <w:t xml:space="preserve">the Director-General of Health. My functions and powers under the </w:t>
      </w:r>
      <w:r w:rsidR="00DC2B3D">
        <w:rPr>
          <w:spacing w:val="-3"/>
        </w:rPr>
        <w:t>Acts</w:t>
      </w:r>
      <w:r w:rsidRPr="00ED2B1F">
        <w:rPr>
          <w:spacing w:val="-3"/>
        </w:rPr>
        <w:t xml:space="preserve"> listed above, as well as under the Substance Addiction (Compulsory Assessment and Treatment) Act 2017 (the Substance Addiction Act), allow the Ministry of Health</w:t>
      </w:r>
      <w:r w:rsidRPr="00ED2B1F" w:rsidDel="00EA3A7B">
        <w:rPr>
          <w:spacing w:val="-3"/>
        </w:rPr>
        <w:t xml:space="preserve"> </w:t>
      </w:r>
      <w:r w:rsidRPr="00ED2B1F">
        <w:rPr>
          <w:spacing w:val="-3"/>
        </w:rPr>
        <w:t xml:space="preserve">to provide guidance </w:t>
      </w:r>
      <w:r w:rsidR="0089128B" w:rsidRPr="00ED2B1F">
        <w:rPr>
          <w:spacing w:val="-3"/>
        </w:rPr>
        <w:t xml:space="preserve">to </w:t>
      </w:r>
      <w:r w:rsidRPr="00ED2B1F">
        <w:rPr>
          <w:spacing w:val="-3"/>
        </w:rPr>
        <w:t xml:space="preserve">and oversight </w:t>
      </w:r>
      <w:r w:rsidR="0089128B" w:rsidRPr="00ED2B1F">
        <w:rPr>
          <w:spacing w:val="-3"/>
        </w:rPr>
        <w:t xml:space="preserve">of </w:t>
      </w:r>
      <w:r w:rsidRPr="00ED2B1F">
        <w:rPr>
          <w:spacing w:val="-3"/>
        </w:rPr>
        <w:t xml:space="preserve">mental health, addiction and intellectual disability services. It is my role to make sure that when people are under compulsory care or treatment in New Zealand, they are well cared for, their rights are upheld and </w:t>
      </w:r>
      <w:r w:rsidR="00D34FE3" w:rsidRPr="00ED2B1F">
        <w:rPr>
          <w:spacing w:val="-3"/>
        </w:rPr>
        <w:t xml:space="preserve">the services providing </w:t>
      </w:r>
      <w:r w:rsidRPr="00ED2B1F">
        <w:rPr>
          <w:spacing w:val="-3"/>
        </w:rPr>
        <w:t>care or treatment follow all legislative requirements. When needed, I intervene to ensure this is what people experience.</w:t>
      </w:r>
    </w:p>
    <w:p w14:paraId="5935655C" w14:textId="4B5B0187" w:rsidR="00753A1F" w:rsidRPr="00ED2B1F" w:rsidRDefault="00753A1F" w:rsidP="00535C2F">
      <w:pPr>
        <w:ind w:right="-180"/>
      </w:pPr>
    </w:p>
    <w:p w14:paraId="707E681D" w14:textId="200F764A" w:rsidR="00753A1F" w:rsidRPr="00ED2B1F" w:rsidRDefault="00753A1F" w:rsidP="00535C2F">
      <w:pPr>
        <w:ind w:right="-180"/>
      </w:pPr>
      <w:r w:rsidRPr="00ED2B1F">
        <w:t xml:space="preserve">Since 2005, the Office of the Director of Mental Health and Addiction Services has been reporting each year on the </w:t>
      </w:r>
      <w:r w:rsidR="006B6597" w:rsidRPr="00ED2B1F">
        <w:t>use of compulsory assessment and treatment legislation in New Zealand</w:t>
      </w:r>
      <w:r w:rsidRPr="00ED2B1F">
        <w:t>. The main purpose of th</w:t>
      </w:r>
      <w:r w:rsidR="00324B32" w:rsidRPr="00ED2B1F">
        <w:t>is</w:t>
      </w:r>
      <w:r w:rsidRPr="00ED2B1F">
        <w:t xml:space="preserve"> report is to present information that </w:t>
      </w:r>
      <w:r w:rsidR="00BF5642" w:rsidRPr="00ED2B1F">
        <w:t xml:space="preserve">helps to </w:t>
      </w:r>
      <w:r w:rsidR="006B6597" w:rsidRPr="00ED2B1F">
        <w:t>measure</w:t>
      </w:r>
      <w:r w:rsidR="00BF5642" w:rsidRPr="00ED2B1F">
        <w:t xml:space="preserve"> the quality</w:t>
      </w:r>
      <w:r w:rsidRPr="00ED2B1F">
        <w:t xml:space="preserve"> </w:t>
      </w:r>
      <w:r w:rsidR="00BF5642" w:rsidRPr="00ED2B1F">
        <w:t>of compulsory care that</w:t>
      </w:r>
      <w:r w:rsidRPr="00ED2B1F">
        <w:t xml:space="preserve"> our mental health, intellectual disability and addiction services provid</w:t>
      </w:r>
      <w:r w:rsidR="00BF5642" w:rsidRPr="00ED2B1F">
        <w:t>e</w:t>
      </w:r>
      <w:r w:rsidRPr="00ED2B1F">
        <w:t xml:space="preserve">. We monitor these services to assure </w:t>
      </w:r>
      <w:r w:rsidR="00324B32" w:rsidRPr="00ED2B1F">
        <w:t xml:space="preserve">both </w:t>
      </w:r>
      <w:r w:rsidRPr="00ED2B1F">
        <w:t xml:space="preserve">ourselves and the public that people </w:t>
      </w:r>
      <w:r w:rsidR="003277D7" w:rsidRPr="00ED2B1F">
        <w:t>undergoing</w:t>
      </w:r>
      <w:r w:rsidRPr="00ED2B1F">
        <w:t xml:space="preserve"> compulsory assessment, care and treatment under the relevant legislation are receiving high-quality care.</w:t>
      </w:r>
    </w:p>
    <w:p w14:paraId="0D845862" w14:textId="77777777" w:rsidR="005F1AAC" w:rsidRPr="00ED2B1F" w:rsidRDefault="005F1AAC" w:rsidP="005F1AAC">
      <w:pPr>
        <w:ind w:right="-180"/>
      </w:pPr>
    </w:p>
    <w:p w14:paraId="0D05D9AA" w14:textId="2ACED040" w:rsidR="005F1AAC" w:rsidRPr="00ED2B1F" w:rsidRDefault="005F1AAC" w:rsidP="005F1AAC">
      <w:pPr>
        <w:ind w:right="-180"/>
        <w:rPr>
          <w:spacing w:val="-3"/>
        </w:rPr>
      </w:pPr>
      <w:hyperlink r:id="rId19" w:history="1">
        <w:r w:rsidRPr="00ED2B1F">
          <w:rPr>
            <w:rStyle w:val="Hyperlink"/>
            <w:spacing w:val="-3"/>
          </w:rPr>
          <w:t>Whanaketia – Through pain and trauma, from darkness to light</w:t>
        </w:r>
      </w:hyperlink>
      <w:r w:rsidR="00D756E3" w:rsidRPr="00ED2B1F">
        <w:rPr>
          <w:spacing w:val="-3"/>
        </w:rPr>
        <w:t>, released</w:t>
      </w:r>
      <w:r w:rsidR="004E5935" w:rsidRPr="00ED2B1F">
        <w:rPr>
          <w:spacing w:val="-3"/>
        </w:rPr>
        <w:t xml:space="preserve"> </w:t>
      </w:r>
      <w:r w:rsidRPr="00ED2B1F">
        <w:rPr>
          <w:spacing w:val="-3"/>
        </w:rPr>
        <w:t>by the Royal Commission into Abuse in Care</w:t>
      </w:r>
      <w:r w:rsidR="00FD2F5D" w:rsidRPr="00ED2B1F">
        <w:rPr>
          <w:spacing w:val="-3"/>
        </w:rPr>
        <w:t xml:space="preserve"> on 24 July 2024</w:t>
      </w:r>
      <w:r w:rsidR="00D756E3" w:rsidRPr="00ED2B1F">
        <w:rPr>
          <w:spacing w:val="-3"/>
        </w:rPr>
        <w:t>,</w:t>
      </w:r>
      <w:r w:rsidR="005D25EF" w:rsidRPr="0065540F">
        <w:rPr>
          <w:rStyle w:val="FootnoteReference"/>
        </w:rPr>
        <w:footnoteReference w:id="2"/>
      </w:r>
      <w:r w:rsidRPr="00ED2B1F">
        <w:rPr>
          <w:spacing w:val="-3"/>
        </w:rPr>
        <w:t xml:space="preserve"> </w:t>
      </w:r>
      <w:r w:rsidR="004E5935" w:rsidRPr="00ED2B1F">
        <w:rPr>
          <w:spacing w:val="-3"/>
        </w:rPr>
        <w:t xml:space="preserve">has highlighted </w:t>
      </w:r>
      <w:r w:rsidR="00D756E3" w:rsidRPr="00ED2B1F">
        <w:rPr>
          <w:spacing w:val="-3"/>
        </w:rPr>
        <w:t xml:space="preserve">how </w:t>
      </w:r>
      <w:r w:rsidR="002313FE" w:rsidRPr="00ED2B1F">
        <w:rPr>
          <w:spacing w:val="-3"/>
        </w:rPr>
        <w:t>importan</w:t>
      </w:r>
      <w:r w:rsidR="00D756E3" w:rsidRPr="00ED2B1F">
        <w:rPr>
          <w:spacing w:val="-3"/>
        </w:rPr>
        <w:t>t it is to</w:t>
      </w:r>
      <w:r w:rsidR="002313FE" w:rsidRPr="00ED2B1F">
        <w:rPr>
          <w:spacing w:val="-3"/>
        </w:rPr>
        <w:t xml:space="preserve"> </w:t>
      </w:r>
      <w:r w:rsidRPr="00ED2B1F">
        <w:rPr>
          <w:spacing w:val="-3"/>
        </w:rPr>
        <w:t>careful</w:t>
      </w:r>
      <w:r w:rsidR="00D756E3" w:rsidRPr="00ED2B1F">
        <w:rPr>
          <w:spacing w:val="-3"/>
        </w:rPr>
        <w:t>ly</w:t>
      </w:r>
      <w:r w:rsidRPr="00ED2B1F">
        <w:rPr>
          <w:spacing w:val="-3"/>
        </w:rPr>
        <w:t xml:space="preserve"> monitor the use of compulsory care </w:t>
      </w:r>
      <w:r w:rsidR="006B546E" w:rsidRPr="00ED2B1F">
        <w:rPr>
          <w:spacing w:val="-3"/>
        </w:rPr>
        <w:t xml:space="preserve">under </w:t>
      </w:r>
      <w:r w:rsidR="00F61368" w:rsidRPr="00ED2B1F">
        <w:rPr>
          <w:spacing w:val="-3"/>
        </w:rPr>
        <w:t>the</w:t>
      </w:r>
      <w:r w:rsidR="00324B32" w:rsidRPr="00ED2B1F">
        <w:rPr>
          <w:spacing w:val="-3"/>
        </w:rPr>
        <w:t xml:space="preserve"> relevant</w:t>
      </w:r>
      <w:r w:rsidR="00F61368" w:rsidRPr="00ED2B1F">
        <w:rPr>
          <w:spacing w:val="-3"/>
        </w:rPr>
        <w:t xml:space="preserve"> legislation</w:t>
      </w:r>
      <w:r w:rsidR="00D756E3" w:rsidRPr="00ED2B1F">
        <w:rPr>
          <w:spacing w:val="-3"/>
        </w:rPr>
        <w:t xml:space="preserve">. It further </w:t>
      </w:r>
      <w:r w:rsidR="00B827F2" w:rsidRPr="00ED2B1F">
        <w:rPr>
          <w:spacing w:val="-3"/>
        </w:rPr>
        <w:t>draws attention</w:t>
      </w:r>
      <w:r w:rsidR="00D756E3" w:rsidRPr="00ED2B1F">
        <w:rPr>
          <w:spacing w:val="-3"/>
        </w:rPr>
        <w:t xml:space="preserve"> to</w:t>
      </w:r>
      <w:r w:rsidR="006B546E" w:rsidRPr="00ED2B1F">
        <w:rPr>
          <w:spacing w:val="-3"/>
        </w:rPr>
        <w:t xml:space="preserve"> </w:t>
      </w:r>
      <w:r w:rsidR="00F61368" w:rsidRPr="00ED2B1F">
        <w:rPr>
          <w:spacing w:val="-3"/>
        </w:rPr>
        <w:t>the</w:t>
      </w:r>
      <w:r w:rsidRPr="00ED2B1F">
        <w:rPr>
          <w:spacing w:val="-3"/>
        </w:rPr>
        <w:t xml:space="preserve"> </w:t>
      </w:r>
      <w:r w:rsidR="00F61368" w:rsidRPr="00ED2B1F">
        <w:rPr>
          <w:spacing w:val="-3"/>
        </w:rPr>
        <w:t xml:space="preserve">experiences </w:t>
      </w:r>
      <w:r w:rsidR="00182AD7" w:rsidRPr="00ED2B1F">
        <w:rPr>
          <w:spacing w:val="-3"/>
        </w:rPr>
        <w:t>of</w:t>
      </w:r>
      <w:r w:rsidRPr="00ED2B1F">
        <w:rPr>
          <w:spacing w:val="-3"/>
        </w:rPr>
        <w:t xml:space="preserve"> people </w:t>
      </w:r>
      <w:r w:rsidR="00182AD7" w:rsidRPr="00ED2B1F">
        <w:rPr>
          <w:spacing w:val="-3"/>
        </w:rPr>
        <w:t>receiving</w:t>
      </w:r>
      <w:r w:rsidR="006B546E" w:rsidRPr="00ED2B1F">
        <w:rPr>
          <w:spacing w:val="-3"/>
        </w:rPr>
        <w:t xml:space="preserve"> </w:t>
      </w:r>
      <w:r w:rsidR="00182AD7" w:rsidRPr="00ED2B1F">
        <w:rPr>
          <w:spacing w:val="-3"/>
        </w:rPr>
        <w:t>mental health, intellectual disability and addiction</w:t>
      </w:r>
      <w:r w:rsidRPr="00ED2B1F">
        <w:rPr>
          <w:spacing w:val="-3"/>
        </w:rPr>
        <w:t xml:space="preserve"> care </w:t>
      </w:r>
      <w:r w:rsidR="00343C47" w:rsidRPr="00ED2B1F">
        <w:rPr>
          <w:spacing w:val="-3"/>
        </w:rPr>
        <w:t xml:space="preserve">through </w:t>
      </w:r>
      <w:r w:rsidRPr="00ED2B1F">
        <w:rPr>
          <w:spacing w:val="-3"/>
        </w:rPr>
        <w:t>the state</w:t>
      </w:r>
      <w:r w:rsidR="00343C47" w:rsidRPr="00ED2B1F">
        <w:rPr>
          <w:spacing w:val="-3"/>
        </w:rPr>
        <w:t xml:space="preserve"> and the impact that care can have on them</w:t>
      </w:r>
      <w:r w:rsidR="00182AD7" w:rsidRPr="00ED2B1F">
        <w:rPr>
          <w:spacing w:val="-3"/>
        </w:rPr>
        <w:t>.</w:t>
      </w:r>
      <w:r w:rsidRPr="00ED2B1F">
        <w:rPr>
          <w:spacing w:val="-3"/>
        </w:rPr>
        <w:t xml:space="preserve"> </w:t>
      </w:r>
      <w:r w:rsidR="0070683D" w:rsidRPr="00ED2B1F">
        <w:rPr>
          <w:spacing w:val="-3"/>
        </w:rPr>
        <w:t>It is</w:t>
      </w:r>
      <w:r w:rsidR="00343C47" w:rsidRPr="00ED2B1F">
        <w:rPr>
          <w:spacing w:val="-3"/>
        </w:rPr>
        <w:t xml:space="preserve"> </w:t>
      </w:r>
      <w:r w:rsidR="0070683D" w:rsidRPr="00ED2B1F">
        <w:rPr>
          <w:spacing w:val="-3"/>
        </w:rPr>
        <w:t>fundamental</w:t>
      </w:r>
      <w:r w:rsidR="0037049E">
        <w:rPr>
          <w:spacing w:val="-3"/>
        </w:rPr>
        <w:t xml:space="preserve"> </w:t>
      </w:r>
      <w:r w:rsidR="0070683D" w:rsidRPr="00ED2B1F">
        <w:rPr>
          <w:spacing w:val="-3"/>
        </w:rPr>
        <w:t>that we ensure that what happened then never happens again to people in care.</w:t>
      </w:r>
    </w:p>
    <w:p w14:paraId="3C6D1DBE" w14:textId="77777777" w:rsidR="00753A1F" w:rsidRPr="00ED2B1F" w:rsidRDefault="00753A1F" w:rsidP="00535C2F">
      <w:pPr>
        <w:ind w:right="-180"/>
      </w:pPr>
    </w:p>
    <w:p w14:paraId="411AC995" w14:textId="4CF47EE2" w:rsidR="00753A1F" w:rsidRPr="00ED2B1F" w:rsidRDefault="003277D7" w:rsidP="00535C2F">
      <w:pPr>
        <w:ind w:right="-180"/>
        <w:rPr>
          <w:spacing w:val="-3"/>
        </w:rPr>
      </w:pPr>
      <w:r w:rsidRPr="00ED2B1F">
        <w:rPr>
          <w:spacing w:val="-3"/>
        </w:rPr>
        <w:lastRenderedPageBreak/>
        <w:t>Overall th</w:t>
      </w:r>
      <w:r w:rsidR="006667BE" w:rsidRPr="00ED2B1F">
        <w:rPr>
          <w:spacing w:val="-3"/>
        </w:rPr>
        <w:t xml:space="preserve">e data in </w:t>
      </w:r>
      <w:r w:rsidRPr="00ED2B1F">
        <w:rPr>
          <w:spacing w:val="-3"/>
        </w:rPr>
        <w:t>this</w:t>
      </w:r>
      <w:r w:rsidR="00753A1F" w:rsidRPr="00ED2B1F">
        <w:rPr>
          <w:spacing w:val="-3"/>
        </w:rPr>
        <w:t xml:space="preserve"> report show </w:t>
      </w:r>
      <w:r w:rsidR="007B5FF6">
        <w:rPr>
          <w:spacing w:val="-3"/>
        </w:rPr>
        <w:t xml:space="preserve">rates of </w:t>
      </w:r>
      <w:r w:rsidR="00753A1F" w:rsidRPr="00ED2B1F">
        <w:rPr>
          <w:spacing w:val="-3"/>
        </w:rPr>
        <w:t>use of compulsory assessment and treatment remain</w:t>
      </w:r>
      <w:r w:rsidR="006667BE" w:rsidRPr="00ED2B1F">
        <w:rPr>
          <w:spacing w:val="-3"/>
        </w:rPr>
        <w:t>ed</w:t>
      </w:r>
      <w:r w:rsidR="00753A1F" w:rsidRPr="00ED2B1F">
        <w:rPr>
          <w:spacing w:val="-3"/>
        </w:rPr>
        <w:t xml:space="preserve"> steady in </w:t>
      </w:r>
      <w:r w:rsidR="006667BE" w:rsidRPr="00ED2B1F">
        <w:rPr>
          <w:spacing w:val="-3"/>
        </w:rPr>
        <w:t>2023/24</w:t>
      </w:r>
      <w:r w:rsidR="00753A1F" w:rsidRPr="00ED2B1F">
        <w:rPr>
          <w:spacing w:val="-3"/>
        </w:rPr>
        <w:t xml:space="preserve">, </w:t>
      </w:r>
      <w:r w:rsidR="00E07F4C" w:rsidRPr="00E07F4C">
        <w:rPr>
          <w:spacing w:val="-3"/>
        </w:rPr>
        <w:t>compared</w:t>
      </w:r>
      <w:r w:rsidR="00753A1F" w:rsidRPr="00ED2B1F">
        <w:rPr>
          <w:spacing w:val="-3"/>
        </w:rPr>
        <w:t xml:space="preserve"> with </w:t>
      </w:r>
      <w:r w:rsidR="00BE3239">
        <w:rPr>
          <w:spacing w:val="-3"/>
        </w:rPr>
        <w:t>previous</w:t>
      </w:r>
      <w:r w:rsidR="00E07F4C" w:rsidRPr="00E07F4C">
        <w:rPr>
          <w:spacing w:val="-3"/>
        </w:rPr>
        <w:t xml:space="preserve"> years.</w:t>
      </w:r>
      <w:r w:rsidR="00753A1F" w:rsidRPr="00ED2B1F">
        <w:rPr>
          <w:spacing w:val="-3"/>
        </w:rPr>
        <w:t xml:space="preserve"> The </w:t>
      </w:r>
      <w:r w:rsidR="00272D8B" w:rsidRPr="00ED2B1F">
        <w:rPr>
          <w:spacing w:val="-3"/>
        </w:rPr>
        <w:t>total</w:t>
      </w:r>
      <w:r w:rsidR="00753A1F" w:rsidRPr="00ED2B1F">
        <w:rPr>
          <w:spacing w:val="-3"/>
        </w:rPr>
        <w:t xml:space="preserve"> number of people who have been secluded and the total hours people spend in seclusion have decreased</w:t>
      </w:r>
      <w:r w:rsidR="00182AD7" w:rsidRPr="00ED2B1F">
        <w:rPr>
          <w:spacing w:val="-3"/>
        </w:rPr>
        <w:t xml:space="preserve"> from 2022/23</w:t>
      </w:r>
      <w:r w:rsidR="00753A1F" w:rsidRPr="00ED2B1F">
        <w:rPr>
          <w:spacing w:val="-3"/>
        </w:rPr>
        <w:t xml:space="preserve">, which are positive trends. We remain committed to working with Health New Zealand and </w:t>
      </w:r>
      <w:r w:rsidR="00C126BD" w:rsidRPr="00ED2B1F">
        <w:rPr>
          <w:spacing w:val="-3"/>
        </w:rPr>
        <w:t xml:space="preserve">the </w:t>
      </w:r>
      <w:r w:rsidR="00753A1F" w:rsidRPr="00ED2B1F">
        <w:rPr>
          <w:spacing w:val="-3"/>
        </w:rPr>
        <w:t>Health Quality &amp; Safety Commission</w:t>
      </w:r>
      <w:r w:rsidR="0048625C" w:rsidRPr="00ED2B1F">
        <w:rPr>
          <w:spacing w:val="-3"/>
        </w:rPr>
        <w:t xml:space="preserve"> –</w:t>
      </w:r>
      <w:r w:rsidR="00753A1F" w:rsidRPr="00ED2B1F">
        <w:rPr>
          <w:spacing w:val="-3"/>
        </w:rPr>
        <w:t xml:space="preserve"> </w:t>
      </w:r>
      <w:r w:rsidR="0048625C" w:rsidRPr="00ED2B1F">
        <w:rPr>
          <w:spacing w:val="-3"/>
        </w:rPr>
        <w:t>Te Tāhū Hauora (Health Quality</w:t>
      </w:r>
      <w:r w:rsidR="001F3A8F" w:rsidRPr="00ED2B1F">
        <w:rPr>
          <w:spacing w:val="-3"/>
        </w:rPr>
        <w:t xml:space="preserve"> </w:t>
      </w:r>
      <w:r w:rsidR="0048625C" w:rsidRPr="00ED2B1F">
        <w:rPr>
          <w:spacing w:val="-3"/>
        </w:rPr>
        <w:t xml:space="preserve">&amp; Safety Commission) </w:t>
      </w:r>
      <w:r w:rsidR="00753A1F" w:rsidRPr="00ED2B1F">
        <w:rPr>
          <w:spacing w:val="-3"/>
        </w:rPr>
        <w:t xml:space="preserve">to reduce </w:t>
      </w:r>
      <w:r w:rsidR="006E2E95" w:rsidRPr="00ED2B1F">
        <w:rPr>
          <w:spacing w:val="-3"/>
        </w:rPr>
        <w:t xml:space="preserve">seclusion </w:t>
      </w:r>
      <w:r w:rsidR="006A3274" w:rsidRPr="00ED2B1F">
        <w:rPr>
          <w:spacing w:val="-3"/>
        </w:rPr>
        <w:t>over time</w:t>
      </w:r>
      <w:r w:rsidR="00753A1F" w:rsidRPr="00ED2B1F">
        <w:rPr>
          <w:spacing w:val="-3"/>
        </w:rPr>
        <w:t xml:space="preserve"> and </w:t>
      </w:r>
      <w:r w:rsidR="006A3274" w:rsidRPr="00ED2B1F">
        <w:rPr>
          <w:spacing w:val="-3"/>
        </w:rPr>
        <w:t>eventually</w:t>
      </w:r>
      <w:r w:rsidR="00753A1F" w:rsidRPr="00ED2B1F">
        <w:rPr>
          <w:spacing w:val="-3"/>
        </w:rPr>
        <w:t xml:space="preserve"> eliminate</w:t>
      </w:r>
      <w:r w:rsidR="006E2E95" w:rsidRPr="00ED2B1F">
        <w:rPr>
          <w:spacing w:val="-3"/>
        </w:rPr>
        <w:t xml:space="preserve"> it</w:t>
      </w:r>
      <w:r w:rsidR="00753A1F" w:rsidRPr="00ED2B1F">
        <w:rPr>
          <w:spacing w:val="-3"/>
        </w:rPr>
        <w:t xml:space="preserve">. In April 2023, my office published the </w:t>
      </w:r>
      <w:hyperlink r:id="rId20" w:history="1">
        <w:r w:rsidR="00753A1F" w:rsidRPr="00ED2B1F" w:rsidDel="00042C3F">
          <w:rPr>
            <w:rStyle w:val="Hyperlink"/>
            <w:spacing w:val="-3"/>
          </w:rPr>
          <w:t xml:space="preserve">Guidelines for </w:t>
        </w:r>
        <w:r w:rsidR="00753A1F" w:rsidRPr="00ED2B1F">
          <w:rPr>
            <w:rStyle w:val="Hyperlink"/>
            <w:spacing w:val="-3"/>
          </w:rPr>
          <w:t>Reducing and Eliminating Seclusion and Restraint under the Mental Health Act</w:t>
        </w:r>
      </w:hyperlink>
      <w:r w:rsidR="00753A1F" w:rsidRPr="00ED2B1F">
        <w:rPr>
          <w:spacing w:val="-3"/>
        </w:rPr>
        <w:t>.</w:t>
      </w:r>
      <w:r w:rsidR="00753A1F" w:rsidRPr="00AE0AD9">
        <w:rPr>
          <w:rStyle w:val="FootnoteReference"/>
        </w:rPr>
        <w:footnoteReference w:id="3"/>
      </w:r>
      <w:r w:rsidR="00753A1F" w:rsidRPr="00ED2B1F">
        <w:rPr>
          <w:spacing w:val="-3"/>
        </w:rPr>
        <w:t xml:space="preserve"> </w:t>
      </w:r>
    </w:p>
    <w:p w14:paraId="7F75FF5B" w14:textId="1F5FDFC1" w:rsidR="009D583E" w:rsidRPr="009D583E" w:rsidRDefault="009D583E" w:rsidP="009D583E">
      <w:pPr>
        <w:ind w:right="-180"/>
        <w:rPr>
          <w:sz w:val="17"/>
          <w:szCs w:val="16"/>
        </w:rPr>
      </w:pPr>
    </w:p>
    <w:p w14:paraId="08036913" w14:textId="2F9CC3D0" w:rsidR="00753A1F" w:rsidRPr="00ED2B1F" w:rsidRDefault="00753A1F" w:rsidP="00535C2F">
      <w:pPr>
        <w:ind w:right="-180"/>
      </w:pPr>
      <w:r w:rsidRPr="00ED2B1F">
        <w:t xml:space="preserve">Work has continued on repealing and replacing the current Mental Health Act, as recommended in </w:t>
      </w:r>
      <w:r w:rsidRPr="00ED2B1F">
        <w:rPr>
          <w:i/>
          <w:iCs/>
        </w:rPr>
        <w:t>He Ara Oranga: Report of the Government Inquiry into Mental Health and Addiction</w:t>
      </w:r>
      <w:r w:rsidRPr="00ED2B1F">
        <w:t>.</w:t>
      </w:r>
      <w:r w:rsidRPr="00ED2B1F">
        <w:rPr>
          <w:rStyle w:val="FootnoteReference"/>
        </w:rPr>
        <w:footnoteReference w:id="4"/>
      </w:r>
      <w:r w:rsidRPr="00ED2B1F">
        <w:t xml:space="preserve"> </w:t>
      </w:r>
      <w:r w:rsidR="004617C4" w:rsidRPr="00ED2B1F">
        <w:t>On 17</w:t>
      </w:r>
      <w:r w:rsidR="008C5F5E" w:rsidRPr="00ED2B1F">
        <w:t xml:space="preserve"> April 2025, the </w:t>
      </w:r>
      <w:r w:rsidRPr="00ED2B1F">
        <w:t xml:space="preserve">Health </w:t>
      </w:r>
      <w:r w:rsidR="008C5F5E" w:rsidRPr="00ED2B1F">
        <w:t>Committee reported back</w:t>
      </w:r>
      <w:r w:rsidRPr="00ED2B1F">
        <w:t xml:space="preserve"> to the House of Representatives </w:t>
      </w:r>
      <w:r w:rsidR="008C5F5E" w:rsidRPr="00ED2B1F">
        <w:t>on the Mental Health Bill.</w:t>
      </w:r>
      <w:r w:rsidR="00ED2813" w:rsidRPr="00ED2B1F">
        <w:rPr>
          <w:rStyle w:val="FootnoteReference"/>
        </w:rPr>
        <w:footnoteReference w:id="5"/>
      </w:r>
      <w:r w:rsidRPr="00ED2B1F">
        <w:t xml:space="preserve"> For updates on this work, see</w:t>
      </w:r>
      <w:r w:rsidRPr="00ED2B1F" w:rsidDel="00556205">
        <w:t xml:space="preserve"> </w:t>
      </w:r>
      <w:hyperlink r:id="rId21" w:history="1">
        <w:r w:rsidRPr="00ED2B1F">
          <w:rPr>
            <w:rStyle w:val="Hyperlink"/>
          </w:rPr>
          <w:t>Repealing and replacing the Mental Health Act</w:t>
        </w:r>
      </w:hyperlink>
      <w:r w:rsidRPr="00ED2B1F">
        <w:t xml:space="preserve"> on the Ministry’s website. My office continue</w:t>
      </w:r>
      <w:r w:rsidR="00182AD7" w:rsidRPr="00ED2B1F">
        <w:t>s</w:t>
      </w:r>
      <w:r w:rsidRPr="00ED2B1F">
        <w:t xml:space="preserve"> to be involved in develop</w:t>
      </w:r>
      <w:r w:rsidR="007740D4" w:rsidRPr="00ED2B1F">
        <w:t>ing</w:t>
      </w:r>
      <w:r w:rsidRPr="00ED2B1F">
        <w:t xml:space="preserve"> the Bill, and we are looking forward to supporting legislation that promotes a recovery and wellbeing approach to care.</w:t>
      </w:r>
    </w:p>
    <w:p w14:paraId="05E2BD72" w14:textId="77777777" w:rsidR="00753A1F" w:rsidRPr="00ED2B1F" w:rsidRDefault="00753A1F" w:rsidP="00535C2F">
      <w:pPr>
        <w:ind w:right="-180"/>
        <w:rPr>
          <w:sz w:val="17"/>
          <w:szCs w:val="16"/>
        </w:rPr>
      </w:pPr>
    </w:p>
    <w:p w14:paraId="668A7316" w14:textId="79742B7B" w:rsidR="00753A1F" w:rsidRPr="00ED2B1F" w:rsidRDefault="002B5A8A" w:rsidP="00535C2F">
      <w:pPr>
        <w:ind w:right="-180"/>
        <w:rPr>
          <w:i/>
          <w:iCs/>
        </w:rPr>
      </w:pPr>
      <w:r w:rsidRPr="00ED2B1F">
        <w:t xml:space="preserve">I </w:t>
      </w:r>
      <w:r w:rsidR="00753A1F" w:rsidRPr="00ED2B1F">
        <w:t xml:space="preserve">acknowledge that </w:t>
      </w:r>
      <w:r w:rsidR="00AE3A95" w:rsidRPr="00ED2B1F">
        <w:t xml:space="preserve">the release of </w:t>
      </w:r>
      <w:r w:rsidR="00753A1F" w:rsidRPr="00ED2B1F">
        <w:t>this report has been delayed</w:t>
      </w:r>
      <w:r w:rsidR="00F06034" w:rsidRPr="00ED2B1F">
        <w:t xml:space="preserve"> again</w:t>
      </w:r>
      <w:r w:rsidR="007740D4" w:rsidRPr="00ED2B1F">
        <w:t>, for two main</w:t>
      </w:r>
      <w:r w:rsidR="00A75635" w:rsidRPr="00ED2B1F">
        <w:t xml:space="preserve"> reasons</w:t>
      </w:r>
      <w:r w:rsidR="007740D4" w:rsidRPr="00ED2B1F">
        <w:t>.</w:t>
      </w:r>
      <w:r w:rsidR="008519D3" w:rsidRPr="00ED2B1F">
        <w:t xml:space="preserve"> First, the data is complex</w:t>
      </w:r>
      <w:r w:rsidR="007740D4" w:rsidRPr="00ED2B1F">
        <w:t>.</w:t>
      </w:r>
      <w:r w:rsidR="008519D3" w:rsidRPr="00ED2B1F">
        <w:t xml:space="preserve"> </w:t>
      </w:r>
      <w:r w:rsidR="007740D4" w:rsidRPr="00ED2B1F">
        <w:t>S</w:t>
      </w:r>
      <w:r w:rsidR="008519D3" w:rsidRPr="00ED2B1F">
        <w:t xml:space="preserve">econd, </w:t>
      </w:r>
      <w:r w:rsidR="00AD235D" w:rsidRPr="00AD235D">
        <w:t>some regulatory</w:t>
      </w:r>
      <w:r w:rsidR="008519D3" w:rsidRPr="00ED2B1F">
        <w:t xml:space="preserve"> data </w:t>
      </w:r>
      <w:r w:rsidR="00AD235D" w:rsidRPr="00AD235D">
        <w:t xml:space="preserve">are still reported to </w:t>
      </w:r>
      <w:r w:rsidR="008519D3" w:rsidRPr="00ED2B1F">
        <w:t xml:space="preserve">the </w:t>
      </w:r>
      <w:r w:rsidR="00AD235D" w:rsidRPr="00AD235D">
        <w:t xml:space="preserve">Ministry via manual processes, which creates further time lag for receipt and quality assurance processes. </w:t>
      </w:r>
      <w:r w:rsidR="00AD235D">
        <w:t>I</w:t>
      </w:r>
      <w:r w:rsidR="00AD235D" w:rsidRPr="00AD235D">
        <w:t xml:space="preserve"> continue to encourage services to follow the </w:t>
      </w:r>
      <w:r w:rsidR="008519D3" w:rsidRPr="00ED2B1F">
        <w:t>Programme for the Integration of Mental Health Data (PRIMHD</w:t>
      </w:r>
      <w:r w:rsidR="00AD235D" w:rsidRPr="00AD235D">
        <w:t>)</w:t>
      </w:r>
      <w:r w:rsidR="00753A1F" w:rsidRPr="00ED2B1F">
        <w:t xml:space="preserve"> standards so data </w:t>
      </w:r>
      <w:r w:rsidR="00167509" w:rsidRPr="00ED2B1F">
        <w:t>is more consistent and</w:t>
      </w:r>
      <w:r w:rsidR="00753A1F" w:rsidRPr="00ED2B1F">
        <w:t xml:space="preserve"> can be used to better inform services and practice</w:t>
      </w:r>
      <w:r w:rsidR="007F3CD4" w:rsidRPr="00ED2B1F">
        <w:t>.</w:t>
      </w:r>
    </w:p>
    <w:p w14:paraId="686E076E" w14:textId="77777777" w:rsidR="00753A1F" w:rsidRPr="00ED2B1F" w:rsidRDefault="00753A1F" w:rsidP="00535C2F">
      <w:pPr>
        <w:ind w:right="-180"/>
        <w:rPr>
          <w:sz w:val="17"/>
          <w:szCs w:val="16"/>
        </w:rPr>
      </w:pPr>
    </w:p>
    <w:p w14:paraId="2BCFAEC5" w14:textId="3F45A51E" w:rsidR="005D25EF" w:rsidRPr="00ED2B1F" w:rsidRDefault="00753A1F" w:rsidP="00535C2F">
      <w:pPr>
        <w:ind w:right="-180"/>
      </w:pPr>
      <w:r w:rsidRPr="00ED2B1F">
        <w:t xml:space="preserve">To get a full picture of mental health and addiction services in New Zealand, including service use outside of compulsory legislation, I recommend you read this report </w:t>
      </w:r>
      <w:r w:rsidR="00E67FD3" w:rsidRPr="00ED2B1F">
        <w:t>together</w:t>
      </w:r>
      <w:r w:rsidRPr="00ED2B1F">
        <w:t xml:space="preserve"> with updates on the Health New Zealand website, in particular the </w:t>
      </w:r>
      <w:hyperlink r:id="rId22">
        <w:r w:rsidRPr="00ED2B1F">
          <w:rPr>
            <w:rStyle w:val="Hyperlink"/>
          </w:rPr>
          <w:t>Mental health and addiction monitoring, reporting and data</w:t>
        </w:r>
      </w:hyperlink>
      <w:r w:rsidRPr="00ED2B1F">
        <w:t xml:space="preserve"> page. The </w:t>
      </w:r>
      <w:hyperlink r:id="rId23">
        <w:r w:rsidRPr="00ED2B1F">
          <w:rPr>
            <w:rStyle w:val="Hyperlink"/>
          </w:rPr>
          <w:t>Ministry of Health’s Annual Report</w:t>
        </w:r>
      </w:hyperlink>
      <w:r w:rsidRPr="00ED2B1F">
        <w:t xml:space="preserve"> includes information on the use of the Substance Addiction Act, and Te Hiringa Mahara – Mental Health and Wellbeing Commission publishes monitoring reports on the mental health and addiction system, available on its </w:t>
      </w:r>
      <w:hyperlink r:id="rId24">
        <w:r w:rsidRPr="00ED2B1F">
          <w:rPr>
            <w:rStyle w:val="Hyperlink"/>
          </w:rPr>
          <w:t>website</w:t>
        </w:r>
      </w:hyperlink>
      <w:r w:rsidRPr="00ED2B1F">
        <w:t xml:space="preserve">. </w:t>
      </w:r>
    </w:p>
    <w:p w14:paraId="73FDDF51" w14:textId="77777777" w:rsidR="005D25EF" w:rsidRPr="00ED2B1F" w:rsidRDefault="005D25EF" w:rsidP="00535C2F">
      <w:pPr>
        <w:ind w:right="-180"/>
        <w:rPr>
          <w:sz w:val="17"/>
          <w:szCs w:val="16"/>
        </w:rPr>
      </w:pPr>
    </w:p>
    <w:p w14:paraId="38A169FC" w14:textId="0E41238F" w:rsidR="00753A1F" w:rsidRPr="00ED2B1F" w:rsidRDefault="00753A1F" w:rsidP="00535C2F">
      <w:pPr>
        <w:ind w:right="-180"/>
      </w:pPr>
      <w:r w:rsidRPr="00ED2B1F">
        <w:t>My office has close working relationships with Health New Zealand</w:t>
      </w:r>
      <w:r w:rsidR="003E54CC" w:rsidRPr="00ED2B1F">
        <w:t xml:space="preserve"> and</w:t>
      </w:r>
      <w:r w:rsidRPr="00ED2B1F">
        <w:t xml:space="preserve"> the Ministry of Social Development to ensure tāngata whaiora (people seeking health) and tāngata whaikaha (people with disabilities)</w:t>
      </w:r>
      <w:r w:rsidRPr="00ED2B1F" w:rsidDel="00F32941">
        <w:t xml:space="preserve"> </w:t>
      </w:r>
      <w:r w:rsidRPr="00ED2B1F">
        <w:t>receiv</w:t>
      </w:r>
      <w:r w:rsidR="006C053F" w:rsidRPr="00ED2B1F">
        <w:t>e</w:t>
      </w:r>
      <w:r w:rsidRPr="00ED2B1F">
        <w:t xml:space="preserve"> a consistent level of high-quality care. While this report highlights areas where the sector has made improvements, sustained focus and efforts </w:t>
      </w:r>
      <w:r w:rsidR="006C053F" w:rsidRPr="00ED2B1F">
        <w:t>on improving</w:t>
      </w:r>
      <w:r w:rsidRPr="00ED2B1F">
        <w:t xml:space="preserve"> the experiences of tāngata whaiora, tāngata whaikaha and their whānau</w:t>
      </w:r>
      <w:r w:rsidR="006C053F" w:rsidRPr="00ED2B1F">
        <w:t xml:space="preserve"> need to</w:t>
      </w:r>
      <w:r w:rsidRPr="00ED2B1F">
        <w:t xml:space="preserve"> continue. </w:t>
      </w:r>
    </w:p>
    <w:p w14:paraId="236BAFE1" w14:textId="77777777" w:rsidR="00753A1F" w:rsidRPr="00ED2B1F" w:rsidRDefault="00753A1F" w:rsidP="00753A1F">
      <w:pPr>
        <w:rPr>
          <w:sz w:val="17"/>
          <w:szCs w:val="16"/>
        </w:rPr>
      </w:pPr>
    </w:p>
    <w:p w14:paraId="668610FF" w14:textId="55295406" w:rsidR="00431BDE" w:rsidRPr="00ED2B1F" w:rsidRDefault="00753A1F" w:rsidP="00753A1F">
      <w:r w:rsidRPr="00ED2B1F">
        <w:t>Noho ora mai</w:t>
      </w:r>
    </w:p>
    <w:p w14:paraId="006CA93E" w14:textId="77777777" w:rsidR="001E4834" w:rsidRDefault="001E4834" w:rsidP="00753A1F"/>
    <w:p w14:paraId="641CFD99" w14:textId="77777777" w:rsidR="00753A1F" w:rsidRPr="00ED2B1F" w:rsidRDefault="00753A1F" w:rsidP="00753A1F">
      <w:r w:rsidRPr="00ED2B1F">
        <w:t>Dr John Crawshaw</w:t>
      </w:r>
    </w:p>
    <w:p w14:paraId="4739CA1F" w14:textId="77777777" w:rsidR="00753A1F" w:rsidRPr="00ED2B1F" w:rsidRDefault="00753A1F" w:rsidP="00753A1F">
      <w:r w:rsidRPr="00ED2B1F">
        <w:t>Director of Mental Health and Addiction</w:t>
      </w:r>
    </w:p>
    <w:p w14:paraId="648D4F84" w14:textId="77777777" w:rsidR="00C86248" w:rsidRPr="00ED2B1F" w:rsidRDefault="00C86248" w:rsidP="00025A6F">
      <w:pPr>
        <w:pStyle w:val="IntroHead"/>
      </w:pPr>
      <w:r w:rsidRPr="00ED2B1F">
        <w:lastRenderedPageBreak/>
        <w:t>Contents</w:t>
      </w:r>
      <w:bookmarkEnd w:id="1"/>
      <w:bookmarkEnd w:id="2"/>
    </w:p>
    <w:p w14:paraId="33B5DEBD" w14:textId="26CC64DD" w:rsidR="00B05CA9" w:rsidRDefault="00AE3F06">
      <w:pPr>
        <w:pStyle w:val="TOC1"/>
        <w:rPr>
          <w:rFonts w:asciiTheme="minorHAnsi" w:eastAsiaTheme="minorEastAsia" w:hAnsiTheme="minorHAnsi" w:cstheme="minorBidi"/>
          <w:noProof/>
          <w:kern w:val="2"/>
          <w:szCs w:val="24"/>
          <w:lang w:val="en-AU" w:eastAsia="en-AU"/>
          <w14:ligatures w14:val="standardContextual"/>
        </w:rPr>
      </w:pPr>
      <w:r w:rsidRPr="00ED2B1F">
        <w:rPr>
          <w:b/>
        </w:rPr>
        <w:fldChar w:fldCharType="begin"/>
      </w:r>
      <w:r w:rsidRPr="00ED2B1F">
        <w:rPr>
          <w:b/>
        </w:rPr>
        <w:instrText xml:space="preserve"> TOC \o "1-2" \h \z </w:instrText>
      </w:r>
      <w:r w:rsidRPr="00ED2B1F">
        <w:rPr>
          <w:b/>
        </w:rPr>
        <w:fldChar w:fldCharType="separate"/>
      </w:r>
      <w:hyperlink w:anchor="_Toc224638084" w:history="1">
        <w:r w:rsidR="00B05CA9" w:rsidRPr="00C627C0">
          <w:rPr>
            <w:rStyle w:val="Hyperlink"/>
            <w:noProof/>
          </w:rPr>
          <w:t>Foreword</w:t>
        </w:r>
        <w:r w:rsidR="00B05CA9">
          <w:rPr>
            <w:noProof/>
            <w:webHidden/>
          </w:rPr>
          <w:tab/>
        </w:r>
        <w:r w:rsidR="00B05CA9">
          <w:rPr>
            <w:noProof/>
            <w:webHidden/>
          </w:rPr>
          <w:fldChar w:fldCharType="begin"/>
        </w:r>
        <w:r w:rsidR="00B05CA9">
          <w:rPr>
            <w:noProof/>
            <w:webHidden/>
          </w:rPr>
          <w:instrText xml:space="preserve"> PAGEREF _Toc224638084 \h </w:instrText>
        </w:r>
        <w:r w:rsidR="00B05CA9">
          <w:rPr>
            <w:noProof/>
            <w:webHidden/>
          </w:rPr>
        </w:r>
        <w:r w:rsidR="00B05CA9">
          <w:rPr>
            <w:noProof/>
            <w:webHidden/>
          </w:rPr>
          <w:fldChar w:fldCharType="separate"/>
        </w:r>
        <w:r w:rsidR="00484E57">
          <w:rPr>
            <w:noProof/>
            <w:webHidden/>
          </w:rPr>
          <w:t>iii</w:t>
        </w:r>
        <w:r w:rsidR="00B05CA9">
          <w:rPr>
            <w:noProof/>
            <w:webHidden/>
          </w:rPr>
          <w:fldChar w:fldCharType="end"/>
        </w:r>
      </w:hyperlink>
    </w:p>
    <w:p w14:paraId="632EB799" w14:textId="7DAA5811"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085" w:history="1">
        <w:r w:rsidRPr="00C627C0">
          <w:rPr>
            <w:rStyle w:val="Hyperlink"/>
            <w:noProof/>
          </w:rPr>
          <w:t>Context</w:t>
        </w:r>
        <w:r>
          <w:rPr>
            <w:noProof/>
            <w:webHidden/>
          </w:rPr>
          <w:tab/>
        </w:r>
        <w:r>
          <w:rPr>
            <w:noProof/>
            <w:webHidden/>
          </w:rPr>
          <w:fldChar w:fldCharType="begin"/>
        </w:r>
        <w:r>
          <w:rPr>
            <w:noProof/>
            <w:webHidden/>
          </w:rPr>
          <w:instrText xml:space="preserve"> PAGEREF _Toc224638085 \h </w:instrText>
        </w:r>
        <w:r>
          <w:rPr>
            <w:noProof/>
            <w:webHidden/>
          </w:rPr>
        </w:r>
        <w:r>
          <w:rPr>
            <w:noProof/>
            <w:webHidden/>
          </w:rPr>
          <w:fldChar w:fldCharType="separate"/>
        </w:r>
        <w:r w:rsidR="00484E57">
          <w:rPr>
            <w:noProof/>
            <w:webHidden/>
          </w:rPr>
          <w:t>1</w:t>
        </w:r>
        <w:r>
          <w:rPr>
            <w:noProof/>
            <w:webHidden/>
          </w:rPr>
          <w:fldChar w:fldCharType="end"/>
        </w:r>
      </w:hyperlink>
    </w:p>
    <w:p w14:paraId="1246589A" w14:textId="564E5764"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086" w:history="1">
        <w:r w:rsidRPr="00C627C0">
          <w:rPr>
            <w:rStyle w:val="Hyperlink"/>
            <w:noProof/>
          </w:rPr>
          <w:t>The Mental Health Act process</w:t>
        </w:r>
        <w:r>
          <w:rPr>
            <w:noProof/>
            <w:webHidden/>
          </w:rPr>
          <w:tab/>
        </w:r>
        <w:r>
          <w:rPr>
            <w:noProof/>
            <w:webHidden/>
          </w:rPr>
          <w:fldChar w:fldCharType="begin"/>
        </w:r>
        <w:r>
          <w:rPr>
            <w:noProof/>
            <w:webHidden/>
          </w:rPr>
          <w:instrText xml:space="preserve"> PAGEREF _Toc224638086 \h </w:instrText>
        </w:r>
        <w:r>
          <w:rPr>
            <w:noProof/>
            <w:webHidden/>
          </w:rPr>
        </w:r>
        <w:r>
          <w:rPr>
            <w:noProof/>
            <w:webHidden/>
          </w:rPr>
          <w:fldChar w:fldCharType="separate"/>
        </w:r>
        <w:r w:rsidR="00484E57">
          <w:rPr>
            <w:noProof/>
            <w:webHidden/>
          </w:rPr>
          <w:t>2</w:t>
        </w:r>
        <w:r>
          <w:rPr>
            <w:noProof/>
            <w:webHidden/>
          </w:rPr>
          <w:fldChar w:fldCharType="end"/>
        </w:r>
      </w:hyperlink>
    </w:p>
    <w:p w14:paraId="2FC1D4A1" w14:textId="1CADC262"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87" w:history="1">
        <w:r w:rsidRPr="00C627C0">
          <w:rPr>
            <w:rStyle w:val="Hyperlink"/>
            <w:noProof/>
          </w:rPr>
          <w:t>Court applications in 2023/24</w:t>
        </w:r>
        <w:r>
          <w:rPr>
            <w:noProof/>
            <w:webHidden/>
          </w:rPr>
          <w:tab/>
        </w:r>
        <w:r>
          <w:rPr>
            <w:noProof/>
            <w:webHidden/>
          </w:rPr>
          <w:fldChar w:fldCharType="begin"/>
        </w:r>
        <w:r>
          <w:rPr>
            <w:noProof/>
            <w:webHidden/>
          </w:rPr>
          <w:instrText xml:space="preserve"> PAGEREF _Toc224638087 \h </w:instrText>
        </w:r>
        <w:r>
          <w:rPr>
            <w:noProof/>
            <w:webHidden/>
          </w:rPr>
        </w:r>
        <w:r>
          <w:rPr>
            <w:noProof/>
            <w:webHidden/>
          </w:rPr>
          <w:fldChar w:fldCharType="separate"/>
        </w:r>
        <w:r w:rsidR="00484E57">
          <w:rPr>
            <w:noProof/>
            <w:webHidden/>
          </w:rPr>
          <w:t>2</w:t>
        </w:r>
        <w:r>
          <w:rPr>
            <w:noProof/>
            <w:webHidden/>
          </w:rPr>
          <w:fldChar w:fldCharType="end"/>
        </w:r>
      </w:hyperlink>
    </w:p>
    <w:p w14:paraId="3A06DF4F" w14:textId="1444416D"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88" w:history="1">
        <w:r w:rsidRPr="00C627C0">
          <w:rPr>
            <w:rStyle w:val="Hyperlink"/>
            <w:noProof/>
          </w:rPr>
          <w:t>Compulsory assessment and treatment in 2023/24</w:t>
        </w:r>
        <w:r>
          <w:rPr>
            <w:noProof/>
            <w:webHidden/>
          </w:rPr>
          <w:tab/>
        </w:r>
        <w:r>
          <w:rPr>
            <w:noProof/>
            <w:webHidden/>
          </w:rPr>
          <w:fldChar w:fldCharType="begin"/>
        </w:r>
        <w:r>
          <w:rPr>
            <w:noProof/>
            <w:webHidden/>
          </w:rPr>
          <w:instrText xml:space="preserve"> PAGEREF _Toc224638088 \h </w:instrText>
        </w:r>
        <w:r>
          <w:rPr>
            <w:noProof/>
            <w:webHidden/>
          </w:rPr>
        </w:r>
        <w:r>
          <w:rPr>
            <w:noProof/>
            <w:webHidden/>
          </w:rPr>
          <w:fldChar w:fldCharType="separate"/>
        </w:r>
        <w:r w:rsidR="00484E57">
          <w:rPr>
            <w:noProof/>
            <w:webHidden/>
          </w:rPr>
          <w:t>2</w:t>
        </w:r>
        <w:r>
          <w:rPr>
            <w:noProof/>
            <w:webHidden/>
          </w:rPr>
          <w:fldChar w:fldCharType="end"/>
        </w:r>
      </w:hyperlink>
    </w:p>
    <w:p w14:paraId="34B1A3BB" w14:textId="10C8159A"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89" w:history="1">
        <w:r w:rsidRPr="00C627C0">
          <w:rPr>
            <w:rStyle w:val="Hyperlink"/>
            <w:noProof/>
          </w:rPr>
          <w:t>Comparing compulsory assessment and treatment among districts</w:t>
        </w:r>
        <w:r>
          <w:rPr>
            <w:noProof/>
            <w:webHidden/>
          </w:rPr>
          <w:tab/>
        </w:r>
        <w:r>
          <w:rPr>
            <w:noProof/>
            <w:webHidden/>
          </w:rPr>
          <w:fldChar w:fldCharType="begin"/>
        </w:r>
        <w:r>
          <w:rPr>
            <w:noProof/>
            <w:webHidden/>
          </w:rPr>
          <w:instrText xml:space="preserve"> PAGEREF _Toc224638089 \h </w:instrText>
        </w:r>
        <w:r>
          <w:rPr>
            <w:noProof/>
            <w:webHidden/>
          </w:rPr>
        </w:r>
        <w:r>
          <w:rPr>
            <w:noProof/>
            <w:webHidden/>
          </w:rPr>
          <w:fldChar w:fldCharType="separate"/>
        </w:r>
        <w:r w:rsidR="00484E57">
          <w:rPr>
            <w:noProof/>
            <w:webHidden/>
          </w:rPr>
          <w:t>5</w:t>
        </w:r>
        <w:r>
          <w:rPr>
            <w:noProof/>
            <w:webHidden/>
          </w:rPr>
          <w:fldChar w:fldCharType="end"/>
        </w:r>
      </w:hyperlink>
    </w:p>
    <w:p w14:paraId="1DE30218" w14:textId="593986A2"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090" w:history="1">
        <w:r w:rsidRPr="00C627C0">
          <w:rPr>
            <w:rStyle w:val="Hyperlink"/>
            <w:noProof/>
          </w:rPr>
          <w:t>Use of the Mental Health Act</w:t>
        </w:r>
        <w:r>
          <w:rPr>
            <w:noProof/>
            <w:webHidden/>
          </w:rPr>
          <w:tab/>
        </w:r>
        <w:r>
          <w:rPr>
            <w:noProof/>
            <w:webHidden/>
          </w:rPr>
          <w:fldChar w:fldCharType="begin"/>
        </w:r>
        <w:r>
          <w:rPr>
            <w:noProof/>
            <w:webHidden/>
          </w:rPr>
          <w:instrText xml:space="preserve"> PAGEREF _Toc224638090 \h </w:instrText>
        </w:r>
        <w:r>
          <w:rPr>
            <w:noProof/>
            <w:webHidden/>
          </w:rPr>
        </w:r>
        <w:r>
          <w:rPr>
            <w:noProof/>
            <w:webHidden/>
          </w:rPr>
          <w:fldChar w:fldCharType="separate"/>
        </w:r>
        <w:r w:rsidR="00484E57">
          <w:rPr>
            <w:noProof/>
            <w:webHidden/>
          </w:rPr>
          <w:t>9</w:t>
        </w:r>
        <w:r>
          <w:rPr>
            <w:noProof/>
            <w:webHidden/>
          </w:rPr>
          <w:fldChar w:fldCharType="end"/>
        </w:r>
      </w:hyperlink>
    </w:p>
    <w:p w14:paraId="28D41F4C" w14:textId="7D7BAB70"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1" w:history="1">
        <w:r w:rsidRPr="00C627C0">
          <w:rPr>
            <w:rStyle w:val="Hyperlink"/>
            <w:noProof/>
          </w:rPr>
          <w:t>Compulsory assessment</w:t>
        </w:r>
        <w:r>
          <w:rPr>
            <w:noProof/>
            <w:webHidden/>
          </w:rPr>
          <w:tab/>
        </w:r>
        <w:r>
          <w:rPr>
            <w:noProof/>
            <w:webHidden/>
          </w:rPr>
          <w:fldChar w:fldCharType="begin"/>
        </w:r>
        <w:r>
          <w:rPr>
            <w:noProof/>
            <w:webHidden/>
          </w:rPr>
          <w:instrText xml:space="preserve"> PAGEREF _Toc224638091 \h </w:instrText>
        </w:r>
        <w:r>
          <w:rPr>
            <w:noProof/>
            <w:webHidden/>
          </w:rPr>
        </w:r>
        <w:r>
          <w:rPr>
            <w:noProof/>
            <w:webHidden/>
          </w:rPr>
          <w:fldChar w:fldCharType="separate"/>
        </w:r>
        <w:r w:rsidR="00484E57">
          <w:rPr>
            <w:noProof/>
            <w:webHidden/>
          </w:rPr>
          <w:t>10</w:t>
        </w:r>
        <w:r>
          <w:rPr>
            <w:noProof/>
            <w:webHidden/>
          </w:rPr>
          <w:fldChar w:fldCharType="end"/>
        </w:r>
      </w:hyperlink>
    </w:p>
    <w:p w14:paraId="6CC17282" w14:textId="4ACC3332"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2" w:history="1">
        <w:r w:rsidRPr="00C627C0">
          <w:rPr>
            <w:rStyle w:val="Hyperlink"/>
            <w:noProof/>
          </w:rPr>
          <w:t>Compulsory treatment orders</w:t>
        </w:r>
        <w:r>
          <w:rPr>
            <w:noProof/>
            <w:webHidden/>
          </w:rPr>
          <w:tab/>
        </w:r>
        <w:r>
          <w:rPr>
            <w:noProof/>
            <w:webHidden/>
          </w:rPr>
          <w:fldChar w:fldCharType="begin"/>
        </w:r>
        <w:r>
          <w:rPr>
            <w:noProof/>
            <w:webHidden/>
          </w:rPr>
          <w:instrText xml:space="preserve"> PAGEREF _Toc224638092 \h </w:instrText>
        </w:r>
        <w:r>
          <w:rPr>
            <w:noProof/>
            <w:webHidden/>
          </w:rPr>
        </w:r>
        <w:r>
          <w:rPr>
            <w:noProof/>
            <w:webHidden/>
          </w:rPr>
          <w:fldChar w:fldCharType="separate"/>
        </w:r>
        <w:r w:rsidR="00484E57">
          <w:rPr>
            <w:noProof/>
            <w:webHidden/>
          </w:rPr>
          <w:t>10</w:t>
        </w:r>
        <w:r>
          <w:rPr>
            <w:noProof/>
            <w:webHidden/>
          </w:rPr>
          <w:fldChar w:fldCharType="end"/>
        </w:r>
      </w:hyperlink>
    </w:p>
    <w:p w14:paraId="5452E581" w14:textId="003112E4"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3" w:history="1">
        <w:r w:rsidRPr="00C627C0">
          <w:rPr>
            <w:rStyle w:val="Hyperlink"/>
            <w:noProof/>
          </w:rPr>
          <w:t>Length of time people are subject to compulsory treatment orders</w:t>
        </w:r>
        <w:r>
          <w:rPr>
            <w:noProof/>
            <w:webHidden/>
          </w:rPr>
          <w:tab/>
        </w:r>
        <w:r>
          <w:rPr>
            <w:noProof/>
            <w:webHidden/>
          </w:rPr>
          <w:fldChar w:fldCharType="begin"/>
        </w:r>
        <w:r>
          <w:rPr>
            <w:noProof/>
            <w:webHidden/>
          </w:rPr>
          <w:instrText xml:space="preserve"> PAGEREF _Toc224638093 \h </w:instrText>
        </w:r>
        <w:r>
          <w:rPr>
            <w:noProof/>
            <w:webHidden/>
          </w:rPr>
        </w:r>
        <w:r>
          <w:rPr>
            <w:noProof/>
            <w:webHidden/>
          </w:rPr>
          <w:fldChar w:fldCharType="separate"/>
        </w:r>
        <w:r w:rsidR="00484E57">
          <w:rPr>
            <w:noProof/>
            <w:webHidden/>
          </w:rPr>
          <w:t>14</w:t>
        </w:r>
        <w:r>
          <w:rPr>
            <w:noProof/>
            <w:webHidden/>
          </w:rPr>
          <w:fldChar w:fldCharType="end"/>
        </w:r>
      </w:hyperlink>
    </w:p>
    <w:p w14:paraId="0B3B5E82" w14:textId="40291B65"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4" w:history="1">
        <w:r w:rsidRPr="00C627C0">
          <w:rPr>
            <w:rStyle w:val="Hyperlink"/>
            <w:noProof/>
          </w:rPr>
          <w:t>Family and whānau consultation under the Mental Health Act</w:t>
        </w:r>
        <w:r>
          <w:rPr>
            <w:noProof/>
            <w:webHidden/>
          </w:rPr>
          <w:tab/>
        </w:r>
        <w:r>
          <w:rPr>
            <w:noProof/>
            <w:webHidden/>
          </w:rPr>
          <w:fldChar w:fldCharType="begin"/>
        </w:r>
        <w:r>
          <w:rPr>
            <w:noProof/>
            <w:webHidden/>
          </w:rPr>
          <w:instrText xml:space="preserve"> PAGEREF _Toc224638094 \h </w:instrText>
        </w:r>
        <w:r>
          <w:rPr>
            <w:noProof/>
            <w:webHidden/>
          </w:rPr>
        </w:r>
        <w:r>
          <w:rPr>
            <w:noProof/>
            <w:webHidden/>
          </w:rPr>
          <w:fldChar w:fldCharType="separate"/>
        </w:r>
        <w:r w:rsidR="00484E57">
          <w:rPr>
            <w:noProof/>
            <w:webHidden/>
          </w:rPr>
          <w:t>15</w:t>
        </w:r>
        <w:r>
          <w:rPr>
            <w:noProof/>
            <w:webHidden/>
          </w:rPr>
          <w:fldChar w:fldCharType="end"/>
        </w:r>
      </w:hyperlink>
    </w:p>
    <w:p w14:paraId="7FA55021" w14:textId="7B366313"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095" w:history="1">
        <w:r w:rsidRPr="00C627C0">
          <w:rPr>
            <w:rStyle w:val="Hyperlink"/>
            <w:noProof/>
          </w:rPr>
          <w:t>Seclusion</w:t>
        </w:r>
        <w:r>
          <w:rPr>
            <w:noProof/>
            <w:webHidden/>
          </w:rPr>
          <w:tab/>
        </w:r>
        <w:r>
          <w:rPr>
            <w:noProof/>
            <w:webHidden/>
          </w:rPr>
          <w:fldChar w:fldCharType="begin"/>
        </w:r>
        <w:r>
          <w:rPr>
            <w:noProof/>
            <w:webHidden/>
          </w:rPr>
          <w:instrText xml:space="preserve"> PAGEREF _Toc224638095 \h </w:instrText>
        </w:r>
        <w:r>
          <w:rPr>
            <w:noProof/>
            <w:webHidden/>
          </w:rPr>
        </w:r>
        <w:r>
          <w:rPr>
            <w:noProof/>
            <w:webHidden/>
          </w:rPr>
          <w:fldChar w:fldCharType="separate"/>
        </w:r>
        <w:r w:rsidR="00484E57">
          <w:rPr>
            <w:noProof/>
            <w:webHidden/>
          </w:rPr>
          <w:t>18</w:t>
        </w:r>
        <w:r>
          <w:rPr>
            <w:noProof/>
            <w:webHidden/>
          </w:rPr>
          <w:fldChar w:fldCharType="end"/>
        </w:r>
      </w:hyperlink>
    </w:p>
    <w:p w14:paraId="03FFF6F5" w14:textId="091BCCDB"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6" w:history="1">
        <w:r w:rsidRPr="00C627C0">
          <w:rPr>
            <w:rStyle w:val="Hyperlink"/>
            <w:noProof/>
          </w:rPr>
          <w:t>Seclusion in New Zealand mental health services</w:t>
        </w:r>
        <w:r>
          <w:rPr>
            <w:noProof/>
            <w:webHidden/>
          </w:rPr>
          <w:tab/>
        </w:r>
        <w:r>
          <w:rPr>
            <w:noProof/>
            <w:webHidden/>
          </w:rPr>
          <w:fldChar w:fldCharType="begin"/>
        </w:r>
        <w:r>
          <w:rPr>
            <w:noProof/>
            <w:webHidden/>
          </w:rPr>
          <w:instrText xml:space="preserve"> PAGEREF _Toc224638096 \h </w:instrText>
        </w:r>
        <w:r>
          <w:rPr>
            <w:noProof/>
            <w:webHidden/>
          </w:rPr>
        </w:r>
        <w:r>
          <w:rPr>
            <w:noProof/>
            <w:webHidden/>
          </w:rPr>
          <w:fldChar w:fldCharType="separate"/>
        </w:r>
        <w:r w:rsidR="00484E57">
          <w:rPr>
            <w:noProof/>
            <w:webHidden/>
          </w:rPr>
          <w:t>20</w:t>
        </w:r>
        <w:r>
          <w:rPr>
            <w:noProof/>
            <w:webHidden/>
          </w:rPr>
          <w:fldChar w:fldCharType="end"/>
        </w:r>
      </w:hyperlink>
    </w:p>
    <w:p w14:paraId="0DB1B6F3" w14:textId="1DBBDCD2"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7" w:history="1">
        <w:r w:rsidRPr="00C627C0">
          <w:rPr>
            <w:rStyle w:val="Hyperlink"/>
            <w:noProof/>
          </w:rPr>
          <w:t>Use of seclusion by district</w:t>
        </w:r>
        <w:r>
          <w:rPr>
            <w:noProof/>
            <w:webHidden/>
          </w:rPr>
          <w:tab/>
        </w:r>
        <w:r>
          <w:rPr>
            <w:noProof/>
            <w:webHidden/>
          </w:rPr>
          <w:fldChar w:fldCharType="begin"/>
        </w:r>
        <w:r>
          <w:rPr>
            <w:noProof/>
            <w:webHidden/>
          </w:rPr>
          <w:instrText xml:space="preserve"> PAGEREF _Toc224638097 \h </w:instrText>
        </w:r>
        <w:r>
          <w:rPr>
            <w:noProof/>
            <w:webHidden/>
          </w:rPr>
        </w:r>
        <w:r>
          <w:rPr>
            <w:noProof/>
            <w:webHidden/>
          </w:rPr>
          <w:fldChar w:fldCharType="separate"/>
        </w:r>
        <w:r w:rsidR="00484E57">
          <w:rPr>
            <w:noProof/>
            <w:webHidden/>
          </w:rPr>
          <w:t>24</w:t>
        </w:r>
        <w:r>
          <w:rPr>
            <w:noProof/>
            <w:webHidden/>
          </w:rPr>
          <w:fldChar w:fldCharType="end"/>
        </w:r>
      </w:hyperlink>
    </w:p>
    <w:p w14:paraId="75C4469D" w14:textId="3AD35A37"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8" w:history="1">
        <w:r w:rsidRPr="00C627C0">
          <w:rPr>
            <w:rStyle w:val="Hyperlink"/>
            <w:noProof/>
          </w:rPr>
          <w:t>Seclusion and ethnicity</w:t>
        </w:r>
        <w:r>
          <w:rPr>
            <w:noProof/>
            <w:webHidden/>
          </w:rPr>
          <w:tab/>
        </w:r>
        <w:r>
          <w:rPr>
            <w:noProof/>
            <w:webHidden/>
          </w:rPr>
          <w:fldChar w:fldCharType="begin"/>
        </w:r>
        <w:r>
          <w:rPr>
            <w:noProof/>
            <w:webHidden/>
          </w:rPr>
          <w:instrText xml:space="preserve"> PAGEREF _Toc224638098 \h </w:instrText>
        </w:r>
        <w:r>
          <w:rPr>
            <w:noProof/>
            <w:webHidden/>
          </w:rPr>
        </w:r>
        <w:r>
          <w:rPr>
            <w:noProof/>
            <w:webHidden/>
          </w:rPr>
          <w:fldChar w:fldCharType="separate"/>
        </w:r>
        <w:r w:rsidR="00484E57">
          <w:rPr>
            <w:noProof/>
            <w:webHidden/>
          </w:rPr>
          <w:t>27</w:t>
        </w:r>
        <w:r>
          <w:rPr>
            <w:noProof/>
            <w:webHidden/>
          </w:rPr>
          <w:fldChar w:fldCharType="end"/>
        </w:r>
      </w:hyperlink>
    </w:p>
    <w:p w14:paraId="05D5FA09" w14:textId="7122204A"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099" w:history="1">
        <w:r w:rsidRPr="00C627C0">
          <w:rPr>
            <w:rStyle w:val="Hyperlink"/>
            <w:noProof/>
          </w:rPr>
          <w:t>Seclusion in forensic units</w:t>
        </w:r>
        <w:r>
          <w:rPr>
            <w:noProof/>
            <w:webHidden/>
          </w:rPr>
          <w:tab/>
        </w:r>
        <w:r>
          <w:rPr>
            <w:noProof/>
            <w:webHidden/>
          </w:rPr>
          <w:fldChar w:fldCharType="begin"/>
        </w:r>
        <w:r>
          <w:rPr>
            <w:noProof/>
            <w:webHidden/>
          </w:rPr>
          <w:instrText xml:space="preserve"> PAGEREF _Toc224638099 \h </w:instrText>
        </w:r>
        <w:r>
          <w:rPr>
            <w:noProof/>
            <w:webHidden/>
          </w:rPr>
        </w:r>
        <w:r>
          <w:rPr>
            <w:noProof/>
            <w:webHidden/>
          </w:rPr>
          <w:fldChar w:fldCharType="separate"/>
        </w:r>
        <w:r w:rsidR="00484E57">
          <w:rPr>
            <w:noProof/>
            <w:webHidden/>
          </w:rPr>
          <w:t>30</w:t>
        </w:r>
        <w:r>
          <w:rPr>
            <w:noProof/>
            <w:webHidden/>
          </w:rPr>
          <w:fldChar w:fldCharType="end"/>
        </w:r>
      </w:hyperlink>
    </w:p>
    <w:p w14:paraId="7CE5EEA0" w14:textId="6819419B"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0" w:history="1">
        <w:r w:rsidRPr="00C627C0">
          <w:rPr>
            <w:rStyle w:val="Hyperlink"/>
            <w:noProof/>
          </w:rPr>
          <w:t>People with intellectual disabilities cared for in an intellectual disability forensic service</w:t>
        </w:r>
        <w:r>
          <w:rPr>
            <w:noProof/>
            <w:webHidden/>
          </w:rPr>
          <w:tab/>
        </w:r>
        <w:r>
          <w:rPr>
            <w:noProof/>
            <w:webHidden/>
          </w:rPr>
          <w:fldChar w:fldCharType="begin"/>
        </w:r>
        <w:r>
          <w:rPr>
            <w:noProof/>
            <w:webHidden/>
          </w:rPr>
          <w:instrText xml:space="preserve"> PAGEREF _Toc224638100 \h </w:instrText>
        </w:r>
        <w:r>
          <w:rPr>
            <w:noProof/>
            <w:webHidden/>
          </w:rPr>
        </w:r>
        <w:r>
          <w:rPr>
            <w:noProof/>
            <w:webHidden/>
          </w:rPr>
          <w:fldChar w:fldCharType="separate"/>
        </w:r>
        <w:r w:rsidR="00484E57">
          <w:rPr>
            <w:noProof/>
            <w:webHidden/>
          </w:rPr>
          <w:t>31</w:t>
        </w:r>
        <w:r>
          <w:rPr>
            <w:noProof/>
            <w:webHidden/>
          </w:rPr>
          <w:fldChar w:fldCharType="end"/>
        </w:r>
      </w:hyperlink>
    </w:p>
    <w:p w14:paraId="1C007BA5" w14:textId="32A068D9"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01" w:history="1">
        <w:r w:rsidRPr="00C627C0">
          <w:rPr>
            <w:rStyle w:val="Hyperlink"/>
            <w:noProof/>
          </w:rPr>
          <w:t>Special and restricted patients</w:t>
        </w:r>
        <w:r>
          <w:rPr>
            <w:noProof/>
            <w:webHidden/>
          </w:rPr>
          <w:tab/>
        </w:r>
        <w:r>
          <w:rPr>
            <w:noProof/>
            <w:webHidden/>
          </w:rPr>
          <w:fldChar w:fldCharType="begin"/>
        </w:r>
        <w:r>
          <w:rPr>
            <w:noProof/>
            <w:webHidden/>
          </w:rPr>
          <w:instrText xml:space="preserve"> PAGEREF _Toc224638101 \h </w:instrText>
        </w:r>
        <w:r>
          <w:rPr>
            <w:noProof/>
            <w:webHidden/>
          </w:rPr>
        </w:r>
        <w:r>
          <w:rPr>
            <w:noProof/>
            <w:webHidden/>
          </w:rPr>
          <w:fldChar w:fldCharType="separate"/>
        </w:r>
        <w:r w:rsidR="00484E57">
          <w:rPr>
            <w:noProof/>
            <w:webHidden/>
          </w:rPr>
          <w:t>33</w:t>
        </w:r>
        <w:r>
          <w:rPr>
            <w:noProof/>
            <w:webHidden/>
          </w:rPr>
          <w:fldChar w:fldCharType="end"/>
        </w:r>
      </w:hyperlink>
    </w:p>
    <w:p w14:paraId="599424CF" w14:textId="794CDD4D"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2" w:history="1">
        <w:r w:rsidRPr="00C627C0">
          <w:rPr>
            <w:rStyle w:val="Hyperlink"/>
            <w:noProof/>
          </w:rPr>
          <w:t>Extended forensic care special patients</w:t>
        </w:r>
        <w:r>
          <w:rPr>
            <w:noProof/>
            <w:webHidden/>
          </w:rPr>
          <w:tab/>
        </w:r>
        <w:r>
          <w:rPr>
            <w:noProof/>
            <w:webHidden/>
          </w:rPr>
          <w:fldChar w:fldCharType="begin"/>
        </w:r>
        <w:r>
          <w:rPr>
            <w:noProof/>
            <w:webHidden/>
          </w:rPr>
          <w:instrText xml:space="preserve"> PAGEREF _Toc224638102 \h </w:instrText>
        </w:r>
        <w:r>
          <w:rPr>
            <w:noProof/>
            <w:webHidden/>
          </w:rPr>
        </w:r>
        <w:r>
          <w:rPr>
            <w:noProof/>
            <w:webHidden/>
          </w:rPr>
          <w:fldChar w:fldCharType="separate"/>
        </w:r>
        <w:r w:rsidR="00484E57">
          <w:rPr>
            <w:noProof/>
            <w:webHidden/>
          </w:rPr>
          <w:t>34</w:t>
        </w:r>
        <w:r>
          <w:rPr>
            <w:noProof/>
            <w:webHidden/>
          </w:rPr>
          <w:fldChar w:fldCharType="end"/>
        </w:r>
      </w:hyperlink>
    </w:p>
    <w:p w14:paraId="2354F80F" w14:textId="783B48D0"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3" w:history="1">
        <w:r w:rsidRPr="00C627C0">
          <w:rPr>
            <w:rStyle w:val="Hyperlink"/>
            <w:noProof/>
          </w:rPr>
          <w:t>Short-term forensic care special patients</w:t>
        </w:r>
        <w:r>
          <w:rPr>
            <w:noProof/>
            <w:webHidden/>
          </w:rPr>
          <w:tab/>
        </w:r>
        <w:r>
          <w:rPr>
            <w:noProof/>
            <w:webHidden/>
          </w:rPr>
          <w:fldChar w:fldCharType="begin"/>
        </w:r>
        <w:r>
          <w:rPr>
            <w:noProof/>
            <w:webHidden/>
          </w:rPr>
          <w:instrText xml:space="preserve"> PAGEREF _Toc224638103 \h </w:instrText>
        </w:r>
        <w:r>
          <w:rPr>
            <w:noProof/>
            <w:webHidden/>
          </w:rPr>
        </w:r>
        <w:r>
          <w:rPr>
            <w:noProof/>
            <w:webHidden/>
          </w:rPr>
          <w:fldChar w:fldCharType="separate"/>
        </w:r>
        <w:r w:rsidR="00484E57">
          <w:rPr>
            <w:noProof/>
            <w:webHidden/>
          </w:rPr>
          <w:t>34</w:t>
        </w:r>
        <w:r>
          <w:rPr>
            <w:noProof/>
            <w:webHidden/>
          </w:rPr>
          <w:fldChar w:fldCharType="end"/>
        </w:r>
      </w:hyperlink>
    </w:p>
    <w:p w14:paraId="0DBD2FA5" w14:textId="68011DEA"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4" w:history="1">
        <w:r w:rsidRPr="00C627C0">
          <w:rPr>
            <w:rStyle w:val="Hyperlink"/>
            <w:noProof/>
          </w:rPr>
          <w:t>Gender, age and ethnicity of special patients</w:t>
        </w:r>
        <w:r>
          <w:rPr>
            <w:noProof/>
            <w:webHidden/>
          </w:rPr>
          <w:tab/>
        </w:r>
        <w:r>
          <w:rPr>
            <w:noProof/>
            <w:webHidden/>
          </w:rPr>
          <w:fldChar w:fldCharType="begin"/>
        </w:r>
        <w:r>
          <w:rPr>
            <w:noProof/>
            <w:webHidden/>
          </w:rPr>
          <w:instrText xml:space="preserve"> PAGEREF _Toc224638104 \h </w:instrText>
        </w:r>
        <w:r>
          <w:rPr>
            <w:noProof/>
            <w:webHidden/>
          </w:rPr>
        </w:r>
        <w:r>
          <w:rPr>
            <w:noProof/>
            <w:webHidden/>
          </w:rPr>
          <w:fldChar w:fldCharType="separate"/>
        </w:r>
        <w:r w:rsidR="00484E57">
          <w:rPr>
            <w:noProof/>
            <w:webHidden/>
          </w:rPr>
          <w:t>36</w:t>
        </w:r>
        <w:r>
          <w:rPr>
            <w:noProof/>
            <w:webHidden/>
          </w:rPr>
          <w:fldChar w:fldCharType="end"/>
        </w:r>
      </w:hyperlink>
    </w:p>
    <w:p w14:paraId="2DD97867" w14:textId="3B5A06CD"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5" w:history="1">
        <w:r w:rsidRPr="00C627C0">
          <w:rPr>
            <w:rStyle w:val="Hyperlink"/>
            <w:noProof/>
          </w:rPr>
          <w:t>Decisions about leave and change of legal status for special and restricted patients</w:t>
        </w:r>
        <w:r>
          <w:rPr>
            <w:noProof/>
            <w:webHidden/>
          </w:rPr>
          <w:tab/>
        </w:r>
        <w:r>
          <w:rPr>
            <w:noProof/>
            <w:webHidden/>
          </w:rPr>
          <w:fldChar w:fldCharType="begin"/>
        </w:r>
        <w:r>
          <w:rPr>
            <w:noProof/>
            <w:webHidden/>
          </w:rPr>
          <w:instrText xml:space="preserve"> PAGEREF _Toc224638105 \h </w:instrText>
        </w:r>
        <w:r>
          <w:rPr>
            <w:noProof/>
            <w:webHidden/>
          </w:rPr>
        </w:r>
        <w:r>
          <w:rPr>
            <w:noProof/>
            <w:webHidden/>
          </w:rPr>
          <w:fldChar w:fldCharType="separate"/>
        </w:r>
        <w:r w:rsidR="00484E57">
          <w:rPr>
            <w:noProof/>
            <w:webHidden/>
          </w:rPr>
          <w:t>37</w:t>
        </w:r>
        <w:r>
          <w:rPr>
            <w:noProof/>
            <w:webHidden/>
          </w:rPr>
          <w:fldChar w:fldCharType="end"/>
        </w:r>
      </w:hyperlink>
    </w:p>
    <w:p w14:paraId="0AECC862" w14:textId="791D8C9B"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06" w:history="1">
        <w:r w:rsidRPr="00C627C0">
          <w:rPr>
            <w:rStyle w:val="Hyperlink"/>
            <w:noProof/>
          </w:rPr>
          <w:t>Mental health and addiction adverse event reporting</w:t>
        </w:r>
        <w:r>
          <w:rPr>
            <w:noProof/>
            <w:webHidden/>
          </w:rPr>
          <w:tab/>
        </w:r>
        <w:r>
          <w:rPr>
            <w:noProof/>
            <w:webHidden/>
          </w:rPr>
          <w:fldChar w:fldCharType="begin"/>
        </w:r>
        <w:r>
          <w:rPr>
            <w:noProof/>
            <w:webHidden/>
          </w:rPr>
          <w:instrText xml:space="preserve"> PAGEREF _Toc224638106 \h </w:instrText>
        </w:r>
        <w:r>
          <w:rPr>
            <w:noProof/>
            <w:webHidden/>
          </w:rPr>
        </w:r>
        <w:r>
          <w:rPr>
            <w:noProof/>
            <w:webHidden/>
          </w:rPr>
          <w:fldChar w:fldCharType="separate"/>
        </w:r>
        <w:r w:rsidR="00484E57">
          <w:rPr>
            <w:noProof/>
            <w:webHidden/>
          </w:rPr>
          <w:t>39</w:t>
        </w:r>
        <w:r>
          <w:rPr>
            <w:noProof/>
            <w:webHidden/>
          </w:rPr>
          <w:fldChar w:fldCharType="end"/>
        </w:r>
      </w:hyperlink>
    </w:p>
    <w:p w14:paraId="38D01D96" w14:textId="33521E79"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7" w:history="1">
        <w:r w:rsidRPr="00C627C0">
          <w:rPr>
            <w:rStyle w:val="Hyperlink"/>
            <w:noProof/>
          </w:rPr>
          <w:t>Deaths reported to the Director of Mental Health</w:t>
        </w:r>
        <w:r>
          <w:rPr>
            <w:noProof/>
            <w:webHidden/>
          </w:rPr>
          <w:tab/>
        </w:r>
        <w:r>
          <w:rPr>
            <w:noProof/>
            <w:webHidden/>
          </w:rPr>
          <w:fldChar w:fldCharType="begin"/>
        </w:r>
        <w:r>
          <w:rPr>
            <w:noProof/>
            <w:webHidden/>
          </w:rPr>
          <w:instrText xml:space="preserve"> PAGEREF _Toc224638107 \h </w:instrText>
        </w:r>
        <w:r>
          <w:rPr>
            <w:noProof/>
            <w:webHidden/>
          </w:rPr>
        </w:r>
        <w:r>
          <w:rPr>
            <w:noProof/>
            <w:webHidden/>
          </w:rPr>
          <w:fldChar w:fldCharType="separate"/>
        </w:r>
        <w:r w:rsidR="00484E57">
          <w:rPr>
            <w:noProof/>
            <w:webHidden/>
          </w:rPr>
          <w:t>40</w:t>
        </w:r>
        <w:r>
          <w:rPr>
            <w:noProof/>
            <w:webHidden/>
          </w:rPr>
          <w:fldChar w:fldCharType="end"/>
        </w:r>
      </w:hyperlink>
    </w:p>
    <w:p w14:paraId="230BCFFF" w14:textId="5D791354"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08" w:history="1">
        <w:r w:rsidRPr="00C627C0">
          <w:rPr>
            <w:rStyle w:val="Hyperlink"/>
            <w:noProof/>
          </w:rPr>
          <w:t>Section 95 inquiries and section 99 inspections</w:t>
        </w:r>
        <w:r>
          <w:rPr>
            <w:noProof/>
            <w:webHidden/>
          </w:rPr>
          <w:tab/>
        </w:r>
        <w:r>
          <w:rPr>
            <w:noProof/>
            <w:webHidden/>
          </w:rPr>
          <w:fldChar w:fldCharType="begin"/>
        </w:r>
        <w:r>
          <w:rPr>
            <w:noProof/>
            <w:webHidden/>
          </w:rPr>
          <w:instrText xml:space="preserve"> PAGEREF _Toc224638108 \h </w:instrText>
        </w:r>
        <w:r>
          <w:rPr>
            <w:noProof/>
            <w:webHidden/>
          </w:rPr>
        </w:r>
        <w:r>
          <w:rPr>
            <w:noProof/>
            <w:webHidden/>
          </w:rPr>
          <w:fldChar w:fldCharType="separate"/>
        </w:r>
        <w:r w:rsidR="00484E57">
          <w:rPr>
            <w:noProof/>
            <w:webHidden/>
          </w:rPr>
          <w:t>40</w:t>
        </w:r>
        <w:r>
          <w:rPr>
            <w:noProof/>
            <w:webHidden/>
          </w:rPr>
          <w:fldChar w:fldCharType="end"/>
        </w:r>
      </w:hyperlink>
    </w:p>
    <w:p w14:paraId="17372E93" w14:textId="32C6596A"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09" w:history="1">
        <w:r w:rsidRPr="00C627C0">
          <w:rPr>
            <w:rStyle w:val="Hyperlink"/>
            <w:noProof/>
          </w:rPr>
          <w:t>Electroconvulsive therapy</w:t>
        </w:r>
        <w:r>
          <w:rPr>
            <w:noProof/>
            <w:webHidden/>
          </w:rPr>
          <w:tab/>
        </w:r>
        <w:r>
          <w:rPr>
            <w:noProof/>
            <w:webHidden/>
          </w:rPr>
          <w:fldChar w:fldCharType="begin"/>
        </w:r>
        <w:r>
          <w:rPr>
            <w:noProof/>
            <w:webHidden/>
          </w:rPr>
          <w:instrText xml:space="preserve"> PAGEREF _Toc224638109 \h </w:instrText>
        </w:r>
        <w:r>
          <w:rPr>
            <w:noProof/>
            <w:webHidden/>
          </w:rPr>
        </w:r>
        <w:r>
          <w:rPr>
            <w:noProof/>
            <w:webHidden/>
          </w:rPr>
          <w:fldChar w:fldCharType="separate"/>
        </w:r>
        <w:r w:rsidR="00484E57">
          <w:rPr>
            <w:noProof/>
            <w:webHidden/>
          </w:rPr>
          <w:t>42</w:t>
        </w:r>
        <w:r>
          <w:rPr>
            <w:noProof/>
            <w:webHidden/>
          </w:rPr>
          <w:fldChar w:fldCharType="end"/>
        </w:r>
      </w:hyperlink>
    </w:p>
    <w:p w14:paraId="3B027513" w14:textId="6C259D89"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0" w:history="1">
        <w:r w:rsidRPr="00C627C0">
          <w:rPr>
            <w:rStyle w:val="Hyperlink"/>
            <w:noProof/>
          </w:rPr>
          <w:t>Number of people receiving ECT</w:t>
        </w:r>
        <w:r>
          <w:rPr>
            <w:noProof/>
            <w:webHidden/>
          </w:rPr>
          <w:tab/>
        </w:r>
        <w:r>
          <w:rPr>
            <w:noProof/>
            <w:webHidden/>
          </w:rPr>
          <w:fldChar w:fldCharType="begin"/>
        </w:r>
        <w:r>
          <w:rPr>
            <w:noProof/>
            <w:webHidden/>
          </w:rPr>
          <w:instrText xml:space="preserve"> PAGEREF _Toc224638110 \h </w:instrText>
        </w:r>
        <w:r>
          <w:rPr>
            <w:noProof/>
            <w:webHidden/>
          </w:rPr>
        </w:r>
        <w:r>
          <w:rPr>
            <w:noProof/>
            <w:webHidden/>
          </w:rPr>
          <w:fldChar w:fldCharType="separate"/>
        </w:r>
        <w:r w:rsidR="00484E57">
          <w:rPr>
            <w:noProof/>
            <w:webHidden/>
          </w:rPr>
          <w:t>42</w:t>
        </w:r>
        <w:r>
          <w:rPr>
            <w:noProof/>
            <w:webHidden/>
          </w:rPr>
          <w:fldChar w:fldCharType="end"/>
        </w:r>
      </w:hyperlink>
    </w:p>
    <w:p w14:paraId="6852322A" w14:textId="424E6D08"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1" w:history="1">
        <w:r w:rsidRPr="00C627C0">
          <w:rPr>
            <w:rStyle w:val="Hyperlink"/>
            <w:noProof/>
          </w:rPr>
          <w:t>ECT by region</w:t>
        </w:r>
        <w:r>
          <w:rPr>
            <w:noProof/>
            <w:webHidden/>
          </w:rPr>
          <w:tab/>
        </w:r>
        <w:r>
          <w:rPr>
            <w:noProof/>
            <w:webHidden/>
          </w:rPr>
          <w:fldChar w:fldCharType="begin"/>
        </w:r>
        <w:r>
          <w:rPr>
            <w:noProof/>
            <w:webHidden/>
          </w:rPr>
          <w:instrText xml:space="preserve"> PAGEREF _Toc224638111 \h </w:instrText>
        </w:r>
        <w:r>
          <w:rPr>
            <w:noProof/>
            <w:webHidden/>
          </w:rPr>
        </w:r>
        <w:r>
          <w:rPr>
            <w:noProof/>
            <w:webHidden/>
          </w:rPr>
          <w:fldChar w:fldCharType="separate"/>
        </w:r>
        <w:r w:rsidR="00484E57">
          <w:rPr>
            <w:noProof/>
            <w:webHidden/>
          </w:rPr>
          <w:t>43</w:t>
        </w:r>
        <w:r>
          <w:rPr>
            <w:noProof/>
            <w:webHidden/>
          </w:rPr>
          <w:fldChar w:fldCharType="end"/>
        </w:r>
      </w:hyperlink>
    </w:p>
    <w:p w14:paraId="345B746A" w14:textId="4D606A56"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2" w:history="1">
        <w:r w:rsidRPr="00C627C0">
          <w:rPr>
            <w:rStyle w:val="Hyperlink"/>
            <w:noProof/>
          </w:rPr>
          <w:t>Age and gender of people receiving ECT</w:t>
        </w:r>
        <w:r>
          <w:rPr>
            <w:noProof/>
            <w:webHidden/>
          </w:rPr>
          <w:tab/>
        </w:r>
        <w:r>
          <w:rPr>
            <w:noProof/>
            <w:webHidden/>
          </w:rPr>
          <w:fldChar w:fldCharType="begin"/>
        </w:r>
        <w:r>
          <w:rPr>
            <w:noProof/>
            <w:webHidden/>
          </w:rPr>
          <w:instrText xml:space="preserve"> PAGEREF _Toc224638112 \h </w:instrText>
        </w:r>
        <w:r>
          <w:rPr>
            <w:noProof/>
            <w:webHidden/>
          </w:rPr>
        </w:r>
        <w:r>
          <w:rPr>
            <w:noProof/>
            <w:webHidden/>
          </w:rPr>
          <w:fldChar w:fldCharType="separate"/>
        </w:r>
        <w:r w:rsidR="00484E57">
          <w:rPr>
            <w:noProof/>
            <w:webHidden/>
          </w:rPr>
          <w:t>46</w:t>
        </w:r>
        <w:r>
          <w:rPr>
            <w:noProof/>
            <w:webHidden/>
          </w:rPr>
          <w:fldChar w:fldCharType="end"/>
        </w:r>
      </w:hyperlink>
    </w:p>
    <w:p w14:paraId="338DC35A" w14:textId="49A3A35A"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3" w:history="1">
        <w:r w:rsidRPr="00C627C0">
          <w:rPr>
            <w:rStyle w:val="Hyperlink"/>
            <w:noProof/>
          </w:rPr>
          <w:t>Ethnicity of people treated with ECT</w:t>
        </w:r>
        <w:r>
          <w:rPr>
            <w:noProof/>
            <w:webHidden/>
          </w:rPr>
          <w:tab/>
        </w:r>
        <w:r>
          <w:rPr>
            <w:noProof/>
            <w:webHidden/>
          </w:rPr>
          <w:fldChar w:fldCharType="begin"/>
        </w:r>
        <w:r>
          <w:rPr>
            <w:noProof/>
            <w:webHidden/>
          </w:rPr>
          <w:instrText xml:space="preserve"> PAGEREF _Toc224638113 \h </w:instrText>
        </w:r>
        <w:r>
          <w:rPr>
            <w:noProof/>
            <w:webHidden/>
          </w:rPr>
        </w:r>
        <w:r>
          <w:rPr>
            <w:noProof/>
            <w:webHidden/>
          </w:rPr>
          <w:fldChar w:fldCharType="separate"/>
        </w:r>
        <w:r w:rsidR="00484E57">
          <w:rPr>
            <w:noProof/>
            <w:webHidden/>
          </w:rPr>
          <w:t>46</w:t>
        </w:r>
        <w:r>
          <w:rPr>
            <w:noProof/>
            <w:webHidden/>
          </w:rPr>
          <w:fldChar w:fldCharType="end"/>
        </w:r>
      </w:hyperlink>
    </w:p>
    <w:p w14:paraId="608C1A0D" w14:textId="1D33F0D2"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4" w:history="1">
        <w:r w:rsidRPr="00C627C0">
          <w:rPr>
            <w:rStyle w:val="Hyperlink"/>
            <w:noProof/>
          </w:rPr>
          <w:t>Consent to ECT treatment</w:t>
        </w:r>
        <w:r>
          <w:rPr>
            <w:noProof/>
            <w:webHidden/>
          </w:rPr>
          <w:tab/>
        </w:r>
        <w:r>
          <w:rPr>
            <w:noProof/>
            <w:webHidden/>
          </w:rPr>
          <w:fldChar w:fldCharType="begin"/>
        </w:r>
        <w:r>
          <w:rPr>
            <w:noProof/>
            <w:webHidden/>
          </w:rPr>
          <w:instrText xml:space="preserve"> PAGEREF _Toc224638114 \h </w:instrText>
        </w:r>
        <w:r>
          <w:rPr>
            <w:noProof/>
            <w:webHidden/>
          </w:rPr>
        </w:r>
        <w:r>
          <w:rPr>
            <w:noProof/>
            <w:webHidden/>
          </w:rPr>
          <w:fldChar w:fldCharType="separate"/>
        </w:r>
        <w:r w:rsidR="00484E57">
          <w:rPr>
            <w:noProof/>
            <w:webHidden/>
          </w:rPr>
          <w:t>47</w:t>
        </w:r>
        <w:r>
          <w:rPr>
            <w:noProof/>
            <w:webHidden/>
          </w:rPr>
          <w:fldChar w:fldCharType="end"/>
        </w:r>
      </w:hyperlink>
    </w:p>
    <w:p w14:paraId="79D05410" w14:textId="5EE57BFE"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15" w:history="1">
        <w:r w:rsidRPr="00C627C0">
          <w:rPr>
            <w:rStyle w:val="Hyperlink"/>
            <w:noProof/>
          </w:rPr>
          <w:t>Drug and substance harm reduction</w:t>
        </w:r>
        <w:r>
          <w:rPr>
            <w:noProof/>
            <w:webHidden/>
          </w:rPr>
          <w:tab/>
        </w:r>
        <w:r>
          <w:rPr>
            <w:noProof/>
            <w:webHidden/>
          </w:rPr>
          <w:fldChar w:fldCharType="begin"/>
        </w:r>
        <w:r>
          <w:rPr>
            <w:noProof/>
            <w:webHidden/>
          </w:rPr>
          <w:instrText xml:space="preserve"> PAGEREF _Toc224638115 \h </w:instrText>
        </w:r>
        <w:r>
          <w:rPr>
            <w:noProof/>
            <w:webHidden/>
          </w:rPr>
        </w:r>
        <w:r>
          <w:rPr>
            <w:noProof/>
            <w:webHidden/>
          </w:rPr>
          <w:fldChar w:fldCharType="separate"/>
        </w:r>
        <w:r w:rsidR="00484E57">
          <w:rPr>
            <w:noProof/>
            <w:webHidden/>
          </w:rPr>
          <w:t>48</w:t>
        </w:r>
        <w:r>
          <w:rPr>
            <w:noProof/>
            <w:webHidden/>
          </w:rPr>
          <w:fldChar w:fldCharType="end"/>
        </w:r>
      </w:hyperlink>
    </w:p>
    <w:p w14:paraId="4835E6DE" w14:textId="42AF8C83"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6" w:history="1">
        <w:r w:rsidRPr="00C627C0">
          <w:rPr>
            <w:rStyle w:val="Hyperlink"/>
            <w:noProof/>
          </w:rPr>
          <w:t>Opioid substitution treatment</w:t>
        </w:r>
        <w:r>
          <w:rPr>
            <w:noProof/>
            <w:webHidden/>
          </w:rPr>
          <w:tab/>
        </w:r>
        <w:r>
          <w:rPr>
            <w:noProof/>
            <w:webHidden/>
          </w:rPr>
          <w:fldChar w:fldCharType="begin"/>
        </w:r>
        <w:r>
          <w:rPr>
            <w:noProof/>
            <w:webHidden/>
          </w:rPr>
          <w:instrText xml:space="preserve"> PAGEREF _Toc224638116 \h </w:instrText>
        </w:r>
        <w:r>
          <w:rPr>
            <w:noProof/>
            <w:webHidden/>
          </w:rPr>
        </w:r>
        <w:r>
          <w:rPr>
            <w:noProof/>
            <w:webHidden/>
          </w:rPr>
          <w:fldChar w:fldCharType="separate"/>
        </w:r>
        <w:r w:rsidR="00484E57">
          <w:rPr>
            <w:noProof/>
            <w:webHidden/>
          </w:rPr>
          <w:t>48</w:t>
        </w:r>
        <w:r>
          <w:rPr>
            <w:noProof/>
            <w:webHidden/>
          </w:rPr>
          <w:fldChar w:fldCharType="end"/>
        </w:r>
      </w:hyperlink>
    </w:p>
    <w:p w14:paraId="56E6B2A1" w14:textId="31AAB0A7"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7" w:history="1">
        <w:r w:rsidRPr="00C627C0">
          <w:rPr>
            <w:rStyle w:val="Hyperlink"/>
            <w:noProof/>
          </w:rPr>
          <w:t>Drug-checking licensing scheme</w:t>
        </w:r>
        <w:r>
          <w:rPr>
            <w:noProof/>
            <w:webHidden/>
          </w:rPr>
          <w:tab/>
        </w:r>
        <w:r>
          <w:rPr>
            <w:noProof/>
            <w:webHidden/>
          </w:rPr>
          <w:fldChar w:fldCharType="begin"/>
        </w:r>
        <w:r>
          <w:rPr>
            <w:noProof/>
            <w:webHidden/>
          </w:rPr>
          <w:instrText xml:space="preserve"> PAGEREF _Toc224638117 \h </w:instrText>
        </w:r>
        <w:r>
          <w:rPr>
            <w:noProof/>
            <w:webHidden/>
          </w:rPr>
        </w:r>
        <w:r>
          <w:rPr>
            <w:noProof/>
            <w:webHidden/>
          </w:rPr>
          <w:fldChar w:fldCharType="separate"/>
        </w:r>
        <w:r w:rsidR="00484E57">
          <w:rPr>
            <w:noProof/>
            <w:webHidden/>
          </w:rPr>
          <w:t>54</w:t>
        </w:r>
        <w:r>
          <w:rPr>
            <w:noProof/>
            <w:webHidden/>
          </w:rPr>
          <w:fldChar w:fldCharType="end"/>
        </w:r>
      </w:hyperlink>
    </w:p>
    <w:p w14:paraId="6B5FBE7A" w14:textId="6811742D"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8" w:history="1">
        <w:r w:rsidRPr="00C627C0">
          <w:rPr>
            <w:rStyle w:val="Hyperlink"/>
            <w:noProof/>
          </w:rPr>
          <w:t>Substance Addiction (Compulsory Assessment and Treatment) Act 2017</w:t>
        </w:r>
        <w:r>
          <w:rPr>
            <w:noProof/>
            <w:webHidden/>
          </w:rPr>
          <w:tab/>
        </w:r>
        <w:r>
          <w:rPr>
            <w:noProof/>
            <w:webHidden/>
          </w:rPr>
          <w:fldChar w:fldCharType="begin"/>
        </w:r>
        <w:r>
          <w:rPr>
            <w:noProof/>
            <w:webHidden/>
          </w:rPr>
          <w:instrText xml:space="preserve"> PAGEREF _Toc224638118 \h </w:instrText>
        </w:r>
        <w:r>
          <w:rPr>
            <w:noProof/>
            <w:webHidden/>
          </w:rPr>
        </w:r>
        <w:r>
          <w:rPr>
            <w:noProof/>
            <w:webHidden/>
          </w:rPr>
          <w:fldChar w:fldCharType="separate"/>
        </w:r>
        <w:r w:rsidR="00484E57">
          <w:rPr>
            <w:noProof/>
            <w:webHidden/>
          </w:rPr>
          <w:t>58</w:t>
        </w:r>
        <w:r>
          <w:rPr>
            <w:noProof/>
            <w:webHidden/>
          </w:rPr>
          <w:fldChar w:fldCharType="end"/>
        </w:r>
      </w:hyperlink>
    </w:p>
    <w:p w14:paraId="531B2F0D" w14:textId="7FFD3961"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19" w:history="1">
        <w:r w:rsidRPr="00C627C0">
          <w:rPr>
            <w:rStyle w:val="Hyperlink"/>
            <w:noProof/>
          </w:rPr>
          <w:t>Land Transport Act 1998</w:t>
        </w:r>
        <w:r>
          <w:rPr>
            <w:noProof/>
            <w:webHidden/>
          </w:rPr>
          <w:tab/>
        </w:r>
        <w:r>
          <w:rPr>
            <w:noProof/>
            <w:webHidden/>
          </w:rPr>
          <w:fldChar w:fldCharType="begin"/>
        </w:r>
        <w:r>
          <w:rPr>
            <w:noProof/>
            <w:webHidden/>
          </w:rPr>
          <w:instrText xml:space="preserve"> PAGEREF _Toc224638119 \h </w:instrText>
        </w:r>
        <w:r>
          <w:rPr>
            <w:noProof/>
            <w:webHidden/>
          </w:rPr>
        </w:r>
        <w:r>
          <w:rPr>
            <w:noProof/>
            <w:webHidden/>
          </w:rPr>
          <w:fldChar w:fldCharType="separate"/>
        </w:r>
        <w:r w:rsidR="00484E57">
          <w:rPr>
            <w:noProof/>
            <w:webHidden/>
          </w:rPr>
          <w:t>58</w:t>
        </w:r>
        <w:r>
          <w:rPr>
            <w:noProof/>
            <w:webHidden/>
          </w:rPr>
          <w:fldChar w:fldCharType="end"/>
        </w:r>
      </w:hyperlink>
    </w:p>
    <w:p w14:paraId="54E8F2BE" w14:textId="02051638"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20" w:history="1">
        <w:r w:rsidRPr="00C627C0">
          <w:rPr>
            <w:rStyle w:val="Hyperlink"/>
            <w:noProof/>
          </w:rPr>
          <w:t>Appendix 1: The Mental Health Act process</w:t>
        </w:r>
        <w:r>
          <w:rPr>
            <w:noProof/>
            <w:webHidden/>
          </w:rPr>
          <w:tab/>
        </w:r>
        <w:r>
          <w:rPr>
            <w:noProof/>
            <w:webHidden/>
          </w:rPr>
          <w:fldChar w:fldCharType="begin"/>
        </w:r>
        <w:r>
          <w:rPr>
            <w:noProof/>
            <w:webHidden/>
          </w:rPr>
          <w:instrText xml:space="preserve"> PAGEREF _Toc224638120 \h </w:instrText>
        </w:r>
        <w:r>
          <w:rPr>
            <w:noProof/>
            <w:webHidden/>
          </w:rPr>
        </w:r>
        <w:r>
          <w:rPr>
            <w:noProof/>
            <w:webHidden/>
          </w:rPr>
          <w:fldChar w:fldCharType="separate"/>
        </w:r>
        <w:r w:rsidR="00484E57">
          <w:rPr>
            <w:noProof/>
            <w:webHidden/>
          </w:rPr>
          <w:t>59</w:t>
        </w:r>
        <w:r>
          <w:rPr>
            <w:noProof/>
            <w:webHidden/>
          </w:rPr>
          <w:fldChar w:fldCharType="end"/>
        </w:r>
      </w:hyperlink>
    </w:p>
    <w:p w14:paraId="07B547E1" w14:textId="569572C7"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21" w:history="1">
        <w:r w:rsidRPr="00C627C0">
          <w:rPr>
            <w:rStyle w:val="Hyperlink"/>
            <w:noProof/>
          </w:rPr>
          <w:t>Compulsory assessment</w:t>
        </w:r>
        <w:r>
          <w:rPr>
            <w:noProof/>
            <w:webHidden/>
          </w:rPr>
          <w:tab/>
        </w:r>
        <w:r>
          <w:rPr>
            <w:noProof/>
            <w:webHidden/>
          </w:rPr>
          <w:fldChar w:fldCharType="begin"/>
        </w:r>
        <w:r>
          <w:rPr>
            <w:noProof/>
            <w:webHidden/>
          </w:rPr>
          <w:instrText xml:space="preserve"> PAGEREF _Toc224638121 \h </w:instrText>
        </w:r>
        <w:r>
          <w:rPr>
            <w:noProof/>
            <w:webHidden/>
          </w:rPr>
        </w:r>
        <w:r>
          <w:rPr>
            <w:noProof/>
            <w:webHidden/>
          </w:rPr>
          <w:fldChar w:fldCharType="separate"/>
        </w:r>
        <w:r w:rsidR="00484E57">
          <w:rPr>
            <w:noProof/>
            <w:webHidden/>
          </w:rPr>
          <w:t>59</w:t>
        </w:r>
        <w:r>
          <w:rPr>
            <w:noProof/>
            <w:webHidden/>
          </w:rPr>
          <w:fldChar w:fldCharType="end"/>
        </w:r>
      </w:hyperlink>
    </w:p>
    <w:p w14:paraId="509348F2" w14:textId="307AC6EB" w:rsidR="00B05CA9" w:rsidRDefault="00B05CA9">
      <w:pPr>
        <w:pStyle w:val="TOC2"/>
        <w:rPr>
          <w:rFonts w:asciiTheme="minorHAnsi" w:eastAsiaTheme="minorEastAsia" w:hAnsiTheme="minorHAnsi" w:cstheme="minorBidi"/>
          <w:noProof/>
          <w:kern w:val="2"/>
          <w:sz w:val="24"/>
          <w:szCs w:val="24"/>
          <w:lang w:val="en-AU" w:eastAsia="en-AU"/>
          <w14:ligatures w14:val="standardContextual"/>
        </w:rPr>
      </w:pPr>
      <w:hyperlink w:anchor="_Toc224638122" w:history="1">
        <w:r w:rsidRPr="00C627C0">
          <w:rPr>
            <w:rStyle w:val="Hyperlink"/>
            <w:noProof/>
          </w:rPr>
          <w:t>Compulsory treatment</w:t>
        </w:r>
        <w:r>
          <w:rPr>
            <w:noProof/>
            <w:webHidden/>
          </w:rPr>
          <w:tab/>
        </w:r>
        <w:r>
          <w:rPr>
            <w:noProof/>
            <w:webHidden/>
          </w:rPr>
          <w:fldChar w:fldCharType="begin"/>
        </w:r>
        <w:r>
          <w:rPr>
            <w:noProof/>
            <w:webHidden/>
          </w:rPr>
          <w:instrText xml:space="preserve"> PAGEREF _Toc224638122 \h </w:instrText>
        </w:r>
        <w:r>
          <w:rPr>
            <w:noProof/>
            <w:webHidden/>
          </w:rPr>
        </w:r>
        <w:r>
          <w:rPr>
            <w:noProof/>
            <w:webHidden/>
          </w:rPr>
          <w:fldChar w:fldCharType="separate"/>
        </w:r>
        <w:r w:rsidR="00484E57">
          <w:rPr>
            <w:noProof/>
            <w:webHidden/>
          </w:rPr>
          <w:t>59</w:t>
        </w:r>
        <w:r>
          <w:rPr>
            <w:noProof/>
            <w:webHidden/>
          </w:rPr>
          <w:fldChar w:fldCharType="end"/>
        </w:r>
      </w:hyperlink>
    </w:p>
    <w:p w14:paraId="3D624D52" w14:textId="09B36E2D"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23" w:history="1">
        <w:r w:rsidRPr="00C627C0">
          <w:rPr>
            <w:rStyle w:val="Hyperlink"/>
            <w:noProof/>
          </w:rPr>
          <w:t>Appendix 2: Additional statistics – Ministry of Justice</w:t>
        </w:r>
        <w:r>
          <w:rPr>
            <w:noProof/>
            <w:webHidden/>
          </w:rPr>
          <w:tab/>
        </w:r>
        <w:r>
          <w:rPr>
            <w:noProof/>
            <w:webHidden/>
          </w:rPr>
          <w:fldChar w:fldCharType="begin"/>
        </w:r>
        <w:r>
          <w:rPr>
            <w:noProof/>
            <w:webHidden/>
          </w:rPr>
          <w:instrText xml:space="preserve"> PAGEREF _Toc224638123 \h </w:instrText>
        </w:r>
        <w:r>
          <w:rPr>
            <w:noProof/>
            <w:webHidden/>
          </w:rPr>
        </w:r>
        <w:r>
          <w:rPr>
            <w:noProof/>
            <w:webHidden/>
          </w:rPr>
          <w:fldChar w:fldCharType="separate"/>
        </w:r>
        <w:r w:rsidR="00484E57">
          <w:rPr>
            <w:noProof/>
            <w:webHidden/>
          </w:rPr>
          <w:t>60</w:t>
        </w:r>
        <w:r>
          <w:rPr>
            <w:noProof/>
            <w:webHidden/>
          </w:rPr>
          <w:fldChar w:fldCharType="end"/>
        </w:r>
      </w:hyperlink>
    </w:p>
    <w:p w14:paraId="7F3D21B8" w14:textId="7CDD5287" w:rsidR="00B05CA9" w:rsidRDefault="00B05CA9">
      <w:pPr>
        <w:pStyle w:val="TOC1"/>
        <w:rPr>
          <w:rFonts w:asciiTheme="minorHAnsi" w:eastAsiaTheme="minorEastAsia" w:hAnsiTheme="minorHAnsi" w:cstheme="minorBidi"/>
          <w:noProof/>
          <w:kern w:val="2"/>
          <w:szCs w:val="24"/>
          <w:lang w:val="en-AU" w:eastAsia="en-AU"/>
          <w14:ligatures w14:val="standardContextual"/>
        </w:rPr>
      </w:pPr>
      <w:hyperlink w:anchor="_Toc224638124" w:history="1">
        <w:r w:rsidRPr="00C627C0">
          <w:rPr>
            <w:rStyle w:val="Hyperlink"/>
            <w:noProof/>
          </w:rPr>
          <w:t>Appendix 3: Individuals who experienced prolonged and/or frequent periods of seclusion</w:t>
        </w:r>
        <w:r>
          <w:rPr>
            <w:noProof/>
            <w:webHidden/>
          </w:rPr>
          <w:tab/>
        </w:r>
        <w:r>
          <w:rPr>
            <w:noProof/>
            <w:webHidden/>
          </w:rPr>
          <w:fldChar w:fldCharType="begin"/>
        </w:r>
        <w:r>
          <w:rPr>
            <w:noProof/>
            <w:webHidden/>
          </w:rPr>
          <w:instrText xml:space="preserve"> PAGEREF _Toc224638124 \h </w:instrText>
        </w:r>
        <w:r>
          <w:rPr>
            <w:noProof/>
            <w:webHidden/>
          </w:rPr>
        </w:r>
        <w:r>
          <w:rPr>
            <w:noProof/>
            <w:webHidden/>
          </w:rPr>
          <w:fldChar w:fldCharType="separate"/>
        </w:r>
        <w:r w:rsidR="00484E57">
          <w:rPr>
            <w:noProof/>
            <w:webHidden/>
          </w:rPr>
          <w:t>62</w:t>
        </w:r>
        <w:r>
          <w:rPr>
            <w:noProof/>
            <w:webHidden/>
          </w:rPr>
          <w:fldChar w:fldCharType="end"/>
        </w:r>
      </w:hyperlink>
    </w:p>
    <w:p w14:paraId="133A9219" w14:textId="6743955D" w:rsidR="00C86248" w:rsidRPr="00ED2B1F" w:rsidRDefault="00AE3F06">
      <w:r w:rsidRPr="00ED2B1F">
        <w:rPr>
          <w:rFonts w:ascii="Segoe UI Semibold" w:hAnsi="Segoe UI Semibold"/>
          <w:b/>
          <w:sz w:val="24"/>
        </w:rPr>
        <w:fldChar w:fldCharType="end"/>
      </w:r>
    </w:p>
    <w:p w14:paraId="49038387" w14:textId="74C1EA20" w:rsidR="003A5FEA" w:rsidRPr="00ED2B1F" w:rsidRDefault="003A5FEA" w:rsidP="001D3E4E">
      <w:pPr>
        <w:pStyle w:val="TOC1"/>
        <w:keepNext/>
      </w:pPr>
      <w:r w:rsidRPr="00ED2B1F">
        <w:t>List of Figures</w:t>
      </w:r>
    </w:p>
    <w:p w14:paraId="2E11D03A" w14:textId="434D04F1" w:rsidR="00B05CA9" w:rsidRDefault="00AE3F06">
      <w:pPr>
        <w:pStyle w:val="TOC3"/>
        <w:rPr>
          <w:rFonts w:asciiTheme="minorHAnsi" w:eastAsiaTheme="minorEastAsia" w:hAnsiTheme="minorHAnsi" w:cstheme="minorBidi"/>
          <w:kern w:val="2"/>
          <w:sz w:val="24"/>
          <w:szCs w:val="24"/>
          <w:lang w:val="en-AU" w:eastAsia="en-AU"/>
          <w14:ligatures w14:val="standardContextual"/>
        </w:rPr>
      </w:pPr>
      <w:r w:rsidRPr="00ED2B1F">
        <w:rPr>
          <w:noProof w:val="0"/>
        </w:rPr>
        <w:fldChar w:fldCharType="begin"/>
      </w:r>
      <w:r w:rsidRPr="00ED2B1F">
        <w:rPr>
          <w:noProof w:val="0"/>
        </w:rPr>
        <w:instrText xml:space="preserve"> TOC \h \z \t "Figure,3" </w:instrText>
      </w:r>
      <w:r w:rsidRPr="00ED2B1F">
        <w:rPr>
          <w:noProof w:val="0"/>
        </w:rPr>
        <w:fldChar w:fldCharType="separate"/>
      </w:r>
      <w:hyperlink w:anchor="_Toc224638173" w:history="1">
        <w:r w:rsidR="00B05CA9" w:rsidRPr="00FF0412">
          <w:rPr>
            <w:rStyle w:val="Hyperlink"/>
          </w:rPr>
          <w:t>Figure 1: Applications and outcomes for compulsory treatment orders and extensions, 2009/10 to 2023/24</w:t>
        </w:r>
        <w:r w:rsidR="00B05CA9">
          <w:rPr>
            <w:webHidden/>
          </w:rPr>
          <w:tab/>
        </w:r>
        <w:r w:rsidR="00B05CA9">
          <w:rPr>
            <w:webHidden/>
          </w:rPr>
          <w:fldChar w:fldCharType="begin"/>
        </w:r>
        <w:r w:rsidR="00B05CA9">
          <w:rPr>
            <w:webHidden/>
          </w:rPr>
          <w:instrText xml:space="preserve"> PAGEREF _Toc224638173 \h </w:instrText>
        </w:r>
        <w:r w:rsidR="00B05CA9">
          <w:rPr>
            <w:webHidden/>
          </w:rPr>
        </w:r>
        <w:r w:rsidR="00B05CA9">
          <w:rPr>
            <w:webHidden/>
          </w:rPr>
          <w:fldChar w:fldCharType="separate"/>
        </w:r>
        <w:r w:rsidR="00484E57">
          <w:rPr>
            <w:webHidden/>
          </w:rPr>
          <w:t>4</w:t>
        </w:r>
        <w:r w:rsidR="00B05CA9">
          <w:rPr>
            <w:webHidden/>
          </w:rPr>
          <w:fldChar w:fldCharType="end"/>
        </w:r>
      </w:hyperlink>
    </w:p>
    <w:p w14:paraId="7C6E1FA0" w14:textId="7279D049"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4" w:history="1">
        <w:r w:rsidRPr="00FF0412">
          <w:rPr>
            <w:rStyle w:val="Hyperlink"/>
          </w:rPr>
          <w:t>Figure 2: Number of granted compulsory treatment orders and extensions, community and inpatient, 2009/10 to 2023/24</w:t>
        </w:r>
        <w:r>
          <w:rPr>
            <w:webHidden/>
          </w:rPr>
          <w:tab/>
        </w:r>
        <w:r>
          <w:rPr>
            <w:webHidden/>
          </w:rPr>
          <w:fldChar w:fldCharType="begin"/>
        </w:r>
        <w:r>
          <w:rPr>
            <w:webHidden/>
          </w:rPr>
          <w:instrText xml:space="preserve"> PAGEREF _Toc224638174 \h </w:instrText>
        </w:r>
        <w:r>
          <w:rPr>
            <w:webHidden/>
          </w:rPr>
        </w:r>
        <w:r>
          <w:rPr>
            <w:webHidden/>
          </w:rPr>
          <w:fldChar w:fldCharType="separate"/>
        </w:r>
        <w:r w:rsidR="00484E57">
          <w:rPr>
            <w:webHidden/>
          </w:rPr>
          <w:t>4</w:t>
        </w:r>
        <w:r>
          <w:rPr>
            <w:webHidden/>
          </w:rPr>
          <w:fldChar w:fldCharType="end"/>
        </w:r>
      </w:hyperlink>
    </w:p>
    <w:p w14:paraId="27C0462C" w14:textId="017E01A5"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5" w:history="1">
        <w:r w:rsidRPr="00FF0412">
          <w:rPr>
            <w:rStyle w:val="Hyperlink"/>
          </w:rPr>
          <w:t>Figure 3: Average number of people on a given day subject to a community treatment order (section 29) per 100,000 population, by district, 1 July 2023 to 30 June 2024</w:t>
        </w:r>
        <w:r>
          <w:rPr>
            <w:webHidden/>
          </w:rPr>
          <w:tab/>
        </w:r>
        <w:r>
          <w:rPr>
            <w:webHidden/>
          </w:rPr>
          <w:fldChar w:fldCharType="begin"/>
        </w:r>
        <w:r>
          <w:rPr>
            <w:webHidden/>
          </w:rPr>
          <w:instrText xml:space="preserve"> PAGEREF _Toc224638175 \h </w:instrText>
        </w:r>
        <w:r>
          <w:rPr>
            <w:webHidden/>
          </w:rPr>
        </w:r>
        <w:r>
          <w:rPr>
            <w:webHidden/>
          </w:rPr>
          <w:fldChar w:fldCharType="separate"/>
        </w:r>
        <w:r w:rsidR="00484E57">
          <w:rPr>
            <w:webHidden/>
          </w:rPr>
          <w:t>6</w:t>
        </w:r>
        <w:r>
          <w:rPr>
            <w:webHidden/>
          </w:rPr>
          <w:fldChar w:fldCharType="end"/>
        </w:r>
      </w:hyperlink>
    </w:p>
    <w:p w14:paraId="1650C201" w14:textId="7A103FB4"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6" w:history="1">
        <w:r w:rsidRPr="00FF0412">
          <w:rPr>
            <w:rStyle w:val="Hyperlink"/>
          </w:rPr>
          <w:t>Figure 4: Average number of people on a given day subject to an inpatient treatment order (section 30) per 100,000 population, by district, 1 July 2023 to 30 June 2024</w:t>
        </w:r>
        <w:r>
          <w:rPr>
            <w:webHidden/>
          </w:rPr>
          <w:tab/>
        </w:r>
        <w:r>
          <w:rPr>
            <w:webHidden/>
          </w:rPr>
          <w:fldChar w:fldCharType="begin"/>
        </w:r>
        <w:r>
          <w:rPr>
            <w:webHidden/>
          </w:rPr>
          <w:instrText xml:space="preserve"> PAGEREF _Toc224638176 \h </w:instrText>
        </w:r>
        <w:r>
          <w:rPr>
            <w:webHidden/>
          </w:rPr>
        </w:r>
        <w:r>
          <w:rPr>
            <w:webHidden/>
          </w:rPr>
          <w:fldChar w:fldCharType="separate"/>
        </w:r>
        <w:r w:rsidR="00484E57">
          <w:rPr>
            <w:webHidden/>
          </w:rPr>
          <w:t>7</w:t>
        </w:r>
        <w:r>
          <w:rPr>
            <w:webHidden/>
          </w:rPr>
          <w:fldChar w:fldCharType="end"/>
        </w:r>
      </w:hyperlink>
    </w:p>
    <w:p w14:paraId="332F66CC" w14:textId="3A0C7132"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7" w:history="1">
        <w:r w:rsidRPr="00FF0412">
          <w:rPr>
            <w:rStyle w:val="Hyperlink"/>
          </w:rPr>
          <w:t>Figure 5: Rate of people subject to compulsory treatment order applications (including extensions) per 100,000 population, by age group, 2009/10 to 2023/24</w:t>
        </w:r>
        <w:r>
          <w:rPr>
            <w:webHidden/>
          </w:rPr>
          <w:tab/>
        </w:r>
        <w:r>
          <w:rPr>
            <w:webHidden/>
          </w:rPr>
          <w:fldChar w:fldCharType="begin"/>
        </w:r>
        <w:r>
          <w:rPr>
            <w:webHidden/>
          </w:rPr>
          <w:instrText xml:space="preserve"> PAGEREF _Toc224638177 \h </w:instrText>
        </w:r>
        <w:r>
          <w:rPr>
            <w:webHidden/>
          </w:rPr>
        </w:r>
        <w:r>
          <w:rPr>
            <w:webHidden/>
          </w:rPr>
          <w:fldChar w:fldCharType="separate"/>
        </w:r>
        <w:r w:rsidR="00484E57">
          <w:rPr>
            <w:webHidden/>
          </w:rPr>
          <w:t>8</w:t>
        </w:r>
        <w:r>
          <w:rPr>
            <w:webHidden/>
          </w:rPr>
          <w:fldChar w:fldCharType="end"/>
        </w:r>
      </w:hyperlink>
    </w:p>
    <w:p w14:paraId="3C87700F" w14:textId="082B8F1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8" w:history="1">
        <w:r w:rsidRPr="00FF0412">
          <w:rPr>
            <w:rStyle w:val="Hyperlink"/>
          </w:rPr>
          <w:t>Figure 6: Rate of people subject to compulsory treatment order applications (including extensions) per 100,000 population, by gender, 2009/10 to 2023/24</w:t>
        </w:r>
        <w:r>
          <w:rPr>
            <w:webHidden/>
          </w:rPr>
          <w:tab/>
        </w:r>
        <w:r>
          <w:rPr>
            <w:webHidden/>
          </w:rPr>
          <w:fldChar w:fldCharType="begin"/>
        </w:r>
        <w:r>
          <w:rPr>
            <w:webHidden/>
          </w:rPr>
          <w:instrText xml:space="preserve"> PAGEREF _Toc224638178 \h </w:instrText>
        </w:r>
        <w:r>
          <w:rPr>
            <w:webHidden/>
          </w:rPr>
        </w:r>
        <w:r>
          <w:rPr>
            <w:webHidden/>
          </w:rPr>
          <w:fldChar w:fldCharType="separate"/>
        </w:r>
        <w:r w:rsidR="00484E57">
          <w:rPr>
            <w:webHidden/>
          </w:rPr>
          <w:t>8</w:t>
        </w:r>
        <w:r>
          <w:rPr>
            <w:webHidden/>
          </w:rPr>
          <w:fldChar w:fldCharType="end"/>
        </w:r>
      </w:hyperlink>
    </w:p>
    <w:p w14:paraId="32E2C205" w14:textId="41C34317"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79" w:history="1">
        <w:r w:rsidRPr="00FF0412">
          <w:rPr>
            <w:rStyle w:val="Hyperlink"/>
          </w:rPr>
          <w:t>Figure 7: Rate ratio of Māori to non-Māori subject to a community treatment order (section 29) under the Mental Health Act per 100,000 population, by district, 1 July 2023 to 30 June 2024</w:t>
        </w:r>
        <w:r>
          <w:rPr>
            <w:webHidden/>
          </w:rPr>
          <w:tab/>
        </w:r>
        <w:r>
          <w:rPr>
            <w:webHidden/>
          </w:rPr>
          <w:fldChar w:fldCharType="begin"/>
        </w:r>
        <w:r>
          <w:rPr>
            <w:webHidden/>
          </w:rPr>
          <w:instrText xml:space="preserve"> PAGEREF _Toc224638179 \h </w:instrText>
        </w:r>
        <w:r>
          <w:rPr>
            <w:webHidden/>
          </w:rPr>
        </w:r>
        <w:r>
          <w:rPr>
            <w:webHidden/>
          </w:rPr>
          <w:fldChar w:fldCharType="separate"/>
        </w:r>
        <w:r w:rsidR="00484E57">
          <w:rPr>
            <w:webHidden/>
          </w:rPr>
          <w:t>11</w:t>
        </w:r>
        <w:r>
          <w:rPr>
            <w:webHidden/>
          </w:rPr>
          <w:fldChar w:fldCharType="end"/>
        </w:r>
      </w:hyperlink>
    </w:p>
    <w:p w14:paraId="403A1A19" w14:textId="22C0EA54"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0" w:history="1">
        <w:r w:rsidRPr="00FF0412">
          <w:rPr>
            <w:rStyle w:val="Hyperlink"/>
          </w:rPr>
          <w:t>Figure 8: Rate ratio of Māori to non-Māori subject to an inpatient treatment order (section 30) under the Mental Health Act per 100,000 population, by district, 1 July 2023 to 30 June 2024</w:t>
        </w:r>
        <w:r>
          <w:rPr>
            <w:webHidden/>
          </w:rPr>
          <w:tab/>
        </w:r>
        <w:r>
          <w:rPr>
            <w:webHidden/>
          </w:rPr>
          <w:fldChar w:fldCharType="begin"/>
        </w:r>
        <w:r>
          <w:rPr>
            <w:webHidden/>
          </w:rPr>
          <w:instrText xml:space="preserve"> PAGEREF _Toc224638180 \h </w:instrText>
        </w:r>
        <w:r>
          <w:rPr>
            <w:webHidden/>
          </w:rPr>
        </w:r>
        <w:r>
          <w:rPr>
            <w:webHidden/>
          </w:rPr>
          <w:fldChar w:fldCharType="separate"/>
        </w:r>
        <w:r w:rsidR="00484E57">
          <w:rPr>
            <w:webHidden/>
          </w:rPr>
          <w:t>12</w:t>
        </w:r>
        <w:r>
          <w:rPr>
            <w:webHidden/>
          </w:rPr>
          <w:fldChar w:fldCharType="end"/>
        </w:r>
      </w:hyperlink>
    </w:p>
    <w:p w14:paraId="10081A96" w14:textId="0590E5F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1" w:history="1">
        <w:r w:rsidRPr="00FF0412">
          <w:rPr>
            <w:rStyle w:val="Hyperlink"/>
          </w:rPr>
          <w:t>Figure 9: Age-standardised rates of people subject to community (section 29) and inpatient (section 30) treatment orders under the Mental Health Act, by gender and ethnicity, 1 July 2023 to 30 June 2024</w:t>
        </w:r>
        <w:r>
          <w:rPr>
            <w:webHidden/>
          </w:rPr>
          <w:tab/>
        </w:r>
        <w:r>
          <w:rPr>
            <w:webHidden/>
          </w:rPr>
          <w:fldChar w:fldCharType="begin"/>
        </w:r>
        <w:r>
          <w:rPr>
            <w:webHidden/>
          </w:rPr>
          <w:instrText xml:space="preserve"> PAGEREF _Toc224638181 \h </w:instrText>
        </w:r>
        <w:r>
          <w:rPr>
            <w:webHidden/>
          </w:rPr>
        </w:r>
        <w:r>
          <w:rPr>
            <w:webHidden/>
          </w:rPr>
          <w:fldChar w:fldCharType="separate"/>
        </w:r>
        <w:r w:rsidR="00484E57">
          <w:rPr>
            <w:webHidden/>
          </w:rPr>
          <w:t>13</w:t>
        </w:r>
        <w:r>
          <w:rPr>
            <w:webHidden/>
          </w:rPr>
          <w:fldChar w:fldCharType="end"/>
        </w:r>
      </w:hyperlink>
    </w:p>
    <w:p w14:paraId="21F09661" w14:textId="21680406"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2" w:history="1">
        <w:r w:rsidRPr="00FF0412">
          <w:rPr>
            <w:rStyle w:val="Hyperlink"/>
          </w:rPr>
          <w:t>Figure 10: Total time spent subject to a community treatment order (section 29) under the Mental Health Act in the last three years, by ethnicity, for those with a current order in the year 1 July 2023 to 30 June 2024</w:t>
        </w:r>
        <w:r>
          <w:rPr>
            <w:webHidden/>
          </w:rPr>
          <w:tab/>
        </w:r>
        <w:r>
          <w:rPr>
            <w:webHidden/>
          </w:rPr>
          <w:fldChar w:fldCharType="begin"/>
        </w:r>
        <w:r>
          <w:rPr>
            <w:webHidden/>
          </w:rPr>
          <w:instrText xml:space="preserve"> PAGEREF _Toc224638182 \h </w:instrText>
        </w:r>
        <w:r>
          <w:rPr>
            <w:webHidden/>
          </w:rPr>
        </w:r>
        <w:r>
          <w:rPr>
            <w:webHidden/>
          </w:rPr>
          <w:fldChar w:fldCharType="separate"/>
        </w:r>
        <w:r w:rsidR="00484E57">
          <w:rPr>
            <w:webHidden/>
          </w:rPr>
          <w:t>14</w:t>
        </w:r>
        <w:r>
          <w:rPr>
            <w:webHidden/>
          </w:rPr>
          <w:fldChar w:fldCharType="end"/>
        </w:r>
      </w:hyperlink>
    </w:p>
    <w:p w14:paraId="25C5CF52" w14:textId="79DE047D"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3" w:history="1">
        <w:r w:rsidRPr="00FF0412">
          <w:rPr>
            <w:rStyle w:val="Hyperlink"/>
          </w:rPr>
          <w:t>Figure 11: Total time spent subject to an inpatient treatment order (section 30) under the Mental Health Act in the last three years, by ethnicity, for those with a current order in the year 1 July 2023 to 30 June 2024</w:t>
        </w:r>
        <w:r>
          <w:rPr>
            <w:webHidden/>
          </w:rPr>
          <w:tab/>
        </w:r>
        <w:r>
          <w:rPr>
            <w:webHidden/>
          </w:rPr>
          <w:fldChar w:fldCharType="begin"/>
        </w:r>
        <w:r>
          <w:rPr>
            <w:webHidden/>
          </w:rPr>
          <w:instrText xml:space="preserve"> PAGEREF _Toc224638183 \h </w:instrText>
        </w:r>
        <w:r>
          <w:rPr>
            <w:webHidden/>
          </w:rPr>
        </w:r>
        <w:r>
          <w:rPr>
            <w:webHidden/>
          </w:rPr>
          <w:fldChar w:fldCharType="separate"/>
        </w:r>
        <w:r w:rsidR="00484E57">
          <w:rPr>
            <w:webHidden/>
          </w:rPr>
          <w:t>14</w:t>
        </w:r>
        <w:r>
          <w:rPr>
            <w:webHidden/>
          </w:rPr>
          <w:fldChar w:fldCharType="end"/>
        </w:r>
      </w:hyperlink>
    </w:p>
    <w:p w14:paraId="30AF4C97" w14:textId="3C87D041"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4" w:history="1">
        <w:r w:rsidRPr="00FF0412">
          <w:rPr>
            <w:rStyle w:val="Hyperlink"/>
          </w:rPr>
          <w:t>Figure 12: Average percentage of successful family and whānau consultation for particular assessment or treatment events nationally, sections 10, 12, 14 and 76–78, 1 July 2023 to 30 June 2024</w:t>
        </w:r>
        <w:r>
          <w:rPr>
            <w:webHidden/>
          </w:rPr>
          <w:tab/>
        </w:r>
        <w:r>
          <w:rPr>
            <w:webHidden/>
          </w:rPr>
          <w:fldChar w:fldCharType="begin"/>
        </w:r>
        <w:r>
          <w:rPr>
            <w:webHidden/>
          </w:rPr>
          <w:instrText xml:space="preserve"> PAGEREF _Toc224638184 \h </w:instrText>
        </w:r>
        <w:r>
          <w:rPr>
            <w:webHidden/>
          </w:rPr>
        </w:r>
        <w:r>
          <w:rPr>
            <w:webHidden/>
          </w:rPr>
          <w:fldChar w:fldCharType="separate"/>
        </w:r>
        <w:r w:rsidR="00484E57">
          <w:rPr>
            <w:webHidden/>
          </w:rPr>
          <w:t>15</w:t>
        </w:r>
        <w:r>
          <w:rPr>
            <w:webHidden/>
          </w:rPr>
          <w:fldChar w:fldCharType="end"/>
        </w:r>
      </w:hyperlink>
    </w:p>
    <w:p w14:paraId="501A017D" w14:textId="44D8E261"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5" w:history="1">
        <w:r w:rsidRPr="00FF0412">
          <w:rPr>
            <w:rStyle w:val="Hyperlink"/>
          </w:rPr>
          <w:t>Figure 13: Average percentage of successful family and whānau consultation across all assessment and treatment events, by district, 1 July 2023 to 30 June 2024</w:t>
        </w:r>
        <w:r>
          <w:rPr>
            <w:webHidden/>
          </w:rPr>
          <w:tab/>
        </w:r>
        <w:r>
          <w:rPr>
            <w:webHidden/>
          </w:rPr>
          <w:fldChar w:fldCharType="begin"/>
        </w:r>
        <w:r>
          <w:rPr>
            <w:webHidden/>
          </w:rPr>
          <w:instrText xml:space="preserve"> PAGEREF _Toc224638185 \h </w:instrText>
        </w:r>
        <w:r>
          <w:rPr>
            <w:webHidden/>
          </w:rPr>
        </w:r>
        <w:r>
          <w:rPr>
            <w:webHidden/>
          </w:rPr>
          <w:fldChar w:fldCharType="separate"/>
        </w:r>
        <w:r w:rsidR="00484E57">
          <w:rPr>
            <w:webHidden/>
          </w:rPr>
          <w:t>16</w:t>
        </w:r>
        <w:r>
          <w:rPr>
            <w:webHidden/>
          </w:rPr>
          <w:fldChar w:fldCharType="end"/>
        </w:r>
      </w:hyperlink>
    </w:p>
    <w:p w14:paraId="10B800F0" w14:textId="4D23791B"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6" w:history="1">
        <w:r w:rsidRPr="00FF0412">
          <w:rPr>
            <w:rStyle w:val="Hyperlink"/>
          </w:rPr>
          <w:t>Figure 14: Reasons for not consulting families and whānau, 1 July 2023 to 30 June 2024</w:t>
        </w:r>
        <w:r>
          <w:rPr>
            <w:webHidden/>
          </w:rPr>
          <w:tab/>
        </w:r>
        <w:r>
          <w:rPr>
            <w:webHidden/>
          </w:rPr>
          <w:fldChar w:fldCharType="begin"/>
        </w:r>
        <w:r>
          <w:rPr>
            <w:webHidden/>
          </w:rPr>
          <w:instrText xml:space="preserve"> PAGEREF _Toc224638186 \h </w:instrText>
        </w:r>
        <w:r>
          <w:rPr>
            <w:webHidden/>
          </w:rPr>
        </w:r>
        <w:r>
          <w:rPr>
            <w:webHidden/>
          </w:rPr>
          <w:fldChar w:fldCharType="separate"/>
        </w:r>
        <w:r w:rsidR="00484E57">
          <w:rPr>
            <w:webHidden/>
          </w:rPr>
          <w:t>17</w:t>
        </w:r>
        <w:r>
          <w:rPr>
            <w:webHidden/>
          </w:rPr>
          <w:fldChar w:fldCharType="end"/>
        </w:r>
      </w:hyperlink>
    </w:p>
    <w:p w14:paraId="7E08B992" w14:textId="79C0CC1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7" w:history="1">
        <w:r w:rsidRPr="00FF0412">
          <w:rPr>
            <w:rStyle w:val="Hyperlink"/>
          </w:rPr>
          <w:t>Figure 15: Number of people secluded in adult inpatient services nationally, 2007 to 2023/24</w:t>
        </w:r>
        <w:r>
          <w:rPr>
            <w:webHidden/>
          </w:rPr>
          <w:tab/>
        </w:r>
        <w:r>
          <w:rPr>
            <w:webHidden/>
          </w:rPr>
          <w:fldChar w:fldCharType="begin"/>
        </w:r>
        <w:r>
          <w:rPr>
            <w:webHidden/>
          </w:rPr>
          <w:instrText xml:space="preserve"> PAGEREF _Toc224638187 \h </w:instrText>
        </w:r>
        <w:r>
          <w:rPr>
            <w:webHidden/>
          </w:rPr>
        </w:r>
        <w:r>
          <w:rPr>
            <w:webHidden/>
          </w:rPr>
          <w:fldChar w:fldCharType="separate"/>
        </w:r>
        <w:r w:rsidR="00484E57">
          <w:rPr>
            <w:webHidden/>
          </w:rPr>
          <w:t>19</w:t>
        </w:r>
        <w:r>
          <w:rPr>
            <w:webHidden/>
          </w:rPr>
          <w:fldChar w:fldCharType="end"/>
        </w:r>
      </w:hyperlink>
    </w:p>
    <w:p w14:paraId="2FC413B2" w14:textId="309A7438"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8" w:history="1">
        <w:r w:rsidRPr="00FF0412">
          <w:rPr>
            <w:rStyle w:val="Hyperlink"/>
          </w:rPr>
          <w:t>Figure 16: Number of seclusion hours in adult inpatient services nationally, 2007 to 2023/24</w:t>
        </w:r>
        <w:r>
          <w:rPr>
            <w:webHidden/>
          </w:rPr>
          <w:tab/>
        </w:r>
        <w:r>
          <w:rPr>
            <w:webHidden/>
          </w:rPr>
          <w:fldChar w:fldCharType="begin"/>
        </w:r>
        <w:r>
          <w:rPr>
            <w:webHidden/>
          </w:rPr>
          <w:instrText xml:space="preserve"> PAGEREF _Toc224638188 \h </w:instrText>
        </w:r>
        <w:r>
          <w:rPr>
            <w:webHidden/>
          </w:rPr>
        </w:r>
        <w:r>
          <w:rPr>
            <w:webHidden/>
          </w:rPr>
          <w:fldChar w:fldCharType="separate"/>
        </w:r>
        <w:r w:rsidR="00484E57">
          <w:rPr>
            <w:webHidden/>
          </w:rPr>
          <w:t>19</w:t>
        </w:r>
        <w:r>
          <w:rPr>
            <w:webHidden/>
          </w:rPr>
          <w:fldChar w:fldCharType="end"/>
        </w:r>
      </w:hyperlink>
    </w:p>
    <w:p w14:paraId="10345EAC" w14:textId="54A6853B"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89" w:history="1">
        <w:r w:rsidRPr="00FF0412">
          <w:rPr>
            <w:rStyle w:val="Hyperlink"/>
          </w:rPr>
          <w:t>Figure 17: Number of people secluded across all inpatient services (adult, forensic, intellectual disability and youth), by age group, 1 July 2023 to 30 June 2024</w:t>
        </w:r>
        <w:r>
          <w:rPr>
            <w:webHidden/>
          </w:rPr>
          <w:tab/>
        </w:r>
        <w:r>
          <w:rPr>
            <w:webHidden/>
          </w:rPr>
          <w:fldChar w:fldCharType="begin"/>
        </w:r>
        <w:r>
          <w:rPr>
            <w:webHidden/>
          </w:rPr>
          <w:instrText xml:space="preserve"> PAGEREF _Toc224638189 \h </w:instrText>
        </w:r>
        <w:r>
          <w:rPr>
            <w:webHidden/>
          </w:rPr>
        </w:r>
        <w:r>
          <w:rPr>
            <w:webHidden/>
          </w:rPr>
          <w:fldChar w:fldCharType="separate"/>
        </w:r>
        <w:r w:rsidR="00484E57">
          <w:rPr>
            <w:webHidden/>
          </w:rPr>
          <w:t>21</w:t>
        </w:r>
        <w:r>
          <w:rPr>
            <w:webHidden/>
          </w:rPr>
          <w:fldChar w:fldCharType="end"/>
        </w:r>
      </w:hyperlink>
    </w:p>
    <w:p w14:paraId="44209924" w14:textId="4C4AC7C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0" w:history="1">
        <w:r w:rsidRPr="00FF0412">
          <w:rPr>
            <w:rStyle w:val="Hyperlink"/>
          </w:rPr>
          <w:t>Figure 18: Rate of people secluded across all inpatient services (adult, forensic, intellectual disability and youth) per 100,000 population, by age group, 1 July 2023 to 30 June 2024</w:t>
        </w:r>
        <w:r>
          <w:rPr>
            <w:webHidden/>
          </w:rPr>
          <w:tab/>
        </w:r>
        <w:r>
          <w:rPr>
            <w:webHidden/>
          </w:rPr>
          <w:fldChar w:fldCharType="begin"/>
        </w:r>
        <w:r>
          <w:rPr>
            <w:webHidden/>
          </w:rPr>
          <w:instrText xml:space="preserve"> PAGEREF _Toc224638190 \h </w:instrText>
        </w:r>
        <w:r>
          <w:rPr>
            <w:webHidden/>
          </w:rPr>
        </w:r>
        <w:r>
          <w:rPr>
            <w:webHidden/>
          </w:rPr>
          <w:fldChar w:fldCharType="separate"/>
        </w:r>
        <w:r w:rsidR="00484E57">
          <w:rPr>
            <w:webHidden/>
          </w:rPr>
          <w:t>21</w:t>
        </w:r>
        <w:r>
          <w:rPr>
            <w:webHidden/>
          </w:rPr>
          <w:fldChar w:fldCharType="end"/>
        </w:r>
      </w:hyperlink>
    </w:p>
    <w:p w14:paraId="319FDDCF" w14:textId="113B1900"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1" w:history="1">
        <w:r w:rsidRPr="00FF0412">
          <w:rPr>
            <w:rStyle w:val="Hyperlink"/>
          </w:rPr>
          <w:t>Figure 19: Percentage of seclusion events across all inpatient services (adult, forensic, intellectual disability and youth), by length of event, 1 July 2023 to 30 June 2024</w:t>
        </w:r>
        <w:r>
          <w:rPr>
            <w:webHidden/>
          </w:rPr>
          <w:tab/>
        </w:r>
        <w:r>
          <w:rPr>
            <w:webHidden/>
          </w:rPr>
          <w:fldChar w:fldCharType="begin"/>
        </w:r>
        <w:r>
          <w:rPr>
            <w:webHidden/>
          </w:rPr>
          <w:instrText xml:space="preserve"> PAGEREF _Toc224638191 \h </w:instrText>
        </w:r>
        <w:r>
          <w:rPr>
            <w:webHidden/>
          </w:rPr>
        </w:r>
        <w:r>
          <w:rPr>
            <w:webHidden/>
          </w:rPr>
          <w:fldChar w:fldCharType="separate"/>
        </w:r>
        <w:r w:rsidR="00484E57">
          <w:rPr>
            <w:webHidden/>
          </w:rPr>
          <w:t>22</w:t>
        </w:r>
        <w:r>
          <w:rPr>
            <w:webHidden/>
          </w:rPr>
          <w:fldChar w:fldCharType="end"/>
        </w:r>
      </w:hyperlink>
    </w:p>
    <w:p w14:paraId="5D0D1EF8" w14:textId="1F8BD49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2" w:history="1">
        <w:r w:rsidRPr="00FF0412">
          <w:rPr>
            <w:rStyle w:val="Hyperlink"/>
          </w:rPr>
          <w:t>Figure 20: Percentage of seclusion events across all inpatient services (adult, forensic, intellectual disability and youth), by ethnicity and length of event, 1 July 2023 to 30 June 2024</w:t>
        </w:r>
        <w:r>
          <w:rPr>
            <w:webHidden/>
          </w:rPr>
          <w:tab/>
        </w:r>
        <w:r>
          <w:rPr>
            <w:webHidden/>
          </w:rPr>
          <w:fldChar w:fldCharType="begin"/>
        </w:r>
        <w:r>
          <w:rPr>
            <w:webHidden/>
          </w:rPr>
          <w:instrText xml:space="preserve"> PAGEREF _Toc224638192 \h </w:instrText>
        </w:r>
        <w:r>
          <w:rPr>
            <w:webHidden/>
          </w:rPr>
        </w:r>
        <w:r>
          <w:rPr>
            <w:webHidden/>
          </w:rPr>
          <w:fldChar w:fldCharType="separate"/>
        </w:r>
        <w:r w:rsidR="00484E57">
          <w:rPr>
            <w:webHidden/>
          </w:rPr>
          <w:t>22</w:t>
        </w:r>
        <w:r>
          <w:rPr>
            <w:webHidden/>
          </w:rPr>
          <w:fldChar w:fldCharType="end"/>
        </w:r>
      </w:hyperlink>
    </w:p>
    <w:p w14:paraId="5B6A08F4" w14:textId="0C9358C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3" w:history="1">
        <w:r w:rsidRPr="00FF0412">
          <w:rPr>
            <w:rStyle w:val="Hyperlink"/>
          </w:rPr>
          <w:t>Figure 21: Number and percentage of seclusion events across all inpatient services (adult, forensic, intellectual disability and youth), by length of event, 1 July 2023 to 30 June 2024</w:t>
        </w:r>
        <w:r>
          <w:rPr>
            <w:webHidden/>
          </w:rPr>
          <w:tab/>
        </w:r>
        <w:r>
          <w:rPr>
            <w:webHidden/>
          </w:rPr>
          <w:fldChar w:fldCharType="begin"/>
        </w:r>
        <w:r>
          <w:rPr>
            <w:webHidden/>
          </w:rPr>
          <w:instrText xml:space="preserve"> PAGEREF _Toc224638193 \h </w:instrText>
        </w:r>
        <w:r>
          <w:rPr>
            <w:webHidden/>
          </w:rPr>
        </w:r>
        <w:r>
          <w:rPr>
            <w:webHidden/>
          </w:rPr>
          <w:fldChar w:fldCharType="separate"/>
        </w:r>
        <w:r w:rsidR="00484E57">
          <w:rPr>
            <w:webHidden/>
          </w:rPr>
          <w:t>23</w:t>
        </w:r>
        <w:r>
          <w:rPr>
            <w:webHidden/>
          </w:rPr>
          <w:fldChar w:fldCharType="end"/>
        </w:r>
      </w:hyperlink>
    </w:p>
    <w:p w14:paraId="0DE651F5" w14:textId="2967836D"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4" w:history="1">
        <w:r w:rsidRPr="00FF0412">
          <w:rPr>
            <w:rStyle w:val="Hyperlink"/>
          </w:rPr>
          <w:t>Figure 22: Number of seclusion events across all inpatient services (adult, forensic, intellectual disability and youth) that are less than 24 hours, by length of event, 1 July 2023 to 30 June 2024</w:t>
        </w:r>
        <w:r>
          <w:rPr>
            <w:webHidden/>
          </w:rPr>
          <w:tab/>
        </w:r>
        <w:r>
          <w:rPr>
            <w:webHidden/>
          </w:rPr>
          <w:fldChar w:fldCharType="begin"/>
        </w:r>
        <w:r>
          <w:rPr>
            <w:webHidden/>
          </w:rPr>
          <w:instrText xml:space="preserve"> PAGEREF _Toc224638194 \h </w:instrText>
        </w:r>
        <w:r>
          <w:rPr>
            <w:webHidden/>
          </w:rPr>
        </w:r>
        <w:r>
          <w:rPr>
            <w:webHidden/>
          </w:rPr>
          <w:fldChar w:fldCharType="separate"/>
        </w:r>
        <w:r w:rsidR="00484E57">
          <w:rPr>
            <w:webHidden/>
          </w:rPr>
          <w:t>23</w:t>
        </w:r>
        <w:r>
          <w:rPr>
            <w:webHidden/>
          </w:rPr>
          <w:fldChar w:fldCharType="end"/>
        </w:r>
      </w:hyperlink>
    </w:p>
    <w:p w14:paraId="57E2EB42" w14:textId="6FCF007C"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5" w:history="1">
        <w:r w:rsidRPr="00FF0412">
          <w:rPr>
            <w:rStyle w:val="Hyperlink"/>
          </w:rPr>
          <w:t xml:space="preserve">Figure 23: Number of people secluded in adult inpatient services per 100,000 population, by </w:t>
        </w:r>
        <w:r w:rsidRPr="00FF0412">
          <w:rPr>
            <w:rStyle w:val="Hyperlink"/>
            <w:bCs/>
          </w:rPr>
          <w:t>district</w:t>
        </w:r>
        <w:r w:rsidRPr="00FF0412">
          <w:rPr>
            <w:rStyle w:val="Hyperlink"/>
          </w:rPr>
          <w:t>, 1 July 2023 to 30 June 2024</w:t>
        </w:r>
        <w:r>
          <w:rPr>
            <w:webHidden/>
          </w:rPr>
          <w:tab/>
        </w:r>
        <w:r>
          <w:rPr>
            <w:webHidden/>
          </w:rPr>
          <w:fldChar w:fldCharType="begin"/>
        </w:r>
        <w:r>
          <w:rPr>
            <w:webHidden/>
          </w:rPr>
          <w:instrText xml:space="preserve"> PAGEREF _Toc224638195 \h </w:instrText>
        </w:r>
        <w:r>
          <w:rPr>
            <w:webHidden/>
          </w:rPr>
        </w:r>
        <w:r>
          <w:rPr>
            <w:webHidden/>
          </w:rPr>
          <w:fldChar w:fldCharType="separate"/>
        </w:r>
        <w:r w:rsidR="00484E57">
          <w:rPr>
            <w:webHidden/>
          </w:rPr>
          <w:t>24</w:t>
        </w:r>
        <w:r>
          <w:rPr>
            <w:webHidden/>
          </w:rPr>
          <w:fldChar w:fldCharType="end"/>
        </w:r>
      </w:hyperlink>
    </w:p>
    <w:p w14:paraId="37683937" w14:textId="3FF5BAC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6" w:history="1">
        <w:r w:rsidRPr="00FF0412">
          <w:rPr>
            <w:rStyle w:val="Hyperlink"/>
          </w:rPr>
          <w:t>Figure 24: Number of seclusion events in adult inpatient services per 100,000 population, by district, 1 July 2023 to 30 June 2024</w:t>
        </w:r>
        <w:r>
          <w:rPr>
            <w:webHidden/>
          </w:rPr>
          <w:tab/>
        </w:r>
        <w:r>
          <w:rPr>
            <w:webHidden/>
          </w:rPr>
          <w:fldChar w:fldCharType="begin"/>
        </w:r>
        <w:r>
          <w:rPr>
            <w:webHidden/>
          </w:rPr>
          <w:instrText xml:space="preserve"> PAGEREF _Toc224638196 \h </w:instrText>
        </w:r>
        <w:r>
          <w:rPr>
            <w:webHidden/>
          </w:rPr>
        </w:r>
        <w:r>
          <w:rPr>
            <w:webHidden/>
          </w:rPr>
          <w:fldChar w:fldCharType="separate"/>
        </w:r>
        <w:r w:rsidR="00484E57">
          <w:rPr>
            <w:webHidden/>
          </w:rPr>
          <w:t>26</w:t>
        </w:r>
        <w:r>
          <w:rPr>
            <w:webHidden/>
          </w:rPr>
          <w:fldChar w:fldCharType="end"/>
        </w:r>
      </w:hyperlink>
    </w:p>
    <w:p w14:paraId="3467BE96" w14:textId="49F9599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7" w:history="1">
        <w:r w:rsidRPr="00FF0412">
          <w:rPr>
            <w:rStyle w:val="Hyperlink"/>
          </w:rPr>
          <w:t>Figure 25: Number of people secluded in adult inpatient services, by ethnicity and year, from 1 July 2020 to 30 June 2024</w:t>
        </w:r>
        <w:r>
          <w:rPr>
            <w:webHidden/>
          </w:rPr>
          <w:tab/>
        </w:r>
        <w:r>
          <w:rPr>
            <w:webHidden/>
          </w:rPr>
          <w:fldChar w:fldCharType="begin"/>
        </w:r>
        <w:r>
          <w:rPr>
            <w:webHidden/>
          </w:rPr>
          <w:instrText xml:space="preserve"> PAGEREF _Toc224638197 \h </w:instrText>
        </w:r>
        <w:r>
          <w:rPr>
            <w:webHidden/>
          </w:rPr>
        </w:r>
        <w:r>
          <w:rPr>
            <w:webHidden/>
          </w:rPr>
          <w:fldChar w:fldCharType="separate"/>
        </w:r>
        <w:r w:rsidR="00484E57">
          <w:rPr>
            <w:webHidden/>
          </w:rPr>
          <w:t>27</w:t>
        </w:r>
        <w:r>
          <w:rPr>
            <w:webHidden/>
          </w:rPr>
          <w:fldChar w:fldCharType="end"/>
        </w:r>
      </w:hyperlink>
    </w:p>
    <w:p w14:paraId="0B073E89" w14:textId="5E35727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8" w:history="1">
        <w:r w:rsidRPr="00FF0412">
          <w:rPr>
            <w:rStyle w:val="Hyperlink"/>
          </w:rPr>
          <w:t>Figure 26: Seclusion indicators for adult inpatient services, by ethnicity, 1 July 2023 to 30 June 2024</w:t>
        </w:r>
        <w:r>
          <w:rPr>
            <w:webHidden/>
          </w:rPr>
          <w:tab/>
        </w:r>
        <w:r>
          <w:rPr>
            <w:webHidden/>
          </w:rPr>
          <w:fldChar w:fldCharType="begin"/>
        </w:r>
        <w:r>
          <w:rPr>
            <w:webHidden/>
          </w:rPr>
          <w:instrText xml:space="preserve"> PAGEREF _Toc224638198 \h </w:instrText>
        </w:r>
        <w:r>
          <w:rPr>
            <w:webHidden/>
          </w:rPr>
        </w:r>
        <w:r>
          <w:rPr>
            <w:webHidden/>
          </w:rPr>
          <w:fldChar w:fldCharType="separate"/>
        </w:r>
        <w:r w:rsidR="00484E57">
          <w:rPr>
            <w:webHidden/>
          </w:rPr>
          <w:t>28</w:t>
        </w:r>
        <w:r>
          <w:rPr>
            <w:webHidden/>
          </w:rPr>
          <w:fldChar w:fldCharType="end"/>
        </w:r>
      </w:hyperlink>
    </w:p>
    <w:p w14:paraId="2FF6D088" w14:textId="69D48519"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199" w:history="1">
        <w:r w:rsidRPr="00FF0412">
          <w:rPr>
            <w:rStyle w:val="Hyperlink"/>
          </w:rPr>
          <w:t>Figure 27: Percentage of people secluded in adult inpatient services, by ethnicity and gender, 1 July 2023 to 30 June 2024</w:t>
        </w:r>
        <w:r>
          <w:rPr>
            <w:webHidden/>
          </w:rPr>
          <w:tab/>
        </w:r>
        <w:r>
          <w:rPr>
            <w:webHidden/>
          </w:rPr>
          <w:fldChar w:fldCharType="begin"/>
        </w:r>
        <w:r>
          <w:rPr>
            <w:webHidden/>
          </w:rPr>
          <w:instrText xml:space="preserve"> PAGEREF _Toc224638199 \h </w:instrText>
        </w:r>
        <w:r>
          <w:rPr>
            <w:webHidden/>
          </w:rPr>
        </w:r>
        <w:r>
          <w:rPr>
            <w:webHidden/>
          </w:rPr>
          <w:fldChar w:fldCharType="separate"/>
        </w:r>
        <w:r w:rsidR="00484E57">
          <w:rPr>
            <w:webHidden/>
          </w:rPr>
          <w:t>28</w:t>
        </w:r>
        <w:r>
          <w:rPr>
            <w:webHidden/>
          </w:rPr>
          <w:fldChar w:fldCharType="end"/>
        </w:r>
      </w:hyperlink>
    </w:p>
    <w:p w14:paraId="2AAAC52D" w14:textId="2527571C"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0" w:history="1">
        <w:r w:rsidRPr="00FF0412">
          <w:rPr>
            <w:rStyle w:val="Hyperlink"/>
          </w:rPr>
          <w:t>Figure 28: Number of Māori and non-Māori secluded in adult inpatient services, 2007 to 2023/24</w:t>
        </w:r>
        <w:r>
          <w:rPr>
            <w:webHidden/>
          </w:rPr>
          <w:tab/>
        </w:r>
        <w:r>
          <w:rPr>
            <w:webHidden/>
          </w:rPr>
          <w:fldChar w:fldCharType="begin"/>
        </w:r>
        <w:r>
          <w:rPr>
            <w:webHidden/>
          </w:rPr>
          <w:instrText xml:space="preserve"> PAGEREF _Toc224638200 \h </w:instrText>
        </w:r>
        <w:r>
          <w:rPr>
            <w:webHidden/>
          </w:rPr>
        </w:r>
        <w:r>
          <w:rPr>
            <w:webHidden/>
          </w:rPr>
          <w:fldChar w:fldCharType="separate"/>
        </w:r>
        <w:r w:rsidR="00484E57">
          <w:rPr>
            <w:webHidden/>
          </w:rPr>
          <w:t>29</w:t>
        </w:r>
        <w:r>
          <w:rPr>
            <w:webHidden/>
          </w:rPr>
          <w:fldChar w:fldCharType="end"/>
        </w:r>
      </w:hyperlink>
    </w:p>
    <w:p w14:paraId="745B2C08" w14:textId="12CCAD5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1" w:history="1">
        <w:r w:rsidRPr="00FF0412">
          <w:rPr>
            <w:rStyle w:val="Hyperlink"/>
          </w:rPr>
          <w:t>Figure 29: Seclusion indicators for forensic mental health services, by ethnicity, 1 July 2023 to 30 June 2024</w:t>
        </w:r>
        <w:r>
          <w:rPr>
            <w:webHidden/>
          </w:rPr>
          <w:tab/>
        </w:r>
        <w:r>
          <w:rPr>
            <w:webHidden/>
          </w:rPr>
          <w:fldChar w:fldCharType="begin"/>
        </w:r>
        <w:r>
          <w:rPr>
            <w:webHidden/>
          </w:rPr>
          <w:instrText xml:space="preserve"> PAGEREF _Toc224638201 \h </w:instrText>
        </w:r>
        <w:r>
          <w:rPr>
            <w:webHidden/>
          </w:rPr>
        </w:r>
        <w:r>
          <w:rPr>
            <w:webHidden/>
          </w:rPr>
          <w:fldChar w:fldCharType="separate"/>
        </w:r>
        <w:r w:rsidR="00484E57">
          <w:rPr>
            <w:webHidden/>
          </w:rPr>
          <w:t>31</w:t>
        </w:r>
        <w:r>
          <w:rPr>
            <w:webHidden/>
          </w:rPr>
          <w:fldChar w:fldCharType="end"/>
        </w:r>
      </w:hyperlink>
    </w:p>
    <w:p w14:paraId="68B52331" w14:textId="209D75E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2" w:history="1">
        <w:r w:rsidRPr="00FF0412">
          <w:rPr>
            <w:rStyle w:val="Hyperlink"/>
          </w:rPr>
          <w:t>Figure 30: Total number of special patients, by regional service, 1 July 2023 to 30 June 2024</w:t>
        </w:r>
        <w:r>
          <w:rPr>
            <w:webHidden/>
          </w:rPr>
          <w:tab/>
        </w:r>
        <w:r>
          <w:rPr>
            <w:webHidden/>
          </w:rPr>
          <w:fldChar w:fldCharType="begin"/>
        </w:r>
        <w:r>
          <w:rPr>
            <w:webHidden/>
          </w:rPr>
          <w:instrText xml:space="preserve"> PAGEREF _Toc224638202 \h </w:instrText>
        </w:r>
        <w:r>
          <w:rPr>
            <w:webHidden/>
          </w:rPr>
        </w:r>
        <w:r>
          <w:rPr>
            <w:webHidden/>
          </w:rPr>
          <w:fldChar w:fldCharType="separate"/>
        </w:r>
        <w:r w:rsidR="00484E57">
          <w:rPr>
            <w:webHidden/>
          </w:rPr>
          <w:t>34</w:t>
        </w:r>
        <w:r>
          <w:rPr>
            <w:webHidden/>
          </w:rPr>
          <w:fldChar w:fldCharType="end"/>
        </w:r>
      </w:hyperlink>
    </w:p>
    <w:p w14:paraId="08140B69" w14:textId="10FBFFB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3" w:history="1">
        <w:r w:rsidRPr="00FF0412">
          <w:rPr>
            <w:rStyle w:val="Hyperlink"/>
          </w:rPr>
          <w:t>Figure 31: Percentage of court orders given for extended and short-term forensic care, by regional service, 1 July 2023 to 30 June 2024</w:t>
        </w:r>
        <w:r>
          <w:rPr>
            <w:webHidden/>
          </w:rPr>
          <w:tab/>
        </w:r>
        <w:r>
          <w:rPr>
            <w:webHidden/>
          </w:rPr>
          <w:fldChar w:fldCharType="begin"/>
        </w:r>
        <w:r>
          <w:rPr>
            <w:webHidden/>
          </w:rPr>
          <w:instrText xml:space="preserve"> PAGEREF _Toc224638203 \h </w:instrText>
        </w:r>
        <w:r>
          <w:rPr>
            <w:webHidden/>
          </w:rPr>
        </w:r>
        <w:r>
          <w:rPr>
            <w:webHidden/>
          </w:rPr>
          <w:fldChar w:fldCharType="separate"/>
        </w:r>
        <w:r w:rsidR="00484E57">
          <w:rPr>
            <w:webHidden/>
          </w:rPr>
          <w:t>35</w:t>
        </w:r>
        <w:r>
          <w:rPr>
            <w:webHidden/>
          </w:rPr>
          <w:fldChar w:fldCharType="end"/>
        </w:r>
      </w:hyperlink>
    </w:p>
    <w:p w14:paraId="0406713F" w14:textId="1F57CC12"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4" w:history="1">
        <w:r w:rsidRPr="00FF0412">
          <w:rPr>
            <w:rStyle w:val="Hyperlink"/>
          </w:rPr>
          <w:t>Figure 32: Number of special patients, by gender, 1 July 2023 to 30 June 2024</w:t>
        </w:r>
        <w:r>
          <w:rPr>
            <w:webHidden/>
          </w:rPr>
          <w:tab/>
        </w:r>
        <w:r>
          <w:rPr>
            <w:webHidden/>
          </w:rPr>
          <w:fldChar w:fldCharType="begin"/>
        </w:r>
        <w:r>
          <w:rPr>
            <w:webHidden/>
          </w:rPr>
          <w:instrText xml:space="preserve"> PAGEREF _Toc224638204 \h </w:instrText>
        </w:r>
        <w:r>
          <w:rPr>
            <w:webHidden/>
          </w:rPr>
        </w:r>
        <w:r>
          <w:rPr>
            <w:webHidden/>
          </w:rPr>
          <w:fldChar w:fldCharType="separate"/>
        </w:r>
        <w:r w:rsidR="00484E57">
          <w:rPr>
            <w:webHidden/>
          </w:rPr>
          <w:t>36</w:t>
        </w:r>
        <w:r>
          <w:rPr>
            <w:webHidden/>
          </w:rPr>
          <w:fldChar w:fldCharType="end"/>
        </w:r>
      </w:hyperlink>
    </w:p>
    <w:p w14:paraId="063336E9" w14:textId="5C1AD0B1"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5" w:history="1">
        <w:r w:rsidRPr="00FF0412">
          <w:rPr>
            <w:rStyle w:val="Hyperlink"/>
          </w:rPr>
          <w:t>Figure 33: Total number of special patients, by age group, 1 July 2023 to 30 June 2024</w:t>
        </w:r>
        <w:r>
          <w:rPr>
            <w:webHidden/>
          </w:rPr>
          <w:tab/>
        </w:r>
        <w:r>
          <w:rPr>
            <w:webHidden/>
          </w:rPr>
          <w:fldChar w:fldCharType="begin"/>
        </w:r>
        <w:r>
          <w:rPr>
            <w:webHidden/>
          </w:rPr>
          <w:instrText xml:space="preserve"> PAGEREF _Toc224638205 \h </w:instrText>
        </w:r>
        <w:r>
          <w:rPr>
            <w:webHidden/>
          </w:rPr>
        </w:r>
        <w:r>
          <w:rPr>
            <w:webHidden/>
          </w:rPr>
          <w:fldChar w:fldCharType="separate"/>
        </w:r>
        <w:r w:rsidR="00484E57">
          <w:rPr>
            <w:webHidden/>
          </w:rPr>
          <w:t>36</w:t>
        </w:r>
        <w:r>
          <w:rPr>
            <w:webHidden/>
          </w:rPr>
          <w:fldChar w:fldCharType="end"/>
        </w:r>
      </w:hyperlink>
    </w:p>
    <w:p w14:paraId="75CE44E2" w14:textId="1D5465B8"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6" w:history="1">
        <w:r w:rsidRPr="00FF0412">
          <w:rPr>
            <w:rStyle w:val="Hyperlink"/>
          </w:rPr>
          <w:t>Figure 34: Percentage (and number) of special patients, by ethnicity and special patient type, 1 July 2023 to 30 June 2024</w:t>
        </w:r>
        <w:r>
          <w:rPr>
            <w:webHidden/>
          </w:rPr>
          <w:tab/>
        </w:r>
        <w:r>
          <w:rPr>
            <w:webHidden/>
          </w:rPr>
          <w:fldChar w:fldCharType="begin"/>
        </w:r>
        <w:r>
          <w:rPr>
            <w:webHidden/>
          </w:rPr>
          <w:instrText xml:space="preserve"> PAGEREF _Toc224638206 \h </w:instrText>
        </w:r>
        <w:r>
          <w:rPr>
            <w:webHidden/>
          </w:rPr>
        </w:r>
        <w:r>
          <w:rPr>
            <w:webHidden/>
          </w:rPr>
          <w:fldChar w:fldCharType="separate"/>
        </w:r>
        <w:r w:rsidR="00484E57">
          <w:rPr>
            <w:webHidden/>
          </w:rPr>
          <w:t>37</w:t>
        </w:r>
        <w:r>
          <w:rPr>
            <w:webHidden/>
          </w:rPr>
          <w:fldChar w:fldCharType="end"/>
        </w:r>
      </w:hyperlink>
    </w:p>
    <w:p w14:paraId="053593CE" w14:textId="24B08DED"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7" w:history="1">
        <w:r w:rsidRPr="00FF0412">
          <w:rPr>
            <w:rStyle w:val="Hyperlink"/>
          </w:rPr>
          <w:t>Figure 35: Number of ECT patients, 2010 to 2023/24</w:t>
        </w:r>
        <w:r>
          <w:rPr>
            <w:webHidden/>
          </w:rPr>
          <w:tab/>
        </w:r>
        <w:r>
          <w:rPr>
            <w:webHidden/>
          </w:rPr>
          <w:fldChar w:fldCharType="begin"/>
        </w:r>
        <w:r>
          <w:rPr>
            <w:webHidden/>
          </w:rPr>
          <w:instrText xml:space="preserve"> PAGEREF _Toc224638207 \h </w:instrText>
        </w:r>
        <w:r>
          <w:rPr>
            <w:webHidden/>
          </w:rPr>
        </w:r>
        <w:r>
          <w:rPr>
            <w:webHidden/>
          </w:rPr>
          <w:fldChar w:fldCharType="separate"/>
        </w:r>
        <w:r w:rsidR="00484E57">
          <w:rPr>
            <w:webHidden/>
          </w:rPr>
          <w:t>42</w:t>
        </w:r>
        <w:r>
          <w:rPr>
            <w:webHidden/>
          </w:rPr>
          <w:fldChar w:fldCharType="end"/>
        </w:r>
      </w:hyperlink>
    </w:p>
    <w:p w14:paraId="7374097E" w14:textId="02B2CD97"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8" w:history="1">
        <w:r w:rsidRPr="00FF0412">
          <w:rPr>
            <w:rStyle w:val="Hyperlink"/>
          </w:rPr>
          <w:t>Figure 36: Rate of ECT patients per 100,000 population, 2010 to 2023/24</w:t>
        </w:r>
        <w:r>
          <w:rPr>
            <w:webHidden/>
          </w:rPr>
          <w:tab/>
        </w:r>
        <w:r>
          <w:rPr>
            <w:webHidden/>
          </w:rPr>
          <w:fldChar w:fldCharType="begin"/>
        </w:r>
        <w:r>
          <w:rPr>
            <w:webHidden/>
          </w:rPr>
          <w:instrText xml:space="preserve"> PAGEREF _Toc224638208 \h </w:instrText>
        </w:r>
        <w:r>
          <w:rPr>
            <w:webHidden/>
          </w:rPr>
        </w:r>
        <w:r>
          <w:rPr>
            <w:webHidden/>
          </w:rPr>
          <w:fldChar w:fldCharType="separate"/>
        </w:r>
        <w:r w:rsidR="00484E57">
          <w:rPr>
            <w:webHidden/>
          </w:rPr>
          <w:t>43</w:t>
        </w:r>
        <w:r>
          <w:rPr>
            <w:webHidden/>
          </w:rPr>
          <w:fldChar w:fldCharType="end"/>
        </w:r>
      </w:hyperlink>
    </w:p>
    <w:p w14:paraId="459D27CD" w14:textId="45B063B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09" w:history="1">
        <w:r w:rsidRPr="00FF0412">
          <w:rPr>
            <w:rStyle w:val="Hyperlink"/>
          </w:rPr>
          <w:t>Figure 37: Rate of people per 100,000 population treated with ECT, by district of domicile, 1 July 2023 to 30 June 2024</w:t>
        </w:r>
        <w:r>
          <w:rPr>
            <w:webHidden/>
          </w:rPr>
          <w:tab/>
        </w:r>
        <w:r>
          <w:rPr>
            <w:webHidden/>
          </w:rPr>
          <w:fldChar w:fldCharType="begin"/>
        </w:r>
        <w:r>
          <w:rPr>
            <w:webHidden/>
          </w:rPr>
          <w:instrText xml:space="preserve"> PAGEREF _Toc224638209 \h </w:instrText>
        </w:r>
        <w:r>
          <w:rPr>
            <w:webHidden/>
          </w:rPr>
        </w:r>
        <w:r>
          <w:rPr>
            <w:webHidden/>
          </w:rPr>
          <w:fldChar w:fldCharType="separate"/>
        </w:r>
        <w:r w:rsidR="00484E57">
          <w:rPr>
            <w:webHidden/>
          </w:rPr>
          <w:t>44</w:t>
        </w:r>
        <w:r>
          <w:rPr>
            <w:webHidden/>
          </w:rPr>
          <w:fldChar w:fldCharType="end"/>
        </w:r>
      </w:hyperlink>
    </w:p>
    <w:p w14:paraId="390CB538" w14:textId="6EB9D25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0" w:history="1">
        <w:r w:rsidRPr="00FF0412">
          <w:rPr>
            <w:rStyle w:val="Hyperlink"/>
          </w:rPr>
          <w:t>Figure 38: Rate of ECT treatments per 100,000 population, by district of domicile, 1 July 2023 to 30 June 2024</w:t>
        </w:r>
        <w:r>
          <w:rPr>
            <w:webHidden/>
          </w:rPr>
          <w:tab/>
        </w:r>
        <w:r>
          <w:rPr>
            <w:webHidden/>
          </w:rPr>
          <w:fldChar w:fldCharType="begin"/>
        </w:r>
        <w:r>
          <w:rPr>
            <w:webHidden/>
          </w:rPr>
          <w:instrText xml:space="preserve"> PAGEREF _Toc224638210 \h </w:instrText>
        </w:r>
        <w:r>
          <w:rPr>
            <w:webHidden/>
          </w:rPr>
        </w:r>
        <w:r>
          <w:rPr>
            <w:webHidden/>
          </w:rPr>
          <w:fldChar w:fldCharType="separate"/>
        </w:r>
        <w:r w:rsidR="00484E57">
          <w:rPr>
            <w:webHidden/>
          </w:rPr>
          <w:t>45</w:t>
        </w:r>
        <w:r>
          <w:rPr>
            <w:webHidden/>
          </w:rPr>
          <w:fldChar w:fldCharType="end"/>
        </w:r>
      </w:hyperlink>
    </w:p>
    <w:p w14:paraId="379105B4" w14:textId="2E3AAD58"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1" w:history="1">
        <w:r w:rsidRPr="00FF0412">
          <w:rPr>
            <w:rStyle w:val="Hyperlink"/>
          </w:rPr>
          <w:t>Figure 39: Rate of people treated with ECT per 100,000 population, by district of domicile, 1 July 2023 to 30 June 2024</w:t>
        </w:r>
        <w:r>
          <w:rPr>
            <w:webHidden/>
          </w:rPr>
          <w:tab/>
        </w:r>
        <w:r>
          <w:rPr>
            <w:webHidden/>
          </w:rPr>
          <w:fldChar w:fldCharType="begin"/>
        </w:r>
        <w:r>
          <w:rPr>
            <w:webHidden/>
          </w:rPr>
          <w:instrText xml:space="preserve"> PAGEREF _Toc224638211 \h </w:instrText>
        </w:r>
        <w:r>
          <w:rPr>
            <w:webHidden/>
          </w:rPr>
        </w:r>
        <w:r>
          <w:rPr>
            <w:webHidden/>
          </w:rPr>
          <w:fldChar w:fldCharType="separate"/>
        </w:r>
        <w:r w:rsidR="00484E57">
          <w:rPr>
            <w:webHidden/>
          </w:rPr>
          <w:t>45</w:t>
        </w:r>
        <w:r>
          <w:rPr>
            <w:webHidden/>
          </w:rPr>
          <w:fldChar w:fldCharType="end"/>
        </w:r>
      </w:hyperlink>
    </w:p>
    <w:p w14:paraId="5194947E" w14:textId="7E103B6A"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2" w:history="1">
        <w:r w:rsidRPr="00FF0412">
          <w:rPr>
            <w:rStyle w:val="Hyperlink"/>
          </w:rPr>
          <w:t>Figure 40: Number of people treated with ECT, by age group and gender, 1 July 2023 to 30 June 2024</w:t>
        </w:r>
        <w:r>
          <w:rPr>
            <w:webHidden/>
          </w:rPr>
          <w:tab/>
        </w:r>
        <w:r>
          <w:rPr>
            <w:webHidden/>
          </w:rPr>
          <w:fldChar w:fldCharType="begin"/>
        </w:r>
        <w:r>
          <w:rPr>
            <w:webHidden/>
          </w:rPr>
          <w:instrText xml:space="preserve"> PAGEREF _Toc224638212 \h </w:instrText>
        </w:r>
        <w:r>
          <w:rPr>
            <w:webHidden/>
          </w:rPr>
        </w:r>
        <w:r>
          <w:rPr>
            <w:webHidden/>
          </w:rPr>
          <w:fldChar w:fldCharType="separate"/>
        </w:r>
        <w:r w:rsidR="00484E57">
          <w:rPr>
            <w:webHidden/>
          </w:rPr>
          <w:t>46</w:t>
        </w:r>
        <w:r>
          <w:rPr>
            <w:webHidden/>
          </w:rPr>
          <w:fldChar w:fldCharType="end"/>
        </w:r>
      </w:hyperlink>
    </w:p>
    <w:p w14:paraId="4C119843" w14:textId="3B654EE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3" w:history="1">
        <w:r w:rsidRPr="00FF0412">
          <w:rPr>
            <w:rStyle w:val="Hyperlink"/>
          </w:rPr>
          <w:t>Figure 41: Percentage of people receiving opioid substitution therapy from specialist services and general practitioners, by district, 1 July 2023 to 30 June 2024</w:t>
        </w:r>
        <w:r>
          <w:rPr>
            <w:webHidden/>
          </w:rPr>
          <w:tab/>
        </w:r>
        <w:r>
          <w:rPr>
            <w:webHidden/>
          </w:rPr>
          <w:fldChar w:fldCharType="begin"/>
        </w:r>
        <w:r>
          <w:rPr>
            <w:webHidden/>
          </w:rPr>
          <w:instrText xml:space="preserve"> PAGEREF _Toc224638213 \h </w:instrText>
        </w:r>
        <w:r>
          <w:rPr>
            <w:webHidden/>
          </w:rPr>
        </w:r>
        <w:r>
          <w:rPr>
            <w:webHidden/>
          </w:rPr>
          <w:fldChar w:fldCharType="separate"/>
        </w:r>
        <w:r w:rsidR="00484E57">
          <w:rPr>
            <w:webHidden/>
          </w:rPr>
          <w:t>50</w:t>
        </w:r>
        <w:r>
          <w:rPr>
            <w:webHidden/>
          </w:rPr>
          <w:fldChar w:fldCharType="end"/>
        </w:r>
      </w:hyperlink>
    </w:p>
    <w:p w14:paraId="5A0B3128" w14:textId="533BF66C"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4" w:history="1">
        <w:r w:rsidRPr="00FF0412">
          <w:rPr>
            <w:rStyle w:val="Hyperlink"/>
          </w:rPr>
          <w:t>Figure 42: Number of people receiving opioid substitution therapy from a specialist service, general practitioner or prison service, 2009/10 to 2023/24</w:t>
        </w:r>
        <w:r>
          <w:rPr>
            <w:webHidden/>
          </w:rPr>
          <w:tab/>
        </w:r>
        <w:r>
          <w:rPr>
            <w:webHidden/>
          </w:rPr>
          <w:fldChar w:fldCharType="begin"/>
        </w:r>
        <w:r>
          <w:rPr>
            <w:webHidden/>
          </w:rPr>
          <w:instrText xml:space="preserve"> PAGEREF _Toc224638214 \h </w:instrText>
        </w:r>
        <w:r>
          <w:rPr>
            <w:webHidden/>
          </w:rPr>
        </w:r>
        <w:r>
          <w:rPr>
            <w:webHidden/>
          </w:rPr>
          <w:fldChar w:fldCharType="separate"/>
        </w:r>
        <w:r w:rsidR="00484E57">
          <w:rPr>
            <w:webHidden/>
          </w:rPr>
          <w:t>50</w:t>
        </w:r>
        <w:r>
          <w:rPr>
            <w:webHidden/>
          </w:rPr>
          <w:fldChar w:fldCharType="end"/>
        </w:r>
      </w:hyperlink>
    </w:p>
    <w:p w14:paraId="7A69BE2B" w14:textId="6D536DA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5" w:history="1">
        <w:r w:rsidRPr="00FF0412">
          <w:rPr>
            <w:rStyle w:val="Hyperlink"/>
          </w:rPr>
          <w:t>Figure 43: Number of people prescribed suboxone, 2009/10 to 2023/24</w:t>
        </w:r>
        <w:r>
          <w:rPr>
            <w:webHidden/>
          </w:rPr>
          <w:tab/>
        </w:r>
        <w:r>
          <w:rPr>
            <w:webHidden/>
          </w:rPr>
          <w:fldChar w:fldCharType="begin"/>
        </w:r>
        <w:r>
          <w:rPr>
            <w:webHidden/>
          </w:rPr>
          <w:instrText xml:space="preserve"> PAGEREF _Toc224638215 \h </w:instrText>
        </w:r>
        <w:r>
          <w:rPr>
            <w:webHidden/>
          </w:rPr>
        </w:r>
        <w:r>
          <w:rPr>
            <w:webHidden/>
          </w:rPr>
          <w:fldChar w:fldCharType="separate"/>
        </w:r>
        <w:r w:rsidR="00484E57">
          <w:rPr>
            <w:webHidden/>
          </w:rPr>
          <w:t>51</w:t>
        </w:r>
        <w:r>
          <w:rPr>
            <w:webHidden/>
          </w:rPr>
          <w:fldChar w:fldCharType="end"/>
        </w:r>
      </w:hyperlink>
    </w:p>
    <w:p w14:paraId="45B17460" w14:textId="089B337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6" w:history="1">
        <w:r w:rsidRPr="00FF0412">
          <w:rPr>
            <w:rStyle w:val="Hyperlink"/>
          </w:rPr>
          <w:t>Figure 44: Number of opioid substitution treatment clients, by age group, 2009/10 to 2023/24</w:t>
        </w:r>
        <w:r>
          <w:rPr>
            <w:webHidden/>
          </w:rPr>
          <w:tab/>
        </w:r>
        <w:r>
          <w:rPr>
            <w:webHidden/>
          </w:rPr>
          <w:fldChar w:fldCharType="begin"/>
        </w:r>
        <w:r>
          <w:rPr>
            <w:webHidden/>
          </w:rPr>
          <w:instrText xml:space="preserve"> PAGEREF _Toc224638216 \h </w:instrText>
        </w:r>
        <w:r>
          <w:rPr>
            <w:webHidden/>
          </w:rPr>
        </w:r>
        <w:r>
          <w:rPr>
            <w:webHidden/>
          </w:rPr>
          <w:fldChar w:fldCharType="separate"/>
        </w:r>
        <w:r w:rsidR="00484E57">
          <w:rPr>
            <w:webHidden/>
          </w:rPr>
          <w:t>52</w:t>
        </w:r>
        <w:r>
          <w:rPr>
            <w:webHidden/>
          </w:rPr>
          <w:fldChar w:fldCharType="end"/>
        </w:r>
      </w:hyperlink>
    </w:p>
    <w:p w14:paraId="43CA7159" w14:textId="0B771AAC"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7" w:history="1">
        <w:r w:rsidRPr="00FF0412">
          <w:rPr>
            <w:rStyle w:val="Hyperlink"/>
          </w:rPr>
          <w:t>Figure 45: Percentage of exits from opioid substitution treatment programmes, by reason (voluntary, involuntary or death), 2009/10 to 2023/24</w:t>
        </w:r>
        <w:r>
          <w:rPr>
            <w:webHidden/>
          </w:rPr>
          <w:tab/>
        </w:r>
        <w:r>
          <w:rPr>
            <w:webHidden/>
          </w:rPr>
          <w:fldChar w:fldCharType="begin"/>
        </w:r>
        <w:r>
          <w:rPr>
            <w:webHidden/>
          </w:rPr>
          <w:instrText xml:space="preserve"> PAGEREF _Toc224638217 \h </w:instrText>
        </w:r>
        <w:r>
          <w:rPr>
            <w:webHidden/>
          </w:rPr>
        </w:r>
        <w:r>
          <w:rPr>
            <w:webHidden/>
          </w:rPr>
          <w:fldChar w:fldCharType="separate"/>
        </w:r>
        <w:r w:rsidR="00484E57">
          <w:rPr>
            <w:webHidden/>
          </w:rPr>
          <w:t>53</w:t>
        </w:r>
        <w:r>
          <w:rPr>
            <w:webHidden/>
          </w:rPr>
          <w:fldChar w:fldCharType="end"/>
        </w:r>
      </w:hyperlink>
    </w:p>
    <w:p w14:paraId="486B4171" w14:textId="03E26204"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8" w:history="1">
        <w:r w:rsidRPr="00FF0412">
          <w:rPr>
            <w:rStyle w:val="Hyperlink"/>
          </w:rPr>
          <w:t>Figure 46: Drug-checking harm reduction advice and samples tested by quarter, 1 July 2023 to 30 June 2024</w:t>
        </w:r>
        <w:r>
          <w:rPr>
            <w:webHidden/>
          </w:rPr>
          <w:tab/>
        </w:r>
        <w:r>
          <w:rPr>
            <w:webHidden/>
          </w:rPr>
          <w:fldChar w:fldCharType="begin"/>
        </w:r>
        <w:r>
          <w:rPr>
            <w:webHidden/>
          </w:rPr>
          <w:instrText xml:space="preserve"> PAGEREF _Toc224638218 \h </w:instrText>
        </w:r>
        <w:r>
          <w:rPr>
            <w:webHidden/>
          </w:rPr>
        </w:r>
        <w:r>
          <w:rPr>
            <w:webHidden/>
          </w:rPr>
          <w:fldChar w:fldCharType="separate"/>
        </w:r>
        <w:r w:rsidR="00484E57">
          <w:rPr>
            <w:webHidden/>
          </w:rPr>
          <w:t>55</w:t>
        </w:r>
        <w:r>
          <w:rPr>
            <w:webHidden/>
          </w:rPr>
          <w:fldChar w:fldCharType="end"/>
        </w:r>
      </w:hyperlink>
    </w:p>
    <w:p w14:paraId="55BA6B49" w14:textId="35660A22"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19" w:history="1">
        <w:r w:rsidRPr="00FF0412">
          <w:rPr>
            <w:rStyle w:val="Hyperlink"/>
          </w:rPr>
          <w:t>Figure 47: Breakdown of drug types at drug checking, as presumed by client on presentation, 1 July 2023 to 30 June 2024</w:t>
        </w:r>
        <w:r>
          <w:rPr>
            <w:webHidden/>
          </w:rPr>
          <w:tab/>
        </w:r>
        <w:r>
          <w:rPr>
            <w:webHidden/>
          </w:rPr>
          <w:fldChar w:fldCharType="begin"/>
        </w:r>
        <w:r>
          <w:rPr>
            <w:webHidden/>
          </w:rPr>
          <w:instrText xml:space="preserve"> PAGEREF _Toc224638219 \h </w:instrText>
        </w:r>
        <w:r>
          <w:rPr>
            <w:webHidden/>
          </w:rPr>
        </w:r>
        <w:r>
          <w:rPr>
            <w:webHidden/>
          </w:rPr>
          <w:fldChar w:fldCharType="separate"/>
        </w:r>
        <w:r w:rsidR="00484E57">
          <w:rPr>
            <w:webHidden/>
          </w:rPr>
          <w:t>56</w:t>
        </w:r>
        <w:r>
          <w:rPr>
            <w:webHidden/>
          </w:rPr>
          <w:fldChar w:fldCharType="end"/>
        </w:r>
      </w:hyperlink>
    </w:p>
    <w:p w14:paraId="6BB2A430" w14:textId="52F3AE3F"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0" w:history="1">
        <w:r w:rsidRPr="00FF0412">
          <w:rPr>
            <w:rStyle w:val="Hyperlink"/>
          </w:rPr>
          <w:t>Figure 48: Percentage of testing consistency with presumed substance, 1 July 2023 to 30 June 2024</w:t>
        </w:r>
        <w:r>
          <w:rPr>
            <w:webHidden/>
          </w:rPr>
          <w:tab/>
        </w:r>
        <w:r>
          <w:rPr>
            <w:webHidden/>
          </w:rPr>
          <w:fldChar w:fldCharType="begin"/>
        </w:r>
        <w:r>
          <w:rPr>
            <w:webHidden/>
          </w:rPr>
          <w:instrText xml:space="preserve"> PAGEREF _Toc224638220 \h </w:instrText>
        </w:r>
        <w:r>
          <w:rPr>
            <w:webHidden/>
          </w:rPr>
        </w:r>
        <w:r>
          <w:rPr>
            <w:webHidden/>
          </w:rPr>
          <w:fldChar w:fldCharType="separate"/>
        </w:r>
        <w:r w:rsidR="00484E57">
          <w:rPr>
            <w:webHidden/>
          </w:rPr>
          <w:t>57</w:t>
        </w:r>
        <w:r>
          <w:rPr>
            <w:webHidden/>
          </w:rPr>
          <w:fldChar w:fldCharType="end"/>
        </w:r>
      </w:hyperlink>
    </w:p>
    <w:p w14:paraId="05CC63FD" w14:textId="3F51A904" w:rsidR="003A5FEA" w:rsidRPr="00ED2B1F" w:rsidRDefault="00AE3F06" w:rsidP="003A5FEA">
      <w:r w:rsidRPr="00ED2B1F">
        <w:fldChar w:fldCharType="end"/>
      </w:r>
    </w:p>
    <w:p w14:paraId="0D248541" w14:textId="77777777" w:rsidR="002B76A7" w:rsidRPr="00ED2B1F" w:rsidRDefault="002B76A7" w:rsidP="002B76A7">
      <w:pPr>
        <w:pStyle w:val="TOC1"/>
        <w:keepNext/>
      </w:pPr>
      <w:r w:rsidRPr="00ED2B1F">
        <w:t>List of Tables</w:t>
      </w:r>
    </w:p>
    <w:p w14:paraId="7E2B4492" w14:textId="1FAA8758" w:rsidR="00B05CA9" w:rsidRDefault="00AE3F06">
      <w:pPr>
        <w:pStyle w:val="TOC3"/>
        <w:rPr>
          <w:rFonts w:asciiTheme="minorHAnsi" w:eastAsiaTheme="minorEastAsia" w:hAnsiTheme="minorHAnsi" w:cstheme="minorBidi"/>
          <w:kern w:val="2"/>
          <w:sz w:val="24"/>
          <w:szCs w:val="24"/>
          <w:lang w:val="en-AU" w:eastAsia="en-AU"/>
          <w14:ligatures w14:val="standardContextual"/>
        </w:rPr>
      </w:pPr>
      <w:r w:rsidRPr="00926E1E">
        <w:rPr>
          <w:noProof w:val="0"/>
          <w:sz w:val="18"/>
          <w:szCs w:val="18"/>
        </w:rPr>
        <w:fldChar w:fldCharType="begin"/>
      </w:r>
      <w:r w:rsidRPr="00926E1E">
        <w:rPr>
          <w:noProof w:val="0"/>
          <w:sz w:val="18"/>
          <w:szCs w:val="18"/>
        </w:rPr>
        <w:instrText xml:space="preserve"> TOC \h \z \t "Table,3" </w:instrText>
      </w:r>
      <w:r w:rsidRPr="00926E1E">
        <w:rPr>
          <w:noProof w:val="0"/>
          <w:sz w:val="18"/>
          <w:szCs w:val="18"/>
        </w:rPr>
        <w:fldChar w:fldCharType="separate"/>
      </w:r>
      <w:hyperlink w:anchor="_Toc224638221" w:history="1">
        <w:r w:rsidR="00B05CA9" w:rsidRPr="00BB3F91">
          <w:rPr>
            <w:rStyle w:val="Hyperlink"/>
          </w:rPr>
          <w:t>Table 1: Average number of people each month required to undergo assessment under section 11, 13 or 15 of the Mental Health Act per 100,000 population, by district, 1 July 2023 to 30 June 2024</w:t>
        </w:r>
        <w:r w:rsidR="00B05CA9">
          <w:rPr>
            <w:webHidden/>
          </w:rPr>
          <w:tab/>
        </w:r>
        <w:r w:rsidR="00B05CA9">
          <w:rPr>
            <w:webHidden/>
          </w:rPr>
          <w:fldChar w:fldCharType="begin"/>
        </w:r>
        <w:r w:rsidR="00B05CA9">
          <w:rPr>
            <w:webHidden/>
          </w:rPr>
          <w:instrText xml:space="preserve"> PAGEREF _Toc224638221 \h </w:instrText>
        </w:r>
        <w:r w:rsidR="00B05CA9">
          <w:rPr>
            <w:webHidden/>
          </w:rPr>
        </w:r>
        <w:r w:rsidR="00B05CA9">
          <w:rPr>
            <w:webHidden/>
          </w:rPr>
          <w:fldChar w:fldCharType="separate"/>
        </w:r>
        <w:r w:rsidR="00484E57">
          <w:rPr>
            <w:webHidden/>
          </w:rPr>
          <w:t>5</w:t>
        </w:r>
        <w:r w:rsidR="00B05CA9">
          <w:rPr>
            <w:webHidden/>
          </w:rPr>
          <w:fldChar w:fldCharType="end"/>
        </w:r>
      </w:hyperlink>
    </w:p>
    <w:p w14:paraId="5CF2A127" w14:textId="47D490E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2" w:history="1">
        <w:r w:rsidRPr="00BB3F91">
          <w:rPr>
            <w:rStyle w:val="Hyperlink"/>
          </w:rPr>
          <w:t>Table 2: Average number of people on a given day subject to a compulsory treatment order under section 29, 30 or 31 of the Mental Health Act per 100,000 population, by district, 1 July 2023 to 30 June 2024</w:t>
        </w:r>
        <w:r>
          <w:rPr>
            <w:webHidden/>
          </w:rPr>
          <w:tab/>
        </w:r>
        <w:r>
          <w:rPr>
            <w:webHidden/>
          </w:rPr>
          <w:fldChar w:fldCharType="begin"/>
        </w:r>
        <w:r>
          <w:rPr>
            <w:webHidden/>
          </w:rPr>
          <w:instrText xml:space="preserve"> PAGEREF _Toc224638222 \h </w:instrText>
        </w:r>
        <w:r>
          <w:rPr>
            <w:webHidden/>
          </w:rPr>
        </w:r>
        <w:r>
          <w:rPr>
            <w:webHidden/>
          </w:rPr>
          <w:fldChar w:fldCharType="separate"/>
        </w:r>
        <w:r w:rsidR="00484E57">
          <w:rPr>
            <w:webHidden/>
          </w:rPr>
          <w:t>6</w:t>
        </w:r>
        <w:r>
          <w:rPr>
            <w:webHidden/>
          </w:rPr>
          <w:fldChar w:fldCharType="end"/>
        </w:r>
      </w:hyperlink>
    </w:p>
    <w:p w14:paraId="631D48C8" w14:textId="72E466E2"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3" w:history="1">
        <w:r w:rsidRPr="00BB3F91">
          <w:rPr>
            <w:rStyle w:val="Hyperlink"/>
          </w:rPr>
          <w:t>Table 3: Percentage of mental health service users, by ethnicity, 1 July 2023 to 30 June 2024</w:t>
        </w:r>
        <w:r>
          <w:rPr>
            <w:webHidden/>
          </w:rPr>
          <w:tab/>
        </w:r>
        <w:r>
          <w:rPr>
            <w:webHidden/>
          </w:rPr>
          <w:fldChar w:fldCharType="begin"/>
        </w:r>
        <w:r>
          <w:rPr>
            <w:webHidden/>
          </w:rPr>
          <w:instrText xml:space="preserve"> PAGEREF _Toc224638223 \h </w:instrText>
        </w:r>
        <w:r>
          <w:rPr>
            <w:webHidden/>
          </w:rPr>
        </w:r>
        <w:r>
          <w:rPr>
            <w:webHidden/>
          </w:rPr>
          <w:fldChar w:fldCharType="separate"/>
        </w:r>
        <w:r w:rsidR="00484E57">
          <w:rPr>
            <w:webHidden/>
          </w:rPr>
          <w:t>9</w:t>
        </w:r>
        <w:r>
          <w:rPr>
            <w:webHidden/>
          </w:rPr>
          <w:fldChar w:fldCharType="end"/>
        </w:r>
      </w:hyperlink>
    </w:p>
    <w:p w14:paraId="757E04E8" w14:textId="5EBAFDD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4" w:history="1">
        <w:r w:rsidRPr="00BB3F91">
          <w:rPr>
            <w:rStyle w:val="Hyperlink"/>
          </w:rPr>
          <w:t>Table 4: Number and rate of people required to undergo assessment under section 11, 13 or 15 of the Mental Health Act, by ethnicity 1 July 2023 to 30 June 2024</w:t>
        </w:r>
        <w:r>
          <w:rPr>
            <w:webHidden/>
          </w:rPr>
          <w:tab/>
        </w:r>
        <w:r>
          <w:rPr>
            <w:webHidden/>
          </w:rPr>
          <w:fldChar w:fldCharType="begin"/>
        </w:r>
        <w:r>
          <w:rPr>
            <w:webHidden/>
          </w:rPr>
          <w:instrText xml:space="preserve"> PAGEREF _Toc224638224 \h </w:instrText>
        </w:r>
        <w:r>
          <w:rPr>
            <w:webHidden/>
          </w:rPr>
        </w:r>
        <w:r>
          <w:rPr>
            <w:webHidden/>
          </w:rPr>
          <w:fldChar w:fldCharType="separate"/>
        </w:r>
        <w:r w:rsidR="00484E57">
          <w:rPr>
            <w:webHidden/>
          </w:rPr>
          <w:t>10</w:t>
        </w:r>
        <w:r>
          <w:rPr>
            <w:webHidden/>
          </w:rPr>
          <w:fldChar w:fldCharType="end"/>
        </w:r>
      </w:hyperlink>
    </w:p>
    <w:p w14:paraId="7E8F39D4" w14:textId="446ED36B"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5" w:history="1">
        <w:r w:rsidRPr="00BB3F91">
          <w:rPr>
            <w:rStyle w:val="Hyperlink"/>
          </w:rPr>
          <w:t>Table 5: Number and rate of people subject to a compulsory treatment order under section 29 or 30 of the Mental Health Act, by ethnicity, 1 July 2023 to 30 June 2024</w:t>
        </w:r>
        <w:r>
          <w:rPr>
            <w:webHidden/>
          </w:rPr>
          <w:tab/>
        </w:r>
        <w:r>
          <w:rPr>
            <w:webHidden/>
          </w:rPr>
          <w:fldChar w:fldCharType="begin"/>
        </w:r>
        <w:r>
          <w:rPr>
            <w:webHidden/>
          </w:rPr>
          <w:instrText xml:space="preserve"> PAGEREF _Toc224638225 \h </w:instrText>
        </w:r>
        <w:r>
          <w:rPr>
            <w:webHidden/>
          </w:rPr>
        </w:r>
        <w:r>
          <w:rPr>
            <w:webHidden/>
          </w:rPr>
          <w:fldChar w:fldCharType="separate"/>
        </w:r>
        <w:r w:rsidR="00484E57">
          <w:rPr>
            <w:webHidden/>
          </w:rPr>
          <w:t>10</w:t>
        </w:r>
        <w:r>
          <w:rPr>
            <w:webHidden/>
          </w:rPr>
          <w:fldChar w:fldCharType="end"/>
        </w:r>
      </w:hyperlink>
    </w:p>
    <w:p w14:paraId="57AA7C77" w14:textId="3AA05E66"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6" w:history="1">
        <w:r w:rsidRPr="00BB3F91">
          <w:rPr>
            <w:rStyle w:val="Hyperlink"/>
          </w:rPr>
          <w:t>Table 6: Age-standardised rates of people subject to community (section 29) and inpatient (section 30) CTOs under the Mental Health Act, by gender and ethnicity, 1 July 2023 to 30 June 2024</w:t>
        </w:r>
        <w:r>
          <w:rPr>
            <w:webHidden/>
          </w:rPr>
          <w:tab/>
        </w:r>
        <w:r>
          <w:rPr>
            <w:webHidden/>
          </w:rPr>
          <w:fldChar w:fldCharType="begin"/>
        </w:r>
        <w:r>
          <w:rPr>
            <w:webHidden/>
          </w:rPr>
          <w:instrText xml:space="preserve"> PAGEREF _Toc224638226 \h </w:instrText>
        </w:r>
        <w:r>
          <w:rPr>
            <w:webHidden/>
          </w:rPr>
        </w:r>
        <w:r>
          <w:rPr>
            <w:webHidden/>
          </w:rPr>
          <w:fldChar w:fldCharType="separate"/>
        </w:r>
        <w:r w:rsidR="00484E57">
          <w:rPr>
            <w:webHidden/>
          </w:rPr>
          <w:t>12</w:t>
        </w:r>
        <w:r>
          <w:rPr>
            <w:webHidden/>
          </w:rPr>
          <w:fldChar w:fldCharType="end"/>
        </w:r>
      </w:hyperlink>
    </w:p>
    <w:p w14:paraId="4275C436" w14:textId="2F4ABBC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7" w:history="1">
        <w:r w:rsidRPr="00BB3F91">
          <w:rPr>
            <w:rStyle w:val="Hyperlink"/>
          </w:rPr>
          <w:t>Table 7: Rate ratio of age-standardised rates of people subject to community (section 29) and inpatient (section 30) treatment orders under the Mental Health Act, by gender and ethnicity, 1 July 2023 to 30 June 2024</w:t>
        </w:r>
        <w:r>
          <w:rPr>
            <w:webHidden/>
          </w:rPr>
          <w:tab/>
        </w:r>
        <w:r>
          <w:rPr>
            <w:webHidden/>
          </w:rPr>
          <w:fldChar w:fldCharType="begin"/>
        </w:r>
        <w:r>
          <w:rPr>
            <w:webHidden/>
          </w:rPr>
          <w:instrText xml:space="preserve"> PAGEREF _Toc224638227 \h </w:instrText>
        </w:r>
        <w:r>
          <w:rPr>
            <w:webHidden/>
          </w:rPr>
        </w:r>
        <w:r>
          <w:rPr>
            <w:webHidden/>
          </w:rPr>
          <w:fldChar w:fldCharType="separate"/>
        </w:r>
        <w:r w:rsidR="00484E57">
          <w:rPr>
            <w:webHidden/>
          </w:rPr>
          <w:t>13</w:t>
        </w:r>
        <w:r>
          <w:rPr>
            <w:webHidden/>
          </w:rPr>
          <w:fldChar w:fldCharType="end"/>
        </w:r>
      </w:hyperlink>
    </w:p>
    <w:p w14:paraId="3AF5236F" w14:textId="4A6D858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8" w:history="1">
        <w:r w:rsidRPr="00BB3F91">
          <w:rPr>
            <w:rStyle w:val="Hyperlink"/>
          </w:rPr>
          <w:t>Table 8: Percentage of admissions to adult inpatient services with seclusion recorded during admission, by district, 1 July 2023 to 30 June 2024</w:t>
        </w:r>
        <w:r>
          <w:rPr>
            <w:webHidden/>
          </w:rPr>
          <w:tab/>
        </w:r>
        <w:r>
          <w:rPr>
            <w:webHidden/>
          </w:rPr>
          <w:fldChar w:fldCharType="begin"/>
        </w:r>
        <w:r>
          <w:rPr>
            <w:webHidden/>
          </w:rPr>
          <w:instrText xml:space="preserve"> PAGEREF _Toc224638228 \h </w:instrText>
        </w:r>
        <w:r>
          <w:rPr>
            <w:webHidden/>
          </w:rPr>
        </w:r>
        <w:r>
          <w:rPr>
            <w:webHidden/>
          </w:rPr>
          <w:fldChar w:fldCharType="separate"/>
        </w:r>
        <w:r w:rsidR="00484E57">
          <w:rPr>
            <w:webHidden/>
          </w:rPr>
          <w:t>25</w:t>
        </w:r>
        <w:r>
          <w:rPr>
            <w:webHidden/>
          </w:rPr>
          <w:fldChar w:fldCharType="end"/>
        </w:r>
      </w:hyperlink>
    </w:p>
    <w:p w14:paraId="695D2EAA" w14:textId="4C636044"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29" w:history="1">
        <w:r w:rsidRPr="00BB3F91">
          <w:rPr>
            <w:rStyle w:val="Hyperlink"/>
          </w:rPr>
          <w:t xml:space="preserve">Table 9: Seclusion indicators for forensic mental health services, by </w:t>
        </w:r>
        <w:r w:rsidRPr="00BB3F91">
          <w:rPr>
            <w:rStyle w:val="Hyperlink"/>
            <w:bCs/>
          </w:rPr>
          <w:t>regional service</w:t>
        </w:r>
        <w:r w:rsidRPr="00BB3F91">
          <w:rPr>
            <w:rStyle w:val="Hyperlink"/>
          </w:rPr>
          <w:t>, 1 July 2023 to 30 June 2024</w:t>
        </w:r>
        <w:r>
          <w:rPr>
            <w:webHidden/>
          </w:rPr>
          <w:tab/>
        </w:r>
        <w:r>
          <w:rPr>
            <w:webHidden/>
          </w:rPr>
          <w:fldChar w:fldCharType="begin"/>
        </w:r>
        <w:r>
          <w:rPr>
            <w:webHidden/>
          </w:rPr>
          <w:instrText xml:space="preserve"> PAGEREF _Toc224638229 \h </w:instrText>
        </w:r>
        <w:r>
          <w:rPr>
            <w:webHidden/>
          </w:rPr>
        </w:r>
        <w:r>
          <w:rPr>
            <w:webHidden/>
          </w:rPr>
          <w:fldChar w:fldCharType="separate"/>
        </w:r>
        <w:r w:rsidR="00484E57">
          <w:rPr>
            <w:webHidden/>
          </w:rPr>
          <w:t>30</w:t>
        </w:r>
        <w:r>
          <w:rPr>
            <w:webHidden/>
          </w:rPr>
          <w:fldChar w:fldCharType="end"/>
        </w:r>
      </w:hyperlink>
    </w:p>
    <w:p w14:paraId="36D42BB1" w14:textId="54A9564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0" w:history="1">
        <w:r w:rsidRPr="00BB3F91">
          <w:rPr>
            <w:rStyle w:val="Hyperlink"/>
          </w:rPr>
          <w:t>Table 10: Seclusion indicators for people with intellectual disabilities, nationally, by Act, 1 July 2023 to 30 June 2024</w:t>
        </w:r>
        <w:r>
          <w:rPr>
            <w:webHidden/>
          </w:rPr>
          <w:tab/>
        </w:r>
        <w:r>
          <w:rPr>
            <w:webHidden/>
          </w:rPr>
          <w:fldChar w:fldCharType="begin"/>
        </w:r>
        <w:r>
          <w:rPr>
            <w:webHidden/>
          </w:rPr>
          <w:instrText xml:space="preserve"> PAGEREF _Toc224638230 \h </w:instrText>
        </w:r>
        <w:r>
          <w:rPr>
            <w:webHidden/>
          </w:rPr>
        </w:r>
        <w:r>
          <w:rPr>
            <w:webHidden/>
          </w:rPr>
          <w:fldChar w:fldCharType="separate"/>
        </w:r>
        <w:r w:rsidR="00484E57">
          <w:rPr>
            <w:webHidden/>
          </w:rPr>
          <w:t>32</w:t>
        </w:r>
        <w:r>
          <w:rPr>
            <w:webHidden/>
          </w:rPr>
          <w:fldChar w:fldCharType="end"/>
        </w:r>
      </w:hyperlink>
    </w:p>
    <w:p w14:paraId="049CE96A" w14:textId="03B14238"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1" w:history="1">
        <w:r w:rsidRPr="00BB3F91">
          <w:rPr>
            <w:rStyle w:val="Hyperlink"/>
          </w:rPr>
          <w:t>Table 11: Length of seclusion for people with intellectual disabilities, nationally, by Act, 1 July 2023 to 30 June 2024</w:t>
        </w:r>
        <w:r>
          <w:rPr>
            <w:webHidden/>
          </w:rPr>
          <w:tab/>
        </w:r>
        <w:r>
          <w:rPr>
            <w:webHidden/>
          </w:rPr>
          <w:fldChar w:fldCharType="begin"/>
        </w:r>
        <w:r>
          <w:rPr>
            <w:webHidden/>
          </w:rPr>
          <w:instrText xml:space="preserve"> PAGEREF _Toc224638231 \h </w:instrText>
        </w:r>
        <w:r>
          <w:rPr>
            <w:webHidden/>
          </w:rPr>
        </w:r>
        <w:r>
          <w:rPr>
            <w:webHidden/>
          </w:rPr>
          <w:fldChar w:fldCharType="separate"/>
        </w:r>
        <w:r w:rsidR="00484E57">
          <w:rPr>
            <w:webHidden/>
          </w:rPr>
          <w:t>32</w:t>
        </w:r>
        <w:r>
          <w:rPr>
            <w:webHidden/>
          </w:rPr>
          <w:fldChar w:fldCharType="end"/>
        </w:r>
      </w:hyperlink>
    </w:p>
    <w:p w14:paraId="12B33F42" w14:textId="13158EC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2" w:history="1">
        <w:r w:rsidRPr="00BB3F91">
          <w:rPr>
            <w:rStyle w:val="Hyperlink"/>
          </w:rPr>
          <w:t>Table 12: Seclusion indicators for Māori and non-Māori with intellectual disabilities, nationally, by Act, 1 July 2023 to 30 June 2024</w:t>
        </w:r>
        <w:r>
          <w:rPr>
            <w:webHidden/>
          </w:rPr>
          <w:tab/>
        </w:r>
        <w:r>
          <w:rPr>
            <w:webHidden/>
          </w:rPr>
          <w:fldChar w:fldCharType="begin"/>
        </w:r>
        <w:r>
          <w:rPr>
            <w:webHidden/>
          </w:rPr>
          <w:instrText xml:space="preserve"> PAGEREF _Toc224638232 \h </w:instrText>
        </w:r>
        <w:r>
          <w:rPr>
            <w:webHidden/>
          </w:rPr>
        </w:r>
        <w:r>
          <w:rPr>
            <w:webHidden/>
          </w:rPr>
          <w:fldChar w:fldCharType="separate"/>
        </w:r>
        <w:r w:rsidR="00484E57">
          <w:rPr>
            <w:webHidden/>
          </w:rPr>
          <w:t>32</w:t>
        </w:r>
        <w:r>
          <w:rPr>
            <w:webHidden/>
          </w:rPr>
          <w:fldChar w:fldCharType="end"/>
        </w:r>
      </w:hyperlink>
    </w:p>
    <w:p w14:paraId="018E7FDA" w14:textId="08B3FF65"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3" w:history="1">
        <w:r w:rsidRPr="00BB3F91">
          <w:rPr>
            <w:rStyle w:val="Hyperlink"/>
          </w:rPr>
          <w:t>Table 13: Total number of special patients, by type and service, 1 July 2023 to 30 June 2024</w:t>
        </w:r>
        <w:r>
          <w:rPr>
            <w:webHidden/>
          </w:rPr>
          <w:tab/>
        </w:r>
        <w:r>
          <w:rPr>
            <w:webHidden/>
          </w:rPr>
          <w:fldChar w:fldCharType="begin"/>
        </w:r>
        <w:r>
          <w:rPr>
            <w:webHidden/>
          </w:rPr>
          <w:instrText xml:space="preserve"> PAGEREF _Toc224638233 \h </w:instrText>
        </w:r>
        <w:r>
          <w:rPr>
            <w:webHidden/>
          </w:rPr>
        </w:r>
        <w:r>
          <w:rPr>
            <w:webHidden/>
          </w:rPr>
          <w:fldChar w:fldCharType="separate"/>
        </w:r>
        <w:r w:rsidR="00484E57">
          <w:rPr>
            <w:webHidden/>
          </w:rPr>
          <w:t>35</w:t>
        </w:r>
        <w:r>
          <w:rPr>
            <w:webHidden/>
          </w:rPr>
          <w:fldChar w:fldCharType="end"/>
        </w:r>
      </w:hyperlink>
    </w:p>
    <w:p w14:paraId="52CB7C80" w14:textId="128C95A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4" w:history="1">
        <w:r w:rsidRPr="00BB3F91">
          <w:rPr>
            <w:rStyle w:val="Hyperlink"/>
          </w:rPr>
          <w:t>Table 14: Number of applications for granting section 50A long leave, revoking that leave and reclassifying legal status that the Minister of Health received for special and restricted patients, 1 July 2023 to 30 June 2024</w:t>
        </w:r>
        <w:r>
          <w:rPr>
            <w:webHidden/>
          </w:rPr>
          <w:tab/>
        </w:r>
        <w:r>
          <w:rPr>
            <w:webHidden/>
          </w:rPr>
          <w:fldChar w:fldCharType="begin"/>
        </w:r>
        <w:r>
          <w:rPr>
            <w:webHidden/>
          </w:rPr>
          <w:instrText xml:space="preserve"> PAGEREF _Toc224638234 \h </w:instrText>
        </w:r>
        <w:r>
          <w:rPr>
            <w:webHidden/>
          </w:rPr>
        </w:r>
        <w:r>
          <w:rPr>
            <w:webHidden/>
          </w:rPr>
          <w:fldChar w:fldCharType="separate"/>
        </w:r>
        <w:r w:rsidR="00484E57">
          <w:rPr>
            <w:webHidden/>
          </w:rPr>
          <w:t>38</w:t>
        </w:r>
        <w:r>
          <w:rPr>
            <w:webHidden/>
          </w:rPr>
          <w:fldChar w:fldCharType="end"/>
        </w:r>
      </w:hyperlink>
    </w:p>
    <w:p w14:paraId="63741E14" w14:textId="00F0E787"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5" w:history="1">
        <w:r w:rsidRPr="00BB3F91">
          <w:rPr>
            <w:rStyle w:val="Hyperlink"/>
          </w:rPr>
          <w:t>Table 15: Outcomes of reportable death notifications under section 132 of the Mental Health Act, 1 July 2023 to 30 June 2024</w:t>
        </w:r>
        <w:r>
          <w:rPr>
            <w:webHidden/>
          </w:rPr>
          <w:tab/>
        </w:r>
        <w:r>
          <w:rPr>
            <w:webHidden/>
          </w:rPr>
          <w:fldChar w:fldCharType="begin"/>
        </w:r>
        <w:r>
          <w:rPr>
            <w:webHidden/>
          </w:rPr>
          <w:instrText xml:space="preserve"> PAGEREF _Toc224638235 \h </w:instrText>
        </w:r>
        <w:r>
          <w:rPr>
            <w:webHidden/>
          </w:rPr>
        </w:r>
        <w:r>
          <w:rPr>
            <w:webHidden/>
          </w:rPr>
          <w:fldChar w:fldCharType="separate"/>
        </w:r>
        <w:r w:rsidR="00484E57">
          <w:rPr>
            <w:webHidden/>
          </w:rPr>
          <w:t>40</w:t>
        </w:r>
        <w:r>
          <w:rPr>
            <w:webHidden/>
          </w:rPr>
          <w:fldChar w:fldCharType="end"/>
        </w:r>
      </w:hyperlink>
    </w:p>
    <w:p w14:paraId="78B2D9ED" w14:textId="490D6125"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6" w:history="1">
        <w:r w:rsidRPr="00BB3F91">
          <w:rPr>
            <w:rStyle w:val="Hyperlink"/>
          </w:rPr>
          <w:t>Table 16: Number of section 95 inquiries completed and section 99 inspections reports received or completed by the Director, 2013/14 to 2023/24</w:t>
        </w:r>
        <w:r>
          <w:rPr>
            <w:webHidden/>
          </w:rPr>
          <w:tab/>
        </w:r>
        <w:r>
          <w:rPr>
            <w:webHidden/>
          </w:rPr>
          <w:fldChar w:fldCharType="begin"/>
        </w:r>
        <w:r>
          <w:rPr>
            <w:webHidden/>
          </w:rPr>
          <w:instrText xml:space="preserve"> PAGEREF _Toc224638236 \h </w:instrText>
        </w:r>
        <w:r>
          <w:rPr>
            <w:webHidden/>
          </w:rPr>
        </w:r>
        <w:r>
          <w:rPr>
            <w:webHidden/>
          </w:rPr>
          <w:fldChar w:fldCharType="separate"/>
        </w:r>
        <w:r w:rsidR="00484E57">
          <w:rPr>
            <w:webHidden/>
          </w:rPr>
          <w:t>41</w:t>
        </w:r>
        <w:r>
          <w:rPr>
            <w:webHidden/>
          </w:rPr>
          <w:fldChar w:fldCharType="end"/>
        </w:r>
      </w:hyperlink>
    </w:p>
    <w:p w14:paraId="005F5230" w14:textId="491A2C53"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7" w:history="1">
        <w:r w:rsidRPr="00BB3F91">
          <w:rPr>
            <w:rStyle w:val="Hyperlink"/>
          </w:rPr>
          <w:t>Table 17: ECT indicators, by region of domicile, 1 July 2023 to 30 June 2024</w:t>
        </w:r>
        <w:r>
          <w:rPr>
            <w:webHidden/>
          </w:rPr>
          <w:tab/>
        </w:r>
        <w:r>
          <w:rPr>
            <w:webHidden/>
          </w:rPr>
          <w:fldChar w:fldCharType="begin"/>
        </w:r>
        <w:r>
          <w:rPr>
            <w:webHidden/>
          </w:rPr>
          <w:instrText xml:space="preserve"> PAGEREF _Toc224638237 \h </w:instrText>
        </w:r>
        <w:r>
          <w:rPr>
            <w:webHidden/>
          </w:rPr>
        </w:r>
        <w:r>
          <w:rPr>
            <w:webHidden/>
          </w:rPr>
          <w:fldChar w:fldCharType="separate"/>
        </w:r>
        <w:r w:rsidR="00484E57">
          <w:rPr>
            <w:webHidden/>
          </w:rPr>
          <w:t>44</w:t>
        </w:r>
        <w:r>
          <w:rPr>
            <w:webHidden/>
          </w:rPr>
          <w:fldChar w:fldCharType="end"/>
        </w:r>
      </w:hyperlink>
    </w:p>
    <w:p w14:paraId="63E09CEE" w14:textId="3F77BC00"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8" w:history="1">
        <w:r w:rsidRPr="00BB3F91">
          <w:rPr>
            <w:rStyle w:val="Hyperlink"/>
          </w:rPr>
          <w:t>Table 18: Number of people treated with ECT and rate per 100,000 population, by ethnicity, 1 July 2023 to 30 June 2024</w:t>
        </w:r>
        <w:r>
          <w:rPr>
            <w:webHidden/>
          </w:rPr>
          <w:tab/>
        </w:r>
        <w:r>
          <w:rPr>
            <w:webHidden/>
          </w:rPr>
          <w:fldChar w:fldCharType="begin"/>
        </w:r>
        <w:r>
          <w:rPr>
            <w:webHidden/>
          </w:rPr>
          <w:instrText xml:space="preserve"> PAGEREF _Toc224638238 \h </w:instrText>
        </w:r>
        <w:r>
          <w:rPr>
            <w:webHidden/>
          </w:rPr>
        </w:r>
        <w:r>
          <w:rPr>
            <w:webHidden/>
          </w:rPr>
          <w:fldChar w:fldCharType="separate"/>
        </w:r>
        <w:r w:rsidR="00484E57">
          <w:rPr>
            <w:webHidden/>
          </w:rPr>
          <w:t>46</w:t>
        </w:r>
        <w:r>
          <w:rPr>
            <w:webHidden/>
          </w:rPr>
          <w:fldChar w:fldCharType="end"/>
        </w:r>
      </w:hyperlink>
    </w:p>
    <w:p w14:paraId="3AF137B8" w14:textId="53081B5E"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39" w:history="1">
        <w:r w:rsidRPr="00BB3F91">
          <w:rPr>
            <w:rStyle w:val="Hyperlink"/>
          </w:rPr>
          <w:t>Table 19: ECT administered under second opinion without consent, by region of service, 1 July 2023 to 30 June 2024</w:t>
        </w:r>
        <w:r>
          <w:rPr>
            <w:webHidden/>
          </w:rPr>
          <w:tab/>
        </w:r>
        <w:r>
          <w:rPr>
            <w:webHidden/>
          </w:rPr>
          <w:fldChar w:fldCharType="begin"/>
        </w:r>
        <w:r>
          <w:rPr>
            <w:webHidden/>
          </w:rPr>
          <w:instrText xml:space="preserve"> PAGEREF _Toc224638239 \h </w:instrText>
        </w:r>
        <w:r>
          <w:rPr>
            <w:webHidden/>
          </w:rPr>
        </w:r>
        <w:r>
          <w:rPr>
            <w:webHidden/>
          </w:rPr>
          <w:fldChar w:fldCharType="separate"/>
        </w:r>
        <w:r w:rsidR="00484E57">
          <w:rPr>
            <w:webHidden/>
          </w:rPr>
          <w:t>47</w:t>
        </w:r>
        <w:r>
          <w:rPr>
            <w:webHidden/>
          </w:rPr>
          <w:fldChar w:fldCharType="end"/>
        </w:r>
      </w:hyperlink>
    </w:p>
    <w:p w14:paraId="52F36D3A" w14:textId="461DBD72"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40" w:history="1">
        <w:r w:rsidRPr="00BB3F91">
          <w:rPr>
            <w:rStyle w:val="Hyperlink"/>
          </w:rPr>
          <w:t>Table A1: Applications for compulsory treatment orders or extensions, 2009/10 to 2023/24</w:t>
        </w:r>
        <w:r>
          <w:rPr>
            <w:webHidden/>
          </w:rPr>
          <w:tab/>
        </w:r>
        <w:r>
          <w:rPr>
            <w:webHidden/>
          </w:rPr>
          <w:fldChar w:fldCharType="begin"/>
        </w:r>
        <w:r>
          <w:rPr>
            <w:webHidden/>
          </w:rPr>
          <w:instrText xml:space="preserve"> PAGEREF _Toc224638240 \h </w:instrText>
        </w:r>
        <w:r>
          <w:rPr>
            <w:webHidden/>
          </w:rPr>
        </w:r>
        <w:r>
          <w:rPr>
            <w:webHidden/>
          </w:rPr>
          <w:fldChar w:fldCharType="separate"/>
        </w:r>
        <w:r w:rsidR="00484E57">
          <w:rPr>
            <w:webHidden/>
          </w:rPr>
          <w:t>60</w:t>
        </w:r>
        <w:r>
          <w:rPr>
            <w:webHidden/>
          </w:rPr>
          <w:fldChar w:fldCharType="end"/>
        </w:r>
      </w:hyperlink>
    </w:p>
    <w:p w14:paraId="5FB22CAD" w14:textId="68C364C5"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41" w:history="1">
        <w:r w:rsidRPr="00BB3F91">
          <w:rPr>
            <w:rStyle w:val="Hyperlink"/>
          </w:rPr>
          <w:t>Table A2: Types of compulsory treatment orders made on granted applications, 2009/10 to 2023/24</w:t>
        </w:r>
        <w:r>
          <w:rPr>
            <w:webHidden/>
          </w:rPr>
          <w:tab/>
        </w:r>
        <w:r>
          <w:rPr>
            <w:webHidden/>
          </w:rPr>
          <w:fldChar w:fldCharType="begin"/>
        </w:r>
        <w:r>
          <w:rPr>
            <w:webHidden/>
          </w:rPr>
          <w:instrText xml:space="preserve"> PAGEREF _Toc224638241 \h </w:instrText>
        </w:r>
        <w:r>
          <w:rPr>
            <w:webHidden/>
          </w:rPr>
        </w:r>
        <w:r>
          <w:rPr>
            <w:webHidden/>
          </w:rPr>
          <w:fldChar w:fldCharType="separate"/>
        </w:r>
        <w:r w:rsidR="00484E57">
          <w:rPr>
            <w:webHidden/>
          </w:rPr>
          <w:t>61</w:t>
        </w:r>
        <w:r>
          <w:rPr>
            <w:webHidden/>
          </w:rPr>
          <w:fldChar w:fldCharType="end"/>
        </w:r>
      </w:hyperlink>
    </w:p>
    <w:p w14:paraId="5168C42F" w14:textId="64A14E61" w:rsidR="00B05CA9" w:rsidRDefault="00B05CA9">
      <w:pPr>
        <w:pStyle w:val="TOC3"/>
        <w:rPr>
          <w:rFonts w:asciiTheme="minorHAnsi" w:eastAsiaTheme="minorEastAsia" w:hAnsiTheme="minorHAnsi" w:cstheme="minorBidi"/>
          <w:kern w:val="2"/>
          <w:sz w:val="24"/>
          <w:szCs w:val="24"/>
          <w:lang w:val="en-AU" w:eastAsia="en-AU"/>
          <w14:ligatures w14:val="standardContextual"/>
        </w:rPr>
      </w:pPr>
      <w:hyperlink w:anchor="_Toc224638242" w:history="1">
        <w:r w:rsidRPr="00BB3F91">
          <w:rPr>
            <w:rStyle w:val="Hyperlink"/>
          </w:rPr>
          <w:t>Table A3: Seclusion indicators excluding and including individuals who experienced prolonged periods of seclusion, 1 July 2023 to 30 June 2024</w:t>
        </w:r>
        <w:r>
          <w:rPr>
            <w:webHidden/>
          </w:rPr>
          <w:tab/>
        </w:r>
        <w:r>
          <w:rPr>
            <w:webHidden/>
          </w:rPr>
          <w:fldChar w:fldCharType="begin"/>
        </w:r>
        <w:r>
          <w:rPr>
            <w:webHidden/>
          </w:rPr>
          <w:instrText xml:space="preserve"> PAGEREF _Toc224638242 \h </w:instrText>
        </w:r>
        <w:r>
          <w:rPr>
            <w:webHidden/>
          </w:rPr>
        </w:r>
        <w:r>
          <w:rPr>
            <w:webHidden/>
          </w:rPr>
          <w:fldChar w:fldCharType="separate"/>
        </w:r>
        <w:r w:rsidR="00484E57">
          <w:rPr>
            <w:webHidden/>
          </w:rPr>
          <w:t>63</w:t>
        </w:r>
        <w:r>
          <w:rPr>
            <w:webHidden/>
          </w:rPr>
          <w:fldChar w:fldCharType="end"/>
        </w:r>
      </w:hyperlink>
    </w:p>
    <w:p w14:paraId="4A6797B1" w14:textId="3B3B2906" w:rsidR="002B76A7" w:rsidRPr="00ED2B1F" w:rsidRDefault="00AE3F06" w:rsidP="00753A1F">
      <w:r w:rsidRPr="00926E1E">
        <w:rPr>
          <w:sz w:val="18"/>
          <w:szCs w:val="18"/>
        </w:rPr>
        <w:fldChar w:fldCharType="end"/>
      </w:r>
    </w:p>
    <w:p w14:paraId="03333094" w14:textId="77777777" w:rsidR="001D3E4E" w:rsidRPr="00ED2B1F" w:rsidRDefault="001D3E4E" w:rsidP="00753A1F">
      <w:pPr>
        <w:sectPr w:rsidR="001D3E4E" w:rsidRPr="00ED2B1F" w:rsidSect="0078658E">
          <w:headerReference w:type="even" r:id="rId25"/>
          <w:headerReference w:type="default" r:id="rId26"/>
          <w:footerReference w:type="even" r:id="rId27"/>
          <w:footerReference w:type="default" r:id="rId28"/>
          <w:pgSz w:w="11907" w:h="16840" w:code="9"/>
          <w:pgMar w:top="1418" w:right="1701" w:bottom="1134" w:left="1843" w:header="284" w:footer="425" w:gutter="284"/>
          <w:pgNumType w:fmt="lowerRoman"/>
          <w:cols w:space="720"/>
        </w:sectPr>
      </w:pPr>
    </w:p>
    <w:p w14:paraId="39BE2591" w14:textId="3A4A86A7" w:rsidR="008C2973" w:rsidRPr="00ED2B1F" w:rsidRDefault="00753A1F" w:rsidP="00753A1F">
      <w:pPr>
        <w:pStyle w:val="Heading1"/>
        <w:spacing w:before="0"/>
        <w:rPr>
          <w:spacing w:val="0"/>
        </w:rPr>
      </w:pPr>
      <w:bookmarkStart w:id="3" w:name="_Toc224638085"/>
      <w:r w:rsidRPr="00ED2B1F">
        <w:rPr>
          <w:spacing w:val="0"/>
        </w:rPr>
        <w:lastRenderedPageBreak/>
        <w:t>Context</w:t>
      </w:r>
      <w:bookmarkEnd w:id="3"/>
    </w:p>
    <w:p w14:paraId="696D04E8" w14:textId="408C59B7" w:rsidR="00753A1F" w:rsidRPr="00ED2B1F" w:rsidRDefault="00753A1F" w:rsidP="00753A1F">
      <w:r w:rsidRPr="00ED2B1F">
        <w:t xml:space="preserve">The following summarises the use of the Mental Health (Compulsory Assessment and Treatment) Act 1992 (Mental Health Act) in the financial year from </w:t>
      </w:r>
      <w:r w:rsidR="00211D17" w:rsidRPr="00ED2B1F">
        <w:t>1 July 2023 to 30 June 2024</w:t>
      </w:r>
      <w:r w:rsidRPr="00ED2B1F">
        <w:t>. It provides a broad overview</w:t>
      </w:r>
      <w:r w:rsidRPr="00ED2B1F" w:rsidDel="004145DC">
        <w:t xml:space="preserve"> </w:t>
      </w:r>
      <w:r w:rsidRPr="00ED2B1F">
        <w:t>of how compulsory mental health legislation is operating in Aotearoa New Zealand.</w:t>
      </w:r>
      <w:r w:rsidRPr="00ED2B1F">
        <w:rPr>
          <w:rStyle w:val="FootnoteReference"/>
          <w:rFonts w:cs="Segoe UI"/>
        </w:rPr>
        <w:footnoteReference w:id="6"/>
      </w:r>
    </w:p>
    <w:p w14:paraId="1662259B" w14:textId="0E2CB276" w:rsidR="00753A1F" w:rsidRPr="00ED2B1F" w:rsidRDefault="00753A1F" w:rsidP="00753A1F">
      <w:pPr>
        <w:pStyle w:val="Bullet"/>
      </w:pPr>
      <w:r w:rsidRPr="00ED2B1F">
        <w:t>11,</w:t>
      </w:r>
      <w:r w:rsidR="00CF24D2" w:rsidRPr="00ED2B1F">
        <w:t>495</w:t>
      </w:r>
      <w:r w:rsidRPr="00ED2B1F">
        <w:t xml:space="preserve"> people (6.</w:t>
      </w:r>
      <w:r w:rsidR="00AA26D3" w:rsidRPr="00ED2B1F">
        <w:t>5</w:t>
      </w:r>
      <w:r w:rsidRPr="00ED2B1F">
        <w:t>% of specialist mental health and addiction service users) were subject to the Mental Health Act.</w:t>
      </w:r>
      <w:r w:rsidRPr="00ED2B1F">
        <w:rPr>
          <w:rStyle w:val="FootnoteReference"/>
          <w:rFonts w:cs="Segoe UI"/>
        </w:rPr>
        <w:footnoteReference w:id="7"/>
      </w:r>
      <w:r w:rsidRPr="00ED2B1F">
        <w:rPr>
          <w:rStyle w:val="FootnoteReference"/>
          <w:rFonts w:cs="Segoe UI"/>
        </w:rPr>
        <w:t xml:space="preserve"> </w:t>
      </w:r>
    </w:p>
    <w:p w14:paraId="4E495F4F" w14:textId="58BA2F59" w:rsidR="00753A1F" w:rsidRPr="00ED2B1F" w:rsidRDefault="00753A1F" w:rsidP="00753A1F">
      <w:pPr>
        <w:pStyle w:val="Bullet"/>
      </w:pPr>
      <w:r w:rsidRPr="00ED2B1F">
        <w:rPr>
          <w:rFonts w:cs="Segoe UI"/>
        </w:rPr>
        <w:t>Out of all people using specialist mental health and addiction services, 93.</w:t>
      </w:r>
      <w:r w:rsidR="00C8466F" w:rsidRPr="00ED2B1F">
        <w:rPr>
          <w:rFonts w:cs="Segoe UI"/>
        </w:rPr>
        <w:t>5</w:t>
      </w:r>
      <w:r w:rsidRPr="00ED2B1F">
        <w:rPr>
          <w:rFonts w:cs="Segoe UI"/>
        </w:rPr>
        <w:t>% engaged voluntarily rather than under compulsion.</w:t>
      </w:r>
    </w:p>
    <w:p w14:paraId="6FDA35C9" w14:textId="0D00D9BE" w:rsidR="00753A1F" w:rsidRPr="00ED2B1F" w:rsidRDefault="00753A1F" w:rsidP="00753A1F">
      <w:pPr>
        <w:pStyle w:val="Bullet"/>
      </w:pPr>
      <w:r w:rsidRPr="00ED2B1F">
        <w:t xml:space="preserve">About </w:t>
      </w:r>
      <w:r w:rsidR="008F4C66" w:rsidRPr="00ED2B1F">
        <w:t>5,883</w:t>
      </w:r>
      <w:r w:rsidR="0066435F" w:rsidRPr="00ED2B1F">
        <w:t xml:space="preserve"> </w:t>
      </w:r>
      <w:r w:rsidRPr="00ED2B1F">
        <w:t xml:space="preserve">people were subject to either compulsory assessment or compulsory treatment under the Mental Health Act on the last day of the </w:t>
      </w:r>
      <w:r w:rsidR="00211D17" w:rsidRPr="00ED2B1F">
        <w:t>2023/24</w:t>
      </w:r>
      <w:r w:rsidRPr="00ED2B1F">
        <w:t xml:space="preserve"> year.</w:t>
      </w:r>
    </w:p>
    <w:p w14:paraId="214E42ED" w14:textId="77777777" w:rsidR="00753A1F" w:rsidRPr="00ED2B1F" w:rsidRDefault="00753A1F" w:rsidP="00753A1F">
      <w:pPr>
        <w:pStyle w:val="Bullet"/>
      </w:pPr>
      <w:r w:rsidRPr="00ED2B1F">
        <w:t>Males were more likely to be subject to the Mental Health Act than females.</w:t>
      </w:r>
    </w:p>
    <w:p w14:paraId="526A4EF2" w14:textId="2F9FE487" w:rsidR="00753A1F" w:rsidRPr="00ED2B1F" w:rsidRDefault="00753A1F" w:rsidP="00753A1F">
      <w:pPr>
        <w:pStyle w:val="Bullet"/>
      </w:pPr>
      <w:r w:rsidRPr="00ED2B1F">
        <w:t>Across the different age groups, people aged 25–34 years were the most likely to be subject to compulsory treatment, and people aged</w:t>
      </w:r>
      <w:r w:rsidR="005A442F" w:rsidRPr="00ED2B1F">
        <w:t xml:space="preserve"> under 14 or</w:t>
      </w:r>
      <w:r w:rsidRPr="00ED2B1F">
        <w:t xml:space="preserve"> 65 years and over were the least likely.</w:t>
      </w:r>
    </w:p>
    <w:p w14:paraId="53637361" w14:textId="77777777" w:rsidR="00753A1F" w:rsidRPr="00ED2B1F" w:rsidRDefault="00753A1F" w:rsidP="00753A1F">
      <w:pPr>
        <w:pStyle w:val="Bullet"/>
      </w:pPr>
      <w:r w:rsidRPr="00ED2B1F">
        <w:t>Māori were more likely to be assessed or treated under the Mental Health Act than Pacific peoples and other ethnicities.</w:t>
      </w:r>
      <w:r w:rsidRPr="00ED2B1F">
        <w:rPr>
          <w:rStyle w:val="FootnoteReference"/>
          <w:rFonts w:cs="Segoe UI"/>
        </w:rPr>
        <w:footnoteReference w:id="8"/>
      </w:r>
    </w:p>
    <w:p w14:paraId="294E256F" w14:textId="576646CD" w:rsidR="00753A1F" w:rsidRPr="00ED2B1F" w:rsidRDefault="00753A1F" w:rsidP="00753A1F">
      <w:pPr>
        <w:pStyle w:val="Bullet"/>
      </w:pPr>
      <w:r w:rsidRPr="00ED2B1F">
        <w:t xml:space="preserve">Most people subject to compulsory treatment are based in the community (approximately </w:t>
      </w:r>
      <w:r w:rsidR="00E14765" w:rsidRPr="00ED2B1F">
        <w:t>7</w:t>
      </w:r>
      <w:r w:rsidRPr="00ED2B1F">
        <w:t xml:space="preserve">5% in </w:t>
      </w:r>
      <w:r w:rsidR="00211D17" w:rsidRPr="00ED2B1F">
        <w:t>2023/24</w:t>
      </w:r>
      <w:r w:rsidRPr="00ED2B1F">
        <w:t>)</w:t>
      </w:r>
      <w:r w:rsidR="005E6BAC">
        <w:rPr>
          <w:rStyle w:val="FootnoteReference"/>
        </w:rPr>
        <w:footnoteReference w:id="9"/>
      </w:r>
      <w:r w:rsidRPr="00ED2B1F">
        <w:t>.</w:t>
      </w:r>
      <w:r w:rsidRPr="00ED2B1F">
        <w:rPr>
          <w:rStyle w:val="FootnoteReference"/>
          <w:rFonts w:cs="Segoe UI"/>
        </w:rPr>
        <w:t xml:space="preserve"> </w:t>
      </w:r>
    </w:p>
    <w:p w14:paraId="123755E8" w14:textId="77777777" w:rsidR="00753A1F" w:rsidRPr="00ED2B1F" w:rsidRDefault="00753A1F" w:rsidP="00753A1F">
      <w:pPr>
        <w:rPr>
          <w:rFonts w:eastAsia="Arial Unicode MS"/>
        </w:rPr>
      </w:pPr>
    </w:p>
    <w:p w14:paraId="1BB1C037" w14:textId="77777777" w:rsidR="00753A1F" w:rsidRPr="00ED2B1F" w:rsidRDefault="00753A1F" w:rsidP="00753A1F">
      <w:pPr>
        <w:rPr>
          <w:rFonts w:eastAsia="Arial Unicode MS"/>
        </w:rPr>
      </w:pPr>
    </w:p>
    <w:p w14:paraId="4B58F2ED" w14:textId="77777777" w:rsidR="00753A1F" w:rsidRPr="00ED2B1F" w:rsidRDefault="00753A1F" w:rsidP="00753A1F">
      <w:pPr>
        <w:rPr>
          <w:rFonts w:eastAsia="Arial Unicode MS"/>
        </w:rPr>
        <w:sectPr w:rsidR="00753A1F" w:rsidRPr="00ED2B1F" w:rsidSect="003309CA">
          <w:headerReference w:type="default" r:id="rId29"/>
          <w:footerReference w:type="even" r:id="rId30"/>
          <w:footerReference w:type="default" r:id="rId31"/>
          <w:pgSz w:w="11907" w:h="16834" w:code="9"/>
          <w:pgMar w:top="1418" w:right="1701" w:bottom="1134" w:left="1843" w:header="284" w:footer="425" w:gutter="284"/>
          <w:pgNumType w:start="1"/>
          <w:cols w:space="720"/>
        </w:sectPr>
      </w:pPr>
    </w:p>
    <w:p w14:paraId="6C5A5650" w14:textId="77777777" w:rsidR="00753A1F" w:rsidRPr="00ED2B1F" w:rsidRDefault="00753A1F" w:rsidP="00753A1F">
      <w:pPr>
        <w:pStyle w:val="Heading1"/>
        <w:spacing w:before="0"/>
      </w:pPr>
      <w:bookmarkStart w:id="4" w:name="_Toc189053894"/>
      <w:bookmarkStart w:id="5" w:name="_Toc224638086"/>
      <w:r w:rsidRPr="00ED2B1F">
        <w:lastRenderedPageBreak/>
        <w:t>The Mental Health Act process</w:t>
      </w:r>
      <w:bookmarkEnd w:id="4"/>
      <w:bookmarkEnd w:id="5"/>
    </w:p>
    <w:p w14:paraId="60AE2AEE" w14:textId="4EBAF398" w:rsidR="00753A1F" w:rsidRPr="00A82004" w:rsidRDefault="00753A1F" w:rsidP="007A34A3">
      <w:pPr>
        <w:pStyle w:val="Heading2"/>
      </w:pPr>
      <w:bookmarkStart w:id="6" w:name="_Toc145394225"/>
      <w:bookmarkStart w:id="7" w:name="_Toc189053895"/>
      <w:bookmarkStart w:id="8" w:name="_Toc224638087"/>
      <w:r w:rsidRPr="00A82004">
        <w:t xml:space="preserve">Court applications in </w:t>
      </w:r>
      <w:bookmarkEnd w:id="6"/>
      <w:bookmarkEnd w:id="7"/>
      <w:r w:rsidR="00211D17" w:rsidRPr="00A82004">
        <w:t>2023/24</w:t>
      </w:r>
      <w:bookmarkEnd w:id="8"/>
      <w:r w:rsidRPr="00A82004">
        <w:t xml:space="preserve"> </w:t>
      </w:r>
    </w:p>
    <w:p w14:paraId="5CBA2A19" w14:textId="7C773068" w:rsidR="00A001A0" w:rsidRPr="00ED2B1F" w:rsidRDefault="00753A1F" w:rsidP="00753A1F">
      <w:r w:rsidRPr="00ED2B1F">
        <w:t xml:space="preserve">In the </w:t>
      </w:r>
      <w:r w:rsidR="00211D17" w:rsidRPr="00ED2B1F">
        <w:t>2023/24</w:t>
      </w:r>
      <w:r w:rsidRPr="00ED2B1F">
        <w:t xml:space="preserve"> financial year, clinicians made </w:t>
      </w:r>
      <w:r w:rsidR="00F40697" w:rsidRPr="00ED2B1F">
        <w:t>7,397</w:t>
      </w:r>
      <w:r w:rsidRPr="00ED2B1F">
        <w:t xml:space="preserve"> applications for compulsory treatment orders (CTOs) or extensions</w:t>
      </w:r>
      <w:r w:rsidR="002C0841" w:rsidRPr="00ED2B1F">
        <w:t xml:space="preserve"> of CTOs</w:t>
      </w:r>
      <w:r w:rsidRPr="00ED2B1F">
        <w:t xml:space="preserve"> under the Mental Health Act. </w:t>
      </w:r>
      <w:r w:rsidR="00A001A0" w:rsidRPr="00ED2B1F">
        <w:t>This is a</w:t>
      </w:r>
      <w:r w:rsidR="00F40697" w:rsidRPr="00ED2B1F">
        <w:t>n increase</w:t>
      </w:r>
      <w:r w:rsidR="00A001A0" w:rsidRPr="00ED2B1F">
        <w:t xml:space="preserve"> from 6,</w:t>
      </w:r>
      <w:r w:rsidR="00F40697" w:rsidRPr="00ED2B1F">
        <w:t>332</w:t>
      </w:r>
      <w:r w:rsidR="002C0841" w:rsidRPr="00ED2B1F">
        <w:t xml:space="preserve"> applications</w:t>
      </w:r>
      <w:r w:rsidR="00A001A0" w:rsidRPr="00ED2B1F">
        <w:t xml:space="preserve"> in the previous year</w:t>
      </w:r>
      <w:r w:rsidR="00020FBE" w:rsidRPr="00ED2B1F">
        <w:t xml:space="preserve">. </w:t>
      </w:r>
      <w:r w:rsidR="009D32AB" w:rsidRPr="009D32AB">
        <w:t>The increase appears to be due to the legislative change at 29 November 2023 which meant that CTOs could not continue indefinitely</w:t>
      </w:r>
      <w:r w:rsidR="001F27E3" w:rsidRPr="00ED2B1F">
        <w:t xml:space="preserve">. </w:t>
      </w:r>
      <w:r w:rsidR="002C0841" w:rsidRPr="00ED2B1F">
        <w:t xml:space="preserve">As a result, </w:t>
      </w:r>
      <w:r w:rsidR="0003458E" w:rsidRPr="00ED2B1F">
        <w:t>clinicians</w:t>
      </w:r>
      <w:r w:rsidR="002C0841" w:rsidRPr="00ED2B1F">
        <w:t xml:space="preserve"> now </w:t>
      </w:r>
      <w:r w:rsidR="00D074B6" w:rsidRPr="00ED2B1F">
        <w:t>must</w:t>
      </w:r>
      <w:r w:rsidR="0003458E" w:rsidRPr="00ED2B1F">
        <w:t xml:space="preserve"> apply </w:t>
      </w:r>
      <w:r w:rsidR="00020FBE" w:rsidRPr="00ED2B1F">
        <w:t>to the courts for extensions</w:t>
      </w:r>
      <w:r w:rsidR="0012041E" w:rsidRPr="00ED2B1F">
        <w:t xml:space="preserve"> of CTOs</w:t>
      </w:r>
      <w:r w:rsidR="005D7898" w:rsidRPr="00ED2B1F">
        <w:t>.</w:t>
      </w:r>
      <w:r w:rsidR="00A001A0" w:rsidRPr="00ED2B1F">
        <w:t xml:space="preserve"> </w:t>
      </w:r>
    </w:p>
    <w:p w14:paraId="113E3296" w14:textId="77777777" w:rsidR="00A001A0" w:rsidRPr="00ED2B1F" w:rsidRDefault="00A001A0" w:rsidP="00753A1F"/>
    <w:p w14:paraId="14B1CDA5" w14:textId="3BA3461E" w:rsidR="00753A1F" w:rsidRPr="00ED2B1F" w:rsidRDefault="00753A1F" w:rsidP="00753A1F">
      <w:r w:rsidRPr="00ED2B1F">
        <w:t xml:space="preserve">Of </w:t>
      </w:r>
      <w:r w:rsidR="00020FBE" w:rsidRPr="00ED2B1F">
        <w:t xml:space="preserve">the </w:t>
      </w:r>
      <w:r w:rsidR="005C68CE" w:rsidRPr="00ED2B1F">
        <w:t>7,397</w:t>
      </w:r>
      <w:r w:rsidR="00020FBE" w:rsidRPr="00ED2B1F">
        <w:t xml:space="preserve"> </w:t>
      </w:r>
      <w:r w:rsidRPr="00ED2B1F">
        <w:t xml:space="preserve">applications, the courts granted </w:t>
      </w:r>
      <w:r w:rsidR="005C68CE" w:rsidRPr="00ED2B1F">
        <w:t>6,725</w:t>
      </w:r>
      <w:r w:rsidRPr="00ED2B1F">
        <w:t xml:space="preserve"> (</w:t>
      </w:r>
      <w:r w:rsidR="005C68CE" w:rsidRPr="00ED2B1F">
        <w:t>90.9</w:t>
      </w:r>
      <w:r w:rsidRPr="00ED2B1F">
        <w:t xml:space="preserve">%). Appendix 1 </w:t>
      </w:r>
      <w:r w:rsidR="008D316F" w:rsidRPr="00ED2B1F">
        <w:t xml:space="preserve">sets out </w:t>
      </w:r>
      <w:r w:rsidRPr="00ED2B1F">
        <w:t xml:space="preserve">the Mental Health Act process and Appendix 2 presents a time series of </w:t>
      </w:r>
      <w:r w:rsidR="008D316F" w:rsidRPr="00ED2B1F">
        <w:t xml:space="preserve">data on </w:t>
      </w:r>
      <w:r w:rsidRPr="00ED2B1F">
        <w:t>CTO application</w:t>
      </w:r>
      <w:r w:rsidR="008D316F" w:rsidRPr="00ED2B1F">
        <w:t>s</w:t>
      </w:r>
      <w:r w:rsidRPr="00ED2B1F">
        <w:t>.</w:t>
      </w:r>
    </w:p>
    <w:p w14:paraId="042AFCF9" w14:textId="77777777" w:rsidR="00753A1F" w:rsidRPr="00ED2B1F" w:rsidRDefault="00753A1F" w:rsidP="00753A1F"/>
    <w:p w14:paraId="0037A19F" w14:textId="700639DA" w:rsidR="00753A1F" w:rsidRPr="00ED2B1F" w:rsidRDefault="00753A1F" w:rsidP="00753A1F">
      <w:r w:rsidRPr="00ED2B1F">
        <w:t>A total of 1,</w:t>
      </w:r>
      <w:r w:rsidR="00704AFC" w:rsidRPr="00ED2B1F">
        <w:t>2</w:t>
      </w:r>
      <w:r w:rsidR="00B61C0F" w:rsidRPr="00ED2B1F">
        <w:t>80</w:t>
      </w:r>
      <w:r w:rsidRPr="00ED2B1F">
        <w:t xml:space="preserve"> applications were filed for a judge’s review of the patient’s condition</w:t>
      </w:r>
      <w:r w:rsidR="00B61C0F" w:rsidRPr="00ED2B1F">
        <w:t xml:space="preserve"> under</w:t>
      </w:r>
      <w:r w:rsidRPr="00ED2B1F">
        <w:t xml:space="preserve"> section 16 of the Mental Health Act. Of </w:t>
      </w:r>
      <w:r w:rsidR="00775A71" w:rsidRPr="00ED2B1F">
        <w:t>this total</w:t>
      </w:r>
      <w:r w:rsidRPr="00ED2B1F">
        <w:t xml:space="preserve">, judges issued an order to release a person from their CTO in </w:t>
      </w:r>
      <w:r w:rsidR="00704AFC" w:rsidRPr="00ED2B1F">
        <w:t xml:space="preserve">41 </w:t>
      </w:r>
      <w:r w:rsidRPr="00ED2B1F">
        <w:t>cases (</w:t>
      </w:r>
      <w:r w:rsidR="00704AFC" w:rsidRPr="00ED2B1F">
        <w:t>3.2</w:t>
      </w:r>
      <w:r w:rsidRPr="00ED2B1F">
        <w:t xml:space="preserve">%) and confirmed that the order would continue in </w:t>
      </w:r>
      <w:r w:rsidR="0094626A" w:rsidRPr="00ED2B1F">
        <w:t>5</w:t>
      </w:r>
      <w:r w:rsidR="002F0250" w:rsidRPr="00ED2B1F">
        <w:t>71</w:t>
      </w:r>
      <w:r w:rsidR="00704AFC" w:rsidRPr="00ED2B1F">
        <w:t xml:space="preserve"> </w:t>
      </w:r>
      <w:r w:rsidRPr="00ED2B1F">
        <w:t>applications (</w:t>
      </w:r>
      <w:r w:rsidR="002F0250" w:rsidRPr="00ED2B1F">
        <w:t>44.6</w:t>
      </w:r>
      <w:r w:rsidRPr="00ED2B1F">
        <w:t xml:space="preserve">%). </w:t>
      </w:r>
      <w:r w:rsidR="00775A71" w:rsidRPr="00ED2B1F">
        <w:t xml:space="preserve">Among </w:t>
      </w:r>
      <w:r w:rsidR="00C61E10" w:rsidRPr="00ED2B1F">
        <w:t>the</w:t>
      </w:r>
      <w:r w:rsidRPr="00ED2B1F">
        <w:t xml:space="preserve"> remaining</w:t>
      </w:r>
      <w:r w:rsidR="0094626A" w:rsidRPr="00ED2B1F">
        <w:t xml:space="preserve"> </w:t>
      </w:r>
      <w:r w:rsidRPr="00ED2B1F">
        <w:t>applications</w:t>
      </w:r>
      <w:r w:rsidR="00C61E10" w:rsidRPr="00ED2B1F">
        <w:t>, 628</w:t>
      </w:r>
      <w:r w:rsidRPr="00ED2B1F">
        <w:t xml:space="preserve"> were withdrawn</w:t>
      </w:r>
      <w:r w:rsidR="00C61E10" w:rsidRPr="00ED2B1F">
        <w:t xml:space="preserve"> and 40 had another outcome</w:t>
      </w:r>
      <w:r w:rsidR="002C0841" w:rsidRPr="00ED2B1F">
        <w:t>.</w:t>
      </w:r>
      <w:r w:rsidR="00C61E10" w:rsidRPr="00ED2B1F">
        <w:rPr>
          <w:rStyle w:val="FootnoteReference"/>
        </w:rPr>
        <w:footnoteReference w:id="10"/>
      </w:r>
      <w:r w:rsidR="002C0841" w:rsidRPr="00ED2B1F">
        <w:t xml:space="preserve"> </w:t>
      </w:r>
      <w:r w:rsidRPr="00ED2B1F">
        <w:rPr>
          <w:rStyle w:val="FootnoteReference"/>
        </w:rPr>
        <w:footnoteReference w:id="11"/>
      </w:r>
    </w:p>
    <w:p w14:paraId="713FF6F9" w14:textId="76FFBD0A" w:rsidR="00753A1F" w:rsidRPr="00ED2B1F" w:rsidRDefault="00753A1F" w:rsidP="007A34A3">
      <w:pPr>
        <w:pStyle w:val="Heading2"/>
      </w:pPr>
      <w:bookmarkStart w:id="9" w:name="_Toc145394226"/>
      <w:bookmarkStart w:id="10" w:name="_Toc189053896"/>
      <w:bookmarkStart w:id="11" w:name="_Toc224638088"/>
      <w:r w:rsidRPr="00ED2B1F">
        <w:t xml:space="preserve">Compulsory assessment and treatment in </w:t>
      </w:r>
      <w:bookmarkEnd w:id="9"/>
      <w:bookmarkEnd w:id="10"/>
      <w:r w:rsidR="00211D17" w:rsidRPr="00ED2B1F">
        <w:t>2023/24</w:t>
      </w:r>
      <w:bookmarkEnd w:id="11"/>
    </w:p>
    <w:p w14:paraId="3DF2A0B9" w14:textId="177D6D3F" w:rsidR="00753A1F" w:rsidRPr="00ED2B1F" w:rsidRDefault="00753A1F" w:rsidP="00753A1F">
      <w:r w:rsidRPr="00ED2B1F">
        <w:t xml:space="preserve">On the last day of the </w:t>
      </w:r>
      <w:r w:rsidR="00211D17" w:rsidRPr="00ED2B1F">
        <w:t>2023/24</w:t>
      </w:r>
      <w:r w:rsidRPr="00ED2B1F">
        <w:t xml:space="preserve"> financial year, a total of 5,</w:t>
      </w:r>
      <w:r w:rsidR="005F1496" w:rsidRPr="00ED2B1F">
        <w:t>8</w:t>
      </w:r>
      <w:r w:rsidR="008E4488" w:rsidRPr="00ED2B1F">
        <w:t>83</w:t>
      </w:r>
      <w:r w:rsidRPr="00ED2B1F">
        <w:t xml:space="preserve"> people were subject to either compulsory assessment or compulsory treatment under the Mental Health Act.</w:t>
      </w:r>
      <w:r w:rsidRPr="00ED2B1F">
        <w:rPr>
          <w:rStyle w:val="FootnoteReference"/>
        </w:rPr>
        <w:footnoteReference w:id="12"/>
      </w:r>
      <w:r w:rsidRPr="00ED2B1F">
        <w:t xml:space="preserve"> </w:t>
      </w:r>
    </w:p>
    <w:p w14:paraId="200CC196" w14:textId="77777777" w:rsidR="00753A1F" w:rsidRPr="00ED2B1F" w:rsidRDefault="00753A1F" w:rsidP="00753A1F"/>
    <w:p w14:paraId="05979E8B" w14:textId="50BFAA27" w:rsidR="00A82004" w:rsidRDefault="00753A1F" w:rsidP="009C5FF5">
      <w:r w:rsidRPr="00ED2B1F">
        <w:t>On average</w:t>
      </w:r>
      <w:r w:rsidRPr="00ED2B1F">
        <w:rPr>
          <w:rStyle w:val="FootnoteReference"/>
        </w:rPr>
        <w:footnoteReference w:id="13"/>
      </w:r>
      <w:r w:rsidRPr="00ED2B1F">
        <w:t xml:space="preserve"> within each month, the assessment provisions applied as follows.</w:t>
      </w:r>
      <w:r w:rsidR="00A82004">
        <w:br w:type="page"/>
      </w:r>
    </w:p>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753A1F" w:rsidRPr="00ED2B1F" w14:paraId="797FE261" w14:textId="77777777" w:rsidTr="00A82004">
        <w:trPr>
          <w:cantSplit/>
        </w:trPr>
        <w:tc>
          <w:tcPr>
            <w:tcW w:w="1758" w:type="dxa"/>
            <w:tcBorders>
              <w:top w:val="single" w:sz="4" w:space="0" w:color="A6A6A6" w:themeColor="background1" w:themeShade="A6"/>
              <w:bottom w:val="single" w:sz="4" w:space="0" w:color="A6A6A6" w:themeColor="background1" w:themeShade="A6"/>
              <w:right w:val="nil"/>
            </w:tcBorders>
          </w:tcPr>
          <w:p w14:paraId="0506E22D" w14:textId="77777777" w:rsidR="00753A1F" w:rsidRPr="00ED2B1F" w:rsidRDefault="00753A1F" w:rsidP="003712C2">
            <w:pPr>
              <w:pStyle w:val="TableText"/>
              <w:spacing w:before="40" w:after="40"/>
              <w:rPr>
                <w:b/>
              </w:rPr>
            </w:pPr>
            <w:r w:rsidRPr="00ED2B1F">
              <w:rPr>
                <w:b/>
              </w:rPr>
              <w:lastRenderedPageBreak/>
              <w:t>Section 11</w:t>
            </w:r>
          </w:p>
        </w:tc>
        <w:tc>
          <w:tcPr>
            <w:tcW w:w="3544" w:type="dxa"/>
            <w:tcBorders>
              <w:left w:val="nil"/>
            </w:tcBorders>
          </w:tcPr>
          <w:p w14:paraId="741F8514" w14:textId="2EC46DCE" w:rsidR="00753A1F" w:rsidRPr="00ED2B1F" w:rsidRDefault="00954679" w:rsidP="003712C2">
            <w:pPr>
              <w:pStyle w:val="TableText"/>
              <w:spacing w:before="40" w:after="40"/>
              <w:ind w:right="113"/>
            </w:pPr>
            <w:r w:rsidRPr="00ED2B1F">
              <w:t xml:space="preserve">740 </w:t>
            </w:r>
            <w:r w:rsidR="00753A1F" w:rsidRPr="00ED2B1F">
              <w:t>people were subject to an initial assessment</w:t>
            </w:r>
          </w:p>
        </w:tc>
        <w:tc>
          <w:tcPr>
            <w:tcW w:w="2835" w:type="dxa"/>
          </w:tcPr>
          <w:p w14:paraId="78413AF6" w14:textId="001C2991" w:rsidR="00753A1F" w:rsidRPr="00ED2B1F" w:rsidRDefault="00753A1F" w:rsidP="003712C2">
            <w:pPr>
              <w:pStyle w:val="TableText"/>
              <w:spacing w:before="40" w:after="40"/>
            </w:pPr>
            <w:r w:rsidRPr="00ED2B1F">
              <w:t>1</w:t>
            </w:r>
            <w:r w:rsidR="00954679" w:rsidRPr="00ED2B1F">
              <w:t>4</w:t>
            </w:r>
            <w:r w:rsidRPr="00ED2B1F">
              <w:t xml:space="preserve"> people per 100,000 population</w:t>
            </w:r>
          </w:p>
        </w:tc>
      </w:tr>
      <w:tr w:rsidR="00753A1F" w:rsidRPr="00ED2B1F" w14:paraId="19694C32" w14:textId="77777777" w:rsidTr="00A82004">
        <w:trPr>
          <w:cantSplit/>
        </w:trPr>
        <w:tc>
          <w:tcPr>
            <w:tcW w:w="1758" w:type="dxa"/>
            <w:tcBorders>
              <w:top w:val="single" w:sz="4" w:space="0" w:color="A6A6A6" w:themeColor="background1" w:themeShade="A6"/>
              <w:bottom w:val="single" w:sz="4" w:space="0" w:color="A6A6A6" w:themeColor="background1" w:themeShade="A6"/>
              <w:right w:val="nil"/>
            </w:tcBorders>
          </w:tcPr>
          <w:p w14:paraId="3A1C9C8C" w14:textId="77777777" w:rsidR="00753A1F" w:rsidRPr="00ED2B1F" w:rsidRDefault="00753A1F" w:rsidP="00EF6FE5">
            <w:pPr>
              <w:pStyle w:val="TableText"/>
              <w:spacing w:before="40" w:after="40"/>
              <w:rPr>
                <w:b/>
              </w:rPr>
            </w:pPr>
            <w:r w:rsidRPr="00ED2B1F">
              <w:rPr>
                <w:b/>
              </w:rPr>
              <w:t>Section 13</w:t>
            </w:r>
          </w:p>
        </w:tc>
        <w:tc>
          <w:tcPr>
            <w:tcW w:w="3544" w:type="dxa"/>
            <w:tcBorders>
              <w:left w:val="nil"/>
            </w:tcBorders>
          </w:tcPr>
          <w:p w14:paraId="76AE83B1" w14:textId="2F402221" w:rsidR="00753A1F" w:rsidRPr="00ED2B1F" w:rsidRDefault="00954679" w:rsidP="00EF6FE5">
            <w:pPr>
              <w:pStyle w:val="TableText"/>
              <w:spacing w:before="40" w:after="40"/>
              <w:ind w:right="113"/>
            </w:pPr>
            <w:r w:rsidRPr="00ED2B1F">
              <w:t>877</w:t>
            </w:r>
            <w:r w:rsidR="00753A1F" w:rsidRPr="00ED2B1F">
              <w:t xml:space="preserve"> people were subject to a second period of assessment</w:t>
            </w:r>
          </w:p>
        </w:tc>
        <w:tc>
          <w:tcPr>
            <w:tcW w:w="2835" w:type="dxa"/>
          </w:tcPr>
          <w:p w14:paraId="1FFF1F87" w14:textId="4A4F5CA4" w:rsidR="00753A1F" w:rsidRPr="00ED2B1F" w:rsidRDefault="00753A1F" w:rsidP="00EF6FE5">
            <w:pPr>
              <w:pStyle w:val="TableText"/>
              <w:spacing w:before="40" w:after="40"/>
            </w:pPr>
            <w:r w:rsidRPr="00ED2B1F">
              <w:t>1</w:t>
            </w:r>
            <w:r w:rsidR="00954679" w:rsidRPr="00ED2B1F">
              <w:t>6</w:t>
            </w:r>
            <w:r w:rsidRPr="00ED2B1F">
              <w:t xml:space="preserve"> people per 100,000 population</w:t>
            </w:r>
          </w:p>
        </w:tc>
      </w:tr>
      <w:tr w:rsidR="00753A1F" w:rsidRPr="00ED2B1F" w14:paraId="54F09E83" w14:textId="77777777" w:rsidTr="00497F1D">
        <w:trPr>
          <w:cantSplit/>
        </w:trPr>
        <w:tc>
          <w:tcPr>
            <w:tcW w:w="1758" w:type="dxa"/>
            <w:tcBorders>
              <w:top w:val="single" w:sz="4" w:space="0" w:color="A6A6A6" w:themeColor="background1" w:themeShade="A6"/>
              <w:bottom w:val="single" w:sz="4" w:space="0" w:color="A6A6A6" w:themeColor="background1" w:themeShade="A6"/>
            </w:tcBorders>
          </w:tcPr>
          <w:p w14:paraId="779CDEF2" w14:textId="77777777" w:rsidR="00753A1F" w:rsidRPr="00ED2B1F" w:rsidRDefault="00753A1F" w:rsidP="00EF6FE5">
            <w:pPr>
              <w:pStyle w:val="TableText"/>
              <w:spacing w:before="40" w:after="40"/>
              <w:rPr>
                <w:b/>
              </w:rPr>
            </w:pPr>
            <w:r w:rsidRPr="00ED2B1F">
              <w:rPr>
                <w:b/>
              </w:rPr>
              <w:t>Section 15</w:t>
            </w:r>
          </w:p>
        </w:tc>
        <w:tc>
          <w:tcPr>
            <w:tcW w:w="3544" w:type="dxa"/>
          </w:tcPr>
          <w:p w14:paraId="5821E060" w14:textId="491AF5D3" w:rsidR="00753A1F" w:rsidRPr="00ED2B1F" w:rsidRDefault="00753A1F" w:rsidP="00EF6FE5">
            <w:pPr>
              <w:pStyle w:val="TableText"/>
              <w:spacing w:before="40" w:after="40"/>
              <w:ind w:right="113"/>
              <w:rPr>
                <w:spacing w:val="-2"/>
              </w:rPr>
            </w:pPr>
            <w:r w:rsidRPr="00ED2B1F">
              <w:rPr>
                <w:spacing w:val="-2"/>
              </w:rPr>
              <w:t>5</w:t>
            </w:r>
            <w:r w:rsidR="00954679" w:rsidRPr="00ED2B1F">
              <w:rPr>
                <w:spacing w:val="-2"/>
              </w:rPr>
              <w:t>93</w:t>
            </w:r>
            <w:r w:rsidRPr="00ED2B1F">
              <w:rPr>
                <w:spacing w:val="-2"/>
              </w:rPr>
              <w:t xml:space="preserve"> people were subject to an application for a CTO</w:t>
            </w:r>
          </w:p>
        </w:tc>
        <w:tc>
          <w:tcPr>
            <w:tcW w:w="2835" w:type="dxa"/>
          </w:tcPr>
          <w:p w14:paraId="26A9A376" w14:textId="38F584E8" w:rsidR="00753A1F" w:rsidRPr="00ED2B1F" w:rsidRDefault="00753A1F" w:rsidP="00EF6FE5">
            <w:pPr>
              <w:pStyle w:val="TableText"/>
              <w:spacing w:before="40" w:after="40"/>
            </w:pPr>
            <w:r w:rsidRPr="00ED2B1F">
              <w:t>1</w:t>
            </w:r>
            <w:r w:rsidR="00954679" w:rsidRPr="00ED2B1F">
              <w:t>1</w:t>
            </w:r>
            <w:r w:rsidRPr="00ED2B1F">
              <w:t xml:space="preserve"> people per 100,000 population</w:t>
            </w:r>
          </w:p>
        </w:tc>
      </w:tr>
    </w:tbl>
    <w:p w14:paraId="6301152F" w14:textId="270479F1" w:rsidR="00753A1F" w:rsidRPr="00ED2B1F" w:rsidRDefault="00753A1F" w:rsidP="004D1736">
      <w:pPr>
        <w:pStyle w:val="Source"/>
        <w:rPr>
          <w:rFonts w:eastAsia="Arial Unicode MS"/>
        </w:rPr>
      </w:pPr>
      <w:r w:rsidRPr="00ED2B1F">
        <w:rPr>
          <w:rFonts w:eastAsia="Arial Unicode MS"/>
        </w:rPr>
        <w:t>Sources: PRIMHD data</w:t>
      </w:r>
      <w:r w:rsidR="00570C81" w:rsidRPr="00ED2B1F">
        <w:t xml:space="preserve"> (extracted 10 June 2025) and manual data for Health New Zealand </w:t>
      </w:r>
      <w:r w:rsidR="00663732" w:rsidRPr="00ED2B1F">
        <w:t>Counties Manukau and Waikato.</w:t>
      </w:r>
      <w:bookmarkStart w:id="12" w:name="_Hlk184300184"/>
    </w:p>
    <w:p w14:paraId="535C776C" w14:textId="77777777" w:rsidR="005D7898" w:rsidRPr="00ED2B1F" w:rsidRDefault="005D7898" w:rsidP="00753A1F">
      <w:pPr>
        <w:rPr>
          <w:rFonts w:eastAsia="Arial Unicode MS"/>
        </w:rPr>
      </w:pPr>
    </w:p>
    <w:p w14:paraId="22153449" w14:textId="2BED8D8F" w:rsidR="00753A1F" w:rsidRPr="00ED2B1F" w:rsidRDefault="00753A1F" w:rsidP="00753A1F">
      <w:pPr>
        <w:rPr>
          <w:rFonts w:eastAsia="Arial Unicode MS"/>
        </w:rPr>
      </w:pPr>
      <w:r w:rsidRPr="00ED2B1F">
        <w:rPr>
          <w:rFonts w:eastAsia="Arial Unicode MS"/>
        </w:rPr>
        <w:t>This data is relatively steady compared with the previous financial year.</w:t>
      </w:r>
    </w:p>
    <w:p w14:paraId="1542772E" w14:textId="77777777" w:rsidR="00753A1F" w:rsidRPr="00ED2B1F" w:rsidRDefault="00753A1F" w:rsidP="00753A1F">
      <w:pPr>
        <w:rPr>
          <w:rFonts w:eastAsia="Arial Unicode MS"/>
        </w:rPr>
      </w:pPr>
    </w:p>
    <w:p w14:paraId="2F002AB4" w14:textId="1067E8D0" w:rsidR="00753A1F" w:rsidRPr="00ED2B1F" w:rsidRDefault="00753A1F" w:rsidP="00753A1F">
      <w:pPr>
        <w:rPr>
          <w:rFonts w:eastAsia="Arial Unicode MS"/>
        </w:rPr>
      </w:pPr>
      <w:r w:rsidRPr="00ED2B1F">
        <w:rPr>
          <w:rFonts w:eastAsia="Arial Unicode MS"/>
        </w:rPr>
        <w:t xml:space="preserve">In New Zealand, on an average day in the </w:t>
      </w:r>
      <w:r w:rsidR="00211D17" w:rsidRPr="00ED2B1F">
        <w:rPr>
          <w:rFonts w:eastAsia="Arial Unicode MS"/>
        </w:rPr>
        <w:t>2023/24</w:t>
      </w:r>
      <w:r w:rsidRPr="00ED2B1F">
        <w:rPr>
          <w:rFonts w:eastAsia="Arial Unicode MS"/>
        </w:rPr>
        <w:t xml:space="preserve"> financial year, the treatment provisions of the Mental Health Act were applied as follows.</w:t>
      </w:r>
    </w:p>
    <w:p w14:paraId="347306FF" w14:textId="77777777" w:rsidR="00753A1F" w:rsidRPr="00ED2B1F" w:rsidRDefault="00753A1F" w:rsidP="00753A1F">
      <w:pPr>
        <w:rPr>
          <w:rFonts w:eastAsia="Arial Unicode MS"/>
        </w:rPr>
      </w:pPr>
    </w:p>
    <w:tbl>
      <w:tblPr>
        <w:tblW w:w="813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58"/>
        <w:gridCol w:w="3544"/>
        <w:gridCol w:w="2835"/>
      </w:tblGrid>
      <w:tr w:rsidR="00753A1F" w:rsidRPr="00ED2B1F" w14:paraId="215388C2" w14:textId="77777777" w:rsidTr="00497F1D">
        <w:trPr>
          <w:cantSplit/>
        </w:trPr>
        <w:tc>
          <w:tcPr>
            <w:tcW w:w="1758" w:type="dxa"/>
            <w:tcBorders>
              <w:top w:val="single" w:sz="4" w:space="0" w:color="A6A6A6" w:themeColor="background1" w:themeShade="A6"/>
              <w:bottom w:val="single" w:sz="4" w:space="0" w:color="A6A6A6" w:themeColor="background1" w:themeShade="A6"/>
            </w:tcBorders>
          </w:tcPr>
          <w:p w14:paraId="3BE022AE" w14:textId="77777777" w:rsidR="00753A1F" w:rsidRPr="00ED2B1F" w:rsidRDefault="00753A1F" w:rsidP="00497F1D">
            <w:pPr>
              <w:pStyle w:val="TableText"/>
              <w:rPr>
                <w:b/>
                <w:bCs/>
              </w:rPr>
            </w:pPr>
            <w:r w:rsidRPr="00ED2B1F">
              <w:rPr>
                <w:b/>
                <w:bCs/>
              </w:rPr>
              <w:t>Section 29</w:t>
            </w:r>
          </w:p>
        </w:tc>
        <w:tc>
          <w:tcPr>
            <w:tcW w:w="3544" w:type="dxa"/>
          </w:tcPr>
          <w:p w14:paraId="209F2FF9" w14:textId="0A1458E5" w:rsidR="00753A1F" w:rsidRPr="00ED2B1F" w:rsidRDefault="00753A1F" w:rsidP="00497F1D">
            <w:pPr>
              <w:pStyle w:val="TableText"/>
              <w:ind w:right="113"/>
            </w:pPr>
            <w:r w:rsidRPr="00ED2B1F">
              <w:t>4,</w:t>
            </w:r>
            <w:r w:rsidR="008D3B7A" w:rsidRPr="00ED2B1F">
              <w:t>797</w:t>
            </w:r>
            <w:r w:rsidR="0039653A" w:rsidRPr="00ED2B1F">
              <w:t xml:space="preserve"> </w:t>
            </w:r>
            <w:r w:rsidRPr="00ED2B1F">
              <w:t>people were subject to a community treatment order</w:t>
            </w:r>
          </w:p>
        </w:tc>
        <w:tc>
          <w:tcPr>
            <w:tcW w:w="2835" w:type="dxa"/>
          </w:tcPr>
          <w:p w14:paraId="1600373B" w14:textId="0CBEC5F1" w:rsidR="00753A1F" w:rsidRPr="00ED2B1F" w:rsidRDefault="00457339" w:rsidP="00497F1D">
            <w:pPr>
              <w:pStyle w:val="TableText"/>
            </w:pPr>
            <w:r w:rsidRPr="00ED2B1F">
              <w:t>90</w:t>
            </w:r>
            <w:r w:rsidR="00753A1F" w:rsidRPr="00ED2B1F">
              <w:t xml:space="preserve"> people per 100,000 population</w:t>
            </w:r>
          </w:p>
        </w:tc>
      </w:tr>
      <w:tr w:rsidR="00753A1F" w:rsidRPr="00ED2B1F" w14:paraId="75E55917" w14:textId="77777777" w:rsidTr="00497F1D">
        <w:trPr>
          <w:cantSplit/>
        </w:trPr>
        <w:tc>
          <w:tcPr>
            <w:tcW w:w="1758" w:type="dxa"/>
            <w:tcBorders>
              <w:top w:val="single" w:sz="4" w:space="0" w:color="A6A6A6" w:themeColor="background1" w:themeShade="A6"/>
              <w:bottom w:val="single" w:sz="4" w:space="0" w:color="A6A6A6" w:themeColor="background1" w:themeShade="A6"/>
            </w:tcBorders>
          </w:tcPr>
          <w:p w14:paraId="1CB24868" w14:textId="77777777" w:rsidR="00753A1F" w:rsidRPr="00ED2B1F" w:rsidRDefault="00753A1F" w:rsidP="00497F1D">
            <w:pPr>
              <w:pStyle w:val="TableText"/>
              <w:rPr>
                <w:b/>
                <w:bCs/>
              </w:rPr>
            </w:pPr>
            <w:r w:rsidRPr="00ED2B1F">
              <w:rPr>
                <w:b/>
                <w:bCs/>
              </w:rPr>
              <w:t>Section 30</w:t>
            </w:r>
          </w:p>
        </w:tc>
        <w:tc>
          <w:tcPr>
            <w:tcW w:w="3544" w:type="dxa"/>
          </w:tcPr>
          <w:p w14:paraId="7E906DA8" w14:textId="7557D601" w:rsidR="00753A1F" w:rsidRPr="00ED2B1F" w:rsidRDefault="00457339" w:rsidP="00497F1D">
            <w:pPr>
              <w:pStyle w:val="TableText"/>
              <w:ind w:right="113"/>
            </w:pPr>
            <w:r w:rsidRPr="00ED2B1F">
              <w:t>807</w:t>
            </w:r>
            <w:r w:rsidR="00753A1F" w:rsidRPr="00ED2B1F">
              <w:t xml:space="preserve"> people were subject to an inpatient treatment order</w:t>
            </w:r>
          </w:p>
        </w:tc>
        <w:tc>
          <w:tcPr>
            <w:tcW w:w="2835" w:type="dxa"/>
          </w:tcPr>
          <w:p w14:paraId="05CBC8DC" w14:textId="0BB7A495" w:rsidR="00753A1F" w:rsidRPr="00ED2B1F" w:rsidRDefault="00457339" w:rsidP="00497F1D">
            <w:pPr>
              <w:pStyle w:val="TableText"/>
            </w:pPr>
            <w:r w:rsidRPr="00ED2B1F">
              <w:t>15</w:t>
            </w:r>
            <w:r w:rsidR="00753A1F" w:rsidRPr="00ED2B1F">
              <w:t xml:space="preserve"> people per 100,000 population</w:t>
            </w:r>
          </w:p>
        </w:tc>
      </w:tr>
      <w:tr w:rsidR="00753A1F" w:rsidRPr="00ED2B1F" w14:paraId="292B12AB" w14:textId="77777777" w:rsidTr="00497F1D">
        <w:trPr>
          <w:cantSplit/>
        </w:trPr>
        <w:tc>
          <w:tcPr>
            <w:tcW w:w="1758" w:type="dxa"/>
            <w:tcBorders>
              <w:top w:val="single" w:sz="4" w:space="0" w:color="A6A6A6" w:themeColor="background1" w:themeShade="A6"/>
              <w:bottom w:val="single" w:sz="4" w:space="0" w:color="A6A6A6" w:themeColor="background1" w:themeShade="A6"/>
            </w:tcBorders>
          </w:tcPr>
          <w:p w14:paraId="7A97B7E5" w14:textId="77777777" w:rsidR="00753A1F" w:rsidRPr="00ED2B1F" w:rsidRDefault="00753A1F" w:rsidP="00497F1D">
            <w:pPr>
              <w:pStyle w:val="TableText"/>
              <w:rPr>
                <w:b/>
                <w:bCs/>
              </w:rPr>
            </w:pPr>
            <w:r w:rsidRPr="00ED2B1F">
              <w:rPr>
                <w:b/>
                <w:bCs/>
              </w:rPr>
              <w:t>Section 31</w:t>
            </w:r>
          </w:p>
        </w:tc>
        <w:tc>
          <w:tcPr>
            <w:tcW w:w="3544" w:type="dxa"/>
          </w:tcPr>
          <w:p w14:paraId="2976C5CD" w14:textId="4F525B05" w:rsidR="00753A1F" w:rsidRPr="00ED2B1F" w:rsidRDefault="00457339" w:rsidP="00497F1D">
            <w:pPr>
              <w:pStyle w:val="TableText"/>
              <w:ind w:right="113"/>
              <w:rPr>
                <w:spacing w:val="-2"/>
              </w:rPr>
            </w:pPr>
            <w:r w:rsidRPr="00ED2B1F">
              <w:t>251</w:t>
            </w:r>
            <w:r w:rsidR="00753A1F" w:rsidRPr="00ED2B1F">
              <w:t xml:space="preserve"> people were on temporary leave from an inpatient unit</w:t>
            </w:r>
          </w:p>
        </w:tc>
        <w:tc>
          <w:tcPr>
            <w:tcW w:w="2835" w:type="dxa"/>
          </w:tcPr>
          <w:p w14:paraId="4C8F1BD2" w14:textId="77777777" w:rsidR="00753A1F" w:rsidRPr="00ED2B1F" w:rsidRDefault="00753A1F" w:rsidP="00497F1D">
            <w:pPr>
              <w:pStyle w:val="TableText"/>
            </w:pPr>
            <w:r w:rsidRPr="00ED2B1F">
              <w:t>5 people per 100,000 population</w:t>
            </w:r>
          </w:p>
        </w:tc>
      </w:tr>
    </w:tbl>
    <w:p w14:paraId="7477F99E" w14:textId="0E3D260E" w:rsidR="00753A1F" w:rsidRPr="00ED2B1F" w:rsidRDefault="0039653A" w:rsidP="00753A1F">
      <w:pPr>
        <w:pStyle w:val="Source"/>
        <w:rPr>
          <w:rFonts w:eastAsia="Arial Unicode MS"/>
        </w:rPr>
      </w:pPr>
      <w:r w:rsidRPr="00ED2B1F">
        <w:t>Sources: PRIMHD data (extracted 10 June 2025) and manual data for Health New Zealand Bay of Plenty, Capital &amp; Coast, Hawke’s Bay, MidCentral, Southern, Tairāwhiti, Waikato and Waitematā.</w:t>
      </w:r>
    </w:p>
    <w:p w14:paraId="39B017E3" w14:textId="77777777" w:rsidR="00753A1F" w:rsidRPr="00ED2B1F" w:rsidRDefault="00753A1F" w:rsidP="00753A1F">
      <w:pPr>
        <w:rPr>
          <w:rFonts w:eastAsia="Arial Unicode MS"/>
        </w:rPr>
      </w:pPr>
    </w:p>
    <w:p w14:paraId="3391321D" w14:textId="682B317B" w:rsidR="00753A1F" w:rsidRPr="00ED2B1F" w:rsidRDefault="00D512D5" w:rsidP="00753A1F">
      <w:pPr>
        <w:rPr>
          <w:rFonts w:eastAsia="Arial Unicode MS"/>
        </w:rPr>
      </w:pPr>
      <w:r w:rsidRPr="00D512D5">
        <w:rPr>
          <w:rFonts w:eastAsia="Arial Unicode MS"/>
        </w:rPr>
        <w:t>The number of people subject to a community treatment order in 2023/24 decreased slightly from 91 to 90 people per 100,000 people in the general population. There was also a slight decrease for those subject to section 30 (15 per 100,000 compared with 17 per 100,000 in 2022/23). The rate of people subject to section 31 in 2023/24 was the same as in the previous year.</w:t>
      </w:r>
    </w:p>
    <w:p w14:paraId="643C436C" w14:textId="77777777" w:rsidR="00753A1F" w:rsidRPr="00ED2B1F" w:rsidRDefault="00753A1F" w:rsidP="00753A1F">
      <w:pPr>
        <w:rPr>
          <w:rFonts w:eastAsia="Arial Unicode MS"/>
        </w:rPr>
      </w:pPr>
    </w:p>
    <w:p w14:paraId="76F36B9C" w14:textId="153A590B" w:rsidR="00753A1F" w:rsidRPr="00ED2B1F" w:rsidRDefault="00753A1F" w:rsidP="00753A1F">
      <w:pPr>
        <w:rPr>
          <w:rFonts w:eastAsia="Arial Unicode MS"/>
        </w:rPr>
      </w:pPr>
      <w:r w:rsidRPr="00ED2B1F">
        <w:rPr>
          <w:rFonts w:eastAsia="Arial Unicode MS"/>
        </w:rPr>
        <w:fldChar w:fldCharType="begin"/>
      </w:r>
      <w:r w:rsidRPr="00ED2B1F">
        <w:rPr>
          <w:rFonts w:eastAsia="Arial Unicode MS"/>
        </w:rPr>
        <w:instrText xml:space="preserve"> REF _Ref85553600 \h  \* MERGEFORMAT </w:instrText>
      </w:r>
      <w:r w:rsidRPr="00ED2B1F">
        <w:rPr>
          <w:rFonts w:eastAsia="Arial Unicode MS"/>
        </w:rPr>
      </w:r>
      <w:r w:rsidRPr="00ED2B1F">
        <w:rPr>
          <w:rFonts w:eastAsia="Arial Unicode MS"/>
        </w:rPr>
        <w:fldChar w:fldCharType="separate"/>
      </w:r>
      <w:r w:rsidR="00484E57" w:rsidRPr="00ED2B1F">
        <w:t>Figure </w:t>
      </w:r>
      <w:r w:rsidR="00484E57">
        <w:t>1</w:t>
      </w:r>
      <w:r w:rsidRPr="00ED2B1F">
        <w:rPr>
          <w:rFonts w:eastAsia="Arial Unicode MS"/>
        </w:rPr>
        <w:fldChar w:fldCharType="end"/>
      </w:r>
      <w:r w:rsidRPr="00ED2B1F">
        <w:rPr>
          <w:rFonts w:eastAsia="Arial Unicode MS"/>
        </w:rPr>
        <w:t xml:space="preserve"> shows the number of CTOs and extensions that clinicians have applied for and courts have granted since 200</w:t>
      </w:r>
      <w:r w:rsidR="00AA2F6F" w:rsidRPr="00ED2B1F">
        <w:rPr>
          <w:rFonts w:eastAsia="Arial Unicode MS"/>
        </w:rPr>
        <w:t>9</w:t>
      </w:r>
      <w:r w:rsidRPr="00ED2B1F">
        <w:rPr>
          <w:rFonts w:eastAsia="Arial Unicode MS"/>
        </w:rPr>
        <w:t>/</w:t>
      </w:r>
      <w:r w:rsidR="00AA2F6F" w:rsidRPr="00ED2B1F">
        <w:rPr>
          <w:rFonts w:eastAsia="Arial Unicode MS"/>
        </w:rPr>
        <w:t>10</w:t>
      </w:r>
      <w:r w:rsidRPr="00ED2B1F">
        <w:rPr>
          <w:rFonts w:eastAsia="Arial Unicode MS"/>
        </w:rPr>
        <w:t>. It also shows the number of applications dismissed or withdrawn.</w:t>
      </w:r>
    </w:p>
    <w:p w14:paraId="737436A8" w14:textId="77777777" w:rsidR="00753A1F" w:rsidRPr="00ED2B1F" w:rsidRDefault="00753A1F" w:rsidP="00753A1F">
      <w:pPr>
        <w:rPr>
          <w:rFonts w:eastAsia="Arial Unicode MS"/>
        </w:rPr>
      </w:pPr>
    </w:p>
    <w:p w14:paraId="66D38F88" w14:textId="293B8D5F" w:rsidR="00753A1F" w:rsidRDefault="00753A1F" w:rsidP="00C103C7">
      <w:pPr>
        <w:pStyle w:val="Figure"/>
      </w:pPr>
      <w:bookmarkStart w:id="13" w:name="_Ref85553600"/>
      <w:bookmarkStart w:id="14" w:name="_Toc85442559"/>
      <w:bookmarkStart w:id="15" w:name="_Toc85445899"/>
      <w:bookmarkStart w:id="16" w:name="_Toc87429950"/>
      <w:bookmarkStart w:id="17" w:name="_Toc88561382"/>
      <w:bookmarkStart w:id="18" w:name="_Toc115188840"/>
      <w:bookmarkStart w:id="19" w:name="_Toc142314682"/>
      <w:bookmarkStart w:id="20" w:name="_Toc145394266"/>
      <w:bookmarkStart w:id="21" w:name="_Toc189053942"/>
      <w:bookmarkStart w:id="22" w:name="_Toc224638173"/>
      <w:r w:rsidRPr="00ED2B1F">
        <w:lastRenderedPageBreak/>
        <w:t>Figure </w:t>
      </w:r>
      <w:r w:rsidRPr="00ED2B1F">
        <w:fldChar w:fldCharType="begin"/>
      </w:r>
      <w:r w:rsidRPr="00ED2B1F">
        <w:instrText>SEQ Figure \* ARABIC</w:instrText>
      </w:r>
      <w:r w:rsidRPr="00ED2B1F">
        <w:fldChar w:fldCharType="separate"/>
      </w:r>
      <w:r w:rsidR="00484E57">
        <w:rPr>
          <w:noProof/>
        </w:rPr>
        <w:t>1</w:t>
      </w:r>
      <w:r w:rsidRPr="00ED2B1F">
        <w:fldChar w:fldCharType="end"/>
      </w:r>
      <w:bookmarkEnd w:id="13"/>
      <w:r w:rsidRPr="00ED2B1F">
        <w:t xml:space="preserve">: Applications and outcomes for compulsory treatment orders and extensions, </w:t>
      </w:r>
      <w:bookmarkEnd w:id="14"/>
      <w:bookmarkEnd w:id="15"/>
      <w:bookmarkEnd w:id="16"/>
      <w:bookmarkEnd w:id="17"/>
      <w:r w:rsidRPr="00ED2B1F">
        <w:t>200</w:t>
      </w:r>
      <w:r w:rsidR="00381680" w:rsidRPr="00ED2B1F">
        <w:t>9</w:t>
      </w:r>
      <w:r w:rsidRPr="00ED2B1F">
        <w:t>/</w:t>
      </w:r>
      <w:r w:rsidR="00381680" w:rsidRPr="00ED2B1F">
        <w:t>10</w:t>
      </w:r>
      <w:r w:rsidRPr="00ED2B1F">
        <w:t xml:space="preserve"> to </w:t>
      </w:r>
      <w:bookmarkEnd w:id="18"/>
      <w:bookmarkEnd w:id="19"/>
      <w:bookmarkEnd w:id="20"/>
      <w:bookmarkEnd w:id="21"/>
      <w:r w:rsidR="00211D17" w:rsidRPr="00ED2B1F">
        <w:t>2023/24</w:t>
      </w:r>
      <w:bookmarkEnd w:id="22"/>
    </w:p>
    <w:p w14:paraId="713DACA7" w14:textId="545594F0" w:rsidR="00CC12F1" w:rsidRPr="00CC12F1" w:rsidRDefault="00CC12F1" w:rsidP="00CC12F1">
      <w:r>
        <w:rPr>
          <w:noProof/>
        </w:rPr>
        <w:drawing>
          <wp:inline distT="0" distB="0" distL="0" distR="0" wp14:anchorId="723FA4FC" wp14:editId="51363110">
            <wp:extent cx="5590540" cy="2926080"/>
            <wp:effectExtent l="0" t="0" r="0" b="7620"/>
            <wp:docPr id="1795513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13020"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0540" cy="2926080"/>
                    </a:xfrm>
                    <a:prstGeom prst="rect">
                      <a:avLst/>
                    </a:prstGeom>
                    <a:noFill/>
                  </pic:spPr>
                </pic:pic>
              </a:graphicData>
            </a:graphic>
          </wp:inline>
        </w:drawing>
      </w:r>
    </w:p>
    <w:bookmarkEnd w:id="12"/>
    <w:p w14:paraId="1A384FBB" w14:textId="70372C58" w:rsidR="00753A1F" w:rsidRPr="00ED2B1F" w:rsidRDefault="00753A1F" w:rsidP="00753A1F">
      <w:pPr>
        <w:pStyle w:val="Source"/>
        <w:rPr>
          <w:rFonts w:eastAsia="MS Gothic"/>
        </w:rPr>
      </w:pPr>
      <w:r w:rsidRPr="00ED2B1F">
        <w:rPr>
          <w:rFonts w:eastAsia="MS Gothic"/>
        </w:rPr>
        <w:t>Notes: This figure is based on data entered into the Ministry of Justice’s CMS, which is a live operational database. Figures are subject to minor changes at any time.</w:t>
      </w:r>
    </w:p>
    <w:p w14:paraId="7D578A87" w14:textId="5792533D" w:rsidR="00753A1F" w:rsidRPr="00ED2B1F" w:rsidRDefault="00753A1F" w:rsidP="00753A1F">
      <w:pPr>
        <w:pStyle w:val="Source"/>
        <w:rPr>
          <w:rFonts w:eastAsia="MS Gothic"/>
        </w:rPr>
      </w:pPr>
      <w:r w:rsidRPr="00ED2B1F">
        <w:rPr>
          <w:rFonts w:eastAsia="MS Gothic"/>
        </w:rPr>
        <w:t xml:space="preserve">Source: Ministry of Justice Integrated Sector Intelligence System data (extracted </w:t>
      </w:r>
      <w:r w:rsidR="009D2CD4" w:rsidRPr="00ED2B1F">
        <w:rPr>
          <w:rFonts w:eastAsia="MS Gothic"/>
        </w:rPr>
        <w:t>2 December</w:t>
      </w:r>
      <w:r w:rsidR="005B6519" w:rsidRPr="00ED2B1F">
        <w:rPr>
          <w:rFonts w:eastAsia="MS Gothic"/>
        </w:rPr>
        <w:t xml:space="preserve"> 2025</w:t>
      </w:r>
      <w:r w:rsidRPr="00ED2B1F">
        <w:rPr>
          <w:rFonts w:eastAsia="MS Gothic"/>
        </w:rPr>
        <w:t>).</w:t>
      </w:r>
    </w:p>
    <w:p w14:paraId="3FA6E59C" w14:textId="77777777" w:rsidR="00484E57" w:rsidRPr="00ED2B1F" w:rsidRDefault="00753A1F" w:rsidP="00535C2F">
      <w:r w:rsidRPr="00ED2B1F">
        <w:rPr>
          <w:rFonts w:eastAsia="MS Gothic"/>
        </w:rPr>
        <w:fldChar w:fldCharType="begin"/>
      </w:r>
      <w:r w:rsidRPr="00ED2B1F">
        <w:rPr>
          <w:rFonts w:eastAsia="MS Gothic"/>
        </w:rPr>
        <w:instrText xml:space="preserve"> REF _Ref84315731 \h </w:instrText>
      </w:r>
      <w:r w:rsidRPr="00ED2B1F">
        <w:rPr>
          <w:rFonts w:eastAsia="MS Gothic"/>
        </w:rPr>
      </w:r>
      <w:r w:rsidRPr="00ED2B1F">
        <w:rPr>
          <w:rFonts w:eastAsia="MS Gothic"/>
        </w:rPr>
        <w:fldChar w:fldCharType="separate"/>
      </w:r>
    </w:p>
    <w:p w14:paraId="646B785C" w14:textId="63DDD3D0" w:rsidR="00753A1F" w:rsidRPr="00ED2B1F" w:rsidRDefault="00484E57" w:rsidP="00753A1F">
      <w:pPr>
        <w:rPr>
          <w:rFonts w:eastAsia="MS Gothic"/>
        </w:rPr>
      </w:pPr>
      <w:r w:rsidRPr="00ED2B1F">
        <w:t>Figure </w:t>
      </w:r>
      <w:r>
        <w:rPr>
          <w:noProof/>
        </w:rPr>
        <w:t>2</w:t>
      </w:r>
      <w:r w:rsidR="00753A1F" w:rsidRPr="00ED2B1F">
        <w:rPr>
          <w:rFonts w:eastAsia="MS Gothic"/>
        </w:rPr>
        <w:fldChar w:fldCharType="end"/>
      </w:r>
      <w:r w:rsidR="00753A1F" w:rsidRPr="00ED2B1F">
        <w:rPr>
          <w:rFonts w:eastAsia="MS Gothic"/>
        </w:rPr>
        <w:t xml:space="preserve"> shows the number of applications for community and inpatient treatment orders that courts have granted since 200</w:t>
      </w:r>
      <w:r w:rsidR="00AA2F6F" w:rsidRPr="00ED2B1F">
        <w:rPr>
          <w:rFonts w:eastAsia="MS Gothic"/>
        </w:rPr>
        <w:t>9</w:t>
      </w:r>
      <w:r w:rsidR="00753A1F" w:rsidRPr="00ED2B1F">
        <w:rPr>
          <w:rFonts w:eastAsia="MS Gothic"/>
        </w:rPr>
        <w:t>/</w:t>
      </w:r>
      <w:r w:rsidR="00AA2F6F" w:rsidRPr="00ED2B1F">
        <w:rPr>
          <w:rFonts w:eastAsia="MS Gothic"/>
        </w:rPr>
        <w:t>10</w:t>
      </w:r>
      <w:r w:rsidR="00753A1F" w:rsidRPr="00ED2B1F">
        <w:rPr>
          <w:rFonts w:eastAsia="MS Gothic"/>
        </w:rPr>
        <w:t>.</w:t>
      </w:r>
    </w:p>
    <w:p w14:paraId="6853DD11" w14:textId="77777777" w:rsidR="00753A1F" w:rsidRPr="00ED2B1F" w:rsidRDefault="00753A1F" w:rsidP="00535C2F">
      <w:bookmarkStart w:id="23" w:name="_Ref84315731"/>
      <w:bookmarkStart w:id="24" w:name="_Toc85442560"/>
      <w:bookmarkStart w:id="25" w:name="_Toc85445900"/>
      <w:bookmarkStart w:id="26" w:name="_Toc87429951"/>
      <w:bookmarkStart w:id="27" w:name="_Toc88561383"/>
      <w:bookmarkStart w:id="28" w:name="_Toc115188841"/>
      <w:bookmarkStart w:id="29" w:name="_Toc142314683"/>
      <w:bookmarkStart w:id="30" w:name="_Toc145394267"/>
      <w:bookmarkStart w:id="31" w:name="_Toc189053943"/>
    </w:p>
    <w:p w14:paraId="518539F6" w14:textId="434AA177" w:rsidR="00753A1F" w:rsidRPr="00ED2B1F" w:rsidRDefault="00753A1F" w:rsidP="00C103C7">
      <w:pPr>
        <w:pStyle w:val="Figure"/>
      </w:pPr>
      <w:bookmarkStart w:id="32" w:name="_Toc224638174"/>
      <w:r w:rsidRPr="00ED2B1F">
        <w:t>Figure </w:t>
      </w:r>
      <w:r w:rsidRPr="00ED2B1F">
        <w:fldChar w:fldCharType="begin"/>
      </w:r>
      <w:r w:rsidRPr="00ED2B1F">
        <w:instrText>SEQ Figure \* ARABIC</w:instrText>
      </w:r>
      <w:r w:rsidRPr="00ED2B1F">
        <w:fldChar w:fldCharType="separate"/>
      </w:r>
      <w:r w:rsidR="00484E57">
        <w:rPr>
          <w:noProof/>
        </w:rPr>
        <w:t>2</w:t>
      </w:r>
      <w:r w:rsidRPr="00ED2B1F">
        <w:fldChar w:fldCharType="end"/>
      </w:r>
      <w:bookmarkEnd w:id="23"/>
      <w:r w:rsidRPr="00ED2B1F">
        <w:t xml:space="preserve">: Number of granted compulsory treatment orders and extensions, community and inpatient, </w:t>
      </w:r>
      <w:bookmarkEnd w:id="24"/>
      <w:bookmarkEnd w:id="25"/>
      <w:bookmarkEnd w:id="26"/>
      <w:bookmarkEnd w:id="27"/>
      <w:bookmarkEnd w:id="28"/>
      <w:r w:rsidRPr="00ED2B1F">
        <w:t>200</w:t>
      </w:r>
      <w:r w:rsidR="00AA2F6F" w:rsidRPr="00ED2B1F">
        <w:t>9</w:t>
      </w:r>
      <w:r w:rsidRPr="00ED2B1F">
        <w:t>/</w:t>
      </w:r>
      <w:r w:rsidR="00AA2F6F" w:rsidRPr="00ED2B1F">
        <w:t>10</w:t>
      </w:r>
      <w:r w:rsidRPr="00ED2B1F">
        <w:t xml:space="preserve"> to </w:t>
      </w:r>
      <w:bookmarkEnd w:id="29"/>
      <w:bookmarkEnd w:id="30"/>
      <w:bookmarkEnd w:id="31"/>
      <w:r w:rsidR="00211D17" w:rsidRPr="00ED2B1F">
        <w:t>2023/24</w:t>
      </w:r>
      <w:bookmarkEnd w:id="32"/>
    </w:p>
    <w:p w14:paraId="1D799902" w14:textId="3D0A60B2" w:rsidR="00753A1F" w:rsidRPr="00ED2B1F" w:rsidRDefault="00CC12F1" w:rsidP="00D431F8">
      <w:pPr>
        <w:rPr>
          <w:rFonts w:eastAsia="Arial Unicode MS"/>
        </w:rPr>
      </w:pPr>
      <w:r>
        <w:rPr>
          <w:rFonts w:eastAsia="Arial Unicode MS"/>
          <w:noProof/>
        </w:rPr>
        <w:drawing>
          <wp:inline distT="0" distB="0" distL="0" distR="0" wp14:anchorId="48050A1F" wp14:editId="270525D4">
            <wp:extent cx="5163176" cy="2812473"/>
            <wp:effectExtent l="0" t="0" r="0" b="6985"/>
            <wp:docPr id="427044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44408" name="Picture 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1465" cy="2816988"/>
                    </a:xfrm>
                    <a:prstGeom prst="rect">
                      <a:avLst/>
                    </a:prstGeom>
                    <a:noFill/>
                  </pic:spPr>
                </pic:pic>
              </a:graphicData>
            </a:graphic>
          </wp:inline>
        </w:drawing>
      </w:r>
    </w:p>
    <w:p w14:paraId="25C17F49" w14:textId="77777777" w:rsidR="00753A1F" w:rsidRPr="00ED2B1F" w:rsidRDefault="00753A1F" w:rsidP="00753A1F">
      <w:pPr>
        <w:pStyle w:val="Note"/>
        <w:rPr>
          <w:rFonts w:eastAsia="MS Gothic"/>
        </w:rPr>
      </w:pPr>
      <w:r w:rsidRPr="00ED2B1F">
        <w:rPr>
          <w:rFonts w:eastAsia="MS Gothic"/>
        </w:rPr>
        <w:t>Notes: This figure is based on data entered into the CMS, which is a live operational database. Figures are subject to minor changes at any time.</w:t>
      </w:r>
    </w:p>
    <w:p w14:paraId="0B3CCC2B" w14:textId="6C21C015" w:rsidR="00753A1F" w:rsidRPr="00ED2B1F" w:rsidRDefault="00753A1F" w:rsidP="00753A1F">
      <w:pPr>
        <w:pStyle w:val="Source"/>
        <w:rPr>
          <w:rFonts w:eastAsia="MS Gothic"/>
        </w:rPr>
      </w:pPr>
      <w:r w:rsidRPr="00ED2B1F">
        <w:rPr>
          <w:rFonts w:eastAsia="MS Gothic"/>
        </w:rPr>
        <w:t xml:space="preserve">Source: Ministry of Justice Integrated Sector Intelligence System data (extracted </w:t>
      </w:r>
      <w:r w:rsidR="009D2CD4" w:rsidRPr="00ED2B1F">
        <w:rPr>
          <w:rFonts w:eastAsia="MS Gothic"/>
        </w:rPr>
        <w:t>2 December</w:t>
      </w:r>
      <w:r w:rsidR="005B6519" w:rsidRPr="00ED2B1F">
        <w:rPr>
          <w:rFonts w:eastAsia="MS Gothic"/>
        </w:rPr>
        <w:t xml:space="preserve"> 2025</w:t>
      </w:r>
      <w:r w:rsidRPr="00ED2B1F">
        <w:rPr>
          <w:rFonts w:eastAsia="MS Gothic"/>
        </w:rPr>
        <w:t>).</w:t>
      </w:r>
    </w:p>
    <w:p w14:paraId="67DC02D8" w14:textId="77777777" w:rsidR="00753A1F" w:rsidRPr="00ED2B1F" w:rsidRDefault="00753A1F" w:rsidP="00753A1F">
      <w:bookmarkStart w:id="33" w:name="_Toc65141614"/>
      <w:bookmarkStart w:id="34" w:name="_Toc75176437"/>
      <w:bookmarkStart w:id="35" w:name="_Toc87429901"/>
      <w:bookmarkStart w:id="36" w:name="_Toc88826949"/>
      <w:bookmarkStart w:id="37" w:name="_Toc115188799"/>
      <w:bookmarkStart w:id="38" w:name="_Toc145394227"/>
      <w:bookmarkStart w:id="39" w:name="_Toc189053897"/>
    </w:p>
    <w:p w14:paraId="0F873B66" w14:textId="77777777" w:rsidR="00682EA5" w:rsidRPr="00ED2B1F" w:rsidRDefault="00753A1F" w:rsidP="007A34A3">
      <w:pPr>
        <w:pStyle w:val="Heading2"/>
      </w:pPr>
      <w:bookmarkStart w:id="40" w:name="_Toc224638089"/>
      <w:r w:rsidRPr="00ED2B1F">
        <w:lastRenderedPageBreak/>
        <w:t xml:space="preserve">Comparing compulsory assessment and treatment among </w:t>
      </w:r>
      <w:bookmarkEnd w:id="33"/>
      <w:bookmarkEnd w:id="34"/>
      <w:bookmarkEnd w:id="35"/>
      <w:bookmarkEnd w:id="36"/>
      <w:bookmarkEnd w:id="37"/>
      <w:bookmarkEnd w:id="38"/>
      <w:r w:rsidRPr="00ED2B1F">
        <w:t>districts</w:t>
      </w:r>
      <w:bookmarkEnd w:id="39"/>
      <w:bookmarkEnd w:id="40"/>
      <w:r w:rsidRPr="00ED2B1F">
        <w:t xml:space="preserve"> </w:t>
      </w:r>
    </w:p>
    <w:p w14:paraId="0C4D36FB" w14:textId="44C2E24F" w:rsidR="00532BA1" w:rsidRDefault="00535C2F" w:rsidP="00532BA1">
      <w:r w:rsidRPr="00ED2B1F">
        <w:fldChar w:fldCharType="begin"/>
      </w:r>
      <w:r w:rsidRPr="00ED2B1F">
        <w:instrText xml:space="preserve"> REF _Ref189453873 \h </w:instrText>
      </w:r>
      <w:r w:rsidR="00532BA1">
        <w:instrText xml:space="preserve"> \* MERGEFORMAT </w:instrText>
      </w:r>
      <w:r w:rsidRPr="00ED2B1F">
        <w:fldChar w:fldCharType="separate"/>
      </w:r>
      <w:r w:rsidR="00484E57" w:rsidRPr="00ED2B1F">
        <w:t>Table </w:t>
      </w:r>
      <w:r w:rsidR="00484E57">
        <w:t>1</w:t>
      </w:r>
      <w:r w:rsidRPr="00ED2B1F">
        <w:fldChar w:fldCharType="end"/>
      </w:r>
      <w:r w:rsidRPr="00ED2B1F">
        <w:t xml:space="preserve"> shows the average number of people per month in </w:t>
      </w:r>
      <w:r w:rsidR="00211D17" w:rsidRPr="00ED2B1F">
        <w:t>2023/24</w:t>
      </w:r>
      <w:r w:rsidRPr="00ED2B1F">
        <w:t xml:space="preserve"> who were required to undergo assessment under the Mental Health Act in each district. </w:t>
      </w:r>
      <w:r w:rsidR="00532BA1">
        <w:fldChar w:fldCharType="begin"/>
      </w:r>
      <w:r w:rsidR="00532BA1">
        <w:instrText xml:space="preserve"> REF Table2 \h </w:instrText>
      </w:r>
      <w:r w:rsidR="00532BA1">
        <w:fldChar w:fldCharType="separate"/>
      </w:r>
      <w:r w:rsidR="00484E57" w:rsidRPr="00ED2B1F">
        <w:t>Table </w:t>
      </w:r>
      <w:r w:rsidR="00484E57">
        <w:rPr>
          <w:noProof/>
        </w:rPr>
        <w:t>2</w:t>
      </w:r>
      <w:r w:rsidR="00532BA1">
        <w:fldChar w:fldCharType="end"/>
      </w:r>
      <w:r w:rsidR="00532BA1">
        <w:t xml:space="preserve"> shows the average number of people subject to a CTO on a given day in the same period in each district. </w:t>
      </w:r>
    </w:p>
    <w:p w14:paraId="0942F9FA" w14:textId="77777777" w:rsidR="00532BA1" w:rsidRDefault="00532BA1" w:rsidP="00532BA1"/>
    <w:p w14:paraId="1558C42D" w14:textId="17125DFF" w:rsidR="00535C2F" w:rsidRDefault="00532BA1" w:rsidP="00532BA1">
      <w:r>
        <w:t>The following figures present the average number of people subject to a CTO on a given day, focusing specifically on either community treatment orders (</w:t>
      </w:r>
      <w:r>
        <w:fldChar w:fldCharType="begin"/>
      </w:r>
      <w:r>
        <w:instrText xml:space="preserve"> REF Figure3 \h </w:instrText>
      </w:r>
      <w:r>
        <w:fldChar w:fldCharType="separate"/>
      </w:r>
      <w:r w:rsidR="00484E57" w:rsidRPr="00ED2B1F">
        <w:t>Figure </w:t>
      </w:r>
      <w:r w:rsidR="00484E57">
        <w:rPr>
          <w:noProof/>
        </w:rPr>
        <w:t>3</w:t>
      </w:r>
      <w:r>
        <w:fldChar w:fldCharType="end"/>
      </w:r>
      <w:r>
        <w:t>) or inpatient treatment orders (</w:t>
      </w:r>
      <w:r w:rsidR="003C0399">
        <w:fldChar w:fldCharType="begin"/>
      </w:r>
      <w:r w:rsidR="003C0399">
        <w:instrText xml:space="preserve"> REF _Ref84315824 \h </w:instrText>
      </w:r>
      <w:r w:rsidR="003C0399">
        <w:fldChar w:fldCharType="separate"/>
      </w:r>
      <w:r w:rsidR="00484E57" w:rsidRPr="00ED2B1F">
        <w:t>Figure </w:t>
      </w:r>
      <w:r w:rsidR="00484E57">
        <w:rPr>
          <w:noProof/>
        </w:rPr>
        <w:t>4</w:t>
      </w:r>
      <w:r w:rsidR="003C0399">
        <w:fldChar w:fldCharType="end"/>
      </w:r>
      <w:r>
        <w:t>).</w:t>
      </w:r>
    </w:p>
    <w:p w14:paraId="756A048C" w14:textId="77777777" w:rsidR="006B1F70" w:rsidRDefault="006B1F70" w:rsidP="00535C2F"/>
    <w:p w14:paraId="430736F6" w14:textId="5CD0EAB8" w:rsidR="00753A1F" w:rsidRPr="00ED2B1F" w:rsidRDefault="00753A1F" w:rsidP="00C103C7">
      <w:pPr>
        <w:pStyle w:val="Table"/>
      </w:pPr>
      <w:bookmarkStart w:id="41" w:name="_Ref189453873"/>
      <w:bookmarkStart w:id="42" w:name="_Toc145394314"/>
      <w:bookmarkStart w:id="43" w:name="_Toc189053992"/>
      <w:bookmarkStart w:id="44" w:name="_Toc224638221"/>
      <w:r w:rsidRPr="00ED2B1F">
        <w:t>Table </w:t>
      </w:r>
      <w:r w:rsidRPr="00ED2B1F">
        <w:fldChar w:fldCharType="begin"/>
      </w:r>
      <w:r w:rsidRPr="00ED2B1F">
        <w:instrText>SEQ Table \* ARABIC</w:instrText>
      </w:r>
      <w:r w:rsidRPr="00ED2B1F">
        <w:fldChar w:fldCharType="separate"/>
      </w:r>
      <w:r w:rsidR="00484E57">
        <w:rPr>
          <w:noProof/>
        </w:rPr>
        <w:t>1</w:t>
      </w:r>
      <w:r w:rsidRPr="00ED2B1F">
        <w:fldChar w:fldCharType="end"/>
      </w:r>
      <w:bookmarkEnd w:id="41"/>
      <w:r w:rsidRPr="00ED2B1F">
        <w:t xml:space="preserve">: Average number of people each month required to undergo assessment under section 11, 13 or 15 of the Mental Health Act per 100,000 population, by district, </w:t>
      </w:r>
      <w:bookmarkEnd w:id="42"/>
      <w:bookmarkEnd w:id="43"/>
      <w:r w:rsidR="00211D17" w:rsidRPr="00ED2B1F">
        <w:t>1 July 2023 to 30 June 2024</w:t>
      </w:r>
      <w:bookmarkEnd w:id="44"/>
    </w:p>
    <w:tbl>
      <w:tblPr>
        <w:tblW w:w="7856"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24"/>
        <w:gridCol w:w="624"/>
        <w:gridCol w:w="624"/>
        <w:gridCol w:w="426"/>
        <w:gridCol w:w="1843"/>
        <w:gridCol w:w="624"/>
        <w:gridCol w:w="624"/>
        <w:gridCol w:w="624"/>
      </w:tblGrid>
      <w:tr w:rsidR="00856A5B" w:rsidRPr="00A82004" w14:paraId="2A192EB5" w14:textId="77777777" w:rsidTr="00A82004">
        <w:trPr>
          <w:cantSplit/>
          <w:trHeight w:val="300"/>
          <w:tblHeader/>
        </w:trPr>
        <w:tc>
          <w:tcPr>
            <w:tcW w:w="1843" w:type="dxa"/>
            <w:tcBorders>
              <w:top w:val="nil"/>
              <w:bottom w:val="nil"/>
            </w:tcBorders>
            <w:shd w:val="clear" w:color="auto" w:fill="D9D9D9" w:themeFill="background1" w:themeFillShade="D9"/>
          </w:tcPr>
          <w:p w14:paraId="06D442ED" w14:textId="77777777" w:rsidR="00753A1F" w:rsidRPr="00A82004" w:rsidRDefault="00753A1F" w:rsidP="00A82004">
            <w:pPr>
              <w:pStyle w:val="TableText"/>
              <w:rPr>
                <w:b/>
                <w:bCs/>
              </w:rPr>
            </w:pPr>
            <w:r w:rsidRPr="00A82004">
              <w:rPr>
                <w:b/>
                <w:bCs/>
              </w:rPr>
              <w:t>District</w:t>
            </w:r>
          </w:p>
        </w:tc>
        <w:tc>
          <w:tcPr>
            <w:tcW w:w="624" w:type="dxa"/>
            <w:tcBorders>
              <w:top w:val="nil"/>
              <w:bottom w:val="nil"/>
            </w:tcBorders>
            <w:shd w:val="clear" w:color="auto" w:fill="D9D9D9" w:themeFill="background1" w:themeFillShade="D9"/>
          </w:tcPr>
          <w:p w14:paraId="1818437C" w14:textId="77777777" w:rsidR="00753A1F" w:rsidRPr="00A82004" w:rsidRDefault="00753A1F" w:rsidP="00A82004">
            <w:pPr>
              <w:pStyle w:val="TableText"/>
              <w:rPr>
                <w:b/>
                <w:bCs/>
              </w:rPr>
            </w:pPr>
            <w:r w:rsidRPr="00A82004">
              <w:rPr>
                <w:b/>
                <w:bCs/>
              </w:rPr>
              <w:t>s 11</w:t>
            </w:r>
          </w:p>
        </w:tc>
        <w:tc>
          <w:tcPr>
            <w:tcW w:w="624" w:type="dxa"/>
            <w:tcBorders>
              <w:top w:val="nil"/>
              <w:bottom w:val="nil"/>
            </w:tcBorders>
            <w:shd w:val="clear" w:color="auto" w:fill="D9D9D9" w:themeFill="background1" w:themeFillShade="D9"/>
          </w:tcPr>
          <w:p w14:paraId="75E1A72A" w14:textId="77777777" w:rsidR="00753A1F" w:rsidRPr="00A82004" w:rsidRDefault="00753A1F" w:rsidP="00A82004">
            <w:pPr>
              <w:pStyle w:val="TableText"/>
              <w:rPr>
                <w:b/>
                <w:bCs/>
              </w:rPr>
            </w:pPr>
            <w:r w:rsidRPr="00A82004">
              <w:rPr>
                <w:b/>
                <w:bCs/>
              </w:rPr>
              <w:t>s 13</w:t>
            </w:r>
          </w:p>
        </w:tc>
        <w:tc>
          <w:tcPr>
            <w:tcW w:w="624" w:type="dxa"/>
            <w:tcBorders>
              <w:top w:val="nil"/>
              <w:bottom w:val="nil"/>
            </w:tcBorders>
            <w:shd w:val="clear" w:color="auto" w:fill="D9D9D9" w:themeFill="background1" w:themeFillShade="D9"/>
          </w:tcPr>
          <w:p w14:paraId="6CD6DC28" w14:textId="77777777" w:rsidR="00753A1F" w:rsidRPr="00A82004" w:rsidRDefault="00753A1F" w:rsidP="00A82004">
            <w:pPr>
              <w:pStyle w:val="TableText"/>
              <w:rPr>
                <w:b/>
                <w:bCs/>
              </w:rPr>
            </w:pPr>
            <w:r w:rsidRPr="00A82004">
              <w:rPr>
                <w:b/>
                <w:bCs/>
              </w:rPr>
              <w:t>s 15</w:t>
            </w:r>
          </w:p>
        </w:tc>
        <w:tc>
          <w:tcPr>
            <w:tcW w:w="426" w:type="dxa"/>
            <w:tcBorders>
              <w:top w:val="nil"/>
              <w:bottom w:val="nil"/>
            </w:tcBorders>
          </w:tcPr>
          <w:p w14:paraId="09C8EBF0" w14:textId="77777777" w:rsidR="00753A1F" w:rsidRPr="00A82004" w:rsidRDefault="00753A1F" w:rsidP="00A82004">
            <w:pPr>
              <w:pStyle w:val="TableText"/>
              <w:rPr>
                <w:b/>
                <w:bCs/>
              </w:rPr>
            </w:pPr>
          </w:p>
        </w:tc>
        <w:tc>
          <w:tcPr>
            <w:tcW w:w="1843" w:type="dxa"/>
            <w:tcBorders>
              <w:top w:val="nil"/>
              <w:bottom w:val="nil"/>
            </w:tcBorders>
            <w:shd w:val="clear" w:color="auto" w:fill="D9D9D9" w:themeFill="background1" w:themeFillShade="D9"/>
          </w:tcPr>
          <w:p w14:paraId="7C0FFDF9" w14:textId="77777777" w:rsidR="00753A1F" w:rsidRPr="00A82004" w:rsidRDefault="00753A1F" w:rsidP="00A82004">
            <w:pPr>
              <w:pStyle w:val="TableText"/>
              <w:rPr>
                <w:b/>
                <w:bCs/>
              </w:rPr>
            </w:pPr>
            <w:r w:rsidRPr="00A82004">
              <w:rPr>
                <w:b/>
                <w:bCs/>
              </w:rPr>
              <w:t>District</w:t>
            </w:r>
          </w:p>
        </w:tc>
        <w:tc>
          <w:tcPr>
            <w:tcW w:w="624" w:type="dxa"/>
            <w:tcBorders>
              <w:top w:val="nil"/>
              <w:bottom w:val="nil"/>
            </w:tcBorders>
            <w:shd w:val="clear" w:color="auto" w:fill="D9D9D9" w:themeFill="background1" w:themeFillShade="D9"/>
          </w:tcPr>
          <w:p w14:paraId="0C8F249C" w14:textId="77777777" w:rsidR="00753A1F" w:rsidRPr="00A82004" w:rsidRDefault="00753A1F" w:rsidP="00A82004">
            <w:pPr>
              <w:pStyle w:val="TableText"/>
              <w:rPr>
                <w:b/>
                <w:bCs/>
              </w:rPr>
            </w:pPr>
            <w:r w:rsidRPr="00A82004">
              <w:rPr>
                <w:b/>
                <w:bCs/>
              </w:rPr>
              <w:t>s 11</w:t>
            </w:r>
          </w:p>
        </w:tc>
        <w:tc>
          <w:tcPr>
            <w:tcW w:w="624" w:type="dxa"/>
            <w:tcBorders>
              <w:top w:val="nil"/>
              <w:bottom w:val="nil"/>
            </w:tcBorders>
            <w:shd w:val="clear" w:color="auto" w:fill="D9D9D9" w:themeFill="background1" w:themeFillShade="D9"/>
          </w:tcPr>
          <w:p w14:paraId="6A7C1E8E" w14:textId="77777777" w:rsidR="00753A1F" w:rsidRPr="00A82004" w:rsidRDefault="00753A1F" w:rsidP="00A82004">
            <w:pPr>
              <w:pStyle w:val="TableText"/>
              <w:rPr>
                <w:b/>
                <w:bCs/>
              </w:rPr>
            </w:pPr>
            <w:r w:rsidRPr="00A82004">
              <w:rPr>
                <w:b/>
                <w:bCs/>
              </w:rPr>
              <w:t>s 13</w:t>
            </w:r>
          </w:p>
        </w:tc>
        <w:tc>
          <w:tcPr>
            <w:tcW w:w="624" w:type="dxa"/>
            <w:tcBorders>
              <w:top w:val="nil"/>
              <w:bottom w:val="nil"/>
            </w:tcBorders>
            <w:shd w:val="clear" w:color="auto" w:fill="D9D9D9" w:themeFill="background1" w:themeFillShade="D9"/>
          </w:tcPr>
          <w:p w14:paraId="36AD1C08" w14:textId="77777777" w:rsidR="00753A1F" w:rsidRPr="00A82004" w:rsidRDefault="00753A1F" w:rsidP="00A82004">
            <w:pPr>
              <w:pStyle w:val="TableText"/>
              <w:rPr>
                <w:b/>
                <w:bCs/>
              </w:rPr>
            </w:pPr>
            <w:r w:rsidRPr="00A82004">
              <w:rPr>
                <w:b/>
                <w:bCs/>
              </w:rPr>
              <w:t>s 15</w:t>
            </w:r>
          </w:p>
        </w:tc>
      </w:tr>
      <w:tr w:rsidR="008223F3" w:rsidRPr="00ED2B1F" w14:paraId="4760475A" w14:textId="77777777" w:rsidTr="001A63ED">
        <w:trPr>
          <w:cantSplit/>
          <w:trHeight w:val="300"/>
        </w:trPr>
        <w:tc>
          <w:tcPr>
            <w:tcW w:w="1843" w:type="dxa"/>
            <w:tcBorders>
              <w:top w:val="nil"/>
            </w:tcBorders>
          </w:tcPr>
          <w:p w14:paraId="23219A64" w14:textId="77777777" w:rsidR="008223F3" w:rsidRPr="00ED2B1F" w:rsidRDefault="008223F3" w:rsidP="008223F3">
            <w:pPr>
              <w:pStyle w:val="TableText"/>
              <w:keepNext/>
              <w:spacing w:before="55" w:after="55"/>
              <w:rPr>
                <w:rFonts w:cs="Segoe UI"/>
              </w:rPr>
            </w:pPr>
            <w:r w:rsidRPr="00ED2B1F">
              <w:rPr>
                <w:rFonts w:cs="Segoe UI"/>
              </w:rPr>
              <w:t>Auckland</w:t>
            </w:r>
          </w:p>
        </w:tc>
        <w:tc>
          <w:tcPr>
            <w:tcW w:w="624" w:type="dxa"/>
            <w:tcBorders>
              <w:top w:val="nil"/>
            </w:tcBorders>
          </w:tcPr>
          <w:p w14:paraId="5B2CB07D" w14:textId="2F68156A" w:rsidR="008223F3" w:rsidRPr="00ED2B1F" w:rsidRDefault="008223F3" w:rsidP="008223F3">
            <w:pPr>
              <w:pStyle w:val="TableText"/>
              <w:keepNext/>
              <w:tabs>
                <w:tab w:val="decimal" w:pos="368"/>
              </w:tabs>
              <w:spacing w:before="55" w:after="55"/>
              <w:jc w:val="center"/>
            </w:pPr>
            <w:r w:rsidRPr="00ED2B1F">
              <w:t xml:space="preserve"> 16 </w:t>
            </w:r>
          </w:p>
        </w:tc>
        <w:tc>
          <w:tcPr>
            <w:tcW w:w="624" w:type="dxa"/>
            <w:tcBorders>
              <w:top w:val="nil"/>
            </w:tcBorders>
          </w:tcPr>
          <w:p w14:paraId="5C7B9429" w14:textId="67A95890" w:rsidR="008223F3" w:rsidRPr="00ED2B1F" w:rsidRDefault="008223F3" w:rsidP="008223F3">
            <w:pPr>
              <w:pStyle w:val="TableText"/>
              <w:keepNext/>
              <w:tabs>
                <w:tab w:val="decimal" w:pos="368"/>
              </w:tabs>
              <w:spacing w:before="55" w:after="55"/>
              <w:jc w:val="center"/>
              <w:rPr>
                <w:rFonts w:cs="Segoe UI"/>
              </w:rPr>
            </w:pPr>
            <w:r w:rsidRPr="00ED2B1F">
              <w:t xml:space="preserve"> 18 </w:t>
            </w:r>
          </w:p>
        </w:tc>
        <w:tc>
          <w:tcPr>
            <w:tcW w:w="624" w:type="dxa"/>
            <w:tcBorders>
              <w:top w:val="nil"/>
            </w:tcBorders>
          </w:tcPr>
          <w:p w14:paraId="0BEFC031" w14:textId="5F927ABB" w:rsidR="008223F3" w:rsidRPr="00ED2B1F" w:rsidRDefault="008223F3" w:rsidP="008223F3">
            <w:pPr>
              <w:pStyle w:val="TableText"/>
              <w:keepNext/>
              <w:tabs>
                <w:tab w:val="decimal" w:pos="454"/>
              </w:tabs>
              <w:spacing w:before="55" w:after="55"/>
              <w:jc w:val="center"/>
              <w:rPr>
                <w:rFonts w:cs="Segoe UI"/>
              </w:rPr>
            </w:pPr>
            <w:r w:rsidRPr="00ED2B1F">
              <w:t xml:space="preserve"> </w:t>
            </w:r>
            <w:r w:rsidR="003E1F1F" w:rsidRPr="00ED2B1F">
              <w:t>15</w:t>
            </w:r>
            <w:r w:rsidRPr="00ED2B1F">
              <w:t xml:space="preserve"> </w:t>
            </w:r>
          </w:p>
        </w:tc>
        <w:tc>
          <w:tcPr>
            <w:tcW w:w="426" w:type="dxa"/>
            <w:tcBorders>
              <w:top w:val="nil"/>
              <w:bottom w:val="nil"/>
            </w:tcBorders>
          </w:tcPr>
          <w:p w14:paraId="07ACBC5F" w14:textId="77777777" w:rsidR="008223F3" w:rsidRPr="00ED2B1F" w:rsidRDefault="008223F3" w:rsidP="008223F3">
            <w:pPr>
              <w:pStyle w:val="TableText"/>
              <w:keepNext/>
              <w:tabs>
                <w:tab w:val="decimal" w:pos="636"/>
              </w:tabs>
              <w:spacing w:before="55" w:after="55"/>
              <w:rPr>
                <w:rFonts w:cs="Segoe UI"/>
              </w:rPr>
            </w:pPr>
          </w:p>
        </w:tc>
        <w:tc>
          <w:tcPr>
            <w:tcW w:w="1843" w:type="dxa"/>
            <w:tcBorders>
              <w:top w:val="nil"/>
            </w:tcBorders>
          </w:tcPr>
          <w:p w14:paraId="08C32E34" w14:textId="77777777" w:rsidR="008223F3" w:rsidRPr="00ED2B1F" w:rsidRDefault="008223F3" w:rsidP="008223F3">
            <w:pPr>
              <w:pStyle w:val="TableText"/>
              <w:keepNext/>
              <w:spacing w:before="55" w:after="55"/>
              <w:jc w:val="both"/>
              <w:rPr>
                <w:rFonts w:cs="Segoe UI"/>
              </w:rPr>
            </w:pPr>
            <w:r w:rsidRPr="00ED2B1F">
              <w:rPr>
                <w:rFonts w:cs="Segoe UI"/>
              </w:rPr>
              <w:t>Northland</w:t>
            </w:r>
          </w:p>
        </w:tc>
        <w:tc>
          <w:tcPr>
            <w:tcW w:w="624" w:type="dxa"/>
            <w:tcBorders>
              <w:top w:val="nil"/>
            </w:tcBorders>
          </w:tcPr>
          <w:p w14:paraId="42D04261" w14:textId="26981BA6" w:rsidR="008223F3" w:rsidRPr="00ED2B1F" w:rsidRDefault="008223F3" w:rsidP="008223F3">
            <w:pPr>
              <w:pStyle w:val="TableText"/>
              <w:keepNext/>
              <w:tabs>
                <w:tab w:val="decimal" w:pos="368"/>
              </w:tabs>
              <w:spacing w:before="55" w:after="55"/>
              <w:jc w:val="center"/>
            </w:pPr>
            <w:r w:rsidRPr="00ED2B1F">
              <w:t xml:space="preserve"> 15 </w:t>
            </w:r>
          </w:p>
        </w:tc>
        <w:tc>
          <w:tcPr>
            <w:tcW w:w="624" w:type="dxa"/>
            <w:tcBorders>
              <w:top w:val="nil"/>
            </w:tcBorders>
          </w:tcPr>
          <w:p w14:paraId="4A8F53A3" w14:textId="71A0DFE8" w:rsidR="008223F3" w:rsidRPr="00ED2B1F" w:rsidRDefault="008223F3" w:rsidP="008223F3">
            <w:pPr>
              <w:pStyle w:val="TableText"/>
              <w:keepNext/>
              <w:tabs>
                <w:tab w:val="decimal" w:pos="368"/>
              </w:tabs>
              <w:spacing w:before="55" w:after="55"/>
              <w:jc w:val="center"/>
              <w:rPr>
                <w:rFonts w:cs="Segoe UI"/>
              </w:rPr>
            </w:pPr>
            <w:r w:rsidRPr="00ED2B1F">
              <w:t xml:space="preserve"> 19 </w:t>
            </w:r>
          </w:p>
        </w:tc>
        <w:tc>
          <w:tcPr>
            <w:tcW w:w="624" w:type="dxa"/>
            <w:tcBorders>
              <w:top w:val="nil"/>
            </w:tcBorders>
          </w:tcPr>
          <w:p w14:paraId="77886A3B" w14:textId="179D453F" w:rsidR="008223F3" w:rsidRPr="00ED2B1F" w:rsidRDefault="008223F3" w:rsidP="008223F3">
            <w:pPr>
              <w:pStyle w:val="TableText"/>
              <w:keepNext/>
              <w:tabs>
                <w:tab w:val="decimal" w:pos="454"/>
              </w:tabs>
              <w:spacing w:before="55" w:after="55"/>
              <w:jc w:val="center"/>
            </w:pPr>
            <w:r w:rsidRPr="00ED2B1F">
              <w:t xml:space="preserve"> 14 </w:t>
            </w:r>
          </w:p>
        </w:tc>
      </w:tr>
      <w:tr w:rsidR="008223F3" w:rsidRPr="00ED2B1F" w14:paraId="18057ED3" w14:textId="77777777" w:rsidTr="001A63ED">
        <w:trPr>
          <w:cantSplit/>
          <w:trHeight w:val="300"/>
        </w:trPr>
        <w:tc>
          <w:tcPr>
            <w:tcW w:w="1843" w:type="dxa"/>
          </w:tcPr>
          <w:p w14:paraId="539E3384" w14:textId="77777777" w:rsidR="008223F3" w:rsidRPr="00ED2B1F" w:rsidRDefault="008223F3" w:rsidP="008223F3">
            <w:pPr>
              <w:pStyle w:val="TableText"/>
              <w:keepNext/>
              <w:spacing w:before="55" w:after="55"/>
              <w:rPr>
                <w:rFonts w:cs="Segoe UI"/>
              </w:rPr>
            </w:pPr>
            <w:r w:rsidRPr="00ED2B1F">
              <w:rPr>
                <w:rFonts w:cs="Segoe UI"/>
              </w:rPr>
              <w:t>Bay of Plenty</w:t>
            </w:r>
          </w:p>
        </w:tc>
        <w:tc>
          <w:tcPr>
            <w:tcW w:w="624" w:type="dxa"/>
          </w:tcPr>
          <w:p w14:paraId="772B3766" w14:textId="4C4A94E2" w:rsidR="008223F3" w:rsidRPr="00ED2B1F" w:rsidRDefault="008223F3" w:rsidP="008223F3">
            <w:pPr>
              <w:pStyle w:val="TableText"/>
              <w:keepNext/>
              <w:tabs>
                <w:tab w:val="decimal" w:pos="368"/>
              </w:tabs>
              <w:spacing w:before="55" w:after="55"/>
              <w:jc w:val="center"/>
            </w:pPr>
            <w:r w:rsidRPr="00ED2B1F">
              <w:t xml:space="preserve"> 14 </w:t>
            </w:r>
          </w:p>
        </w:tc>
        <w:tc>
          <w:tcPr>
            <w:tcW w:w="624" w:type="dxa"/>
          </w:tcPr>
          <w:p w14:paraId="4FF94C33" w14:textId="6A29CBB7" w:rsidR="008223F3" w:rsidRPr="00ED2B1F" w:rsidRDefault="008223F3" w:rsidP="008223F3">
            <w:pPr>
              <w:pStyle w:val="TableText"/>
              <w:keepNext/>
              <w:tabs>
                <w:tab w:val="decimal" w:pos="368"/>
              </w:tabs>
              <w:spacing w:before="55" w:after="55"/>
              <w:jc w:val="center"/>
              <w:rPr>
                <w:rFonts w:cs="Segoe UI"/>
              </w:rPr>
            </w:pPr>
            <w:r w:rsidRPr="00ED2B1F">
              <w:t xml:space="preserve"> 16 </w:t>
            </w:r>
          </w:p>
        </w:tc>
        <w:tc>
          <w:tcPr>
            <w:tcW w:w="624" w:type="dxa"/>
          </w:tcPr>
          <w:p w14:paraId="29ED1C04" w14:textId="0AF853D0" w:rsidR="008223F3" w:rsidRPr="00ED2B1F" w:rsidRDefault="008223F3" w:rsidP="008223F3">
            <w:pPr>
              <w:pStyle w:val="TableText"/>
              <w:keepNext/>
              <w:tabs>
                <w:tab w:val="decimal" w:pos="454"/>
              </w:tabs>
              <w:spacing w:before="55" w:after="55"/>
              <w:jc w:val="center"/>
              <w:rPr>
                <w:rFonts w:cs="Segoe UI"/>
              </w:rPr>
            </w:pPr>
            <w:r w:rsidRPr="00ED2B1F">
              <w:t xml:space="preserve"> </w:t>
            </w:r>
            <w:r w:rsidR="00923027" w:rsidRPr="00ED2B1F">
              <w:t>8</w:t>
            </w:r>
            <w:r w:rsidRPr="00ED2B1F">
              <w:t xml:space="preserve"> </w:t>
            </w:r>
          </w:p>
        </w:tc>
        <w:tc>
          <w:tcPr>
            <w:tcW w:w="426" w:type="dxa"/>
            <w:tcBorders>
              <w:top w:val="nil"/>
              <w:bottom w:val="nil"/>
            </w:tcBorders>
          </w:tcPr>
          <w:p w14:paraId="085896FB"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49A4C046" w14:textId="77777777" w:rsidR="008223F3" w:rsidRPr="00ED2B1F" w:rsidRDefault="008223F3" w:rsidP="008223F3">
            <w:pPr>
              <w:pStyle w:val="TableText"/>
              <w:keepNext/>
              <w:spacing w:before="55" w:after="55"/>
              <w:jc w:val="both"/>
              <w:rPr>
                <w:rFonts w:cs="Segoe UI"/>
              </w:rPr>
            </w:pPr>
            <w:r w:rsidRPr="00ED2B1F">
              <w:rPr>
                <w:rFonts w:cs="Segoe UI"/>
              </w:rPr>
              <w:t>South Canterbury</w:t>
            </w:r>
          </w:p>
        </w:tc>
        <w:tc>
          <w:tcPr>
            <w:tcW w:w="624" w:type="dxa"/>
          </w:tcPr>
          <w:p w14:paraId="507113E5" w14:textId="34031F9B" w:rsidR="008223F3" w:rsidRPr="00ED2B1F" w:rsidRDefault="008223F3" w:rsidP="008223F3">
            <w:pPr>
              <w:pStyle w:val="TableText"/>
              <w:keepNext/>
              <w:tabs>
                <w:tab w:val="decimal" w:pos="368"/>
              </w:tabs>
              <w:spacing w:before="55" w:after="55"/>
              <w:jc w:val="center"/>
            </w:pPr>
            <w:r w:rsidRPr="00ED2B1F">
              <w:t xml:space="preserve"> 6 </w:t>
            </w:r>
          </w:p>
        </w:tc>
        <w:tc>
          <w:tcPr>
            <w:tcW w:w="624" w:type="dxa"/>
          </w:tcPr>
          <w:p w14:paraId="1D15298F" w14:textId="0D30FD6C" w:rsidR="008223F3" w:rsidRPr="00ED2B1F" w:rsidRDefault="008223F3" w:rsidP="008223F3">
            <w:pPr>
              <w:pStyle w:val="TableText"/>
              <w:keepNext/>
              <w:tabs>
                <w:tab w:val="decimal" w:pos="368"/>
              </w:tabs>
              <w:spacing w:before="55" w:after="55"/>
              <w:jc w:val="center"/>
              <w:rPr>
                <w:rFonts w:cs="Segoe UI"/>
              </w:rPr>
            </w:pPr>
            <w:r w:rsidRPr="00ED2B1F">
              <w:t xml:space="preserve"> </w:t>
            </w:r>
            <w:r w:rsidR="009C69BC" w:rsidRPr="00ED2B1F">
              <w:t>7</w:t>
            </w:r>
            <w:r w:rsidRPr="00ED2B1F">
              <w:t xml:space="preserve"> </w:t>
            </w:r>
          </w:p>
        </w:tc>
        <w:tc>
          <w:tcPr>
            <w:tcW w:w="624" w:type="dxa"/>
          </w:tcPr>
          <w:p w14:paraId="4FE825F8" w14:textId="5FE4C9CD" w:rsidR="008223F3" w:rsidRPr="00ED2B1F" w:rsidRDefault="008223F3" w:rsidP="008223F3">
            <w:pPr>
              <w:pStyle w:val="TableText"/>
              <w:keepNext/>
              <w:tabs>
                <w:tab w:val="decimal" w:pos="454"/>
              </w:tabs>
              <w:spacing w:before="55" w:after="55"/>
              <w:jc w:val="center"/>
              <w:rPr>
                <w:rFonts w:cs="Segoe UI"/>
              </w:rPr>
            </w:pPr>
            <w:r w:rsidRPr="00ED2B1F">
              <w:t xml:space="preserve"> 5 </w:t>
            </w:r>
          </w:p>
        </w:tc>
      </w:tr>
      <w:tr w:rsidR="008223F3" w:rsidRPr="00ED2B1F" w14:paraId="6243E28B" w14:textId="77777777" w:rsidTr="001A63ED">
        <w:trPr>
          <w:cantSplit/>
          <w:trHeight w:val="300"/>
        </w:trPr>
        <w:tc>
          <w:tcPr>
            <w:tcW w:w="1843" w:type="dxa"/>
          </w:tcPr>
          <w:p w14:paraId="25DF356D" w14:textId="77777777" w:rsidR="008223F3" w:rsidRPr="00ED2B1F" w:rsidRDefault="008223F3" w:rsidP="008223F3">
            <w:pPr>
              <w:pStyle w:val="TableText"/>
              <w:keepNext/>
              <w:spacing w:before="55" w:after="55"/>
              <w:rPr>
                <w:rFonts w:cs="Segoe UI"/>
              </w:rPr>
            </w:pPr>
            <w:r w:rsidRPr="00ED2B1F">
              <w:rPr>
                <w:rFonts w:cs="Segoe UI"/>
              </w:rPr>
              <w:t>Canterbury</w:t>
            </w:r>
          </w:p>
        </w:tc>
        <w:tc>
          <w:tcPr>
            <w:tcW w:w="624" w:type="dxa"/>
          </w:tcPr>
          <w:p w14:paraId="7F116917" w14:textId="5E50909F" w:rsidR="008223F3" w:rsidRPr="00ED2B1F" w:rsidRDefault="008223F3" w:rsidP="008223F3">
            <w:pPr>
              <w:pStyle w:val="TableText"/>
              <w:keepNext/>
              <w:tabs>
                <w:tab w:val="decimal" w:pos="368"/>
              </w:tabs>
              <w:spacing w:before="55" w:after="55"/>
              <w:jc w:val="center"/>
            </w:pPr>
            <w:r w:rsidRPr="00ED2B1F">
              <w:t xml:space="preserve"> 12 </w:t>
            </w:r>
          </w:p>
        </w:tc>
        <w:tc>
          <w:tcPr>
            <w:tcW w:w="624" w:type="dxa"/>
          </w:tcPr>
          <w:p w14:paraId="59F99708" w14:textId="51C1238F" w:rsidR="008223F3" w:rsidRPr="00ED2B1F" w:rsidRDefault="008223F3" w:rsidP="008223F3">
            <w:pPr>
              <w:pStyle w:val="TableText"/>
              <w:keepNext/>
              <w:tabs>
                <w:tab w:val="decimal" w:pos="368"/>
              </w:tabs>
              <w:spacing w:before="55" w:after="55"/>
              <w:jc w:val="center"/>
            </w:pPr>
            <w:r w:rsidRPr="00ED2B1F">
              <w:t xml:space="preserve"> 13 </w:t>
            </w:r>
          </w:p>
        </w:tc>
        <w:tc>
          <w:tcPr>
            <w:tcW w:w="624" w:type="dxa"/>
          </w:tcPr>
          <w:p w14:paraId="5723FB86" w14:textId="7F1FB155" w:rsidR="008223F3" w:rsidRPr="00ED2B1F" w:rsidRDefault="008223F3" w:rsidP="008223F3">
            <w:pPr>
              <w:pStyle w:val="TableText"/>
              <w:keepNext/>
              <w:tabs>
                <w:tab w:val="decimal" w:pos="454"/>
              </w:tabs>
              <w:spacing w:before="55" w:after="55"/>
              <w:jc w:val="center"/>
              <w:rPr>
                <w:rFonts w:cs="Segoe UI"/>
              </w:rPr>
            </w:pPr>
            <w:r w:rsidRPr="00ED2B1F">
              <w:t xml:space="preserve"> 9 </w:t>
            </w:r>
          </w:p>
        </w:tc>
        <w:tc>
          <w:tcPr>
            <w:tcW w:w="426" w:type="dxa"/>
            <w:tcBorders>
              <w:top w:val="nil"/>
              <w:bottom w:val="nil"/>
            </w:tcBorders>
          </w:tcPr>
          <w:p w14:paraId="1A7539EB"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1E3BB7FA" w14:textId="77777777" w:rsidR="008223F3" w:rsidRPr="00ED2B1F" w:rsidRDefault="008223F3" w:rsidP="008223F3">
            <w:pPr>
              <w:pStyle w:val="TableText"/>
              <w:keepNext/>
              <w:spacing w:before="55" w:after="55"/>
              <w:jc w:val="both"/>
              <w:rPr>
                <w:rFonts w:cs="Segoe UI"/>
              </w:rPr>
            </w:pPr>
            <w:r w:rsidRPr="00ED2B1F">
              <w:rPr>
                <w:rFonts w:cs="Segoe UI"/>
              </w:rPr>
              <w:t>Southern</w:t>
            </w:r>
          </w:p>
        </w:tc>
        <w:tc>
          <w:tcPr>
            <w:tcW w:w="624" w:type="dxa"/>
          </w:tcPr>
          <w:p w14:paraId="740DAFDC" w14:textId="0F348514" w:rsidR="008223F3" w:rsidRPr="00ED2B1F" w:rsidRDefault="008223F3" w:rsidP="008223F3">
            <w:pPr>
              <w:pStyle w:val="TableText"/>
              <w:keepNext/>
              <w:tabs>
                <w:tab w:val="decimal" w:pos="368"/>
              </w:tabs>
              <w:spacing w:before="55" w:after="55"/>
              <w:jc w:val="center"/>
            </w:pPr>
            <w:r w:rsidRPr="00ED2B1F">
              <w:t xml:space="preserve"> 11 </w:t>
            </w:r>
          </w:p>
        </w:tc>
        <w:tc>
          <w:tcPr>
            <w:tcW w:w="624" w:type="dxa"/>
          </w:tcPr>
          <w:p w14:paraId="4C20740C" w14:textId="6834A582" w:rsidR="008223F3" w:rsidRPr="00ED2B1F" w:rsidRDefault="008223F3" w:rsidP="008223F3">
            <w:pPr>
              <w:pStyle w:val="TableText"/>
              <w:keepNext/>
              <w:tabs>
                <w:tab w:val="decimal" w:pos="368"/>
              </w:tabs>
              <w:spacing w:before="55" w:after="55"/>
              <w:jc w:val="center"/>
              <w:rPr>
                <w:rFonts w:cs="Segoe UI"/>
              </w:rPr>
            </w:pPr>
            <w:r w:rsidRPr="00ED2B1F">
              <w:t xml:space="preserve"> 9 </w:t>
            </w:r>
          </w:p>
        </w:tc>
        <w:tc>
          <w:tcPr>
            <w:tcW w:w="624" w:type="dxa"/>
          </w:tcPr>
          <w:p w14:paraId="1410C435" w14:textId="450EF8E9" w:rsidR="008223F3" w:rsidRPr="00ED2B1F" w:rsidRDefault="008223F3" w:rsidP="008223F3">
            <w:pPr>
              <w:pStyle w:val="TableText"/>
              <w:keepNext/>
              <w:tabs>
                <w:tab w:val="decimal" w:pos="454"/>
              </w:tabs>
              <w:spacing w:before="55" w:after="55"/>
              <w:jc w:val="center"/>
              <w:rPr>
                <w:rFonts w:cs="Segoe UI"/>
              </w:rPr>
            </w:pPr>
            <w:r w:rsidRPr="00ED2B1F">
              <w:t xml:space="preserve"> 6 </w:t>
            </w:r>
          </w:p>
        </w:tc>
      </w:tr>
      <w:tr w:rsidR="008223F3" w:rsidRPr="00ED2B1F" w14:paraId="6AC5A661" w14:textId="77777777" w:rsidTr="001A63ED">
        <w:trPr>
          <w:cantSplit/>
          <w:trHeight w:val="300"/>
        </w:trPr>
        <w:tc>
          <w:tcPr>
            <w:tcW w:w="1843" w:type="dxa"/>
          </w:tcPr>
          <w:p w14:paraId="6156DEA9" w14:textId="77777777" w:rsidR="008223F3" w:rsidRPr="00ED2B1F" w:rsidRDefault="008223F3" w:rsidP="008223F3">
            <w:pPr>
              <w:pStyle w:val="TableText"/>
              <w:keepNext/>
              <w:spacing w:before="55" w:after="55"/>
              <w:rPr>
                <w:rFonts w:cs="Segoe UI"/>
              </w:rPr>
            </w:pPr>
            <w:r w:rsidRPr="00ED2B1F">
              <w:rPr>
                <w:rFonts w:cs="Segoe UI"/>
              </w:rPr>
              <w:t>Capital &amp; Coast</w:t>
            </w:r>
          </w:p>
        </w:tc>
        <w:tc>
          <w:tcPr>
            <w:tcW w:w="624" w:type="dxa"/>
          </w:tcPr>
          <w:p w14:paraId="5CA8F660" w14:textId="751ABD98" w:rsidR="008223F3" w:rsidRPr="00ED2B1F" w:rsidRDefault="008223F3" w:rsidP="008223F3">
            <w:pPr>
              <w:pStyle w:val="TableText"/>
              <w:keepNext/>
              <w:tabs>
                <w:tab w:val="decimal" w:pos="368"/>
              </w:tabs>
              <w:spacing w:before="55" w:after="55"/>
              <w:jc w:val="center"/>
            </w:pPr>
            <w:r w:rsidRPr="00ED2B1F">
              <w:t xml:space="preserve"> 14 </w:t>
            </w:r>
          </w:p>
        </w:tc>
        <w:tc>
          <w:tcPr>
            <w:tcW w:w="624" w:type="dxa"/>
          </w:tcPr>
          <w:p w14:paraId="590099D0" w14:textId="027F5162" w:rsidR="008223F3" w:rsidRPr="00ED2B1F" w:rsidRDefault="008223F3" w:rsidP="008223F3">
            <w:pPr>
              <w:pStyle w:val="TableText"/>
              <w:keepNext/>
              <w:tabs>
                <w:tab w:val="decimal" w:pos="368"/>
              </w:tabs>
              <w:spacing w:before="55" w:after="55"/>
              <w:jc w:val="center"/>
              <w:rPr>
                <w:rFonts w:cs="Segoe UI"/>
              </w:rPr>
            </w:pPr>
            <w:r w:rsidRPr="00ED2B1F">
              <w:t xml:space="preserve"> 22 </w:t>
            </w:r>
          </w:p>
        </w:tc>
        <w:tc>
          <w:tcPr>
            <w:tcW w:w="624" w:type="dxa"/>
          </w:tcPr>
          <w:p w14:paraId="0719B1B5" w14:textId="2228C184" w:rsidR="008223F3" w:rsidRPr="00ED2B1F" w:rsidRDefault="008223F3" w:rsidP="008223F3">
            <w:pPr>
              <w:pStyle w:val="TableText"/>
              <w:keepNext/>
              <w:tabs>
                <w:tab w:val="decimal" w:pos="454"/>
              </w:tabs>
              <w:spacing w:before="55" w:after="55"/>
              <w:jc w:val="center"/>
              <w:rPr>
                <w:rFonts w:cs="Segoe UI"/>
              </w:rPr>
            </w:pPr>
            <w:r w:rsidRPr="00ED2B1F">
              <w:t xml:space="preserve"> 15 </w:t>
            </w:r>
          </w:p>
        </w:tc>
        <w:tc>
          <w:tcPr>
            <w:tcW w:w="426" w:type="dxa"/>
            <w:tcBorders>
              <w:top w:val="nil"/>
              <w:bottom w:val="nil"/>
            </w:tcBorders>
          </w:tcPr>
          <w:p w14:paraId="7FC32ADE"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7D5076BD" w14:textId="77777777" w:rsidR="008223F3" w:rsidRPr="00ED2B1F" w:rsidRDefault="008223F3" w:rsidP="008223F3">
            <w:pPr>
              <w:pStyle w:val="TableText"/>
              <w:keepNext/>
              <w:spacing w:before="55" w:after="55"/>
              <w:jc w:val="both"/>
              <w:rPr>
                <w:rFonts w:cs="Segoe UI"/>
              </w:rPr>
            </w:pPr>
            <w:r w:rsidRPr="00ED2B1F">
              <w:rPr>
                <w:rFonts w:cs="Segoe UI"/>
              </w:rPr>
              <w:t>Tairāwhiti</w:t>
            </w:r>
          </w:p>
        </w:tc>
        <w:tc>
          <w:tcPr>
            <w:tcW w:w="624" w:type="dxa"/>
          </w:tcPr>
          <w:p w14:paraId="12E826AD" w14:textId="2E169F89" w:rsidR="008223F3" w:rsidRPr="00ED2B1F" w:rsidRDefault="008223F3" w:rsidP="008223F3">
            <w:pPr>
              <w:pStyle w:val="TableText"/>
              <w:keepNext/>
              <w:tabs>
                <w:tab w:val="decimal" w:pos="368"/>
              </w:tabs>
              <w:spacing w:before="55" w:after="55"/>
              <w:jc w:val="center"/>
              <w:rPr>
                <w:rFonts w:cs="Segoe UI"/>
              </w:rPr>
            </w:pPr>
            <w:r w:rsidRPr="00ED2B1F">
              <w:t xml:space="preserve"> </w:t>
            </w:r>
            <w:r w:rsidR="0077511B" w:rsidRPr="00ED2B1F">
              <w:t>25</w:t>
            </w:r>
            <w:r w:rsidRPr="00ED2B1F">
              <w:t xml:space="preserve"> </w:t>
            </w:r>
          </w:p>
        </w:tc>
        <w:tc>
          <w:tcPr>
            <w:tcW w:w="624" w:type="dxa"/>
          </w:tcPr>
          <w:p w14:paraId="6F20719E" w14:textId="34172494" w:rsidR="008223F3" w:rsidRPr="00ED2B1F" w:rsidRDefault="008223F3" w:rsidP="008223F3">
            <w:pPr>
              <w:pStyle w:val="TableText"/>
              <w:keepNext/>
              <w:tabs>
                <w:tab w:val="decimal" w:pos="368"/>
              </w:tabs>
              <w:spacing w:before="55" w:after="55"/>
              <w:jc w:val="center"/>
            </w:pPr>
            <w:r w:rsidRPr="00ED2B1F">
              <w:t xml:space="preserve"> 11 </w:t>
            </w:r>
          </w:p>
        </w:tc>
        <w:tc>
          <w:tcPr>
            <w:tcW w:w="624" w:type="dxa"/>
          </w:tcPr>
          <w:p w14:paraId="4AB3B222" w14:textId="338EB5B6" w:rsidR="008223F3" w:rsidRPr="00ED2B1F" w:rsidRDefault="008223F3" w:rsidP="008223F3">
            <w:pPr>
              <w:pStyle w:val="TableText"/>
              <w:keepNext/>
              <w:tabs>
                <w:tab w:val="decimal" w:pos="454"/>
              </w:tabs>
              <w:spacing w:before="55" w:after="55"/>
              <w:jc w:val="center"/>
              <w:rPr>
                <w:rFonts w:cs="Segoe UI"/>
              </w:rPr>
            </w:pPr>
            <w:r w:rsidRPr="00ED2B1F">
              <w:t xml:space="preserve"> </w:t>
            </w:r>
            <w:r w:rsidR="0077511B" w:rsidRPr="00ED2B1F">
              <w:t>8</w:t>
            </w:r>
            <w:r w:rsidRPr="00ED2B1F">
              <w:t xml:space="preserve"> </w:t>
            </w:r>
          </w:p>
        </w:tc>
      </w:tr>
      <w:tr w:rsidR="008223F3" w:rsidRPr="00ED2B1F" w14:paraId="065E0263" w14:textId="77777777" w:rsidTr="001A63ED">
        <w:trPr>
          <w:cantSplit/>
          <w:trHeight w:val="300"/>
        </w:trPr>
        <w:tc>
          <w:tcPr>
            <w:tcW w:w="1843" w:type="dxa"/>
            <w:tcBorders>
              <w:top w:val="single" w:sz="4" w:space="0" w:color="A6A6A6" w:themeColor="background1" w:themeShade="A6"/>
              <w:bottom w:val="single" w:sz="4" w:space="0" w:color="A6A6A6" w:themeColor="background1" w:themeShade="A6"/>
            </w:tcBorders>
          </w:tcPr>
          <w:p w14:paraId="3B8CC3E3" w14:textId="77777777" w:rsidR="008223F3" w:rsidRPr="00ED2B1F" w:rsidRDefault="008223F3" w:rsidP="008223F3">
            <w:pPr>
              <w:pStyle w:val="TableText"/>
              <w:keepNext/>
              <w:spacing w:before="55" w:after="55"/>
              <w:rPr>
                <w:rFonts w:cs="Segoe UI"/>
              </w:rPr>
            </w:pPr>
            <w:r w:rsidRPr="00ED2B1F">
              <w:rPr>
                <w:rFonts w:cs="Segoe UI"/>
              </w:rPr>
              <w:t>Counties Manukau</w:t>
            </w:r>
          </w:p>
        </w:tc>
        <w:tc>
          <w:tcPr>
            <w:tcW w:w="624" w:type="dxa"/>
            <w:tcBorders>
              <w:top w:val="single" w:sz="4" w:space="0" w:color="A6A6A6" w:themeColor="background1" w:themeShade="A6"/>
              <w:bottom w:val="single" w:sz="4" w:space="0" w:color="A6A6A6" w:themeColor="background1" w:themeShade="A6"/>
            </w:tcBorders>
          </w:tcPr>
          <w:p w14:paraId="22439DA1" w14:textId="22456DE6" w:rsidR="008223F3" w:rsidRPr="00ED2B1F" w:rsidRDefault="008223F3" w:rsidP="008223F3">
            <w:pPr>
              <w:pStyle w:val="TableText"/>
              <w:keepNext/>
              <w:tabs>
                <w:tab w:val="decimal" w:pos="368"/>
              </w:tabs>
              <w:spacing w:before="55" w:after="55"/>
              <w:jc w:val="center"/>
              <w:rPr>
                <w:rFonts w:cs="Segoe UI"/>
              </w:rPr>
            </w:pPr>
            <w:r w:rsidRPr="00ED2B1F">
              <w:t xml:space="preserve"> 10 </w:t>
            </w:r>
          </w:p>
        </w:tc>
        <w:tc>
          <w:tcPr>
            <w:tcW w:w="624" w:type="dxa"/>
            <w:tcBorders>
              <w:top w:val="single" w:sz="4" w:space="0" w:color="A6A6A6" w:themeColor="background1" w:themeShade="A6"/>
              <w:bottom w:val="single" w:sz="4" w:space="0" w:color="A6A6A6" w:themeColor="background1" w:themeShade="A6"/>
            </w:tcBorders>
          </w:tcPr>
          <w:p w14:paraId="1702EBE1" w14:textId="22201F2D" w:rsidR="008223F3" w:rsidRPr="00ED2B1F" w:rsidRDefault="008223F3" w:rsidP="008223F3">
            <w:pPr>
              <w:pStyle w:val="TableText"/>
              <w:keepNext/>
              <w:tabs>
                <w:tab w:val="decimal" w:pos="368"/>
              </w:tabs>
              <w:spacing w:before="55" w:after="55"/>
              <w:jc w:val="center"/>
              <w:rPr>
                <w:rFonts w:cs="Segoe UI"/>
              </w:rPr>
            </w:pPr>
            <w:r w:rsidRPr="00ED2B1F">
              <w:t xml:space="preserve"> 13 </w:t>
            </w:r>
          </w:p>
        </w:tc>
        <w:tc>
          <w:tcPr>
            <w:tcW w:w="624" w:type="dxa"/>
            <w:tcBorders>
              <w:top w:val="single" w:sz="4" w:space="0" w:color="A6A6A6" w:themeColor="background1" w:themeShade="A6"/>
              <w:bottom w:val="single" w:sz="4" w:space="0" w:color="A6A6A6" w:themeColor="background1" w:themeShade="A6"/>
            </w:tcBorders>
          </w:tcPr>
          <w:p w14:paraId="661FC7AA" w14:textId="5FF4B4CD" w:rsidR="008223F3" w:rsidRPr="00ED2B1F" w:rsidRDefault="008223F3" w:rsidP="008223F3">
            <w:pPr>
              <w:pStyle w:val="TableText"/>
              <w:keepNext/>
              <w:tabs>
                <w:tab w:val="decimal" w:pos="454"/>
              </w:tabs>
              <w:spacing w:before="55" w:after="55"/>
              <w:jc w:val="center"/>
              <w:rPr>
                <w:rFonts w:cs="Segoe UI"/>
              </w:rPr>
            </w:pPr>
            <w:r w:rsidRPr="00ED2B1F">
              <w:t xml:space="preserve"> 10 </w:t>
            </w:r>
          </w:p>
        </w:tc>
        <w:tc>
          <w:tcPr>
            <w:tcW w:w="426" w:type="dxa"/>
            <w:tcBorders>
              <w:top w:val="nil"/>
              <w:bottom w:val="nil"/>
            </w:tcBorders>
          </w:tcPr>
          <w:p w14:paraId="6C3BB60C" w14:textId="77777777" w:rsidR="008223F3" w:rsidRPr="00ED2B1F" w:rsidRDefault="008223F3" w:rsidP="008223F3">
            <w:pPr>
              <w:pStyle w:val="TableText"/>
              <w:keepNext/>
              <w:tabs>
                <w:tab w:val="decimal" w:pos="636"/>
              </w:tabs>
              <w:spacing w:before="55" w:after="55"/>
              <w:rPr>
                <w:rFonts w:cs="Segoe UI"/>
              </w:rPr>
            </w:pPr>
          </w:p>
        </w:tc>
        <w:tc>
          <w:tcPr>
            <w:tcW w:w="1843" w:type="dxa"/>
            <w:tcBorders>
              <w:top w:val="single" w:sz="4" w:space="0" w:color="A6A6A6" w:themeColor="background1" w:themeShade="A6"/>
              <w:bottom w:val="single" w:sz="4" w:space="0" w:color="A6A6A6" w:themeColor="background1" w:themeShade="A6"/>
            </w:tcBorders>
          </w:tcPr>
          <w:p w14:paraId="49C3DCC6" w14:textId="77777777" w:rsidR="008223F3" w:rsidRPr="00ED2B1F" w:rsidRDefault="008223F3" w:rsidP="008223F3">
            <w:pPr>
              <w:pStyle w:val="TableText"/>
              <w:keepNext/>
              <w:spacing w:before="55" w:after="55"/>
              <w:jc w:val="both"/>
              <w:rPr>
                <w:rFonts w:cs="Segoe UI"/>
              </w:rPr>
            </w:pPr>
            <w:r w:rsidRPr="00ED2B1F">
              <w:rPr>
                <w:rFonts w:cs="Segoe UI"/>
              </w:rPr>
              <w:t>Taranaki</w:t>
            </w:r>
          </w:p>
        </w:tc>
        <w:tc>
          <w:tcPr>
            <w:tcW w:w="624" w:type="dxa"/>
            <w:tcBorders>
              <w:top w:val="single" w:sz="4" w:space="0" w:color="A6A6A6" w:themeColor="background1" w:themeShade="A6"/>
              <w:bottom w:val="single" w:sz="4" w:space="0" w:color="A6A6A6" w:themeColor="background1" w:themeShade="A6"/>
            </w:tcBorders>
          </w:tcPr>
          <w:p w14:paraId="79F97FDA" w14:textId="4E777CF4" w:rsidR="008223F3" w:rsidRPr="00ED2B1F" w:rsidRDefault="008223F3" w:rsidP="008223F3">
            <w:pPr>
              <w:pStyle w:val="TableText"/>
              <w:keepNext/>
              <w:tabs>
                <w:tab w:val="decimal" w:pos="368"/>
              </w:tabs>
              <w:spacing w:before="55" w:after="55"/>
              <w:jc w:val="center"/>
              <w:rPr>
                <w:rFonts w:cs="Segoe UI"/>
              </w:rPr>
            </w:pPr>
            <w:r w:rsidRPr="00ED2B1F">
              <w:t xml:space="preserve"> </w:t>
            </w:r>
            <w:r w:rsidR="005023A0" w:rsidRPr="00ED2B1F">
              <w:t>16</w:t>
            </w:r>
            <w:r w:rsidRPr="00ED2B1F">
              <w:t xml:space="preserve"> </w:t>
            </w:r>
          </w:p>
        </w:tc>
        <w:tc>
          <w:tcPr>
            <w:tcW w:w="624" w:type="dxa"/>
            <w:tcBorders>
              <w:top w:val="single" w:sz="4" w:space="0" w:color="A6A6A6" w:themeColor="background1" w:themeShade="A6"/>
              <w:bottom w:val="single" w:sz="4" w:space="0" w:color="A6A6A6" w:themeColor="background1" w:themeShade="A6"/>
            </w:tcBorders>
          </w:tcPr>
          <w:p w14:paraId="73AACBEC" w14:textId="09478572" w:rsidR="008223F3" w:rsidRPr="00ED2B1F" w:rsidRDefault="008223F3" w:rsidP="008223F3">
            <w:pPr>
              <w:pStyle w:val="TableText"/>
              <w:keepNext/>
              <w:tabs>
                <w:tab w:val="decimal" w:pos="368"/>
              </w:tabs>
              <w:spacing w:before="55" w:after="55"/>
              <w:jc w:val="center"/>
              <w:rPr>
                <w:rFonts w:cs="Segoe UI"/>
              </w:rPr>
            </w:pPr>
            <w:r w:rsidRPr="00ED2B1F">
              <w:t xml:space="preserve"> 15 </w:t>
            </w:r>
          </w:p>
        </w:tc>
        <w:tc>
          <w:tcPr>
            <w:tcW w:w="624" w:type="dxa"/>
            <w:tcBorders>
              <w:top w:val="single" w:sz="4" w:space="0" w:color="A6A6A6" w:themeColor="background1" w:themeShade="A6"/>
              <w:bottom w:val="single" w:sz="4" w:space="0" w:color="A6A6A6" w:themeColor="background1" w:themeShade="A6"/>
            </w:tcBorders>
          </w:tcPr>
          <w:p w14:paraId="7A5E1524" w14:textId="1CF5D5A7" w:rsidR="008223F3" w:rsidRPr="00ED2B1F" w:rsidRDefault="008223F3" w:rsidP="008223F3">
            <w:pPr>
              <w:pStyle w:val="TableText"/>
              <w:keepNext/>
              <w:tabs>
                <w:tab w:val="decimal" w:pos="454"/>
              </w:tabs>
              <w:spacing w:before="55" w:after="55"/>
              <w:jc w:val="center"/>
              <w:rPr>
                <w:rFonts w:cs="Segoe UI"/>
              </w:rPr>
            </w:pPr>
            <w:r w:rsidRPr="00ED2B1F">
              <w:t xml:space="preserve"> 8 </w:t>
            </w:r>
          </w:p>
        </w:tc>
      </w:tr>
      <w:tr w:rsidR="008223F3" w:rsidRPr="00ED2B1F" w14:paraId="146CAEAE" w14:textId="77777777" w:rsidTr="001A63ED">
        <w:trPr>
          <w:cantSplit/>
          <w:trHeight w:val="300"/>
        </w:trPr>
        <w:tc>
          <w:tcPr>
            <w:tcW w:w="1843" w:type="dxa"/>
          </w:tcPr>
          <w:p w14:paraId="5F8E50A0" w14:textId="77777777" w:rsidR="008223F3" w:rsidRPr="00ED2B1F" w:rsidRDefault="008223F3" w:rsidP="008223F3">
            <w:pPr>
              <w:pStyle w:val="TableText"/>
              <w:keepNext/>
              <w:spacing w:before="55" w:after="55"/>
              <w:rPr>
                <w:rFonts w:cs="Segoe UI"/>
              </w:rPr>
            </w:pPr>
            <w:r w:rsidRPr="00ED2B1F">
              <w:rPr>
                <w:rFonts w:cs="Segoe UI"/>
              </w:rPr>
              <w:t>Hawke’s Bay</w:t>
            </w:r>
          </w:p>
        </w:tc>
        <w:tc>
          <w:tcPr>
            <w:tcW w:w="624" w:type="dxa"/>
          </w:tcPr>
          <w:p w14:paraId="71B800F5" w14:textId="1E121800" w:rsidR="008223F3" w:rsidRPr="00ED2B1F" w:rsidRDefault="008223F3" w:rsidP="008223F3">
            <w:pPr>
              <w:pStyle w:val="TableText"/>
              <w:keepNext/>
              <w:tabs>
                <w:tab w:val="decimal" w:pos="368"/>
              </w:tabs>
              <w:spacing w:before="55" w:after="55"/>
              <w:jc w:val="center"/>
            </w:pPr>
            <w:r w:rsidRPr="00ED2B1F">
              <w:t xml:space="preserve"> 30 </w:t>
            </w:r>
          </w:p>
        </w:tc>
        <w:tc>
          <w:tcPr>
            <w:tcW w:w="624" w:type="dxa"/>
          </w:tcPr>
          <w:p w14:paraId="3B09BA5B" w14:textId="3A76AD15" w:rsidR="008223F3" w:rsidRPr="00ED2B1F" w:rsidRDefault="008223F3" w:rsidP="008223F3">
            <w:pPr>
              <w:pStyle w:val="TableText"/>
              <w:keepNext/>
              <w:tabs>
                <w:tab w:val="decimal" w:pos="368"/>
              </w:tabs>
              <w:spacing w:before="55" w:after="55"/>
              <w:jc w:val="center"/>
              <w:rPr>
                <w:rFonts w:cs="Segoe UI"/>
              </w:rPr>
            </w:pPr>
            <w:r w:rsidRPr="00ED2B1F">
              <w:t xml:space="preserve"> 47 </w:t>
            </w:r>
          </w:p>
        </w:tc>
        <w:tc>
          <w:tcPr>
            <w:tcW w:w="624" w:type="dxa"/>
          </w:tcPr>
          <w:p w14:paraId="7F3EF891" w14:textId="3A8E0CD2" w:rsidR="008223F3" w:rsidRPr="00ED2B1F" w:rsidRDefault="008223F3" w:rsidP="008223F3">
            <w:pPr>
              <w:pStyle w:val="TableText"/>
              <w:keepNext/>
              <w:tabs>
                <w:tab w:val="decimal" w:pos="454"/>
              </w:tabs>
              <w:spacing w:before="55" w:after="55"/>
              <w:jc w:val="center"/>
              <w:rPr>
                <w:rFonts w:cs="Segoe UI"/>
              </w:rPr>
            </w:pPr>
            <w:r w:rsidRPr="00ED2B1F">
              <w:t xml:space="preserve"> </w:t>
            </w:r>
            <w:r w:rsidR="00923027" w:rsidRPr="00ED2B1F">
              <w:t>20</w:t>
            </w:r>
            <w:r w:rsidRPr="00ED2B1F">
              <w:t xml:space="preserve"> </w:t>
            </w:r>
          </w:p>
        </w:tc>
        <w:tc>
          <w:tcPr>
            <w:tcW w:w="426" w:type="dxa"/>
            <w:tcBorders>
              <w:top w:val="nil"/>
              <w:bottom w:val="nil"/>
            </w:tcBorders>
          </w:tcPr>
          <w:p w14:paraId="2DD2C5C4"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09F9CA0C" w14:textId="77777777" w:rsidR="008223F3" w:rsidRPr="00ED2B1F" w:rsidRDefault="008223F3" w:rsidP="008223F3">
            <w:pPr>
              <w:pStyle w:val="TableText"/>
              <w:keepNext/>
              <w:spacing w:before="55" w:after="55"/>
              <w:jc w:val="both"/>
              <w:rPr>
                <w:rFonts w:cs="Segoe UI"/>
              </w:rPr>
            </w:pPr>
            <w:r w:rsidRPr="00ED2B1F">
              <w:rPr>
                <w:rFonts w:cs="Segoe UI"/>
              </w:rPr>
              <w:t>Waikato</w:t>
            </w:r>
          </w:p>
        </w:tc>
        <w:tc>
          <w:tcPr>
            <w:tcW w:w="624" w:type="dxa"/>
          </w:tcPr>
          <w:p w14:paraId="4EC8D9AB" w14:textId="28AE0D0B" w:rsidR="008223F3" w:rsidRPr="00ED2B1F" w:rsidRDefault="008223F3" w:rsidP="008223F3">
            <w:pPr>
              <w:pStyle w:val="TableText"/>
              <w:keepNext/>
              <w:tabs>
                <w:tab w:val="decimal" w:pos="368"/>
              </w:tabs>
              <w:spacing w:before="55" w:after="55"/>
              <w:jc w:val="center"/>
              <w:rPr>
                <w:rFonts w:cs="Segoe UI"/>
              </w:rPr>
            </w:pPr>
            <w:r w:rsidRPr="00ED2B1F">
              <w:t xml:space="preserve"> 24 </w:t>
            </w:r>
          </w:p>
        </w:tc>
        <w:tc>
          <w:tcPr>
            <w:tcW w:w="624" w:type="dxa"/>
          </w:tcPr>
          <w:p w14:paraId="0A534E84" w14:textId="3B0F2078" w:rsidR="008223F3" w:rsidRPr="00ED2B1F" w:rsidRDefault="008223F3" w:rsidP="008223F3">
            <w:pPr>
              <w:pStyle w:val="TableText"/>
              <w:keepNext/>
              <w:tabs>
                <w:tab w:val="decimal" w:pos="368"/>
              </w:tabs>
              <w:spacing w:before="55" w:after="55"/>
              <w:jc w:val="center"/>
              <w:rPr>
                <w:rFonts w:cs="Segoe UI"/>
              </w:rPr>
            </w:pPr>
            <w:r w:rsidRPr="00ED2B1F">
              <w:t xml:space="preserve"> 24 </w:t>
            </w:r>
          </w:p>
        </w:tc>
        <w:tc>
          <w:tcPr>
            <w:tcW w:w="624" w:type="dxa"/>
          </w:tcPr>
          <w:p w14:paraId="38F7C5D1" w14:textId="50E56FD7" w:rsidR="008223F3" w:rsidRPr="00ED2B1F" w:rsidRDefault="008223F3" w:rsidP="008223F3">
            <w:pPr>
              <w:pStyle w:val="TableText"/>
              <w:keepNext/>
              <w:tabs>
                <w:tab w:val="decimal" w:pos="454"/>
              </w:tabs>
              <w:spacing w:before="55" w:after="55"/>
              <w:jc w:val="center"/>
              <w:rPr>
                <w:rFonts w:cs="Segoe UI"/>
              </w:rPr>
            </w:pPr>
            <w:r w:rsidRPr="00ED2B1F">
              <w:t xml:space="preserve"> 14 </w:t>
            </w:r>
          </w:p>
        </w:tc>
      </w:tr>
      <w:tr w:rsidR="008223F3" w:rsidRPr="00ED2B1F" w14:paraId="5B156639" w14:textId="77777777" w:rsidTr="001A63ED">
        <w:trPr>
          <w:cantSplit/>
          <w:trHeight w:val="300"/>
        </w:trPr>
        <w:tc>
          <w:tcPr>
            <w:tcW w:w="1843" w:type="dxa"/>
          </w:tcPr>
          <w:p w14:paraId="28761531" w14:textId="77777777" w:rsidR="008223F3" w:rsidRPr="00ED2B1F" w:rsidRDefault="008223F3" w:rsidP="008223F3">
            <w:pPr>
              <w:pStyle w:val="TableText"/>
              <w:keepNext/>
              <w:spacing w:before="55" w:after="55"/>
              <w:rPr>
                <w:rFonts w:cs="Segoe UI"/>
              </w:rPr>
            </w:pPr>
            <w:r w:rsidRPr="00ED2B1F">
              <w:rPr>
                <w:rFonts w:cs="Segoe UI"/>
              </w:rPr>
              <w:t>Hutt Valley</w:t>
            </w:r>
          </w:p>
        </w:tc>
        <w:tc>
          <w:tcPr>
            <w:tcW w:w="624" w:type="dxa"/>
          </w:tcPr>
          <w:p w14:paraId="5517B352" w14:textId="55AC094F" w:rsidR="008223F3" w:rsidRPr="00ED2B1F" w:rsidRDefault="008223F3" w:rsidP="008223F3">
            <w:pPr>
              <w:pStyle w:val="TableText"/>
              <w:keepNext/>
              <w:tabs>
                <w:tab w:val="decimal" w:pos="368"/>
              </w:tabs>
              <w:spacing w:before="55" w:after="55"/>
              <w:jc w:val="center"/>
            </w:pPr>
            <w:r w:rsidRPr="00ED2B1F">
              <w:t xml:space="preserve"> 16 </w:t>
            </w:r>
          </w:p>
        </w:tc>
        <w:tc>
          <w:tcPr>
            <w:tcW w:w="624" w:type="dxa"/>
          </w:tcPr>
          <w:p w14:paraId="09472550" w14:textId="02216B1E" w:rsidR="008223F3" w:rsidRPr="00ED2B1F" w:rsidRDefault="008223F3" w:rsidP="008223F3">
            <w:pPr>
              <w:pStyle w:val="TableText"/>
              <w:keepNext/>
              <w:tabs>
                <w:tab w:val="decimal" w:pos="368"/>
              </w:tabs>
              <w:spacing w:before="55" w:after="55"/>
              <w:jc w:val="center"/>
              <w:rPr>
                <w:rFonts w:cs="Segoe UI"/>
              </w:rPr>
            </w:pPr>
            <w:r w:rsidRPr="00ED2B1F">
              <w:t xml:space="preserve"> </w:t>
            </w:r>
            <w:r w:rsidR="00923027" w:rsidRPr="00ED2B1F">
              <w:t>17</w:t>
            </w:r>
            <w:r w:rsidRPr="00ED2B1F">
              <w:t xml:space="preserve"> </w:t>
            </w:r>
          </w:p>
        </w:tc>
        <w:tc>
          <w:tcPr>
            <w:tcW w:w="624" w:type="dxa"/>
          </w:tcPr>
          <w:p w14:paraId="096F1D59" w14:textId="341F34A9" w:rsidR="008223F3" w:rsidRPr="00ED2B1F" w:rsidRDefault="008223F3" w:rsidP="008223F3">
            <w:pPr>
              <w:pStyle w:val="TableText"/>
              <w:keepNext/>
              <w:tabs>
                <w:tab w:val="decimal" w:pos="454"/>
              </w:tabs>
              <w:spacing w:before="55" w:after="55"/>
              <w:jc w:val="center"/>
            </w:pPr>
            <w:r w:rsidRPr="00ED2B1F">
              <w:t xml:space="preserve"> 11 </w:t>
            </w:r>
          </w:p>
        </w:tc>
        <w:tc>
          <w:tcPr>
            <w:tcW w:w="426" w:type="dxa"/>
            <w:tcBorders>
              <w:top w:val="nil"/>
              <w:bottom w:val="nil"/>
            </w:tcBorders>
          </w:tcPr>
          <w:p w14:paraId="06C5840D"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62679A59" w14:textId="77777777" w:rsidR="008223F3" w:rsidRPr="00ED2B1F" w:rsidRDefault="008223F3" w:rsidP="008223F3">
            <w:pPr>
              <w:pStyle w:val="TableText"/>
              <w:keepNext/>
              <w:spacing w:before="55" w:after="55"/>
              <w:jc w:val="both"/>
              <w:rPr>
                <w:rFonts w:cs="Segoe UI"/>
              </w:rPr>
            </w:pPr>
            <w:r w:rsidRPr="00ED2B1F">
              <w:rPr>
                <w:rFonts w:cs="Segoe UI"/>
              </w:rPr>
              <w:t>Wairarapa</w:t>
            </w:r>
          </w:p>
        </w:tc>
        <w:tc>
          <w:tcPr>
            <w:tcW w:w="624" w:type="dxa"/>
          </w:tcPr>
          <w:p w14:paraId="3B9927F1" w14:textId="66810B1E" w:rsidR="008223F3" w:rsidRPr="00ED2B1F" w:rsidRDefault="008223F3" w:rsidP="008223F3">
            <w:pPr>
              <w:pStyle w:val="TableText"/>
              <w:keepNext/>
              <w:tabs>
                <w:tab w:val="decimal" w:pos="368"/>
              </w:tabs>
              <w:spacing w:before="55" w:after="55"/>
              <w:jc w:val="center"/>
              <w:rPr>
                <w:rFonts w:cs="Segoe UI"/>
              </w:rPr>
            </w:pPr>
            <w:r w:rsidRPr="00ED2B1F">
              <w:t xml:space="preserve"> </w:t>
            </w:r>
            <w:r w:rsidR="005023A0" w:rsidRPr="00ED2B1F">
              <w:t>7</w:t>
            </w:r>
            <w:r w:rsidRPr="00ED2B1F">
              <w:t xml:space="preserve"> </w:t>
            </w:r>
          </w:p>
        </w:tc>
        <w:tc>
          <w:tcPr>
            <w:tcW w:w="624" w:type="dxa"/>
          </w:tcPr>
          <w:p w14:paraId="7D9E19B2" w14:textId="0970A098" w:rsidR="008223F3" w:rsidRPr="00ED2B1F" w:rsidRDefault="008223F3" w:rsidP="008223F3">
            <w:pPr>
              <w:pStyle w:val="TableText"/>
              <w:keepNext/>
              <w:tabs>
                <w:tab w:val="decimal" w:pos="368"/>
              </w:tabs>
              <w:spacing w:before="55" w:after="55"/>
              <w:jc w:val="center"/>
              <w:rPr>
                <w:rFonts w:cs="Segoe UI"/>
              </w:rPr>
            </w:pPr>
            <w:r w:rsidRPr="00ED2B1F">
              <w:t xml:space="preserve"> </w:t>
            </w:r>
            <w:r w:rsidR="005023A0" w:rsidRPr="00ED2B1F">
              <w:t>3</w:t>
            </w:r>
            <w:r w:rsidRPr="00ED2B1F">
              <w:t xml:space="preserve"> </w:t>
            </w:r>
          </w:p>
        </w:tc>
        <w:tc>
          <w:tcPr>
            <w:tcW w:w="624" w:type="dxa"/>
          </w:tcPr>
          <w:p w14:paraId="354CB701" w14:textId="7DD9D408" w:rsidR="008223F3" w:rsidRPr="00ED2B1F" w:rsidRDefault="008223F3" w:rsidP="008223F3">
            <w:pPr>
              <w:pStyle w:val="TableText"/>
              <w:keepNext/>
              <w:tabs>
                <w:tab w:val="decimal" w:pos="454"/>
              </w:tabs>
              <w:spacing w:before="55" w:after="55"/>
              <w:jc w:val="center"/>
            </w:pPr>
            <w:r w:rsidRPr="00ED2B1F">
              <w:t xml:space="preserve"> 6 </w:t>
            </w:r>
          </w:p>
        </w:tc>
      </w:tr>
      <w:tr w:rsidR="008223F3" w:rsidRPr="00ED2B1F" w14:paraId="0F1BD573" w14:textId="77777777" w:rsidTr="001A63ED">
        <w:trPr>
          <w:cantSplit/>
          <w:trHeight w:val="300"/>
        </w:trPr>
        <w:tc>
          <w:tcPr>
            <w:tcW w:w="1843" w:type="dxa"/>
          </w:tcPr>
          <w:p w14:paraId="5EFF6FC6" w14:textId="77777777" w:rsidR="008223F3" w:rsidRPr="00ED2B1F" w:rsidRDefault="008223F3" w:rsidP="008223F3">
            <w:pPr>
              <w:pStyle w:val="TableText"/>
              <w:keepNext/>
              <w:spacing w:before="55" w:after="55"/>
              <w:rPr>
                <w:rFonts w:cs="Segoe UI"/>
              </w:rPr>
            </w:pPr>
            <w:r w:rsidRPr="00ED2B1F">
              <w:rPr>
                <w:rFonts w:cs="Segoe UI"/>
              </w:rPr>
              <w:t>Lakes</w:t>
            </w:r>
          </w:p>
        </w:tc>
        <w:tc>
          <w:tcPr>
            <w:tcW w:w="624" w:type="dxa"/>
          </w:tcPr>
          <w:p w14:paraId="086FDB52" w14:textId="459287CF" w:rsidR="008223F3" w:rsidRPr="00ED2B1F" w:rsidRDefault="008223F3" w:rsidP="008223F3">
            <w:pPr>
              <w:pStyle w:val="TableText"/>
              <w:keepNext/>
              <w:tabs>
                <w:tab w:val="decimal" w:pos="368"/>
              </w:tabs>
              <w:spacing w:before="55" w:after="55"/>
              <w:jc w:val="center"/>
            </w:pPr>
            <w:r w:rsidRPr="00ED2B1F">
              <w:t xml:space="preserve"> </w:t>
            </w:r>
            <w:r w:rsidR="009C69BC" w:rsidRPr="00ED2B1F">
              <w:t>10</w:t>
            </w:r>
            <w:r w:rsidRPr="00ED2B1F">
              <w:t xml:space="preserve"> </w:t>
            </w:r>
          </w:p>
        </w:tc>
        <w:tc>
          <w:tcPr>
            <w:tcW w:w="624" w:type="dxa"/>
          </w:tcPr>
          <w:p w14:paraId="463D8AD7" w14:textId="7BC180B7" w:rsidR="008223F3" w:rsidRPr="00ED2B1F" w:rsidRDefault="008223F3" w:rsidP="008223F3">
            <w:pPr>
              <w:pStyle w:val="TableText"/>
              <w:keepNext/>
              <w:tabs>
                <w:tab w:val="decimal" w:pos="368"/>
              </w:tabs>
              <w:spacing w:before="55" w:after="55"/>
              <w:jc w:val="center"/>
              <w:rPr>
                <w:rFonts w:cs="Segoe UI"/>
              </w:rPr>
            </w:pPr>
            <w:r w:rsidRPr="00ED2B1F">
              <w:t xml:space="preserve"> 9 </w:t>
            </w:r>
          </w:p>
        </w:tc>
        <w:tc>
          <w:tcPr>
            <w:tcW w:w="624" w:type="dxa"/>
          </w:tcPr>
          <w:p w14:paraId="420440D5" w14:textId="34C7E535" w:rsidR="008223F3" w:rsidRPr="00ED2B1F" w:rsidRDefault="008223F3" w:rsidP="008223F3">
            <w:pPr>
              <w:pStyle w:val="TableText"/>
              <w:keepNext/>
              <w:tabs>
                <w:tab w:val="decimal" w:pos="454"/>
              </w:tabs>
              <w:spacing w:before="55" w:after="55"/>
              <w:jc w:val="center"/>
            </w:pPr>
            <w:r w:rsidRPr="00ED2B1F">
              <w:t xml:space="preserve"> 9 </w:t>
            </w:r>
          </w:p>
        </w:tc>
        <w:tc>
          <w:tcPr>
            <w:tcW w:w="426" w:type="dxa"/>
            <w:tcBorders>
              <w:top w:val="nil"/>
              <w:bottom w:val="nil"/>
            </w:tcBorders>
          </w:tcPr>
          <w:p w14:paraId="38380658" w14:textId="77777777" w:rsidR="008223F3" w:rsidRPr="00ED2B1F" w:rsidRDefault="008223F3" w:rsidP="008223F3">
            <w:pPr>
              <w:pStyle w:val="TableText"/>
              <w:keepNext/>
              <w:tabs>
                <w:tab w:val="decimal" w:pos="636"/>
              </w:tabs>
              <w:spacing w:before="55" w:after="55"/>
              <w:rPr>
                <w:rFonts w:cs="Segoe UI"/>
              </w:rPr>
            </w:pPr>
          </w:p>
        </w:tc>
        <w:tc>
          <w:tcPr>
            <w:tcW w:w="1843" w:type="dxa"/>
          </w:tcPr>
          <w:p w14:paraId="58582513" w14:textId="77777777" w:rsidR="008223F3" w:rsidRPr="00ED2B1F" w:rsidRDefault="008223F3" w:rsidP="008223F3">
            <w:pPr>
              <w:pStyle w:val="TableText"/>
              <w:keepNext/>
              <w:spacing w:before="55" w:after="55"/>
              <w:jc w:val="both"/>
              <w:rPr>
                <w:rFonts w:cs="Segoe UI"/>
              </w:rPr>
            </w:pPr>
            <w:r w:rsidRPr="00ED2B1F">
              <w:rPr>
                <w:rFonts w:cs="Segoe UI"/>
              </w:rPr>
              <w:t>Waitematā</w:t>
            </w:r>
          </w:p>
        </w:tc>
        <w:tc>
          <w:tcPr>
            <w:tcW w:w="624" w:type="dxa"/>
          </w:tcPr>
          <w:p w14:paraId="48933234" w14:textId="341AA501" w:rsidR="008223F3" w:rsidRPr="00ED2B1F" w:rsidRDefault="008223F3" w:rsidP="008223F3">
            <w:pPr>
              <w:pStyle w:val="TableText"/>
              <w:keepNext/>
              <w:tabs>
                <w:tab w:val="decimal" w:pos="368"/>
              </w:tabs>
              <w:spacing w:before="55" w:after="55"/>
              <w:jc w:val="center"/>
              <w:rPr>
                <w:rFonts w:cs="Segoe UI"/>
              </w:rPr>
            </w:pPr>
            <w:r w:rsidRPr="00ED2B1F">
              <w:t xml:space="preserve"> 12 </w:t>
            </w:r>
          </w:p>
        </w:tc>
        <w:tc>
          <w:tcPr>
            <w:tcW w:w="624" w:type="dxa"/>
          </w:tcPr>
          <w:p w14:paraId="51F9C8BC" w14:textId="2CD2F2B5" w:rsidR="008223F3" w:rsidRPr="00ED2B1F" w:rsidRDefault="008223F3" w:rsidP="008223F3">
            <w:pPr>
              <w:pStyle w:val="TableText"/>
              <w:keepNext/>
              <w:tabs>
                <w:tab w:val="decimal" w:pos="368"/>
              </w:tabs>
              <w:spacing w:before="55" w:after="55"/>
              <w:jc w:val="center"/>
              <w:rPr>
                <w:rFonts w:cs="Segoe UI"/>
              </w:rPr>
            </w:pPr>
            <w:r w:rsidRPr="00ED2B1F">
              <w:t xml:space="preserve"> 15 </w:t>
            </w:r>
          </w:p>
        </w:tc>
        <w:tc>
          <w:tcPr>
            <w:tcW w:w="624" w:type="dxa"/>
          </w:tcPr>
          <w:p w14:paraId="7696B7F3" w14:textId="65C00CFC" w:rsidR="008223F3" w:rsidRPr="00ED2B1F" w:rsidRDefault="008223F3" w:rsidP="008223F3">
            <w:pPr>
              <w:pStyle w:val="TableText"/>
              <w:keepNext/>
              <w:tabs>
                <w:tab w:val="decimal" w:pos="454"/>
              </w:tabs>
              <w:spacing w:before="55" w:after="55"/>
              <w:jc w:val="center"/>
            </w:pPr>
            <w:r w:rsidRPr="00ED2B1F">
              <w:t xml:space="preserve"> 12 </w:t>
            </w:r>
          </w:p>
        </w:tc>
      </w:tr>
      <w:tr w:rsidR="008223F3" w:rsidRPr="00ED2B1F" w14:paraId="664EAA82" w14:textId="77777777" w:rsidTr="001A63ED">
        <w:trPr>
          <w:cantSplit/>
          <w:trHeight w:val="300"/>
        </w:trPr>
        <w:tc>
          <w:tcPr>
            <w:tcW w:w="1843" w:type="dxa"/>
          </w:tcPr>
          <w:p w14:paraId="39D84D1B" w14:textId="77777777" w:rsidR="008223F3" w:rsidRPr="00ED2B1F" w:rsidRDefault="008223F3" w:rsidP="008223F3">
            <w:pPr>
              <w:pStyle w:val="TableText"/>
              <w:spacing w:before="55" w:after="55"/>
              <w:rPr>
                <w:rFonts w:cs="Segoe UI"/>
              </w:rPr>
            </w:pPr>
            <w:r w:rsidRPr="00ED2B1F">
              <w:rPr>
                <w:rFonts w:cs="Segoe UI"/>
              </w:rPr>
              <w:t>MidCentral</w:t>
            </w:r>
          </w:p>
        </w:tc>
        <w:tc>
          <w:tcPr>
            <w:tcW w:w="624" w:type="dxa"/>
          </w:tcPr>
          <w:p w14:paraId="3A12E4B8" w14:textId="11F297F9" w:rsidR="008223F3" w:rsidRPr="00ED2B1F" w:rsidRDefault="008223F3" w:rsidP="008223F3">
            <w:pPr>
              <w:pStyle w:val="TableText"/>
              <w:tabs>
                <w:tab w:val="decimal" w:pos="368"/>
              </w:tabs>
              <w:spacing w:before="55" w:after="55"/>
              <w:jc w:val="center"/>
            </w:pPr>
            <w:r w:rsidRPr="00ED2B1F">
              <w:t xml:space="preserve"> </w:t>
            </w:r>
            <w:r w:rsidR="009C69BC" w:rsidRPr="00ED2B1F">
              <w:t>19</w:t>
            </w:r>
            <w:r w:rsidRPr="00ED2B1F">
              <w:t xml:space="preserve"> </w:t>
            </w:r>
          </w:p>
        </w:tc>
        <w:tc>
          <w:tcPr>
            <w:tcW w:w="624" w:type="dxa"/>
          </w:tcPr>
          <w:p w14:paraId="01DD2D81" w14:textId="3C5DE8D8" w:rsidR="008223F3" w:rsidRPr="00ED2B1F" w:rsidRDefault="008223F3" w:rsidP="008223F3">
            <w:pPr>
              <w:pStyle w:val="TableText"/>
              <w:tabs>
                <w:tab w:val="decimal" w:pos="368"/>
              </w:tabs>
              <w:spacing w:before="55" w:after="55"/>
              <w:jc w:val="center"/>
              <w:rPr>
                <w:rFonts w:cs="Segoe UI"/>
              </w:rPr>
            </w:pPr>
            <w:r w:rsidRPr="00ED2B1F">
              <w:t xml:space="preserve"> 25 </w:t>
            </w:r>
          </w:p>
        </w:tc>
        <w:tc>
          <w:tcPr>
            <w:tcW w:w="624" w:type="dxa"/>
          </w:tcPr>
          <w:p w14:paraId="1D276C5B" w14:textId="0219D356" w:rsidR="008223F3" w:rsidRPr="00ED2B1F" w:rsidRDefault="008223F3" w:rsidP="008223F3">
            <w:pPr>
              <w:pStyle w:val="TableText"/>
              <w:tabs>
                <w:tab w:val="decimal" w:pos="454"/>
              </w:tabs>
              <w:spacing w:before="55" w:after="55"/>
              <w:jc w:val="center"/>
            </w:pPr>
            <w:r w:rsidRPr="00ED2B1F">
              <w:t xml:space="preserve"> 19 </w:t>
            </w:r>
          </w:p>
        </w:tc>
        <w:tc>
          <w:tcPr>
            <w:tcW w:w="426" w:type="dxa"/>
            <w:tcBorders>
              <w:top w:val="nil"/>
              <w:bottom w:val="nil"/>
            </w:tcBorders>
          </w:tcPr>
          <w:p w14:paraId="0C74A546" w14:textId="77777777" w:rsidR="008223F3" w:rsidRPr="00ED2B1F" w:rsidRDefault="008223F3" w:rsidP="008223F3">
            <w:pPr>
              <w:pStyle w:val="TableText"/>
              <w:tabs>
                <w:tab w:val="decimal" w:pos="636"/>
              </w:tabs>
              <w:spacing w:before="55" w:after="55"/>
              <w:rPr>
                <w:rFonts w:cs="Segoe UI"/>
              </w:rPr>
            </w:pPr>
          </w:p>
        </w:tc>
        <w:tc>
          <w:tcPr>
            <w:tcW w:w="1843" w:type="dxa"/>
          </w:tcPr>
          <w:p w14:paraId="71F51A1C" w14:textId="77777777" w:rsidR="008223F3" w:rsidRPr="00ED2B1F" w:rsidRDefault="008223F3" w:rsidP="008223F3">
            <w:pPr>
              <w:pStyle w:val="TableText"/>
              <w:spacing w:before="55" w:after="55"/>
              <w:jc w:val="both"/>
              <w:rPr>
                <w:rFonts w:cs="Segoe UI"/>
              </w:rPr>
            </w:pPr>
            <w:r w:rsidRPr="00ED2B1F">
              <w:rPr>
                <w:rFonts w:cs="Segoe UI"/>
              </w:rPr>
              <w:t>West Coast</w:t>
            </w:r>
          </w:p>
        </w:tc>
        <w:tc>
          <w:tcPr>
            <w:tcW w:w="624" w:type="dxa"/>
          </w:tcPr>
          <w:p w14:paraId="62F7A067" w14:textId="6E2B1DC8" w:rsidR="008223F3" w:rsidRPr="00ED2B1F" w:rsidRDefault="008223F3" w:rsidP="008223F3">
            <w:pPr>
              <w:pStyle w:val="TableText"/>
              <w:tabs>
                <w:tab w:val="decimal" w:pos="368"/>
              </w:tabs>
              <w:spacing w:before="55" w:after="55"/>
              <w:jc w:val="center"/>
              <w:rPr>
                <w:rFonts w:cs="Segoe UI"/>
              </w:rPr>
            </w:pPr>
            <w:r w:rsidRPr="00ED2B1F">
              <w:t xml:space="preserve"> </w:t>
            </w:r>
            <w:r w:rsidR="003B47F6" w:rsidRPr="00ED2B1F">
              <w:t>8</w:t>
            </w:r>
            <w:r w:rsidRPr="00ED2B1F">
              <w:t xml:space="preserve"> </w:t>
            </w:r>
          </w:p>
        </w:tc>
        <w:tc>
          <w:tcPr>
            <w:tcW w:w="624" w:type="dxa"/>
          </w:tcPr>
          <w:p w14:paraId="50D16F8D" w14:textId="28DF6030" w:rsidR="008223F3" w:rsidRPr="00ED2B1F" w:rsidRDefault="008223F3" w:rsidP="008223F3">
            <w:pPr>
              <w:pStyle w:val="TableText"/>
              <w:tabs>
                <w:tab w:val="decimal" w:pos="368"/>
              </w:tabs>
              <w:spacing w:before="55" w:after="55"/>
              <w:jc w:val="center"/>
              <w:rPr>
                <w:rFonts w:cs="Segoe UI"/>
              </w:rPr>
            </w:pPr>
            <w:r w:rsidRPr="00ED2B1F">
              <w:t xml:space="preserve"> </w:t>
            </w:r>
            <w:r w:rsidR="003B47F6" w:rsidRPr="00ED2B1F">
              <w:t>7</w:t>
            </w:r>
            <w:r w:rsidRPr="00ED2B1F">
              <w:t xml:space="preserve"> </w:t>
            </w:r>
          </w:p>
        </w:tc>
        <w:tc>
          <w:tcPr>
            <w:tcW w:w="624" w:type="dxa"/>
          </w:tcPr>
          <w:p w14:paraId="0DB14FCA" w14:textId="3D1EF5B1" w:rsidR="008223F3" w:rsidRPr="00ED2B1F" w:rsidRDefault="008223F3" w:rsidP="008223F3">
            <w:pPr>
              <w:pStyle w:val="TableText"/>
              <w:tabs>
                <w:tab w:val="decimal" w:pos="454"/>
              </w:tabs>
              <w:spacing w:before="55" w:after="55"/>
              <w:jc w:val="center"/>
              <w:rPr>
                <w:rFonts w:cs="Segoe UI"/>
              </w:rPr>
            </w:pPr>
            <w:r w:rsidRPr="00ED2B1F">
              <w:t xml:space="preserve"> </w:t>
            </w:r>
            <w:r w:rsidR="003B47F6" w:rsidRPr="00ED2B1F">
              <w:t>4</w:t>
            </w:r>
            <w:r w:rsidRPr="00ED2B1F">
              <w:t xml:space="preserve"> </w:t>
            </w:r>
          </w:p>
        </w:tc>
      </w:tr>
      <w:tr w:rsidR="008223F3" w:rsidRPr="00ED2B1F" w14:paraId="5F362A08" w14:textId="77777777" w:rsidTr="001A63ED">
        <w:trPr>
          <w:cantSplit/>
          <w:trHeight w:val="300"/>
        </w:trPr>
        <w:tc>
          <w:tcPr>
            <w:tcW w:w="1843" w:type="dxa"/>
            <w:tcBorders>
              <w:bottom w:val="single" w:sz="4" w:space="0" w:color="A6A6A6" w:themeColor="background1" w:themeShade="A6"/>
            </w:tcBorders>
          </w:tcPr>
          <w:p w14:paraId="72F02AEB" w14:textId="77777777" w:rsidR="008223F3" w:rsidRPr="00ED2B1F" w:rsidRDefault="008223F3" w:rsidP="008223F3">
            <w:pPr>
              <w:pStyle w:val="TableText"/>
              <w:spacing w:before="55" w:after="55"/>
              <w:rPr>
                <w:rFonts w:cs="Segoe UI"/>
              </w:rPr>
            </w:pPr>
            <w:r w:rsidRPr="00ED2B1F">
              <w:rPr>
                <w:rFonts w:cs="Segoe UI"/>
              </w:rPr>
              <w:t>Nelson Marlborough</w:t>
            </w:r>
          </w:p>
        </w:tc>
        <w:tc>
          <w:tcPr>
            <w:tcW w:w="624" w:type="dxa"/>
            <w:tcBorders>
              <w:bottom w:val="single" w:sz="4" w:space="0" w:color="A6A6A6" w:themeColor="background1" w:themeShade="A6"/>
            </w:tcBorders>
          </w:tcPr>
          <w:p w14:paraId="02AB7695" w14:textId="34C2AA56" w:rsidR="008223F3" w:rsidRPr="00ED2B1F" w:rsidRDefault="008223F3" w:rsidP="008223F3">
            <w:pPr>
              <w:pStyle w:val="TableText"/>
              <w:tabs>
                <w:tab w:val="decimal" w:pos="368"/>
              </w:tabs>
              <w:spacing w:before="55" w:after="55"/>
              <w:jc w:val="center"/>
            </w:pPr>
            <w:r w:rsidRPr="00ED2B1F">
              <w:t xml:space="preserve"> 8 </w:t>
            </w:r>
          </w:p>
        </w:tc>
        <w:tc>
          <w:tcPr>
            <w:tcW w:w="624" w:type="dxa"/>
            <w:tcBorders>
              <w:bottom w:val="single" w:sz="4" w:space="0" w:color="A6A6A6" w:themeColor="background1" w:themeShade="A6"/>
            </w:tcBorders>
          </w:tcPr>
          <w:p w14:paraId="06F0D353" w14:textId="48BBC8B3" w:rsidR="008223F3" w:rsidRPr="00ED2B1F" w:rsidRDefault="008223F3" w:rsidP="008223F3">
            <w:pPr>
              <w:pStyle w:val="TableText"/>
              <w:tabs>
                <w:tab w:val="decimal" w:pos="368"/>
              </w:tabs>
              <w:spacing w:before="55" w:after="55"/>
              <w:jc w:val="center"/>
            </w:pPr>
            <w:r w:rsidRPr="00ED2B1F">
              <w:t xml:space="preserve"> 10 </w:t>
            </w:r>
          </w:p>
        </w:tc>
        <w:tc>
          <w:tcPr>
            <w:tcW w:w="624" w:type="dxa"/>
            <w:tcBorders>
              <w:bottom w:val="single" w:sz="4" w:space="0" w:color="A6A6A6" w:themeColor="background1" w:themeShade="A6"/>
            </w:tcBorders>
          </w:tcPr>
          <w:p w14:paraId="5FE7DC89" w14:textId="12844878" w:rsidR="008223F3" w:rsidRPr="00ED2B1F" w:rsidRDefault="008223F3" w:rsidP="008223F3">
            <w:pPr>
              <w:pStyle w:val="TableText"/>
              <w:tabs>
                <w:tab w:val="decimal" w:pos="454"/>
              </w:tabs>
              <w:spacing w:before="55" w:after="55"/>
              <w:jc w:val="center"/>
            </w:pPr>
            <w:r w:rsidRPr="00ED2B1F">
              <w:t xml:space="preserve"> 8 </w:t>
            </w:r>
          </w:p>
        </w:tc>
        <w:tc>
          <w:tcPr>
            <w:tcW w:w="426" w:type="dxa"/>
            <w:tcBorders>
              <w:top w:val="nil"/>
              <w:bottom w:val="nil"/>
            </w:tcBorders>
          </w:tcPr>
          <w:p w14:paraId="5D046C3E" w14:textId="77777777" w:rsidR="008223F3" w:rsidRPr="00ED2B1F" w:rsidRDefault="008223F3" w:rsidP="008223F3">
            <w:pPr>
              <w:pStyle w:val="TableText"/>
              <w:tabs>
                <w:tab w:val="decimal" w:pos="636"/>
              </w:tabs>
              <w:spacing w:before="55" w:after="55"/>
              <w:rPr>
                <w:rFonts w:cs="Segoe UI"/>
              </w:rPr>
            </w:pPr>
          </w:p>
        </w:tc>
        <w:tc>
          <w:tcPr>
            <w:tcW w:w="1843" w:type="dxa"/>
          </w:tcPr>
          <w:p w14:paraId="0DB97A71" w14:textId="77777777" w:rsidR="008223F3" w:rsidRPr="00ED2B1F" w:rsidRDefault="008223F3" w:rsidP="008223F3">
            <w:pPr>
              <w:pStyle w:val="TableText"/>
              <w:spacing w:before="55" w:after="55"/>
              <w:jc w:val="both"/>
              <w:rPr>
                <w:rFonts w:cs="Segoe UI"/>
              </w:rPr>
            </w:pPr>
            <w:r w:rsidRPr="00ED2B1F">
              <w:rPr>
                <w:rFonts w:cs="Segoe UI"/>
              </w:rPr>
              <w:t>Whanganui</w:t>
            </w:r>
          </w:p>
        </w:tc>
        <w:tc>
          <w:tcPr>
            <w:tcW w:w="624" w:type="dxa"/>
          </w:tcPr>
          <w:p w14:paraId="1F9AF474" w14:textId="04823A7F" w:rsidR="008223F3" w:rsidRPr="00ED2B1F" w:rsidRDefault="008223F3" w:rsidP="008223F3">
            <w:pPr>
              <w:pStyle w:val="TableText"/>
              <w:tabs>
                <w:tab w:val="decimal" w:pos="368"/>
              </w:tabs>
              <w:spacing w:before="55" w:after="55"/>
              <w:jc w:val="center"/>
              <w:rPr>
                <w:rFonts w:cs="Segoe UI"/>
              </w:rPr>
            </w:pPr>
            <w:r w:rsidRPr="00ED2B1F">
              <w:t xml:space="preserve"> 13 </w:t>
            </w:r>
          </w:p>
        </w:tc>
        <w:tc>
          <w:tcPr>
            <w:tcW w:w="624" w:type="dxa"/>
          </w:tcPr>
          <w:p w14:paraId="16A0D0D9" w14:textId="6BCA70F2" w:rsidR="008223F3" w:rsidRPr="00ED2B1F" w:rsidRDefault="008223F3" w:rsidP="008223F3">
            <w:pPr>
              <w:pStyle w:val="TableText"/>
              <w:tabs>
                <w:tab w:val="decimal" w:pos="368"/>
              </w:tabs>
              <w:spacing w:before="55" w:after="55"/>
              <w:jc w:val="center"/>
            </w:pPr>
            <w:r w:rsidRPr="00ED2B1F">
              <w:t xml:space="preserve"> 17 </w:t>
            </w:r>
          </w:p>
        </w:tc>
        <w:tc>
          <w:tcPr>
            <w:tcW w:w="624" w:type="dxa"/>
          </w:tcPr>
          <w:p w14:paraId="3278CBFB" w14:textId="4A43DD0E" w:rsidR="008223F3" w:rsidRPr="00ED2B1F" w:rsidRDefault="008223F3" w:rsidP="008223F3">
            <w:pPr>
              <w:pStyle w:val="TableText"/>
              <w:tabs>
                <w:tab w:val="decimal" w:pos="454"/>
              </w:tabs>
              <w:spacing w:before="55" w:after="55"/>
              <w:jc w:val="center"/>
              <w:rPr>
                <w:rFonts w:cs="Segoe UI"/>
              </w:rPr>
            </w:pPr>
            <w:r w:rsidRPr="00ED2B1F">
              <w:t xml:space="preserve"> 11 </w:t>
            </w:r>
          </w:p>
        </w:tc>
      </w:tr>
      <w:tr w:rsidR="008223F3" w:rsidRPr="00ED2B1F" w14:paraId="3CA26430" w14:textId="77777777" w:rsidTr="001A63ED">
        <w:trPr>
          <w:cantSplit/>
          <w:trHeight w:val="300"/>
        </w:trPr>
        <w:tc>
          <w:tcPr>
            <w:tcW w:w="1843" w:type="dxa"/>
            <w:tcBorders>
              <w:bottom w:val="nil"/>
            </w:tcBorders>
          </w:tcPr>
          <w:p w14:paraId="3BF76A8B" w14:textId="77777777" w:rsidR="008223F3" w:rsidRPr="00ED2B1F" w:rsidRDefault="008223F3" w:rsidP="008223F3">
            <w:pPr>
              <w:pStyle w:val="TableText"/>
              <w:spacing w:before="55" w:after="55"/>
              <w:rPr>
                <w:rFonts w:cs="Segoe UI"/>
              </w:rPr>
            </w:pPr>
          </w:p>
        </w:tc>
        <w:tc>
          <w:tcPr>
            <w:tcW w:w="624" w:type="dxa"/>
            <w:tcBorders>
              <w:bottom w:val="nil"/>
            </w:tcBorders>
          </w:tcPr>
          <w:p w14:paraId="1DBF3715" w14:textId="77777777" w:rsidR="008223F3" w:rsidRPr="00ED2B1F" w:rsidRDefault="008223F3" w:rsidP="008223F3">
            <w:pPr>
              <w:pStyle w:val="TableText"/>
              <w:tabs>
                <w:tab w:val="decimal" w:pos="636"/>
              </w:tabs>
              <w:spacing w:before="55" w:after="55"/>
              <w:rPr>
                <w:rFonts w:cs="Segoe UI"/>
              </w:rPr>
            </w:pPr>
          </w:p>
        </w:tc>
        <w:tc>
          <w:tcPr>
            <w:tcW w:w="624" w:type="dxa"/>
            <w:tcBorders>
              <w:bottom w:val="nil"/>
            </w:tcBorders>
          </w:tcPr>
          <w:p w14:paraId="4BB0D946" w14:textId="77777777" w:rsidR="008223F3" w:rsidRPr="00ED2B1F" w:rsidRDefault="008223F3" w:rsidP="008223F3">
            <w:pPr>
              <w:pStyle w:val="TableText"/>
              <w:tabs>
                <w:tab w:val="decimal" w:pos="636"/>
              </w:tabs>
              <w:spacing w:before="55" w:after="55"/>
              <w:rPr>
                <w:rFonts w:cs="Segoe UI"/>
              </w:rPr>
            </w:pPr>
          </w:p>
        </w:tc>
        <w:tc>
          <w:tcPr>
            <w:tcW w:w="624" w:type="dxa"/>
            <w:tcBorders>
              <w:bottom w:val="nil"/>
            </w:tcBorders>
          </w:tcPr>
          <w:p w14:paraId="5A8C388E" w14:textId="77777777" w:rsidR="008223F3" w:rsidRPr="00ED2B1F" w:rsidRDefault="008223F3" w:rsidP="008223F3">
            <w:pPr>
              <w:pStyle w:val="TableText"/>
              <w:tabs>
                <w:tab w:val="decimal" w:pos="636"/>
              </w:tabs>
              <w:spacing w:before="55" w:after="55"/>
              <w:rPr>
                <w:rFonts w:cs="Segoe UI"/>
              </w:rPr>
            </w:pPr>
          </w:p>
        </w:tc>
        <w:tc>
          <w:tcPr>
            <w:tcW w:w="426" w:type="dxa"/>
            <w:tcBorders>
              <w:top w:val="nil"/>
              <w:bottom w:val="nil"/>
            </w:tcBorders>
          </w:tcPr>
          <w:p w14:paraId="50628F87" w14:textId="77777777" w:rsidR="008223F3" w:rsidRPr="00ED2B1F" w:rsidRDefault="008223F3" w:rsidP="008223F3">
            <w:pPr>
              <w:pStyle w:val="TableText"/>
              <w:tabs>
                <w:tab w:val="decimal" w:pos="636"/>
              </w:tabs>
              <w:spacing w:before="55" w:after="55"/>
              <w:rPr>
                <w:rFonts w:cs="Segoe UI"/>
              </w:rPr>
            </w:pPr>
          </w:p>
        </w:tc>
        <w:tc>
          <w:tcPr>
            <w:tcW w:w="1843" w:type="dxa"/>
          </w:tcPr>
          <w:p w14:paraId="7029161E" w14:textId="77777777" w:rsidR="008223F3" w:rsidRPr="00ED2B1F" w:rsidRDefault="008223F3" w:rsidP="008223F3">
            <w:pPr>
              <w:pStyle w:val="TableText"/>
              <w:spacing w:before="55" w:after="55"/>
              <w:jc w:val="both"/>
              <w:rPr>
                <w:rFonts w:cs="Segoe UI"/>
              </w:rPr>
            </w:pPr>
            <w:r w:rsidRPr="00ED2B1F">
              <w:rPr>
                <w:rFonts w:cs="Segoe UI"/>
                <w:b/>
              </w:rPr>
              <w:t>National average</w:t>
            </w:r>
          </w:p>
        </w:tc>
        <w:tc>
          <w:tcPr>
            <w:tcW w:w="624" w:type="dxa"/>
          </w:tcPr>
          <w:p w14:paraId="73426233" w14:textId="44BD79F3" w:rsidR="008223F3" w:rsidRPr="00ED2B1F" w:rsidRDefault="008223F3" w:rsidP="008223F3">
            <w:pPr>
              <w:pStyle w:val="TableText"/>
              <w:tabs>
                <w:tab w:val="decimal" w:pos="368"/>
              </w:tabs>
              <w:spacing w:before="55" w:after="55"/>
              <w:jc w:val="center"/>
              <w:rPr>
                <w:rFonts w:cs="Segoe UI"/>
                <w:b/>
                <w:bCs/>
              </w:rPr>
            </w:pPr>
            <w:r w:rsidRPr="00ED2B1F">
              <w:rPr>
                <w:b/>
                <w:bCs/>
              </w:rPr>
              <w:t xml:space="preserve"> 14 </w:t>
            </w:r>
          </w:p>
        </w:tc>
        <w:tc>
          <w:tcPr>
            <w:tcW w:w="624" w:type="dxa"/>
          </w:tcPr>
          <w:p w14:paraId="54BE2E8B" w14:textId="21ECCBB9" w:rsidR="008223F3" w:rsidRPr="00ED2B1F" w:rsidRDefault="008223F3" w:rsidP="008223F3">
            <w:pPr>
              <w:pStyle w:val="TableText"/>
              <w:tabs>
                <w:tab w:val="decimal" w:pos="368"/>
              </w:tabs>
              <w:spacing w:before="55" w:after="55"/>
              <w:jc w:val="center"/>
              <w:rPr>
                <w:rFonts w:cs="Segoe UI"/>
                <w:b/>
                <w:bCs/>
              </w:rPr>
            </w:pPr>
            <w:r w:rsidRPr="00ED2B1F">
              <w:rPr>
                <w:b/>
                <w:bCs/>
              </w:rPr>
              <w:t xml:space="preserve"> 16 </w:t>
            </w:r>
          </w:p>
        </w:tc>
        <w:tc>
          <w:tcPr>
            <w:tcW w:w="624" w:type="dxa"/>
          </w:tcPr>
          <w:p w14:paraId="1F0C799E" w14:textId="65AEC47A" w:rsidR="008223F3" w:rsidRPr="00ED2B1F" w:rsidRDefault="008223F3" w:rsidP="008223F3">
            <w:pPr>
              <w:pStyle w:val="TableText"/>
              <w:tabs>
                <w:tab w:val="decimal" w:pos="454"/>
              </w:tabs>
              <w:spacing w:before="55" w:after="55"/>
              <w:jc w:val="center"/>
              <w:rPr>
                <w:rFonts w:cs="Segoe UI"/>
                <w:b/>
                <w:bCs/>
              </w:rPr>
            </w:pPr>
            <w:r w:rsidRPr="00ED2B1F">
              <w:rPr>
                <w:b/>
                <w:bCs/>
              </w:rPr>
              <w:t xml:space="preserve"> 11 </w:t>
            </w:r>
          </w:p>
        </w:tc>
      </w:tr>
    </w:tbl>
    <w:p w14:paraId="3CEA4B59" w14:textId="0E45F36A" w:rsidR="00753A1F" w:rsidRPr="00ED2B1F" w:rsidRDefault="00753A1F" w:rsidP="00753A1F">
      <w:pPr>
        <w:pStyle w:val="Note"/>
      </w:pPr>
      <w:r w:rsidRPr="00ED2B1F">
        <w:t>Note</w:t>
      </w:r>
      <w:r w:rsidR="00616AAF" w:rsidRPr="00ED2B1F">
        <w:t xml:space="preserve">: </w:t>
      </w:r>
      <w:r w:rsidRPr="00ED2B1F">
        <w:t>As these figures are averages, some services may have higher volumes under section 13 than under section 11.</w:t>
      </w:r>
    </w:p>
    <w:p w14:paraId="03595ADF" w14:textId="5BB969A0" w:rsidR="00753A1F" w:rsidRPr="00ED2B1F" w:rsidRDefault="00616AAF" w:rsidP="00753A1F">
      <w:pPr>
        <w:pStyle w:val="Source"/>
      </w:pPr>
      <w:r w:rsidRPr="00ED2B1F">
        <w:t>Sources: PRIMHD data (extracted 10 June 2025) and manual data for Health New Zealand Counties Manukau and Waikato.</w:t>
      </w:r>
    </w:p>
    <w:p w14:paraId="33D188E0" w14:textId="77777777" w:rsidR="00753A1F" w:rsidRPr="00ED2B1F" w:rsidRDefault="00753A1F" w:rsidP="00753A1F"/>
    <w:p w14:paraId="63BB810D" w14:textId="77777777" w:rsidR="006B1F70" w:rsidRDefault="006B1F70" w:rsidP="00C103C7">
      <w:pPr>
        <w:pStyle w:val="Table"/>
        <w:sectPr w:rsidR="006B1F70" w:rsidSect="00753A1F">
          <w:headerReference w:type="even" r:id="rId34"/>
          <w:headerReference w:type="default" r:id="rId35"/>
          <w:pgSz w:w="11907" w:h="16834" w:code="9"/>
          <w:pgMar w:top="1418" w:right="1701" w:bottom="1134" w:left="1843" w:header="284" w:footer="425" w:gutter="284"/>
          <w:cols w:space="720"/>
        </w:sectPr>
      </w:pPr>
      <w:bookmarkStart w:id="45" w:name="_Ref85553671"/>
      <w:bookmarkStart w:id="46" w:name="_Toc87430000"/>
      <w:bookmarkStart w:id="47" w:name="_Toc88561357"/>
      <w:bookmarkStart w:id="48" w:name="_Toc115188891"/>
      <w:bookmarkStart w:id="49" w:name="_Toc142314753"/>
      <w:bookmarkStart w:id="50" w:name="_Toc145394315"/>
      <w:bookmarkStart w:id="51" w:name="_Toc189053993"/>
    </w:p>
    <w:p w14:paraId="73D3A0C3" w14:textId="6B47D537" w:rsidR="00753A1F" w:rsidRPr="00ED2B1F" w:rsidRDefault="00753A1F" w:rsidP="00C103C7">
      <w:pPr>
        <w:pStyle w:val="Table"/>
      </w:pPr>
      <w:bookmarkStart w:id="52" w:name="Table2"/>
      <w:bookmarkStart w:id="53" w:name="_Toc224638222"/>
      <w:r w:rsidRPr="00ED2B1F">
        <w:lastRenderedPageBreak/>
        <w:t>Table </w:t>
      </w:r>
      <w:r w:rsidRPr="00ED2B1F">
        <w:fldChar w:fldCharType="begin"/>
      </w:r>
      <w:r w:rsidRPr="00ED2B1F">
        <w:instrText>SEQ Table \* ARABIC</w:instrText>
      </w:r>
      <w:r w:rsidRPr="00ED2B1F">
        <w:fldChar w:fldCharType="separate"/>
      </w:r>
      <w:r w:rsidR="00484E57">
        <w:rPr>
          <w:noProof/>
        </w:rPr>
        <w:t>2</w:t>
      </w:r>
      <w:r w:rsidRPr="00ED2B1F">
        <w:fldChar w:fldCharType="end"/>
      </w:r>
      <w:bookmarkEnd w:id="45"/>
      <w:bookmarkEnd w:id="52"/>
      <w:r w:rsidRPr="00ED2B1F">
        <w:t xml:space="preserve">: Average number of people on a given day subject to a compulsory treatment order under section 29, 30 or 31 of the Mental Health Act per 100,000 population, by district, </w:t>
      </w:r>
      <w:bookmarkEnd w:id="46"/>
      <w:bookmarkEnd w:id="47"/>
      <w:bookmarkEnd w:id="48"/>
      <w:bookmarkEnd w:id="49"/>
      <w:bookmarkEnd w:id="50"/>
      <w:bookmarkEnd w:id="51"/>
      <w:r w:rsidR="00211D17" w:rsidRPr="00ED2B1F">
        <w:t>1 July 2023 to 30 June 2024</w:t>
      </w:r>
      <w:bookmarkEnd w:id="53"/>
    </w:p>
    <w:tbl>
      <w:tblPr>
        <w:tblW w:w="7856"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624"/>
        <w:gridCol w:w="624"/>
        <w:gridCol w:w="624"/>
        <w:gridCol w:w="426"/>
        <w:gridCol w:w="1843"/>
        <w:gridCol w:w="624"/>
        <w:gridCol w:w="624"/>
        <w:gridCol w:w="624"/>
      </w:tblGrid>
      <w:tr w:rsidR="00856A5B" w:rsidRPr="00ED2B1F" w14:paraId="3EA84E4A" w14:textId="77777777" w:rsidTr="00A82004">
        <w:trPr>
          <w:cantSplit/>
          <w:trHeight w:val="300"/>
          <w:tblHeader/>
        </w:trPr>
        <w:tc>
          <w:tcPr>
            <w:tcW w:w="1843" w:type="dxa"/>
            <w:tcBorders>
              <w:top w:val="nil"/>
              <w:bottom w:val="nil"/>
              <w:right w:val="nil"/>
            </w:tcBorders>
            <w:shd w:val="clear" w:color="auto" w:fill="D9D9D9" w:themeFill="background1" w:themeFillShade="D9"/>
          </w:tcPr>
          <w:p w14:paraId="18CB60D6" w14:textId="77777777" w:rsidR="00753A1F" w:rsidRPr="00A82004" w:rsidRDefault="00753A1F" w:rsidP="00497F1D">
            <w:pPr>
              <w:pStyle w:val="TableText"/>
              <w:spacing w:before="55" w:after="55"/>
              <w:rPr>
                <w:rFonts w:cs="Segoe UI"/>
                <w:b/>
              </w:rPr>
            </w:pPr>
            <w:r w:rsidRPr="00A82004">
              <w:rPr>
                <w:rFonts w:cs="Segoe UI"/>
                <w:b/>
              </w:rPr>
              <w:t>District</w:t>
            </w:r>
          </w:p>
        </w:tc>
        <w:tc>
          <w:tcPr>
            <w:tcW w:w="624" w:type="dxa"/>
            <w:tcBorders>
              <w:top w:val="nil"/>
              <w:left w:val="nil"/>
              <w:bottom w:val="nil"/>
              <w:right w:val="nil"/>
            </w:tcBorders>
            <w:shd w:val="clear" w:color="auto" w:fill="D9D9D9" w:themeFill="background1" w:themeFillShade="D9"/>
          </w:tcPr>
          <w:p w14:paraId="4D4EBF4B" w14:textId="77777777" w:rsidR="00753A1F" w:rsidRPr="00A82004" w:rsidRDefault="00753A1F" w:rsidP="00497F1D">
            <w:pPr>
              <w:pStyle w:val="TableText"/>
              <w:spacing w:before="55" w:after="55"/>
              <w:jc w:val="center"/>
              <w:rPr>
                <w:rFonts w:cs="Segoe UI"/>
                <w:b/>
              </w:rPr>
            </w:pPr>
            <w:r w:rsidRPr="00A82004">
              <w:rPr>
                <w:rFonts w:cs="Segoe UI"/>
                <w:b/>
              </w:rPr>
              <w:t>s 29</w:t>
            </w:r>
          </w:p>
        </w:tc>
        <w:tc>
          <w:tcPr>
            <w:tcW w:w="624" w:type="dxa"/>
            <w:tcBorders>
              <w:top w:val="nil"/>
              <w:left w:val="nil"/>
              <w:bottom w:val="nil"/>
              <w:right w:val="nil"/>
            </w:tcBorders>
            <w:shd w:val="clear" w:color="auto" w:fill="D9D9D9" w:themeFill="background1" w:themeFillShade="D9"/>
          </w:tcPr>
          <w:p w14:paraId="610D7A02" w14:textId="77777777" w:rsidR="00753A1F" w:rsidRPr="00A82004" w:rsidRDefault="00753A1F" w:rsidP="00497F1D">
            <w:pPr>
              <w:pStyle w:val="TableText"/>
              <w:spacing w:before="55" w:after="55"/>
              <w:jc w:val="center"/>
              <w:rPr>
                <w:rFonts w:cs="Segoe UI"/>
                <w:b/>
              </w:rPr>
            </w:pPr>
            <w:r w:rsidRPr="00A82004">
              <w:rPr>
                <w:rFonts w:cs="Segoe UI"/>
                <w:b/>
              </w:rPr>
              <w:t>s 30</w:t>
            </w:r>
          </w:p>
        </w:tc>
        <w:tc>
          <w:tcPr>
            <w:tcW w:w="624" w:type="dxa"/>
            <w:tcBorders>
              <w:top w:val="nil"/>
              <w:left w:val="nil"/>
              <w:bottom w:val="nil"/>
            </w:tcBorders>
            <w:shd w:val="clear" w:color="auto" w:fill="D9D9D9" w:themeFill="background1" w:themeFillShade="D9"/>
          </w:tcPr>
          <w:p w14:paraId="5D0E8FCB" w14:textId="77777777" w:rsidR="00753A1F" w:rsidRPr="00A82004" w:rsidRDefault="00753A1F" w:rsidP="00497F1D">
            <w:pPr>
              <w:pStyle w:val="TableText"/>
              <w:spacing w:before="55" w:after="55"/>
              <w:jc w:val="center"/>
              <w:rPr>
                <w:rFonts w:cs="Segoe UI"/>
                <w:b/>
              </w:rPr>
            </w:pPr>
            <w:r w:rsidRPr="00A82004">
              <w:rPr>
                <w:rFonts w:cs="Segoe UI"/>
                <w:b/>
              </w:rPr>
              <w:t>s 31</w:t>
            </w:r>
          </w:p>
        </w:tc>
        <w:tc>
          <w:tcPr>
            <w:tcW w:w="426" w:type="dxa"/>
            <w:tcBorders>
              <w:top w:val="nil"/>
              <w:bottom w:val="nil"/>
            </w:tcBorders>
          </w:tcPr>
          <w:p w14:paraId="12AF3C42" w14:textId="77777777" w:rsidR="00753A1F" w:rsidRPr="00ED2B1F" w:rsidRDefault="00753A1F" w:rsidP="00497F1D">
            <w:pPr>
              <w:pStyle w:val="TableText"/>
              <w:spacing w:before="55" w:after="55"/>
              <w:jc w:val="center"/>
              <w:rPr>
                <w:rFonts w:cs="Segoe UI"/>
                <w:b/>
              </w:rPr>
            </w:pPr>
          </w:p>
        </w:tc>
        <w:tc>
          <w:tcPr>
            <w:tcW w:w="1843" w:type="dxa"/>
            <w:tcBorders>
              <w:top w:val="nil"/>
              <w:bottom w:val="nil"/>
            </w:tcBorders>
            <w:shd w:val="clear" w:color="auto" w:fill="D9D9D9" w:themeFill="background1" w:themeFillShade="D9"/>
          </w:tcPr>
          <w:p w14:paraId="67A77DD3" w14:textId="77777777" w:rsidR="00753A1F" w:rsidRPr="00A82004" w:rsidRDefault="00753A1F" w:rsidP="00497F1D">
            <w:pPr>
              <w:pStyle w:val="TableText"/>
              <w:spacing w:before="55" w:after="55"/>
              <w:rPr>
                <w:rFonts w:cs="Segoe UI"/>
                <w:b/>
              </w:rPr>
            </w:pPr>
            <w:r w:rsidRPr="00A82004">
              <w:rPr>
                <w:rFonts w:cs="Segoe UI"/>
                <w:b/>
              </w:rPr>
              <w:t>District</w:t>
            </w:r>
          </w:p>
        </w:tc>
        <w:tc>
          <w:tcPr>
            <w:tcW w:w="624" w:type="dxa"/>
            <w:tcBorders>
              <w:top w:val="nil"/>
              <w:bottom w:val="nil"/>
            </w:tcBorders>
            <w:shd w:val="clear" w:color="auto" w:fill="D9D9D9" w:themeFill="background1" w:themeFillShade="D9"/>
          </w:tcPr>
          <w:p w14:paraId="1F92FD4B" w14:textId="77777777" w:rsidR="00753A1F" w:rsidRPr="00A82004" w:rsidRDefault="00753A1F" w:rsidP="00497F1D">
            <w:pPr>
              <w:pStyle w:val="TableText"/>
              <w:spacing w:before="55" w:after="55"/>
              <w:jc w:val="center"/>
              <w:rPr>
                <w:rFonts w:cs="Segoe UI"/>
                <w:b/>
              </w:rPr>
            </w:pPr>
            <w:r w:rsidRPr="00A82004">
              <w:rPr>
                <w:rFonts w:cs="Segoe UI"/>
                <w:b/>
              </w:rPr>
              <w:t>s 29</w:t>
            </w:r>
          </w:p>
        </w:tc>
        <w:tc>
          <w:tcPr>
            <w:tcW w:w="624" w:type="dxa"/>
            <w:tcBorders>
              <w:top w:val="nil"/>
              <w:bottom w:val="nil"/>
            </w:tcBorders>
            <w:shd w:val="clear" w:color="auto" w:fill="D9D9D9" w:themeFill="background1" w:themeFillShade="D9"/>
          </w:tcPr>
          <w:p w14:paraId="650BE077" w14:textId="77777777" w:rsidR="00753A1F" w:rsidRPr="00A82004" w:rsidRDefault="00753A1F" w:rsidP="00497F1D">
            <w:pPr>
              <w:pStyle w:val="TableText"/>
              <w:spacing w:before="55" w:after="55"/>
              <w:jc w:val="center"/>
              <w:rPr>
                <w:rFonts w:cs="Segoe UI"/>
                <w:b/>
              </w:rPr>
            </w:pPr>
            <w:r w:rsidRPr="00A82004">
              <w:rPr>
                <w:rFonts w:cs="Segoe UI"/>
                <w:b/>
              </w:rPr>
              <w:t>s 30</w:t>
            </w:r>
          </w:p>
        </w:tc>
        <w:tc>
          <w:tcPr>
            <w:tcW w:w="624" w:type="dxa"/>
            <w:tcBorders>
              <w:top w:val="nil"/>
              <w:bottom w:val="nil"/>
            </w:tcBorders>
            <w:shd w:val="clear" w:color="auto" w:fill="D9D9D9" w:themeFill="background1" w:themeFillShade="D9"/>
          </w:tcPr>
          <w:p w14:paraId="13AF143E" w14:textId="77777777" w:rsidR="00753A1F" w:rsidRPr="00A82004" w:rsidRDefault="00753A1F" w:rsidP="00497F1D">
            <w:pPr>
              <w:pStyle w:val="TableText"/>
              <w:spacing w:before="55" w:after="55"/>
              <w:jc w:val="center"/>
              <w:rPr>
                <w:rFonts w:cs="Segoe UI"/>
                <w:b/>
              </w:rPr>
            </w:pPr>
            <w:r w:rsidRPr="00A82004">
              <w:rPr>
                <w:rFonts w:cs="Segoe UI"/>
                <w:b/>
              </w:rPr>
              <w:t>s 31</w:t>
            </w:r>
          </w:p>
        </w:tc>
      </w:tr>
      <w:tr w:rsidR="0042112E" w:rsidRPr="00ED2B1F" w14:paraId="20731EF8" w14:textId="77777777" w:rsidTr="001A63ED">
        <w:trPr>
          <w:cantSplit/>
          <w:trHeight w:val="300"/>
        </w:trPr>
        <w:tc>
          <w:tcPr>
            <w:tcW w:w="1843" w:type="dxa"/>
            <w:tcBorders>
              <w:top w:val="nil"/>
              <w:right w:val="nil"/>
            </w:tcBorders>
          </w:tcPr>
          <w:p w14:paraId="59D03676" w14:textId="77777777" w:rsidR="0042112E" w:rsidRPr="00ED2B1F" w:rsidRDefault="0042112E" w:rsidP="0042112E">
            <w:pPr>
              <w:pStyle w:val="TableText"/>
              <w:spacing w:before="55" w:after="55"/>
              <w:rPr>
                <w:rFonts w:cs="Segoe UI"/>
              </w:rPr>
            </w:pPr>
            <w:r w:rsidRPr="00ED2B1F">
              <w:rPr>
                <w:rFonts w:cs="Segoe UI"/>
              </w:rPr>
              <w:t>Auckland</w:t>
            </w:r>
          </w:p>
        </w:tc>
        <w:tc>
          <w:tcPr>
            <w:tcW w:w="624" w:type="dxa"/>
            <w:tcBorders>
              <w:top w:val="nil"/>
              <w:left w:val="nil"/>
              <w:right w:val="nil"/>
            </w:tcBorders>
          </w:tcPr>
          <w:p w14:paraId="23C634F2" w14:textId="20DFBD8B" w:rsidR="0042112E" w:rsidRPr="00ED2B1F" w:rsidRDefault="0042112E" w:rsidP="0042112E">
            <w:pPr>
              <w:pStyle w:val="TableText"/>
              <w:tabs>
                <w:tab w:val="decimal" w:pos="510"/>
              </w:tabs>
              <w:spacing w:before="55" w:after="55"/>
              <w:jc w:val="center"/>
              <w:rPr>
                <w:rFonts w:cs="Segoe UI"/>
              </w:rPr>
            </w:pPr>
            <w:r w:rsidRPr="00ED2B1F">
              <w:t xml:space="preserve"> 86 </w:t>
            </w:r>
          </w:p>
        </w:tc>
        <w:tc>
          <w:tcPr>
            <w:tcW w:w="624" w:type="dxa"/>
            <w:tcBorders>
              <w:top w:val="nil"/>
              <w:left w:val="nil"/>
              <w:right w:val="nil"/>
            </w:tcBorders>
          </w:tcPr>
          <w:p w14:paraId="05E9E6DC" w14:textId="621AF817" w:rsidR="0042112E" w:rsidRPr="00ED2B1F" w:rsidRDefault="0042112E" w:rsidP="0042112E">
            <w:pPr>
              <w:pStyle w:val="TableText"/>
              <w:tabs>
                <w:tab w:val="decimal" w:pos="510"/>
              </w:tabs>
              <w:spacing w:before="55" w:after="55"/>
              <w:jc w:val="center"/>
              <w:rPr>
                <w:rFonts w:cs="Segoe UI"/>
              </w:rPr>
            </w:pPr>
            <w:r w:rsidRPr="00ED2B1F">
              <w:t xml:space="preserve"> 9 </w:t>
            </w:r>
          </w:p>
        </w:tc>
        <w:tc>
          <w:tcPr>
            <w:tcW w:w="624" w:type="dxa"/>
            <w:tcBorders>
              <w:top w:val="nil"/>
              <w:left w:val="nil"/>
            </w:tcBorders>
          </w:tcPr>
          <w:p w14:paraId="794A2936" w14:textId="390BCFF3" w:rsidR="0042112E" w:rsidRPr="00ED2B1F" w:rsidRDefault="0042112E" w:rsidP="0042112E">
            <w:pPr>
              <w:pStyle w:val="TableText"/>
              <w:tabs>
                <w:tab w:val="decimal" w:pos="454"/>
              </w:tabs>
              <w:spacing w:before="55" w:after="55"/>
              <w:jc w:val="center"/>
              <w:rPr>
                <w:rFonts w:cs="Segoe UI"/>
              </w:rPr>
            </w:pPr>
            <w:r w:rsidRPr="00ED2B1F">
              <w:t xml:space="preserve"> 2 </w:t>
            </w:r>
          </w:p>
        </w:tc>
        <w:tc>
          <w:tcPr>
            <w:tcW w:w="426" w:type="dxa"/>
            <w:tcBorders>
              <w:top w:val="nil"/>
              <w:bottom w:val="nil"/>
            </w:tcBorders>
          </w:tcPr>
          <w:p w14:paraId="2D1BEBAA"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232C93BA" w14:textId="77777777" w:rsidR="0042112E" w:rsidRPr="00ED2B1F" w:rsidRDefault="0042112E" w:rsidP="0042112E">
            <w:pPr>
              <w:pStyle w:val="TableText"/>
              <w:spacing w:before="55" w:after="55"/>
              <w:jc w:val="both"/>
              <w:rPr>
                <w:rFonts w:cs="Segoe UI"/>
              </w:rPr>
            </w:pPr>
            <w:r w:rsidRPr="00ED2B1F">
              <w:rPr>
                <w:rFonts w:cs="Segoe UI"/>
              </w:rPr>
              <w:t>Northland</w:t>
            </w:r>
          </w:p>
        </w:tc>
        <w:tc>
          <w:tcPr>
            <w:tcW w:w="624" w:type="dxa"/>
            <w:tcBorders>
              <w:top w:val="nil"/>
            </w:tcBorders>
          </w:tcPr>
          <w:p w14:paraId="002C1E8A" w14:textId="2558601E" w:rsidR="0042112E" w:rsidRPr="00ED2B1F" w:rsidRDefault="0042112E" w:rsidP="0042112E">
            <w:pPr>
              <w:pStyle w:val="TableText"/>
              <w:tabs>
                <w:tab w:val="decimal" w:pos="454"/>
              </w:tabs>
              <w:spacing w:before="55" w:after="55"/>
              <w:jc w:val="center"/>
            </w:pPr>
            <w:r w:rsidRPr="00ED2B1F">
              <w:t xml:space="preserve"> 147 </w:t>
            </w:r>
          </w:p>
        </w:tc>
        <w:tc>
          <w:tcPr>
            <w:tcW w:w="624" w:type="dxa"/>
            <w:tcBorders>
              <w:top w:val="nil"/>
            </w:tcBorders>
          </w:tcPr>
          <w:p w14:paraId="379C510D" w14:textId="54EA00C4" w:rsidR="0042112E" w:rsidRPr="00ED2B1F" w:rsidRDefault="0042112E" w:rsidP="0042112E">
            <w:pPr>
              <w:pStyle w:val="TableText"/>
              <w:tabs>
                <w:tab w:val="decimal" w:pos="454"/>
              </w:tabs>
              <w:spacing w:before="55" w:after="55"/>
              <w:jc w:val="center"/>
              <w:rPr>
                <w:rFonts w:cs="Segoe UI"/>
              </w:rPr>
            </w:pPr>
            <w:r w:rsidRPr="00ED2B1F">
              <w:t xml:space="preserve"> 13 </w:t>
            </w:r>
          </w:p>
        </w:tc>
        <w:tc>
          <w:tcPr>
            <w:tcW w:w="624" w:type="dxa"/>
            <w:tcBorders>
              <w:top w:val="nil"/>
            </w:tcBorders>
          </w:tcPr>
          <w:p w14:paraId="02DE2D0E" w14:textId="778A7DC0" w:rsidR="0042112E" w:rsidRPr="00ED2B1F" w:rsidRDefault="0042112E" w:rsidP="0042112E">
            <w:pPr>
              <w:pStyle w:val="TableText"/>
              <w:spacing w:before="55" w:after="55"/>
              <w:jc w:val="center"/>
              <w:rPr>
                <w:rFonts w:cs="Segoe UI"/>
              </w:rPr>
            </w:pPr>
            <w:r w:rsidRPr="00ED2B1F">
              <w:t xml:space="preserve"> 2 </w:t>
            </w:r>
          </w:p>
        </w:tc>
      </w:tr>
      <w:tr w:rsidR="0042112E" w:rsidRPr="00ED2B1F" w14:paraId="73C65E4A" w14:textId="77777777" w:rsidTr="001A63ED">
        <w:trPr>
          <w:cantSplit/>
          <w:trHeight w:val="300"/>
        </w:trPr>
        <w:tc>
          <w:tcPr>
            <w:tcW w:w="1843" w:type="dxa"/>
            <w:tcBorders>
              <w:top w:val="nil"/>
              <w:right w:val="nil"/>
            </w:tcBorders>
          </w:tcPr>
          <w:p w14:paraId="7B77E25D" w14:textId="77777777" w:rsidR="0042112E" w:rsidRPr="00ED2B1F" w:rsidRDefault="0042112E" w:rsidP="0042112E">
            <w:pPr>
              <w:pStyle w:val="TableText"/>
              <w:spacing w:before="55" w:after="55"/>
              <w:rPr>
                <w:rFonts w:cs="Segoe UI"/>
              </w:rPr>
            </w:pPr>
            <w:r w:rsidRPr="00ED2B1F">
              <w:rPr>
                <w:rFonts w:cs="Segoe UI"/>
              </w:rPr>
              <w:t>Bay of Plenty</w:t>
            </w:r>
          </w:p>
        </w:tc>
        <w:tc>
          <w:tcPr>
            <w:tcW w:w="624" w:type="dxa"/>
            <w:tcBorders>
              <w:top w:val="nil"/>
              <w:left w:val="nil"/>
              <w:right w:val="nil"/>
            </w:tcBorders>
          </w:tcPr>
          <w:p w14:paraId="41340B90" w14:textId="792F1A14" w:rsidR="0042112E" w:rsidRPr="00ED2B1F" w:rsidRDefault="0042112E" w:rsidP="0042112E">
            <w:pPr>
              <w:pStyle w:val="TableText"/>
              <w:tabs>
                <w:tab w:val="decimal" w:pos="510"/>
              </w:tabs>
              <w:spacing w:before="55" w:after="55"/>
              <w:jc w:val="center"/>
              <w:rPr>
                <w:rFonts w:cs="Segoe UI"/>
              </w:rPr>
            </w:pPr>
            <w:r w:rsidRPr="00ED2B1F">
              <w:t xml:space="preserve"> </w:t>
            </w:r>
            <w:r w:rsidR="0068546F" w:rsidRPr="00ED2B1F">
              <w:t>61</w:t>
            </w:r>
            <w:r w:rsidRPr="00ED2B1F">
              <w:t xml:space="preserve"> </w:t>
            </w:r>
          </w:p>
        </w:tc>
        <w:tc>
          <w:tcPr>
            <w:tcW w:w="624" w:type="dxa"/>
            <w:tcBorders>
              <w:top w:val="nil"/>
              <w:left w:val="nil"/>
              <w:right w:val="nil"/>
            </w:tcBorders>
          </w:tcPr>
          <w:p w14:paraId="04AC5DDF" w14:textId="38CF6FBE" w:rsidR="0042112E" w:rsidRPr="00ED2B1F" w:rsidRDefault="0042112E" w:rsidP="0042112E">
            <w:pPr>
              <w:pStyle w:val="TableText"/>
              <w:tabs>
                <w:tab w:val="decimal" w:pos="510"/>
              </w:tabs>
              <w:spacing w:before="55" w:after="55"/>
              <w:jc w:val="center"/>
              <w:rPr>
                <w:rFonts w:cs="Segoe UI"/>
              </w:rPr>
            </w:pPr>
            <w:r w:rsidRPr="00ED2B1F">
              <w:t xml:space="preserve"> 22 </w:t>
            </w:r>
          </w:p>
        </w:tc>
        <w:tc>
          <w:tcPr>
            <w:tcW w:w="624" w:type="dxa"/>
            <w:tcBorders>
              <w:top w:val="nil"/>
              <w:left w:val="nil"/>
            </w:tcBorders>
          </w:tcPr>
          <w:p w14:paraId="6399DD38" w14:textId="0226AE93" w:rsidR="0042112E" w:rsidRPr="00ED2B1F" w:rsidRDefault="0042112E" w:rsidP="0042112E">
            <w:pPr>
              <w:pStyle w:val="TableText"/>
              <w:tabs>
                <w:tab w:val="decimal" w:pos="454"/>
              </w:tabs>
              <w:spacing w:before="55" w:after="55"/>
              <w:jc w:val="center"/>
              <w:rPr>
                <w:rFonts w:cs="Segoe UI"/>
              </w:rPr>
            </w:pPr>
            <w:r w:rsidRPr="00ED2B1F">
              <w:t xml:space="preserve"> 7 </w:t>
            </w:r>
          </w:p>
        </w:tc>
        <w:tc>
          <w:tcPr>
            <w:tcW w:w="426" w:type="dxa"/>
            <w:tcBorders>
              <w:top w:val="nil"/>
              <w:bottom w:val="nil"/>
            </w:tcBorders>
          </w:tcPr>
          <w:p w14:paraId="20C8A9CD"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4D26EBFF" w14:textId="77777777" w:rsidR="0042112E" w:rsidRPr="00ED2B1F" w:rsidRDefault="0042112E" w:rsidP="0042112E">
            <w:pPr>
              <w:pStyle w:val="TableText"/>
              <w:spacing w:before="55" w:after="55"/>
              <w:jc w:val="both"/>
              <w:rPr>
                <w:rFonts w:cs="Segoe UI"/>
              </w:rPr>
            </w:pPr>
            <w:r w:rsidRPr="00ED2B1F">
              <w:rPr>
                <w:rFonts w:cs="Segoe UI"/>
              </w:rPr>
              <w:t>South Canterbury</w:t>
            </w:r>
          </w:p>
        </w:tc>
        <w:tc>
          <w:tcPr>
            <w:tcW w:w="624" w:type="dxa"/>
            <w:tcBorders>
              <w:top w:val="nil"/>
            </w:tcBorders>
          </w:tcPr>
          <w:p w14:paraId="69387D43" w14:textId="42B94B85" w:rsidR="0042112E" w:rsidRPr="00ED2B1F" w:rsidRDefault="0042112E" w:rsidP="0042112E">
            <w:pPr>
              <w:pStyle w:val="TableText"/>
              <w:tabs>
                <w:tab w:val="decimal" w:pos="454"/>
              </w:tabs>
              <w:spacing w:before="55" w:after="55"/>
              <w:jc w:val="center"/>
              <w:rPr>
                <w:rFonts w:cs="Segoe UI"/>
              </w:rPr>
            </w:pPr>
            <w:r w:rsidRPr="00ED2B1F">
              <w:t xml:space="preserve"> 78 </w:t>
            </w:r>
          </w:p>
        </w:tc>
        <w:tc>
          <w:tcPr>
            <w:tcW w:w="624" w:type="dxa"/>
            <w:tcBorders>
              <w:top w:val="nil"/>
            </w:tcBorders>
          </w:tcPr>
          <w:p w14:paraId="372A5532" w14:textId="6C444606" w:rsidR="0042112E" w:rsidRPr="00ED2B1F" w:rsidRDefault="0042112E" w:rsidP="0042112E">
            <w:pPr>
              <w:pStyle w:val="TableText"/>
              <w:tabs>
                <w:tab w:val="decimal" w:pos="454"/>
              </w:tabs>
              <w:spacing w:before="55" w:after="55"/>
              <w:jc w:val="center"/>
              <w:rPr>
                <w:rFonts w:cs="Segoe UI"/>
              </w:rPr>
            </w:pPr>
            <w:r w:rsidRPr="00ED2B1F">
              <w:t xml:space="preserve"> 4 </w:t>
            </w:r>
          </w:p>
        </w:tc>
        <w:tc>
          <w:tcPr>
            <w:tcW w:w="624" w:type="dxa"/>
            <w:tcBorders>
              <w:top w:val="nil"/>
            </w:tcBorders>
          </w:tcPr>
          <w:p w14:paraId="6E13418B" w14:textId="5C95DCC2" w:rsidR="0042112E" w:rsidRPr="00ED2B1F" w:rsidRDefault="0042112E" w:rsidP="0042112E">
            <w:pPr>
              <w:pStyle w:val="TableText"/>
              <w:spacing w:before="55" w:after="55"/>
              <w:jc w:val="center"/>
              <w:rPr>
                <w:rFonts w:cs="Segoe UI"/>
              </w:rPr>
            </w:pPr>
            <w:r w:rsidRPr="00ED2B1F">
              <w:t xml:space="preserve"> 3 </w:t>
            </w:r>
          </w:p>
        </w:tc>
      </w:tr>
      <w:tr w:rsidR="0042112E" w:rsidRPr="00ED2B1F" w14:paraId="510B1609" w14:textId="77777777" w:rsidTr="001A63ED">
        <w:trPr>
          <w:cantSplit/>
          <w:trHeight w:val="300"/>
        </w:trPr>
        <w:tc>
          <w:tcPr>
            <w:tcW w:w="1843" w:type="dxa"/>
            <w:tcBorders>
              <w:top w:val="nil"/>
              <w:right w:val="nil"/>
            </w:tcBorders>
          </w:tcPr>
          <w:p w14:paraId="1C1C3332" w14:textId="77777777" w:rsidR="0042112E" w:rsidRPr="00ED2B1F" w:rsidRDefault="0042112E" w:rsidP="0042112E">
            <w:pPr>
              <w:pStyle w:val="TableText"/>
              <w:spacing w:before="55" w:after="55"/>
              <w:rPr>
                <w:rFonts w:cs="Segoe UI"/>
              </w:rPr>
            </w:pPr>
            <w:r w:rsidRPr="00ED2B1F">
              <w:rPr>
                <w:rFonts w:cs="Segoe UI"/>
              </w:rPr>
              <w:t>Canterbury</w:t>
            </w:r>
          </w:p>
        </w:tc>
        <w:tc>
          <w:tcPr>
            <w:tcW w:w="624" w:type="dxa"/>
            <w:tcBorders>
              <w:top w:val="nil"/>
              <w:left w:val="nil"/>
              <w:right w:val="nil"/>
            </w:tcBorders>
          </w:tcPr>
          <w:p w14:paraId="00E4D7D0" w14:textId="26896B9B" w:rsidR="0042112E" w:rsidRPr="00ED2B1F" w:rsidRDefault="0042112E" w:rsidP="0042112E">
            <w:pPr>
              <w:pStyle w:val="TableText"/>
              <w:tabs>
                <w:tab w:val="decimal" w:pos="510"/>
              </w:tabs>
              <w:spacing w:before="55" w:after="55"/>
              <w:jc w:val="center"/>
              <w:rPr>
                <w:rFonts w:cs="Segoe UI"/>
              </w:rPr>
            </w:pPr>
            <w:r w:rsidRPr="00ED2B1F">
              <w:t xml:space="preserve"> 76 </w:t>
            </w:r>
          </w:p>
        </w:tc>
        <w:tc>
          <w:tcPr>
            <w:tcW w:w="624" w:type="dxa"/>
            <w:tcBorders>
              <w:top w:val="nil"/>
              <w:left w:val="nil"/>
              <w:right w:val="nil"/>
            </w:tcBorders>
          </w:tcPr>
          <w:p w14:paraId="66380773" w14:textId="357175C8" w:rsidR="0042112E" w:rsidRPr="00ED2B1F" w:rsidRDefault="0042112E" w:rsidP="0042112E">
            <w:pPr>
              <w:pStyle w:val="TableText"/>
              <w:tabs>
                <w:tab w:val="decimal" w:pos="510"/>
              </w:tabs>
              <w:spacing w:before="55" w:after="55"/>
              <w:jc w:val="center"/>
              <w:rPr>
                <w:rFonts w:cs="Segoe UI"/>
              </w:rPr>
            </w:pPr>
            <w:r w:rsidRPr="00ED2B1F">
              <w:t xml:space="preserve"> 15 </w:t>
            </w:r>
          </w:p>
        </w:tc>
        <w:tc>
          <w:tcPr>
            <w:tcW w:w="624" w:type="dxa"/>
            <w:tcBorders>
              <w:top w:val="nil"/>
              <w:left w:val="nil"/>
            </w:tcBorders>
          </w:tcPr>
          <w:p w14:paraId="0E82AC29" w14:textId="5CC04841" w:rsidR="0042112E" w:rsidRPr="00ED2B1F" w:rsidRDefault="0042112E" w:rsidP="0042112E">
            <w:pPr>
              <w:pStyle w:val="TableText"/>
              <w:tabs>
                <w:tab w:val="decimal" w:pos="454"/>
              </w:tabs>
              <w:spacing w:before="55" w:after="55"/>
              <w:jc w:val="center"/>
              <w:rPr>
                <w:rFonts w:cs="Segoe UI"/>
              </w:rPr>
            </w:pPr>
            <w:r w:rsidRPr="00ED2B1F">
              <w:t xml:space="preserve"> 7 </w:t>
            </w:r>
          </w:p>
        </w:tc>
        <w:tc>
          <w:tcPr>
            <w:tcW w:w="426" w:type="dxa"/>
            <w:tcBorders>
              <w:top w:val="nil"/>
              <w:bottom w:val="nil"/>
            </w:tcBorders>
          </w:tcPr>
          <w:p w14:paraId="4613569E"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6EEECE4D" w14:textId="77777777" w:rsidR="0042112E" w:rsidRPr="00ED2B1F" w:rsidRDefault="0042112E" w:rsidP="0042112E">
            <w:pPr>
              <w:pStyle w:val="TableText"/>
              <w:spacing w:before="55" w:after="55"/>
              <w:jc w:val="both"/>
              <w:rPr>
                <w:rFonts w:cs="Segoe UI"/>
              </w:rPr>
            </w:pPr>
            <w:r w:rsidRPr="00ED2B1F">
              <w:rPr>
                <w:rFonts w:cs="Segoe UI"/>
              </w:rPr>
              <w:t>Southern</w:t>
            </w:r>
          </w:p>
        </w:tc>
        <w:tc>
          <w:tcPr>
            <w:tcW w:w="624" w:type="dxa"/>
            <w:tcBorders>
              <w:top w:val="nil"/>
            </w:tcBorders>
          </w:tcPr>
          <w:p w14:paraId="5A6D572F" w14:textId="57A0D435" w:rsidR="0042112E" w:rsidRPr="00ED2B1F" w:rsidRDefault="0042112E" w:rsidP="0042112E">
            <w:pPr>
              <w:pStyle w:val="TableText"/>
              <w:tabs>
                <w:tab w:val="decimal" w:pos="454"/>
              </w:tabs>
              <w:spacing w:before="55" w:after="55"/>
              <w:jc w:val="center"/>
              <w:rPr>
                <w:rFonts w:cs="Segoe UI"/>
              </w:rPr>
            </w:pPr>
            <w:r w:rsidRPr="00ED2B1F">
              <w:t xml:space="preserve"> 48 </w:t>
            </w:r>
          </w:p>
        </w:tc>
        <w:tc>
          <w:tcPr>
            <w:tcW w:w="624" w:type="dxa"/>
            <w:tcBorders>
              <w:top w:val="nil"/>
            </w:tcBorders>
          </w:tcPr>
          <w:p w14:paraId="2FB67F9D" w14:textId="585036A3" w:rsidR="0042112E" w:rsidRPr="00ED2B1F" w:rsidRDefault="0042112E" w:rsidP="0042112E">
            <w:pPr>
              <w:pStyle w:val="TableText"/>
              <w:tabs>
                <w:tab w:val="decimal" w:pos="454"/>
              </w:tabs>
              <w:spacing w:before="55" w:after="55"/>
              <w:jc w:val="center"/>
              <w:rPr>
                <w:rFonts w:cs="Segoe UI"/>
              </w:rPr>
            </w:pPr>
            <w:r w:rsidRPr="00ED2B1F">
              <w:t xml:space="preserve"> 9 </w:t>
            </w:r>
          </w:p>
        </w:tc>
        <w:tc>
          <w:tcPr>
            <w:tcW w:w="624" w:type="dxa"/>
            <w:tcBorders>
              <w:top w:val="nil"/>
            </w:tcBorders>
          </w:tcPr>
          <w:p w14:paraId="074A8633" w14:textId="52FDA3D9" w:rsidR="0042112E" w:rsidRPr="00ED2B1F" w:rsidRDefault="0042112E" w:rsidP="0042112E">
            <w:pPr>
              <w:pStyle w:val="TableText"/>
              <w:spacing w:before="55" w:after="55"/>
              <w:jc w:val="center"/>
              <w:rPr>
                <w:rFonts w:cs="Segoe UI"/>
              </w:rPr>
            </w:pPr>
            <w:r w:rsidRPr="00ED2B1F">
              <w:t xml:space="preserve"> 2 </w:t>
            </w:r>
          </w:p>
        </w:tc>
      </w:tr>
      <w:tr w:rsidR="0042112E" w:rsidRPr="00ED2B1F" w14:paraId="1D601B90" w14:textId="77777777" w:rsidTr="001A63ED">
        <w:trPr>
          <w:cantSplit/>
          <w:trHeight w:val="300"/>
        </w:trPr>
        <w:tc>
          <w:tcPr>
            <w:tcW w:w="1843" w:type="dxa"/>
            <w:tcBorders>
              <w:top w:val="nil"/>
              <w:right w:val="nil"/>
            </w:tcBorders>
          </w:tcPr>
          <w:p w14:paraId="31594A5C" w14:textId="77777777" w:rsidR="0042112E" w:rsidRPr="00ED2B1F" w:rsidRDefault="0042112E" w:rsidP="0042112E">
            <w:pPr>
              <w:pStyle w:val="TableText"/>
              <w:spacing w:before="55" w:after="55"/>
              <w:rPr>
                <w:rFonts w:cs="Segoe UI"/>
              </w:rPr>
            </w:pPr>
            <w:r w:rsidRPr="00ED2B1F">
              <w:rPr>
                <w:rFonts w:cs="Segoe UI"/>
              </w:rPr>
              <w:t>Capital &amp; Coast</w:t>
            </w:r>
          </w:p>
        </w:tc>
        <w:tc>
          <w:tcPr>
            <w:tcW w:w="624" w:type="dxa"/>
            <w:tcBorders>
              <w:top w:val="nil"/>
              <w:left w:val="nil"/>
              <w:right w:val="nil"/>
            </w:tcBorders>
          </w:tcPr>
          <w:p w14:paraId="49868543" w14:textId="4654F231" w:rsidR="0042112E" w:rsidRPr="00ED2B1F" w:rsidRDefault="0042112E" w:rsidP="0042112E">
            <w:pPr>
              <w:pStyle w:val="TableText"/>
              <w:tabs>
                <w:tab w:val="decimal" w:pos="510"/>
              </w:tabs>
              <w:spacing w:before="55" w:after="55"/>
              <w:jc w:val="center"/>
              <w:rPr>
                <w:rFonts w:cs="Segoe UI"/>
              </w:rPr>
            </w:pPr>
            <w:r w:rsidRPr="00ED2B1F">
              <w:t xml:space="preserve"> </w:t>
            </w:r>
            <w:r w:rsidR="0068546F" w:rsidRPr="00ED2B1F">
              <w:t>151</w:t>
            </w:r>
            <w:r w:rsidRPr="00ED2B1F">
              <w:t xml:space="preserve"> </w:t>
            </w:r>
          </w:p>
        </w:tc>
        <w:tc>
          <w:tcPr>
            <w:tcW w:w="624" w:type="dxa"/>
            <w:tcBorders>
              <w:top w:val="nil"/>
              <w:left w:val="nil"/>
              <w:right w:val="nil"/>
            </w:tcBorders>
          </w:tcPr>
          <w:p w14:paraId="48B32D03" w14:textId="5BA9D234" w:rsidR="0042112E" w:rsidRPr="00ED2B1F" w:rsidRDefault="0042112E" w:rsidP="0042112E">
            <w:pPr>
              <w:pStyle w:val="TableText"/>
              <w:tabs>
                <w:tab w:val="decimal" w:pos="510"/>
              </w:tabs>
              <w:spacing w:before="55" w:after="55"/>
              <w:jc w:val="center"/>
              <w:rPr>
                <w:rFonts w:cs="Segoe UI"/>
              </w:rPr>
            </w:pPr>
            <w:r w:rsidRPr="00ED2B1F">
              <w:t xml:space="preserve"> </w:t>
            </w:r>
            <w:r w:rsidR="0068546F" w:rsidRPr="00ED2B1F">
              <w:t>37</w:t>
            </w:r>
            <w:r w:rsidRPr="00ED2B1F">
              <w:t xml:space="preserve"> </w:t>
            </w:r>
          </w:p>
        </w:tc>
        <w:tc>
          <w:tcPr>
            <w:tcW w:w="624" w:type="dxa"/>
            <w:tcBorders>
              <w:top w:val="nil"/>
              <w:left w:val="nil"/>
            </w:tcBorders>
          </w:tcPr>
          <w:p w14:paraId="1CD2A57B" w14:textId="4F425203" w:rsidR="0042112E" w:rsidRPr="00ED2B1F" w:rsidRDefault="0042112E" w:rsidP="0042112E">
            <w:pPr>
              <w:pStyle w:val="TableText"/>
              <w:tabs>
                <w:tab w:val="decimal" w:pos="454"/>
              </w:tabs>
              <w:spacing w:before="55" w:after="55"/>
              <w:jc w:val="center"/>
              <w:rPr>
                <w:rFonts w:cs="Segoe UI"/>
              </w:rPr>
            </w:pPr>
            <w:r w:rsidRPr="00ED2B1F">
              <w:t xml:space="preserve"> 6 </w:t>
            </w:r>
          </w:p>
        </w:tc>
        <w:tc>
          <w:tcPr>
            <w:tcW w:w="426" w:type="dxa"/>
            <w:tcBorders>
              <w:top w:val="nil"/>
              <w:bottom w:val="nil"/>
            </w:tcBorders>
          </w:tcPr>
          <w:p w14:paraId="58232DE8"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58A50F65" w14:textId="77777777" w:rsidR="0042112E" w:rsidRPr="00ED2B1F" w:rsidRDefault="0042112E" w:rsidP="0042112E">
            <w:pPr>
              <w:pStyle w:val="TableText"/>
              <w:spacing w:before="55" w:after="55"/>
              <w:jc w:val="both"/>
              <w:rPr>
                <w:rFonts w:cs="Segoe UI"/>
              </w:rPr>
            </w:pPr>
            <w:r w:rsidRPr="00ED2B1F">
              <w:rPr>
                <w:rFonts w:cs="Segoe UI"/>
              </w:rPr>
              <w:t>Tairāwhiti</w:t>
            </w:r>
          </w:p>
        </w:tc>
        <w:tc>
          <w:tcPr>
            <w:tcW w:w="624" w:type="dxa"/>
            <w:tcBorders>
              <w:top w:val="nil"/>
            </w:tcBorders>
          </w:tcPr>
          <w:p w14:paraId="4F4C8808" w14:textId="2C2B61DC" w:rsidR="0042112E" w:rsidRPr="00ED2B1F" w:rsidRDefault="0042112E" w:rsidP="0042112E">
            <w:pPr>
              <w:pStyle w:val="TableText"/>
              <w:tabs>
                <w:tab w:val="decimal" w:pos="454"/>
              </w:tabs>
              <w:spacing w:before="55" w:after="55"/>
              <w:jc w:val="center"/>
              <w:rPr>
                <w:rFonts w:cs="Segoe UI"/>
              </w:rPr>
            </w:pPr>
            <w:r w:rsidRPr="00ED2B1F">
              <w:t xml:space="preserve"> 57 </w:t>
            </w:r>
          </w:p>
        </w:tc>
        <w:tc>
          <w:tcPr>
            <w:tcW w:w="624" w:type="dxa"/>
            <w:tcBorders>
              <w:top w:val="nil"/>
            </w:tcBorders>
          </w:tcPr>
          <w:p w14:paraId="460B7BCA" w14:textId="6FF4DDD4" w:rsidR="0042112E" w:rsidRPr="00ED2B1F" w:rsidRDefault="0042112E" w:rsidP="0042112E">
            <w:pPr>
              <w:pStyle w:val="TableText"/>
              <w:tabs>
                <w:tab w:val="decimal" w:pos="454"/>
              </w:tabs>
              <w:spacing w:before="55" w:after="55"/>
              <w:jc w:val="center"/>
              <w:rPr>
                <w:rFonts w:cs="Segoe UI"/>
              </w:rPr>
            </w:pPr>
            <w:r w:rsidRPr="00ED2B1F">
              <w:t xml:space="preserve"> 6 </w:t>
            </w:r>
          </w:p>
        </w:tc>
        <w:tc>
          <w:tcPr>
            <w:tcW w:w="624" w:type="dxa"/>
            <w:tcBorders>
              <w:top w:val="nil"/>
            </w:tcBorders>
          </w:tcPr>
          <w:p w14:paraId="4198C8E7" w14:textId="038A1E1B" w:rsidR="0042112E" w:rsidRPr="00ED2B1F" w:rsidRDefault="0042112E" w:rsidP="0042112E">
            <w:pPr>
              <w:pStyle w:val="TableText"/>
              <w:spacing w:before="55" w:after="55"/>
              <w:jc w:val="center"/>
              <w:rPr>
                <w:rFonts w:cs="Segoe UI"/>
              </w:rPr>
            </w:pPr>
            <w:r w:rsidRPr="00ED2B1F">
              <w:t xml:space="preserve"> 8 </w:t>
            </w:r>
          </w:p>
        </w:tc>
      </w:tr>
      <w:tr w:rsidR="0042112E" w:rsidRPr="00ED2B1F" w14:paraId="1D2CDEF0" w14:textId="77777777" w:rsidTr="001A63ED">
        <w:trPr>
          <w:cantSplit/>
          <w:trHeight w:val="300"/>
        </w:trPr>
        <w:tc>
          <w:tcPr>
            <w:tcW w:w="1843" w:type="dxa"/>
            <w:tcBorders>
              <w:top w:val="nil"/>
              <w:right w:val="nil"/>
            </w:tcBorders>
          </w:tcPr>
          <w:p w14:paraId="0B0E2E65" w14:textId="77777777" w:rsidR="0042112E" w:rsidRPr="00ED2B1F" w:rsidRDefault="0042112E" w:rsidP="0042112E">
            <w:pPr>
              <w:pStyle w:val="TableText"/>
              <w:spacing w:before="55" w:after="55"/>
              <w:rPr>
                <w:rFonts w:cs="Segoe UI"/>
              </w:rPr>
            </w:pPr>
            <w:r w:rsidRPr="00ED2B1F">
              <w:rPr>
                <w:rFonts w:cs="Segoe UI"/>
              </w:rPr>
              <w:t>Counties Manukau</w:t>
            </w:r>
          </w:p>
        </w:tc>
        <w:tc>
          <w:tcPr>
            <w:tcW w:w="624" w:type="dxa"/>
            <w:tcBorders>
              <w:top w:val="nil"/>
              <w:left w:val="nil"/>
              <w:right w:val="nil"/>
            </w:tcBorders>
          </w:tcPr>
          <w:p w14:paraId="3A168C51" w14:textId="1F44D02B" w:rsidR="0042112E" w:rsidRPr="00ED2B1F" w:rsidRDefault="0042112E" w:rsidP="0042112E">
            <w:pPr>
              <w:pStyle w:val="TableText"/>
              <w:tabs>
                <w:tab w:val="decimal" w:pos="510"/>
              </w:tabs>
              <w:spacing w:before="55" w:after="55"/>
              <w:jc w:val="center"/>
              <w:rPr>
                <w:rFonts w:cs="Segoe UI"/>
              </w:rPr>
            </w:pPr>
            <w:r w:rsidRPr="00ED2B1F">
              <w:t xml:space="preserve"> 56 </w:t>
            </w:r>
          </w:p>
        </w:tc>
        <w:tc>
          <w:tcPr>
            <w:tcW w:w="624" w:type="dxa"/>
            <w:tcBorders>
              <w:top w:val="nil"/>
              <w:left w:val="nil"/>
              <w:right w:val="nil"/>
            </w:tcBorders>
          </w:tcPr>
          <w:p w14:paraId="0E11DF0A" w14:textId="7981553B" w:rsidR="0042112E" w:rsidRPr="00ED2B1F" w:rsidRDefault="0042112E" w:rsidP="0042112E">
            <w:pPr>
              <w:pStyle w:val="TableText"/>
              <w:tabs>
                <w:tab w:val="decimal" w:pos="510"/>
              </w:tabs>
              <w:spacing w:before="55" w:after="55"/>
              <w:jc w:val="center"/>
              <w:rPr>
                <w:rFonts w:cs="Segoe UI"/>
              </w:rPr>
            </w:pPr>
            <w:r w:rsidRPr="00ED2B1F">
              <w:t xml:space="preserve"> 14 </w:t>
            </w:r>
          </w:p>
        </w:tc>
        <w:tc>
          <w:tcPr>
            <w:tcW w:w="624" w:type="dxa"/>
            <w:tcBorders>
              <w:top w:val="nil"/>
              <w:left w:val="nil"/>
            </w:tcBorders>
          </w:tcPr>
          <w:p w14:paraId="5EA62D6A" w14:textId="1BAC6BD9" w:rsidR="0042112E" w:rsidRPr="00ED2B1F" w:rsidRDefault="0042112E" w:rsidP="0042112E">
            <w:pPr>
              <w:pStyle w:val="TableText"/>
              <w:tabs>
                <w:tab w:val="decimal" w:pos="454"/>
              </w:tabs>
              <w:spacing w:before="55" w:after="55"/>
              <w:jc w:val="center"/>
              <w:rPr>
                <w:rFonts w:cs="Segoe UI"/>
              </w:rPr>
            </w:pPr>
            <w:r w:rsidRPr="00ED2B1F">
              <w:t xml:space="preserve"> 1 </w:t>
            </w:r>
          </w:p>
        </w:tc>
        <w:tc>
          <w:tcPr>
            <w:tcW w:w="426" w:type="dxa"/>
            <w:tcBorders>
              <w:top w:val="nil"/>
              <w:bottom w:val="nil"/>
            </w:tcBorders>
          </w:tcPr>
          <w:p w14:paraId="282930D9"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4F43B98A" w14:textId="77777777" w:rsidR="0042112E" w:rsidRPr="00ED2B1F" w:rsidRDefault="0042112E" w:rsidP="0042112E">
            <w:pPr>
              <w:pStyle w:val="TableText"/>
              <w:spacing w:before="55" w:after="55"/>
              <w:jc w:val="both"/>
              <w:rPr>
                <w:rFonts w:cs="Segoe UI"/>
              </w:rPr>
            </w:pPr>
            <w:r w:rsidRPr="00ED2B1F">
              <w:rPr>
                <w:rFonts w:cs="Segoe UI"/>
              </w:rPr>
              <w:t>Taranaki</w:t>
            </w:r>
          </w:p>
        </w:tc>
        <w:tc>
          <w:tcPr>
            <w:tcW w:w="624" w:type="dxa"/>
            <w:tcBorders>
              <w:top w:val="nil"/>
            </w:tcBorders>
          </w:tcPr>
          <w:p w14:paraId="7431D2A0" w14:textId="79FF4578" w:rsidR="0042112E" w:rsidRPr="00ED2B1F" w:rsidRDefault="0042112E" w:rsidP="0042112E">
            <w:pPr>
              <w:pStyle w:val="TableText"/>
              <w:tabs>
                <w:tab w:val="decimal" w:pos="454"/>
              </w:tabs>
              <w:spacing w:before="55" w:after="55"/>
              <w:jc w:val="center"/>
            </w:pPr>
            <w:r w:rsidRPr="00ED2B1F">
              <w:t xml:space="preserve"> 102 </w:t>
            </w:r>
          </w:p>
        </w:tc>
        <w:tc>
          <w:tcPr>
            <w:tcW w:w="624" w:type="dxa"/>
            <w:tcBorders>
              <w:top w:val="nil"/>
            </w:tcBorders>
          </w:tcPr>
          <w:p w14:paraId="366A28C1" w14:textId="66EEF233" w:rsidR="0042112E" w:rsidRPr="00ED2B1F" w:rsidRDefault="0042112E" w:rsidP="0042112E">
            <w:pPr>
              <w:pStyle w:val="TableText"/>
              <w:tabs>
                <w:tab w:val="decimal" w:pos="454"/>
              </w:tabs>
              <w:spacing w:before="55" w:after="55"/>
              <w:jc w:val="center"/>
              <w:rPr>
                <w:rFonts w:cs="Segoe UI"/>
              </w:rPr>
            </w:pPr>
            <w:r w:rsidRPr="00ED2B1F">
              <w:t xml:space="preserve"> 3 </w:t>
            </w:r>
          </w:p>
        </w:tc>
        <w:tc>
          <w:tcPr>
            <w:tcW w:w="624" w:type="dxa"/>
            <w:tcBorders>
              <w:top w:val="nil"/>
            </w:tcBorders>
          </w:tcPr>
          <w:p w14:paraId="21AA4BDB" w14:textId="1ADF19C9" w:rsidR="0042112E" w:rsidRPr="00ED2B1F" w:rsidRDefault="0042112E" w:rsidP="0042112E">
            <w:pPr>
              <w:pStyle w:val="TableText"/>
              <w:spacing w:before="55" w:after="55"/>
              <w:jc w:val="center"/>
              <w:rPr>
                <w:rFonts w:cs="Segoe UI"/>
              </w:rPr>
            </w:pPr>
            <w:r w:rsidRPr="00ED2B1F">
              <w:t xml:space="preserve"> 1 </w:t>
            </w:r>
          </w:p>
        </w:tc>
      </w:tr>
      <w:tr w:rsidR="0042112E" w:rsidRPr="00ED2B1F" w14:paraId="5AAB8211" w14:textId="77777777" w:rsidTr="001A63ED">
        <w:trPr>
          <w:cantSplit/>
          <w:trHeight w:val="300"/>
        </w:trPr>
        <w:tc>
          <w:tcPr>
            <w:tcW w:w="1843" w:type="dxa"/>
            <w:tcBorders>
              <w:top w:val="nil"/>
              <w:right w:val="nil"/>
            </w:tcBorders>
          </w:tcPr>
          <w:p w14:paraId="5D715083" w14:textId="77777777" w:rsidR="0042112E" w:rsidRPr="00ED2B1F" w:rsidRDefault="0042112E" w:rsidP="0042112E">
            <w:pPr>
              <w:pStyle w:val="TableText"/>
              <w:spacing w:before="55" w:after="55"/>
              <w:rPr>
                <w:rFonts w:cs="Segoe UI"/>
              </w:rPr>
            </w:pPr>
            <w:r w:rsidRPr="00ED2B1F">
              <w:rPr>
                <w:rFonts w:cs="Segoe UI"/>
              </w:rPr>
              <w:t>Hawke’s Bay</w:t>
            </w:r>
          </w:p>
        </w:tc>
        <w:tc>
          <w:tcPr>
            <w:tcW w:w="624" w:type="dxa"/>
            <w:tcBorders>
              <w:top w:val="nil"/>
              <w:left w:val="nil"/>
              <w:right w:val="nil"/>
            </w:tcBorders>
          </w:tcPr>
          <w:p w14:paraId="5F2A9BB0" w14:textId="7BECFDD2" w:rsidR="0042112E" w:rsidRPr="00ED2B1F" w:rsidRDefault="0042112E" w:rsidP="0042112E">
            <w:pPr>
              <w:pStyle w:val="TableText"/>
              <w:tabs>
                <w:tab w:val="decimal" w:pos="510"/>
              </w:tabs>
              <w:spacing w:before="55" w:after="55"/>
              <w:jc w:val="center"/>
              <w:rPr>
                <w:rFonts w:cs="Segoe UI"/>
              </w:rPr>
            </w:pPr>
            <w:r w:rsidRPr="00ED2B1F">
              <w:t xml:space="preserve"> 205 </w:t>
            </w:r>
          </w:p>
        </w:tc>
        <w:tc>
          <w:tcPr>
            <w:tcW w:w="624" w:type="dxa"/>
            <w:tcBorders>
              <w:top w:val="nil"/>
              <w:left w:val="nil"/>
              <w:right w:val="nil"/>
            </w:tcBorders>
          </w:tcPr>
          <w:p w14:paraId="00A39093" w14:textId="4DD25E45" w:rsidR="0042112E" w:rsidRPr="00ED2B1F" w:rsidRDefault="0042112E" w:rsidP="0042112E">
            <w:pPr>
              <w:pStyle w:val="TableText"/>
              <w:tabs>
                <w:tab w:val="decimal" w:pos="510"/>
              </w:tabs>
              <w:spacing w:before="55" w:after="55"/>
              <w:jc w:val="center"/>
              <w:rPr>
                <w:rFonts w:cs="Segoe UI"/>
              </w:rPr>
            </w:pPr>
            <w:r w:rsidRPr="00ED2B1F">
              <w:t xml:space="preserve"> 29 </w:t>
            </w:r>
          </w:p>
        </w:tc>
        <w:tc>
          <w:tcPr>
            <w:tcW w:w="624" w:type="dxa"/>
            <w:tcBorders>
              <w:top w:val="nil"/>
              <w:left w:val="nil"/>
            </w:tcBorders>
          </w:tcPr>
          <w:p w14:paraId="1DEDFE84" w14:textId="20926C9C" w:rsidR="0042112E" w:rsidRPr="00ED2B1F" w:rsidRDefault="0042112E" w:rsidP="0042112E">
            <w:pPr>
              <w:pStyle w:val="TableText"/>
              <w:tabs>
                <w:tab w:val="decimal" w:pos="454"/>
              </w:tabs>
              <w:spacing w:before="55" w:after="55"/>
              <w:jc w:val="center"/>
              <w:rPr>
                <w:rFonts w:cs="Segoe UI"/>
              </w:rPr>
            </w:pPr>
            <w:r w:rsidRPr="00ED2B1F">
              <w:t xml:space="preserve"> 19 </w:t>
            </w:r>
          </w:p>
        </w:tc>
        <w:tc>
          <w:tcPr>
            <w:tcW w:w="426" w:type="dxa"/>
            <w:tcBorders>
              <w:top w:val="nil"/>
              <w:bottom w:val="nil"/>
            </w:tcBorders>
          </w:tcPr>
          <w:p w14:paraId="4E49E0C0"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03400015" w14:textId="77777777" w:rsidR="0042112E" w:rsidRPr="00ED2B1F" w:rsidRDefault="0042112E" w:rsidP="0042112E">
            <w:pPr>
              <w:pStyle w:val="TableText"/>
              <w:spacing w:before="55" w:after="55"/>
              <w:jc w:val="both"/>
              <w:rPr>
                <w:rFonts w:cs="Segoe UI"/>
              </w:rPr>
            </w:pPr>
            <w:r w:rsidRPr="00ED2B1F">
              <w:rPr>
                <w:rFonts w:cs="Segoe UI"/>
              </w:rPr>
              <w:t>Waikato</w:t>
            </w:r>
          </w:p>
        </w:tc>
        <w:tc>
          <w:tcPr>
            <w:tcW w:w="624" w:type="dxa"/>
            <w:tcBorders>
              <w:top w:val="nil"/>
            </w:tcBorders>
          </w:tcPr>
          <w:p w14:paraId="494FC4A6" w14:textId="28DB1FFF" w:rsidR="0042112E" w:rsidRPr="00ED2B1F" w:rsidRDefault="0042112E" w:rsidP="0042112E">
            <w:pPr>
              <w:pStyle w:val="TableText"/>
              <w:tabs>
                <w:tab w:val="decimal" w:pos="454"/>
              </w:tabs>
              <w:spacing w:before="55" w:after="55"/>
              <w:jc w:val="center"/>
              <w:rPr>
                <w:rFonts w:cs="Segoe UI"/>
              </w:rPr>
            </w:pPr>
            <w:r w:rsidRPr="00ED2B1F">
              <w:t xml:space="preserve"> </w:t>
            </w:r>
            <w:r w:rsidR="006E203B" w:rsidRPr="00ED2B1F">
              <w:t>156</w:t>
            </w:r>
            <w:r w:rsidRPr="00ED2B1F">
              <w:t xml:space="preserve"> </w:t>
            </w:r>
          </w:p>
        </w:tc>
        <w:tc>
          <w:tcPr>
            <w:tcW w:w="624" w:type="dxa"/>
            <w:tcBorders>
              <w:top w:val="nil"/>
            </w:tcBorders>
          </w:tcPr>
          <w:p w14:paraId="1437F5CB" w14:textId="1258A3B9" w:rsidR="0042112E" w:rsidRPr="00ED2B1F" w:rsidRDefault="0042112E" w:rsidP="0042112E">
            <w:pPr>
              <w:pStyle w:val="TableText"/>
              <w:tabs>
                <w:tab w:val="decimal" w:pos="454"/>
              </w:tabs>
              <w:spacing w:before="55" w:after="55"/>
              <w:jc w:val="center"/>
              <w:rPr>
                <w:rFonts w:cs="Segoe UI"/>
              </w:rPr>
            </w:pPr>
            <w:r w:rsidRPr="00ED2B1F">
              <w:t xml:space="preserve"> </w:t>
            </w:r>
            <w:r w:rsidR="00756DD5" w:rsidRPr="00ED2B1F">
              <w:t>31</w:t>
            </w:r>
            <w:r w:rsidRPr="00ED2B1F">
              <w:t xml:space="preserve"> </w:t>
            </w:r>
          </w:p>
        </w:tc>
        <w:tc>
          <w:tcPr>
            <w:tcW w:w="624" w:type="dxa"/>
            <w:tcBorders>
              <w:top w:val="nil"/>
            </w:tcBorders>
          </w:tcPr>
          <w:p w14:paraId="41DD1CED" w14:textId="0341007C" w:rsidR="0042112E" w:rsidRPr="00ED2B1F" w:rsidRDefault="0042112E" w:rsidP="0042112E">
            <w:pPr>
              <w:pStyle w:val="TableText"/>
              <w:spacing w:before="55" w:after="55"/>
              <w:jc w:val="center"/>
              <w:rPr>
                <w:rFonts w:cs="Segoe UI"/>
              </w:rPr>
            </w:pPr>
            <w:r w:rsidRPr="00ED2B1F">
              <w:t xml:space="preserve"> </w:t>
            </w:r>
            <w:r w:rsidR="00756DD5" w:rsidRPr="00ED2B1F">
              <w:t>14</w:t>
            </w:r>
            <w:r w:rsidRPr="00ED2B1F">
              <w:t xml:space="preserve"> </w:t>
            </w:r>
          </w:p>
        </w:tc>
      </w:tr>
      <w:tr w:rsidR="0042112E" w:rsidRPr="00ED2B1F" w14:paraId="48A916D1" w14:textId="77777777" w:rsidTr="001A63ED">
        <w:trPr>
          <w:cantSplit/>
          <w:trHeight w:val="300"/>
        </w:trPr>
        <w:tc>
          <w:tcPr>
            <w:tcW w:w="1843" w:type="dxa"/>
            <w:tcBorders>
              <w:top w:val="nil"/>
              <w:right w:val="nil"/>
            </w:tcBorders>
          </w:tcPr>
          <w:p w14:paraId="00A9BB71" w14:textId="77777777" w:rsidR="0042112E" w:rsidRPr="00ED2B1F" w:rsidRDefault="0042112E" w:rsidP="0042112E">
            <w:pPr>
              <w:pStyle w:val="TableText"/>
              <w:spacing w:before="55" w:after="55"/>
              <w:rPr>
                <w:rFonts w:cs="Segoe UI"/>
              </w:rPr>
            </w:pPr>
            <w:r w:rsidRPr="00ED2B1F">
              <w:rPr>
                <w:rFonts w:cs="Segoe UI"/>
              </w:rPr>
              <w:t>Hutt Valley</w:t>
            </w:r>
          </w:p>
        </w:tc>
        <w:tc>
          <w:tcPr>
            <w:tcW w:w="624" w:type="dxa"/>
            <w:tcBorders>
              <w:top w:val="nil"/>
              <w:left w:val="nil"/>
              <w:right w:val="nil"/>
            </w:tcBorders>
          </w:tcPr>
          <w:p w14:paraId="0A889BCC" w14:textId="5F22EFD6" w:rsidR="0042112E" w:rsidRPr="00ED2B1F" w:rsidRDefault="0042112E" w:rsidP="0042112E">
            <w:pPr>
              <w:pStyle w:val="TableText"/>
              <w:tabs>
                <w:tab w:val="decimal" w:pos="510"/>
              </w:tabs>
              <w:spacing w:before="55" w:after="55"/>
              <w:jc w:val="center"/>
              <w:rPr>
                <w:rFonts w:cs="Segoe UI"/>
              </w:rPr>
            </w:pPr>
            <w:r w:rsidRPr="00ED2B1F">
              <w:t xml:space="preserve"> 74 </w:t>
            </w:r>
          </w:p>
        </w:tc>
        <w:tc>
          <w:tcPr>
            <w:tcW w:w="624" w:type="dxa"/>
            <w:tcBorders>
              <w:top w:val="nil"/>
              <w:left w:val="nil"/>
              <w:right w:val="nil"/>
            </w:tcBorders>
          </w:tcPr>
          <w:p w14:paraId="35CD8800" w14:textId="43791964" w:rsidR="0042112E" w:rsidRPr="00ED2B1F" w:rsidRDefault="0042112E" w:rsidP="0042112E">
            <w:pPr>
              <w:pStyle w:val="TableText"/>
              <w:tabs>
                <w:tab w:val="decimal" w:pos="510"/>
              </w:tabs>
              <w:spacing w:before="55" w:after="55"/>
              <w:jc w:val="center"/>
              <w:rPr>
                <w:rFonts w:cs="Segoe UI"/>
              </w:rPr>
            </w:pPr>
            <w:r w:rsidRPr="00ED2B1F">
              <w:t xml:space="preserve"> 11 </w:t>
            </w:r>
          </w:p>
        </w:tc>
        <w:tc>
          <w:tcPr>
            <w:tcW w:w="624" w:type="dxa"/>
            <w:tcBorders>
              <w:top w:val="nil"/>
              <w:left w:val="nil"/>
            </w:tcBorders>
          </w:tcPr>
          <w:p w14:paraId="28E73165" w14:textId="5E3C3EDC" w:rsidR="0042112E" w:rsidRPr="00ED2B1F" w:rsidRDefault="0042112E" w:rsidP="0042112E">
            <w:pPr>
              <w:pStyle w:val="TableText"/>
              <w:tabs>
                <w:tab w:val="decimal" w:pos="454"/>
              </w:tabs>
              <w:spacing w:before="55" w:after="55"/>
              <w:jc w:val="center"/>
              <w:rPr>
                <w:rFonts w:cs="Segoe UI"/>
              </w:rPr>
            </w:pPr>
            <w:r w:rsidRPr="00ED2B1F">
              <w:t xml:space="preserve"> 2 </w:t>
            </w:r>
          </w:p>
        </w:tc>
        <w:tc>
          <w:tcPr>
            <w:tcW w:w="426" w:type="dxa"/>
            <w:tcBorders>
              <w:top w:val="nil"/>
              <w:bottom w:val="nil"/>
            </w:tcBorders>
          </w:tcPr>
          <w:p w14:paraId="485EB320"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740ABEBE" w14:textId="77777777" w:rsidR="0042112E" w:rsidRPr="00ED2B1F" w:rsidRDefault="0042112E" w:rsidP="0042112E">
            <w:pPr>
              <w:pStyle w:val="TableText"/>
              <w:spacing w:before="55" w:after="55"/>
              <w:jc w:val="both"/>
              <w:rPr>
                <w:rFonts w:cs="Segoe UI"/>
              </w:rPr>
            </w:pPr>
            <w:r w:rsidRPr="00ED2B1F">
              <w:rPr>
                <w:rFonts w:cs="Segoe UI"/>
              </w:rPr>
              <w:t>Wairarapa</w:t>
            </w:r>
          </w:p>
        </w:tc>
        <w:tc>
          <w:tcPr>
            <w:tcW w:w="624" w:type="dxa"/>
            <w:tcBorders>
              <w:top w:val="nil"/>
            </w:tcBorders>
          </w:tcPr>
          <w:p w14:paraId="5B448358" w14:textId="5D612DD1" w:rsidR="0042112E" w:rsidRPr="00ED2B1F" w:rsidRDefault="0042112E" w:rsidP="0042112E">
            <w:pPr>
              <w:pStyle w:val="TableText"/>
              <w:tabs>
                <w:tab w:val="decimal" w:pos="454"/>
              </w:tabs>
              <w:spacing w:before="55" w:after="55"/>
              <w:jc w:val="center"/>
              <w:rPr>
                <w:rFonts w:cs="Segoe UI"/>
              </w:rPr>
            </w:pPr>
            <w:r w:rsidRPr="00ED2B1F">
              <w:t xml:space="preserve"> 72 </w:t>
            </w:r>
          </w:p>
        </w:tc>
        <w:tc>
          <w:tcPr>
            <w:tcW w:w="624" w:type="dxa"/>
            <w:tcBorders>
              <w:top w:val="nil"/>
            </w:tcBorders>
          </w:tcPr>
          <w:p w14:paraId="6E6FBEC7" w14:textId="70A7F9A5" w:rsidR="0042112E" w:rsidRPr="00ED2B1F" w:rsidRDefault="0042112E" w:rsidP="0042112E">
            <w:pPr>
              <w:pStyle w:val="TableText"/>
              <w:tabs>
                <w:tab w:val="decimal" w:pos="454"/>
              </w:tabs>
              <w:spacing w:before="55" w:after="55"/>
              <w:jc w:val="center"/>
              <w:rPr>
                <w:rFonts w:cs="Segoe UI"/>
              </w:rPr>
            </w:pPr>
            <w:r w:rsidRPr="00ED2B1F">
              <w:t xml:space="preserve"> 6 </w:t>
            </w:r>
          </w:p>
        </w:tc>
        <w:tc>
          <w:tcPr>
            <w:tcW w:w="624" w:type="dxa"/>
            <w:tcBorders>
              <w:top w:val="nil"/>
            </w:tcBorders>
          </w:tcPr>
          <w:p w14:paraId="4FF6C324" w14:textId="135B93AE" w:rsidR="0042112E" w:rsidRPr="00ED2B1F" w:rsidRDefault="0042112E" w:rsidP="0042112E">
            <w:pPr>
              <w:pStyle w:val="TableText"/>
              <w:spacing w:before="55" w:after="55"/>
              <w:jc w:val="center"/>
              <w:rPr>
                <w:rFonts w:cs="Segoe UI"/>
              </w:rPr>
            </w:pPr>
            <w:r w:rsidRPr="00ED2B1F">
              <w:t xml:space="preserve"> 2 </w:t>
            </w:r>
          </w:p>
        </w:tc>
      </w:tr>
      <w:tr w:rsidR="0042112E" w:rsidRPr="00ED2B1F" w14:paraId="00BB854E" w14:textId="77777777" w:rsidTr="001A63ED">
        <w:trPr>
          <w:cantSplit/>
          <w:trHeight w:val="300"/>
        </w:trPr>
        <w:tc>
          <w:tcPr>
            <w:tcW w:w="1843" w:type="dxa"/>
            <w:tcBorders>
              <w:top w:val="nil"/>
              <w:right w:val="nil"/>
            </w:tcBorders>
          </w:tcPr>
          <w:p w14:paraId="19DD287E" w14:textId="77777777" w:rsidR="0042112E" w:rsidRPr="00ED2B1F" w:rsidRDefault="0042112E" w:rsidP="0042112E">
            <w:pPr>
              <w:pStyle w:val="TableText"/>
              <w:spacing w:before="55" w:after="55"/>
              <w:rPr>
                <w:rFonts w:cs="Segoe UI"/>
              </w:rPr>
            </w:pPr>
            <w:r w:rsidRPr="00ED2B1F">
              <w:rPr>
                <w:rFonts w:cs="Segoe UI"/>
              </w:rPr>
              <w:t>Lakes</w:t>
            </w:r>
          </w:p>
        </w:tc>
        <w:tc>
          <w:tcPr>
            <w:tcW w:w="624" w:type="dxa"/>
            <w:tcBorders>
              <w:top w:val="nil"/>
              <w:left w:val="nil"/>
              <w:right w:val="nil"/>
            </w:tcBorders>
          </w:tcPr>
          <w:p w14:paraId="54673813" w14:textId="4089A4A7" w:rsidR="0042112E" w:rsidRPr="00ED2B1F" w:rsidRDefault="0042112E" w:rsidP="0042112E">
            <w:pPr>
              <w:pStyle w:val="TableText"/>
              <w:tabs>
                <w:tab w:val="decimal" w:pos="510"/>
              </w:tabs>
              <w:spacing w:before="55" w:after="55"/>
              <w:jc w:val="center"/>
              <w:rPr>
                <w:rFonts w:cs="Segoe UI"/>
              </w:rPr>
            </w:pPr>
            <w:r w:rsidRPr="00ED2B1F">
              <w:t xml:space="preserve"> 78 </w:t>
            </w:r>
          </w:p>
        </w:tc>
        <w:tc>
          <w:tcPr>
            <w:tcW w:w="624" w:type="dxa"/>
            <w:tcBorders>
              <w:top w:val="nil"/>
              <w:left w:val="nil"/>
              <w:right w:val="nil"/>
            </w:tcBorders>
          </w:tcPr>
          <w:p w14:paraId="16DF03A0" w14:textId="6BB8379E" w:rsidR="0042112E" w:rsidRPr="00ED2B1F" w:rsidRDefault="0042112E" w:rsidP="0042112E">
            <w:pPr>
              <w:pStyle w:val="TableText"/>
              <w:tabs>
                <w:tab w:val="decimal" w:pos="510"/>
              </w:tabs>
              <w:spacing w:before="55" w:after="55"/>
              <w:jc w:val="center"/>
              <w:rPr>
                <w:rFonts w:cs="Segoe UI"/>
              </w:rPr>
            </w:pPr>
            <w:r w:rsidRPr="00ED2B1F">
              <w:t xml:space="preserve"> 10 </w:t>
            </w:r>
          </w:p>
        </w:tc>
        <w:tc>
          <w:tcPr>
            <w:tcW w:w="624" w:type="dxa"/>
            <w:tcBorders>
              <w:top w:val="nil"/>
              <w:left w:val="nil"/>
            </w:tcBorders>
          </w:tcPr>
          <w:p w14:paraId="049AD8FC" w14:textId="1CF2F7B1" w:rsidR="0042112E" w:rsidRPr="00ED2B1F" w:rsidRDefault="0042112E" w:rsidP="0042112E">
            <w:pPr>
              <w:pStyle w:val="TableText"/>
              <w:tabs>
                <w:tab w:val="decimal" w:pos="454"/>
              </w:tabs>
              <w:spacing w:before="55" w:after="55"/>
              <w:jc w:val="center"/>
              <w:rPr>
                <w:rFonts w:cs="Segoe UI"/>
              </w:rPr>
            </w:pPr>
            <w:r w:rsidRPr="00ED2B1F">
              <w:t xml:space="preserve"> 4 </w:t>
            </w:r>
          </w:p>
        </w:tc>
        <w:tc>
          <w:tcPr>
            <w:tcW w:w="426" w:type="dxa"/>
            <w:tcBorders>
              <w:top w:val="nil"/>
              <w:bottom w:val="nil"/>
            </w:tcBorders>
          </w:tcPr>
          <w:p w14:paraId="4382F671"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12351E0D" w14:textId="77777777" w:rsidR="0042112E" w:rsidRPr="00ED2B1F" w:rsidRDefault="0042112E" w:rsidP="0042112E">
            <w:pPr>
              <w:pStyle w:val="TableText"/>
              <w:spacing w:before="55" w:after="55"/>
              <w:jc w:val="both"/>
              <w:rPr>
                <w:rFonts w:cs="Segoe UI"/>
              </w:rPr>
            </w:pPr>
            <w:r w:rsidRPr="00ED2B1F">
              <w:rPr>
                <w:rFonts w:cs="Segoe UI"/>
              </w:rPr>
              <w:t>Waitematā</w:t>
            </w:r>
          </w:p>
        </w:tc>
        <w:tc>
          <w:tcPr>
            <w:tcW w:w="624" w:type="dxa"/>
            <w:tcBorders>
              <w:top w:val="nil"/>
            </w:tcBorders>
          </w:tcPr>
          <w:p w14:paraId="1ACE99C3" w14:textId="742C5967" w:rsidR="0042112E" w:rsidRPr="00ED2B1F" w:rsidRDefault="0042112E" w:rsidP="0042112E">
            <w:pPr>
              <w:pStyle w:val="TableText"/>
              <w:tabs>
                <w:tab w:val="decimal" w:pos="454"/>
              </w:tabs>
              <w:spacing w:before="55" w:after="55"/>
              <w:jc w:val="center"/>
              <w:rPr>
                <w:rFonts w:cs="Segoe UI"/>
              </w:rPr>
            </w:pPr>
            <w:r w:rsidRPr="00ED2B1F">
              <w:t xml:space="preserve"> 80 </w:t>
            </w:r>
          </w:p>
        </w:tc>
        <w:tc>
          <w:tcPr>
            <w:tcW w:w="624" w:type="dxa"/>
            <w:tcBorders>
              <w:top w:val="nil"/>
            </w:tcBorders>
          </w:tcPr>
          <w:p w14:paraId="02ED9ACC" w14:textId="12DEB214" w:rsidR="0042112E" w:rsidRPr="00ED2B1F" w:rsidRDefault="0042112E" w:rsidP="0042112E">
            <w:pPr>
              <w:pStyle w:val="TableText"/>
              <w:tabs>
                <w:tab w:val="decimal" w:pos="454"/>
              </w:tabs>
              <w:spacing w:before="55" w:after="55"/>
              <w:jc w:val="center"/>
              <w:rPr>
                <w:rFonts w:cs="Segoe UI"/>
              </w:rPr>
            </w:pPr>
            <w:r w:rsidRPr="00ED2B1F">
              <w:t xml:space="preserve"> 9 </w:t>
            </w:r>
          </w:p>
        </w:tc>
        <w:tc>
          <w:tcPr>
            <w:tcW w:w="624" w:type="dxa"/>
            <w:tcBorders>
              <w:top w:val="nil"/>
            </w:tcBorders>
          </w:tcPr>
          <w:p w14:paraId="70582620" w14:textId="04803F02" w:rsidR="0042112E" w:rsidRPr="00ED2B1F" w:rsidRDefault="0042112E" w:rsidP="0042112E">
            <w:pPr>
              <w:pStyle w:val="TableText"/>
              <w:spacing w:before="55" w:after="55"/>
              <w:jc w:val="center"/>
            </w:pPr>
            <w:r w:rsidRPr="00ED2B1F">
              <w:t xml:space="preserve"> 1 </w:t>
            </w:r>
          </w:p>
        </w:tc>
      </w:tr>
      <w:tr w:rsidR="0042112E" w:rsidRPr="00ED2B1F" w14:paraId="298B20D5" w14:textId="77777777" w:rsidTr="001A63ED">
        <w:trPr>
          <w:cantSplit/>
          <w:trHeight w:val="300"/>
        </w:trPr>
        <w:tc>
          <w:tcPr>
            <w:tcW w:w="1843" w:type="dxa"/>
            <w:tcBorders>
              <w:top w:val="nil"/>
              <w:right w:val="nil"/>
            </w:tcBorders>
          </w:tcPr>
          <w:p w14:paraId="34F5A620" w14:textId="77777777" w:rsidR="0042112E" w:rsidRPr="00ED2B1F" w:rsidRDefault="0042112E" w:rsidP="0042112E">
            <w:pPr>
              <w:pStyle w:val="TableText"/>
              <w:spacing w:before="55" w:after="55"/>
              <w:rPr>
                <w:rFonts w:cs="Segoe UI"/>
              </w:rPr>
            </w:pPr>
            <w:r w:rsidRPr="00ED2B1F">
              <w:rPr>
                <w:rFonts w:cs="Segoe UI"/>
              </w:rPr>
              <w:t>MidCentral</w:t>
            </w:r>
          </w:p>
        </w:tc>
        <w:tc>
          <w:tcPr>
            <w:tcW w:w="624" w:type="dxa"/>
            <w:tcBorders>
              <w:top w:val="nil"/>
              <w:left w:val="nil"/>
              <w:right w:val="nil"/>
            </w:tcBorders>
          </w:tcPr>
          <w:p w14:paraId="4EF2FA95" w14:textId="55052644" w:rsidR="0042112E" w:rsidRPr="00ED2B1F" w:rsidRDefault="0042112E" w:rsidP="0042112E">
            <w:pPr>
              <w:pStyle w:val="TableText"/>
              <w:tabs>
                <w:tab w:val="decimal" w:pos="510"/>
              </w:tabs>
              <w:spacing w:before="55" w:after="55"/>
              <w:jc w:val="center"/>
              <w:rPr>
                <w:rFonts w:cs="Segoe UI"/>
              </w:rPr>
            </w:pPr>
            <w:r w:rsidRPr="00ED2B1F">
              <w:t xml:space="preserve"> 130 </w:t>
            </w:r>
          </w:p>
        </w:tc>
        <w:tc>
          <w:tcPr>
            <w:tcW w:w="624" w:type="dxa"/>
            <w:tcBorders>
              <w:top w:val="nil"/>
              <w:left w:val="nil"/>
              <w:right w:val="nil"/>
            </w:tcBorders>
          </w:tcPr>
          <w:p w14:paraId="5A840D1E" w14:textId="34AD06A8" w:rsidR="0042112E" w:rsidRPr="00ED2B1F" w:rsidRDefault="0042112E" w:rsidP="0042112E">
            <w:pPr>
              <w:pStyle w:val="TableText"/>
              <w:tabs>
                <w:tab w:val="decimal" w:pos="510"/>
              </w:tabs>
              <w:spacing w:before="55" w:after="55"/>
              <w:jc w:val="center"/>
              <w:rPr>
                <w:rFonts w:cs="Segoe UI"/>
              </w:rPr>
            </w:pPr>
            <w:r w:rsidRPr="00ED2B1F">
              <w:t xml:space="preserve"> 15 </w:t>
            </w:r>
          </w:p>
        </w:tc>
        <w:tc>
          <w:tcPr>
            <w:tcW w:w="624" w:type="dxa"/>
            <w:tcBorders>
              <w:top w:val="nil"/>
              <w:left w:val="nil"/>
            </w:tcBorders>
          </w:tcPr>
          <w:p w14:paraId="16F8181C" w14:textId="656381DE" w:rsidR="0042112E" w:rsidRPr="00ED2B1F" w:rsidRDefault="0042112E" w:rsidP="0042112E">
            <w:pPr>
              <w:pStyle w:val="TableText"/>
              <w:tabs>
                <w:tab w:val="decimal" w:pos="454"/>
              </w:tabs>
              <w:spacing w:before="55" w:after="55"/>
              <w:jc w:val="center"/>
              <w:rPr>
                <w:rFonts w:cs="Segoe UI"/>
              </w:rPr>
            </w:pPr>
            <w:r w:rsidRPr="00ED2B1F">
              <w:t xml:space="preserve"> 4 </w:t>
            </w:r>
          </w:p>
        </w:tc>
        <w:tc>
          <w:tcPr>
            <w:tcW w:w="426" w:type="dxa"/>
            <w:tcBorders>
              <w:top w:val="nil"/>
              <w:bottom w:val="nil"/>
            </w:tcBorders>
          </w:tcPr>
          <w:p w14:paraId="46C1A657"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0E172BFA" w14:textId="77777777" w:rsidR="0042112E" w:rsidRPr="00ED2B1F" w:rsidRDefault="0042112E" w:rsidP="0042112E">
            <w:pPr>
              <w:pStyle w:val="TableText"/>
              <w:spacing w:before="55" w:after="55"/>
              <w:jc w:val="both"/>
              <w:rPr>
                <w:rFonts w:cs="Segoe UI"/>
              </w:rPr>
            </w:pPr>
            <w:r w:rsidRPr="00ED2B1F">
              <w:rPr>
                <w:rFonts w:cs="Segoe UI"/>
              </w:rPr>
              <w:t>West Coast</w:t>
            </w:r>
          </w:p>
        </w:tc>
        <w:tc>
          <w:tcPr>
            <w:tcW w:w="624" w:type="dxa"/>
            <w:tcBorders>
              <w:top w:val="nil"/>
            </w:tcBorders>
          </w:tcPr>
          <w:p w14:paraId="29FEDD87" w14:textId="3D030DB0" w:rsidR="0042112E" w:rsidRPr="00ED2B1F" w:rsidRDefault="0042112E" w:rsidP="0042112E">
            <w:pPr>
              <w:pStyle w:val="TableText"/>
              <w:tabs>
                <w:tab w:val="decimal" w:pos="454"/>
              </w:tabs>
              <w:spacing w:before="55" w:after="55"/>
              <w:jc w:val="center"/>
            </w:pPr>
            <w:r w:rsidRPr="00ED2B1F">
              <w:t xml:space="preserve"> 65 </w:t>
            </w:r>
          </w:p>
        </w:tc>
        <w:tc>
          <w:tcPr>
            <w:tcW w:w="624" w:type="dxa"/>
            <w:tcBorders>
              <w:top w:val="nil"/>
            </w:tcBorders>
          </w:tcPr>
          <w:p w14:paraId="3185575D" w14:textId="00203B1D" w:rsidR="0042112E" w:rsidRPr="00ED2B1F" w:rsidRDefault="0042112E" w:rsidP="0042112E">
            <w:pPr>
              <w:pStyle w:val="TableText"/>
              <w:tabs>
                <w:tab w:val="decimal" w:pos="454"/>
              </w:tabs>
              <w:spacing w:before="55" w:after="55"/>
              <w:jc w:val="center"/>
              <w:rPr>
                <w:rFonts w:cs="Segoe UI"/>
              </w:rPr>
            </w:pPr>
            <w:r w:rsidRPr="00ED2B1F">
              <w:t xml:space="preserve"> </w:t>
            </w:r>
            <w:r w:rsidR="00756DD5" w:rsidRPr="00ED2B1F">
              <w:t>3</w:t>
            </w:r>
            <w:r w:rsidRPr="00ED2B1F">
              <w:t xml:space="preserve"> </w:t>
            </w:r>
          </w:p>
        </w:tc>
        <w:tc>
          <w:tcPr>
            <w:tcW w:w="624" w:type="dxa"/>
            <w:tcBorders>
              <w:top w:val="nil"/>
            </w:tcBorders>
          </w:tcPr>
          <w:p w14:paraId="63756406" w14:textId="55D0BC18" w:rsidR="0042112E" w:rsidRPr="00ED2B1F" w:rsidRDefault="0042112E" w:rsidP="0042112E">
            <w:pPr>
              <w:pStyle w:val="TableText"/>
              <w:spacing w:before="55" w:after="55"/>
              <w:jc w:val="center"/>
              <w:rPr>
                <w:rFonts w:cs="Segoe UI"/>
              </w:rPr>
            </w:pPr>
            <w:r w:rsidRPr="00ED2B1F">
              <w:t xml:space="preserve"> </w:t>
            </w:r>
            <w:r w:rsidR="00756DD5" w:rsidRPr="00ED2B1F">
              <w:t>3</w:t>
            </w:r>
            <w:r w:rsidRPr="00ED2B1F">
              <w:t xml:space="preserve"> </w:t>
            </w:r>
          </w:p>
        </w:tc>
      </w:tr>
      <w:tr w:rsidR="0042112E" w:rsidRPr="00ED2B1F" w14:paraId="0FF3B3F1" w14:textId="77777777" w:rsidTr="001A63ED">
        <w:trPr>
          <w:cantSplit/>
          <w:trHeight w:val="300"/>
        </w:trPr>
        <w:tc>
          <w:tcPr>
            <w:tcW w:w="1843" w:type="dxa"/>
            <w:tcBorders>
              <w:top w:val="nil"/>
              <w:bottom w:val="single" w:sz="4" w:space="0" w:color="A6A6A6" w:themeColor="background1" w:themeShade="A6"/>
              <w:right w:val="nil"/>
            </w:tcBorders>
          </w:tcPr>
          <w:p w14:paraId="59775F5F" w14:textId="77777777" w:rsidR="0042112E" w:rsidRPr="00ED2B1F" w:rsidRDefault="0042112E" w:rsidP="0042112E">
            <w:pPr>
              <w:pStyle w:val="TableText"/>
              <w:spacing w:before="55" w:after="55"/>
              <w:rPr>
                <w:rFonts w:cs="Segoe UI"/>
              </w:rPr>
            </w:pPr>
            <w:r w:rsidRPr="00ED2B1F">
              <w:rPr>
                <w:rFonts w:cs="Segoe UI"/>
              </w:rPr>
              <w:t>Nelson Marlborough</w:t>
            </w:r>
          </w:p>
        </w:tc>
        <w:tc>
          <w:tcPr>
            <w:tcW w:w="624" w:type="dxa"/>
            <w:tcBorders>
              <w:top w:val="nil"/>
              <w:left w:val="nil"/>
              <w:bottom w:val="single" w:sz="4" w:space="0" w:color="A6A6A6" w:themeColor="background1" w:themeShade="A6"/>
              <w:right w:val="nil"/>
            </w:tcBorders>
          </w:tcPr>
          <w:p w14:paraId="5392B11A" w14:textId="5393678B" w:rsidR="0042112E" w:rsidRPr="00ED2B1F" w:rsidRDefault="0042112E" w:rsidP="0042112E">
            <w:pPr>
              <w:pStyle w:val="TableText"/>
              <w:tabs>
                <w:tab w:val="decimal" w:pos="510"/>
              </w:tabs>
              <w:spacing w:before="55" w:after="55"/>
              <w:jc w:val="center"/>
              <w:rPr>
                <w:rFonts w:cs="Segoe UI"/>
              </w:rPr>
            </w:pPr>
            <w:r w:rsidRPr="00ED2B1F">
              <w:t xml:space="preserve"> 63 </w:t>
            </w:r>
          </w:p>
        </w:tc>
        <w:tc>
          <w:tcPr>
            <w:tcW w:w="624" w:type="dxa"/>
            <w:tcBorders>
              <w:top w:val="nil"/>
              <w:left w:val="nil"/>
              <w:bottom w:val="single" w:sz="4" w:space="0" w:color="A6A6A6" w:themeColor="background1" w:themeShade="A6"/>
              <w:right w:val="nil"/>
            </w:tcBorders>
          </w:tcPr>
          <w:p w14:paraId="3DA11A5F" w14:textId="2236A7CC" w:rsidR="0042112E" w:rsidRPr="00ED2B1F" w:rsidRDefault="0042112E" w:rsidP="0042112E">
            <w:pPr>
              <w:pStyle w:val="TableText"/>
              <w:tabs>
                <w:tab w:val="decimal" w:pos="510"/>
              </w:tabs>
              <w:spacing w:before="55" w:after="55"/>
              <w:jc w:val="center"/>
              <w:rPr>
                <w:rFonts w:cs="Segoe UI"/>
              </w:rPr>
            </w:pPr>
            <w:r w:rsidRPr="00ED2B1F">
              <w:t xml:space="preserve"> 10 </w:t>
            </w:r>
          </w:p>
        </w:tc>
        <w:tc>
          <w:tcPr>
            <w:tcW w:w="624" w:type="dxa"/>
            <w:tcBorders>
              <w:top w:val="nil"/>
              <w:left w:val="nil"/>
              <w:bottom w:val="single" w:sz="4" w:space="0" w:color="A6A6A6" w:themeColor="background1" w:themeShade="A6"/>
            </w:tcBorders>
          </w:tcPr>
          <w:p w14:paraId="687D85E0" w14:textId="3A953FB5" w:rsidR="0042112E" w:rsidRPr="00ED2B1F" w:rsidRDefault="0042112E" w:rsidP="0042112E">
            <w:pPr>
              <w:pStyle w:val="TableText"/>
              <w:tabs>
                <w:tab w:val="decimal" w:pos="454"/>
              </w:tabs>
              <w:spacing w:before="55" w:after="55"/>
              <w:jc w:val="center"/>
              <w:rPr>
                <w:rFonts w:cs="Segoe UI"/>
              </w:rPr>
            </w:pPr>
            <w:r w:rsidRPr="00ED2B1F">
              <w:t xml:space="preserve"> 4 </w:t>
            </w:r>
          </w:p>
        </w:tc>
        <w:tc>
          <w:tcPr>
            <w:tcW w:w="426" w:type="dxa"/>
            <w:tcBorders>
              <w:top w:val="nil"/>
              <w:bottom w:val="nil"/>
            </w:tcBorders>
          </w:tcPr>
          <w:p w14:paraId="3285DAA3"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54216725" w14:textId="77777777" w:rsidR="0042112E" w:rsidRPr="00ED2B1F" w:rsidRDefault="0042112E" w:rsidP="0042112E">
            <w:pPr>
              <w:pStyle w:val="TableText"/>
              <w:spacing w:before="55" w:after="55"/>
              <w:jc w:val="both"/>
              <w:rPr>
                <w:rFonts w:cs="Segoe UI"/>
              </w:rPr>
            </w:pPr>
            <w:r w:rsidRPr="00ED2B1F">
              <w:rPr>
                <w:rFonts w:cs="Segoe UI"/>
              </w:rPr>
              <w:t>Whanganui</w:t>
            </w:r>
          </w:p>
        </w:tc>
        <w:tc>
          <w:tcPr>
            <w:tcW w:w="624" w:type="dxa"/>
            <w:tcBorders>
              <w:top w:val="nil"/>
            </w:tcBorders>
          </w:tcPr>
          <w:p w14:paraId="207EDEAB" w14:textId="66BE2BB2" w:rsidR="0042112E" w:rsidRPr="00ED2B1F" w:rsidRDefault="0042112E" w:rsidP="0042112E">
            <w:pPr>
              <w:pStyle w:val="TableText"/>
              <w:tabs>
                <w:tab w:val="decimal" w:pos="454"/>
              </w:tabs>
              <w:spacing w:before="55" w:after="55"/>
              <w:jc w:val="center"/>
              <w:rPr>
                <w:rFonts w:cs="Segoe UI"/>
              </w:rPr>
            </w:pPr>
            <w:r w:rsidRPr="00ED2B1F">
              <w:t xml:space="preserve"> 124 </w:t>
            </w:r>
          </w:p>
        </w:tc>
        <w:tc>
          <w:tcPr>
            <w:tcW w:w="624" w:type="dxa"/>
            <w:tcBorders>
              <w:top w:val="nil"/>
            </w:tcBorders>
          </w:tcPr>
          <w:p w14:paraId="3E3112FF" w14:textId="289F2E6C" w:rsidR="0042112E" w:rsidRPr="00ED2B1F" w:rsidRDefault="0042112E" w:rsidP="0042112E">
            <w:pPr>
              <w:pStyle w:val="TableText"/>
              <w:tabs>
                <w:tab w:val="decimal" w:pos="454"/>
              </w:tabs>
              <w:spacing w:before="55" w:after="55"/>
              <w:jc w:val="center"/>
              <w:rPr>
                <w:rFonts w:cs="Segoe UI"/>
              </w:rPr>
            </w:pPr>
            <w:r w:rsidRPr="00ED2B1F">
              <w:t xml:space="preserve"> 21 </w:t>
            </w:r>
          </w:p>
        </w:tc>
        <w:tc>
          <w:tcPr>
            <w:tcW w:w="624" w:type="dxa"/>
            <w:tcBorders>
              <w:top w:val="nil"/>
            </w:tcBorders>
          </w:tcPr>
          <w:p w14:paraId="7BB2A869" w14:textId="1B2F5E9B" w:rsidR="0042112E" w:rsidRPr="00ED2B1F" w:rsidRDefault="0042112E" w:rsidP="0042112E">
            <w:pPr>
              <w:pStyle w:val="TableText"/>
              <w:spacing w:before="55" w:after="55"/>
              <w:jc w:val="center"/>
              <w:rPr>
                <w:rFonts w:cs="Segoe UI"/>
              </w:rPr>
            </w:pPr>
            <w:r w:rsidRPr="00ED2B1F">
              <w:t xml:space="preserve"> 5 </w:t>
            </w:r>
          </w:p>
        </w:tc>
      </w:tr>
      <w:tr w:rsidR="0042112E" w:rsidRPr="00ED2B1F" w14:paraId="643093E2" w14:textId="77777777" w:rsidTr="001A63ED">
        <w:trPr>
          <w:cantSplit/>
          <w:trHeight w:val="300"/>
        </w:trPr>
        <w:tc>
          <w:tcPr>
            <w:tcW w:w="1843" w:type="dxa"/>
            <w:tcBorders>
              <w:top w:val="single" w:sz="4" w:space="0" w:color="A6A6A6" w:themeColor="background1" w:themeShade="A6"/>
              <w:bottom w:val="nil"/>
              <w:right w:val="nil"/>
            </w:tcBorders>
          </w:tcPr>
          <w:p w14:paraId="134AD854" w14:textId="77777777" w:rsidR="0042112E" w:rsidRPr="00ED2B1F" w:rsidRDefault="0042112E" w:rsidP="0042112E">
            <w:pPr>
              <w:pStyle w:val="TableText"/>
              <w:spacing w:before="55" w:after="55"/>
              <w:rPr>
                <w:rFonts w:cs="Segoe UI"/>
              </w:rPr>
            </w:pPr>
          </w:p>
        </w:tc>
        <w:tc>
          <w:tcPr>
            <w:tcW w:w="624" w:type="dxa"/>
            <w:tcBorders>
              <w:top w:val="single" w:sz="4" w:space="0" w:color="A6A6A6" w:themeColor="background1" w:themeShade="A6"/>
              <w:left w:val="nil"/>
              <w:bottom w:val="nil"/>
              <w:right w:val="nil"/>
            </w:tcBorders>
          </w:tcPr>
          <w:p w14:paraId="3959D5B3" w14:textId="77777777" w:rsidR="0042112E" w:rsidRPr="00ED2B1F" w:rsidRDefault="0042112E" w:rsidP="0042112E">
            <w:pPr>
              <w:pStyle w:val="TableText"/>
              <w:tabs>
                <w:tab w:val="decimal" w:pos="636"/>
              </w:tabs>
              <w:spacing w:before="55" w:after="55"/>
              <w:rPr>
                <w:rFonts w:cs="Segoe UI"/>
              </w:rPr>
            </w:pPr>
          </w:p>
        </w:tc>
        <w:tc>
          <w:tcPr>
            <w:tcW w:w="624" w:type="dxa"/>
            <w:tcBorders>
              <w:top w:val="single" w:sz="4" w:space="0" w:color="A6A6A6" w:themeColor="background1" w:themeShade="A6"/>
              <w:left w:val="nil"/>
              <w:bottom w:val="nil"/>
              <w:right w:val="nil"/>
            </w:tcBorders>
          </w:tcPr>
          <w:p w14:paraId="4667FCEF" w14:textId="77777777" w:rsidR="0042112E" w:rsidRPr="00ED2B1F" w:rsidRDefault="0042112E" w:rsidP="0042112E">
            <w:pPr>
              <w:pStyle w:val="TableText"/>
              <w:tabs>
                <w:tab w:val="decimal" w:pos="636"/>
              </w:tabs>
              <w:spacing w:before="55" w:after="55"/>
              <w:rPr>
                <w:rFonts w:cs="Segoe UI"/>
              </w:rPr>
            </w:pPr>
          </w:p>
        </w:tc>
        <w:tc>
          <w:tcPr>
            <w:tcW w:w="624" w:type="dxa"/>
            <w:tcBorders>
              <w:top w:val="single" w:sz="4" w:space="0" w:color="A6A6A6" w:themeColor="background1" w:themeShade="A6"/>
              <w:left w:val="nil"/>
              <w:bottom w:val="nil"/>
            </w:tcBorders>
          </w:tcPr>
          <w:p w14:paraId="1E5F2C8D" w14:textId="77777777" w:rsidR="0042112E" w:rsidRPr="00ED2B1F" w:rsidRDefault="0042112E" w:rsidP="0042112E">
            <w:pPr>
              <w:pStyle w:val="TableText"/>
              <w:tabs>
                <w:tab w:val="decimal" w:pos="636"/>
              </w:tabs>
              <w:spacing w:before="55" w:after="55"/>
              <w:rPr>
                <w:rFonts w:cs="Segoe UI"/>
              </w:rPr>
            </w:pPr>
          </w:p>
        </w:tc>
        <w:tc>
          <w:tcPr>
            <w:tcW w:w="426" w:type="dxa"/>
            <w:tcBorders>
              <w:top w:val="nil"/>
              <w:bottom w:val="nil"/>
            </w:tcBorders>
          </w:tcPr>
          <w:p w14:paraId="443CDAE4" w14:textId="77777777" w:rsidR="0042112E" w:rsidRPr="00ED2B1F" w:rsidRDefault="0042112E" w:rsidP="0042112E">
            <w:pPr>
              <w:pStyle w:val="TableText"/>
              <w:tabs>
                <w:tab w:val="decimal" w:pos="636"/>
              </w:tabs>
              <w:spacing w:before="55" w:after="55"/>
              <w:rPr>
                <w:rFonts w:cs="Segoe UI"/>
              </w:rPr>
            </w:pPr>
          </w:p>
        </w:tc>
        <w:tc>
          <w:tcPr>
            <w:tcW w:w="1843" w:type="dxa"/>
            <w:tcBorders>
              <w:top w:val="nil"/>
            </w:tcBorders>
          </w:tcPr>
          <w:p w14:paraId="6DA6231C" w14:textId="77777777" w:rsidR="0042112E" w:rsidRPr="00ED2B1F" w:rsidRDefault="0042112E" w:rsidP="0042112E">
            <w:pPr>
              <w:pStyle w:val="TableText"/>
              <w:spacing w:before="55" w:after="55"/>
              <w:jc w:val="both"/>
              <w:rPr>
                <w:rFonts w:cs="Segoe UI"/>
                <w:b/>
              </w:rPr>
            </w:pPr>
            <w:r w:rsidRPr="00ED2B1F">
              <w:rPr>
                <w:rFonts w:cs="Segoe UI"/>
                <w:b/>
              </w:rPr>
              <w:t>National average</w:t>
            </w:r>
          </w:p>
        </w:tc>
        <w:tc>
          <w:tcPr>
            <w:tcW w:w="624" w:type="dxa"/>
            <w:tcBorders>
              <w:top w:val="nil"/>
            </w:tcBorders>
          </w:tcPr>
          <w:p w14:paraId="199DD18D" w14:textId="726ADAB0" w:rsidR="0042112E" w:rsidRPr="00ED2B1F" w:rsidRDefault="0042112E" w:rsidP="0042112E">
            <w:pPr>
              <w:pStyle w:val="TableText"/>
              <w:tabs>
                <w:tab w:val="decimal" w:pos="454"/>
              </w:tabs>
              <w:spacing w:before="55" w:after="55"/>
              <w:jc w:val="center"/>
              <w:rPr>
                <w:rFonts w:cs="Segoe UI"/>
                <w:b/>
              </w:rPr>
            </w:pPr>
            <w:r w:rsidRPr="00ED2B1F">
              <w:rPr>
                <w:b/>
              </w:rPr>
              <w:t xml:space="preserve"> </w:t>
            </w:r>
            <w:r w:rsidR="00756DD5" w:rsidRPr="00ED2B1F">
              <w:rPr>
                <w:b/>
              </w:rPr>
              <w:t>90</w:t>
            </w:r>
            <w:r w:rsidRPr="00ED2B1F">
              <w:rPr>
                <w:b/>
              </w:rPr>
              <w:t xml:space="preserve"> </w:t>
            </w:r>
          </w:p>
        </w:tc>
        <w:tc>
          <w:tcPr>
            <w:tcW w:w="624" w:type="dxa"/>
            <w:tcBorders>
              <w:top w:val="nil"/>
            </w:tcBorders>
          </w:tcPr>
          <w:p w14:paraId="567CC2BF" w14:textId="3346C41E" w:rsidR="0042112E" w:rsidRPr="00ED2B1F" w:rsidRDefault="0042112E" w:rsidP="0042112E">
            <w:pPr>
              <w:pStyle w:val="TableText"/>
              <w:tabs>
                <w:tab w:val="decimal" w:pos="454"/>
              </w:tabs>
              <w:spacing w:before="55" w:after="55"/>
              <w:jc w:val="center"/>
              <w:rPr>
                <w:rFonts w:cs="Segoe UI"/>
                <w:b/>
              </w:rPr>
            </w:pPr>
            <w:r w:rsidRPr="00ED2B1F">
              <w:rPr>
                <w:b/>
              </w:rPr>
              <w:t xml:space="preserve"> </w:t>
            </w:r>
            <w:r w:rsidR="00756DD5" w:rsidRPr="00ED2B1F">
              <w:rPr>
                <w:b/>
              </w:rPr>
              <w:t>15</w:t>
            </w:r>
            <w:r w:rsidRPr="00ED2B1F">
              <w:rPr>
                <w:b/>
              </w:rPr>
              <w:t xml:space="preserve"> </w:t>
            </w:r>
          </w:p>
        </w:tc>
        <w:tc>
          <w:tcPr>
            <w:tcW w:w="624" w:type="dxa"/>
            <w:tcBorders>
              <w:top w:val="nil"/>
            </w:tcBorders>
          </w:tcPr>
          <w:p w14:paraId="0B47FFE4" w14:textId="2A6DE431" w:rsidR="0042112E" w:rsidRPr="00ED2B1F" w:rsidRDefault="0042112E" w:rsidP="0042112E">
            <w:pPr>
              <w:pStyle w:val="TableText"/>
              <w:spacing w:before="55" w:after="55"/>
              <w:jc w:val="center"/>
              <w:rPr>
                <w:rFonts w:cs="Segoe UI"/>
                <w:b/>
              </w:rPr>
            </w:pPr>
            <w:r w:rsidRPr="00ED2B1F">
              <w:rPr>
                <w:b/>
              </w:rPr>
              <w:t xml:space="preserve"> 5 </w:t>
            </w:r>
          </w:p>
        </w:tc>
      </w:tr>
    </w:tbl>
    <w:p w14:paraId="36A63EF0" w14:textId="77777777" w:rsidR="00753A1F" w:rsidRPr="00ED2B1F" w:rsidRDefault="00753A1F" w:rsidP="00753A1F">
      <w:pPr>
        <w:pStyle w:val="Note"/>
      </w:pPr>
      <w:r w:rsidRPr="00ED2B1F">
        <w:t>Note: ‘On a given day’ is the average of the last day of each month.</w:t>
      </w:r>
    </w:p>
    <w:p w14:paraId="22C93E01" w14:textId="5E9C9003" w:rsidR="00753A1F" w:rsidRPr="00ED2B1F" w:rsidRDefault="00753A1F" w:rsidP="00753A1F">
      <w:pPr>
        <w:pStyle w:val="Source"/>
        <w:rPr>
          <w:rFonts w:eastAsia="Arial Unicode MS"/>
        </w:rPr>
      </w:pPr>
      <w:r w:rsidRPr="00ED2B1F">
        <w:t>Sources</w:t>
      </w:r>
      <w:r w:rsidRPr="00ED2B1F">
        <w:rPr>
          <w:rFonts w:eastAsia="Arial Unicode MS"/>
        </w:rPr>
        <w:t xml:space="preserve">: PRIMHD data (extracted </w:t>
      </w:r>
      <w:r w:rsidR="00955846" w:rsidRPr="00ED2B1F">
        <w:rPr>
          <w:rFonts w:eastAsia="Arial Unicode MS"/>
        </w:rPr>
        <w:t>10 June 2025</w:t>
      </w:r>
      <w:r w:rsidRPr="00ED2B1F">
        <w:rPr>
          <w:rFonts w:eastAsia="Arial Unicode MS"/>
        </w:rPr>
        <w:t xml:space="preserve">) and manual data for Health New Zealand </w:t>
      </w:r>
      <w:r w:rsidR="0042112E" w:rsidRPr="00ED2B1F">
        <w:rPr>
          <w:rFonts w:eastAsia="Arial Unicode MS"/>
        </w:rPr>
        <w:t>Bay of Plenty, Capital &amp; Coast, Hawke’s Bay, MidCentral, Southern, Tairāwhiti, Waitematā and Waikato.</w:t>
      </w:r>
    </w:p>
    <w:p w14:paraId="615083E3" w14:textId="77777777" w:rsidR="0020129A" w:rsidRPr="00ED2B1F" w:rsidRDefault="0020129A" w:rsidP="0020129A"/>
    <w:p w14:paraId="39EACEC8" w14:textId="48AC7E0A" w:rsidR="0054602A" w:rsidRPr="00ED2B1F" w:rsidRDefault="00753A1F" w:rsidP="00C103C7">
      <w:pPr>
        <w:pStyle w:val="Figure"/>
      </w:pPr>
      <w:bookmarkStart w:id="54" w:name="_Ref65671612"/>
      <w:bookmarkStart w:id="55" w:name="Figure3"/>
      <w:bookmarkStart w:id="56" w:name="_Toc63764742"/>
      <w:bookmarkStart w:id="57" w:name="_Toc75176471"/>
      <w:bookmarkStart w:id="58" w:name="_Toc85442561"/>
      <w:bookmarkStart w:id="59" w:name="_Toc85445903"/>
      <w:bookmarkStart w:id="60" w:name="_Toc87429952"/>
      <w:bookmarkStart w:id="61" w:name="_Toc88561384"/>
      <w:bookmarkStart w:id="62" w:name="_Toc115188842"/>
      <w:bookmarkStart w:id="63" w:name="_Toc142314684"/>
      <w:bookmarkStart w:id="64" w:name="_Toc145394268"/>
      <w:bookmarkStart w:id="65" w:name="_Toc189053944"/>
      <w:bookmarkStart w:id="66" w:name="_Toc224638175"/>
      <w:r w:rsidRPr="00ED2B1F">
        <w:t>Figure </w:t>
      </w:r>
      <w:r w:rsidRPr="00ED2B1F">
        <w:fldChar w:fldCharType="begin"/>
      </w:r>
      <w:r w:rsidRPr="00ED2B1F">
        <w:instrText>SEQ Figure \* ARABIC</w:instrText>
      </w:r>
      <w:r w:rsidRPr="00ED2B1F">
        <w:fldChar w:fldCharType="separate"/>
      </w:r>
      <w:r w:rsidR="00484E57">
        <w:rPr>
          <w:noProof/>
        </w:rPr>
        <w:t>3</w:t>
      </w:r>
      <w:r w:rsidRPr="00ED2B1F">
        <w:fldChar w:fldCharType="end"/>
      </w:r>
      <w:bookmarkEnd w:id="54"/>
      <w:bookmarkEnd w:id="55"/>
      <w:r w:rsidRPr="00ED2B1F">
        <w:t xml:space="preserve">: Average number of people on a given day subject to a community treatment order (section 29) per 100,000 population, by district, </w:t>
      </w:r>
      <w:bookmarkEnd w:id="56"/>
      <w:bookmarkEnd w:id="57"/>
      <w:bookmarkEnd w:id="58"/>
      <w:bookmarkEnd w:id="59"/>
      <w:bookmarkEnd w:id="60"/>
      <w:bookmarkEnd w:id="61"/>
      <w:bookmarkEnd w:id="62"/>
      <w:bookmarkEnd w:id="63"/>
      <w:bookmarkEnd w:id="64"/>
      <w:bookmarkEnd w:id="65"/>
      <w:r w:rsidR="00211D17" w:rsidRPr="00ED2B1F">
        <w:t>1 July 2023 to 30</w:t>
      </w:r>
      <w:r w:rsidR="00930CDC" w:rsidRPr="00ED2B1F">
        <w:t> </w:t>
      </w:r>
      <w:r w:rsidR="00211D17" w:rsidRPr="00ED2B1F">
        <w:t>June 2024</w:t>
      </w:r>
      <w:bookmarkEnd w:id="66"/>
    </w:p>
    <w:p w14:paraId="4C31B32C" w14:textId="63B96462" w:rsidR="00753A1F" w:rsidRPr="00187C14" w:rsidRDefault="00CC12F1" w:rsidP="00187C14">
      <w:pPr>
        <w:rPr>
          <w:rFonts w:eastAsia="MS Gothic"/>
        </w:rPr>
      </w:pPr>
      <w:r>
        <w:rPr>
          <w:rFonts w:eastAsia="MS Gothic"/>
          <w:noProof/>
        </w:rPr>
        <w:drawing>
          <wp:inline distT="0" distB="0" distL="0" distR="0" wp14:anchorId="500B49E9" wp14:editId="44A1447A">
            <wp:extent cx="5133340" cy="2932430"/>
            <wp:effectExtent l="0" t="0" r="0" b="1270"/>
            <wp:docPr id="4627160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6010" name="Picture 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340" cy="2932430"/>
                    </a:xfrm>
                    <a:prstGeom prst="rect">
                      <a:avLst/>
                    </a:prstGeom>
                    <a:noFill/>
                  </pic:spPr>
                </pic:pic>
              </a:graphicData>
            </a:graphic>
          </wp:inline>
        </w:drawing>
      </w:r>
    </w:p>
    <w:p w14:paraId="56A0D0CF" w14:textId="3D24BC45" w:rsidR="00753A1F" w:rsidRPr="00ED2B1F" w:rsidRDefault="00753A1F" w:rsidP="00753A1F">
      <w:pPr>
        <w:pStyle w:val="Note"/>
        <w:rPr>
          <w:rStyle w:val="FootnoteTextChar"/>
          <w:rFonts w:eastAsia="MS Gothic"/>
        </w:rPr>
      </w:pPr>
      <w:r w:rsidRPr="00ED2B1F">
        <w:rPr>
          <w:rStyle w:val="FootnoteTextChar"/>
          <w:rFonts w:eastAsia="MS Gothic"/>
        </w:rPr>
        <w:t xml:space="preserve">Notes: ‘On a given day’ is the average of the last day of each month. In this figure, the confidence intervals (for 99% confidence, </w:t>
      </w:r>
      <w:r w:rsidRPr="00ED2B1F">
        <w:t>shown as vertical lines through the blue diamond markers</w:t>
      </w:r>
      <w:r w:rsidRPr="00ED2B1F">
        <w:rPr>
          <w:rStyle w:val="FootnoteTextChar"/>
          <w:rFonts w:eastAsia="MS Gothic"/>
        </w:rPr>
        <w:t>) can help with interpreting the data. Where a district’s confidence interval crosses the national average, that means its rate was not different from the average</w:t>
      </w:r>
      <w:r w:rsidR="006F4B34" w:rsidRPr="00ED2B1F">
        <w:rPr>
          <w:rStyle w:val="FootnoteTextChar"/>
          <w:rFonts w:eastAsia="MS Gothic"/>
        </w:rPr>
        <w:t xml:space="preserve"> at a statistically significant level</w:t>
      </w:r>
      <w:r w:rsidRPr="00ED2B1F">
        <w:rPr>
          <w:rStyle w:val="FootnoteTextChar"/>
          <w:rFonts w:eastAsia="MS Gothic"/>
        </w:rPr>
        <w:t>.</w:t>
      </w:r>
    </w:p>
    <w:p w14:paraId="7277818B" w14:textId="72D1AA53" w:rsidR="00753A1F" w:rsidRPr="00ED2B1F" w:rsidRDefault="00753A1F" w:rsidP="00753A1F">
      <w:pPr>
        <w:pStyle w:val="Source"/>
        <w:rPr>
          <w:rStyle w:val="FootnoteTextChar"/>
          <w:rFonts w:eastAsia="MS Gothic"/>
        </w:rPr>
      </w:pPr>
      <w:r w:rsidRPr="00ED2B1F">
        <w:rPr>
          <w:rStyle w:val="FootnoteTextChar"/>
          <w:rFonts w:eastAsia="MS Gothic"/>
        </w:rPr>
        <w:t xml:space="preserve">Sources: </w:t>
      </w:r>
      <w:r w:rsidRPr="00ED2B1F">
        <w:rPr>
          <w:rFonts w:eastAsia="Arial Unicode MS"/>
        </w:rPr>
        <w:t xml:space="preserve">PRIMHD data (extracted </w:t>
      </w:r>
      <w:r w:rsidR="00955846" w:rsidRPr="00ED2B1F">
        <w:rPr>
          <w:rFonts w:eastAsia="Arial Unicode MS"/>
        </w:rPr>
        <w:t>10 June 2025</w:t>
      </w:r>
      <w:r w:rsidRPr="00ED2B1F">
        <w:rPr>
          <w:rFonts w:eastAsia="Arial Unicode MS"/>
        </w:rPr>
        <w:t xml:space="preserve">) and manual data for Health New Zealand </w:t>
      </w:r>
      <w:r w:rsidR="008F4AFC" w:rsidRPr="00ED2B1F">
        <w:rPr>
          <w:rFonts w:eastAsia="Arial Unicode MS"/>
        </w:rPr>
        <w:t>Bay of Plenty, Capital &amp; Coast, Hawke’s Bay, MidCentral, Southern, Tairāwhiti and Waikato.</w:t>
      </w:r>
    </w:p>
    <w:p w14:paraId="6DB1A45C" w14:textId="77777777" w:rsidR="00753A1F" w:rsidRPr="00ED2B1F" w:rsidRDefault="00753A1F" w:rsidP="00753A1F">
      <w:pPr>
        <w:rPr>
          <w:rFonts w:eastAsia="MS Gothic"/>
        </w:rPr>
      </w:pPr>
    </w:p>
    <w:p w14:paraId="74D15391" w14:textId="61F39E37" w:rsidR="0054602A" w:rsidRPr="00ED2B1F" w:rsidRDefault="00753A1F" w:rsidP="00C103C7">
      <w:pPr>
        <w:pStyle w:val="Figure"/>
      </w:pPr>
      <w:bookmarkStart w:id="67" w:name="_Ref84315824"/>
      <w:bookmarkStart w:id="68" w:name="Figure4"/>
      <w:bookmarkStart w:id="69" w:name="_Toc63764744"/>
      <w:bookmarkStart w:id="70" w:name="_Toc75176472"/>
      <w:bookmarkStart w:id="71" w:name="_Toc85442562"/>
      <w:bookmarkStart w:id="72" w:name="_Toc85445904"/>
      <w:bookmarkStart w:id="73" w:name="_Toc87429953"/>
      <w:bookmarkStart w:id="74" w:name="_Toc88561385"/>
      <w:bookmarkStart w:id="75" w:name="_Toc189053945"/>
      <w:bookmarkStart w:id="76" w:name="_Toc224638176"/>
      <w:r w:rsidRPr="00ED2B1F">
        <w:lastRenderedPageBreak/>
        <w:t>Figure </w:t>
      </w:r>
      <w:r w:rsidRPr="00ED2B1F">
        <w:fldChar w:fldCharType="begin"/>
      </w:r>
      <w:r w:rsidRPr="00ED2B1F">
        <w:instrText>SEQ Figure \* ARABIC</w:instrText>
      </w:r>
      <w:r w:rsidRPr="00ED2B1F">
        <w:fldChar w:fldCharType="separate"/>
      </w:r>
      <w:r w:rsidR="00484E57">
        <w:rPr>
          <w:noProof/>
        </w:rPr>
        <w:t>4</w:t>
      </w:r>
      <w:r w:rsidRPr="00ED2B1F">
        <w:fldChar w:fldCharType="end"/>
      </w:r>
      <w:bookmarkEnd w:id="67"/>
      <w:bookmarkEnd w:id="68"/>
      <w:r w:rsidRPr="00ED2B1F">
        <w:t xml:space="preserve">: Average number of people on a given day subject to an inpatient treatment order (section 30) per 100,000 population, by district, </w:t>
      </w:r>
      <w:bookmarkEnd w:id="69"/>
      <w:bookmarkEnd w:id="70"/>
      <w:bookmarkEnd w:id="71"/>
      <w:bookmarkEnd w:id="72"/>
      <w:bookmarkEnd w:id="73"/>
      <w:bookmarkEnd w:id="74"/>
      <w:bookmarkEnd w:id="75"/>
      <w:r w:rsidR="00211D17" w:rsidRPr="00ED2B1F">
        <w:t>1 July 2023 to 30 June 2024</w:t>
      </w:r>
      <w:bookmarkEnd w:id="76"/>
    </w:p>
    <w:p w14:paraId="4821955B" w14:textId="3A2649ED" w:rsidR="00753A1F" w:rsidRPr="00ED2B1F" w:rsidRDefault="00CC12F1" w:rsidP="006E5151">
      <w:pPr>
        <w:rPr>
          <w:rFonts w:eastAsia="MS Gothic"/>
        </w:rPr>
      </w:pPr>
      <w:r>
        <w:rPr>
          <w:rFonts w:eastAsia="MS Gothic"/>
          <w:noProof/>
        </w:rPr>
        <w:drawing>
          <wp:inline distT="0" distB="0" distL="0" distR="0" wp14:anchorId="2FFD8C95" wp14:editId="6B0D5EA5">
            <wp:extent cx="5133340" cy="2859405"/>
            <wp:effectExtent l="0" t="0" r="0" b="0"/>
            <wp:docPr id="3551199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19921" name="Picture 4">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340" cy="2859405"/>
                    </a:xfrm>
                    <a:prstGeom prst="rect">
                      <a:avLst/>
                    </a:prstGeom>
                    <a:noFill/>
                  </pic:spPr>
                </pic:pic>
              </a:graphicData>
            </a:graphic>
          </wp:inline>
        </w:drawing>
      </w:r>
    </w:p>
    <w:p w14:paraId="5C995745" w14:textId="70802DDB" w:rsidR="00753A1F" w:rsidRPr="00ED2B1F" w:rsidRDefault="00753A1F" w:rsidP="00753A1F">
      <w:pPr>
        <w:pStyle w:val="Note"/>
        <w:rPr>
          <w:rFonts w:eastAsia="MS Gothic"/>
        </w:rPr>
      </w:pPr>
      <w:r w:rsidRPr="00ED2B1F">
        <w:rPr>
          <w:rFonts w:eastAsia="MS Gothic"/>
        </w:rPr>
        <w:t>Notes: ‘On a given day’ is the average of the last day of each month. In this figure, the</w:t>
      </w:r>
      <w:r w:rsidRPr="00ED2B1F" w:rsidDel="000C5841">
        <w:rPr>
          <w:rFonts w:eastAsia="MS Gothic"/>
        </w:rPr>
        <w:t xml:space="preserve"> </w:t>
      </w:r>
      <w:r w:rsidRPr="00ED2B1F">
        <w:rPr>
          <w:rFonts w:eastAsia="MS Gothic"/>
        </w:rPr>
        <w:t xml:space="preserve">confidence intervals (for 99% confidence, </w:t>
      </w:r>
      <w:r w:rsidRPr="00ED2B1F">
        <w:t>shown as vertical lines through the blue diamond markers</w:t>
      </w:r>
      <w:r w:rsidRPr="00ED2B1F">
        <w:rPr>
          <w:rFonts w:eastAsia="MS Gothic"/>
        </w:rPr>
        <w:t>) can help with interpreting the data. Where a district’s confidence interval crosses the national average, that means its rate was not different from the average</w:t>
      </w:r>
      <w:r w:rsidR="006F4B34" w:rsidRPr="00ED2B1F">
        <w:rPr>
          <w:rFonts w:eastAsia="MS Gothic"/>
        </w:rPr>
        <w:t xml:space="preserve"> at a statistically significant level</w:t>
      </w:r>
      <w:r w:rsidRPr="00ED2B1F">
        <w:rPr>
          <w:rFonts w:eastAsia="MS Gothic"/>
        </w:rPr>
        <w:t>.</w:t>
      </w:r>
    </w:p>
    <w:p w14:paraId="004E07BA" w14:textId="006C2692" w:rsidR="00753A1F" w:rsidRPr="00ED2B1F" w:rsidRDefault="00753A1F" w:rsidP="00753A1F">
      <w:pPr>
        <w:pStyle w:val="Note"/>
        <w:rPr>
          <w:rFonts w:eastAsia="MS Gothic"/>
        </w:rPr>
      </w:pPr>
      <w:r w:rsidRPr="00ED2B1F">
        <w:rPr>
          <w:rFonts w:eastAsia="MS Gothic"/>
        </w:rPr>
        <w:t xml:space="preserve">Sources: </w:t>
      </w:r>
      <w:r w:rsidRPr="00ED2B1F">
        <w:rPr>
          <w:rFonts w:eastAsia="Arial Unicode MS"/>
        </w:rPr>
        <w:t xml:space="preserve">PRIMHD data (extracted </w:t>
      </w:r>
      <w:r w:rsidR="00955846" w:rsidRPr="00ED2B1F">
        <w:rPr>
          <w:rFonts w:eastAsia="Arial Unicode MS"/>
        </w:rPr>
        <w:t>10 June 2025</w:t>
      </w:r>
      <w:r w:rsidRPr="00ED2B1F">
        <w:rPr>
          <w:rFonts w:eastAsia="Arial Unicode MS"/>
        </w:rPr>
        <w:t xml:space="preserve">) and manual data for Health New Zealand </w:t>
      </w:r>
      <w:r w:rsidR="00E957D2" w:rsidRPr="00ED2B1F">
        <w:rPr>
          <w:rFonts w:eastAsia="Arial Unicode MS"/>
        </w:rPr>
        <w:t xml:space="preserve">Bay of Plenty, </w:t>
      </w:r>
      <w:r w:rsidR="00FD0A5E">
        <w:rPr>
          <w:rFonts w:eastAsia="Arial Unicode MS"/>
        </w:rPr>
        <w:t xml:space="preserve">Capital &amp; Coast, </w:t>
      </w:r>
      <w:r w:rsidR="00E957D2" w:rsidRPr="00ED2B1F">
        <w:rPr>
          <w:rFonts w:eastAsia="Arial Unicode MS"/>
        </w:rPr>
        <w:t>Hawke’s Bay, MidCentral, Waikato and Waitematā</w:t>
      </w:r>
      <w:r w:rsidRPr="00ED2B1F">
        <w:t>.</w:t>
      </w:r>
    </w:p>
    <w:p w14:paraId="2B52CE47" w14:textId="77777777" w:rsidR="006B1F70" w:rsidRDefault="006B1F70" w:rsidP="007A34A3">
      <w:pPr>
        <w:pStyle w:val="Heading2"/>
        <w:sectPr w:rsidR="006B1F70" w:rsidSect="00753A1F">
          <w:pgSz w:w="11907" w:h="16834" w:code="9"/>
          <w:pgMar w:top="1418" w:right="1701" w:bottom="1134" w:left="1843" w:header="284" w:footer="425" w:gutter="284"/>
          <w:cols w:space="720"/>
        </w:sectPr>
      </w:pPr>
      <w:bookmarkStart w:id="77" w:name="_Toc65141615"/>
      <w:bookmarkStart w:id="78" w:name="_Toc75176438"/>
      <w:bookmarkStart w:id="79" w:name="_Toc87429902"/>
      <w:bookmarkStart w:id="80" w:name="_Toc88826950"/>
      <w:bookmarkStart w:id="81" w:name="_Toc115188800"/>
      <w:bookmarkStart w:id="82" w:name="_Toc145394228"/>
      <w:bookmarkStart w:id="83" w:name="_Toc189053898"/>
    </w:p>
    <w:p w14:paraId="7FECBA1B" w14:textId="23CA6095" w:rsidR="00753A1F" w:rsidRPr="00ED2B1F" w:rsidRDefault="00753A1F" w:rsidP="00871A9D">
      <w:pPr>
        <w:pStyle w:val="Heading2-list"/>
        <w:spacing w:before="0"/>
      </w:pPr>
      <w:r w:rsidRPr="00ED2B1F">
        <w:lastRenderedPageBreak/>
        <w:t>Compulsory treatment by age and gender</w:t>
      </w:r>
      <w:bookmarkEnd w:id="77"/>
      <w:bookmarkEnd w:id="78"/>
      <w:bookmarkEnd w:id="79"/>
      <w:bookmarkEnd w:id="80"/>
      <w:bookmarkEnd w:id="81"/>
      <w:bookmarkEnd w:id="82"/>
      <w:bookmarkEnd w:id="83"/>
    </w:p>
    <w:p w14:paraId="37AC9758" w14:textId="1C824C3E" w:rsidR="00753A1F" w:rsidRPr="00ED2B1F" w:rsidRDefault="00066B9E" w:rsidP="00753A1F">
      <w:r>
        <w:t>Among people aged 15</w:t>
      </w:r>
      <w:r w:rsidR="00610994">
        <w:t xml:space="preserve"> years</w:t>
      </w:r>
      <w:r>
        <w:t xml:space="preserve"> and over, those</w:t>
      </w:r>
      <w:r w:rsidR="00AF1520">
        <w:t xml:space="preserve"> aged</w:t>
      </w:r>
      <w:r w:rsidR="00FA6CF3" w:rsidRPr="00ED2B1F">
        <w:t xml:space="preserve"> </w:t>
      </w:r>
      <w:r w:rsidR="00753A1F" w:rsidRPr="00ED2B1F">
        <w:t>25–34 years were most likely to be subject to a CTO application (</w:t>
      </w:r>
      <w:r w:rsidR="0082094D" w:rsidRPr="00ED2B1F">
        <w:t>239.4</w:t>
      </w:r>
      <w:r w:rsidR="00753A1F" w:rsidRPr="00ED2B1F">
        <w:t xml:space="preserve"> people per 100,000 population). People aged 65 years or over were the least likely (</w:t>
      </w:r>
      <w:r w:rsidR="0082094D" w:rsidRPr="00ED2B1F">
        <w:t>79.5</w:t>
      </w:r>
      <w:r w:rsidR="00753A1F" w:rsidRPr="00ED2B1F">
        <w:t xml:space="preserve"> per 100,000) (</w:t>
      </w:r>
      <w:r w:rsidR="00753A1F" w:rsidRPr="00ED2B1F">
        <w:fldChar w:fldCharType="begin"/>
      </w:r>
      <w:r w:rsidR="00753A1F" w:rsidRPr="00ED2B1F">
        <w:instrText xml:space="preserve"> REF _Ref65671847 \h </w:instrText>
      </w:r>
      <w:r w:rsidR="00753A1F" w:rsidRPr="00ED2B1F">
        <w:fldChar w:fldCharType="separate"/>
      </w:r>
      <w:r w:rsidR="00484E57" w:rsidRPr="00ED2B1F">
        <w:t>Figure </w:t>
      </w:r>
      <w:r w:rsidR="00484E57">
        <w:rPr>
          <w:noProof/>
        </w:rPr>
        <w:t>5</w:t>
      </w:r>
      <w:r w:rsidR="00753A1F" w:rsidRPr="00ED2B1F">
        <w:fldChar w:fldCharType="end"/>
      </w:r>
      <w:r w:rsidR="00753A1F" w:rsidRPr="00ED2B1F">
        <w:t>).</w:t>
      </w:r>
      <w:r w:rsidR="00753A1F" w:rsidRPr="00ED2B1F" w:rsidDel="00D60AB9">
        <w:t xml:space="preserve"> </w:t>
      </w:r>
      <w:r w:rsidR="00D67D5D" w:rsidRPr="00ED2B1F">
        <w:t xml:space="preserve">Overall, 137.5 people per 100,000 </w:t>
      </w:r>
      <w:r w:rsidR="00A05B4A" w:rsidRPr="00ED2B1F">
        <w:t xml:space="preserve">people in the </w:t>
      </w:r>
      <w:r w:rsidR="00D67D5D" w:rsidRPr="00ED2B1F">
        <w:t>general population were subject to an application.</w:t>
      </w:r>
    </w:p>
    <w:p w14:paraId="7336D66B" w14:textId="77777777" w:rsidR="00753A1F" w:rsidRPr="00ED2B1F" w:rsidRDefault="00753A1F" w:rsidP="00753A1F"/>
    <w:p w14:paraId="24CE3F03" w14:textId="5D2B197E" w:rsidR="00753A1F" w:rsidRPr="00ED2B1F" w:rsidRDefault="00753A1F" w:rsidP="00C103C7">
      <w:pPr>
        <w:pStyle w:val="Figure"/>
      </w:pPr>
      <w:bookmarkStart w:id="84" w:name="_Ref65671847"/>
      <w:bookmarkStart w:id="85" w:name="_Toc65574434"/>
      <w:bookmarkStart w:id="86" w:name="_Toc75176473"/>
      <w:bookmarkStart w:id="87" w:name="_Toc85442563"/>
      <w:bookmarkStart w:id="88" w:name="_Toc85445905"/>
      <w:bookmarkStart w:id="89" w:name="_Toc87429954"/>
      <w:bookmarkStart w:id="90" w:name="_Toc88561386"/>
      <w:bookmarkStart w:id="91" w:name="_Toc115188844"/>
      <w:bookmarkStart w:id="92" w:name="_Toc142314686"/>
      <w:bookmarkStart w:id="93" w:name="_Toc145394270"/>
      <w:bookmarkStart w:id="94" w:name="_Toc189053946"/>
      <w:bookmarkStart w:id="95" w:name="_Toc224638177"/>
      <w:r w:rsidRPr="00ED2B1F">
        <w:t>Figure </w:t>
      </w:r>
      <w:r w:rsidRPr="00ED2B1F">
        <w:fldChar w:fldCharType="begin"/>
      </w:r>
      <w:r w:rsidRPr="00ED2B1F">
        <w:instrText>SEQ Figure \* ARABIC</w:instrText>
      </w:r>
      <w:r w:rsidRPr="00ED2B1F">
        <w:fldChar w:fldCharType="separate"/>
      </w:r>
      <w:r w:rsidR="00484E57">
        <w:rPr>
          <w:noProof/>
        </w:rPr>
        <w:t>5</w:t>
      </w:r>
      <w:r w:rsidRPr="00ED2B1F">
        <w:fldChar w:fldCharType="end"/>
      </w:r>
      <w:bookmarkEnd w:id="84"/>
      <w:r w:rsidRPr="00ED2B1F">
        <w:t xml:space="preserve">: </w:t>
      </w:r>
      <w:r w:rsidR="004910D6" w:rsidRPr="00ED2B1F">
        <w:t xml:space="preserve">Rate </w:t>
      </w:r>
      <w:r w:rsidRPr="00ED2B1F">
        <w:t>of people subject to compulsory treatment order applications (including extensions) per 100,000 population, by age group, 200</w:t>
      </w:r>
      <w:r w:rsidR="009B51E4" w:rsidRPr="00ED2B1F">
        <w:t>9</w:t>
      </w:r>
      <w:r w:rsidRPr="00ED2B1F">
        <w:t>/</w:t>
      </w:r>
      <w:r w:rsidR="009B51E4" w:rsidRPr="00ED2B1F">
        <w:t>10</w:t>
      </w:r>
      <w:r w:rsidRPr="00ED2B1F">
        <w:t xml:space="preserve"> to </w:t>
      </w:r>
      <w:bookmarkEnd w:id="85"/>
      <w:bookmarkEnd w:id="86"/>
      <w:bookmarkEnd w:id="87"/>
      <w:bookmarkEnd w:id="88"/>
      <w:bookmarkEnd w:id="89"/>
      <w:bookmarkEnd w:id="90"/>
      <w:bookmarkEnd w:id="91"/>
      <w:bookmarkEnd w:id="92"/>
      <w:bookmarkEnd w:id="93"/>
      <w:bookmarkEnd w:id="94"/>
      <w:r w:rsidR="00211D17" w:rsidRPr="00ED2B1F">
        <w:t>2023/24</w:t>
      </w:r>
      <w:bookmarkEnd w:id="95"/>
    </w:p>
    <w:p w14:paraId="5D5E5C23" w14:textId="1727980A" w:rsidR="00753A1F" w:rsidRPr="00ED2B1F" w:rsidRDefault="00CC12F1" w:rsidP="008571DC">
      <w:pPr>
        <w:rPr>
          <w:rFonts w:eastAsia="Arial Unicode MS"/>
        </w:rPr>
      </w:pPr>
      <w:r>
        <w:rPr>
          <w:rFonts w:eastAsia="Arial Unicode MS"/>
          <w:noProof/>
        </w:rPr>
        <w:drawing>
          <wp:inline distT="0" distB="0" distL="0" distR="0" wp14:anchorId="1C15B0DE" wp14:editId="7AF4D760">
            <wp:extent cx="5133340" cy="2188845"/>
            <wp:effectExtent l="0" t="0" r="0" b="1905"/>
            <wp:docPr id="138125383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3837" name="Picture 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340" cy="2188845"/>
                    </a:xfrm>
                    <a:prstGeom prst="rect">
                      <a:avLst/>
                    </a:prstGeom>
                    <a:noFill/>
                  </pic:spPr>
                </pic:pic>
              </a:graphicData>
            </a:graphic>
          </wp:inline>
        </w:drawing>
      </w:r>
    </w:p>
    <w:p w14:paraId="705599CC" w14:textId="77777777" w:rsidR="00753A1F" w:rsidRPr="00ED2B1F" w:rsidRDefault="00753A1F" w:rsidP="00753A1F">
      <w:pPr>
        <w:pStyle w:val="Note"/>
        <w:rPr>
          <w:rFonts w:eastAsia="MS Gothic"/>
        </w:rPr>
      </w:pPr>
      <w:r w:rsidRPr="00ED2B1F">
        <w:rPr>
          <w:rFonts w:eastAsia="MS Gothic"/>
        </w:rPr>
        <w:t>Notes: This figure is based on data entered into the CMS, which is a live operational database. Figures are subject to minor changes at any time.</w:t>
      </w:r>
    </w:p>
    <w:p w14:paraId="1EFA21C3" w14:textId="65DC38BA" w:rsidR="00753A1F" w:rsidRPr="00ED2B1F" w:rsidRDefault="00753A1F" w:rsidP="00753A1F">
      <w:pPr>
        <w:pStyle w:val="Source"/>
        <w:spacing w:before="0"/>
        <w:rPr>
          <w:rFonts w:eastAsia="MS Gothic"/>
        </w:rPr>
      </w:pPr>
      <w:r w:rsidRPr="00ED2B1F">
        <w:rPr>
          <w:rFonts w:eastAsia="MS Gothic"/>
        </w:rPr>
        <w:t xml:space="preserve">Source: Ministry of Justice Integrated Sector Intelligence System data (extracted </w:t>
      </w:r>
      <w:r w:rsidR="009D2CD4" w:rsidRPr="00ED2B1F">
        <w:rPr>
          <w:rFonts w:eastAsia="MS Gothic"/>
        </w:rPr>
        <w:t>2 December</w:t>
      </w:r>
      <w:r w:rsidR="005B6519" w:rsidRPr="00ED2B1F">
        <w:rPr>
          <w:rFonts w:eastAsia="MS Gothic"/>
        </w:rPr>
        <w:t xml:space="preserve"> 2025</w:t>
      </w:r>
      <w:r w:rsidRPr="00ED2B1F">
        <w:rPr>
          <w:rFonts w:eastAsia="MS Gothic"/>
        </w:rPr>
        <w:t>).</w:t>
      </w:r>
    </w:p>
    <w:p w14:paraId="7CEDE75D" w14:textId="77777777" w:rsidR="00753A1F" w:rsidRPr="00ED2B1F" w:rsidRDefault="00753A1F" w:rsidP="00753A1F"/>
    <w:p w14:paraId="4DD1DD76" w14:textId="22EB76F7" w:rsidR="00753A1F" w:rsidRPr="00ED2B1F" w:rsidRDefault="00753A1F" w:rsidP="00753A1F">
      <w:r w:rsidRPr="00ED2B1F">
        <w:t>Males were more likely to be subject to a CTO application (</w:t>
      </w:r>
      <w:r w:rsidR="00710F4E" w:rsidRPr="00ED2B1F">
        <w:t>151</w:t>
      </w:r>
      <w:r w:rsidR="00F95A81" w:rsidRPr="00ED2B1F">
        <w:t>.0</w:t>
      </w:r>
      <w:r w:rsidR="00884FA1" w:rsidRPr="00ED2B1F">
        <w:t xml:space="preserve"> </w:t>
      </w:r>
      <w:r w:rsidRPr="00ED2B1F">
        <w:t>per 100,000 population) than females (</w:t>
      </w:r>
      <w:r w:rsidR="00710F4E" w:rsidRPr="00ED2B1F">
        <w:t>104</w:t>
      </w:r>
      <w:r w:rsidR="00F95A81" w:rsidRPr="00ED2B1F">
        <w:t>.3</w:t>
      </w:r>
      <w:r w:rsidR="00884FA1" w:rsidRPr="00ED2B1F">
        <w:t xml:space="preserve"> </w:t>
      </w:r>
      <w:r w:rsidRPr="00ED2B1F">
        <w:t xml:space="preserve">per 100,000), as </w:t>
      </w:r>
      <w:r w:rsidRPr="00ED2B1F">
        <w:fldChar w:fldCharType="begin"/>
      </w:r>
      <w:r w:rsidRPr="00ED2B1F">
        <w:instrText xml:space="preserve"> REF _Ref141106763 \h  \* MERGEFORMAT </w:instrText>
      </w:r>
      <w:r w:rsidRPr="00ED2B1F">
        <w:fldChar w:fldCharType="separate"/>
      </w:r>
      <w:r w:rsidR="00484E57" w:rsidRPr="00ED2B1F">
        <w:t>Figure </w:t>
      </w:r>
      <w:r w:rsidR="00484E57">
        <w:t>6</w:t>
      </w:r>
      <w:r w:rsidRPr="00ED2B1F">
        <w:fldChar w:fldCharType="end"/>
      </w:r>
      <w:r w:rsidRPr="00ED2B1F">
        <w:t xml:space="preserve"> shows.</w:t>
      </w:r>
      <w:r w:rsidRPr="00ED2B1F" w:rsidDel="00D60AB9">
        <w:rPr>
          <w:rStyle w:val="FootnoteReference"/>
          <w:rFonts w:cs="Segoe UI"/>
        </w:rPr>
        <w:t xml:space="preserve"> </w:t>
      </w:r>
    </w:p>
    <w:p w14:paraId="0729C951" w14:textId="77777777" w:rsidR="00753A1F" w:rsidRPr="00ED2B1F" w:rsidRDefault="00753A1F" w:rsidP="00753A1F">
      <w:pPr>
        <w:rPr>
          <w:rFonts w:eastAsia="MS Gothic"/>
        </w:rPr>
      </w:pPr>
    </w:p>
    <w:p w14:paraId="065CC00E" w14:textId="1A4ABBB6" w:rsidR="00753A1F" w:rsidRPr="00ED2B1F" w:rsidRDefault="00753A1F" w:rsidP="00C103C7">
      <w:pPr>
        <w:pStyle w:val="Figure"/>
      </w:pPr>
      <w:bookmarkStart w:id="96" w:name="_Ref141106763"/>
      <w:bookmarkStart w:id="97" w:name="_Toc115188845"/>
      <w:bookmarkStart w:id="98" w:name="_Toc142314687"/>
      <w:bookmarkStart w:id="99" w:name="_Toc145394271"/>
      <w:bookmarkStart w:id="100" w:name="_Toc189053947"/>
      <w:bookmarkStart w:id="101" w:name="_Toc224638178"/>
      <w:r w:rsidRPr="00ED2B1F">
        <w:t>Figure </w:t>
      </w:r>
      <w:r w:rsidRPr="00ED2B1F">
        <w:fldChar w:fldCharType="begin"/>
      </w:r>
      <w:r w:rsidRPr="00ED2B1F">
        <w:instrText>SEQ Figure \* ARABIC</w:instrText>
      </w:r>
      <w:r w:rsidRPr="00ED2B1F">
        <w:fldChar w:fldCharType="separate"/>
      </w:r>
      <w:r w:rsidR="00484E57">
        <w:rPr>
          <w:noProof/>
        </w:rPr>
        <w:t>6</w:t>
      </w:r>
      <w:r w:rsidRPr="00ED2B1F">
        <w:fldChar w:fldCharType="end"/>
      </w:r>
      <w:bookmarkEnd w:id="96"/>
      <w:r w:rsidRPr="00ED2B1F">
        <w:t xml:space="preserve">: </w:t>
      </w:r>
      <w:r w:rsidR="00884FA1" w:rsidRPr="00ED2B1F">
        <w:t xml:space="preserve">Rate </w:t>
      </w:r>
      <w:r w:rsidRPr="00ED2B1F">
        <w:t xml:space="preserve">of people subject to compulsory treatment order applications (including extensions) per 100,000 population, by gender, </w:t>
      </w:r>
      <w:bookmarkEnd w:id="97"/>
      <w:r w:rsidRPr="00ED2B1F">
        <w:t>200</w:t>
      </w:r>
      <w:r w:rsidR="00884FA1" w:rsidRPr="00ED2B1F">
        <w:t>9</w:t>
      </w:r>
      <w:r w:rsidRPr="00ED2B1F">
        <w:t>/</w:t>
      </w:r>
      <w:r w:rsidR="00884FA1" w:rsidRPr="00ED2B1F">
        <w:t>10</w:t>
      </w:r>
      <w:r w:rsidRPr="00ED2B1F">
        <w:t xml:space="preserve"> to </w:t>
      </w:r>
      <w:bookmarkEnd w:id="98"/>
      <w:bookmarkEnd w:id="99"/>
      <w:bookmarkEnd w:id="100"/>
      <w:r w:rsidR="00211D17" w:rsidRPr="00ED2B1F">
        <w:t>2023/24</w:t>
      </w:r>
      <w:bookmarkEnd w:id="101"/>
    </w:p>
    <w:p w14:paraId="63525A13" w14:textId="6B74E1C7" w:rsidR="00753A1F" w:rsidRPr="00ED2B1F" w:rsidRDefault="00CC12F1" w:rsidP="00EF6FE5">
      <w:pPr>
        <w:rPr>
          <w:rFonts w:eastAsia="Arial Unicode MS"/>
        </w:rPr>
      </w:pPr>
      <w:r>
        <w:rPr>
          <w:rFonts w:eastAsia="Arial Unicode MS"/>
          <w:noProof/>
        </w:rPr>
        <w:drawing>
          <wp:inline distT="0" distB="0" distL="0" distR="0" wp14:anchorId="441704ED" wp14:editId="1DF76C66">
            <wp:extent cx="5133340" cy="1926590"/>
            <wp:effectExtent l="0" t="0" r="0" b="0"/>
            <wp:docPr id="21274128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12831" name="Picture 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340" cy="1926590"/>
                    </a:xfrm>
                    <a:prstGeom prst="rect">
                      <a:avLst/>
                    </a:prstGeom>
                    <a:noFill/>
                  </pic:spPr>
                </pic:pic>
              </a:graphicData>
            </a:graphic>
          </wp:inline>
        </w:drawing>
      </w:r>
    </w:p>
    <w:p w14:paraId="69566C88" w14:textId="384E4A20" w:rsidR="00753A1F" w:rsidRPr="00ED2B1F" w:rsidRDefault="00753A1F" w:rsidP="00753A1F">
      <w:pPr>
        <w:pStyle w:val="Note"/>
        <w:rPr>
          <w:rFonts w:eastAsia="MS Gothic"/>
        </w:rPr>
      </w:pPr>
      <w:r w:rsidRPr="00ED2B1F">
        <w:rPr>
          <w:rFonts w:eastAsia="MS Gothic"/>
        </w:rPr>
        <w:t>Notes: Due to the design of the system, this figure represents only two gender categories. The CMS includes an ‘other’ category; however, this group is too small to appear here.</w:t>
      </w:r>
    </w:p>
    <w:p w14:paraId="338E913F" w14:textId="613DDA06" w:rsidR="00753A1F" w:rsidRPr="00ED2B1F" w:rsidRDefault="00753A1F" w:rsidP="00753A1F">
      <w:pPr>
        <w:pStyle w:val="Note"/>
        <w:rPr>
          <w:rFonts w:eastAsia="MS Gothic"/>
        </w:rPr>
      </w:pPr>
      <w:r w:rsidRPr="00ED2B1F">
        <w:rPr>
          <w:rFonts w:eastAsia="MS Gothic"/>
        </w:rPr>
        <w:t xml:space="preserve">Source: Ministry of Justice Integrated Sector Intelligence System data (extracted </w:t>
      </w:r>
      <w:r w:rsidR="009D2CD4" w:rsidRPr="00ED2B1F">
        <w:rPr>
          <w:rFonts w:eastAsia="MS Gothic"/>
        </w:rPr>
        <w:t>2 December</w:t>
      </w:r>
      <w:r w:rsidR="005B6519" w:rsidRPr="00ED2B1F">
        <w:rPr>
          <w:rFonts w:eastAsia="MS Gothic"/>
        </w:rPr>
        <w:t xml:space="preserve"> 2025</w:t>
      </w:r>
      <w:r w:rsidRPr="00ED2B1F">
        <w:rPr>
          <w:rFonts w:eastAsia="MS Gothic"/>
        </w:rPr>
        <w:t>).</w:t>
      </w:r>
    </w:p>
    <w:p w14:paraId="3A9168D5" w14:textId="71AF0B53" w:rsidR="00753A1F" w:rsidRPr="00ED2B1F" w:rsidRDefault="00753A1F" w:rsidP="00753A1F">
      <w:pPr>
        <w:rPr>
          <w:rFonts w:eastAsia="Arial Unicode MS"/>
        </w:rPr>
        <w:sectPr w:rsidR="00753A1F" w:rsidRPr="00ED2B1F" w:rsidSect="00753A1F">
          <w:pgSz w:w="11907" w:h="16834" w:code="9"/>
          <w:pgMar w:top="1418" w:right="1701" w:bottom="1134" w:left="1843" w:header="284" w:footer="425" w:gutter="284"/>
          <w:cols w:space="720"/>
        </w:sectPr>
      </w:pPr>
    </w:p>
    <w:p w14:paraId="61547F46" w14:textId="77777777" w:rsidR="00753A1F" w:rsidRPr="00ED2B1F" w:rsidRDefault="00753A1F" w:rsidP="00B05CA9">
      <w:pPr>
        <w:pStyle w:val="Heading1"/>
        <w:spacing w:before="0" w:after="240"/>
      </w:pPr>
      <w:bookmarkStart w:id="102" w:name="_Toc189053899"/>
      <w:bookmarkStart w:id="103" w:name="_Toc224638090"/>
      <w:r w:rsidRPr="00ED2B1F">
        <w:lastRenderedPageBreak/>
        <w:t>Use of the Mental Health Act</w:t>
      </w:r>
      <w:bookmarkEnd w:id="102"/>
      <w:bookmarkEnd w:id="103"/>
    </w:p>
    <w:p w14:paraId="4AA77000" w14:textId="3BE9F5FB" w:rsidR="00753A1F" w:rsidRPr="00ED2B1F" w:rsidRDefault="00753A1F" w:rsidP="00B05CA9">
      <w:pPr>
        <w:ind w:right="-285"/>
      </w:pPr>
      <w:r w:rsidRPr="00ED2B1F">
        <w:t xml:space="preserve">This section presents statistics on people receiving care under the Mental Health Act. This information underlines the need for mental health services to take actions to address the disparity in outcomes for </w:t>
      </w:r>
      <w:r w:rsidR="00067FD7" w:rsidRPr="00ED2B1F">
        <w:t xml:space="preserve">different </w:t>
      </w:r>
      <w:r w:rsidR="00381171" w:rsidRPr="00ED2B1F">
        <w:t>ethnicities</w:t>
      </w:r>
      <w:r w:rsidRPr="00ED2B1F">
        <w:t xml:space="preserve"> in New Zealand.</w:t>
      </w:r>
      <w:r w:rsidR="00490C8C">
        <w:t xml:space="preserve"> </w:t>
      </w:r>
      <w:r w:rsidRPr="00ED2B1F">
        <w:t xml:space="preserve">The following summarises data on the use of the Mental Health Act from </w:t>
      </w:r>
      <w:r w:rsidR="00211D17" w:rsidRPr="00ED2B1F">
        <w:t>1 July 2023 to 30 June 2024</w:t>
      </w:r>
      <w:r w:rsidRPr="00ED2B1F">
        <w:t>.</w:t>
      </w:r>
      <w:r w:rsidRPr="00ED2B1F">
        <w:rPr>
          <w:rStyle w:val="FootnoteReference"/>
        </w:rPr>
        <w:footnoteReference w:id="14"/>
      </w:r>
    </w:p>
    <w:p w14:paraId="14809921" w14:textId="5C8E6D37" w:rsidR="00753A1F" w:rsidRPr="00ED2B1F" w:rsidRDefault="00753A1F" w:rsidP="00753A1F">
      <w:pPr>
        <w:pStyle w:val="Bullet"/>
      </w:pPr>
      <w:r w:rsidRPr="00ED2B1F">
        <w:t>5.8% of Māori accessed specialist mental health and addiction services, compared with 2.</w:t>
      </w:r>
      <w:r w:rsidR="000E360E" w:rsidRPr="00ED2B1F">
        <w:t>8</w:t>
      </w:r>
      <w:r w:rsidRPr="00ED2B1F">
        <w:t>% of non-Māori.</w:t>
      </w:r>
    </w:p>
    <w:p w14:paraId="247F3466" w14:textId="6B4CB8B2" w:rsidR="00753A1F" w:rsidRPr="00ED2B1F" w:rsidRDefault="00753A1F" w:rsidP="00753A1F">
      <w:pPr>
        <w:pStyle w:val="Bullet"/>
      </w:pPr>
      <w:r w:rsidRPr="00ED2B1F">
        <w:t xml:space="preserve">Māori were </w:t>
      </w:r>
      <w:r w:rsidR="008061BB" w:rsidRPr="00ED2B1F">
        <w:t>1.9</w:t>
      </w:r>
      <w:r w:rsidRPr="00ED2B1F">
        <w:t xml:space="preserve"> times more likely than Pacific peoples and </w:t>
      </w:r>
      <w:r w:rsidR="00D37447">
        <w:t>2.3</w:t>
      </w:r>
      <w:r w:rsidRPr="00ED2B1F">
        <w:t xml:space="preserve"> times more likely than other ethnicities to be subject to a community </w:t>
      </w:r>
      <w:r w:rsidR="00563EAD" w:rsidRPr="00ED2B1F">
        <w:t>CTO</w:t>
      </w:r>
      <w:r w:rsidRPr="00ED2B1F">
        <w:t xml:space="preserve"> (section 29).</w:t>
      </w:r>
      <w:r w:rsidRPr="00ED2B1F">
        <w:rPr>
          <w:rStyle w:val="FootnoteReference"/>
        </w:rPr>
        <w:footnoteReference w:id="15"/>
      </w:r>
    </w:p>
    <w:p w14:paraId="3F09E361" w14:textId="1B8BFDB6" w:rsidR="00753A1F" w:rsidRPr="00ED2B1F" w:rsidRDefault="00753A1F" w:rsidP="00753A1F">
      <w:pPr>
        <w:pStyle w:val="Bullet"/>
      </w:pPr>
      <w:r w:rsidRPr="00ED2B1F">
        <w:t>Māori were 1.</w:t>
      </w:r>
      <w:r w:rsidR="00BC3B19" w:rsidRPr="00ED2B1F">
        <w:t>6</w:t>
      </w:r>
      <w:r w:rsidRPr="00ED2B1F">
        <w:t xml:space="preserve"> times more likely than Pacific peoples and </w:t>
      </w:r>
      <w:r w:rsidR="00D37447">
        <w:t>2.1</w:t>
      </w:r>
      <w:r w:rsidRPr="00ED2B1F">
        <w:t xml:space="preserve"> times more likely than other ethnicities to be subject to an inpatient </w:t>
      </w:r>
      <w:r w:rsidR="00563EAD" w:rsidRPr="00ED2B1F">
        <w:t>CTO</w:t>
      </w:r>
      <w:r w:rsidRPr="00ED2B1F">
        <w:t xml:space="preserve"> (section 30).</w:t>
      </w:r>
    </w:p>
    <w:p w14:paraId="3634C60A" w14:textId="0DD22398" w:rsidR="00753A1F" w:rsidRDefault="00753A1F" w:rsidP="00753A1F">
      <w:pPr>
        <w:pStyle w:val="Bullet"/>
      </w:pPr>
      <w:r w:rsidRPr="00ED2B1F">
        <w:t xml:space="preserve">Of all population groups, Māori men were the most likely to be subject to </w:t>
      </w:r>
      <w:r w:rsidR="00563EAD" w:rsidRPr="00ED2B1F">
        <w:t>CTOs</w:t>
      </w:r>
      <w:r w:rsidRPr="00ED2B1F">
        <w:t>.</w:t>
      </w:r>
      <w:r w:rsidR="00D540DC" w:rsidRPr="00ED2B1F">
        <w:t xml:space="preserve"> However, on average,</w:t>
      </w:r>
      <w:r w:rsidRPr="00ED2B1F">
        <w:t xml:space="preserve"> Māori, Pacific peoples and other ethnicities remained on </w:t>
      </w:r>
      <w:r w:rsidR="00563EAD" w:rsidRPr="00ED2B1F">
        <w:t>CTOs</w:t>
      </w:r>
      <w:r w:rsidRPr="00ED2B1F">
        <w:t xml:space="preserve"> for</w:t>
      </w:r>
      <w:r w:rsidR="00EF15D2" w:rsidRPr="00ED2B1F">
        <w:t xml:space="preserve"> a</w:t>
      </w:r>
      <w:r w:rsidRPr="00ED2B1F">
        <w:t xml:space="preserve"> similar length of time.</w:t>
      </w:r>
    </w:p>
    <w:p w14:paraId="22F60CE3" w14:textId="54593655" w:rsidR="006C43B1" w:rsidRPr="00ED2B1F" w:rsidRDefault="006C43B1" w:rsidP="00753A1F">
      <w:pPr>
        <w:pStyle w:val="Bullet"/>
      </w:pPr>
      <w:r w:rsidRPr="00D813C3">
        <w:t>Among service users, 28.8% of Māori, 26.1% of Pacific peoples, 28.5% of Asians and 27.1% of other</w:t>
      </w:r>
      <w:r w:rsidRPr="006C43B1">
        <w:t xml:space="preserve"> </w:t>
      </w:r>
      <w:r w:rsidRPr="00D813C3">
        <w:t xml:space="preserve">ethnicities were aged under 20 years. </w:t>
      </w:r>
      <w:r w:rsidRPr="006C43B1">
        <w:t xml:space="preserve"> </w:t>
      </w:r>
    </w:p>
    <w:p w14:paraId="562C192E" w14:textId="78E0CF34" w:rsidR="00753A1F" w:rsidRPr="00ED2B1F" w:rsidRDefault="00753A1F" w:rsidP="00753A1F">
      <w:pPr>
        <w:pStyle w:val="Bullet"/>
      </w:pPr>
      <w:r w:rsidRPr="00ED2B1F">
        <w:t xml:space="preserve">Among people who were under a community </w:t>
      </w:r>
      <w:r w:rsidR="00563EAD" w:rsidRPr="00ED2B1F">
        <w:t>CTO</w:t>
      </w:r>
      <w:r w:rsidRPr="00ED2B1F">
        <w:t xml:space="preserve">, 47% of Māori and </w:t>
      </w:r>
      <w:r w:rsidR="00B44501" w:rsidRPr="00ED2B1F">
        <w:t>48</w:t>
      </w:r>
      <w:r w:rsidRPr="00ED2B1F">
        <w:t>% of Pacific peoples were living in the most socioeconomically deprived areas (quintile 5), compared with 26% of non-Māori, non-Pacific peoples.</w:t>
      </w:r>
      <w:r w:rsidRPr="00ED2B1F">
        <w:rPr>
          <w:rStyle w:val="FootnoteReference"/>
        </w:rPr>
        <w:footnoteReference w:id="16"/>
      </w:r>
    </w:p>
    <w:p w14:paraId="50934C7E" w14:textId="77777777" w:rsidR="00020F7E" w:rsidRPr="00ED2B1F" w:rsidRDefault="00020F7E" w:rsidP="004D1736">
      <w:pPr>
        <w:pStyle w:val="Bullet"/>
        <w:numPr>
          <w:ilvl w:val="0"/>
          <w:numId w:val="0"/>
        </w:numPr>
        <w:spacing w:before="0"/>
        <w:ind w:left="284" w:hanging="284"/>
      </w:pPr>
    </w:p>
    <w:p w14:paraId="158DD660" w14:textId="5EC2BDC8" w:rsidR="00020F7E" w:rsidRDefault="00020F7E" w:rsidP="00490C8C">
      <w:r w:rsidRPr="00ED2B1F">
        <w:fldChar w:fldCharType="begin"/>
      </w:r>
      <w:r w:rsidRPr="00ED2B1F">
        <w:instrText xml:space="preserve"> REF _Ref214892218 \h </w:instrText>
      </w:r>
      <w:r w:rsidR="00563EAD" w:rsidRPr="00ED2B1F">
        <w:instrText xml:space="preserve"> \* MERGEFORMAT </w:instrText>
      </w:r>
      <w:r w:rsidRPr="00ED2B1F">
        <w:fldChar w:fldCharType="separate"/>
      </w:r>
      <w:r w:rsidR="00484E57" w:rsidRPr="00ED2B1F">
        <w:t xml:space="preserve">Table </w:t>
      </w:r>
      <w:r w:rsidR="00484E57">
        <w:t>3</w:t>
      </w:r>
      <w:r w:rsidRPr="00ED2B1F">
        <w:fldChar w:fldCharType="end"/>
      </w:r>
      <w:r w:rsidR="00381171" w:rsidRPr="00ED2B1F">
        <w:t xml:space="preserve"> shows the </w:t>
      </w:r>
      <w:r w:rsidR="00B5051A" w:rsidRPr="00ED2B1F">
        <w:t>percentage of</w:t>
      </w:r>
      <w:r w:rsidR="00950769" w:rsidRPr="00ED2B1F">
        <w:t xml:space="preserve"> Māori, Pacific peoples, Asians</w:t>
      </w:r>
      <w:r w:rsidR="00FA0C12">
        <w:rPr>
          <w:rStyle w:val="FootnoteReference"/>
        </w:rPr>
        <w:footnoteReference w:id="17"/>
      </w:r>
      <w:r w:rsidR="00FA0C12" w:rsidRPr="00ED2B1F">
        <w:t xml:space="preserve"> </w:t>
      </w:r>
      <w:r w:rsidR="00950769" w:rsidRPr="00ED2B1F">
        <w:t>and other ethnicities</w:t>
      </w:r>
      <w:r w:rsidR="00FA0C12">
        <w:t xml:space="preserve"> </w:t>
      </w:r>
      <w:r w:rsidR="00950769" w:rsidRPr="00ED2B1F">
        <w:t>in</w:t>
      </w:r>
      <w:r w:rsidR="00B5051A" w:rsidRPr="00ED2B1F">
        <w:t xml:space="preserve"> the </w:t>
      </w:r>
      <w:r w:rsidR="00563EAD" w:rsidRPr="00ED2B1F">
        <w:t xml:space="preserve">general population and </w:t>
      </w:r>
      <w:r w:rsidR="00950769" w:rsidRPr="00ED2B1F">
        <w:t xml:space="preserve">in the population of </w:t>
      </w:r>
      <w:r w:rsidR="00563EAD" w:rsidRPr="00ED2B1F">
        <w:t>mental health service user</w:t>
      </w:r>
      <w:r w:rsidR="00950769" w:rsidRPr="00ED2B1F">
        <w:t>s</w:t>
      </w:r>
      <w:r w:rsidR="00563EAD" w:rsidRPr="00ED2B1F">
        <w:t>.</w:t>
      </w:r>
    </w:p>
    <w:p w14:paraId="0ED586DE" w14:textId="77777777" w:rsidR="00B05CA9" w:rsidRPr="00ED2B1F" w:rsidRDefault="00B05CA9" w:rsidP="00490C8C"/>
    <w:p w14:paraId="3D953B30" w14:textId="3EAB6A90" w:rsidR="00063D95" w:rsidRPr="00ED2B1F" w:rsidRDefault="00063D95" w:rsidP="00C103C7">
      <w:pPr>
        <w:pStyle w:val="Table"/>
      </w:pPr>
      <w:bookmarkStart w:id="104" w:name="_Ref214892218"/>
      <w:bookmarkStart w:id="105" w:name="_Toc224638223"/>
      <w:r w:rsidRPr="00ED2B1F">
        <w:t xml:space="preserve">Table </w:t>
      </w:r>
      <w:r w:rsidR="00EC393B">
        <w:fldChar w:fldCharType="begin"/>
      </w:r>
      <w:r w:rsidR="00EC393B">
        <w:instrText xml:space="preserve"> SEQ Table \* ARABIC </w:instrText>
      </w:r>
      <w:r w:rsidR="00EC393B">
        <w:fldChar w:fldCharType="separate"/>
      </w:r>
      <w:r w:rsidR="00484E57">
        <w:rPr>
          <w:noProof/>
        </w:rPr>
        <w:t>3</w:t>
      </w:r>
      <w:r w:rsidR="00EC393B">
        <w:fldChar w:fldCharType="end"/>
      </w:r>
      <w:bookmarkEnd w:id="104"/>
      <w:r w:rsidRPr="00ED2B1F">
        <w:t>: Percentage of</w:t>
      </w:r>
      <w:r w:rsidR="00CF1F85" w:rsidRPr="00ED2B1F">
        <w:t xml:space="preserve"> </w:t>
      </w:r>
      <w:r w:rsidR="00104496" w:rsidRPr="00ED2B1F">
        <w:t>mental health service users, by ethnicity</w:t>
      </w:r>
      <w:r w:rsidR="00CA5F3C" w:rsidRPr="00ED2B1F">
        <w:t>,</w:t>
      </w:r>
      <w:r w:rsidR="00104496" w:rsidRPr="00ED2B1F">
        <w:t xml:space="preserve"> </w:t>
      </w:r>
      <w:r w:rsidR="00107C82" w:rsidRPr="00ED2B1F">
        <w:t xml:space="preserve">1 July </w:t>
      </w:r>
      <w:r w:rsidR="00104496" w:rsidRPr="00ED2B1F">
        <w:t>2023</w:t>
      </w:r>
      <w:r w:rsidR="00107C82" w:rsidRPr="00ED2B1F">
        <w:t xml:space="preserve"> to 30 June 20</w:t>
      </w:r>
      <w:r w:rsidR="00104496" w:rsidRPr="00ED2B1F">
        <w:t>24</w:t>
      </w:r>
      <w:bookmarkEnd w:id="105"/>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331"/>
        <w:gridCol w:w="3331"/>
      </w:tblGrid>
      <w:tr w:rsidR="00D813C3" w:rsidRPr="00ED2B1F" w14:paraId="023E9B76" w14:textId="77777777" w:rsidTr="00B05CA9">
        <w:tc>
          <w:tcPr>
            <w:tcW w:w="1418" w:type="dxa"/>
            <w:shd w:val="clear" w:color="auto" w:fill="D9D9D9" w:themeFill="background1" w:themeFillShade="D9"/>
          </w:tcPr>
          <w:p w14:paraId="7DDF7C2B" w14:textId="2E3E893E" w:rsidR="00D813C3" w:rsidRPr="00A82004" w:rsidRDefault="00D813C3" w:rsidP="00A82004">
            <w:pPr>
              <w:pStyle w:val="TableText"/>
              <w:keepNext/>
              <w:rPr>
                <w:rFonts w:cs="Segoe UI"/>
                <w:b/>
                <w:bCs/>
              </w:rPr>
            </w:pPr>
            <w:r w:rsidRPr="00A82004">
              <w:rPr>
                <w:rFonts w:cs="Segoe UI"/>
                <w:b/>
                <w:bCs/>
              </w:rPr>
              <w:t>Ethnic group</w:t>
            </w:r>
          </w:p>
        </w:tc>
        <w:tc>
          <w:tcPr>
            <w:tcW w:w="3331" w:type="dxa"/>
            <w:shd w:val="clear" w:color="auto" w:fill="D9D9D9" w:themeFill="background1" w:themeFillShade="D9"/>
          </w:tcPr>
          <w:p w14:paraId="01AB846C" w14:textId="1A28A5CD" w:rsidR="00D813C3" w:rsidRPr="00A82004" w:rsidRDefault="00D813C3" w:rsidP="00A82004">
            <w:pPr>
              <w:pStyle w:val="TableText"/>
              <w:keepNext/>
              <w:jc w:val="center"/>
              <w:rPr>
                <w:rFonts w:cs="Segoe UI"/>
                <w:b/>
                <w:bCs/>
              </w:rPr>
            </w:pPr>
            <w:r w:rsidRPr="00A82004">
              <w:rPr>
                <w:rFonts w:cs="Segoe UI"/>
                <w:b/>
                <w:bCs/>
              </w:rPr>
              <w:t>Percentage of New Zealand population</w:t>
            </w:r>
          </w:p>
        </w:tc>
        <w:tc>
          <w:tcPr>
            <w:tcW w:w="3331" w:type="dxa"/>
            <w:shd w:val="clear" w:color="auto" w:fill="D9D9D9" w:themeFill="background1" w:themeFillShade="D9"/>
          </w:tcPr>
          <w:p w14:paraId="2C03CE05" w14:textId="7484714E" w:rsidR="00D813C3" w:rsidRPr="00A82004" w:rsidRDefault="00D813C3" w:rsidP="00A82004">
            <w:pPr>
              <w:pStyle w:val="TableText"/>
              <w:keepNext/>
              <w:jc w:val="center"/>
              <w:rPr>
                <w:rFonts w:cs="Segoe UI"/>
                <w:b/>
                <w:bCs/>
              </w:rPr>
            </w:pPr>
            <w:r w:rsidRPr="00A82004">
              <w:rPr>
                <w:rFonts w:cs="Segoe UI"/>
                <w:b/>
                <w:bCs/>
              </w:rPr>
              <w:t>Percentage of all mental health service users</w:t>
            </w:r>
          </w:p>
        </w:tc>
      </w:tr>
      <w:tr w:rsidR="00D813C3" w:rsidRPr="00ED2B1F" w14:paraId="07A6467E" w14:textId="35FFAFDB" w:rsidTr="00B05CA9">
        <w:tc>
          <w:tcPr>
            <w:tcW w:w="1418" w:type="dxa"/>
            <w:tcBorders>
              <w:bottom w:val="single" w:sz="4" w:space="0" w:color="A6A6A6" w:themeColor="background1" w:themeShade="A6"/>
            </w:tcBorders>
          </w:tcPr>
          <w:p w14:paraId="178D2834" w14:textId="1FCC65EF" w:rsidR="00D813C3" w:rsidRPr="00ED2B1F" w:rsidRDefault="00D813C3" w:rsidP="00A82004">
            <w:pPr>
              <w:pStyle w:val="TableText"/>
              <w:keepNext/>
              <w:rPr>
                <w:rFonts w:cs="Segoe UI"/>
              </w:rPr>
            </w:pPr>
            <w:r w:rsidRPr="00ED2B1F">
              <w:rPr>
                <w:rFonts w:cs="Segoe UI"/>
              </w:rPr>
              <w:t>Māori</w:t>
            </w:r>
          </w:p>
        </w:tc>
        <w:tc>
          <w:tcPr>
            <w:tcW w:w="3331" w:type="dxa"/>
            <w:tcBorders>
              <w:bottom w:val="single" w:sz="4" w:space="0" w:color="A6A6A6" w:themeColor="background1" w:themeShade="A6"/>
            </w:tcBorders>
            <w:vAlign w:val="center"/>
          </w:tcPr>
          <w:p w14:paraId="1D4BFE47" w14:textId="5EDBD116" w:rsidR="00D813C3" w:rsidRPr="00ED2B1F" w:rsidRDefault="00D813C3" w:rsidP="00A82004">
            <w:pPr>
              <w:pStyle w:val="TableText"/>
              <w:keepNext/>
              <w:jc w:val="center"/>
              <w:rPr>
                <w:rFonts w:cs="Segoe UI"/>
              </w:rPr>
            </w:pPr>
            <w:r w:rsidRPr="00ED2B1F">
              <w:rPr>
                <w:rFonts w:cs="Segoe UI"/>
              </w:rPr>
              <w:t>17%</w:t>
            </w:r>
          </w:p>
        </w:tc>
        <w:tc>
          <w:tcPr>
            <w:tcW w:w="3331" w:type="dxa"/>
            <w:tcBorders>
              <w:bottom w:val="single" w:sz="4" w:space="0" w:color="A6A6A6" w:themeColor="background1" w:themeShade="A6"/>
            </w:tcBorders>
            <w:vAlign w:val="center"/>
          </w:tcPr>
          <w:p w14:paraId="0766A3CB" w14:textId="5D302194" w:rsidR="00D813C3" w:rsidRPr="00ED2B1F" w:rsidRDefault="00D813C3" w:rsidP="00A82004">
            <w:pPr>
              <w:pStyle w:val="TableText"/>
              <w:keepNext/>
              <w:jc w:val="center"/>
              <w:rPr>
                <w:rFonts w:cs="Segoe UI"/>
              </w:rPr>
            </w:pPr>
            <w:r w:rsidRPr="00ED2B1F">
              <w:rPr>
                <w:rFonts w:cs="Segoe UI"/>
              </w:rPr>
              <w:t>30.1%</w:t>
            </w:r>
          </w:p>
        </w:tc>
      </w:tr>
      <w:tr w:rsidR="00D813C3" w:rsidRPr="00ED2B1F" w14:paraId="1780F6BF" w14:textId="58FC99F8" w:rsidTr="00B05CA9">
        <w:tc>
          <w:tcPr>
            <w:tcW w:w="1418" w:type="dxa"/>
            <w:tcBorders>
              <w:top w:val="single" w:sz="4" w:space="0" w:color="A6A6A6" w:themeColor="background1" w:themeShade="A6"/>
              <w:bottom w:val="single" w:sz="4" w:space="0" w:color="A6A6A6" w:themeColor="background1" w:themeShade="A6"/>
            </w:tcBorders>
          </w:tcPr>
          <w:p w14:paraId="10EAF58A" w14:textId="0F9C6E65" w:rsidR="00D813C3" w:rsidRPr="00ED2B1F" w:rsidRDefault="00D813C3" w:rsidP="00A82004">
            <w:pPr>
              <w:pStyle w:val="TableText"/>
              <w:keepNext/>
              <w:rPr>
                <w:rFonts w:cs="Segoe UI"/>
              </w:rPr>
            </w:pPr>
            <w:r w:rsidRPr="00ED2B1F">
              <w:rPr>
                <w:rFonts w:cs="Segoe UI"/>
              </w:rPr>
              <w:t>Pacific peoples</w:t>
            </w:r>
          </w:p>
        </w:tc>
        <w:tc>
          <w:tcPr>
            <w:tcW w:w="3331" w:type="dxa"/>
            <w:tcBorders>
              <w:top w:val="single" w:sz="4" w:space="0" w:color="A6A6A6" w:themeColor="background1" w:themeShade="A6"/>
              <w:bottom w:val="single" w:sz="4" w:space="0" w:color="A6A6A6" w:themeColor="background1" w:themeShade="A6"/>
            </w:tcBorders>
            <w:vAlign w:val="center"/>
          </w:tcPr>
          <w:p w14:paraId="20DA7797" w14:textId="4AD7235E" w:rsidR="00D813C3" w:rsidRPr="00ED2B1F" w:rsidRDefault="00D813C3" w:rsidP="00A82004">
            <w:pPr>
              <w:pStyle w:val="TableText"/>
              <w:keepNext/>
              <w:jc w:val="center"/>
              <w:rPr>
                <w:rFonts w:cs="Segoe UI"/>
              </w:rPr>
            </w:pPr>
            <w:r w:rsidRPr="00ED2B1F">
              <w:rPr>
                <w:rFonts w:cs="Segoe UI"/>
              </w:rPr>
              <w:t>7%</w:t>
            </w:r>
          </w:p>
        </w:tc>
        <w:tc>
          <w:tcPr>
            <w:tcW w:w="3331" w:type="dxa"/>
            <w:tcBorders>
              <w:top w:val="single" w:sz="4" w:space="0" w:color="A6A6A6" w:themeColor="background1" w:themeShade="A6"/>
              <w:bottom w:val="single" w:sz="4" w:space="0" w:color="A6A6A6" w:themeColor="background1" w:themeShade="A6"/>
            </w:tcBorders>
            <w:vAlign w:val="center"/>
          </w:tcPr>
          <w:p w14:paraId="782AA821" w14:textId="77F6F17D" w:rsidR="00D813C3" w:rsidRPr="00ED2B1F" w:rsidRDefault="00D813C3" w:rsidP="00A82004">
            <w:pPr>
              <w:pStyle w:val="TableText"/>
              <w:keepNext/>
              <w:jc w:val="center"/>
              <w:rPr>
                <w:rFonts w:cs="Segoe UI"/>
              </w:rPr>
            </w:pPr>
            <w:r w:rsidRPr="00ED2B1F">
              <w:rPr>
                <w:rFonts w:cs="Segoe UI"/>
              </w:rPr>
              <w:t>6%</w:t>
            </w:r>
          </w:p>
        </w:tc>
      </w:tr>
      <w:tr w:rsidR="00D813C3" w:rsidRPr="00ED2B1F" w14:paraId="7E4FE4ED" w14:textId="0568CAA2" w:rsidTr="00B05CA9">
        <w:tc>
          <w:tcPr>
            <w:tcW w:w="1418" w:type="dxa"/>
            <w:tcBorders>
              <w:top w:val="single" w:sz="4" w:space="0" w:color="A6A6A6" w:themeColor="background1" w:themeShade="A6"/>
              <w:bottom w:val="single" w:sz="4" w:space="0" w:color="A6A6A6" w:themeColor="background1" w:themeShade="A6"/>
            </w:tcBorders>
          </w:tcPr>
          <w:p w14:paraId="4986C17F" w14:textId="1DF2C071" w:rsidR="00D813C3" w:rsidRPr="00ED2B1F" w:rsidRDefault="00D813C3" w:rsidP="00A82004">
            <w:pPr>
              <w:pStyle w:val="TableText"/>
              <w:keepNext/>
              <w:rPr>
                <w:rFonts w:cs="Segoe UI"/>
              </w:rPr>
            </w:pPr>
            <w:r w:rsidRPr="00ED2B1F">
              <w:rPr>
                <w:rFonts w:cs="Segoe UI"/>
              </w:rPr>
              <w:t>Asian</w:t>
            </w:r>
          </w:p>
        </w:tc>
        <w:tc>
          <w:tcPr>
            <w:tcW w:w="3331" w:type="dxa"/>
            <w:tcBorders>
              <w:top w:val="single" w:sz="4" w:space="0" w:color="A6A6A6" w:themeColor="background1" w:themeShade="A6"/>
              <w:bottom w:val="single" w:sz="4" w:space="0" w:color="A6A6A6" w:themeColor="background1" w:themeShade="A6"/>
            </w:tcBorders>
            <w:vAlign w:val="center"/>
          </w:tcPr>
          <w:p w14:paraId="51BA033F" w14:textId="4F923F57" w:rsidR="00D813C3" w:rsidRPr="00ED2B1F" w:rsidRDefault="00D813C3" w:rsidP="00A82004">
            <w:pPr>
              <w:pStyle w:val="TableText"/>
              <w:keepNext/>
              <w:jc w:val="center"/>
              <w:rPr>
                <w:rFonts w:cs="Segoe UI"/>
              </w:rPr>
            </w:pPr>
            <w:r w:rsidRPr="00ED2B1F">
              <w:rPr>
                <w:rFonts w:cs="Segoe UI"/>
              </w:rPr>
              <w:t>20%</w:t>
            </w:r>
          </w:p>
        </w:tc>
        <w:tc>
          <w:tcPr>
            <w:tcW w:w="3331" w:type="dxa"/>
            <w:tcBorders>
              <w:top w:val="single" w:sz="4" w:space="0" w:color="A6A6A6" w:themeColor="background1" w:themeShade="A6"/>
              <w:bottom w:val="single" w:sz="4" w:space="0" w:color="A6A6A6" w:themeColor="background1" w:themeShade="A6"/>
            </w:tcBorders>
            <w:vAlign w:val="center"/>
          </w:tcPr>
          <w:p w14:paraId="681B671E" w14:textId="317633D8" w:rsidR="00D813C3" w:rsidRPr="00ED2B1F" w:rsidRDefault="00D813C3" w:rsidP="00A82004">
            <w:pPr>
              <w:pStyle w:val="TableText"/>
              <w:keepNext/>
              <w:jc w:val="center"/>
              <w:rPr>
                <w:rFonts w:cs="Segoe UI"/>
              </w:rPr>
            </w:pPr>
            <w:r w:rsidRPr="00ED2B1F">
              <w:rPr>
                <w:rFonts w:cs="Segoe UI"/>
              </w:rPr>
              <w:t>6.1%</w:t>
            </w:r>
          </w:p>
        </w:tc>
      </w:tr>
      <w:tr w:rsidR="00D813C3" w:rsidRPr="00ED2B1F" w14:paraId="4BEF415B" w14:textId="7981CB44" w:rsidTr="00B05CA9">
        <w:tc>
          <w:tcPr>
            <w:tcW w:w="1418" w:type="dxa"/>
            <w:tcBorders>
              <w:top w:val="single" w:sz="4" w:space="0" w:color="A6A6A6" w:themeColor="background1" w:themeShade="A6"/>
              <w:bottom w:val="single" w:sz="4" w:space="0" w:color="A6A6A6" w:themeColor="background1" w:themeShade="A6"/>
            </w:tcBorders>
          </w:tcPr>
          <w:p w14:paraId="5A0E620A" w14:textId="0D5BB53A" w:rsidR="00D813C3" w:rsidRPr="00ED2B1F" w:rsidRDefault="00D813C3" w:rsidP="00A82004">
            <w:pPr>
              <w:pStyle w:val="TableText"/>
              <w:keepNext/>
              <w:rPr>
                <w:rFonts w:cs="Segoe UI"/>
              </w:rPr>
            </w:pPr>
            <w:r w:rsidRPr="00ED2B1F">
              <w:rPr>
                <w:rFonts w:cs="Segoe UI"/>
              </w:rPr>
              <w:t>Other</w:t>
            </w:r>
          </w:p>
        </w:tc>
        <w:tc>
          <w:tcPr>
            <w:tcW w:w="3331" w:type="dxa"/>
            <w:tcBorders>
              <w:top w:val="single" w:sz="4" w:space="0" w:color="A6A6A6" w:themeColor="background1" w:themeShade="A6"/>
              <w:bottom w:val="single" w:sz="4" w:space="0" w:color="A6A6A6" w:themeColor="background1" w:themeShade="A6"/>
            </w:tcBorders>
            <w:vAlign w:val="center"/>
          </w:tcPr>
          <w:p w14:paraId="74D402E7" w14:textId="222CA754" w:rsidR="00D813C3" w:rsidRPr="00ED2B1F" w:rsidRDefault="00D813C3" w:rsidP="00A82004">
            <w:pPr>
              <w:pStyle w:val="TableText"/>
              <w:keepNext/>
              <w:jc w:val="center"/>
              <w:rPr>
                <w:rFonts w:cs="Segoe UI"/>
              </w:rPr>
            </w:pPr>
            <w:r w:rsidRPr="00ED2B1F">
              <w:rPr>
                <w:rFonts w:cs="Segoe UI"/>
              </w:rPr>
              <w:t>56%</w:t>
            </w:r>
          </w:p>
        </w:tc>
        <w:tc>
          <w:tcPr>
            <w:tcW w:w="3331" w:type="dxa"/>
            <w:tcBorders>
              <w:top w:val="single" w:sz="4" w:space="0" w:color="A6A6A6" w:themeColor="background1" w:themeShade="A6"/>
              <w:bottom w:val="single" w:sz="4" w:space="0" w:color="A6A6A6" w:themeColor="background1" w:themeShade="A6"/>
            </w:tcBorders>
            <w:vAlign w:val="center"/>
          </w:tcPr>
          <w:p w14:paraId="04805FFE" w14:textId="6773CE05" w:rsidR="00D813C3" w:rsidRPr="00ED2B1F" w:rsidRDefault="00D813C3" w:rsidP="00A82004">
            <w:pPr>
              <w:pStyle w:val="TableText"/>
              <w:keepNext/>
              <w:jc w:val="center"/>
              <w:rPr>
                <w:rFonts w:cs="Segoe UI"/>
              </w:rPr>
            </w:pPr>
            <w:r w:rsidRPr="00ED2B1F">
              <w:rPr>
                <w:rFonts w:cs="Segoe UI"/>
              </w:rPr>
              <w:t>57.8%</w:t>
            </w:r>
          </w:p>
        </w:tc>
      </w:tr>
    </w:tbl>
    <w:p w14:paraId="4A44A983" w14:textId="63D0A286" w:rsidR="002C3027" w:rsidRPr="00D46924" w:rsidRDefault="00D46924" w:rsidP="002C3027">
      <w:pPr>
        <w:pStyle w:val="Bullet"/>
        <w:numPr>
          <w:ilvl w:val="0"/>
          <w:numId w:val="0"/>
        </w:numPr>
        <w:rPr>
          <w:b/>
          <w:bCs/>
          <w:sz w:val="16"/>
          <w:szCs w:val="16"/>
        </w:rPr>
      </w:pPr>
      <w:r w:rsidRPr="00ED2B1F">
        <w:rPr>
          <w:sz w:val="17"/>
        </w:rPr>
        <w:t>Source: PRIMHD data (extracted 10 June 2025</w:t>
      </w:r>
      <w:r>
        <w:rPr>
          <w:sz w:val="17"/>
        </w:rPr>
        <w:t>)</w:t>
      </w:r>
    </w:p>
    <w:p w14:paraId="74CED14D" w14:textId="77777777" w:rsidR="00753A1F" w:rsidRPr="00ED2B1F" w:rsidRDefault="00753A1F" w:rsidP="007A34A3">
      <w:pPr>
        <w:pStyle w:val="Heading2"/>
      </w:pPr>
      <w:bookmarkStart w:id="106" w:name="_Toc87429904"/>
      <w:bookmarkStart w:id="107" w:name="_Toc88826952"/>
      <w:bookmarkStart w:id="108" w:name="_Toc115188802"/>
      <w:bookmarkStart w:id="109" w:name="_Toc145394230"/>
      <w:bookmarkStart w:id="110" w:name="_Toc189053900"/>
      <w:bookmarkStart w:id="111" w:name="_Toc224638091"/>
      <w:r w:rsidRPr="00ED2B1F">
        <w:lastRenderedPageBreak/>
        <w:t>Compulsory assessment</w:t>
      </w:r>
      <w:bookmarkEnd w:id="106"/>
      <w:bookmarkEnd w:id="107"/>
      <w:bookmarkEnd w:id="108"/>
      <w:bookmarkEnd w:id="109"/>
      <w:bookmarkEnd w:id="110"/>
      <w:bookmarkEnd w:id="111"/>
    </w:p>
    <w:p w14:paraId="3D405DC6" w14:textId="04815222" w:rsidR="00753A1F" w:rsidRPr="00ED2B1F" w:rsidRDefault="00753A1F" w:rsidP="00497443">
      <w:r w:rsidRPr="00ED2B1F">
        <w:t xml:space="preserve">In the </w:t>
      </w:r>
      <w:r w:rsidR="00211D17" w:rsidRPr="00ED2B1F">
        <w:t>2023/24</w:t>
      </w:r>
      <w:r w:rsidRPr="00ED2B1F" w:rsidDel="00116BD1">
        <w:t xml:space="preserve"> </w:t>
      </w:r>
      <w:r w:rsidRPr="00ED2B1F">
        <w:t>financial year, Māori were more likely to undergo compulsory assessment than other ethnicities.</w:t>
      </w:r>
      <w:r w:rsidR="00EC393B" w:rsidRPr="00ED2B1F">
        <w:t xml:space="preserve"> </w:t>
      </w:r>
      <w:r w:rsidR="00EC393B" w:rsidRPr="00ED2B1F">
        <w:fldChar w:fldCharType="begin"/>
      </w:r>
      <w:r w:rsidR="00EC393B" w:rsidRPr="00ED2B1F">
        <w:instrText xml:space="preserve"> REF _Ref214983669 \h </w:instrText>
      </w:r>
      <w:r w:rsidR="00EC393B" w:rsidRPr="00ED2B1F">
        <w:fldChar w:fldCharType="separate"/>
      </w:r>
      <w:r w:rsidR="00484E57" w:rsidRPr="00ED2B1F">
        <w:t xml:space="preserve">Table </w:t>
      </w:r>
      <w:r w:rsidR="00484E57">
        <w:rPr>
          <w:noProof/>
        </w:rPr>
        <w:t>4</w:t>
      </w:r>
      <w:r w:rsidR="00EC393B" w:rsidRPr="00ED2B1F">
        <w:fldChar w:fldCharType="end"/>
      </w:r>
      <w:r w:rsidRPr="00ED2B1F">
        <w:t xml:space="preserve"> shows the number of people subject to compulsory mental health assessment on a national level by ethnicity and the rate per 100,000 people in the general population.</w:t>
      </w:r>
    </w:p>
    <w:p w14:paraId="361E6C44" w14:textId="77777777" w:rsidR="00C025A7" w:rsidRPr="00ED2B1F" w:rsidRDefault="00C025A7" w:rsidP="00497443"/>
    <w:p w14:paraId="49C31F45" w14:textId="6BC8DA0A" w:rsidR="00753A1F" w:rsidRPr="00ED2B1F" w:rsidRDefault="0035782A" w:rsidP="00C103C7">
      <w:pPr>
        <w:pStyle w:val="Table"/>
      </w:pPr>
      <w:bookmarkStart w:id="112" w:name="_Ref214983669"/>
      <w:bookmarkStart w:id="113" w:name="_Toc224638224"/>
      <w:bookmarkStart w:id="114" w:name="_Ref85702326"/>
      <w:bookmarkStart w:id="115" w:name="_Toc87430001"/>
      <w:bookmarkStart w:id="116" w:name="_Toc88561358"/>
      <w:bookmarkStart w:id="117" w:name="_Toc115188892"/>
      <w:bookmarkStart w:id="118" w:name="_Toc142314754"/>
      <w:bookmarkStart w:id="119" w:name="_Toc145394316"/>
      <w:bookmarkStart w:id="120" w:name="_Toc189053994"/>
      <w:r w:rsidRPr="00ED2B1F">
        <w:t xml:space="preserve">Table </w:t>
      </w:r>
      <w:r w:rsidR="00EC393B">
        <w:fldChar w:fldCharType="begin"/>
      </w:r>
      <w:r w:rsidR="00EC393B">
        <w:instrText xml:space="preserve"> SEQ Table \* ARABIC </w:instrText>
      </w:r>
      <w:r w:rsidR="00EC393B">
        <w:fldChar w:fldCharType="separate"/>
      </w:r>
      <w:r w:rsidR="00484E57">
        <w:rPr>
          <w:noProof/>
        </w:rPr>
        <w:t>4</w:t>
      </w:r>
      <w:r w:rsidR="00EC393B">
        <w:fldChar w:fldCharType="end"/>
      </w:r>
      <w:bookmarkEnd w:id="112"/>
      <w:r w:rsidRPr="00ED2B1F">
        <w:t>: Number and rate of people required to undergo assessment under section 11, 13 or 15 of the Mental Health Act, by ethnicity 1 July 2023 to 30 June 2024</w:t>
      </w:r>
      <w:bookmarkEnd w:id="113"/>
      <w:r w:rsidR="00753A1F" w:rsidRPr="00ED2B1F">
        <w:t> </w:t>
      </w:r>
      <w:bookmarkEnd w:id="114"/>
      <w:bookmarkEnd w:id="115"/>
      <w:bookmarkEnd w:id="116"/>
      <w:bookmarkEnd w:id="117"/>
      <w:bookmarkEnd w:id="118"/>
      <w:bookmarkEnd w:id="119"/>
      <w:bookmarkEnd w:id="120"/>
    </w:p>
    <w:tbl>
      <w:tblPr>
        <w:tblW w:w="7598"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7"/>
        <w:gridCol w:w="1030"/>
        <w:gridCol w:w="1030"/>
        <w:gridCol w:w="1030"/>
        <w:gridCol w:w="1030"/>
        <w:gridCol w:w="1030"/>
        <w:gridCol w:w="1031"/>
      </w:tblGrid>
      <w:tr w:rsidR="00591A0E" w:rsidRPr="00ED2B1F" w14:paraId="7648DF0D" w14:textId="77777777" w:rsidTr="00A82004">
        <w:trPr>
          <w:cantSplit/>
        </w:trPr>
        <w:tc>
          <w:tcPr>
            <w:tcW w:w="1417" w:type="dxa"/>
            <w:vMerge w:val="restart"/>
            <w:tcBorders>
              <w:top w:val="nil"/>
            </w:tcBorders>
            <w:shd w:val="clear" w:color="auto" w:fill="D9D9D9" w:themeFill="background1" w:themeFillShade="D9"/>
            <w:noWrap/>
            <w:vAlign w:val="bottom"/>
          </w:tcPr>
          <w:p w14:paraId="6C7347A0" w14:textId="1F411AB6" w:rsidR="00591A0E" w:rsidRPr="00A82004" w:rsidRDefault="00591A0E" w:rsidP="00010479">
            <w:pPr>
              <w:pStyle w:val="TableText"/>
              <w:spacing w:before="0"/>
              <w:rPr>
                <w:b/>
              </w:rPr>
            </w:pPr>
            <w:r w:rsidRPr="00A82004">
              <w:rPr>
                <w:b/>
                <w:szCs w:val="18"/>
                <w:lang w:eastAsia="en-NZ"/>
              </w:rPr>
              <w:t>Ethnic group</w:t>
            </w:r>
          </w:p>
        </w:tc>
        <w:tc>
          <w:tcPr>
            <w:tcW w:w="2060" w:type="dxa"/>
            <w:gridSpan w:val="2"/>
            <w:tcBorders>
              <w:top w:val="nil"/>
              <w:bottom w:val="nil"/>
              <w:right w:val="nil"/>
            </w:tcBorders>
            <w:shd w:val="clear" w:color="auto" w:fill="D9D9D9" w:themeFill="background1" w:themeFillShade="D9"/>
          </w:tcPr>
          <w:p w14:paraId="1D8FBB5D" w14:textId="77777777" w:rsidR="00591A0E" w:rsidRPr="00A82004" w:rsidRDefault="00591A0E" w:rsidP="00497F1D">
            <w:pPr>
              <w:pStyle w:val="TableText"/>
              <w:jc w:val="center"/>
              <w:rPr>
                <w:b/>
                <w:szCs w:val="18"/>
                <w:lang w:eastAsia="en-NZ"/>
              </w:rPr>
            </w:pPr>
            <w:r w:rsidRPr="00A82004">
              <w:rPr>
                <w:b/>
                <w:szCs w:val="18"/>
                <w:lang w:eastAsia="en-NZ"/>
              </w:rPr>
              <w:t>Section 11</w:t>
            </w:r>
          </w:p>
        </w:tc>
        <w:tc>
          <w:tcPr>
            <w:tcW w:w="2060" w:type="dxa"/>
            <w:gridSpan w:val="2"/>
            <w:tcBorders>
              <w:top w:val="nil"/>
              <w:left w:val="nil"/>
              <w:bottom w:val="nil"/>
              <w:right w:val="nil"/>
            </w:tcBorders>
            <w:shd w:val="clear" w:color="auto" w:fill="D9D9D9" w:themeFill="background1" w:themeFillShade="D9"/>
          </w:tcPr>
          <w:p w14:paraId="2E13AA8A" w14:textId="344BFC5F" w:rsidR="00591A0E" w:rsidRPr="00A82004" w:rsidRDefault="00591A0E" w:rsidP="00497F1D">
            <w:pPr>
              <w:pStyle w:val="TableText"/>
              <w:jc w:val="center"/>
              <w:rPr>
                <w:b/>
                <w:szCs w:val="18"/>
                <w:lang w:eastAsia="en-NZ"/>
              </w:rPr>
            </w:pPr>
            <w:r w:rsidRPr="00A82004">
              <w:rPr>
                <w:b/>
                <w:szCs w:val="18"/>
                <w:lang w:eastAsia="en-NZ"/>
              </w:rPr>
              <w:t>Section 13</w:t>
            </w:r>
          </w:p>
        </w:tc>
        <w:tc>
          <w:tcPr>
            <w:tcW w:w="2061" w:type="dxa"/>
            <w:gridSpan w:val="2"/>
            <w:tcBorders>
              <w:top w:val="nil"/>
              <w:left w:val="nil"/>
              <w:bottom w:val="nil"/>
            </w:tcBorders>
            <w:shd w:val="clear" w:color="auto" w:fill="D9D9D9" w:themeFill="background1" w:themeFillShade="D9"/>
          </w:tcPr>
          <w:p w14:paraId="43823C1C" w14:textId="2014F1B8" w:rsidR="00591A0E" w:rsidRPr="00A82004" w:rsidRDefault="00591A0E" w:rsidP="00497F1D">
            <w:pPr>
              <w:pStyle w:val="TableText"/>
              <w:jc w:val="center"/>
              <w:rPr>
                <w:b/>
                <w:szCs w:val="18"/>
                <w:lang w:eastAsia="en-NZ"/>
              </w:rPr>
            </w:pPr>
            <w:r w:rsidRPr="00A82004">
              <w:rPr>
                <w:b/>
                <w:szCs w:val="18"/>
                <w:lang w:eastAsia="en-NZ"/>
              </w:rPr>
              <w:t>Section 15</w:t>
            </w:r>
          </w:p>
        </w:tc>
      </w:tr>
      <w:tr w:rsidR="00591A0E" w:rsidRPr="00ED2B1F" w14:paraId="3390D783" w14:textId="77777777" w:rsidTr="00A82004">
        <w:trPr>
          <w:cantSplit/>
        </w:trPr>
        <w:tc>
          <w:tcPr>
            <w:tcW w:w="1417" w:type="dxa"/>
            <w:vMerge/>
            <w:tcBorders>
              <w:bottom w:val="nil"/>
            </w:tcBorders>
            <w:shd w:val="clear" w:color="auto" w:fill="D9D9D9" w:themeFill="background1" w:themeFillShade="D9"/>
            <w:noWrap/>
            <w:hideMark/>
          </w:tcPr>
          <w:p w14:paraId="64A1F09A" w14:textId="0D4FC2BB" w:rsidR="00591A0E" w:rsidRPr="00A82004" w:rsidRDefault="00591A0E" w:rsidP="00497F1D">
            <w:pPr>
              <w:pStyle w:val="TableText"/>
              <w:spacing w:before="0"/>
              <w:rPr>
                <w:b/>
              </w:rPr>
            </w:pPr>
          </w:p>
        </w:tc>
        <w:tc>
          <w:tcPr>
            <w:tcW w:w="1030" w:type="dxa"/>
            <w:tcBorders>
              <w:top w:val="nil"/>
              <w:bottom w:val="nil"/>
              <w:right w:val="nil"/>
            </w:tcBorders>
            <w:shd w:val="clear" w:color="auto" w:fill="D9D9D9" w:themeFill="background1" w:themeFillShade="D9"/>
            <w:hideMark/>
          </w:tcPr>
          <w:p w14:paraId="33983FF4" w14:textId="77777777" w:rsidR="00591A0E" w:rsidRPr="00A82004" w:rsidRDefault="00591A0E" w:rsidP="00497F1D">
            <w:pPr>
              <w:pStyle w:val="TableText"/>
              <w:spacing w:before="0"/>
              <w:jc w:val="center"/>
              <w:rPr>
                <w:b/>
                <w:szCs w:val="18"/>
                <w:lang w:eastAsia="en-NZ"/>
              </w:rPr>
            </w:pPr>
            <w:r w:rsidRPr="00A82004">
              <w:rPr>
                <w:b/>
                <w:szCs w:val="18"/>
                <w:lang w:eastAsia="en-NZ"/>
              </w:rPr>
              <w:t>Number</w:t>
            </w:r>
          </w:p>
        </w:tc>
        <w:tc>
          <w:tcPr>
            <w:tcW w:w="1030" w:type="dxa"/>
            <w:tcBorders>
              <w:top w:val="nil"/>
              <w:left w:val="nil"/>
              <w:bottom w:val="nil"/>
              <w:right w:val="nil"/>
            </w:tcBorders>
            <w:shd w:val="clear" w:color="auto" w:fill="D9D9D9" w:themeFill="background1" w:themeFillShade="D9"/>
            <w:hideMark/>
          </w:tcPr>
          <w:p w14:paraId="72DA3EB7" w14:textId="77777777" w:rsidR="00591A0E" w:rsidRPr="00A82004" w:rsidRDefault="00591A0E" w:rsidP="00497F1D">
            <w:pPr>
              <w:pStyle w:val="TableText"/>
              <w:spacing w:before="0"/>
              <w:jc w:val="center"/>
              <w:rPr>
                <w:b/>
                <w:szCs w:val="18"/>
                <w:lang w:eastAsia="en-NZ"/>
              </w:rPr>
            </w:pPr>
            <w:r w:rsidRPr="00A82004">
              <w:rPr>
                <w:b/>
                <w:szCs w:val="18"/>
                <w:lang w:eastAsia="en-NZ"/>
              </w:rPr>
              <w:t>Rate</w:t>
            </w:r>
          </w:p>
        </w:tc>
        <w:tc>
          <w:tcPr>
            <w:tcW w:w="1030" w:type="dxa"/>
            <w:tcBorders>
              <w:top w:val="nil"/>
              <w:left w:val="nil"/>
              <w:bottom w:val="nil"/>
              <w:right w:val="nil"/>
            </w:tcBorders>
            <w:shd w:val="clear" w:color="auto" w:fill="D9D9D9" w:themeFill="background1" w:themeFillShade="D9"/>
            <w:hideMark/>
          </w:tcPr>
          <w:p w14:paraId="39A4F2D5" w14:textId="2C63CAD3" w:rsidR="00591A0E" w:rsidRPr="00A82004" w:rsidRDefault="00591A0E" w:rsidP="00497F1D">
            <w:pPr>
              <w:pStyle w:val="TableText"/>
              <w:spacing w:before="0"/>
              <w:jc w:val="center"/>
              <w:rPr>
                <w:b/>
                <w:szCs w:val="18"/>
                <w:lang w:eastAsia="en-NZ"/>
              </w:rPr>
            </w:pPr>
            <w:r w:rsidRPr="00A82004">
              <w:rPr>
                <w:b/>
                <w:szCs w:val="18"/>
                <w:lang w:eastAsia="en-NZ"/>
              </w:rPr>
              <w:t>Number</w:t>
            </w:r>
          </w:p>
        </w:tc>
        <w:tc>
          <w:tcPr>
            <w:tcW w:w="1030" w:type="dxa"/>
            <w:tcBorders>
              <w:top w:val="nil"/>
              <w:left w:val="nil"/>
              <w:bottom w:val="nil"/>
              <w:right w:val="nil"/>
            </w:tcBorders>
            <w:shd w:val="clear" w:color="auto" w:fill="D9D9D9" w:themeFill="background1" w:themeFillShade="D9"/>
            <w:hideMark/>
          </w:tcPr>
          <w:p w14:paraId="0804B511" w14:textId="77777777" w:rsidR="00591A0E" w:rsidRPr="00A82004" w:rsidRDefault="00591A0E" w:rsidP="00497F1D">
            <w:pPr>
              <w:pStyle w:val="TableText"/>
              <w:spacing w:before="0"/>
              <w:jc w:val="center"/>
              <w:rPr>
                <w:b/>
                <w:szCs w:val="18"/>
                <w:lang w:eastAsia="en-NZ"/>
              </w:rPr>
            </w:pPr>
            <w:r w:rsidRPr="00A82004">
              <w:rPr>
                <w:b/>
                <w:szCs w:val="18"/>
                <w:lang w:eastAsia="en-NZ"/>
              </w:rPr>
              <w:t>Rate</w:t>
            </w:r>
          </w:p>
        </w:tc>
        <w:tc>
          <w:tcPr>
            <w:tcW w:w="1030" w:type="dxa"/>
            <w:tcBorders>
              <w:top w:val="nil"/>
              <w:left w:val="nil"/>
              <w:bottom w:val="nil"/>
              <w:right w:val="nil"/>
            </w:tcBorders>
            <w:shd w:val="clear" w:color="auto" w:fill="D9D9D9" w:themeFill="background1" w:themeFillShade="D9"/>
            <w:hideMark/>
          </w:tcPr>
          <w:p w14:paraId="37A2FEEE" w14:textId="211707C8" w:rsidR="00591A0E" w:rsidRPr="00A82004" w:rsidRDefault="00591A0E" w:rsidP="00497F1D">
            <w:pPr>
              <w:pStyle w:val="TableText"/>
              <w:spacing w:before="0"/>
              <w:jc w:val="center"/>
              <w:rPr>
                <w:b/>
                <w:szCs w:val="18"/>
                <w:lang w:eastAsia="en-NZ"/>
              </w:rPr>
            </w:pPr>
            <w:r w:rsidRPr="00A82004">
              <w:rPr>
                <w:b/>
                <w:szCs w:val="18"/>
                <w:lang w:eastAsia="en-NZ"/>
              </w:rPr>
              <w:t>Number</w:t>
            </w:r>
          </w:p>
        </w:tc>
        <w:tc>
          <w:tcPr>
            <w:tcW w:w="1031" w:type="dxa"/>
            <w:tcBorders>
              <w:top w:val="nil"/>
              <w:left w:val="nil"/>
              <w:bottom w:val="nil"/>
            </w:tcBorders>
            <w:shd w:val="clear" w:color="auto" w:fill="D9D9D9" w:themeFill="background1" w:themeFillShade="D9"/>
            <w:hideMark/>
          </w:tcPr>
          <w:p w14:paraId="031ABB51" w14:textId="77777777" w:rsidR="00591A0E" w:rsidRPr="00A82004" w:rsidRDefault="00591A0E" w:rsidP="00497F1D">
            <w:pPr>
              <w:pStyle w:val="TableText"/>
              <w:spacing w:before="0"/>
              <w:jc w:val="center"/>
              <w:rPr>
                <w:b/>
                <w:szCs w:val="18"/>
                <w:lang w:eastAsia="en-NZ"/>
              </w:rPr>
            </w:pPr>
            <w:r w:rsidRPr="00A82004">
              <w:rPr>
                <w:b/>
                <w:szCs w:val="18"/>
                <w:lang w:eastAsia="en-NZ"/>
              </w:rPr>
              <w:t>Rate</w:t>
            </w:r>
          </w:p>
        </w:tc>
      </w:tr>
      <w:tr w:rsidR="00591A0E" w:rsidRPr="00ED2B1F" w14:paraId="43D6E333" w14:textId="77777777" w:rsidTr="00591A0E">
        <w:trPr>
          <w:cantSplit/>
        </w:trPr>
        <w:tc>
          <w:tcPr>
            <w:tcW w:w="1417" w:type="dxa"/>
            <w:tcBorders>
              <w:top w:val="nil"/>
            </w:tcBorders>
            <w:noWrap/>
            <w:hideMark/>
          </w:tcPr>
          <w:p w14:paraId="56A88233" w14:textId="77777777" w:rsidR="00591A0E" w:rsidRPr="00ED2B1F" w:rsidRDefault="00591A0E" w:rsidP="00497F1D">
            <w:pPr>
              <w:pStyle w:val="TableText"/>
              <w:rPr>
                <w:color w:val="000000"/>
                <w:szCs w:val="18"/>
                <w:lang w:eastAsia="en-NZ"/>
              </w:rPr>
            </w:pPr>
            <w:r w:rsidRPr="00ED2B1F">
              <w:rPr>
                <w:color w:val="000000"/>
                <w:szCs w:val="18"/>
                <w:lang w:eastAsia="en-NZ"/>
              </w:rPr>
              <w:t>Māori</w:t>
            </w:r>
          </w:p>
        </w:tc>
        <w:tc>
          <w:tcPr>
            <w:tcW w:w="1030" w:type="dxa"/>
            <w:tcBorders>
              <w:top w:val="nil"/>
            </w:tcBorders>
            <w:noWrap/>
            <w:hideMark/>
          </w:tcPr>
          <w:p w14:paraId="1997C58E" w14:textId="7E84B3C8" w:rsidR="00591A0E" w:rsidRPr="00ED2B1F" w:rsidRDefault="00591A0E" w:rsidP="00497F1D">
            <w:pPr>
              <w:pStyle w:val="TableText"/>
              <w:tabs>
                <w:tab w:val="decimal" w:pos="680"/>
              </w:tabs>
              <w:rPr>
                <w:szCs w:val="18"/>
                <w:lang w:eastAsia="en-NZ"/>
              </w:rPr>
            </w:pPr>
            <w:r w:rsidRPr="00ED2B1F">
              <w:t>2,212</w:t>
            </w:r>
          </w:p>
        </w:tc>
        <w:tc>
          <w:tcPr>
            <w:tcW w:w="1030" w:type="dxa"/>
            <w:tcBorders>
              <w:top w:val="nil"/>
            </w:tcBorders>
            <w:noWrap/>
            <w:hideMark/>
          </w:tcPr>
          <w:p w14:paraId="6E82A90E" w14:textId="391D56E5" w:rsidR="00591A0E" w:rsidRPr="00ED2B1F" w:rsidRDefault="00591A0E" w:rsidP="00497F1D">
            <w:pPr>
              <w:pStyle w:val="TableText"/>
              <w:tabs>
                <w:tab w:val="decimal" w:pos="567"/>
              </w:tabs>
              <w:rPr>
                <w:color w:val="000000"/>
                <w:szCs w:val="18"/>
                <w:lang w:eastAsia="en-NZ"/>
              </w:rPr>
            </w:pPr>
            <w:r w:rsidRPr="00ED2B1F">
              <w:t>242.6</w:t>
            </w:r>
          </w:p>
        </w:tc>
        <w:tc>
          <w:tcPr>
            <w:tcW w:w="1030" w:type="dxa"/>
            <w:tcBorders>
              <w:top w:val="nil"/>
            </w:tcBorders>
            <w:noWrap/>
            <w:hideMark/>
          </w:tcPr>
          <w:p w14:paraId="259C8170" w14:textId="5B2C98D0" w:rsidR="00591A0E" w:rsidRPr="00ED2B1F" w:rsidRDefault="00591A0E" w:rsidP="00497F1D">
            <w:pPr>
              <w:pStyle w:val="TableText"/>
              <w:tabs>
                <w:tab w:val="decimal" w:pos="680"/>
              </w:tabs>
              <w:rPr>
                <w:szCs w:val="18"/>
                <w:lang w:eastAsia="en-NZ"/>
              </w:rPr>
            </w:pPr>
            <w:r w:rsidRPr="00ED2B1F">
              <w:t>2,022</w:t>
            </w:r>
          </w:p>
        </w:tc>
        <w:tc>
          <w:tcPr>
            <w:tcW w:w="1030" w:type="dxa"/>
            <w:tcBorders>
              <w:top w:val="nil"/>
            </w:tcBorders>
            <w:noWrap/>
            <w:hideMark/>
          </w:tcPr>
          <w:p w14:paraId="001E6934" w14:textId="5A55A978" w:rsidR="00591A0E" w:rsidRPr="00ED2B1F" w:rsidRDefault="00591A0E" w:rsidP="00497F1D">
            <w:pPr>
              <w:pStyle w:val="TableText"/>
              <w:tabs>
                <w:tab w:val="decimal" w:pos="567"/>
              </w:tabs>
              <w:rPr>
                <w:color w:val="000000"/>
                <w:szCs w:val="18"/>
                <w:lang w:eastAsia="en-NZ"/>
              </w:rPr>
            </w:pPr>
            <w:r w:rsidRPr="00ED2B1F">
              <w:t>221.8</w:t>
            </w:r>
          </w:p>
        </w:tc>
        <w:tc>
          <w:tcPr>
            <w:tcW w:w="1030" w:type="dxa"/>
            <w:tcBorders>
              <w:top w:val="nil"/>
            </w:tcBorders>
            <w:noWrap/>
            <w:hideMark/>
          </w:tcPr>
          <w:p w14:paraId="29B69641" w14:textId="4F4DD493" w:rsidR="00591A0E" w:rsidRPr="00ED2B1F" w:rsidRDefault="00591A0E" w:rsidP="00497F1D">
            <w:pPr>
              <w:pStyle w:val="TableText"/>
              <w:tabs>
                <w:tab w:val="decimal" w:pos="680"/>
              </w:tabs>
              <w:rPr>
                <w:szCs w:val="18"/>
                <w:lang w:eastAsia="en-NZ"/>
              </w:rPr>
            </w:pPr>
            <w:r w:rsidRPr="00ED2B1F">
              <w:t>1,465</w:t>
            </w:r>
          </w:p>
        </w:tc>
        <w:tc>
          <w:tcPr>
            <w:tcW w:w="1031" w:type="dxa"/>
            <w:tcBorders>
              <w:top w:val="nil"/>
            </w:tcBorders>
            <w:noWrap/>
            <w:hideMark/>
          </w:tcPr>
          <w:p w14:paraId="5CAF1574" w14:textId="30C3AAA3" w:rsidR="00591A0E" w:rsidRPr="00ED2B1F" w:rsidRDefault="00591A0E" w:rsidP="00497F1D">
            <w:pPr>
              <w:pStyle w:val="TableText"/>
              <w:tabs>
                <w:tab w:val="decimal" w:pos="567"/>
              </w:tabs>
              <w:rPr>
                <w:color w:val="000000"/>
                <w:szCs w:val="18"/>
                <w:lang w:eastAsia="en-NZ"/>
              </w:rPr>
            </w:pPr>
            <w:r w:rsidRPr="00ED2B1F">
              <w:t>160.7</w:t>
            </w:r>
          </w:p>
        </w:tc>
      </w:tr>
      <w:tr w:rsidR="00591A0E" w:rsidRPr="00ED2B1F" w14:paraId="0799A7E9" w14:textId="77777777" w:rsidTr="00591A0E">
        <w:trPr>
          <w:cantSplit/>
        </w:trPr>
        <w:tc>
          <w:tcPr>
            <w:tcW w:w="1417" w:type="dxa"/>
            <w:noWrap/>
          </w:tcPr>
          <w:p w14:paraId="25D6F020" w14:textId="77777777" w:rsidR="00591A0E" w:rsidRPr="00ED2B1F" w:rsidRDefault="00591A0E" w:rsidP="00497F1D">
            <w:pPr>
              <w:pStyle w:val="TableText"/>
              <w:rPr>
                <w:color w:val="000000"/>
                <w:szCs w:val="18"/>
                <w:lang w:eastAsia="en-NZ"/>
              </w:rPr>
            </w:pPr>
            <w:r w:rsidRPr="00ED2B1F">
              <w:rPr>
                <w:color w:val="000000"/>
                <w:szCs w:val="18"/>
                <w:lang w:eastAsia="en-NZ"/>
              </w:rPr>
              <w:t>Pacific peoples</w:t>
            </w:r>
          </w:p>
        </w:tc>
        <w:tc>
          <w:tcPr>
            <w:tcW w:w="1030" w:type="dxa"/>
            <w:noWrap/>
          </w:tcPr>
          <w:p w14:paraId="41C6B1E0" w14:textId="458671C0" w:rsidR="00591A0E" w:rsidRPr="00ED2B1F" w:rsidRDefault="00591A0E" w:rsidP="00497F1D">
            <w:pPr>
              <w:pStyle w:val="TableText"/>
              <w:tabs>
                <w:tab w:val="decimal" w:pos="680"/>
              </w:tabs>
              <w:rPr>
                <w:szCs w:val="18"/>
                <w:lang w:eastAsia="en-NZ"/>
              </w:rPr>
            </w:pPr>
            <w:r w:rsidRPr="00ED2B1F">
              <w:t>439</w:t>
            </w:r>
          </w:p>
        </w:tc>
        <w:tc>
          <w:tcPr>
            <w:tcW w:w="1030" w:type="dxa"/>
            <w:noWrap/>
          </w:tcPr>
          <w:p w14:paraId="7EA2A554" w14:textId="7B1AD786" w:rsidR="00591A0E" w:rsidRPr="00ED2B1F" w:rsidRDefault="00591A0E" w:rsidP="00497F1D">
            <w:pPr>
              <w:pStyle w:val="TableText"/>
              <w:tabs>
                <w:tab w:val="decimal" w:pos="567"/>
              </w:tabs>
              <w:rPr>
                <w:color w:val="000000"/>
                <w:szCs w:val="18"/>
                <w:lang w:eastAsia="en-NZ"/>
              </w:rPr>
            </w:pPr>
            <w:r w:rsidRPr="00ED2B1F">
              <w:t>115.6</w:t>
            </w:r>
          </w:p>
        </w:tc>
        <w:tc>
          <w:tcPr>
            <w:tcW w:w="1030" w:type="dxa"/>
            <w:noWrap/>
          </w:tcPr>
          <w:p w14:paraId="40AD883E" w14:textId="3AE6A872" w:rsidR="00591A0E" w:rsidRPr="00ED2B1F" w:rsidRDefault="00591A0E" w:rsidP="00497F1D">
            <w:pPr>
              <w:pStyle w:val="TableText"/>
              <w:tabs>
                <w:tab w:val="decimal" w:pos="680"/>
              </w:tabs>
              <w:rPr>
                <w:szCs w:val="18"/>
                <w:lang w:eastAsia="en-NZ"/>
              </w:rPr>
            </w:pPr>
            <w:r w:rsidRPr="00ED2B1F">
              <w:t>428</w:t>
            </w:r>
          </w:p>
        </w:tc>
        <w:tc>
          <w:tcPr>
            <w:tcW w:w="1030" w:type="dxa"/>
            <w:noWrap/>
          </w:tcPr>
          <w:p w14:paraId="5C508EC2" w14:textId="753EE012" w:rsidR="00591A0E" w:rsidRPr="00ED2B1F" w:rsidRDefault="00591A0E" w:rsidP="00497F1D">
            <w:pPr>
              <w:pStyle w:val="TableText"/>
              <w:tabs>
                <w:tab w:val="decimal" w:pos="567"/>
              </w:tabs>
              <w:rPr>
                <w:color w:val="000000"/>
                <w:szCs w:val="18"/>
                <w:lang w:eastAsia="en-NZ"/>
              </w:rPr>
            </w:pPr>
            <w:r w:rsidRPr="00ED2B1F">
              <w:t>112.7</w:t>
            </w:r>
          </w:p>
        </w:tc>
        <w:tc>
          <w:tcPr>
            <w:tcW w:w="1030" w:type="dxa"/>
            <w:noWrap/>
          </w:tcPr>
          <w:p w14:paraId="19819952" w14:textId="01DE577B" w:rsidR="00591A0E" w:rsidRPr="00ED2B1F" w:rsidRDefault="00591A0E" w:rsidP="00497F1D">
            <w:pPr>
              <w:pStyle w:val="TableText"/>
              <w:tabs>
                <w:tab w:val="decimal" w:pos="680"/>
              </w:tabs>
              <w:rPr>
                <w:szCs w:val="18"/>
                <w:lang w:eastAsia="en-NZ"/>
              </w:rPr>
            </w:pPr>
            <w:r w:rsidRPr="00ED2B1F">
              <w:t>351</w:t>
            </w:r>
          </w:p>
        </w:tc>
        <w:tc>
          <w:tcPr>
            <w:tcW w:w="1031" w:type="dxa"/>
            <w:noWrap/>
          </w:tcPr>
          <w:p w14:paraId="1BE3A766" w14:textId="62154773" w:rsidR="00591A0E" w:rsidRPr="00ED2B1F" w:rsidRDefault="00591A0E" w:rsidP="00497F1D">
            <w:pPr>
              <w:pStyle w:val="TableText"/>
              <w:tabs>
                <w:tab w:val="decimal" w:pos="567"/>
              </w:tabs>
              <w:rPr>
                <w:color w:val="000000"/>
                <w:szCs w:val="18"/>
                <w:lang w:eastAsia="en-NZ"/>
              </w:rPr>
            </w:pPr>
            <w:r w:rsidRPr="00ED2B1F">
              <w:t>92.5</w:t>
            </w:r>
          </w:p>
        </w:tc>
      </w:tr>
      <w:tr w:rsidR="00591A0E" w:rsidRPr="00ED2B1F" w14:paraId="0FB53AF1" w14:textId="77777777" w:rsidTr="00591A0E">
        <w:trPr>
          <w:cantSplit/>
        </w:trPr>
        <w:tc>
          <w:tcPr>
            <w:tcW w:w="1417" w:type="dxa"/>
            <w:noWrap/>
          </w:tcPr>
          <w:p w14:paraId="423D9903" w14:textId="0ED53F08" w:rsidR="00591A0E" w:rsidRPr="00ED2B1F" w:rsidRDefault="00591A0E" w:rsidP="00497F1D">
            <w:pPr>
              <w:pStyle w:val="TableText"/>
              <w:rPr>
                <w:color w:val="000000"/>
                <w:szCs w:val="18"/>
                <w:lang w:eastAsia="en-NZ"/>
              </w:rPr>
            </w:pPr>
            <w:r w:rsidRPr="00ED2B1F">
              <w:rPr>
                <w:color w:val="000000"/>
                <w:szCs w:val="18"/>
                <w:lang w:eastAsia="en-NZ"/>
              </w:rPr>
              <w:t>Asian</w:t>
            </w:r>
          </w:p>
        </w:tc>
        <w:tc>
          <w:tcPr>
            <w:tcW w:w="1030" w:type="dxa"/>
            <w:noWrap/>
          </w:tcPr>
          <w:p w14:paraId="5023EDD8" w14:textId="0AFED9DA" w:rsidR="00591A0E" w:rsidRPr="00ED2B1F" w:rsidDel="005B6EE0" w:rsidRDefault="00591A0E" w:rsidP="00497F1D">
            <w:pPr>
              <w:pStyle w:val="TableText"/>
              <w:tabs>
                <w:tab w:val="decimal" w:pos="680"/>
              </w:tabs>
            </w:pPr>
            <w:r w:rsidRPr="00ED2B1F">
              <w:t>457</w:t>
            </w:r>
          </w:p>
        </w:tc>
        <w:tc>
          <w:tcPr>
            <w:tcW w:w="1030" w:type="dxa"/>
            <w:noWrap/>
          </w:tcPr>
          <w:p w14:paraId="0D684493" w14:textId="2F56A458" w:rsidR="00591A0E" w:rsidRPr="00ED2B1F" w:rsidDel="005B6EE0" w:rsidRDefault="00591A0E" w:rsidP="00497F1D">
            <w:pPr>
              <w:pStyle w:val="TableText"/>
              <w:tabs>
                <w:tab w:val="decimal" w:pos="567"/>
              </w:tabs>
            </w:pPr>
            <w:r w:rsidRPr="00ED2B1F">
              <w:t>43.7</w:t>
            </w:r>
          </w:p>
        </w:tc>
        <w:tc>
          <w:tcPr>
            <w:tcW w:w="1030" w:type="dxa"/>
            <w:noWrap/>
          </w:tcPr>
          <w:p w14:paraId="741B6B5B" w14:textId="202DA873" w:rsidR="00591A0E" w:rsidRPr="00ED2B1F" w:rsidDel="005B6EE0" w:rsidRDefault="00591A0E" w:rsidP="00497F1D">
            <w:pPr>
              <w:pStyle w:val="TableText"/>
              <w:tabs>
                <w:tab w:val="decimal" w:pos="680"/>
              </w:tabs>
            </w:pPr>
            <w:r w:rsidRPr="00ED2B1F">
              <w:t>412</w:t>
            </w:r>
          </w:p>
        </w:tc>
        <w:tc>
          <w:tcPr>
            <w:tcW w:w="1030" w:type="dxa"/>
            <w:noWrap/>
          </w:tcPr>
          <w:p w14:paraId="5AF2657D" w14:textId="2168C66E" w:rsidR="00591A0E" w:rsidRPr="00ED2B1F" w:rsidDel="005B6EE0" w:rsidRDefault="00591A0E" w:rsidP="00497F1D">
            <w:pPr>
              <w:pStyle w:val="TableText"/>
              <w:tabs>
                <w:tab w:val="decimal" w:pos="567"/>
              </w:tabs>
            </w:pPr>
            <w:r w:rsidRPr="00ED2B1F">
              <w:t>39.4</w:t>
            </w:r>
          </w:p>
        </w:tc>
        <w:tc>
          <w:tcPr>
            <w:tcW w:w="1030" w:type="dxa"/>
            <w:noWrap/>
          </w:tcPr>
          <w:p w14:paraId="202C47C0" w14:textId="55AD5560" w:rsidR="00591A0E" w:rsidRPr="00ED2B1F" w:rsidDel="00196FE1" w:rsidRDefault="00591A0E" w:rsidP="00497F1D">
            <w:pPr>
              <w:pStyle w:val="TableText"/>
              <w:tabs>
                <w:tab w:val="decimal" w:pos="680"/>
              </w:tabs>
            </w:pPr>
            <w:r w:rsidRPr="00ED2B1F">
              <w:t>281</w:t>
            </w:r>
          </w:p>
        </w:tc>
        <w:tc>
          <w:tcPr>
            <w:tcW w:w="1031" w:type="dxa"/>
            <w:noWrap/>
          </w:tcPr>
          <w:p w14:paraId="5DC95455" w14:textId="36F851E3" w:rsidR="00591A0E" w:rsidRPr="00ED2B1F" w:rsidDel="00196FE1" w:rsidRDefault="00591A0E" w:rsidP="00497F1D">
            <w:pPr>
              <w:pStyle w:val="TableText"/>
              <w:tabs>
                <w:tab w:val="decimal" w:pos="567"/>
              </w:tabs>
            </w:pPr>
            <w:r w:rsidRPr="00ED2B1F">
              <w:t>26.8</w:t>
            </w:r>
          </w:p>
        </w:tc>
      </w:tr>
      <w:tr w:rsidR="00591A0E" w:rsidRPr="00ED2B1F" w14:paraId="0B205DF3" w14:textId="77777777" w:rsidTr="00591A0E">
        <w:trPr>
          <w:cantSplit/>
        </w:trPr>
        <w:tc>
          <w:tcPr>
            <w:tcW w:w="1417" w:type="dxa"/>
            <w:noWrap/>
          </w:tcPr>
          <w:p w14:paraId="2CCB3D6F" w14:textId="77777777" w:rsidR="00591A0E" w:rsidRPr="00ED2B1F" w:rsidRDefault="00591A0E" w:rsidP="00497F1D">
            <w:pPr>
              <w:pStyle w:val="TableText"/>
              <w:rPr>
                <w:color w:val="000000"/>
                <w:szCs w:val="18"/>
                <w:lang w:eastAsia="en-NZ"/>
              </w:rPr>
            </w:pPr>
            <w:r w:rsidRPr="00ED2B1F">
              <w:rPr>
                <w:color w:val="000000"/>
                <w:szCs w:val="18"/>
                <w:lang w:eastAsia="en-NZ"/>
              </w:rPr>
              <w:t>Other</w:t>
            </w:r>
          </w:p>
        </w:tc>
        <w:tc>
          <w:tcPr>
            <w:tcW w:w="1030" w:type="dxa"/>
            <w:noWrap/>
          </w:tcPr>
          <w:p w14:paraId="0C00901D" w14:textId="3F4FA99D" w:rsidR="00591A0E" w:rsidRPr="00ED2B1F" w:rsidRDefault="00591A0E" w:rsidP="00497F1D">
            <w:pPr>
              <w:pStyle w:val="TableText"/>
              <w:tabs>
                <w:tab w:val="decimal" w:pos="680"/>
              </w:tabs>
              <w:rPr>
                <w:szCs w:val="18"/>
                <w:lang w:eastAsia="en-NZ"/>
              </w:rPr>
            </w:pPr>
            <w:r w:rsidRPr="00ED2B1F">
              <w:t>2,973</w:t>
            </w:r>
          </w:p>
        </w:tc>
        <w:tc>
          <w:tcPr>
            <w:tcW w:w="1030" w:type="dxa"/>
            <w:noWrap/>
          </w:tcPr>
          <w:p w14:paraId="0CA55246" w14:textId="3B4EBF35" w:rsidR="00591A0E" w:rsidRPr="00ED2B1F" w:rsidRDefault="00591A0E" w:rsidP="00497F1D">
            <w:pPr>
              <w:pStyle w:val="TableText"/>
              <w:tabs>
                <w:tab w:val="decimal" w:pos="567"/>
              </w:tabs>
              <w:rPr>
                <w:color w:val="000000"/>
                <w:szCs w:val="18"/>
                <w:lang w:eastAsia="en-NZ"/>
              </w:rPr>
            </w:pPr>
            <w:r w:rsidRPr="00ED2B1F">
              <w:t>99.0</w:t>
            </w:r>
          </w:p>
        </w:tc>
        <w:tc>
          <w:tcPr>
            <w:tcW w:w="1030" w:type="dxa"/>
            <w:noWrap/>
          </w:tcPr>
          <w:p w14:paraId="3D520193" w14:textId="73B659BF" w:rsidR="00591A0E" w:rsidRPr="00ED2B1F" w:rsidRDefault="00591A0E" w:rsidP="00497F1D">
            <w:pPr>
              <w:pStyle w:val="TableText"/>
              <w:tabs>
                <w:tab w:val="decimal" w:pos="680"/>
              </w:tabs>
              <w:rPr>
                <w:lang w:eastAsia="en-NZ"/>
              </w:rPr>
            </w:pPr>
            <w:r w:rsidRPr="00ED2B1F">
              <w:t>2,626</w:t>
            </w:r>
          </w:p>
        </w:tc>
        <w:tc>
          <w:tcPr>
            <w:tcW w:w="1030" w:type="dxa"/>
            <w:noWrap/>
          </w:tcPr>
          <w:p w14:paraId="0E133C72" w14:textId="6673A234" w:rsidR="00591A0E" w:rsidRPr="00ED2B1F" w:rsidRDefault="00591A0E" w:rsidP="00497F1D">
            <w:pPr>
              <w:pStyle w:val="TableText"/>
              <w:tabs>
                <w:tab w:val="decimal" w:pos="567"/>
              </w:tabs>
              <w:rPr>
                <w:color w:val="000000"/>
                <w:szCs w:val="18"/>
                <w:lang w:eastAsia="en-NZ"/>
              </w:rPr>
            </w:pPr>
            <w:r w:rsidRPr="00ED2B1F">
              <w:t>87.4</w:t>
            </w:r>
          </w:p>
        </w:tc>
        <w:tc>
          <w:tcPr>
            <w:tcW w:w="1030" w:type="dxa"/>
            <w:noWrap/>
          </w:tcPr>
          <w:p w14:paraId="1302A54D" w14:textId="1338956E" w:rsidR="00591A0E" w:rsidRPr="00ED2B1F" w:rsidRDefault="00591A0E" w:rsidP="00497F1D">
            <w:pPr>
              <w:pStyle w:val="TableText"/>
              <w:tabs>
                <w:tab w:val="decimal" w:pos="680"/>
              </w:tabs>
              <w:rPr>
                <w:szCs w:val="18"/>
                <w:lang w:eastAsia="en-NZ"/>
              </w:rPr>
            </w:pPr>
            <w:r w:rsidRPr="00ED2B1F">
              <w:t>1,801</w:t>
            </w:r>
          </w:p>
        </w:tc>
        <w:tc>
          <w:tcPr>
            <w:tcW w:w="1031" w:type="dxa"/>
            <w:noWrap/>
          </w:tcPr>
          <w:p w14:paraId="678C442D" w14:textId="2499371F" w:rsidR="00591A0E" w:rsidRPr="00ED2B1F" w:rsidRDefault="00591A0E" w:rsidP="00497F1D">
            <w:pPr>
              <w:pStyle w:val="TableText"/>
              <w:tabs>
                <w:tab w:val="decimal" w:pos="567"/>
              </w:tabs>
              <w:rPr>
                <w:color w:val="000000"/>
                <w:szCs w:val="18"/>
                <w:lang w:eastAsia="en-NZ"/>
              </w:rPr>
            </w:pPr>
            <w:r w:rsidRPr="00ED2B1F">
              <w:t>60.0</w:t>
            </w:r>
          </w:p>
        </w:tc>
      </w:tr>
      <w:tr w:rsidR="00591A0E" w:rsidRPr="00ED2B1F" w14:paraId="0766DC68" w14:textId="77777777" w:rsidTr="00591A0E">
        <w:trPr>
          <w:cantSplit/>
        </w:trPr>
        <w:tc>
          <w:tcPr>
            <w:tcW w:w="1417" w:type="dxa"/>
            <w:noWrap/>
            <w:vAlign w:val="bottom"/>
            <w:hideMark/>
          </w:tcPr>
          <w:p w14:paraId="73C0E075" w14:textId="77777777" w:rsidR="00591A0E" w:rsidRPr="00ED2B1F" w:rsidRDefault="00591A0E" w:rsidP="00DE3CF4">
            <w:pPr>
              <w:pStyle w:val="TableText"/>
              <w:rPr>
                <w:b/>
                <w:color w:val="000000"/>
                <w:szCs w:val="18"/>
                <w:lang w:eastAsia="en-NZ"/>
              </w:rPr>
            </w:pPr>
            <w:r w:rsidRPr="00ED2B1F">
              <w:rPr>
                <w:b/>
                <w:color w:val="000000"/>
                <w:szCs w:val="18"/>
                <w:lang w:eastAsia="en-NZ"/>
              </w:rPr>
              <w:t>All</w:t>
            </w:r>
          </w:p>
        </w:tc>
        <w:tc>
          <w:tcPr>
            <w:tcW w:w="1030" w:type="dxa"/>
            <w:noWrap/>
            <w:hideMark/>
          </w:tcPr>
          <w:p w14:paraId="496FD6A6" w14:textId="1A344934" w:rsidR="00591A0E" w:rsidRPr="00ED2B1F" w:rsidRDefault="00591A0E" w:rsidP="00497F1D">
            <w:pPr>
              <w:pStyle w:val="TableText"/>
              <w:tabs>
                <w:tab w:val="decimal" w:pos="680"/>
              </w:tabs>
              <w:rPr>
                <w:b/>
                <w:szCs w:val="18"/>
                <w:lang w:eastAsia="en-NZ"/>
              </w:rPr>
            </w:pPr>
            <w:r w:rsidRPr="00ED2B1F">
              <w:rPr>
                <w:b/>
                <w:szCs w:val="18"/>
                <w:lang w:eastAsia="en-NZ"/>
              </w:rPr>
              <w:t>6,081</w:t>
            </w:r>
          </w:p>
        </w:tc>
        <w:tc>
          <w:tcPr>
            <w:tcW w:w="1030" w:type="dxa"/>
            <w:noWrap/>
            <w:hideMark/>
          </w:tcPr>
          <w:p w14:paraId="628A78BE" w14:textId="27319003" w:rsidR="00591A0E" w:rsidRPr="00ED2B1F" w:rsidRDefault="00C505CF" w:rsidP="00497F1D">
            <w:pPr>
              <w:pStyle w:val="TableText"/>
              <w:tabs>
                <w:tab w:val="decimal" w:pos="567"/>
              </w:tabs>
              <w:rPr>
                <w:b/>
                <w:color w:val="000000"/>
                <w:szCs w:val="18"/>
                <w:lang w:eastAsia="en-NZ"/>
              </w:rPr>
            </w:pPr>
            <w:r w:rsidRPr="00ED2B1F">
              <w:rPr>
                <w:b/>
                <w:color w:val="000000"/>
                <w:szCs w:val="18"/>
                <w:lang w:eastAsia="en-NZ"/>
              </w:rPr>
              <w:t>113.9</w:t>
            </w:r>
          </w:p>
        </w:tc>
        <w:tc>
          <w:tcPr>
            <w:tcW w:w="1030" w:type="dxa"/>
            <w:noWrap/>
            <w:hideMark/>
          </w:tcPr>
          <w:p w14:paraId="7546F413" w14:textId="0A8A286A" w:rsidR="00591A0E" w:rsidRPr="00ED2B1F" w:rsidRDefault="00591A0E" w:rsidP="00497F1D">
            <w:pPr>
              <w:pStyle w:val="TableText"/>
              <w:tabs>
                <w:tab w:val="decimal" w:pos="680"/>
              </w:tabs>
              <w:rPr>
                <w:b/>
                <w:szCs w:val="18"/>
                <w:lang w:eastAsia="en-NZ"/>
              </w:rPr>
            </w:pPr>
            <w:r w:rsidRPr="00ED2B1F">
              <w:rPr>
                <w:b/>
                <w:szCs w:val="18"/>
                <w:lang w:eastAsia="en-NZ"/>
              </w:rPr>
              <w:t>5,488</w:t>
            </w:r>
          </w:p>
        </w:tc>
        <w:tc>
          <w:tcPr>
            <w:tcW w:w="1030" w:type="dxa"/>
            <w:noWrap/>
            <w:hideMark/>
          </w:tcPr>
          <w:p w14:paraId="3E0E820D" w14:textId="6FA7910B" w:rsidR="00591A0E" w:rsidRPr="00ED2B1F" w:rsidRDefault="004934CE" w:rsidP="00497F1D">
            <w:pPr>
              <w:pStyle w:val="TableText"/>
              <w:tabs>
                <w:tab w:val="decimal" w:pos="567"/>
              </w:tabs>
              <w:rPr>
                <w:b/>
                <w:color w:val="000000"/>
                <w:szCs w:val="18"/>
                <w:lang w:eastAsia="en-NZ"/>
              </w:rPr>
            </w:pPr>
            <w:r w:rsidRPr="00ED2B1F">
              <w:rPr>
                <w:b/>
                <w:color w:val="000000"/>
                <w:szCs w:val="18"/>
                <w:lang w:eastAsia="en-NZ"/>
              </w:rPr>
              <w:t>102.7</w:t>
            </w:r>
          </w:p>
        </w:tc>
        <w:tc>
          <w:tcPr>
            <w:tcW w:w="1030" w:type="dxa"/>
            <w:noWrap/>
            <w:hideMark/>
          </w:tcPr>
          <w:p w14:paraId="4D9FFE05" w14:textId="0814E2DA" w:rsidR="00591A0E" w:rsidRPr="00ED2B1F" w:rsidRDefault="00591A0E" w:rsidP="00497F1D">
            <w:pPr>
              <w:pStyle w:val="TableText"/>
              <w:tabs>
                <w:tab w:val="decimal" w:pos="680"/>
              </w:tabs>
              <w:rPr>
                <w:b/>
                <w:szCs w:val="18"/>
                <w:lang w:eastAsia="en-NZ"/>
              </w:rPr>
            </w:pPr>
            <w:r w:rsidRPr="00ED2B1F">
              <w:rPr>
                <w:b/>
                <w:szCs w:val="18"/>
                <w:lang w:eastAsia="en-NZ"/>
              </w:rPr>
              <w:t>3,898</w:t>
            </w:r>
          </w:p>
        </w:tc>
        <w:tc>
          <w:tcPr>
            <w:tcW w:w="1031" w:type="dxa"/>
            <w:noWrap/>
            <w:hideMark/>
          </w:tcPr>
          <w:p w14:paraId="0DE0E2BB" w14:textId="64A36D74" w:rsidR="00591A0E" w:rsidRPr="00ED2B1F" w:rsidRDefault="004934CE" w:rsidP="00497F1D">
            <w:pPr>
              <w:pStyle w:val="TableText"/>
              <w:tabs>
                <w:tab w:val="decimal" w:pos="567"/>
              </w:tabs>
              <w:rPr>
                <w:b/>
                <w:color w:val="000000"/>
                <w:szCs w:val="18"/>
                <w:lang w:eastAsia="en-NZ"/>
              </w:rPr>
            </w:pPr>
            <w:r w:rsidRPr="00ED2B1F">
              <w:rPr>
                <w:b/>
                <w:color w:val="000000"/>
                <w:szCs w:val="18"/>
                <w:lang w:eastAsia="en-NZ"/>
              </w:rPr>
              <w:t>73.0</w:t>
            </w:r>
          </w:p>
        </w:tc>
      </w:tr>
    </w:tbl>
    <w:p w14:paraId="08FDB233" w14:textId="47D7568A" w:rsidR="00497443" w:rsidRPr="00ED2B1F" w:rsidRDefault="00C1465D" w:rsidP="00BE1FCB">
      <w:pPr>
        <w:pStyle w:val="Note"/>
      </w:pPr>
      <w:r w:rsidRPr="00ED2B1F">
        <w:t xml:space="preserve">Sources: PRIMHD data (extracted 10 June 2025) and manual data from Health New Zealand Counties Manukau, </w:t>
      </w:r>
      <w:r w:rsidR="00CE3FE8">
        <w:t xml:space="preserve">and </w:t>
      </w:r>
      <w:r w:rsidRPr="00ED2B1F">
        <w:t>Waikato</w:t>
      </w:r>
      <w:r w:rsidR="00CE3FE8">
        <w:t>.</w:t>
      </w:r>
    </w:p>
    <w:p w14:paraId="07A9FCFD" w14:textId="77777777" w:rsidR="00497443" w:rsidRPr="00ED2B1F" w:rsidRDefault="00497443" w:rsidP="007A34A3">
      <w:pPr>
        <w:pStyle w:val="Heading2"/>
      </w:pPr>
      <w:bookmarkStart w:id="121" w:name="_Toc87429905"/>
      <w:bookmarkStart w:id="122" w:name="_Toc88826953"/>
      <w:bookmarkStart w:id="123" w:name="_Toc115188803"/>
      <w:bookmarkStart w:id="124" w:name="_Toc145394231"/>
      <w:bookmarkStart w:id="125" w:name="_Toc189053901"/>
      <w:bookmarkStart w:id="126" w:name="_Toc224638092"/>
      <w:r w:rsidRPr="00ED2B1F">
        <w:t>Compulsory treatment orders</w:t>
      </w:r>
      <w:bookmarkEnd w:id="121"/>
      <w:bookmarkEnd w:id="122"/>
      <w:bookmarkEnd w:id="123"/>
      <w:bookmarkEnd w:id="124"/>
      <w:bookmarkEnd w:id="125"/>
      <w:bookmarkEnd w:id="126"/>
    </w:p>
    <w:p w14:paraId="1F5B1AB4" w14:textId="1452F2C9" w:rsidR="00497443" w:rsidRPr="00ED2B1F" w:rsidRDefault="00497443" w:rsidP="00497443">
      <w:r w:rsidRPr="00ED2B1F">
        <w:fldChar w:fldCharType="begin"/>
      </w:r>
      <w:r w:rsidRPr="00ED2B1F">
        <w:instrText xml:space="preserve"> REF _Ref85700499 \h </w:instrText>
      </w:r>
      <w:r w:rsidRPr="00ED2B1F">
        <w:fldChar w:fldCharType="separate"/>
      </w:r>
      <w:r w:rsidR="00484E57" w:rsidRPr="00ED2B1F">
        <w:t>Table </w:t>
      </w:r>
      <w:r w:rsidR="00484E57">
        <w:rPr>
          <w:noProof/>
        </w:rPr>
        <w:t>5</w:t>
      </w:r>
      <w:r w:rsidRPr="00ED2B1F">
        <w:fldChar w:fldCharType="end"/>
      </w:r>
      <w:r w:rsidRPr="00ED2B1F">
        <w:t xml:space="preserve"> shows that Māori were more likely to be subject to community and inpatient treatment orders than </w:t>
      </w:r>
      <w:r w:rsidR="000754CF" w:rsidRPr="00ED2B1F">
        <w:t>other ethnic groups</w:t>
      </w:r>
      <w:r w:rsidRPr="00ED2B1F">
        <w:t xml:space="preserve">. These figures represent the number of people who were subject to a CTO during the </w:t>
      </w:r>
      <w:r w:rsidR="00211D17" w:rsidRPr="00ED2B1F">
        <w:t>2023/24</w:t>
      </w:r>
      <w:r w:rsidRPr="00ED2B1F">
        <w:t xml:space="preserve"> financial year, rather than the number of CTOs issued for the year.</w:t>
      </w:r>
    </w:p>
    <w:p w14:paraId="051C25FD" w14:textId="77777777" w:rsidR="00497443" w:rsidRPr="00ED2B1F" w:rsidRDefault="00497443" w:rsidP="00497443"/>
    <w:p w14:paraId="23EA1009" w14:textId="072FEA53" w:rsidR="00497443" w:rsidRPr="00ED2B1F" w:rsidRDefault="00497443" w:rsidP="00C103C7">
      <w:pPr>
        <w:pStyle w:val="Table"/>
      </w:pPr>
      <w:bookmarkStart w:id="127" w:name="_Ref85700499"/>
      <w:bookmarkStart w:id="128" w:name="_Toc87430002"/>
      <w:bookmarkStart w:id="129" w:name="_Toc88561359"/>
      <w:bookmarkStart w:id="130" w:name="_Toc115188893"/>
      <w:bookmarkStart w:id="131" w:name="_Toc142314755"/>
      <w:bookmarkStart w:id="132" w:name="_Toc145394317"/>
      <w:bookmarkStart w:id="133" w:name="_Toc189053995"/>
      <w:bookmarkStart w:id="134" w:name="_Toc224638225"/>
      <w:r w:rsidRPr="00ED2B1F">
        <w:t>Table </w:t>
      </w:r>
      <w:r w:rsidRPr="00ED2B1F">
        <w:fldChar w:fldCharType="begin"/>
      </w:r>
      <w:r w:rsidRPr="00ED2B1F">
        <w:instrText>SEQ Table \* ARABIC</w:instrText>
      </w:r>
      <w:r w:rsidRPr="00ED2B1F">
        <w:fldChar w:fldCharType="separate"/>
      </w:r>
      <w:r w:rsidR="00484E57">
        <w:rPr>
          <w:noProof/>
        </w:rPr>
        <w:t>5</w:t>
      </w:r>
      <w:r w:rsidRPr="00ED2B1F">
        <w:fldChar w:fldCharType="end"/>
      </w:r>
      <w:bookmarkEnd w:id="127"/>
      <w:r w:rsidRPr="00ED2B1F">
        <w:t xml:space="preserve">: Number and rate of people subject to a compulsory treatment order under section 29 or 30 of the Mental Health Act, by ethnicity, </w:t>
      </w:r>
      <w:bookmarkEnd w:id="128"/>
      <w:bookmarkEnd w:id="129"/>
      <w:bookmarkEnd w:id="130"/>
      <w:bookmarkEnd w:id="131"/>
      <w:bookmarkEnd w:id="132"/>
      <w:bookmarkEnd w:id="133"/>
      <w:r w:rsidR="00211D17" w:rsidRPr="00ED2B1F">
        <w:t>1 July 2023 to 30 June 2024</w:t>
      </w:r>
      <w:bookmarkEnd w:id="134"/>
    </w:p>
    <w:tbl>
      <w:tblPr>
        <w:tblW w:w="7742"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701"/>
        <w:gridCol w:w="1417"/>
        <w:gridCol w:w="1418"/>
        <w:gridCol w:w="1648"/>
        <w:gridCol w:w="1558"/>
      </w:tblGrid>
      <w:tr w:rsidR="00003B5A" w:rsidRPr="00ED2B1F" w14:paraId="75E664C9" w14:textId="77777777" w:rsidTr="00A82004">
        <w:tc>
          <w:tcPr>
            <w:tcW w:w="1701" w:type="dxa"/>
            <w:vMerge w:val="restart"/>
            <w:tcBorders>
              <w:top w:val="nil"/>
            </w:tcBorders>
            <w:shd w:val="clear" w:color="auto" w:fill="D9D9D9" w:themeFill="background1" w:themeFillShade="D9"/>
            <w:vAlign w:val="bottom"/>
          </w:tcPr>
          <w:p w14:paraId="6575FACA" w14:textId="0B72B038" w:rsidR="00003B5A" w:rsidRPr="00A82004" w:rsidRDefault="00003B5A" w:rsidP="00497F1D">
            <w:pPr>
              <w:pStyle w:val="TableText"/>
              <w:rPr>
                <w:b/>
              </w:rPr>
            </w:pPr>
            <w:r w:rsidRPr="00A82004">
              <w:rPr>
                <w:b/>
              </w:rPr>
              <w:t>Ethnic group</w:t>
            </w:r>
          </w:p>
        </w:tc>
        <w:tc>
          <w:tcPr>
            <w:tcW w:w="2835" w:type="dxa"/>
            <w:gridSpan w:val="2"/>
            <w:tcBorders>
              <w:bottom w:val="nil"/>
            </w:tcBorders>
            <w:shd w:val="clear" w:color="auto" w:fill="D9D9D9" w:themeFill="background1" w:themeFillShade="D9"/>
          </w:tcPr>
          <w:p w14:paraId="7A230932" w14:textId="77777777" w:rsidR="00003B5A" w:rsidRPr="00A82004" w:rsidRDefault="00003B5A" w:rsidP="00497F1D">
            <w:pPr>
              <w:pStyle w:val="TableText"/>
              <w:jc w:val="center"/>
              <w:rPr>
                <w:b/>
              </w:rPr>
            </w:pPr>
            <w:r w:rsidRPr="00A82004">
              <w:rPr>
                <w:b/>
              </w:rPr>
              <w:t>Section 29</w:t>
            </w:r>
          </w:p>
        </w:tc>
        <w:tc>
          <w:tcPr>
            <w:tcW w:w="3206" w:type="dxa"/>
            <w:gridSpan w:val="2"/>
            <w:tcBorders>
              <w:bottom w:val="nil"/>
            </w:tcBorders>
            <w:shd w:val="clear" w:color="auto" w:fill="D9D9D9" w:themeFill="background1" w:themeFillShade="D9"/>
          </w:tcPr>
          <w:p w14:paraId="2D24BFFF" w14:textId="224B642C" w:rsidR="00003B5A" w:rsidRPr="00A82004" w:rsidRDefault="00003B5A" w:rsidP="00497F1D">
            <w:pPr>
              <w:pStyle w:val="TableText"/>
              <w:jc w:val="center"/>
              <w:rPr>
                <w:b/>
              </w:rPr>
            </w:pPr>
            <w:r w:rsidRPr="00A82004">
              <w:rPr>
                <w:b/>
              </w:rPr>
              <w:t>Section 30</w:t>
            </w:r>
          </w:p>
        </w:tc>
      </w:tr>
      <w:tr w:rsidR="00003B5A" w:rsidRPr="00ED2B1F" w14:paraId="74E7FF9F" w14:textId="77777777" w:rsidTr="00A82004">
        <w:trPr>
          <w:trHeight w:val="113"/>
        </w:trPr>
        <w:tc>
          <w:tcPr>
            <w:tcW w:w="1701" w:type="dxa"/>
            <w:vMerge/>
            <w:tcBorders>
              <w:bottom w:val="nil"/>
            </w:tcBorders>
            <w:shd w:val="clear" w:color="auto" w:fill="D9D9D9" w:themeFill="background1" w:themeFillShade="D9"/>
          </w:tcPr>
          <w:p w14:paraId="22B57A58" w14:textId="093D3649" w:rsidR="00003B5A" w:rsidRPr="00A82004" w:rsidRDefault="00003B5A" w:rsidP="00497F1D">
            <w:pPr>
              <w:pStyle w:val="TableText"/>
              <w:rPr>
                <w:b/>
              </w:rPr>
            </w:pPr>
          </w:p>
        </w:tc>
        <w:tc>
          <w:tcPr>
            <w:tcW w:w="1417" w:type="dxa"/>
            <w:tcBorders>
              <w:top w:val="nil"/>
              <w:bottom w:val="nil"/>
            </w:tcBorders>
            <w:shd w:val="clear" w:color="auto" w:fill="D9D9D9" w:themeFill="background1" w:themeFillShade="D9"/>
          </w:tcPr>
          <w:p w14:paraId="2723373F" w14:textId="77777777" w:rsidR="00003B5A" w:rsidRPr="00A82004" w:rsidRDefault="00003B5A" w:rsidP="00C103C7">
            <w:pPr>
              <w:pStyle w:val="TableText"/>
              <w:jc w:val="center"/>
              <w:rPr>
                <w:b/>
              </w:rPr>
            </w:pPr>
            <w:r w:rsidRPr="00A82004">
              <w:rPr>
                <w:b/>
              </w:rPr>
              <w:t>Number</w:t>
            </w:r>
          </w:p>
        </w:tc>
        <w:tc>
          <w:tcPr>
            <w:tcW w:w="1418" w:type="dxa"/>
            <w:tcBorders>
              <w:top w:val="nil"/>
              <w:bottom w:val="nil"/>
            </w:tcBorders>
            <w:shd w:val="clear" w:color="auto" w:fill="D9D9D9" w:themeFill="background1" w:themeFillShade="D9"/>
          </w:tcPr>
          <w:p w14:paraId="0D0B24FC" w14:textId="77777777" w:rsidR="00003B5A" w:rsidRPr="00A82004" w:rsidRDefault="00003B5A" w:rsidP="00C103C7">
            <w:pPr>
              <w:pStyle w:val="TableText"/>
              <w:jc w:val="center"/>
              <w:rPr>
                <w:b/>
              </w:rPr>
            </w:pPr>
            <w:r w:rsidRPr="00A82004">
              <w:rPr>
                <w:b/>
              </w:rPr>
              <w:t>Rate</w:t>
            </w:r>
          </w:p>
        </w:tc>
        <w:tc>
          <w:tcPr>
            <w:tcW w:w="1648" w:type="dxa"/>
            <w:tcBorders>
              <w:top w:val="nil"/>
              <w:bottom w:val="nil"/>
            </w:tcBorders>
            <w:shd w:val="clear" w:color="auto" w:fill="D9D9D9" w:themeFill="background1" w:themeFillShade="D9"/>
          </w:tcPr>
          <w:p w14:paraId="7F969AC1" w14:textId="6ACBFE74" w:rsidR="00003B5A" w:rsidRPr="00A82004" w:rsidRDefault="00003B5A" w:rsidP="00C103C7">
            <w:pPr>
              <w:pStyle w:val="TableText"/>
              <w:jc w:val="center"/>
              <w:rPr>
                <w:b/>
              </w:rPr>
            </w:pPr>
            <w:r w:rsidRPr="00A82004">
              <w:rPr>
                <w:b/>
              </w:rPr>
              <w:t>Number</w:t>
            </w:r>
          </w:p>
        </w:tc>
        <w:tc>
          <w:tcPr>
            <w:tcW w:w="1558" w:type="dxa"/>
            <w:tcBorders>
              <w:top w:val="nil"/>
              <w:bottom w:val="nil"/>
            </w:tcBorders>
            <w:shd w:val="clear" w:color="auto" w:fill="D9D9D9" w:themeFill="background1" w:themeFillShade="D9"/>
          </w:tcPr>
          <w:p w14:paraId="4FBBDBB1" w14:textId="77777777" w:rsidR="00003B5A" w:rsidRPr="00A82004" w:rsidRDefault="00003B5A" w:rsidP="00C103C7">
            <w:pPr>
              <w:pStyle w:val="TableText"/>
              <w:jc w:val="center"/>
              <w:rPr>
                <w:b/>
              </w:rPr>
            </w:pPr>
            <w:r w:rsidRPr="00A82004">
              <w:rPr>
                <w:b/>
              </w:rPr>
              <w:t>Rate</w:t>
            </w:r>
          </w:p>
        </w:tc>
      </w:tr>
      <w:tr w:rsidR="00003B5A" w:rsidRPr="00ED2B1F" w14:paraId="08026FEB" w14:textId="77777777" w:rsidTr="00591A0E">
        <w:tc>
          <w:tcPr>
            <w:tcW w:w="1701" w:type="dxa"/>
            <w:tcBorders>
              <w:top w:val="nil"/>
            </w:tcBorders>
          </w:tcPr>
          <w:p w14:paraId="03466D4D" w14:textId="77777777" w:rsidR="00003B5A" w:rsidRPr="00ED2B1F" w:rsidRDefault="00003B5A" w:rsidP="00497F1D">
            <w:pPr>
              <w:pStyle w:val="TableText"/>
            </w:pPr>
            <w:r w:rsidRPr="00ED2B1F">
              <w:t>Māori</w:t>
            </w:r>
          </w:p>
        </w:tc>
        <w:tc>
          <w:tcPr>
            <w:tcW w:w="1417" w:type="dxa"/>
            <w:tcBorders>
              <w:top w:val="nil"/>
            </w:tcBorders>
            <w:vAlign w:val="center"/>
          </w:tcPr>
          <w:p w14:paraId="3FDBE43C" w14:textId="69754493" w:rsidR="00003B5A" w:rsidRPr="00ED2B1F" w:rsidRDefault="00003B5A" w:rsidP="00591A0E">
            <w:pPr>
              <w:pStyle w:val="TableText"/>
              <w:ind w:right="486"/>
              <w:jc w:val="right"/>
            </w:pPr>
            <w:r w:rsidRPr="00ED2B1F">
              <w:t>2,928</w:t>
            </w:r>
          </w:p>
        </w:tc>
        <w:tc>
          <w:tcPr>
            <w:tcW w:w="1418" w:type="dxa"/>
            <w:tcBorders>
              <w:top w:val="nil"/>
            </w:tcBorders>
            <w:vAlign w:val="center"/>
          </w:tcPr>
          <w:p w14:paraId="71CFB3A7" w14:textId="0BACA9B3" w:rsidR="00003B5A" w:rsidRPr="00ED2B1F" w:rsidRDefault="00003B5A" w:rsidP="00591A0E">
            <w:pPr>
              <w:pStyle w:val="TableText"/>
              <w:spacing w:line="259" w:lineRule="auto"/>
              <w:ind w:right="486"/>
              <w:jc w:val="right"/>
            </w:pPr>
            <w:r w:rsidRPr="00ED2B1F">
              <w:t>321.1</w:t>
            </w:r>
          </w:p>
        </w:tc>
        <w:tc>
          <w:tcPr>
            <w:tcW w:w="1648" w:type="dxa"/>
            <w:tcBorders>
              <w:top w:val="nil"/>
            </w:tcBorders>
            <w:vAlign w:val="center"/>
          </w:tcPr>
          <w:p w14:paraId="482C070D" w14:textId="517709B7" w:rsidR="00003B5A" w:rsidRPr="00ED2B1F" w:rsidRDefault="00003B5A" w:rsidP="00591A0E">
            <w:pPr>
              <w:pStyle w:val="TableText"/>
              <w:ind w:right="486"/>
              <w:jc w:val="right"/>
            </w:pPr>
            <w:r w:rsidRPr="00ED2B1F">
              <w:t>918</w:t>
            </w:r>
          </w:p>
        </w:tc>
        <w:tc>
          <w:tcPr>
            <w:tcW w:w="1558" w:type="dxa"/>
            <w:tcBorders>
              <w:top w:val="nil"/>
            </w:tcBorders>
            <w:vAlign w:val="center"/>
          </w:tcPr>
          <w:p w14:paraId="5C176173" w14:textId="26FF4AD5" w:rsidR="00003B5A" w:rsidRPr="00ED2B1F" w:rsidRDefault="00003B5A" w:rsidP="00591A0E">
            <w:pPr>
              <w:pStyle w:val="TableText"/>
              <w:ind w:right="486"/>
              <w:jc w:val="right"/>
            </w:pPr>
            <w:r w:rsidRPr="00ED2B1F">
              <w:t>100.7</w:t>
            </w:r>
          </w:p>
        </w:tc>
      </w:tr>
      <w:tr w:rsidR="00003B5A" w:rsidRPr="00ED2B1F" w14:paraId="163B5FF6" w14:textId="77777777" w:rsidTr="00591A0E">
        <w:tc>
          <w:tcPr>
            <w:tcW w:w="1701" w:type="dxa"/>
          </w:tcPr>
          <w:p w14:paraId="608C3681" w14:textId="77777777" w:rsidR="00003B5A" w:rsidRPr="00ED2B1F" w:rsidRDefault="00003B5A" w:rsidP="00497F1D">
            <w:pPr>
              <w:pStyle w:val="TableText"/>
            </w:pPr>
            <w:r w:rsidRPr="00ED2B1F">
              <w:t>Pacific peoples</w:t>
            </w:r>
          </w:p>
        </w:tc>
        <w:tc>
          <w:tcPr>
            <w:tcW w:w="1417" w:type="dxa"/>
            <w:vAlign w:val="center"/>
          </w:tcPr>
          <w:p w14:paraId="7E13CC2D" w14:textId="5DCD318D" w:rsidR="00003B5A" w:rsidRPr="00ED2B1F" w:rsidRDefault="00003B5A" w:rsidP="00591A0E">
            <w:pPr>
              <w:pStyle w:val="TableText"/>
              <w:ind w:right="486"/>
              <w:jc w:val="right"/>
            </w:pPr>
            <w:r w:rsidRPr="00ED2B1F">
              <w:t>614</w:t>
            </w:r>
          </w:p>
        </w:tc>
        <w:tc>
          <w:tcPr>
            <w:tcW w:w="1418" w:type="dxa"/>
            <w:vAlign w:val="center"/>
          </w:tcPr>
          <w:p w14:paraId="588CC7F7" w14:textId="1B1E1A66" w:rsidR="00003B5A" w:rsidRPr="00ED2B1F" w:rsidRDefault="00003B5A" w:rsidP="00591A0E">
            <w:pPr>
              <w:pStyle w:val="TableText"/>
              <w:spacing w:line="259" w:lineRule="auto"/>
              <w:ind w:right="486"/>
              <w:jc w:val="right"/>
            </w:pPr>
            <w:r w:rsidRPr="00ED2B1F">
              <w:t>168.1</w:t>
            </w:r>
          </w:p>
        </w:tc>
        <w:tc>
          <w:tcPr>
            <w:tcW w:w="1648" w:type="dxa"/>
            <w:vAlign w:val="center"/>
          </w:tcPr>
          <w:p w14:paraId="2BE0450B" w14:textId="1B1F6B90" w:rsidR="00003B5A" w:rsidRPr="00ED2B1F" w:rsidRDefault="00003B5A" w:rsidP="00591A0E">
            <w:pPr>
              <w:pStyle w:val="TableText"/>
              <w:ind w:right="486"/>
              <w:jc w:val="right"/>
            </w:pPr>
            <w:r w:rsidRPr="00ED2B1F">
              <w:t>234</w:t>
            </w:r>
          </w:p>
        </w:tc>
        <w:tc>
          <w:tcPr>
            <w:tcW w:w="1558" w:type="dxa"/>
            <w:vAlign w:val="center"/>
          </w:tcPr>
          <w:p w14:paraId="55C58991" w14:textId="41307B8C" w:rsidR="00003B5A" w:rsidRPr="00ED2B1F" w:rsidRDefault="00003B5A" w:rsidP="00591A0E">
            <w:pPr>
              <w:pStyle w:val="TableText"/>
              <w:ind w:right="486"/>
              <w:jc w:val="right"/>
            </w:pPr>
            <w:r w:rsidRPr="00ED2B1F">
              <w:t>63.0</w:t>
            </w:r>
          </w:p>
        </w:tc>
      </w:tr>
      <w:tr w:rsidR="00003B5A" w:rsidRPr="00ED2B1F" w14:paraId="63F6F677" w14:textId="77777777" w:rsidTr="00591A0E">
        <w:tc>
          <w:tcPr>
            <w:tcW w:w="1701" w:type="dxa"/>
          </w:tcPr>
          <w:p w14:paraId="59376976" w14:textId="0591230A" w:rsidR="00003B5A" w:rsidRPr="00ED2B1F" w:rsidRDefault="00003B5A" w:rsidP="00497F1D">
            <w:pPr>
              <w:pStyle w:val="TableText"/>
            </w:pPr>
            <w:r w:rsidRPr="00ED2B1F">
              <w:t>Asian</w:t>
            </w:r>
          </w:p>
        </w:tc>
        <w:tc>
          <w:tcPr>
            <w:tcW w:w="1417" w:type="dxa"/>
            <w:vAlign w:val="center"/>
          </w:tcPr>
          <w:p w14:paraId="3DD5C9E1" w14:textId="2940FAD6" w:rsidR="00003B5A" w:rsidRPr="00ED2B1F" w:rsidRDefault="00003B5A" w:rsidP="00591A0E">
            <w:pPr>
              <w:pStyle w:val="TableText"/>
              <w:ind w:right="486"/>
              <w:jc w:val="right"/>
            </w:pPr>
            <w:r w:rsidRPr="00ED2B1F">
              <w:t>454</w:t>
            </w:r>
          </w:p>
        </w:tc>
        <w:tc>
          <w:tcPr>
            <w:tcW w:w="1418" w:type="dxa"/>
            <w:vAlign w:val="center"/>
          </w:tcPr>
          <w:p w14:paraId="4DAE99CC" w14:textId="18A8B52B" w:rsidR="00003B5A" w:rsidRPr="00ED2B1F" w:rsidRDefault="00003B5A" w:rsidP="00591A0E">
            <w:pPr>
              <w:pStyle w:val="TableText"/>
              <w:spacing w:line="259" w:lineRule="auto"/>
              <w:ind w:right="486"/>
              <w:jc w:val="right"/>
            </w:pPr>
            <w:r w:rsidRPr="00ED2B1F">
              <w:t>43.4</w:t>
            </w:r>
          </w:p>
        </w:tc>
        <w:tc>
          <w:tcPr>
            <w:tcW w:w="1648" w:type="dxa"/>
            <w:vAlign w:val="center"/>
          </w:tcPr>
          <w:p w14:paraId="7B53D45F" w14:textId="3471D3FF" w:rsidR="00003B5A" w:rsidRPr="00ED2B1F" w:rsidRDefault="00003B5A" w:rsidP="00591A0E">
            <w:pPr>
              <w:pStyle w:val="TableText"/>
              <w:ind w:right="486"/>
              <w:jc w:val="right"/>
            </w:pPr>
            <w:r w:rsidRPr="00ED2B1F">
              <w:t>151</w:t>
            </w:r>
          </w:p>
        </w:tc>
        <w:tc>
          <w:tcPr>
            <w:tcW w:w="1558" w:type="dxa"/>
            <w:vAlign w:val="center"/>
          </w:tcPr>
          <w:p w14:paraId="5A074535" w14:textId="2B638025" w:rsidR="00003B5A" w:rsidRPr="00ED2B1F" w:rsidRDefault="00003B5A" w:rsidP="00591A0E">
            <w:pPr>
              <w:pStyle w:val="TableText"/>
              <w:ind w:right="486"/>
              <w:jc w:val="right"/>
            </w:pPr>
            <w:r w:rsidRPr="00ED2B1F">
              <w:t>14.4</w:t>
            </w:r>
          </w:p>
        </w:tc>
      </w:tr>
      <w:tr w:rsidR="00003B5A" w:rsidRPr="00ED2B1F" w14:paraId="1E32E3A0" w14:textId="77777777" w:rsidTr="00591A0E">
        <w:tc>
          <w:tcPr>
            <w:tcW w:w="1701" w:type="dxa"/>
          </w:tcPr>
          <w:p w14:paraId="7EDD2380" w14:textId="77777777" w:rsidR="00003B5A" w:rsidRPr="00ED2B1F" w:rsidRDefault="00003B5A" w:rsidP="00497F1D">
            <w:pPr>
              <w:pStyle w:val="TableText"/>
            </w:pPr>
            <w:r w:rsidRPr="00ED2B1F">
              <w:t>Other</w:t>
            </w:r>
          </w:p>
        </w:tc>
        <w:tc>
          <w:tcPr>
            <w:tcW w:w="1417" w:type="dxa"/>
            <w:vAlign w:val="center"/>
          </w:tcPr>
          <w:p w14:paraId="04A7DC1E" w14:textId="0F5BE8C8" w:rsidR="00003B5A" w:rsidRPr="00ED2B1F" w:rsidRDefault="00003B5A" w:rsidP="00591A0E">
            <w:pPr>
              <w:pStyle w:val="TableText"/>
              <w:ind w:right="486"/>
              <w:jc w:val="right"/>
            </w:pPr>
            <w:r w:rsidRPr="00ED2B1F">
              <w:t>3,177</w:t>
            </w:r>
          </w:p>
        </w:tc>
        <w:tc>
          <w:tcPr>
            <w:tcW w:w="1418" w:type="dxa"/>
            <w:vAlign w:val="center"/>
          </w:tcPr>
          <w:p w14:paraId="36B40CB1" w14:textId="24598B72" w:rsidR="00003B5A" w:rsidRPr="00ED2B1F" w:rsidRDefault="00003B5A" w:rsidP="00591A0E">
            <w:pPr>
              <w:pStyle w:val="TableText"/>
              <w:spacing w:line="259" w:lineRule="auto"/>
              <w:ind w:right="486"/>
              <w:jc w:val="right"/>
            </w:pPr>
            <w:r w:rsidRPr="00ED2B1F">
              <w:t>105.8</w:t>
            </w:r>
          </w:p>
        </w:tc>
        <w:tc>
          <w:tcPr>
            <w:tcW w:w="1648" w:type="dxa"/>
            <w:vAlign w:val="center"/>
          </w:tcPr>
          <w:p w14:paraId="3457B912" w14:textId="1EB94984" w:rsidR="00003B5A" w:rsidRPr="00ED2B1F" w:rsidRDefault="00003B5A" w:rsidP="00591A0E">
            <w:pPr>
              <w:pStyle w:val="TableText"/>
              <w:ind w:right="486"/>
              <w:jc w:val="right"/>
            </w:pPr>
            <w:r w:rsidRPr="00ED2B1F">
              <w:t>1,146</w:t>
            </w:r>
          </w:p>
        </w:tc>
        <w:tc>
          <w:tcPr>
            <w:tcW w:w="1558" w:type="dxa"/>
            <w:vAlign w:val="center"/>
          </w:tcPr>
          <w:p w14:paraId="2463A80E" w14:textId="5A0E10B0" w:rsidR="00003B5A" w:rsidRPr="00ED2B1F" w:rsidRDefault="00003B5A" w:rsidP="00591A0E">
            <w:pPr>
              <w:pStyle w:val="TableText"/>
              <w:ind w:right="486"/>
              <w:jc w:val="right"/>
            </w:pPr>
            <w:r w:rsidRPr="00ED2B1F">
              <w:t>38.2</w:t>
            </w:r>
          </w:p>
        </w:tc>
      </w:tr>
      <w:tr w:rsidR="00003B5A" w:rsidRPr="00ED2B1F" w14:paraId="3D99A95B" w14:textId="77777777" w:rsidTr="00591A0E">
        <w:tc>
          <w:tcPr>
            <w:tcW w:w="1701" w:type="dxa"/>
          </w:tcPr>
          <w:p w14:paraId="21532FFE" w14:textId="77777777" w:rsidR="00003B5A" w:rsidRPr="00ED2B1F" w:rsidRDefault="00003B5A" w:rsidP="00497F1D">
            <w:pPr>
              <w:pStyle w:val="TableText"/>
              <w:rPr>
                <w:b/>
              </w:rPr>
            </w:pPr>
            <w:r w:rsidRPr="00ED2B1F">
              <w:rPr>
                <w:b/>
              </w:rPr>
              <w:t>All</w:t>
            </w:r>
          </w:p>
        </w:tc>
        <w:tc>
          <w:tcPr>
            <w:tcW w:w="1417" w:type="dxa"/>
            <w:vAlign w:val="center"/>
          </w:tcPr>
          <w:p w14:paraId="0F64E5F7" w14:textId="1A94DACB" w:rsidR="00003B5A" w:rsidRPr="00ED2B1F" w:rsidRDefault="00003B5A" w:rsidP="00591A0E">
            <w:pPr>
              <w:pStyle w:val="TableText"/>
              <w:ind w:right="486"/>
              <w:jc w:val="right"/>
              <w:rPr>
                <w:b/>
              </w:rPr>
            </w:pPr>
            <w:r w:rsidRPr="00ED2B1F">
              <w:rPr>
                <w:b/>
              </w:rPr>
              <w:t>7,173</w:t>
            </w:r>
          </w:p>
        </w:tc>
        <w:tc>
          <w:tcPr>
            <w:tcW w:w="1418" w:type="dxa"/>
            <w:vAlign w:val="center"/>
          </w:tcPr>
          <w:p w14:paraId="2CD6DB2C" w14:textId="646375D7" w:rsidR="00003B5A" w:rsidRPr="00ED2B1F" w:rsidRDefault="00003B5A" w:rsidP="00591A0E">
            <w:pPr>
              <w:pStyle w:val="TableText"/>
              <w:ind w:right="486"/>
              <w:jc w:val="right"/>
              <w:rPr>
                <w:b/>
              </w:rPr>
            </w:pPr>
            <w:r w:rsidRPr="00ED2B1F">
              <w:rPr>
                <w:b/>
                <w:bCs/>
              </w:rPr>
              <w:t>134.3</w:t>
            </w:r>
          </w:p>
        </w:tc>
        <w:tc>
          <w:tcPr>
            <w:tcW w:w="1648" w:type="dxa"/>
            <w:vAlign w:val="center"/>
          </w:tcPr>
          <w:p w14:paraId="49A2E16E" w14:textId="06AF9042" w:rsidR="00003B5A" w:rsidRPr="00ED2B1F" w:rsidRDefault="00003B5A" w:rsidP="00591A0E">
            <w:pPr>
              <w:pStyle w:val="TableText"/>
              <w:ind w:right="486"/>
              <w:jc w:val="right"/>
              <w:rPr>
                <w:b/>
              </w:rPr>
            </w:pPr>
            <w:r w:rsidRPr="00ED2B1F">
              <w:rPr>
                <w:b/>
              </w:rPr>
              <w:t>2,449</w:t>
            </w:r>
          </w:p>
        </w:tc>
        <w:tc>
          <w:tcPr>
            <w:tcW w:w="1558" w:type="dxa"/>
            <w:vAlign w:val="center"/>
          </w:tcPr>
          <w:p w14:paraId="08AF0684" w14:textId="75D315B1" w:rsidR="00003B5A" w:rsidRPr="00ED2B1F" w:rsidRDefault="00003B5A" w:rsidP="00591A0E">
            <w:pPr>
              <w:pStyle w:val="TableText"/>
              <w:ind w:right="486"/>
              <w:jc w:val="right"/>
              <w:rPr>
                <w:b/>
              </w:rPr>
            </w:pPr>
            <w:r w:rsidRPr="00ED2B1F">
              <w:rPr>
                <w:b/>
                <w:bCs/>
              </w:rPr>
              <w:t>45.9</w:t>
            </w:r>
          </w:p>
        </w:tc>
      </w:tr>
    </w:tbl>
    <w:p w14:paraId="4B02D2C3" w14:textId="1F65896C" w:rsidR="00497443" w:rsidRPr="00ED2B1F" w:rsidRDefault="00497443" w:rsidP="00497443">
      <w:pPr>
        <w:pStyle w:val="Source"/>
      </w:pPr>
      <w:r w:rsidRPr="00ED2B1F">
        <w:t xml:space="preserve">Sources: PRIMHD data (extracted </w:t>
      </w:r>
      <w:r w:rsidR="00955846" w:rsidRPr="00ED2B1F">
        <w:t>10 June 2025</w:t>
      </w:r>
      <w:r w:rsidRPr="00ED2B1F">
        <w:t xml:space="preserve">) and manual data from Health New Zealand </w:t>
      </w:r>
      <w:r w:rsidR="00CE3FE8">
        <w:t xml:space="preserve">Bay of Plenty, </w:t>
      </w:r>
      <w:r w:rsidR="003B4EAA" w:rsidRPr="00ED2B1F">
        <w:t>Capital &amp; Coast, Hawke’s Bay, MidCentral, Southern, Tairāwhiti, Waikato</w:t>
      </w:r>
      <w:r w:rsidR="0035782A" w:rsidRPr="00ED2B1F">
        <w:t xml:space="preserve"> and Waitematā</w:t>
      </w:r>
      <w:r w:rsidR="003B4EAA" w:rsidRPr="00ED2B1F">
        <w:t>.</w:t>
      </w:r>
    </w:p>
    <w:p w14:paraId="465C605A" w14:textId="77777777" w:rsidR="00497443" w:rsidRPr="00ED2B1F" w:rsidRDefault="00497443" w:rsidP="00497443"/>
    <w:p w14:paraId="60E92A8B" w14:textId="77777777" w:rsidR="00497443" w:rsidRPr="00ED2B1F" w:rsidRDefault="00497443" w:rsidP="00497443">
      <w:pPr>
        <w:keepNext/>
        <w:sectPr w:rsidR="00497443" w:rsidRPr="00ED2B1F" w:rsidSect="00497443">
          <w:headerReference w:type="even" r:id="rId40"/>
          <w:headerReference w:type="default" r:id="rId41"/>
          <w:pgSz w:w="11907" w:h="16840" w:code="9"/>
          <w:pgMar w:top="1418" w:right="1701" w:bottom="1134" w:left="1843" w:header="284" w:footer="425" w:gutter="284"/>
          <w:cols w:space="720"/>
        </w:sectPr>
      </w:pPr>
    </w:p>
    <w:p w14:paraId="6C120C22" w14:textId="683758BD" w:rsidR="00497443" w:rsidRPr="00ED2B1F" w:rsidRDefault="00497443" w:rsidP="00B56D27">
      <w:r w:rsidRPr="00ED2B1F">
        <w:lastRenderedPageBreak/>
        <w:t>The following figures show the rate ratio of Māori to non-Māori subject to community treatment orders (</w:t>
      </w:r>
      <w:r w:rsidRPr="00ED2B1F">
        <w:fldChar w:fldCharType="begin"/>
      </w:r>
      <w:r w:rsidRPr="00ED2B1F">
        <w:instrText xml:space="preserve"> REF _Ref65672076 \h </w:instrText>
      </w:r>
      <w:r w:rsidR="00B56D27">
        <w:instrText xml:space="preserve"> \* MERGEFORMAT </w:instrText>
      </w:r>
      <w:r w:rsidRPr="00ED2B1F">
        <w:fldChar w:fldCharType="separate"/>
      </w:r>
      <w:r w:rsidR="00484E57" w:rsidRPr="00ED2B1F">
        <w:t>Figure </w:t>
      </w:r>
      <w:r w:rsidR="00484E57">
        <w:t>7</w:t>
      </w:r>
      <w:r w:rsidRPr="00ED2B1F">
        <w:fldChar w:fldCharType="end"/>
      </w:r>
      <w:r w:rsidRPr="00ED2B1F">
        <w:t>) and inpatient treatment orders (</w:t>
      </w:r>
      <w:r w:rsidRPr="00ED2B1F">
        <w:fldChar w:fldCharType="begin"/>
      </w:r>
      <w:r w:rsidRPr="00ED2B1F">
        <w:instrText xml:space="preserve"> REF _Ref84330306 \h </w:instrText>
      </w:r>
      <w:r w:rsidR="00B56D27">
        <w:instrText xml:space="preserve"> \* MERGEFORMAT </w:instrText>
      </w:r>
      <w:r w:rsidRPr="00ED2B1F">
        <w:fldChar w:fldCharType="separate"/>
      </w:r>
      <w:r w:rsidR="00484E57" w:rsidRPr="00ED2B1F">
        <w:t>Figure </w:t>
      </w:r>
      <w:r w:rsidR="00484E57">
        <w:t>8</w:t>
      </w:r>
      <w:r w:rsidRPr="00ED2B1F">
        <w:fldChar w:fldCharType="end"/>
      </w:r>
      <w:r w:rsidRPr="00ED2B1F">
        <w:t xml:space="preserve">) per 100,000 people in the general population for each </w:t>
      </w:r>
      <w:r w:rsidR="00EF15D2" w:rsidRPr="00ED2B1F">
        <w:t xml:space="preserve">Health New Zealand </w:t>
      </w:r>
      <w:r w:rsidRPr="00ED2B1F">
        <w:t xml:space="preserve">district. </w:t>
      </w:r>
      <w:r w:rsidR="00EC393B" w:rsidRPr="00ED2B1F">
        <w:fldChar w:fldCharType="begin"/>
      </w:r>
      <w:r w:rsidR="00EC393B" w:rsidRPr="00ED2B1F">
        <w:instrText xml:space="preserve"> REF _Ref214983759 \h </w:instrText>
      </w:r>
      <w:r w:rsidR="00B56D27">
        <w:instrText xml:space="preserve"> \* MERGEFORMAT </w:instrText>
      </w:r>
      <w:r w:rsidR="00EC393B" w:rsidRPr="00ED2B1F">
        <w:fldChar w:fldCharType="separate"/>
      </w:r>
      <w:r w:rsidR="00484E57" w:rsidRPr="00ED2B1F">
        <w:t xml:space="preserve">Table </w:t>
      </w:r>
      <w:r w:rsidR="00484E57">
        <w:rPr>
          <w:noProof/>
        </w:rPr>
        <w:t>6</w:t>
      </w:r>
      <w:r w:rsidR="00EC393B" w:rsidRPr="00ED2B1F">
        <w:fldChar w:fldCharType="end"/>
      </w:r>
      <w:r w:rsidR="00EC393B" w:rsidRPr="00ED2B1F">
        <w:t xml:space="preserve"> </w:t>
      </w:r>
      <w:r w:rsidRPr="00ED2B1F">
        <w:t xml:space="preserve">and </w:t>
      </w:r>
      <w:r w:rsidRPr="00ED2B1F">
        <w:fldChar w:fldCharType="begin"/>
      </w:r>
      <w:r w:rsidRPr="00ED2B1F">
        <w:instrText xml:space="preserve"> REF _Ref65671957 \h </w:instrText>
      </w:r>
      <w:r w:rsidR="00B56D27">
        <w:instrText xml:space="preserve"> \* MERGEFORMAT </w:instrText>
      </w:r>
      <w:r w:rsidRPr="00ED2B1F">
        <w:fldChar w:fldCharType="separate"/>
      </w:r>
      <w:r w:rsidR="00484E57" w:rsidRPr="00ED2B1F">
        <w:t>Figure </w:t>
      </w:r>
      <w:r w:rsidR="00484E57">
        <w:t>9</w:t>
      </w:r>
      <w:r w:rsidRPr="00ED2B1F">
        <w:fldChar w:fldCharType="end"/>
      </w:r>
      <w:r w:rsidRPr="00ED2B1F">
        <w:t xml:space="preserve"> then present the age-standardised </w:t>
      </w:r>
      <w:r w:rsidR="00112CBE">
        <w:t>rates</w:t>
      </w:r>
      <w:r w:rsidRPr="00ED2B1F">
        <w:t xml:space="preserve"> for both community and inpatient treatment orders by ethnicity and gender.</w:t>
      </w:r>
      <w:r w:rsidR="00C5348B" w:rsidRPr="00ED2B1F">
        <w:t xml:space="preserve"> </w:t>
      </w:r>
      <w:r w:rsidR="00B56D27">
        <w:fldChar w:fldCharType="begin"/>
      </w:r>
      <w:r w:rsidR="00B56D27">
        <w:instrText xml:space="preserve"> REF _Ref224046440 \h </w:instrText>
      </w:r>
      <w:r w:rsidR="00B56D27">
        <w:fldChar w:fldCharType="separate"/>
      </w:r>
      <w:r w:rsidR="00484E57" w:rsidRPr="00ED2B1F">
        <w:t>Table </w:t>
      </w:r>
      <w:r w:rsidR="00484E57">
        <w:rPr>
          <w:noProof/>
        </w:rPr>
        <w:t>7</w:t>
      </w:r>
      <w:r w:rsidR="00B56D27">
        <w:fldChar w:fldCharType="end"/>
      </w:r>
      <w:r w:rsidR="00B56D27">
        <w:t xml:space="preserve"> </w:t>
      </w:r>
      <w:r w:rsidR="00C5348B" w:rsidRPr="00ED2B1F">
        <w:t xml:space="preserve">presents the </w:t>
      </w:r>
      <w:r w:rsidR="008914FE" w:rsidRPr="00ED2B1F">
        <w:t>age-standardised rate ratios.</w:t>
      </w:r>
    </w:p>
    <w:p w14:paraId="088C214E" w14:textId="77777777" w:rsidR="00497443" w:rsidRPr="00ED2B1F" w:rsidRDefault="00497443" w:rsidP="00497443"/>
    <w:p w14:paraId="7BC93A87" w14:textId="590DEFA2" w:rsidR="009965DA" w:rsidRPr="001D4E84" w:rsidRDefault="00497443" w:rsidP="00497443">
      <w:pPr>
        <w:rPr>
          <w:rFonts w:eastAsia="Segoe UI"/>
        </w:rPr>
      </w:pPr>
      <w:r w:rsidRPr="00ED2B1F">
        <w:t xml:space="preserve">It is difficult to interpret the range of rates because the proportions of different ethnic groups within a population vary greatly across districts, so it is hard to define a standard rate ratio for a given population or district. However, to help with comparing rates, each figure includes a line of ‘no difference’ to indicate where Māori and non-Māori would be subject to CTOs at the same rate (ie, a 1:1 ratio). Therefore, </w:t>
      </w:r>
      <w:r w:rsidRPr="001D4E84">
        <w:rPr>
          <w:rFonts w:eastAsia="Segoe UI"/>
        </w:rPr>
        <w:t xml:space="preserve">the further a ratio is away from the ‘no difference’ line, the more disparity there is. </w:t>
      </w:r>
    </w:p>
    <w:p w14:paraId="620846DF" w14:textId="77777777" w:rsidR="009965DA" w:rsidRPr="00ED2B1F" w:rsidRDefault="009965DA" w:rsidP="00497443">
      <w:pPr>
        <w:rPr>
          <w:rFonts w:eastAsia="Segoe UI" w:cs="Segoe UI"/>
          <w:color w:val="333333"/>
          <w:sz w:val="20"/>
        </w:rPr>
      </w:pPr>
    </w:p>
    <w:p w14:paraId="02E66CCE" w14:textId="6B922E54" w:rsidR="00497443" w:rsidRPr="00ED2B1F" w:rsidRDefault="00497443" w:rsidP="000073F8">
      <w:r w:rsidRPr="00ED2B1F">
        <w:t>The great variation between districts, as the figures show, emphasises the need for in-depth, area-specific knowledge to understand why these differences occur and how to address them at a local level.</w:t>
      </w:r>
    </w:p>
    <w:p w14:paraId="5CE8C88A" w14:textId="77777777" w:rsidR="00497443" w:rsidRPr="00ED2B1F" w:rsidRDefault="00497443" w:rsidP="00497443"/>
    <w:p w14:paraId="108D8344" w14:textId="264C7882" w:rsidR="00497443" w:rsidRPr="00ED2B1F" w:rsidRDefault="00497443" w:rsidP="00C103C7">
      <w:pPr>
        <w:pStyle w:val="Figure"/>
      </w:pPr>
      <w:bookmarkStart w:id="135" w:name="_Ref65672076"/>
      <w:bookmarkStart w:id="136" w:name="_Toc63764750"/>
      <w:bookmarkStart w:id="137" w:name="_Toc75176479"/>
      <w:bookmarkStart w:id="138" w:name="_Toc85442569"/>
      <w:bookmarkStart w:id="139" w:name="_Toc85445915"/>
      <w:bookmarkStart w:id="140" w:name="_Toc87429956"/>
      <w:bookmarkStart w:id="141" w:name="_Toc88561388"/>
      <w:bookmarkStart w:id="142" w:name="_Toc115188846"/>
      <w:bookmarkStart w:id="143" w:name="_Toc142314688"/>
      <w:bookmarkStart w:id="144" w:name="_Toc145394272"/>
      <w:bookmarkStart w:id="145" w:name="_Toc189053948"/>
      <w:bookmarkStart w:id="146" w:name="_Toc224638179"/>
      <w:r w:rsidRPr="00ED2B1F">
        <w:t>Figure </w:t>
      </w:r>
      <w:r w:rsidRPr="00ED2B1F">
        <w:fldChar w:fldCharType="begin"/>
      </w:r>
      <w:r w:rsidRPr="00ED2B1F">
        <w:instrText>SEQ Figure \* ARABIC</w:instrText>
      </w:r>
      <w:r w:rsidRPr="00ED2B1F">
        <w:fldChar w:fldCharType="separate"/>
      </w:r>
      <w:r w:rsidR="00484E57">
        <w:rPr>
          <w:noProof/>
        </w:rPr>
        <w:t>7</w:t>
      </w:r>
      <w:r w:rsidRPr="00ED2B1F">
        <w:fldChar w:fldCharType="end"/>
      </w:r>
      <w:bookmarkEnd w:id="135"/>
      <w:r w:rsidRPr="00ED2B1F">
        <w:t xml:space="preserve">: Rate ratio of Māori to non-Māori subject to a community treatment order (section 29) under the Mental Health Act per 100,000 population, by district, </w:t>
      </w:r>
      <w:bookmarkEnd w:id="136"/>
      <w:bookmarkEnd w:id="137"/>
      <w:bookmarkEnd w:id="138"/>
      <w:bookmarkEnd w:id="139"/>
      <w:bookmarkEnd w:id="140"/>
      <w:bookmarkEnd w:id="141"/>
      <w:bookmarkEnd w:id="142"/>
      <w:bookmarkEnd w:id="143"/>
      <w:bookmarkEnd w:id="144"/>
      <w:bookmarkEnd w:id="145"/>
      <w:r w:rsidR="00211D17" w:rsidRPr="00ED2B1F">
        <w:t>1 July 2023 to 30 June 2024</w:t>
      </w:r>
      <w:bookmarkEnd w:id="146"/>
    </w:p>
    <w:p w14:paraId="7C1B8AC6" w14:textId="221903C8" w:rsidR="00497443" w:rsidRPr="00ED2B1F" w:rsidRDefault="00CC12F1" w:rsidP="003B784B">
      <w:pPr>
        <w:rPr>
          <w:rFonts w:eastAsia="Arial Unicode MS"/>
        </w:rPr>
      </w:pPr>
      <w:r>
        <w:rPr>
          <w:rFonts w:eastAsia="Arial Unicode MS"/>
          <w:noProof/>
        </w:rPr>
        <w:drawing>
          <wp:inline distT="0" distB="0" distL="0" distR="0" wp14:anchorId="50B30B5B" wp14:editId="38063589">
            <wp:extent cx="5133340" cy="3218815"/>
            <wp:effectExtent l="0" t="0" r="0" b="635"/>
            <wp:docPr id="118246019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60198" name="Picture 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340" cy="3218815"/>
                    </a:xfrm>
                    <a:prstGeom prst="rect">
                      <a:avLst/>
                    </a:prstGeom>
                    <a:noFill/>
                  </pic:spPr>
                </pic:pic>
              </a:graphicData>
            </a:graphic>
          </wp:inline>
        </w:drawing>
      </w:r>
    </w:p>
    <w:p w14:paraId="5F7CD064" w14:textId="445B825B" w:rsidR="00497443" w:rsidRPr="00ED2B1F" w:rsidRDefault="00497443" w:rsidP="00497443">
      <w:pPr>
        <w:pStyle w:val="Note"/>
        <w:rPr>
          <w:rFonts w:eastAsia="Calibri"/>
        </w:rPr>
      </w:pPr>
      <w:r w:rsidRPr="00ED2B1F">
        <w:rPr>
          <w:rFonts w:eastAsia="Calibri"/>
        </w:rPr>
        <w:t xml:space="preserve">Notes: In this figure, confidence intervals (for 99% confidence, </w:t>
      </w:r>
      <w:r w:rsidRPr="00ED2B1F">
        <w:t>shown as vertical lines through the blue diamond markers</w:t>
      </w:r>
      <w:r w:rsidRPr="00ED2B1F">
        <w:rPr>
          <w:rFonts w:eastAsia="Calibri"/>
        </w:rPr>
        <w:t>) can help with interpreting the data.</w:t>
      </w:r>
      <w:r w:rsidRPr="00ED2B1F" w:rsidDel="001B6B82">
        <w:rPr>
          <w:rFonts w:eastAsia="Calibri"/>
        </w:rPr>
        <w:t xml:space="preserve"> </w:t>
      </w:r>
      <w:r w:rsidRPr="00ED2B1F">
        <w:rPr>
          <w:rFonts w:eastAsia="Calibri"/>
        </w:rPr>
        <w:t>Where a district’s confidence interval crosses the national average, that means its rate per 100,000 is not different from the average</w:t>
      </w:r>
      <w:r w:rsidR="006F4B34" w:rsidRPr="00ED2B1F">
        <w:rPr>
          <w:rFonts w:eastAsia="Calibri"/>
        </w:rPr>
        <w:t xml:space="preserve"> at a statistically significant level</w:t>
      </w:r>
      <w:r w:rsidRPr="00ED2B1F">
        <w:rPr>
          <w:rFonts w:eastAsia="Calibri"/>
        </w:rPr>
        <w:t>. These are age-standardised rates.</w:t>
      </w:r>
    </w:p>
    <w:p w14:paraId="52537EE5" w14:textId="190BA11E" w:rsidR="00497443" w:rsidRPr="00ED2B1F" w:rsidRDefault="00497443" w:rsidP="00497443">
      <w:pPr>
        <w:pStyle w:val="Source"/>
        <w:rPr>
          <w:rFonts w:eastAsia="Calibri"/>
        </w:rPr>
      </w:pPr>
      <w:r w:rsidRPr="00ED2B1F">
        <w:rPr>
          <w:rFonts w:eastAsia="Calibri"/>
        </w:rPr>
        <w:t xml:space="preserve">Source: PRIMHD data (extracted </w:t>
      </w:r>
      <w:r w:rsidR="00955846" w:rsidRPr="00ED2B1F">
        <w:rPr>
          <w:rFonts w:eastAsia="Calibri"/>
        </w:rPr>
        <w:t>10 June 2025</w:t>
      </w:r>
      <w:r w:rsidRPr="00ED2B1F">
        <w:rPr>
          <w:rFonts w:eastAsia="Calibri"/>
        </w:rPr>
        <w:t>).</w:t>
      </w:r>
    </w:p>
    <w:p w14:paraId="52BBA492" w14:textId="77777777" w:rsidR="00497443" w:rsidRPr="00ED2B1F" w:rsidRDefault="00497443" w:rsidP="00753A1F">
      <w:pPr>
        <w:rPr>
          <w:rFonts w:eastAsia="Arial Unicode MS"/>
        </w:rPr>
      </w:pPr>
    </w:p>
    <w:p w14:paraId="7A11A56A" w14:textId="77777777" w:rsidR="00497443" w:rsidRPr="00ED2B1F" w:rsidRDefault="00497443" w:rsidP="00753A1F">
      <w:pPr>
        <w:rPr>
          <w:rFonts w:eastAsia="Arial Unicode MS"/>
        </w:rPr>
      </w:pPr>
    </w:p>
    <w:p w14:paraId="346586E7" w14:textId="77777777" w:rsidR="00497443" w:rsidRPr="00ED2B1F" w:rsidRDefault="00497443" w:rsidP="00753A1F">
      <w:pPr>
        <w:rPr>
          <w:rFonts w:eastAsia="Arial Unicode MS"/>
        </w:rPr>
        <w:sectPr w:rsidR="00497443" w:rsidRPr="00ED2B1F" w:rsidSect="00753A1F">
          <w:pgSz w:w="11907" w:h="16834" w:code="9"/>
          <w:pgMar w:top="1418" w:right="1701" w:bottom="1134" w:left="1843" w:header="284" w:footer="425" w:gutter="284"/>
          <w:cols w:space="720"/>
        </w:sectPr>
      </w:pPr>
    </w:p>
    <w:p w14:paraId="5FD37C67" w14:textId="2BECB329" w:rsidR="00497443" w:rsidRPr="00ED2B1F" w:rsidRDefault="00497443" w:rsidP="00C103C7">
      <w:pPr>
        <w:pStyle w:val="Figure"/>
      </w:pPr>
      <w:bookmarkStart w:id="147" w:name="_Ref84330306"/>
      <w:bookmarkStart w:id="148" w:name="_Toc63764752"/>
      <w:bookmarkStart w:id="149" w:name="_Toc75176480"/>
      <w:bookmarkStart w:id="150" w:name="_Toc85442570"/>
      <w:bookmarkStart w:id="151" w:name="_Toc85445916"/>
      <w:bookmarkStart w:id="152" w:name="_Toc87429957"/>
      <w:bookmarkStart w:id="153" w:name="_Toc88561389"/>
      <w:bookmarkStart w:id="154" w:name="_Toc115188847"/>
      <w:bookmarkStart w:id="155" w:name="_Toc142314689"/>
      <w:bookmarkStart w:id="156" w:name="_Toc145394273"/>
      <w:bookmarkStart w:id="157" w:name="_Toc189053949"/>
      <w:bookmarkStart w:id="158" w:name="_Toc224638180"/>
      <w:r w:rsidRPr="00ED2B1F">
        <w:lastRenderedPageBreak/>
        <w:t>Figure </w:t>
      </w:r>
      <w:r w:rsidRPr="00ED2B1F">
        <w:fldChar w:fldCharType="begin"/>
      </w:r>
      <w:r w:rsidRPr="00ED2B1F">
        <w:instrText>SEQ Figure \* ARABIC</w:instrText>
      </w:r>
      <w:r w:rsidRPr="00ED2B1F">
        <w:fldChar w:fldCharType="separate"/>
      </w:r>
      <w:r w:rsidR="00484E57">
        <w:rPr>
          <w:noProof/>
        </w:rPr>
        <w:t>8</w:t>
      </w:r>
      <w:r w:rsidRPr="00ED2B1F">
        <w:fldChar w:fldCharType="end"/>
      </w:r>
      <w:bookmarkEnd w:id="147"/>
      <w:r w:rsidRPr="00ED2B1F">
        <w:t xml:space="preserve">: Rate ratio of Māori to non-Māori subject to an inpatient treatment order (section 30) under the Mental Health Act per 100,000 population, by district, </w:t>
      </w:r>
      <w:bookmarkEnd w:id="148"/>
      <w:bookmarkEnd w:id="149"/>
      <w:bookmarkEnd w:id="150"/>
      <w:bookmarkEnd w:id="151"/>
      <w:bookmarkEnd w:id="152"/>
      <w:bookmarkEnd w:id="153"/>
      <w:bookmarkEnd w:id="154"/>
      <w:bookmarkEnd w:id="155"/>
      <w:bookmarkEnd w:id="156"/>
      <w:bookmarkEnd w:id="157"/>
      <w:r w:rsidR="00211D17" w:rsidRPr="00ED2B1F">
        <w:t>1 July 2023 to 30 June 2024</w:t>
      </w:r>
      <w:bookmarkEnd w:id="158"/>
    </w:p>
    <w:p w14:paraId="4BBC2A49" w14:textId="18CA4471" w:rsidR="00497443" w:rsidRPr="00ED2B1F" w:rsidRDefault="00CC12F1" w:rsidP="00CB17B4">
      <w:pPr>
        <w:rPr>
          <w:rFonts w:eastAsia="Arial Unicode MS"/>
        </w:rPr>
      </w:pPr>
      <w:r>
        <w:rPr>
          <w:rFonts w:eastAsia="Arial Unicode MS"/>
          <w:noProof/>
        </w:rPr>
        <w:drawing>
          <wp:inline distT="0" distB="0" distL="0" distR="0" wp14:anchorId="44B07719" wp14:editId="61409040">
            <wp:extent cx="5133340" cy="3255645"/>
            <wp:effectExtent l="0" t="0" r="0" b="1905"/>
            <wp:docPr id="182293071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30719" name="Picture 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340" cy="3255645"/>
                    </a:xfrm>
                    <a:prstGeom prst="rect">
                      <a:avLst/>
                    </a:prstGeom>
                    <a:noFill/>
                  </pic:spPr>
                </pic:pic>
              </a:graphicData>
            </a:graphic>
          </wp:inline>
        </w:drawing>
      </w:r>
    </w:p>
    <w:p w14:paraId="6666DD32" w14:textId="362B8E38" w:rsidR="00497443" w:rsidRPr="00ED2B1F" w:rsidRDefault="00497443" w:rsidP="00497443">
      <w:pPr>
        <w:pStyle w:val="Note"/>
        <w:rPr>
          <w:rFonts w:eastAsia="Calibri"/>
        </w:rPr>
      </w:pPr>
      <w:r w:rsidRPr="00ED2B1F">
        <w:rPr>
          <w:rFonts w:eastAsia="Calibri"/>
        </w:rPr>
        <w:t xml:space="preserve">Notes: In this figure, the confidence intervals (for 99% confidence, </w:t>
      </w:r>
      <w:r w:rsidRPr="00ED2B1F">
        <w:t>shown as vertical lines through the blue diamond markers</w:t>
      </w:r>
      <w:r w:rsidRPr="00ED2B1F">
        <w:rPr>
          <w:rFonts w:eastAsia="Calibri"/>
        </w:rPr>
        <w:t>) can help with interpreting the data.</w:t>
      </w:r>
      <w:r w:rsidRPr="00ED2B1F" w:rsidDel="001B6B82">
        <w:rPr>
          <w:rFonts w:eastAsia="Calibri"/>
        </w:rPr>
        <w:t xml:space="preserve"> </w:t>
      </w:r>
      <w:r w:rsidRPr="00ED2B1F">
        <w:rPr>
          <w:rFonts w:eastAsia="Calibri"/>
        </w:rPr>
        <w:t>If a district’s confidence interval crosses the national average, that means its rate per 100,000 is not different from the average</w:t>
      </w:r>
      <w:r w:rsidR="006F4B34" w:rsidRPr="00ED2B1F">
        <w:rPr>
          <w:rFonts w:eastAsia="Calibri"/>
        </w:rPr>
        <w:t xml:space="preserve"> at a statistically significant level</w:t>
      </w:r>
      <w:r w:rsidRPr="00ED2B1F">
        <w:rPr>
          <w:rFonts w:eastAsia="Calibri"/>
        </w:rPr>
        <w:t xml:space="preserve">. These are age-standardised rates. </w:t>
      </w:r>
      <w:r w:rsidR="00756836" w:rsidRPr="00ED2B1F">
        <w:rPr>
          <w:rFonts w:eastAsia="Calibri"/>
        </w:rPr>
        <w:t>Health New Zealand Wairarapa has no inpatient service.</w:t>
      </w:r>
      <w:r w:rsidR="00756836">
        <w:rPr>
          <w:rFonts w:eastAsia="Calibri"/>
        </w:rPr>
        <w:t xml:space="preserve"> </w:t>
      </w:r>
      <w:r w:rsidRPr="00ED2B1F">
        <w:rPr>
          <w:rFonts w:eastAsia="Calibri"/>
        </w:rPr>
        <w:t>As Health New Zealand South Canterbury and West Coast have</w:t>
      </w:r>
      <w:r w:rsidRPr="00ED2B1F" w:rsidDel="00047A0C">
        <w:rPr>
          <w:rFonts w:eastAsia="Calibri"/>
        </w:rPr>
        <w:t xml:space="preserve"> </w:t>
      </w:r>
      <w:r w:rsidRPr="00ED2B1F">
        <w:rPr>
          <w:rFonts w:eastAsia="Calibri"/>
        </w:rPr>
        <w:t xml:space="preserve">small populations, their rates were very volatile and error bars of the resulting calculations were large. This figure does not include the data for </w:t>
      </w:r>
      <w:r w:rsidR="00471A86" w:rsidRPr="00ED2B1F">
        <w:rPr>
          <w:rFonts w:eastAsia="Calibri"/>
        </w:rPr>
        <w:t xml:space="preserve">Health New Zealand </w:t>
      </w:r>
      <w:r w:rsidRPr="00ED2B1F">
        <w:rPr>
          <w:rFonts w:eastAsia="Calibri"/>
        </w:rPr>
        <w:t>South Canterbury</w:t>
      </w:r>
      <w:r w:rsidR="00BE2C7E" w:rsidRPr="00ED2B1F">
        <w:rPr>
          <w:rFonts w:eastAsia="Calibri"/>
        </w:rPr>
        <w:t xml:space="preserve"> and </w:t>
      </w:r>
      <w:r w:rsidRPr="00ED2B1F">
        <w:rPr>
          <w:rFonts w:eastAsia="Calibri"/>
        </w:rPr>
        <w:t>West Coast to avoid skewing the overall results.</w:t>
      </w:r>
    </w:p>
    <w:p w14:paraId="1340B35D" w14:textId="167A4E1E" w:rsidR="00497443" w:rsidRPr="00ED2B1F" w:rsidRDefault="00497443" w:rsidP="00497443">
      <w:pPr>
        <w:pStyle w:val="Source"/>
        <w:rPr>
          <w:rFonts w:eastAsia="Calibri"/>
        </w:rPr>
      </w:pPr>
      <w:r w:rsidRPr="00ED2B1F">
        <w:rPr>
          <w:rFonts w:eastAsia="Calibri"/>
        </w:rPr>
        <w:t xml:space="preserve">Source: PRIMHD data (extracted </w:t>
      </w:r>
      <w:r w:rsidR="00955846" w:rsidRPr="00ED2B1F">
        <w:rPr>
          <w:rFonts w:eastAsia="Calibri"/>
        </w:rPr>
        <w:t>10 June 2025</w:t>
      </w:r>
      <w:r w:rsidRPr="00ED2B1F">
        <w:rPr>
          <w:rFonts w:eastAsia="Calibri"/>
        </w:rPr>
        <w:t>).</w:t>
      </w:r>
      <w:r w:rsidRPr="00ED2B1F" w:rsidDel="00AA3E78">
        <w:rPr>
          <w:rFonts w:eastAsia="Calibri"/>
        </w:rPr>
        <w:t xml:space="preserve"> </w:t>
      </w:r>
    </w:p>
    <w:p w14:paraId="342DB55A" w14:textId="77777777" w:rsidR="00497443" w:rsidRPr="00ED2B1F" w:rsidRDefault="00497443" w:rsidP="00497443">
      <w:pPr>
        <w:pStyle w:val="Source"/>
      </w:pPr>
    </w:p>
    <w:p w14:paraId="58930ADF" w14:textId="011E1E21" w:rsidR="00497443" w:rsidRPr="00ED2B1F" w:rsidRDefault="00EC393B" w:rsidP="00C103C7">
      <w:pPr>
        <w:pStyle w:val="Table"/>
      </w:pPr>
      <w:bookmarkStart w:id="159" w:name="_Ref214983759"/>
      <w:bookmarkStart w:id="160" w:name="_Toc224638226"/>
      <w:r w:rsidRPr="00ED2B1F">
        <w:t xml:space="preserve">Table </w:t>
      </w:r>
      <w:r>
        <w:fldChar w:fldCharType="begin"/>
      </w:r>
      <w:r>
        <w:instrText xml:space="preserve"> SEQ Table \* ARABIC </w:instrText>
      </w:r>
      <w:r>
        <w:fldChar w:fldCharType="separate"/>
      </w:r>
      <w:r w:rsidR="00484E57">
        <w:rPr>
          <w:noProof/>
        </w:rPr>
        <w:t>6</w:t>
      </w:r>
      <w:r>
        <w:fldChar w:fldCharType="end"/>
      </w:r>
      <w:bookmarkEnd w:id="159"/>
      <w:r w:rsidRPr="00ED2B1F">
        <w:t>: Age-standardised rates of people subject to community (section 29) and inpatient (section 30) CTOs under the Mental Health Act, by gender and ethnicity, 1 July 2023 to 30 June 2024</w:t>
      </w:r>
      <w:bookmarkEnd w:id="160"/>
    </w:p>
    <w:tbl>
      <w:tblPr>
        <w:tblW w:w="7881"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1701"/>
        <w:gridCol w:w="1545"/>
        <w:gridCol w:w="1545"/>
        <w:gridCol w:w="1545"/>
        <w:gridCol w:w="1545"/>
      </w:tblGrid>
      <w:tr w:rsidR="00003B5A" w:rsidRPr="00ED2B1F" w14:paraId="4C54772F" w14:textId="77777777" w:rsidTr="00C103C7">
        <w:trPr>
          <w:cantSplit/>
        </w:trPr>
        <w:tc>
          <w:tcPr>
            <w:tcW w:w="1701" w:type="dxa"/>
            <w:vMerge w:val="restart"/>
            <w:tcBorders>
              <w:top w:val="nil"/>
              <w:bottom w:val="nil"/>
              <w:right w:val="nil"/>
            </w:tcBorders>
            <w:shd w:val="clear" w:color="auto" w:fill="D9D9D9" w:themeFill="background1" w:themeFillShade="D9"/>
          </w:tcPr>
          <w:p w14:paraId="50D18CBE" w14:textId="77777777" w:rsidR="00003B5A" w:rsidRPr="00C103C7" w:rsidRDefault="00003B5A" w:rsidP="00497F1D">
            <w:pPr>
              <w:pStyle w:val="TableText"/>
              <w:rPr>
                <w:b/>
                <w:bCs/>
              </w:rPr>
            </w:pPr>
          </w:p>
          <w:p w14:paraId="1C14EA4D" w14:textId="2C038412" w:rsidR="00003B5A" w:rsidRPr="00C103C7" w:rsidRDefault="00003B5A" w:rsidP="00497F1D">
            <w:pPr>
              <w:pStyle w:val="TableText"/>
              <w:rPr>
                <w:b/>
                <w:bCs/>
              </w:rPr>
            </w:pPr>
            <w:r w:rsidRPr="00C103C7">
              <w:rPr>
                <w:b/>
                <w:bCs/>
              </w:rPr>
              <w:t>Ethnic group</w:t>
            </w:r>
          </w:p>
        </w:tc>
        <w:tc>
          <w:tcPr>
            <w:tcW w:w="3090" w:type="dxa"/>
            <w:gridSpan w:val="2"/>
            <w:tcBorders>
              <w:top w:val="nil"/>
              <w:left w:val="nil"/>
              <w:bottom w:val="nil"/>
              <w:right w:val="nil"/>
            </w:tcBorders>
            <w:shd w:val="clear" w:color="auto" w:fill="D9D9D9" w:themeFill="background1" w:themeFillShade="D9"/>
          </w:tcPr>
          <w:p w14:paraId="696D44EA" w14:textId="13B77250" w:rsidR="00003B5A" w:rsidRPr="00C103C7" w:rsidRDefault="00003B5A" w:rsidP="00C103C7">
            <w:pPr>
              <w:pStyle w:val="TableText"/>
              <w:jc w:val="center"/>
              <w:rPr>
                <w:b/>
              </w:rPr>
            </w:pPr>
            <w:r w:rsidRPr="00C103C7">
              <w:rPr>
                <w:b/>
              </w:rPr>
              <w:t>Community CTO</w:t>
            </w:r>
          </w:p>
        </w:tc>
        <w:tc>
          <w:tcPr>
            <w:tcW w:w="3090" w:type="dxa"/>
            <w:gridSpan w:val="2"/>
            <w:tcBorders>
              <w:top w:val="nil"/>
              <w:left w:val="nil"/>
              <w:bottom w:val="nil"/>
            </w:tcBorders>
            <w:shd w:val="clear" w:color="auto" w:fill="D9D9D9" w:themeFill="background1" w:themeFillShade="D9"/>
          </w:tcPr>
          <w:p w14:paraId="1FF9C703" w14:textId="45578423" w:rsidR="00003B5A" w:rsidRPr="00C103C7" w:rsidRDefault="00003B5A" w:rsidP="00C103C7">
            <w:pPr>
              <w:pStyle w:val="TableText"/>
              <w:jc w:val="center"/>
              <w:rPr>
                <w:b/>
              </w:rPr>
            </w:pPr>
            <w:r w:rsidRPr="00C103C7">
              <w:rPr>
                <w:b/>
              </w:rPr>
              <w:t>Inpatient CTO</w:t>
            </w:r>
          </w:p>
        </w:tc>
      </w:tr>
      <w:tr w:rsidR="00003B5A" w:rsidRPr="00ED2B1F" w14:paraId="4607A508" w14:textId="77777777" w:rsidTr="00C103C7">
        <w:trPr>
          <w:cantSplit/>
        </w:trPr>
        <w:tc>
          <w:tcPr>
            <w:tcW w:w="1701" w:type="dxa"/>
            <w:vMerge/>
            <w:tcBorders>
              <w:bottom w:val="nil"/>
            </w:tcBorders>
            <w:shd w:val="clear" w:color="auto" w:fill="D9D9D9" w:themeFill="background1" w:themeFillShade="D9"/>
          </w:tcPr>
          <w:p w14:paraId="5F6D2FA6" w14:textId="77777777" w:rsidR="00003B5A" w:rsidRPr="00C103C7" w:rsidRDefault="00003B5A" w:rsidP="00497F1D">
            <w:pPr>
              <w:pStyle w:val="TableText"/>
            </w:pPr>
          </w:p>
        </w:tc>
        <w:tc>
          <w:tcPr>
            <w:tcW w:w="1545" w:type="dxa"/>
            <w:tcBorders>
              <w:top w:val="nil"/>
              <w:left w:val="nil"/>
              <w:bottom w:val="nil"/>
              <w:right w:val="nil"/>
            </w:tcBorders>
            <w:shd w:val="clear" w:color="auto" w:fill="D9D9D9" w:themeFill="background1" w:themeFillShade="D9"/>
          </w:tcPr>
          <w:p w14:paraId="7AC9CA85" w14:textId="77777777" w:rsidR="00003B5A" w:rsidRPr="00C103C7" w:rsidRDefault="00003B5A" w:rsidP="00C103C7">
            <w:pPr>
              <w:pStyle w:val="TableText"/>
              <w:spacing w:before="0"/>
              <w:jc w:val="center"/>
              <w:rPr>
                <w:b/>
              </w:rPr>
            </w:pPr>
            <w:r w:rsidRPr="00C103C7">
              <w:rPr>
                <w:b/>
              </w:rPr>
              <w:t>Male</w:t>
            </w:r>
          </w:p>
        </w:tc>
        <w:tc>
          <w:tcPr>
            <w:tcW w:w="1545" w:type="dxa"/>
            <w:tcBorders>
              <w:top w:val="nil"/>
              <w:left w:val="nil"/>
              <w:bottom w:val="nil"/>
              <w:right w:val="nil"/>
            </w:tcBorders>
            <w:shd w:val="clear" w:color="auto" w:fill="D9D9D9" w:themeFill="background1" w:themeFillShade="D9"/>
          </w:tcPr>
          <w:p w14:paraId="2A6B3AA4" w14:textId="77777777" w:rsidR="00003B5A" w:rsidRPr="00C103C7" w:rsidRDefault="00003B5A" w:rsidP="00C103C7">
            <w:pPr>
              <w:pStyle w:val="TableText"/>
              <w:spacing w:before="0"/>
              <w:jc w:val="center"/>
              <w:rPr>
                <w:b/>
              </w:rPr>
            </w:pPr>
            <w:r w:rsidRPr="00C103C7">
              <w:rPr>
                <w:b/>
              </w:rPr>
              <w:t>Female</w:t>
            </w:r>
          </w:p>
        </w:tc>
        <w:tc>
          <w:tcPr>
            <w:tcW w:w="1545" w:type="dxa"/>
            <w:tcBorders>
              <w:top w:val="nil"/>
              <w:left w:val="nil"/>
              <w:bottom w:val="nil"/>
              <w:right w:val="nil"/>
            </w:tcBorders>
            <w:shd w:val="clear" w:color="auto" w:fill="D9D9D9" w:themeFill="background1" w:themeFillShade="D9"/>
          </w:tcPr>
          <w:p w14:paraId="6EB575D3" w14:textId="5F528465" w:rsidR="00003B5A" w:rsidRPr="00C103C7" w:rsidRDefault="00003B5A" w:rsidP="00C103C7">
            <w:pPr>
              <w:pStyle w:val="TableText"/>
              <w:spacing w:before="0"/>
              <w:jc w:val="center"/>
              <w:rPr>
                <w:b/>
              </w:rPr>
            </w:pPr>
            <w:r w:rsidRPr="00C103C7">
              <w:rPr>
                <w:b/>
              </w:rPr>
              <w:t>Male</w:t>
            </w:r>
          </w:p>
        </w:tc>
        <w:tc>
          <w:tcPr>
            <w:tcW w:w="1545" w:type="dxa"/>
            <w:tcBorders>
              <w:top w:val="nil"/>
              <w:left w:val="nil"/>
              <w:bottom w:val="nil"/>
            </w:tcBorders>
            <w:shd w:val="clear" w:color="auto" w:fill="D9D9D9" w:themeFill="background1" w:themeFillShade="D9"/>
          </w:tcPr>
          <w:p w14:paraId="42760E19" w14:textId="77777777" w:rsidR="00003B5A" w:rsidRPr="00C103C7" w:rsidRDefault="00003B5A" w:rsidP="00C103C7">
            <w:pPr>
              <w:pStyle w:val="TableText"/>
              <w:spacing w:before="0"/>
              <w:jc w:val="center"/>
              <w:rPr>
                <w:b/>
              </w:rPr>
            </w:pPr>
            <w:r w:rsidRPr="00C103C7">
              <w:rPr>
                <w:b/>
              </w:rPr>
              <w:t>Female</w:t>
            </w:r>
          </w:p>
        </w:tc>
      </w:tr>
      <w:tr w:rsidR="00003B5A" w:rsidRPr="00ED2B1F" w14:paraId="3A9BC90E" w14:textId="77777777" w:rsidTr="00C103C7">
        <w:trPr>
          <w:cantSplit/>
        </w:trPr>
        <w:tc>
          <w:tcPr>
            <w:tcW w:w="1701" w:type="dxa"/>
            <w:tcBorders>
              <w:top w:val="nil"/>
              <w:right w:val="nil"/>
            </w:tcBorders>
          </w:tcPr>
          <w:p w14:paraId="2E52F67B" w14:textId="1F44F0C8" w:rsidR="00003B5A" w:rsidRPr="00ED2B1F" w:rsidRDefault="00003B5A" w:rsidP="00497F1D">
            <w:pPr>
              <w:pStyle w:val="TableText"/>
            </w:pPr>
            <w:r w:rsidRPr="00ED2B1F">
              <w:t xml:space="preserve">Māori </w:t>
            </w:r>
          </w:p>
        </w:tc>
        <w:tc>
          <w:tcPr>
            <w:tcW w:w="1545" w:type="dxa"/>
            <w:tcBorders>
              <w:top w:val="nil"/>
              <w:left w:val="nil"/>
              <w:right w:val="nil"/>
            </w:tcBorders>
          </w:tcPr>
          <w:p w14:paraId="3FC6869A" w14:textId="30ED5685" w:rsidR="00003B5A" w:rsidRPr="00ED2B1F" w:rsidRDefault="00003B5A" w:rsidP="00C103C7">
            <w:pPr>
              <w:pStyle w:val="TableText"/>
              <w:jc w:val="center"/>
            </w:pPr>
            <w:r w:rsidRPr="00ED2B1F">
              <w:t>422.3</w:t>
            </w:r>
          </w:p>
        </w:tc>
        <w:tc>
          <w:tcPr>
            <w:tcW w:w="1545" w:type="dxa"/>
            <w:tcBorders>
              <w:top w:val="nil"/>
              <w:left w:val="nil"/>
              <w:right w:val="nil"/>
            </w:tcBorders>
          </w:tcPr>
          <w:p w14:paraId="3E26AB72" w14:textId="281CDF99" w:rsidR="00003B5A" w:rsidRPr="00ED2B1F" w:rsidRDefault="00003B5A" w:rsidP="00C103C7">
            <w:pPr>
              <w:pStyle w:val="TableText"/>
              <w:jc w:val="center"/>
            </w:pPr>
            <w:r w:rsidRPr="00ED2B1F">
              <w:t>259.1</w:t>
            </w:r>
          </w:p>
        </w:tc>
        <w:tc>
          <w:tcPr>
            <w:tcW w:w="1545" w:type="dxa"/>
            <w:tcBorders>
              <w:top w:val="nil"/>
              <w:left w:val="nil"/>
              <w:right w:val="nil"/>
            </w:tcBorders>
          </w:tcPr>
          <w:p w14:paraId="6C8C04A9" w14:textId="775B159E" w:rsidR="00003B5A" w:rsidRPr="00ED2B1F" w:rsidRDefault="00003B5A" w:rsidP="00C103C7">
            <w:pPr>
              <w:pStyle w:val="TableText"/>
              <w:jc w:val="center"/>
            </w:pPr>
            <w:r w:rsidRPr="00ED2B1F">
              <w:t>120.0</w:t>
            </w:r>
          </w:p>
        </w:tc>
        <w:tc>
          <w:tcPr>
            <w:tcW w:w="1545" w:type="dxa"/>
            <w:tcBorders>
              <w:top w:val="nil"/>
              <w:left w:val="nil"/>
            </w:tcBorders>
          </w:tcPr>
          <w:p w14:paraId="529BB5D7" w14:textId="0CB9217B" w:rsidR="00003B5A" w:rsidRPr="00ED2B1F" w:rsidRDefault="00003B5A" w:rsidP="00C103C7">
            <w:pPr>
              <w:pStyle w:val="TableText"/>
              <w:jc w:val="center"/>
            </w:pPr>
            <w:r w:rsidRPr="00ED2B1F">
              <w:t>90.8</w:t>
            </w:r>
          </w:p>
        </w:tc>
      </w:tr>
      <w:tr w:rsidR="00003B5A" w:rsidRPr="00ED2B1F" w14:paraId="79762D7D" w14:textId="77777777" w:rsidTr="00C103C7">
        <w:trPr>
          <w:cantSplit/>
        </w:trPr>
        <w:tc>
          <w:tcPr>
            <w:tcW w:w="1701" w:type="dxa"/>
            <w:tcBorders>
              <w:right w:val="nil"/>
            </w:tcBorders>
          </w:tcPr>
          <w:p w14:paraId="057CF0A9" w14:textId="642C23DF" w:rsidR="00003B5A" w:rsidRPr="00ED2B1F" w:rsidRDefault="00003B5A" w:rsidP="00497F1D">
            <w:pPr>
              <w:pStyle w:val="TableText"/>
            </w:pPr>
            <w:r w:rsidRPr="00ED2B1F">
              <w:t>Pacific peoples</w:t>
            </w:r>
          </w:p>
        </w:tc>
        <w:tc>
          <w:tcPr>
            <w:tcW w:w="1545" w:type="dxa"/>
            <w:tcBorders>
              <w:left w:val="nil"/>
              <w:right w:val="nil"/>
            </w:tcBorders>
          </w:tcPr>
          <w:p w14:paraId="25293D51" w14:textId="1582EE67" w:rsidR="00003B5A" w:rsidRPr="00ED2B1F" w:rsidRDefault="00003B5A" w:rsidP="00C103C7">
            <w:pPr>
              <w:pStyle w:val="TableText"/>
              <w:jc w:val="center"/>
            </w:pPr>
            <w:r w:rsidRPr="00ED2B1F">
              <w:t>218.2</w:t>
            </w:r>
          </w:p>
        </w:tc>
        <w:tc>
          <w:tcPr>
            <w:tcW w:w="1545" w:type="dxa"/>
            <w:tcBorders>
              <w:left w:val="nil"/>
              <w:right w:val="nil"/>
            </w:tcBorders>
          </w:tcPr>
          <w:p w14:paraId="3A220F90" w14:textId="19E823B8" w:rsidR="00003B5A" w:rsidRPr="00ED2B1F" w:rsidRDefault="00003B5A" w:rsidP="00C103C7">
            <w:pPr>
              <w:pStyle w:val="TableText"/>
              <w:jc w:val="center"/>
            </w:pPr>
            <w:r w:rsidRPr="00ED2B1F">
              <w:t>111.3</w:t>
            </w:r>
          </w:p>
        </w:tc>
        <w:tc>
          <w:tcPr>
            <w:tcW w:w="1545" w:type="dxa"/>
            <w:tcBorders>
              <w:left w:val="nil"/>
              <w:right w:val="nil"/>
            </w:tcBorders>
          </w:tcPr>
          <w:p w14:paraId="47BBD790" w14:textId="4DAB551F" w:rsidR="00003B5A" w:rsidRPr="00ED2B1F" w:rsidRDefault="00003B5A" w:rsidP="00C103C7">
            <w:pPr>
              <w:pStyle w:val="TableText"/>
              <w:jc w:val="center"/>
            </w:pPr>
            <w:r w:rsidRPr="00ED2B1F">
              <w:t>83.7</w:t>
            </w:r>
          </w:p>
        </w:tc>
        <w:tc>
          <w:tcPr>
            <w:tcW w:w="1545" w:type="dxa"/>
            <w:tcBorders>
              <w:left w:val="nil"/>
            </w:tcBorders>
          </w:tcPr>
          <w:p w14:paraId="0C497766" w14:textId="18167F67" w:rsidR="00003B5A" w:rsidRPr="00ED2B1F" w:rsidRDefault="00003B5A" w:rsidP="00C103C7">
            <w:pPr>
              <w:pStyle w:val="TableText"/>
              <w:jc w:val="center"/>
            </w:pPr>
            <w:r w:rsidRPr="00ED2B1F">
              <w:t>39.9</w:t>
            </w:r>
          </w:p>
        </w:tc>
      </w:tr>
      <w:tr w:rsidR="00003B5A" w:rsidRPr="00ED2B1F" w14:paraId="3FD646B5" w14:textId="77777777" w:rsidTr="00C103C7">
        <w:trPr>
          <w:cantSplit/>
        </w:trPr>
        <w:tc>
          <w:tcPr>
            <w:tcW w:w="1701" w:type="dxa"/>
            <w:tcBorders>
              <w:right w:val="nil"/>
            </w:tcBorders>
          </w:tcPr>
          <w:p w14:paraId="2ED8A266" w14:textId="51B92A1A" w:rsidR="00003B5A" w:rsidRPr="00ED2B1F" w:rsidRDefault="00003B5A" w:rsidP="00497F1D">
            <w:pPr>
              <w:pStyle w:val="TableText"/>
            </w:pPr>
            <w:r w:rsidRPr="00ED2B1F">
              <w:t xml:space="preserve">Asian </w:t>
            </w:r>
          </w:p>
        </w:tc>
        <w:tc>
          <w:tcPr>
            <w:tcW w:w="1545" w:type="dxa"/>
            <w:tcBorders>
              <w:left w:val="nil"/>
              <w:right w:val="nil"/>
            </w:tcBorders>
          </w:tcPr>
          <w:p w14:paraId="47DB0057" w14:textId="4A4B629D" w:rsidR="00003B5A" w:rsidRPr="00ED2B1F" w:rsidRDefault="00003B5A" w:rsidP="00C103C7">
            <w:pPr>
              <w:pStyle w:val="TableText"/>
              <w:jc w:val="center"/>
            </w:pPr>
            <w:r w:rsidRPr="00ED2B1F">
              <w:t>44.5</w:t>
            </w:r>
          </w:p>
        </w:tc>
        <w:tc>
          <w:tcPr>
            <w:tcW w:w="1545" w:type="dxa"/>
            <w:tcBorders>
              <w:left w:val="nil"/>
              <w:right w:val="nil"/>
            </w:tcBorders>
          </w:tcPr>
          <w:p w14:paraId="37A8E8EA" w14:textId="3B5A383A" w:rsidR="00003B5A" w:rsidRPr="00ED2B1F" w:rsidRDefault="00003B5A" w:rsidP="00C103C7">
            <w:pPr>
              <w:pStyle w:val="TableText"/>
              <w:jc w:val="center"/>
            </w:pPr>
            <w:r w:rsidRPr="00ED2B1F">
              <w:t>41.2</w:t>
            </w:r>
          </w:p>
        </w:tc>
        <w:tc>
          <w:tcPr>
            <w:tcW w:w="1545" w:type="dxa"/>
            <w:tcBorders>
              <w:left w:val="nil"/>
              <w:right w:val="nil"/>
            </w:tcBorders>
          </w:tcPr>
          <w:p w14:paraId="177C7D67" w14:textId="2ACD2590" w:rsidR="00003B5A" w:rsidRPr="00ED2B1F" w:rsidRDefault="00003B5A" w:rsidP="00C103C7">
            <w:pPr>
              <w:pStyle w:val="TableText"/>
              <w:jc w:val="center"/>
            </w:pPr>
            <w:r w:rsidRPr="00ED2B1F">
              <w:t>15.0</w:t>
            </w:r>
          </w:p>
        </w:tc>
        <w:tc>
          <w:tcPr>
            <w:tcW w:w="1545" w:type="dxa"/>
            <w:tcBorders>
              <w:left w:val="nil"/>
            </w:tcBorders>
          </w:tcPr>
          <w:p w14:paraId="1DE39BA2" w14:textId="31940EC8" w:rsidR="00003B5A" w:rsidRPr="00ED2B1F" w:rsidRDefault="00003B5A" w:rsidP="00C103C7">
            <w:pPr>
              <w:pStyle w:val="TableText"/>
              <w:jc w:val="center"/>
            </w:pPr>
            <w:r w:rsidRPr="00ED2B1F">
              <w:t>13.9</w:t>
            </w:r>
          </w:p>
        </w:tc>
      </w:tr>
      <w:tr w:rsidR="00003B5A" w:rsidRPr="00ED2B1F" w14:paraId="624B3FB3" w14:textId="77777777" w:rsidTr="00C103C7">
        <w:trPr>
          <w:cantSplit/>
        </w:trPr>
        <w:tc>
          <w:tcPr>
            <w:tcW w:w="1701" w:type="dxa"/>
            <w:tcBorders>
              <w:right w:val="nil"/>
            </w:tcBorders>
          </w:tcPr>
          <w:p w14:paraId="45BBFF68" w14:textId="3C9E0510" w:rsidR="00003B5A" w:rsidRPr="00ED2B1F" w:rsidRDefault="00003B5A" w:rsidP="00497F1D">
            <w:pPr>
              <w:pStyle w:val="TableText"/>
            </w:pPr>
            <w:r w:rsidRPr="00ED2B1F">
              <w:t>Other ethnicities</w:t>
            </w:r>
          </w:p>
        </w:tc>
        <w:tc>
          <w:tcPr>
            <w:tcW w:w="1545" w:type="dxa"/>
            <w:tcBorders>
              <w:left w:val="nil"/>
              <w:right w:val="nil"/>
            </w:tcBorders>
          </w:tcPr>
          <w:p w14:paraId="5842214E" w14:textId="6ABF3434" w:rsidR="00003B5A" w:rsidRPr="00ED2B1F" w:rsidRDefault="00003B5A" w:rsidP="00C103C7">
            <w:pPr>
              <w:pStyle w:val="TableText"/>
              <w:jc w:val="center"/>
            </w:pPr>
            <w:r w:rsidRPr="00ED2B1F">
              <w:t>133.8</w:t>
            </w:r>
          </w:p>
        </w:tc>
        <w:tc>
          <w:tcPr>
            <w:tcW w:w="1545" w:type="dxa"/>
            <w:tcBorders>
              <w:left w:val="nil"/>
              <w:right w:val="nil"/>
            </w:tcBorders>
          </w:tcPr>
          <w:p w14:paraId="7C049615" w14:textId="666173E4" w:rsidR="00003B5A" w:rsidRPr="00ED2B1F" w:rsidRDefault="00003B5A" w:rsidP="00C103C7">
            <w:pPr>
              <w:pStyle w:val="TableText"/>
              <w:jc w:val="center"/>
            </w:pPr>
            <w:r w:rsidRPr="00ED2B1F">
              <w:t>71.9</w:t>
            </w:r>
          </w:p>
        </w:tc>
        <w:tc>
          <w:tcPr>
            <w:tcW w:w="1545" w:type="dxa"/>
            <w:tcBorders>
              <w:left w:val="nil"/>
              <w:right w:val="nil"/>
            </w:tcBorders>
          </w:tcPr>
          <w:p w14:paraId="56FEA148" w14:textId="6A32EF35" w:rsidR="00003B5A" w:rsidRPr="00ED2B1F" w:rsidRDefault="00003B5A" w:rsidP="00C103C7">
            <w:pPr>
              <w:pStyle w:val="TableText"/>
              <w:jc w:val="center"/>
            </w:pPr>
            <w:r w:rsidRPr="00ED2B1F">
              <w:t>41.4</w:t>
            </w:r>
          </w:p>
        </w:tc>
        <w:tc>
          <w:tcPr>
            <w:tcW w:w="1545" w:type="dxa"/>
            <w:tcBorders>
              <w:left w:val="nil"/>
            </w:tcBorders>
          </w:tcPr>
          <w:p w14:paraId="017E3887" w14:textId="23CED932" w:rsidR="00003B5A" w:rsidRPr="00ED2B1F" w:rsidRDefault="00003B5A" w:rsidP="00C103C7">
            <w:pPr>
              <w:pStyle w:val="TableText"/>
              <w:jc w:val="center"/>
            </w:pPr>
            <w:r w:rsidRPr="00ED2B1F">
              <w:t>28.5</w:t>
            </w:r>
          </w:p>
        </w:tc>
      </w:tr>
    </w:tbl>
    <w:p w14:paraId="4505E7A9" w14:textId="736D42F8" w:rsidR="00497443" w:rsidRPr="00C103C7" w:rsidRDefault="00497443" w:rsidP="00C103C7">
      <w:pPr>
        <w:pStyle w:val="Note"/>
      </w:pPr>
      <w:r w:rsidRPr="00C103C7">
        <w:t xml:space="preserve">Notes: Rates per 100,000 are age standardised. ‘Other ethnicities’ are all ethnicities excluding </w:t>
      </w:r>
      <w:r w:rsidR="00E06E6F" w:rsidRPr="00C103C7">
        <w:t>Māori, Pacific peoples and Asian</w:t>
      </w:r>
      <w:r w:rsidR="00471A86" w:rsidRPr="00C103C7">
        <w:t xml:space="preserve"> groups</w:t>
      </w:r>
      <w:r w:rsidR="00E06E6F" w:rsidRPr="00C103C7">
        <w:t>.</w:t>
      </w:r>
    </w:p>
    <w:p w14:paraId="2A4EE8A0" w14:textId="19F3A500" w:rsidR="00497443" w:rsidRPr="00ED2B1F" w:rsidRDefault="00497443" w:rsidP="00C103C7">
      <w:pPr>
        <w:pStyle w:val="Source"/>
      </w:pPr>
      <w:r w:rsidRPr="00ED2B1F">
        <w:t xml:space="preserve">Source: PRIMHD data (extracted </w:t>
      </w:r>
      <w:r w:rsidR="00955846" w:rsidRPr="00ED2B1F">
        <w:t>10 June 2025</w:t>
      </w:r>
      <w:r w:rsidRPr="00ED2B1F">
        <w:t>).</w:t>
      </w:r>
    </w:p>
    <w:p w14:paraId="7D718945" w14:textId="77777777" w:rsidR="00F21E74" w:rsidRPr="00ED2B1F" w:rsidRDefault="00F21E74" w:rsidP="00C6514D">
      <w:pPr>
        <w:pStyle w:val="Source"/>
      </w:pPr>
      <w:bookmarkStart w:id="161" w:name="_Ref214980147"/>
    </w:p>
    <w:p w14:paraId="3F7E942F" w14:textId="7ACA3936" w:rsidR="00497443" w:rsidRPr="00ED2B1F" w:rsidRDefault="00497443" w:rsidP="00C103C7">
      <w:pPr>
        <w:pStyle w:val="Figure"/>
      </w:pPr>
      <w:bookmarkStart w:id="162" w:name="_Ref65671957"/>
      <w:bookmarkStart w:id="163" w:name="_Toc63764754"/>
      <w:bookmarkStart w:id="164" w:name="_Toc75176481"/>
      <w:bookmarkStart w:id="165" w:name="_Toc85442571"/>
      <w:bookmarkStart w:id="166" w:name="_Toc85445918"/>
      <w:bookmarkStart w:id="167" w:name="_Toc87429958"/>
      <w:bookmarkStart w:id="168" w:name="_Toc88561390"/>
      <w:bookmarkStart w:id="169" w:name="_Toc115188848"/>
      <w:bookmarkStart w:id="170" w:name="_Toc142314690"/>
      <w:bookmarkStart w:id="171" w:name="_Toc145394274"/>
      <w:bookmarkStart w:id="172" w:name="_Toc189053950"/>
      <w:bookmarkStart w:id="173" w:name="_Toc224638181"/>
      <w:bookmarkEnd w:id="161"/>
      <w:r w:rsidRPr="00ED2B1F">
        <w:lastRenderedPageBreak/>
        <w:t>Figure </w:t>
      </w:r>
      <w:r w:rsidRPr="00ED2B1F">
        <w:fldChar w:fldCharType="begin"/>
      </w:r>
      <w:r w:rsidRPr="00ED2B1F">
        <w:instrText>SEQ Figure \* ARABIC</w:instrText>
      </w:r>
      <w:r w:rsidRPr="00ED2B1F">
        <w:fldChar w:fldCharType="separate"/>
      </w:r>
      <w:r w:rsidR="00484E57">
        <w:rPr>
          <w:noProof/>
        </w:rPr>
        <w:t>9</w:t>
      </w:r>
      <w:r w:rsidRPr="00ED2B1F">
        <w:fldChar w:fldCharType="end"/>
      </w:r>
      <w:bookmarkEnd w:id="162"/>
      <w:r w:rsidRPr="00ED2B1F">
        <w:t xml:space="preserve">: Age-standardised rates of people subject to community (section 29) and inpatient (section 30) treatment orders under the Mental Health Act, by gender and ethnicity, </w:t>
      </w:r>
      <w:bookmarkEnd w:id="163"/>
      <w:bookmarkEnd w:id="164"/>
      <w:bookmarkEnd w:id="165"/>
      <w:bookmarkEnd w:id="166"/>
      <w:bookmarkEnd w:id="167"/>
      <w:bookmarkEnd w:id="168"/>
      <w:bookmarkEnd w:id="169"/>
      <w:bookmarkEnd w:id="170"/>
      <w:bookmarkEnd w:id="171"/>
      <w:bookmarkEnd w:id="172"/>
      <w:r w:rsidR="00211D17" w:rsidRPr="00ED2B1F">
        <w:t>1 July 2023 to 30 June 2024</w:t>
      </w:r>
      <w:bookmarkEnd w:id="173"/>
    </w:p>
    <w:p w14:paraId="1A88103A" w14:textId="49631C22" w:rsidR="00497443" w:rsidRPr="00ED2B1F" w:rsidRDefault="00CC12F1" w:rsidP="00BF4571">
      <w:pPr>
        <w:rPr>
          <w:rFonts w:eastAsia="Arial Unicode MS"/>
        </w:rPr>
      </w:pPr>
      <w:r>
        <w:rPr>
          <w:rFonts w:eastAsia="Arial Unicode MS"/>
          <w:noProof/>
        </w:rPr>
        <w:drawing>
          <wp:inline distT="0" distB="0" distL="0" distR="0" wp14:anchorId="38231484" wp14:editId="04EACC08">
            <wp:extent cx="5133340" cy="2646045"/>
            <wp:effectExtent l="0" t="0" r="0" b="1905"/>
            <wp:docPr id="132227925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9251" name="Picture 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3340" cy="2646045"/>
                    </a:xfrm>
                    <a:prstGeom prst="rect">
                      <a:avLst/>
                    </a:prstGeom>
                    <a:noFill/>
                  </pic:spPr>
                </pic:pic>
              </a:graphicData>
            </a:graphic>
          </wp:inline>
        </w:drawing>
      </w:r>
    </w:p>
    <w:p w14:paraId="22FEA323" w14:textId="77777777" w:rsidR="00497443" w:rsidRPr="00ED2B1F" w:rsidRDefault="00497443" w:rsidP="00497443">
      <w:pPr>
        <w:pStyle w:val="Note"/>
      </w:pPr>
      <w:r w:rsidRPr="00ED2B1F">
        <w:t>Note: Rates per 100,000 are age standardised.</w:t>
      </w:r>
    </w:p>
    <w:p w14:paraId="1DC5376E" w14:textId="5E48B90A" w:rsidR="00497443" w:rsidRPr="00ED2B1F" w:rsidRDefault="00497443" w:rsidP="00497443">
      <w:pPr>
        <w:pStyle w:val="Source"/>
      </w:pPr>
      <w:r w:rsidRPr="00ED2B1F">
        <w:t xml:space="preserve">Source: PRIMHD data (extracted </w:t>
      </w:r>
      <w:r w:rsidR="00955846" w:rsidRPr="00ED2B1F">
        <w:t>10 June 2025</w:t>
      </w:r>
      <w:r w:rsidRPr="00ED2B1F">
        <w:t>).</w:t>
      </w:r>
    </w:p>
    <w:p w14:paraId="3E55B69D" w14:textId="77777777" w:rsidR="00C840E7" w:rsidRDefault="00C840E7" w:rsidP="00C103C7">
      <w:pPr>
        <w:pStyle w:val="Table"/>
      </w:pPr>
      <w:bookmarkStart w:id="174" w:name="_Toc65141620"/>
      <w:bookmarkStart w:id="175" w:name="_Toc75176444"/>
      <w:bookmarkStart w:id="176" w:name="_Toc87429906"/>
      <w:bookmarkStart w:id="177" w:name="_Toc88826954"/>
      <w:bookmarkStart w:id="178" w:name="_Toc115188804"/>
      <w:bookmarkStart w:id="179" w:name="_Toc145394232"/>
      <w:bookmarkStart w:id="180" w:name="_Toc189053902"/>
    </w:p>
    <w:p w14:paraId="1184BA64" w14:textId="43744BE7" w:rsidR="00C840E7" w:rsidRPr="00ED2B1F" w:rsidRDefault="00C840E7" w:rsidP="00C103C7">
      <w:pPr>
        <w:pStyle w:val="Table"/>
      </w:pPr>
      <w:bookmarkStart w:id="181" w:name="_Ref224046440"/>
      <w:bookmarkStart w:id="182" w:name="_Toc224638227"/>
      <w:r w:rsidRPr="00ED2B1F">
        <w:t>Table </w:t>
      </w:r>
      <w:r w:rsidRPr="00ED2B1F">
        <w:fldChar w:fldCharType="begin"/>
      </w:r>
      <w:r w:rsidRPr="00ED2B1F">
        <w:instrText>SEQ Table \* ARABIC</w:instrText>
      </w:r>
      <w:r w:rsidRPr="00ED2B1F">
        <w:fldChar w:fldCharType="separate"/>
      </w:r>
      <w:r w:rsidR="00484E57">
        <w:rPr>
          <w:noProof/>
        </w:rPr>
        <w:t>7</w:t>
      </w:r>
      <w:r w:rsidRPr="00ED2B1F">
        <w:fldChar w:fldCharType="end"/>
      </w:r>
      <w:bookmarkEnd w:id="181"/>
      <w:r w:rsidRPr="00ED2B1F">
        <w:t>: Rate ratio of age-standardised rates of people subject to community (section 29) and inpatient (section 30) treatment orders under the Mental Health Act, by gender and ethnicity, 1 July 2023 to 30 June 2024</w:t>
      </w:r>
      <w:bookmarkEnd w:id="182"/>
    </w:p>
    <w:tbl>
      <w:tblPr>
        <w:tblW w:w="8023" w:type="dxa"/>
        <w:tblInd w:w="57" w:type="dxa"/>
        <w:tblBorders>
          <w:top w:val="single" w:sz="4" w:space="0" w:color="A6A6A6"/>
          <w:bottom w:val="single" w:sz="4" w:space="0" w:color="A6A6A6"/>
          <w:insideH w:val="single" w:sz="4" w:space="0" w:color="A6A6A6"/>
        </w:tblBorders>
        <w:tblLayout w:type="fixed"/>
        <w:tblCellMar>
          <w:left w:w="57" w:type="dxa"/>
          <w:right w:w="57" w:type="dxa"/>
        </w:tblCellMar>
        <w:tblLook w:val="01E0" w:firstRow="1" w:lastRow="1" w:firstColumn="1" w:lastColumn="1" w:noHBand="0" w:noVBand="0"/>
      </w:tblPr>
      <w:tblGrid>
        <w:gridCol w:w="3228"/>
        <w:gridCol w:w="1198"/>
        <w:gridCol w:w="1199"/>
        <w:gridCol w:w="1199"/>
        <w:gridCol w:w="1199"/>
      </w:tblGrid>
      <w:tr w:rsidR="00C840E7" w:rsidRPr="00ED2B1F" w14:paraId="6CEB439C" w14:textId="77777777" w:rsidTr="00C103C7">
        <w:trPr>
          <w:cantSplit/>
        </w:trPr>
        <w:tc>
          <w:tcPr>
            <w:tcW w:w="3228" w:type="dxa"/>
            <w:vMerge w:val="restart"/>
            <w:tcBorders>
              <w:top w:val="nil"/>
              <w:bottom w:val="nil"/>
              <w:right w:val="nil"/>
            </w:tcBorders>
            <w:shd w:val="clear" w:color="auto" w:fill="D9D9D9" w:themeFill="background1" w:themeFillShade="D9"/>
          </w:tcPr>
          <w:p w14:paraId="2BEF4840" w14:textId="77777777" w:rsidR="00C840E7" w:rsidRPr="00C103C7" w:rsidRDefault="00C840E7">
            <w:pPr>
              <w:pStyle w:val="TableText"/>
            </w:pPr>
          </w:p>
          <w:p w14:paraId="15B38263" w14:textId="77777777" w:rsidR="00C840E7" w:rsidRPr="00C103C7" w:rsidRDefault="00C840E7">
            <w:pPr>
              <w:pStyle w:val="TableText"/>
              <w:rPr>
                <w:b/>
                <w:bCs/>
              </w:rPr>
            </w:pPr>
            <w:r w:rsidRPr="00C103C7">
              <w:rPr>
                <w:b/>
                <w:bCs/>
              </w:rPr>
              <w:t>Ethnic group</w:t>
            </w:r>
          </w:p>
        </w:tc>
        <w:tc>
          <w:tcPr>
            <w:tcW w:w="2397" w:type="dxa"/>
            <w:gridSpan w:val="2"/>
            <w:tcBorders>
              <w:top w:val="nil"/>
              <w:left w:val="nil"/>
              <w:bottom w:val="nil"/>
              <w:right w:val="nil"/>
            </w:tcBorders>
            <w:shd w:val="clear" w:color="auto" w:fill="D9D9D9" w:themeFill="background1" w:themeFillShade="D9"/>
          </w:tcPr>
          <w:p w14:paraId="229DE037" w14:textId="77777777" w:rsidR="00C840E7" w:rsidRPr="00C103C7" w:rsidRDefault="00C840E7" w:rsidP="00C103C7">
            <w:pPr>
              <w:pStyle w:val="TableText"/>
              <w:jc w:val="center"/>
              <w:rPr>
                <w:b/>
              </w:rPr>
            </w:pPr>
            <w:r w:rsidRPr="00C103C7">
              <w:rPr>
                <w:b/>
              </w:rPr>
              <w:t>Community CTO</w:t>
            </w:r>
          </w:p>
        </w:tc>
        <w:tc>
          <w:tcPr>
            <w:tcW w:w="2398" w:type="dxa"/>
            <w:gridSpan w:val="2"/>
            <w:tcBorders>
              <w:top w:val="nil"/>
              <w:left w:val="nil"/>
              <w:bottom w:val="nil"/>
            </w:tcBorders>
            <w:shd w:val="clear" w:color="auto" w:fill="D9D9D9" w:themeFill="background1" w:themeFillShade="D9"/>
          </w:tcPr>
          <w:p w14:paraId="1DAF6610" w14:textId="77777777" w:rsidR="00C840E7" w:rsidRPr="00C103C7" w:rsidRDefault="00C840E7" w:rsidP="00C103C7">
            <w:pPr>
              <w:pStyle w:val="TableText"/>
              <w:jc w:val="center"/>
              <w:rPr>
                <w:b/>
              </w:rPr>
            </w:pPr>
            <w:r w:rsidRPr="00C103C7">
              <w:rPr>
                <w:b/>
              </w:rPr>
              <w:t>Inpatient CTO</w:t>
            </w:r>
          </w:p>
        </w:tc>
      </w:tr>
      <w:tr w:rsidR="00C840E7" w:rsidRPr="00ED2B1F" w14:paraId="7CCBB8DB" w14:textId="77777777" w:rsidTr="00C103C7">
        <w:trPr>
          <w:cantSplit/>
        </w:trPr>
        <w:tc>
          <w:tcPr>
            <w:tcW w:w="3228" w:type="dxa"/>
            <w:vMerge/>
            <w:tcBorders>
              <w:bottom w:val="nil"/>
            </w:tcBorders>
            <w:shd w:val="clear" w:color="auto" w:fill="D9D9D9" w:themeFill="background1" w:themeFillShade="D9"/>
          </w:tcPr>
          <w:p w14:paraId="188DA2AC" w14:textId="77777777" w:rsidR="00C840E7" w:rsidRPr="00C103C7" w:rsidRDefault="00C840E7">
            <w:pPr>
              <w:pStyle w:val="TableText"/>
            </w:pPr>
          </w:p>
        </w:tc>
        <w:tc>
          <w:tcPr>
            <w:tcW w:w="1198" w:type="dxa"/>
            <w:tcBorders>
              <w:top w:val="nil"/>
              <w:left w:val="nil"/>
              <w:bottom w:val="nil"/>
              <w:right w:val="nil"/>
            </w:tcBorders>
            <w:shd w:val="clear" w:color="auto" w:fill="D9D9D9" w:themeFill="background1" w:themeFillShade="D9"/>
          </w:tcPr>
          <w:p w14:paraId="0CA662A6" w14:textId="77777777" w:rsidR="00C840E7" w:rsidRPr="00C103C7" w:rsidRDefault="00C840E7" w:rsidP="00C103C7">
            <w:pPr>
              <w:pStyle w:val="TableText"/>
              <w:spacing w:before="0"/>
              <w:jc w:val="center"/>
              <w:rPr>
                <w:b/>
              </w:rPr>
            </w:pPr>
            <w:r w:rsidRPr="00C103C7">
              <w:rPr>
                <w:b/>
              </w:rPr>
              <w:t>Male</w:t>
            </w:r>
          </w:p>
        </w:tc>
        <w:tc>
          <w:tcPr>
            <w:tcW w:w="1199" w:type="dxa"/>
            <w:tcBorders>
              <w:top w:val="nil"/>
              <w:left w:val="nil"/>
              <w:bottom w:val="nil"/>
              <w:right w:val="nil"/>
            </w:tcBorders>
            <w:shd w:val="clear" w:color="auto" w:fill="D9D9D9" w:themeFill="background1" w:themeFillShade="D9"/>
          </w:tcPr>
          <w:p w14:paraId="66233CB0" w14:textId="77777777" w:rsidR="00C840E7" w:rsidRPr="00C103C7" w:rsidRDefault="00C840E7" w:rsidP="00C103C7">
            <w:pPr>
              <w:pStyle w:val="TableText"/>
              <w:spacing w:before="0"/>
              <w:jc w:val="center"/>
              <w:rPr>
                <w:b/>
              </w:rPr>
            </w:pPr>
            <w:r w:rsidRPr="00C103C7">
              <w:rPr>
                <w:b/>
              </w:rPr>
              <w:t>Female</w:t>
            </w:r>
          </w:p>
        </w:tc>
        <w:tc>
          <w:tcPr>
            <w:tcW w:w="1199" w:type="dxa"/>
            <w:tcBorders>
              <w:top w:val="nil"/>
              <w:left w:val="nil"/>
              <w:bottom w:val="nil"/>
              <w:right w:val="nil"/>
            </w:tcBorders>
            <w:shd w:val="clear" w:color="auto" w:fill="D9D9D9" w:themeFill="background1" w:themeFillShade="D9"/>
          </w:tcPr>
          <w:p w14:paraId="70DC2997" w14:textId="77777777" w:rsidR="00C840E7" w:rsidRPr="00C103C7" w:rsidRDefault="00C840E7" w:rsidP="00C103C7">
            <w:pPr>
              <w:pStyle w:val="TableText"/>
              <w:spacing w:before="0"/>
              <w:jc w:val="center"/>
              <w:rPr>
                <w:b/>
              </w:rPr>
            </w:pPr>
            <w:r w:rsidRPr="00C103C7">
              <w:rPr>
                <w:b/>
              </w:rPr>
              <w:t>Male</w:t>
            </w:r>
          </w:p>
        </w:tc>
        <w:tc>
          <w:tcPr>
            <w:tcW w:w="1199" w:type="dxa"/>
            <w:tcBorders>
              <w:top w:val="nil"/>
              <w:left w:val="nil"/>
              <w:bottom w:val="nil"/>
            </w:tcBorders>
            <w:shd w:val="clear" w:color="auto" w:fill="D9D9D9" w:themeFill="background1" w:themeFillShade="D9"/>
          </w:tcPr>
          <w:p w14:paraId="49347726" w14:textId="77777777" w:rsidR="00C840E7" w:rsidRPr="00C103C7" w:rsidRDefault="00C840E7" w:rsidP="00C103C7">
            <w:pPr>
              <w:pStyle w:val="TableText"/>
              <w:spacing w:before="0"/>
              <w:jc w:val="center"/>
              <w:rPr>
                <w:b/>
              </w:rPr>
            </w:pPr>
            <w:r w:rsidRPr="00C103C7">
              <w:rPr>
                <w:b/>
              </w:rPr>
              <w:t>Female</w:t>
            </w:r>
          </w:p>
        </w:tc>
      </w:tr>
      <w:tr w:rsidR="00C840E7" w:rsidRPr="00ED2B1F" w14:paraId="0FBCE476" w14:textId="77777777" w:rsidTr="00C103C7">
        <w:trPr>
          <w:cantSplit/>
        </w:trPr>
        <w:tc>
          <w:tcPr>
            <w:tcW w:w="3228" w:type="dxa"/>
            <w:tcBorders>
              <w:right w:val="nil"/>
            </w:tcBorders>
          </w:tcPr>
          <w:p w14:paraId="2E7F9169" w14:textId="77777777" w:rsidR="00C840E7" w:rsidRPr="00ED2B1F" w:rsidRDefault="00C840E7">
            <w:pPr>
              <w:pStyle w:val="TableText"/>
            </w:pPr>
            <w:r w:rsidRPr="00ED2B1F">
              <w:t xml:space="preserve">Māori </w:t>
            </w:r>
            <w:r>
              <w:t>to</w:t>
            </w:r>
            <w:r w:rsidRPr="00ED2B1F">
              <w:t xml:space="preserve"> Pacific peoples</w:t>
            </w:r>
            <w:r>
              <w:t xml:space="preserve"> rate ratio</w:t>
            </w:r>
          </w:p>
        </w:tc>
        <w:tc>
          <w:tcPr>
            <w:tcW w:w="1198" w:type="dxa"/>
            <w:tcBorders>
              <w:left w:val="nil"/>
              <w:right w:val="nil"/>
            </w:tcBorders>
          </w:tcPr>
          <w:p w14:paraId="6EFA39B1" w14:textId="77777777" w:rsidR="00C840E7" w:rsidRPr="00ED2B1F" w:rsidRDefault="00C840E7" w:rsidP="00C103C7">
            <w:pPr>
              <w:pStyle w:val="TableText"/>
              <w:jc w:val="center"/>
            </w:pPr>
            <w:r w:rsidRPr="00ED2B1F">
              <w:t>1.9:1.0</w:t>
            </w:r>
          </w:p>
        </w:tc>
        <w:tc>
          <w:tcPr>
            <w:tcW w:w="1199" w:type="dxa"/>
            <w:tcBorders>
              <w:left w:val="nil"/>
              <w:right w:val="nil"/>
            </w:tcBorders>
          </w:tcPr>
          <w:p w14:paraId="10841F42" w14:textId="77777777" w:rsidR="00C840E7" w:rsidRPr="00ED2B1F" w:rsidRDefault="00C840E7" w:rsidP="00C103C7">
            <w:pPr>
              <w:pStyle w:val="TableText"/>
              <w:jc w:val="center"/>
            </w:pPr>
            <w:r w:rsidRPr="00ED2B1F">
              <w:t>2.3:1.0</w:t>
            </w:r>
          </w:p>
        </w:tc>
        <w:tc>
          <w:tcPr>
            <w:tcW w:w="1199" w:type="dxa"/>
            <w:tcBorders>
              <w:left w:val="nil"/>
              <w:right w:val="nil"/>
            </w:tcBorders>
          </w:tcPr>
          <w:p w14:paraId="37AFE671" w14:textId="77777777" w:rsidR="00C840E7" w:rsidRPr="00ED2B1F" w:rsidRDefault="00C840E7" w:rsidP="00C103C7">
            <w:pPr>
              <w:pStyle w:val="TableText"/>
              <w:jc w:val="center"/>
            </w:pPr>
            <w:r w:rsidRPr="00ED2B1F">
              <w:t>1.4: .0</w:t>
            </w:r>
          </w:p>
        </w:tc>
        <w:tc>
          <w:tcPr>
            <w:tcW w:w="1199" w:type="dxa"/>
            <w:tcBorders>
              <w:left w:val="nil"/>
            </w:tcBorders>
          </w:tcPr>
          <w:p w14:paraId="7228511E" w14:textId="77777777" w:rsidR="00C840E7" w:rsidRPr="00ED2B1F" w:rsidRDefault="00C840E7" w:rsidP="00C103C7">
            <w:pPr>
              <w:pStyle w:val="TableText"/>
              <w:jc w:val="center"/>
            </w:pPr>
            <w:r w:rsidRPr="00ED2B1F">
              <w:t>2.3:1.0</w:t>
            </w:r>
          </w:p>
        </w:tc>
      </w:tr>
      <w:tr w:rsidR="00C840E7" w:rsidRPr="00ED2B1F" w14:paraId="54BEE9EF" w14:textId="77777777" w:rsidTr="00C103C7">
        <w:trPr>
          <w:cantSplit/>
        </w:trPr>
        <w:tc>
          <w:tcPr>
            <w:tcW w:w="3228" w:type="dxa"/>
            <w:tcBorders>
              <w:right w:val="nil"/>
            </w:tcBorders>
          </w:tcPr>
          <w:p w14:paraId="5C954062" w14:textId="77777777" w:rsidR="00C840E7" w:rsidRPr="00ED2B1F" w:rsidRDefault="00C840E7">
            <w:pPr>
              <w:pStyle w:val="TableText"/>
            </w:pPr>
            <w:r w:rsidRPr="00ED2B1F">
              <w:t xml:space="preserve">Māori </w:t>
            </w:r>
            <w:r>
              <w:t>to</w:t>
            </w:r>
            <w:r w:rsidRPr="00ED2B1F">
              <w:t xml:space="preserve"> Asian</w:t>
            </w:r>
            <w:r>
              <w:t xml:space="preserve"> rate ratio</w:t>
            </w:r>
          </w:p>
        </w:tc>
        <w:tc>
          <w:tcPr>
            <w:tcW w:w="1198" w:type="dxa"/>
            <w:tcBorders>
              <w:left w:val="nil"/>
              <w:right w:val="nil"/>
            </w:tcBorders>
          </w:tcPr>
          <w:p w14:paraId="64D3CE4F" w14:textId="77777777" w:rsidR="00C840E7" w:rsidRPr="00ED2B1F" w:rsidRDefault="00C840E7" w:rsidP="00C103C7">
            <w:pPr>
              <w:pStyle w:val="TableText"/>
              <w:jc w:val="center"/>
            </w:pPr>
            <w:r w:rsidRPr="00ED2B1F">
              <w:t>9.5:1.0</w:t>
            </w:r>
          </w:p>
        </w:tc>
        <w:tc>
          <w:tcPr>
            <w:tcW w:w="1199" w:type="dxa"/>
            <w:tcBorders>
              <w:left w:val="nil"/>
              <w:right w:val="nil"/>
            </w:tcBorders>
          </w:tcPr>
          <w:p w14:paraId="2C9E9D51" w14:textId="77777777" w:rsidR="00C840E7" w:rsidRPr="00ED2B1F" w:rsidRDefault="00C840E7" w:rsidP="00C103C7">
            <w:pPr>
              <w:pStyle w:val="TableText"/>
              <w:jc w:val="center"/>
            </w:pPr>
            <w:r w:rsidRPr="00ED2B1F">
              <w:t>6.3: .0</w:t>
            </w:r>
          </w:p>
        </w:tc>
        <w:tc>
          <w:tcPr>
            <w:tcW w:w="1199" w:type="dxa"/>
            <w:tcBorders>
              <w:left w:val="nil"/>
              <w:right w:val="nil"/>
            </w:tcBorders>
          </w:tcPr>
          <w:p w14:paraId="5C06067D" w14:textId="77777777" w:rsidR="00C840E7" w:rsidRPr="00ED2B1F" w:rsidRDefault="00C840E7" w:rsidP="00C103C7">
            <w:pPr>
              <w:pStyle w:val="TableText"/>
              <w:jc w:val="center"/>
            </w:pPr>
            <w:r w:rsidRPr="00ED2B1F">
              <w:t>8.0: .0</w:t>
            </w:r>
          </w:p>
        </w:tc>
        <w:tc>
          <w:tcPr>
            <w:tcW w:w="1199" w:type="dxa"/>
            <w:tcBorders>
              <w:left w:val="nil"/>
            </w:tcBorders>
          </w:tcPr>
          <w:p w14:paraId="6E33CFFC" w14:textId="77777777" w:rsidR="00C840E7" w:rsidRPr="00ED2B1F" w:rsidRDefault="00C840E7" w:rsidP="00C103C7">
            <w:pPr>
              <w:pStyle w:val="TableText"/>
              <w:jc w:val="center"/>
            </w:pPr>
            <w:r w:rsidRPr="00ED2B1F">
              <w:t>6.5:1.0</w:t>
            </w:r>
          </w:p>
        </w:tc>
      </w:tr>
      <w:tr w:rsidR="00C840E7" w:rsidRPr="00ED2B1F" w14:paraId="15D8C6A9" w14:textId="77777777" w:rsidTr="00C103C7">
        <w:trPr>
          <w:cantSplit/>
        </w:trPr>
        <w:tc>
          <w:tcPr>
            <w:tcW w:w="3228" w:type="dxa"/>
            <w:tcBorders>
              <w:right w:val="nil"/>
            </w:tcBorders>
          </w:tcPr>
          <w:p w14:paraId="3B216B8A" w14:textId="77777777" w:rsidR="00C840E7" w:rsidRPr="00ED2B1F" w:rsidRDefault="00C840E7">
            <w:pPr>
              <w:pStyle w:val="TableText"/>
            </w:pPr>
            <w:r w:rsidRPr="00ED2B1F">
              <w:t xml:space="preserve">Māori </w:t>
            </w:r>
            <w:r>
              <w:t xml:space="preserve">to </w:t>
            </w:r>
            <w:r w:rsidRPr="00ED2B1F">
              <w:t>Other ethnicities</w:t>
            </w:r>
            <w:r>
              <w:t xml:space="preserve"> rate ratio</w:t>
            </w:r>
          </w:p>
        </w:tc>
        <w:tc>
          <w:tcPr>
            <w:tcW w:w="1198" w:type="dxa"/>
            <w:tcBorders>
              <w:left w:val="nil"/>
              <w:right w:val="nil"/>
            </w:tcBorders>
          </w:tcPr>
          <w:p w14:paraId="0C274E53" w14:textId="77777777" w:rsidR="00C840E7" w:rsidRPr="00ED2B1F" w:rsidRDefault="00C840E7" w:rsidP="00C103C7">
            <w:pPr>
              <w:pStyle w:val="TableText"/>
              <w:jc w:val="center"/>
            </w:pPr>
            <w:r w:rsidRPr="00ED2B1F">
              <w:t>3.2:1.0</w:t>
            </w:r>
          </w:p>
        </w:tc>
        <w:tc>
          <w:tcPr>
            <w:tcW w:w="1199" w:type="dxa"/>
            <w:tcBorders>
              <w:left w:val="nil"/>
              <w:right w:val="nil"/>
            </w:tcBorders>
          </w:tcPr>
          <w:p w14:paraId="5AF47AAD" w14:textId="77777777" w:rsidR="00C840E7" w:rsidRPr="00ED2B1F" w:rsidRDefault="00C840E7" w:rsidP="00C103C7">
            <w:pPr>
              <w:pStyle w:val="TableText"/>
              <w:jc w:val="center"/>
            </w:pPr>
            <w:r w:rsidRPr="00ED2B1F">
              <w:t>3.6:1.0</w:t>
            </w:r>
          </w:p>
        </w:tc>
        <w:tc>
          <w:tcPr>
            <w:tcW w:w="1199" w:type="dxa"/>
            <w:tcBorders>
              <w:left w:val="nil"/>
              <w:right w:val="nil"/>
            </w:tcBorders>
          </w:tcPr>
          <w:p w14:paraId="70132559" w14:textId="77777777" w:rsidR="00C840E7" w:rsidRPr="00ED2B1F" w:rsidRDefault="00C840E7" w:rsidP="00C103C7">
            <w:pPr>
              <w:pStyle w:val="TableText"/>
              <w:jc w:val="center"/>
            </w:pPr>
            <w:r w:rsidRPr="00ED2B1F">
              <w:t>2.9: .0</w:t>
            </w:r>
          </w:p>
        </w:tc>
        <w:tc>
          <w:tcPr>
            <w:tcW w:w="1199" w:type="dxa"/>
            <w:tcBorders>
              <w:left w:val="nil"/>
            </w:tcBorders>
          </w:tcPr>
          <w:p w14:paraId="298CB3C1" w14:textId="77777777" w:rsidR="00C840E7" w:rsidRPr="00ED2B1F" w:rsidRDefault="00C840E7" w:rsidP="00C103C7">
            <w:pPr>
              <w:pStyle w:val="TableText"/>
              <w:jc w:val="center"/>
            </w:pPr>
            <w:r w:rsidRPr="00ED2B1F">
              <w:t>3.2:10.</w:t>
            </w:r>
          </w:p>
        </w:tc>
      </w:tr>
      <w:tr w:rsidR="00C840E7" w:rsidRPr="00ED2B1F" w14:paraId="7C7D1F0B" w14:textId="77777777" w:rsidTr="00C103C7">
        <w:trPr>
          <w:cantSplit/>
        </w:trPr>
        <w:tc>
          <w:tcPr>
            <w:tcW w:w="3228" w:type="dxa"/>
            <w:tcBorders>
              <w:right w:val="nil"/>
            </w:tcBorders>
          </w:tcPr>
          <w:p w14:paraId="384A092D" w14:textId="77777777" w:rsidR="00C840E7" w:rsidRPr="00ED2B1F" w:rsidRDefault="00C840E7">
            <w:pPr>
              <w:pStyle w:val="TableText"/>
            </w:pPr>
            <w:r w:rsidRPr="00ED2B1F">
              <w:t xml:space="preserve">Pacific peoples </w:t>
            </w:r>
            <w:r>
              <w:t>to</w:t>
            </w:r>
            <w:r w:rsidRPr="00ED2B1F">
              <w:t xml:space="preserve"> Other ethnicities </w:t>
            </w:r>
            <w:r>
              <w:t>rate ratio</w:t>
            </w:r>
          </w:p>
        </w:tc>
        <w:tc>
          <w:tcPr>
            <w:tcW w:w="1198" w:type="dxa"/>
            <w:tcBorders>
              <w:left w:val="nil"/>
              <w:right w:val="nil"/>
            </w:tcBorders>
          </w:tcPr>
          <w:p w14:paraId="0B4EDDA4" w14:textId="77777777" w:rsidR="00C840E7" w:rsidRPr="00ED2B1F" w:rsidRDefault="00C840E7" w:rsidP="00C103C7">
            <w:pPr>
              <w:pStyle w:val="TableText"/>
              <w:jc w:val="center"/>
            </w:pPr>
            <w:r w:rsidRPr="00ED2B1F">
              <w:t>1.6:1.0</w:t>
            </w:r>
          </w:p>
        </w:tc>
        <w:tc>
          <w:tcPr>
            <w:tcW w:w="1199" w:type="dxa"/>
            <w:tcBorders>
              <w:left w:val="nil"/>
              <w:right w:val="nil"/>
            </w:tcBorders>
          </w:tcPr>
          <w:p w14:paraId="6B998B55" w14:textId="77777777" w:rsidR="00C840E7" w:rsidRPr="00ED2B1F" w:rsidRDefault="00C840E7" w:rsidP="00C103C7">
            <w:pPr>
              <w:pStyle w:val="TableText"/>
              <w:jc w:val="center"/>
            </w:pPr>
            <w:r w:rsidRPr="00ED2B1F">
              <w:t>1.5:1.0</w:t>
            </w:r>
          </w:p>
        </w:tc>
        <w:tc>
          <w:tcPr>
            <w:tcW w:w="1199" w:type="dxa"/>
            <w:tcBorders>
              <w:left w:val="nil"/>
              <w:right w:val="nil"/>
            </w:tcBorders>
          </w:tcPr>
          <w:p w14:paraId="7C8322E7" w14:textId="77777777" w:rsidR="00C840E7" w:rsidRPr="00ED2B1F" w:rsidRDefault="00C840E7" w:rsidP="00C103C7">
            <w:pPr>
              <w:pStyle w:val="TableText"/>
              <w:jc w:val="center"/>
            </w:pPr>
            <w:r w:rsidRPr="00ED2B1F">
              <w:t>2.0: .0</w:t>
            </w:r>
          </w:p>
        </w:tc>
        <w:tc>
          <w:tcPr>
            <w:tcW w:w="1199" w:type="dxa"/>
            <w:tcBorders>
              <w:left w:val="nil"/>
            </w:tcBorders>
          </w:tcPr>
          <w:p w14:paraId="4DDEEED4" w14:textId="77777777" w:rsidR="00C840E7" w:rsidRPr="00ED2B1F" w:rsidRDefault="00C840E7" w:rsidP="00C103C7">
            <w:pPr>
              <w:pStyle w:val="TableText"/>
              <w:jc w:val="center"/>
            </w:pPr>
            <w:r w:rsidRPr="00ED2B1F">
              <w:t>1.4:1.0</w:t>
            </w:r>
          </w:p>
        </w:tc>
      </w:tr>
      <w:tr w:rsidR="00C840E7" w:rsidRPr="00ED2B1F" w14:paraId="3F0AC560" w14:textId="77777777" w:rsidTr="00C103C7">
        <w:trPr>
          <w:cantSplit/>
        </w:trPr>
        <w:tc>
          <w:tcPr>
            <w:tcW w:w="3228" w:type="dxa"/>
            <w:tcBorders>
              <w:right w:val="nil"/>
            </w:tcBorders>
          </w:tcPr>
          <w:p w14:paraId="671CD5A4" w14:textId="77777777" w:rsidR="00C840E7" w:rsidRPr="00ED2B1F" w:rsidRDefault="00C840E7">
            <w:pPr>
              <w:pStyle w:val="TableText"/>
            </w:pPr>
            <w:r w:rsidRPr="00ED2B1F">
              <w:t xml:space="preserve">Pacific peoples </w:t>
            </w:r>
            <w:r>
              <w:t>to</w:t>
            </w:r>
            <w:r w:rsidRPr="00ED2B1F">
              <w:t xml:space="preserve"> Asian</w:t>
            </w:r>
            <w:r>
              <w:t xml:space="preserve"> rate ratio</w:t>
            </w:r>
          </w:p>
        </w:tc>
        <w:tc>
          <w:tcPr>
            <w:tcW w:w="1198" w:type="dxa"/>
            <w:tcBorders>
              <w:left w:val="nil"/>
              <w:right w:val="nil"/>
            </w:tcBorders>
          </w:tcPr>
          <w:p w14:paraId="583CDD1A" w14:textId="77777777" w:rsidR="00C840E7" w:rsidRPr="00ED2B1F" w:rsidRDefault="00C840E7" w:rsidP="00C103C7">
            <w:pPr>
              <w:pStyle w:val="TableText"/>
              <w:jc w:val="center"/>
            </w:pPr>
            <w:r w:rsidRPr="00ED2B1F">
              <w:t>4.9:1.0</w:t>
            </w:r>
          </w:p>
        </w:tc>
        <w:tc>
          <w:tcPr>
            <w:tcW w:w="1199" w:type="dxa"/>
            <w:tcBorders>
              <w:left w:val="nil"/>
              <w:right w:val="nil"/>
            </w:tcBorders>
          </w:tcPr>
          <w:p w14:paraId="31FB1732" w14:textId="77777777" w:rsidR="00C840E7" w:rsidRPr="00ED2B1F" w:rsidRDefault="00C840E7" w:rsidP="00C103C7">
            <w:pPr>
              <w:pStyle w:val="TableText"/>
              <w:jc w:val="center"/>
            </w:pPr>
            <w:r w:rsidRPr="00ED2B1F">
              <w:t>2.7:1.0</w:t>
            </w:r>
          </w:p>
        </w:tc>
        <w:tc>
          <w:tcPr>
            <w:tcW w:w="1199" w:type="dxa"/>
            <w:tcBorders>
              <w:left w:val="nil"/>
              <w:right w:val="nil"/>
            </w:tcBorders>
          </w:tcPr>
          <w:p w14:paraId="08B5B076" w14:textId="77777777" w:rsidR="00C840E7" w:rsidRPr="00ED2B1F" w:rsidRDefault="00C840E7" w:rsidP="00C103C7">
            <w:pPr>
              <w:pStyle w:val="TableText"/>
              <w:jc w:val="center"/>
            </w:pPr>
            <w:r w:rsidRPr="00ED2B1F">
              <w:t>5.6</w:t>
            </w:r>
            <w:r>
              <w:t>:</w:t>
            </w:r>
            <w:r w:rsidRPr="00ED2B1F">
              <w:t>1.0</w:t>
            </w:r>
          </w:p>
        </w:tc>
        <w:tc>
          <w:tcPr>
            <w:tcW w:w="1199" w:type="dxa"/>
            <w:tcBorders>
              <w:left w:val="nil"/>
            </w:tcBorders>
          </w:tcPr>
          <w:p w14:paraId="3D3F436F" w14:textId="77777777" w:rsidR="00C840E7" w:rsidRPr="00ED2B1F" w:rsidRDefault="00C840E7" w:rsidP="00C103C7">
            <w:pPr>
              <w:pStyle w:val="TableText"/>
              <w:jc w:val="center"/>
            </w:pPr>
            <w:r w:rsidRPr="00ED2B1F">
              <w:t>2.9:1.0</w:t>
            </w:r>
          </w:p>
        </w:tc>
      </w:tr>
      <w:tr w:rsidR="00C840E7" w:rsidRPr="00ED2B1F" w14:paraId="555BAAED" w14:textId="77777777" w:rsidTr="00C103C7">
        <w:trPr>
          <w:cantSplit/>
        </w:trPr>
        <w:tc>
          <w:tcPr>
            <w:tcW w:w="3228" w:type="dxa"/>
            <w:tcBorders>
              <w:right w:val="nil"/>
            </w:tcBorders>
          </w:tcPr>
          <w:p w14:paraId="1B42DBBA" w14:textId="77777777" w:rsidR="00C840E7" w:rsidRPr="00ED2B1F" w:rsidRDefault="00C840E7">
            <w:pPr>
              <w:pStyle w:val="TableText"/>
            </w:pPr>
            <w:r w:rsidRPr="00ED2B1F">
              <w:t xml:space="preserve">Asian </w:t>
            </w:r>
            <w:r>
              <w:t xml:space="preserve">to </w:t>
            </w:r>
            <w:r w:rsidRPr="00ED2B1F">
              <w:t>Other ethnicities</w:t>
            </w:r>
            <w:r>
              <w:t xml:space="preserve"> rate ratio</w:t>
            </w:r>
          </w:p>
        </w:tc>
        <w:tc>
          <w:tcPr>
            <w:tcW w:w="1198" w:type="dxa"/>
            <w:tcBorders>
              <w:left w:val="nil"/>
              <w:right w:val="nil"/>
            </w:tcBorders>
          </w:tcPr>
          <w:p w14:paraId="6EF43EF7" w14:textId="77777777" w:rsidR="00C840E7" w:rsidRPr="00ED2B1F" w:rsidRDefault="00C840E7" w:rsidP="00C103C7">
            <w:pPr>
              <w:pStyle w:val="TableText"/>
              <w:jc w:val="center"/>
            </w:pPr>
            <w:r w:rsidRPr="00ED2B1F">
              <w:t>0.3:1.0</w:t>
            </w:r>
          </w:p>
        </w:tc>
        <w:tc>
          <w:tcPr>
            <w:tcW w:w="1199" w:type="dxa"/>
            <w:tcBorders>
              <w:left w:val="nil"/>
              <w:right w:val="nil"/>
            </w:tcBorders>
          </w:tcPr>
          <w:p w14:paraId="2B20861D" w14:textId="77777777" w:rsidR="00C840E7" w:rsidRPr="00ED2B1F" w:rsidRDefault="00C840E7" w:rsidP="00C103C7">
            <w:pPr>
              <w:pStyle w:val="TableText"/>
              <w:jc w:val="center"/>
            </w:pPr>
            <w:r w:rsidRPr="00ED2B1F">
              <w:t>0.6:1.0</w:t>
            </w:r>
          </w:p>
        </w:tc>
        <w:tc>
          <w:tcPr>
            <w:tcW w:w="1199" w:type="dxa"/>
            <w:tcBorders>
              <w:left w:val="nil"/>
              <w:right w:val="nil"/>
            </w:tcBorders>
          </w:tcPr>
          <w:p w14:paraId="19C5CE18" w14:textId="77777777" w:rsidR="00C840E7" w:rsidRPr="00ED2B1F" w:rsidRDefault="00C840E7" w:rsidP="00C103C7">
            <w:pPr>
              <w:pStyle w:val="TableText"/>
              <w:jc w:val="center"/>
            </w:pPr>
            <w:r w:rsidRPr="00ED2B1F">
              <w:t>0.4:1.0</w:t>
            </w:r>
          </w:p>
        </w:tc>
        <w:tc>
          <w:tcPr>
            <w:tcW w:w="1199" w:type="dxa"/>
            <w:tcBorders>
              <w:left w:val="nil"/>
            </w:tcBorders>
          </w:tcPr>
          <w:p w14:paraId="5480341A" w14:textId="77777777" w:rsidR="00C840E7" w:rsidRPr="00ED2B1F" w:rsidRDefault="00C840E7" w:rsidP="00C103C7">
            <w:pPr>
              <w:pStyle w:val="TableText"/>
              <w:jc w:val="center"/>
            </w:pPr>
            <w:r w:rsidRPr="00ED2B1F">
              <w:t>0.5:1.0</w:t>
            </w:r>
          </w:p>
        </w:tc>
      </w:tr>
    </w:tbl>
    <w:p w14:paraId="38B92C00" w14:textId="77777777" w:rsidR="00C840E7" w:rsidRPr="00ED2B1F" w:rsidRDefault="00C840E7" w:rsidP="00C840E7">
      <w:pPr>
        <w:pStyle w:val="Note"/>
      </w:pPr>
      <w:r w:rsidRPr="00ED2B1F">
        <w:t>Notes: Rates per 100,000 are age standardised. ‘Other ethnicities’ are all ethnicities excluding Māori, Pacific peoples and Asian groups.</w:t>
      </w:r>
    </w:p>
    <w:p w14:paraId="32D9D70A" w14:textId="77777777" w:rsidR="00C840E7" w:rsidRPr="00ED2B1F" w:rsidRDefault="00C840E7" w:rsidP="00C840E7">
      <w:pPr>
        <w:pStyle w:val="Source"/>
      </w:pPr>
      <w:r w:rsidRPr="00ED2B1F">
        <w:t>Source: PRIMHD data (extracted 10 June 2025).</w:t>
      </w:r>
    </w:p>
    <w:p w14:paraId="17A3101E" w14:textId="77777777" w:rsidR="00D90FB0" w:rsidRPr="00ED2B1F" w:rsidRDefault="00D90FB0">
      <w:pPr>
        <w:rPr>
          <w:b/>
          <w:color w:val="1B83A0"/>
          <w:spacing w:val="-5"/>
          <w:sz w:val="48"/>
        </w:rPr>
      </w:pPr>
      <w:r w:rsidRPr="00ED2B1F">
        <w:br w:type="page"/>
      </w:r>
    </w:p>
    <w:p w14:paraId="31EC35E7" w14:textId="5BDF112F" w:rsidR="00497443" w:rsidRPr="00ED2B1F" w:rsidRDefault="00497443" w:rsidP="007A34A3">
      <w:pPr>
        <w:pStyle w:val="Heading2"/>
      </w:pPr>
      <w:bookmarkStart w:id="183" w:name="_Toc224638093"/>
      <w:r w:rsidRPr="00ED2B1F">
        <w:lastRenderedPageBreak/>
        <w:t xml:space="preserve">Length of time people are subject to </w:t>
      </w:r>
      <w:bookmarkEnd w:id="174"/>
      <w:bookmarkEnd w:id="175"/>
      <w:bookmarkEnd w:id="176"/>
      <w:bookmarkEnd w:id="177"/>
      <w:bookmarkEnd w:id="178"/>
      <w:bookmarkEnd w:id="179"/>
      <w:r w:rsidRPr="00ED2B1F">
        <w:t>compulsory treatment orders</w:t>
      </w:r>
      <w:bookmarkEnd w:id="180"/>
      <w:bookmarkEnd w:id="183"/>
    </w:p>
    <w:p w14:paraId="11677B61" w14:textId="5B8BD6E5" w:rsidR="00497443" w:rsidRDefault="00497443" w:rsidP="00497443">
      <w:r w:rsidRPr="00ED2B1F">
        <w:t xml:space="preserve">On average, Māori, Pacific peoples and other ethnicities remain on CTOs for a similar amount of time. </w:t>
      </w:r>
      <w:r w:rsidRPr="00ED2B1F">
        <w:fldChar w:fldCharType="begin"/>
      </w:r>
      <w:r w:rsidRPr="00ED2B1F">
        <w:instrText xml:space="preserve"> REF _Ref65672142 \h  \* MERGEFORMAT </w:instrText>
      </w:r>
      <w:r w:rsidRPr="00ED2B1F">
        <w:fldChar w:fldCharType="separate"/>
      </w:r>
      <w:r w:rsidR="00484E57" w:rsidRPr="00C103C7">
        <w:t>Figure </w:t>
      </w:r>
      <w:r w:rsidR="00484E57">
        <w:t>10</w:t>
      </w:r>
      <w:r w:rsidRPr="00ED2B1F">
        <w:fldChar w:fldCharType="end"/>
      </w:r>
      <w:r w:rsidR="00037F41" w:rsidRPr="00ED2B1F">
        <w:t xml:space="preserve"> and </w:t>
      </w:r>
      <w:r w:rsidRPr="00ED2B1F">
        <w:fldChar w:fldCharType="begin"/>
      </w:r>
      <w:r w:rsidRPr="00ED2B1F">
        <w:instrText xml:space="preserve"> REF _Ref141107756 \h  \* MERGEFORMAT </w:instrText>
      </w:r>
      <w:r w:rsidRPr="00ED2B1F">
        <w:fldChar w:fldCharType="separate"/>
      </w:r>
      <w:r w:rsidR="00484E57" w:rsidRPr="00ED2B1F">
        <w:t>Figure </w:t>
      </w:r>
      <w:r w:rsidR="00484E57">
        <w:t>11</w:t>
      </w:r>
      <w:r w:rsidRPr="00ED2B1F">
        <w:fldChar w:fldCharType="end"/>
      </w:r>
      <w:r w:rsidR="00037F41" w:rsidRPr="00ED2B1F">
        <w:t xml:space="preserve"> show </w:t>
      </w:r>
      <w:r w:rsidR="007B02B5" w:rsidRPr="00ED2B1F">
        <w:t>the</w:t>
      </w:r>
      <w:r w:rsidR="00F2570A" w:rsidRPr="00ED2B1F">
        <w:t xml:space="preserve"> percentage</w:t>
      </w:r>
      <w:r w:rsidR="00037315" w:rsidRPr="00ED2B1F">
        <w:t xml:space="preserve"> of Māori, Pacific peoples and other ethnicities </w:t>
      </w:r>
      <w:r w:rsidR="00DA5C30" w:rsidRPr="00ED2B1F">
        <w:t>who</w:t>
      </w:r>
      <w:r w:rsidR="00037315" w:rsidRPr="00ED2B1F">
        <w:t xml:space="preserve"> </w:t>
      </w:r>
      <w:r w:rsidR="00DA5C30" w:rsidRPr="00ED2B1F">
        <w:t xml:space="preserve">had </w:t>
      </w:r>
      <w:r w:rsidR="00037315" w:rsidRPr="00ED2B1F">
        <w:t xml:space="preserve">spent </w:t>
      </w:r>
      <w:r w:rsidR="00DA5C30" w:rsidRPr="00ED2B1F">
        <w:t xml:space="preserve">less than a year, one to two years or more than two years </w:t>
      </w:r>
      <w:r w:rsidR="00037315" w:rsidRPr="00ED2B1F">
        <w:t>subject to a community or inpatient CTO</w:t>
      </w:r>
      <w:r w:rsidR="00DA5C30" w:rsidRPr="00ED2B1F">
        <w:t xml:space="preserve"> in the last three years</w:t>
      </w:r>
      <w:r w:rsidR="00037315" w:rsidRPr="00ED2B1F">
        <w:t>.</w:t>
      </w:r>
      <w:r w:rsidR="007B02B5" w:rsidRPr="00ED2B1F">
        <w:t xml:space="preserve"> </w:t>
      </w:r>
    </w:p>
    <w:p w14:paraId="46F1E5EF" w14:textId="77777777" w:rsidR="00C103C7" w:rsidRPr="00ED2B1F" w:rsidRDefault="00C103C7" w:rsidP="00497443"/>
    <w:p w14:paraId="62B1D364" w14:textId="35ECEBD0" w:rsidR="00497443" w:rsidRPr="00C103C7" w:rsidRDefault="00497443" w:rsidP="00C103C7">
      <w:pPr>
        <w:pStyle w:val="Figure"/>
      </w:pPr>
      <w:bookmarkStart w:id="184" w:name="_Ref65672142"/>
      <w:bookmarkStart w:id="185" w:name="_Toc142314691"/>
      <w:bookmarkStart w:id="186" w:name="_Toc145394275"/>
      <w:bookmarkStart w:id="187" w:name="_Toc189053951"/>
      <w:bookmarkStart w:id="188" w:name="_Toc224638182"/>
      <w:r w:rsidRPr="00C103C7">
        <w:t>Figure </w:t>
      </w:r>
      <w:r w:rsidRPr="00C103C7">
        <w:fldChar w:fldCharType="begin"/>
      </w:r>
      <w:r w:rsidRPr="00C103C7">
        <w:instrText>SEQ Figure \* ARABIC</w:instrText>
      </w:r>
      <w:r w:rsidRPr="00C103C7">
        <w:fldChar w:fldCharType="separate"/>
      </w:r>
      <w:r w:rsidR="00484E57">
        <w:rPr>
          <w:noProof/>
        </w:rPr>
        <w:t>10</w:t>
      </w:r>
      <w:r w:rsidRPr="00C103C7">
        <w:fldChar w:fldCharType="end"/>
      </w:r>
      <w:bookmarkEnd w:id="184"/>
      <w:r w:rsidRPr="00C103C7">
        <w:t xml:space="preserve">: Total time spent subject to a community treatment order (section 29) under the Mental Health Act in the last three years, by ethnicity, for those with a current order in the year </w:t>
      </w:r>
      <w:bookmarkEnd w:id="185"/>
      <w:bookmarkEnd w:id="186"/>
      <w:bookmarkEnd w:id="187"/>
      <w:r w:rsidR="00211D17" w:rsidRPr="00C103C7">
        <w:t>1 July 2023 to 30 June 2024</w:t>
      </w:r>
      <w:bookmarkEnd w:id="188"/>
    </w:p>
    <w:p w14:paraId="6EC662A1" w14:textId="52E5E954" w:rsidR="00497443" w:rsidRPr="00ED2B1F" w:rsidRDefault="00CC12F1" w:rsidP="00753A1F">
      <w:r>
        <w:rPr>
          <w:noProof/>
        </w:rPr>
        <w:drawing>
          <wp:inline distT="0" distB="0" distL="0" distR="0" wp14:anchorId="7547258D" wp14:editId="3EA20E25">
            <wp:extent cx="5133340" cy="1969135"/>
            <wp:effectExtent l="0" t="0" r="0" b="0"/>
            <wp:docPr id="30601706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17063" name="Picture 1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340" cy="1969135"/>
                    </a:xfrm>
                    <a:prstGeom prst="rect">
                      <a:avLst/>
                    </a:prstGeom>
                    <a:noFill/>
                  </pic:spPr>
                </pic:pic>
              </a:graphicData>
            </a:graphic>
          </wp:inline>
        </w:drawing>
      </w:r>
    </w:p>
    <w:p w14:paraId="7B104827" w14:textId="3216BDE0" w:rsidR="00497443" w:rsidRPr="00ED2B1F" w:rsidRDefault="00497443" w:rsidP="00497443">
      <w:pPr>
        <w:pStyle w:val="Note"/>
      </w:pPr>
      <w:r w:rsidRPr="00ED2B1F">
        <w:t xml:space="preserve">Notes: The data refers to people with treatment orders that were current at any point in </w:t>
      </w:r>
      <w:r w:rsidR="00211D17" w:rsidRPr="00ED2B1F">
        <w:t>2023/24</w:t>
      </w:r>
      <w:r w:rsidRPr="00ED2B1F">
        <w:t xml:space="preserve"> and shows the total</w:t>
      </w:r>
      <w:r w:rsidRPr="00ED2B1F" w:rsidDel="005C7F42">
        <w:t xml:space="preserve"> </w:t>
      </w:r>
      <w:r w:rsidRPr="00ED2B1F">
        <w:t>time they were subject to the order in the period from 1 July 202</w:t>
      </w:r>
      <w:r w:rsidR="00A80A7D" w:rsidRPr="00ED2B1F">
        <w:t>1</w:t>
      </w:r>
      <w:r w:rsidRPr="00ED2B1F">
        <w:t xml:space="preserve"> to 30 June 202</w:t>
      </w:r>
      <w:r w:rsidR="00A80A7D" w:rsidRPr="00ED2B1F">
        <w:t>4</w:t>
      </w:r>
      <w:r w:rsidRPr="00ED2B1F">
        <w:t>. Some orders current in this period will have started before 1 July 202</w:t>
      </w:r>
      <w:r w:rsidR="00A80A7D" w:rsidRPr="00ED2B1F">
        <w:t>1</w:t>
      </w:r>
      <w:r w:rsidRPr="00ED2B1F">
        <w:t xml:space="preserve">. For some people with orders starting in the most recent two years, the total time is not yet known as the orders are still current. </w:t>
      </w:r>
    </w:p>
    <w:p w14:paraId="3AACF402" w14:textId="2D7EF8A4" w:rsidR="00497443" w:rsidRPr="00ED2B1F" w:rsidRDefault="00497443" w:rsidP="00497443">
      <w:pPr>
        <w:pStyle w:val="Source"/>
      </w:pPr>
      <w:r w:rsidRPr="00ED2B1F">
        <w:t xml:space="preserve">Source: PRIMHD data (extracted </w:t>
      </w:r>
      <w:r w:rsidR="00955846" w:rsidRPr="00ED2B1F">
        <w:t>10 June 2025</w:t>
      </w:r>
      <w:r w:rsidRPr="00ED2B1F">
        <w:t>).</w:t>
      </w:r>
    </w:p>
    <w:p w14:paraId="1819C3AD" w14:textId="77777777" w:rsidR="00497443" w:rsidRPr="00ED2B1F" w:rsidRDefault="00497443" w:rsidP="00497443"/>
    <w:p w14:paraId="2F747A3F" w14:textId="706F7984" w:rsidR="00497443" w:rsidRPr="00ED2B1F" w:rsidRDefault="00497443" w:rsidP="00C103C7">
      <w:pPr>
        <w:pStyle w:val="Figure"/>
      </w:pPr>
      <w:bookmarkStart w:id="189" w:name="_Ref141107756"/>
      <w:bookmarkStart w:id="190" w:name="_Toc142314692"/>
      <w:bookmarkStart w:id="191" w:name="_Toc145394276"/>
      <w:bookmarkStart w:id="192" w:name="_Toc189053952"/>
      <w:bookmarkStart w:id="193" w:name="_Toc224638183"/>
      <w:r w:rsidRPr="00ED2B1F">
        <w:t>Figure </w:t>
      </w:r>
      <w:r w:rsidRPr="00ED2B1F">
        <w:fldChar w:fldCharType="begin"/>
      </w:r>
      <w:r w:rsidRPr="00ED2B1F">
        <w:instrText>SEQ Figure \* ARABIC</w:instrText>
      </w:r>
      <w:r w:rsidRPr="00ED2B1F">
        <w:fldChar w:fldCharType="separate"/>
      </w:r>
      <w:r w:rsidR="00484E57">
        <w:rPr>
          <w:noProof/>
        </w:rPr>
        <w:t>11</w:t>
      </w:r>
      <w:r w:rsidRPr="00ED2B1F">
        <w:fldChar w:fldCharType="end"/>
      </w:r>
      <w:bookmarkEnd w:id="189"/>
      <w:r w:rsidRPr="00ED2B1F">
        <w:t xml:space="preserve">: Total time spent subject to an inpatient treatment order (section 30) under the Mental Health Act in the last three years, by ethnicity, for those with a current order in the year </w:t>
      </w:r>
      <w:bookmarkEnd w:id="190"/>
      <w:bookmarkEnd w:id="191"/>
      <w:bookmarkEnd w:id="192"/>
      <w:r w:rsidR="00211D17" w:rsidRPr="00ED2B1F">
        <w:t>1 July 2023 to 30 June 2024</w:t>
      </w:r>
      <w:bookmarkEnd w:id="193"/>
      <w:r w:rsidRPr="00ED2B1F">
        <w:t xml:space="preserve"> </w:t>
      </w:r>
    </w:p>
    <w:p w14:paraId="18CCEDDA" w14:textId="5E651304" w:rsidR="00497443" w:rsidRPr="00ED2B1F" w:rsidRDefault="00CC12F1" w:rsidP="00753A1F">
      <w:r>
        <w:rPr>
          <w:noProof/>
        </w:rPr>
        <w:drawing>
          <wp:inline distT="0" distB="0" distL="0" distR="0" wp14:anchorId="71CC7031" wp14:editId="6A0586F8">
            <wp:extent cx="5133340" cy="1975485"/>
            <wp:effectExtent l="0" t="0" r="0" b="5715"/>
            <wp:docPr id="169671200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2005" name="Picture 1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3340" cy="1975485"/>
                    </a:xfrm>
                    <a:prstGeom prst="rect">
                      <a:avLst/>
                    </a:prstGeom>
                    <a:noFill/>
                  </pic:spPr>
                </pic:pic>
              </a:graphicData>
            </a:graphic>
          </wp:inline>
        </w:drawing>
      </w:r>
    </w:p>
    <w:p w14:paraId="5E56AF07" w14:textId="5E824C3E" w:rsidR="00497443" w:rsidRPr="00ED2B1F" w:rsidRDefault="00497443" w:rsidP="00497443">
      <w:pPr>
        <w:pStyle w:val="Note"/>
      </w:pPr>
      <w:r w:rsidRPr="00ED2B1F">
        <w:t xml:space="preserve">Notes: The data refers to people with treatment orders that were current at any point in </w:t>
      </w:r>
      <w:r w:rsidR="00211D17" w:rsidRPr="00ED2B1F">
        <w:t>2023/24</w:t>
      </w:r>
      <w:r w:rsidRPr="00ED2B1F">
        <w:t xml:space="preserve"> and shows their total time subject to the order in the period from 1 July 202</w:t>
      </w:r>
      <w:r w:rsidR="0043305F" w:rsidRPr="00ED2B1F">
        <w:t>1</w:t>
      </w:r>
      <w:r w:rsidRPr="00ED2B1F">
        <w:t xml:space="preserve"> to 30 June 202</w:t>
      </w:r>
      <w:r w:rsidR="0043305F" w:rsidRPr="00ED2B1F">
        <w:t>4</w:t>
      </w:r>
      <w:r w:rsidRPr="00ED2B1F">
        <w:t>. Some orders current in this period will have started before 1 July 202</w:t>
      </w:r>
      <w:r w:rsidR="0043305F" w:rsidRPr="00ED2B1F">
        <w:t>1</w:t>
      </w:r>
      <w:r w:rsidRPr="00ED2B1F">
        <w:t xml:space="preserve">. For some people with orders starting in the most recent two years, the total time is not yet known as the orders are still current. </w:t>
      </w:r>
    </w:p>
    <w:p w14:paraId="3E858B24" w14:textId="47B3D47B" w:rsidR="00497443" w:rsidRPr="00ED2B1F" w:rsidRDefault="00497443" w:rsidP="00497443">
      <w:pPr>
        <w:pStyle w:val="Source"/>
      </w:pPr>
      <w:r w:rsidRPr="00ED2B1F">
        <w:t>Source: PRIMHD data (</w:t>
      </w:r>
      <w:r w:rsidR="00955846" w:rsidRPr="00ED2B1F">
        <w:t>10 June 2025</w:t>
      </w:r>
      <w:r w:rsidRPr="00ED2B1F">
        <w:t>).</w:t>
      </w:r>
    </w:p>
    <w:p w14:paraId="231CFBAC" w14:textId="77777777" w:rsidR="00497443" w:rsidRPr="00ED2B1F" w:rsidRDefault="00497443" w:rsidP="00753A1F">
      <w:pPr>
        <w:rPr>
          <w:rFonts w:eastAsia="Arial Unicode MS"/>
        </w:rPr>
      </w:pPr>
    </w:p>
    <w:p w14:paraId="4AB1E8A7" w14:textId="77777777" w:rsidR="00497443" w:rsidRPr="00ED2B1F" w:rsidRDefault="00497443" w:rsidP="007A34A3">
      <w:pPr>
        <w:pStyle w:val="Heading2"/>
      </w:pPr>
      <w:bookmarkStart w:id="194" w:name="_Toc65141621"/>
      <w:bookmarkStart w:id="195" w:name="_Toc75176445"/>
      <w:bookmarkStart w:id="196" w:name="_Toc87429907"/>
      <w:bookmarkStart w:id="197" w:name="_Toc88826955"/>
      <w:bookmarkStart w:id="198" w:name="_Toc115188805"/>
      <w:bookmarkStart w:id="199" w:name="_Toc145394233"/>
      <w:bookmarkStart w:id="200" w:name="_Toc189053903"/>
      <w:bookmarkStart w:id="201" w:name="_Toc224638094"/>
      <w:r w:rsidRPr="00ED2B1F">
        <w:lastRenderedPageBreak/>
        <w:t>Family and whānau consultation under the Mental Health Act</w:t>
      </w:r>
      <w:bookmarkEnd w:id="194"/>
      <w:bookmarkEnd w:id="195"/>
      <w:bookmarkEnd w:id="196"/>
      <w:bookmarkEnd w:id="197"/>
      <w:bookmarkEnd w:id="198"/>
      <w:bookmarkEnd w:id="199"/>
      <w:bookmarkEnd w:id="200"/>
      <w:bookmarkEnd w:id="201"/>
    </w:p>
    <w:p w14:paraId="26373BFE" w14:textId="77777777" w:rsidR="00497443" w:rsidRPr="00ED2B1F" w:rsidRDefault="00497443" w:rsidP="00497443">
      <w:r w:rsidRPr="00ED2B1F">
        <w:t>Section 7A of the Mental Health Act requires clinicians to consult family and whānau of a person undergoing compulsory assessment or treatment, unless service providers and clinicians consider this consultation is not reasonably practicable or not in the interests of the person being assessed or receiving the treatment. Clinicians are encouraged to consider that the term ‘whānau’ could include any set of relationships a patient or proposed patient recognises as their closest connections, without limiting them to blood ties.</w:t>
      </w:r>
    </w:p>
    <w:p w14:paraId="30053346" w14:textId="77777777" w:rsidR="00497443" w:rsidRPr="00ED2B1F" w:rsidRDefault="00497443" w:rsidP="00497443"/>
    <w:p w14:paraId="528CE084" w14:textId="5099EF2B" w:rsidR="00497443" w:rsidRPr="00ED2B1F" w:rsidRDefault="00497443" w:rsidP="00497443">
      <w:r w:rsidRPr="00ED2B1F">
        <w:t xml:space="preserve">The following summarises the consultation data from </w:t>
      </w:r>
      <w:r w:rsidR="00211D17" w:rsidRPr="00ED2B1F">
        <w:t>1 July 2023 to 30 June 2024</w:t>
      </w:r>
      <w:r w:rsidRPr="00ED2B1F">
        <w:t>.</w:t>
      </w:r>
    </w:p>
    <w:p w14:paraId="018E0ADD" w14:textId="0E57E366" w:rsidR="00497443" w:rsidRPr="00ED2B1F" w:rsidRDefault="00497443" w:rsidP="00497443">
      <w:pPr>
        <w:pStyle w:val="Bullet"/>
      </w:pPr>
      <w:r w:rsidRPr="00ED2B1F">
        <w:t xml:space="preserve">On average nationally, clinicians consulted families and whānau about Mental Health Act assessment or treatment events </w:t>
      </w:r>
      <w:r w:rsidR="005D5865" w:rsidRPr="00ED2B1F">
        <w:t>7</w:t>
      </w:r>
      <w:r w:rsidR="008C7FFB" w:rsidRPr="00ED2B1F">
        <w:t>2.3</w:t>
      </w:r>
      <w:r w:rsidRPr="00ED2B1F">
        <w:t>% of the time.</w:t>
      </w:r>
    </w:p>
    <w:p w14:paraId="41436AC5" w14:textId="77777777" w:rsidR="00497443" w:rsidRPr="00ED2B1F" w:rsidRDefault="00497443" w:rsidP="00497443">
      <w:pPr>
        <w:pStyle w:val="Bullet"/>
      </w:pPr>
      <w:r w:rsidRPr="00ED2B1F">
        <w:t>Of all the steps in the Mental Health Act treatment process, clinicians were most likely to consult family and whānau at section 14, when a person is issued with a certificate of final assessment.</w:t>
      </w:r>
    </w:p>
    <w:p w14:paraId="5CBCD090" w14:textId="4531C06D" w:rsidR="00497443" w:rsidRPr="00ED2B1F" w:rsidRDefault="00497443" w:rsidP="00497443">
      <w:pPr>
        <w:pStyle w:val="Bullet"/>
      </w:pPr>
      <w:r w:rsidRPr="00ED2B1F">
        <w:t xml:space="preserve">The most common reason families and whānau were not consulted was that </w:t>
      </w:r>
      <w:r w:rsidR="00140C1A" w:rsidRPr="00ED2B1F">
        <w:t>it was considered to be</w:t>
      </w:r>
      <w:r w:rsidRPr="00ED2B1F">
        <w:t xml:space="preserve"> </w:t>
      </w:r>
      <w:r w:rsidR="00087579" w:rsidRPr="00ED2B1F">
        <w:t xml:space="preserve">not </w:t>
      </w:r>
      <w:r w:rsidRPr="00ED2B1F">
        <w:t>reasonably practicable in the particular circumstance.</w:t>
      </w:r>
    </w:p>
    <w:p w14:paraId="529A0A4A" w14:textId="77777777" w:rsidR="00497443" w:rsidRPr="00ED2B1F" w:rsidRDefault="00497443" w:rsidP="00497443"/>
    <w:p w14:paraId="7A899AE3" w14:textId="44E05DDB" w:rsidR="00497443" w:rsidRPr="00ED2B1F" w:rsidRDefault="00497443" w:rsidP="00497443">
      <w:r w:rsidRPr="00ED2B1F">
        <w:fldChar w:fldCharType="begin"/>
      </w:r>
      <w:r w:rsidRPr="00ED2B1F">
        <w:instrText xml:space="preserve"> REF _Ref65672317 \h  \* MERGEFORMAT </w:instrText>
      </w:r>
      <w:r w:rsidRPr="00ED2B1F">
        <w:fldChar w:fldCharType="separate"/>
      </w:r>
      <w:r w:rsidR="00484E57" w:rsidRPr="00ED2B1F">
        <w:t>Figure </w:t>
      </w:r>
      <w:r w:rsidR="00484E57">
        <w:t>12</w:t>
      </w:r>
      <w:r w:rsidRPr="00ED2B1F">
        <w:fldChar w:fldCharType="end"/>
      </w:r>
      <w:r w:rsidRPr="00ED2B1F">
        <w:t xml:space="preserve"> shows the percentage of cases in which consultation with families and whānau occurred at each of four points in the assessment and treatment process.</w:t>
      </w:r>
    </w:p>
    <w:p w14:paraId="0C07E6C9" w14:textId="77777777" w:rsidR="00497443" w:rsidRPr="00ED2B1F" w:rsidRDefault="00497443" w:rsidP="00497443"/>
    <w:p w14:paraId="41827F8D" w14:textId="51E1C457" w:rsidR="00497443" w:rsidRPr="00ED2B1F" w:rsidRDefault="00497443" w:rsidP="00C103C7">
      <w:pPr>
        <w:pStyle w:val="Figure"/>
      </w:pPr>
      <w:bookmarkStart w:id="202" w:name="_Ref65672317"/>
      <w:bookmarkStart w:id="203" w:name="_Toc63764761"/>
      <w:bookmarkStart w:id="204" w:name="_Toc75176485"/>
      <w:bookmarkStart w:id="205" w:name="_Toc85442576"/>
      <w:bookmarkStart w:id="206" w:name="_Toc85445923"/>
      <w:bookmarkStart w:id="207" w:name="_Toc87429963"/>
      <w:bookmarkStart w:id="208" w:name="_Toc88561395"/>
      <w:bookmarkStart w:id="209" w:name="_Toc115188853"/>
      <w:bookmarkStart w:id="210" w:name="_Toc142314693"/>
      <w:bookmarkStart w:id="211" w:name="_Toc145394277"/>
      <w:bookmarkStart w:id="212" w:name="_Toc189053953"/>
      <w:bookmarkStart w:id="213" w:name="_Toc224638184"/>
      <w:r w:rsidRPr="00ED2B1F">
        <w:t>Figure </w:t>
      </w:r>
      <w:r w:rsidRPr="00ED2B1F">
        <w:fldChar w:fldCharType="begin"/>
      </w:r>
      <w:r w:rsidRPr="00ED2B1F">
        <w:instrText>SEQ Figure \* ARABIC</w:instrText>
      </w:r>
      <w:r w:rsidRPr="00ED2B1F">
        <w:fldChar w:fldCharType="separate"/>
      </w:r>
      <w:r w:rsidR="00484E57">
        <w:rPr>
          <w:noProof/>
        </w:rPr>
        <w:t>12</w:t>
      </w:r>
      <w:r w:rsidRPr="00ED2B1F">
        <w:fldChar w:fldCharType="end"/>
      </w:r>
      <w:bookmarkEnd w:id="202"/>
      <w:r w:rsidRPr="00ED2B1F">
        <w:t xml:space="preserve">: Average percentage of </w:t>
      </w:r>
      <w:r w:rsidR="0054503A" w:rsidRPr="00ED2B1F">
        <w:t xml:space="preserve">successful </w:t>
      </w:r>
      <w:r w:rsidRPr="00ED2B1F">
        <w:t xml:space="preserve">family and whānau consultation for particular assessment or treatment events nationally, sections 10, 12, 14 and 76–78, </w:t>
      </w:r>
      <w:bookmarkEnd w:id="203"/>
      <w:bookmarkEnd w:id="204"/>
      <w:bookmarkEnd w:id="205"/>
      <w:bookmarkEnd w:id="206"/>
      <w:bookmarkEnd w:id="207"/>
      <w:bookmarkEnd w:id="208"/>
      <w:bookmarkEnd w:id="209"/>
      <w:bookmarkEnd w:id="210"/>
      <w:bookmarkEnd w:id="211"/>
      <w:bookmarkEnd w:id="212"/>
      <w:r w:rsidR="00211D17" w:rsidRPr="00ED2B1F">
        <w:t>1 July 2023 to 30 June 2024</w:t>
      </w:r>
      <w:bookmarkEnd w:id="213"/>
    </w:p>
    <w:p w14:paraId="0F20D65C" w14:textId="64C3846C" w:rsidR="00DE668F" w:rsidRPr="00ED2B1F" w:rsidRDefault="00CC12F1" w:rsidP="00DE668F">
      <w:r>
        <w:rPr>
          <w:noProof/>
        </w:rPr>
        <w:drawing>
          <wp:inline distT="0" distB="0" distL="0" distR="0" wp14:anchorId="369B337A" wp14:editId="7117B6A7">
            <wp:extent cx="4438015" cy="2280285"/>
            <wp:effectExtent l="0" t="0" r="635" b="5715"/>
            <wp:docPr id="53812368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3682" name="Picture 1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015" cy="2280285"/>
                    </a:xfrm>
                    <a:prstGeom prst="rect">
                      <a:avLst/>
                    </a:prstGeom>
                    <a:noFill/>
                  </pic:spPr>
                </pic:pic>
              </a:graphicData>
            </a:graphic>
          </wp:inline>
        </w:drawing>
      </w:r>
    </w:p>
    <w:p w14:paraId="510F647E" w14:textId="108FB748" w:rsidR="00303C25" w:rsidRPr="00ED2B1F" w:rsidRDefault="00303C25" w:rsidP="00303C25">
      <w:pPr>
        <w:pStyle w:val="Note"/>
        <w:spacing w:before="0"/>
      </w:pPr>
      <w:r w:rsidRPr="00ED2B1F">
        <w:t>Note</w:t>
      </w:r>
      <w:r w:rsidR="00106AD8" w:rsidRPr="00ED2B1F">
        <w:t>: Data is missing for Health New Zealand</w:t>
      </w:r>
      <w:r w:rsidRPr="00ED2B1F">
        <w:t xml:space="preserve"> Whanganui for 1 January 2024</w:t>
      </w:r>
      <w:r w:rsidR="008020E6" w:rsidRPr="00ED2B1F">
        <w:t xml:space="preserve"> </w:t>
      </w:r>
      <w:r w:rsidRPr="00ED2B1F">
        <w:t>–</w:t>
      </w:r>
      <w:r w:rsidR="008020E6" w:rsidRPr="00ED2B1F">
        <w:t xml:space="preserve"> </w:t>
      </w:r>
      <w:r w:rsidRPr="00ED2B1F">
        <w:t xml:space="preserve">31 March 2024. </w:t>
      </w:r>
    </w:p>
    <w:p w14:paraId="369CD477" w14:textId="56572326" w:rsidR="00D4159A" w:rsidRPr="00ED2B1F" w:rsidRDefault="0054503A" w:rsidP="00397467">
      <w:pPr>
        <w:pStyle w:val="Source"/>
        <w:rPr>
          <w:rFonts w:eastAsia="Arial Unicode MS"/>
        </w:rPr>
      </w:pPr>
      <w:r w:rsidRPr="00ED2B1F">
        <w:t>Source: Office of the Director of Mental Health and Addiction Services records.</w:t>
      </w:r>
    </w:p>
    <w:p w14:paraId="568845B9" w14:textId="77777777" w:rsidR="00D4159A" w:rsidRPr="00ED2B1F" w:rsidRDefault="00D4159A" w:rsidP="00753A1F">
      <w:pPr>
        <w:rPr>
          <w:rFonts w:eastAsia="Arial Unicode MS"/>
        </w:rPr>
      </w:pPr>
    </w:p>
    <w:p w14:paraId="059B9163" w14:textId="77777777" w:rsidR="00D4159A" w:rsidRPr="00ED2B1F" w:rsidRDefault="00D4159A" w:rsidP="00753A1F">
      <w:pPr>
        <w:rPr>
          <w:rFonts w:eastAsia="Arial Unicode MS"/>
        </w:rPr>
        <w:sectPr w:rsidR="00D4159A" w:rsidRPr="00ED2B1F" w:rsidSect="00753A1F">
          <w:pgSz w:w="11907" w:h="16834" w:code="9"/>
          <w:pgMar w:top="1418" w:right="1701" w:bottom="1134" w:left="1843" w:header="284" w:footer="425" w:gutter="284"/>
          <w:cols w:space="720"/>
        </w:sectPr>
      </w:pPr>
    </w:p>
    <w:p w14:paraId="2C1F8CF6" w14:textId="7A0003A2" w:rsidR="00D4159A" w:rsidRPr="00ED2B1F" w:rsidRDefault="00D4159A" w:rsidP="00D4159A">
      <w:r w:rsidRPr="00ED2B1F">
        <w:lastRenderedPageBreak/>
        <w:t xml:space="preserve">On average nationally during this financial year, </w:t>
      </w:r>
      <w:r w:rsidR="00FD0BB0" w:rsidRPr="00ED2B1F">
        <w:t xml:space="preserve">consultation was successful with family and whānau in </w:t>
      </w:r>
      <w:r w:rsidRPr="00ED2B1F">
        <w:t>7</w:t>
      </w:r>
      <w:r w:rsidR="00675B5F" w:rsidRPr="00ED2B1F">
        <w:t>2</w:t>
      </w:r>
      <w:r w:rsidR="00FD0BB0" w:rsidRPr="00ED2B1F">
        <w:t>.</w:t>
      </w:r>
      <w:r w:rsidR="00675B5F" w:rsidRPr="00ED2B1F">
        <w:t>3</w:t>
      </w:r>
      <w:r w:rsidRPr="00ED2B1F">
        <w:t xml:space="preserve">% of </w:t>
      </w:r>
      <w:r w:rsidR="00FD0BB0" w:rsidRPr="00ED2B1F">
        <w:t>events</w:t>
      </w:r>
      <w:r w:rsidRPr="00ED2B1F">
        <w:t xml:space="preserve"> across the assessment and treatment</w:t>
      </w:r>
      <w:r w:rsidR="00FD0BB0" w:rsidRPr="00ED2B1F">
        <w:t xml:space="preserve"> stages</w:t>
      </w:r>
      <w:r w:rsidRPr="00ED2B1F">
        <w:t xml:space="preserve">. </w:t>
      </w:r>
      <w:r w:rsidR="00FD0BB0" w:rsidRPr="00ED2B1F">
        <w:t>Counties Manukau</w:t>
      </w:r>
      <w:r w:rsidRPr="00ED2B1F">
        <w:t xml:space="preserve"> had the highest rate of consultation at 9</w:t>
      </w:r>
      <w:r w:rsidR="00FD0BB0" w:rsidRPr="00ED2B1F">
        <w:t>4.5</w:t>
      </w:r>
      <w:r w:rsidRPr="00ED2B1F">
        <w:t>% and Northland had the lowest at 5</w:t>
      </w:r>
      <w:r w:rsidR="00EA27AD" w:rsidRPr="00ED2B1F">
        <w:t>5.8</w:t>
      </w:r>
      <w:r w:rsidRPr="00ED2B1F">
        <w:t>% (</w:t>
      </w:r>
      <w:r w:rsidRPr="00ED2B1F">
        <w:fldChar w:fldCharType="begin"/>
      </w:r>
      <w:r w:rsidRPr="00ED2B1F">
        <w:instrText xml:space="preserve"> REF _Ref85450395 \h  \* MERGEFORMAT </w:instrText>
      </w:r>
      <w:r w:rsidRPr="00ED2B1F">
        <w:fldChar w:fldCharType="separate"/>
      </w:r>
      <w:r w:rsidR="00484E57" w:rsidRPr="00ED2B1F">
        <w:t>Figure </w:t>
      </w:r>
      <w:r w:rsidR="00484E57">
        <w:t>13</w:t>
      </w:r>
      <w:r w:rsidRPr="00ED2B1F">
        <w:fldChar w:fldCharType="end"/>
      </w:r>
      <w:r w:rsidRPr="00ED2B1F">
        <w:t xml:space="preserve">). </w:t>
      </w:r>
    </w:p>
    <w:p w14:paraId="516F8CE9" w14:textId="77777777" w:rsidR="00D4159A" w:rsidRPr="00ED2B1F" w:rsidRDefault="00D4159A" w:rsidP="00D4159A"/>
    <w:p w14:paraId="2FED9A22" w14:textId="097ED0F9" w:rsidR="004D3932" w:rsidRPr="00ED2B1F" w:rsidRDefault="008020E6" w:rsidP="00D4159A">
      <w:r w:rsidRPr="00ED2B1F">
        <w:fldChar w:fldCharType="begin"/>
      </w:r>
      <w:r w:rsidRPr="00ED2B1F">
        <w:instrText xml:space="preserve"> REF _Ref141107977 \h  \* MERGEFORMAT </w:instrText>
      </w:r>
      <w:r w:rsidRPr="00ED2B1F">
        <w:fldChar w:fldCharType="separate"/>
      </w:r>
      <w:r w:rsidR="00484E57" w:rsidRPr="00ED2B1F">
        <w:t>Figure </w:t>
      </w:r>
      <w:r w:rsidR="00484E57">
        <w:t>14</w:t>
      </w:r>
      <w:r w:rsidRPr="00ED2B1F">
        <w:fldChar w:fldCharType="end"/>
      </w:r>
      <w:r w:rsidRPr="00ED2B1F">
        <w:t xml:space="preserve"> shows that, w</w:t>
      </w:r>
      <w:r w:rsidR="00D4159A" w:rsidRPr="00ED2B1F">
        <w:t xml:space="preserve">here no consultation </w:t>
      </w:r>
      <w:r w:rsidR="00087579" w:rsidRPr="00ED2B1F">
        <w:t xml:space="preserve">with </w:t>
      </w:r>
      <w:r w:rsidR="00D4159A" w:rsidRPr="00ED2B1F">
        <w:t>families and whānau occurred, by far the most common reason (in 8</w:t>
      </w:r>
      <w:r w:rsidR="008B1692" w:rsidRPr="00ED2B1F">
        <w:t>5</w:t>
      </w:r>
      <w:r w:rsidR="00D4159A" w:rsidRPr="00ED2B1F">
        <w:t>.</w:t>
      </w:r>
      <w:r w:rsidR="008B1692" w:rsidRPr="00ED2B1F">
        <w:t>3</w:t>
      </w:r>
      <w:r w:rsidR="00D4159A" w:rsidRPr="00ED2B1F">
        <w:t>% of cases)</w:t>
      </w:r>
      <w:r w:rsidR="00D4159A" w:rsidRPr="00ED2B1F" w:rsidDel="001F59A5">
        <w:t xml:space="preserve"> </w:t>
      </w:r>
      <w:r w:rsidR="00D4159A" w:rsidRPr="00ED2B1F">
        <w:t xml:space="preserve">was that service providers and clinicians considered consultation was not reasonably practicable in the particular circumstance. </w:t>
      </w:r>
      <w:r w:rsidR="00320EC8" w:rsidRPr="00ED2B1F">
        <w:t>This could be due to the time of day</w:t>
      </w:r>
      <w:r w:rsidR="004D3932" w:rsidRPr="00ED2B1F">
        <w:t xml:space="preserve"> or the urgency of the situation. </w:t>
      </w:r>
    </w:p>
    <w:p w14:paraId="1BAFAF39" w14:textId="77777777" w:rsidR="004D3932" w:rsidRPr="00ED2B1F" w:rsidRDefault="004D3932" w:rsidP="00D4159A"/>
    <w:p w14:paraId="3F7DB4CA" w14:textId="68420374" w:rsidR="00D4159A" w:rsidRPr="00ED2B1F" w:rsidRDefault="00D4159A" w:rsidP="00D4159A">
      <w:r w:rsidRPr="00ED2B1F">
        <w:t xml:space="preserve">In </w:t>
      </w:r>
      <w:r w:rsidR="008B1692" w:rsidRPr="00ED2B1F">
        <w:t>10</w:t>
      </w:r>
      <w:r w:rsidR="00320EC8" w:rsidRPr="00ED2B1F">
        <w:t>.8</w:t>
      </w:r>
      <w:r w:rsidRPr="00ED2B1F">
        <w:t>% of cases</w:t>
      </w:r>
      <w:r w:rsidR="008020E6" w:rsidRPr="00ED2B1F">
        <w:t>,</w:t>
      </w:r>
      <w:r w:rsidRPr="00ED2B1F">
        <w:t xml:space="preserve"> consultation was considered to be </w:t>
      </w:r>
      <w:r w:rsidR="00087579" w:rsidRPr="00ED2B1F">
        <w:t xml:space="preserve">not </w:t>
      </w:r>
      <w:r w:rsidRPr="00ED2B1F">
        <w:t>in the interests of the person being assessed or receiving the treatment.</w:t>
      </w:r>
      <w:r w:rsidR="004D3932" w:rsidRPr="00ED2B1F">
        <w:t xml:space="preserve"> </w:t>
      </w:r>
      <w:r w:rsidR="00A95924" w:rsidRPr="00ED2B1F">
        <w:t>This</w:t>
      </w:r>
      <w:r w:rsidR="008020E6" w:rsidRPr="00ED2B1F">
        <w:t xml:space="preserve"> </w:t>
      </w:r>
      <w:r w:rsidR="00087579" w:rsidRPr="00ED2B1F">
        <w:t>decision</w:t>
      </w:r>
      <w:r w:rsidR="00A95924" w:rsidRPr="00ED2B1F">
        <w:t xml:space="preserve"> </w:t>
      </w:r>
      <w:r w:rsidR="008020E6" w:rsidRPr="00ED2B1F">
        <w:t xml:space="preserve">can </w:t>
      </w:r>
      <w:r w:rsidR="00A95924" w:rsidRPr="00ED2B1F">
        <w:t xml:space="preserve">be </w:t>
      </w:r>
      <w:r w:rsidR="00087579" w:rsidRPr="00ED2B1F">
        <w:t xml:space="preserve">made </w:t>
      </w:r>
      <w:r w:rsidR="008020E6" w:rsidRPr="00ED2B1F">
        <w:t xml:space="preserve">at the person’s </w:t>
      </w:r>
      <w:r w:rsidR="00A95924" w:rsidRPr="00ED2B1F">
        <w:t xml:space="preserve">request, </w:t>
      </w:r>
      <w:r w:rsidR="008810CF" w:rsidRPr="00ED2B1F">
        <w:t xml:space="preserve">if their responsible clinician </w:t>
      </w:r>
      <w:r w:rsidR="00087579" w:rsidRPr="00ED2B1F">
        <w:t xml:space="preserve">considers </w:t>
      </w:r>
      <w:r w:rsidR="008810CF" w:rsidRPr="00ED2B1F">
        <w:t>it appropriate.</w:t>
      </w:r>
      <w:r w:rsidR="00E757DF" w:rsidRPr="00ED2B1F">
        <w:t xml:space="preserve"> </w:t>
      </w:r>
      <w:r w:rsidR="008020E6" w:rsidRPr="00ED2B1F">
        <w:t>The responsible clinician must justify t</w:t>
      </w:r>
      <w:r w:rsidR="00E757DF" w:rsidRPr="00ED2B1F">
        <w:t xml:space="preserve">hese </w:t>
      </w:r>
      <w:r w:rsidR="001657C9" w:rsidRPr="00ED2B1F">
        <w:t>decisions,</w:t>
      </w:r>
      <w:r w:rsidR="00E757DF" w:rsidRPr="00ED2B1F">
        <w:t xml:space="preserve"> and </w:t>
      </w:r>
      <w:r w:rsidR="008020E6" w:rsidRPr="00ED2B1F">
        <w:t xml:space="preserve">the Director of Area Mental Health Services must review </w:t>
      </w:r>
      <w:r w:rsidR="00E757DF" w:rsidRPr="00ED2B1F">
        <w:t>the reasoning.</w:t>
      </w:r>
    </w:p>
    <w:p w14:paraId="548D83AC" w14:textId="77777777" w:rsidR="00D4159A" w:rsidRPr="00ED2B1F" w:rsidRDefault="00D4159A" w:rsidP="00D4159A">
      <w:pPr>
        <w:rPr>
          <w:lang w:eastAsia="en-US"/>
        </w:rPr>
      </w:pPr>
    </w:p>
    <w:p w14:paraId="632EFF82" w14:textId="175002F7" w:rsidR="00D4159A" w:rsidRPr="00ED2B1F" w:rsidRDefault="00D4159A" w:rsidP="00C103C7">
      <w:pPr>
        <w:pStyle w:val="Figure"/>
      </w:pPr>
      <w:bookmarkStart w:id="214" w:name="_Ref85450395"/>
      <w:bookmarkStart w:id="215" w:name="_Toc85442577"/>
      <w:bookmarkStart w:id="216" w:name="_Toc85445924"/>
      <w:bookmarkStart w:id="217" w:name="_Toc87429964"/>
      <w:bookmarkStart w:id="218" w:name="_Toc88561396"/>
      <w:bookmarkStart w:id="219" w:name="_Toc115188854"/>
      <w:bookmarkStart w:id="220" w:name="_Toc142314694"/>
      <w:bookmarkStart w:id="221" w:name="_Toc145394278"/>
      <w:bookmarkStart w:id="222" w:name="_Toc189053954"/>
      <w:bookmarkStart w:id="223" w:name="_Toc224638185"/>
      <w:r w:rsidRPr="00ED2B1F">
        <w:t>Figure </w:t>
      </w:r>
      <w:r w:rsidRPr="00ED2B1F">
        <w:fldChar w:fldCharType="begin"/>
      </w:r>
      <w:r w:rsidRPr="00ED2B1F">
        <w:instrText>SEQ Figure \* ARABIC</w:instrText>
      </w:r>
      <w:r w:rsidRPr="00ED2B1F">
        <w:fldChar w:fldCharType="separate"/>
      </w:r>
      <w:r w:rsidR="00484E57">
        <w:rPr>
          <w:noProof/>
        </w:rPr>
        <w:t>13</w:t>
      </w:r>
      <w:r w:rsidRPr="00ED2B1F">
        <w:fldChar w:fldCharType="end"/>
      </w:r>
      <w:bookmarkEnd w:id="214"/>
      <w:r w:rsidRPr="00ED2B1F">
        <w:t xml:space="preserve">: Average percentage of </w:t>
      </w:r>
      <w:r w:rsidR="00755642" w:rsidRPr="00ED2B1F">
        <w:t xml:space="preserve">successful </w:t>
      </w:r>
      <w:r w:rsidRPr="00ED2B1F">
        <w:t xml:space="preserve">family and whānau consultation across all assessment and treatment events, by district, </w:t>
      </w:r>
      <w:bookmarkEnd w:id="215"/>
      <w:bookmarkEnd w:id="216"/>
      <w:bookmarkEnd w:id="217"/>
      <w:bookmarkEnd w:id="218"/>
      <w:bookmarkEnd w:id="219"/>
      <w:bookmarkEnd w:id="220"/>
      <w:bookmarkEnd w:id="221"/>
      <w:bookmarkEnd w:id="222"/>
      <w:r w:rsidR="00211D17" w:rsidRPr="00ED2B1F">
        <w:t>1 July 2023 to 30 June 2024</w:t>
      </w:r>
      <w:bookmarkEnd w:id="223"/>
    </w:p>
    <w:p w14:paraId="084EBD08" w14:textId="6FFC2472" w:rsidR="00D4159A" w:rsidRPr="00ED2B1F" w:rsidRDefault="00CC12F1" w:rsidP="00753A1F">
      <w:pPr>
        <w:rPr>
          <w:rFonts w:eastAsia="Arial Unicode MS"/>
        </w:rPr>
      </w:pPr>
      <w:r>
        <w:rPr>
          <w:rFonts w:eastAsia="Arial Unicode MS"/>
          <w:noProof/>
        </w:rPr>
        <w:drawing>
          <wp:inline distT="0" distB="0" distL="0" distR="0" wp14:anchorId="48C87056" wp14:editId="35C70759">
            <wp:extent cx="5401310" cy="3609340"/>
            <wp:effectExtent l="0" t="0" r="8890" b="0"/>
            <wp:docPr id="86121376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13763" name="Picture 13">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3609340"/>
                    </a:xfrm>
                    <a:prstGeom prst="rect">
                      <a:avLst/>
                    </a:prstGeom>
                    <a:noFill/>
                  </pic:spPr>
                </pic:pic>
              </a:graphicData>
            </a:graphic>
          </wp:inline>
        </w:drawing>
      </w:r>
    </w:p>
    <w:p w14:paraId="1486835D" w14:textId="6790994D" w:rsidR="006579AE" w:rsidRPr="00ED2B1F" w:rsidRDefault="006579AE" w:rsidP="006579AE">
      <w:pPr>
        <w:pStyle w:val="Note"/>
        <w:spacing w:before="0"/>
      </w:pPr>
      <w:r w:rsidRPr="00ED2B1F">
        <w:t>Note: Data is missing for Health New Zealand Whanganui for 1 January 2024</w:t>
      </w:r>
      <w:r w:rsidR="008020E6" w:rsidRPr="00ED2B1F">
        <w:t xml:space="preserve"> </w:t>
      </w:r>
      <w:r w:rsidRPr="00ED2B1F">
        <w:t>–</w:t>
      </w:r>
      <w:r w:rsidR="008020E6" w:rsidRPr="00ED2B1F">
        <w:t xml:space="preserve"> </w:t>
      </w:r>
      <w:r w:rsidRPr="00ED2B1F">
        <w:t xml:space="preserve">31 March 2024. </w:t>
      </w:r>
    </w:p>
    <w:p w14:paraId="1A8896E6" w14:textId="77777777" w:rsidR="006579AE" w:rsidRPr="00ED2B1F" w:rsidRDefault="006579AE" w:rsidP="006579AE">
      <w:pPr>
        <w:pStyle w:val="Source"/>
        <w:rPr>
          <w:rFonts w:eastAsia="Arial Unicode MS"/>
        </w:rPr>
      </w:pPr>
      <w:r w:rsidRPr="00ED2B1F">
        <w:t>Source: Office of the Director of Mental Health and Addiction Services records.</w:t>
      </w:r>
    </w:p>
    <w:p w14:paraId="4164AC02" w14:textId="77777777" w:rsidR="00D4159A" w:rsidRPr="00ED2B1F" w:rsidRDefault="00D4159A" w:rsidP="00753A1F">
      <w:pPr>
        <w:rPr>
          <w:rFonts w:eastAsia="Arial Unicode MS"/>
        </w:rPr>
      </w:pPr>
    </w:p>
    <w:p w14:paraId="2F67B6C2" w14:textId="5FA2944A" w:rsidR="00D4159A" w:rsidRPr="00ED2B1F" w:rsidRDefault="00D4159A" w:rsidP="00C103C7">
      <w:pPr>
        <w:pStyle w:val="Figure"/>
      </w:pPr>
      <w:bookmarkStart w:id="224" w:name="_Ref141107977"/>
      <w:bookmarkStart w:id="225" w:name="_Toc63764764"/>
      <w:bookmarkStart w:id="226" w:name="_Toc75176487"/>
      <w:bookmarkStart w:id="227" w:name="_Toc85442578"/>
      <w:bookmarkStart w:id="228" w:name="_Toc85445925"/>
      <w:bookmarkStart w:id="229" w:name="_Toc87429965"/>
      <w:bookmarkStart w:id="230" w:name="_Toc88561397"/>
      <w:bookmarkStart w:id="231" w:name="_Toc115188855"/>
      <w:bookmarkStart w:id="232" w:name="_Toc142314695"/>
      <w:bookmarkStart w:id="233" w:name="_Toc145394279"/>
      <w:bookmarkStart w:id="234" w:name="_Toc189053955"/>
      <w:bookmarkStart w:id="235" w:name="_Toc224638186"/>
      <w:r w:rsidRPr="00ED2B1F">
        <w:lastRenderedPageBreak/>
        <w:t>Figure </w:t>
      </w:r>
      <w:r w:rsidRPr="00ED2B1F">
        <w:fldChar w:fldCharType="begin"/>
      </w:r>
      <w:r w:rsidRPr="00ED2B1F">
        <w:instrText>SEQ Figure \* ARABIC</w:instrText>
      </w:r>
      <w:r w:rsidRPr="00ED2B1F">
        <w:fldChar w:fldCharType="separate"/>
      </w:r>
      <w:r w:rsidR="00484E57">
        <w:rPr>
          <w:noProof/>
        </w:rPr>
        <w:t>14</w:t>
      </w:r>
      <w:r w:rsidRPr="00ED2B1F">
        <w:fldChar w:fldCharType="end"/>
      </w:r>
      <w:bookmarkEnd w:id="224"/>
      <w:r w:rsidRPr="00ED2B1F">
        <w:t xml:space="preserve">: Reasons for not consulting families and whānau, </w:t>
      </w:r>
      <w:bookmarkEnd w:id="225"/>
      <w:bookmarkEnd w:id="226"/>
      <w:bookmarkEnd w:id="227"/>
      <w:bookmarkEnd w:id="228"/>
      <w:bookmarkEnd w:id="229"/>
      <w:bookmarkEnd w:id="230"/>
      <w:bookmarkEnd w:id="231"/>
      <w:bookmarkEnd w:id="232"/>
      <w:bookmarkEnd w:id="233"/>
      <w:bookmarkEnd w:id="234"/>
      <w:r w:rsidR="00211D17" w:rsidRPr="00ED2B1F">
        <w:t>1 July 2023 to 30 June 2024</w:t>
      </w:r>
      <w:bookmarkEnd w:id="235"/>
    </w:p>
    <w:p w14:paraId="37DDAF36" w14:textId="5EB04169" w:rsidR="00D4159A" w:rsidRPr="00ED2B1F" w:rsidRDefault="00CC12F1" w:rsidP="00E757DF">
      <w:pPr>
        <w:rPr>
          <w:rFonts w:eastAsia="Arial Unicode MS"/>
        </w:rPr>
      </w:pPr>
      <w:r>
        <w:rPr>
          <w:rFonts w:eastAsia="Arial Unicode MS"/>
          <w:noProof/>
        </w:rPr>
        <w:drawing>
          <wp:inline distT="0" distB="0" distL="0" distR="0" wp14:anchorId="3523C555" wp14:editId="2F71C3B7">
            <wp:extent cx="3914140" cy="2664460"/>
            <wp:effectExtent l="0" t="0" r="0" b="2540"/>
            <wp:docPr id="113914436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44364" name="Picture 15">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4140" cy="2664460"/>
                    </a:xfrm>
                    <a:prstGeom prst="rect">
                      <a:avLst/>
                    </a:prstGeom>
                    <a:noFill/>
                  </pic:spPr>
                </pic:pic>
              </a:graphicData>
            </a:graphic>
          </wp:inline>
        </w:drawing>
      </w:r>
    </w:p>
    <w:p w14:paraId="60541633" w14:textId="7BAEB222" w:rsidR="00303C25" w:rsidRPr="00ED2B1F" w:rsidRDefault="00303C25" w:rsidP="00303C25">
      <w:pPr>
        <w:pStyle w:val="Note"/>
        <w:spacing w:before="0"/>
      </w:pPr>
      <w:r w:rsidRPr="00ED2B1F">
        <w:t>Notes: Data is missing for Health New Zealand MidCentral for the periods 1 July 2023</w:t>
      </w:r>
      <w:r w:rsidR="008020E6" w:rsidRPr="00ED2B1F">
        <w:t xml:space="preserve"> </w:t>
      </w:r>
      <w:r w:rsidRPr="00ED2B1F">
        <w:t>–</w:t>
      </w:r>
      <w:r w:rsidR="008020E6" w:rsidRPr="00ED2B1F">
        <w:t xml:space="preserve"> </w:t>
      </w:r>
      <w:r w:rsidRPr="00ED2B1F">
        <w:t>31 December 2023, and for Whanganui for 1 January 2024</w:t>
      </w:r>
      <w:r w:rsidR="008020E6" w:rsidRPr="00ED2B1F">
        <w:t xml:space="preserve"> </w:t>
      </w:r>
      <w:r w:rsidRPr="00ED2B1F">
        <w:t>–</w:t>
      </w:r>
      <w:r w:rsidR="008020E6" w:rsidRPr="00ED2B1F">
        <w:t xml:space="preserve"> </w:t>
      </w:r>
      <w:r w:rsidRPr="00ED2B1F">
        <w:t xml:space="preserve">31 March 2024. </w:t>
      </w:r>
    </w:p>
    <w:p w14:paraId="41BFF3BF" w14:textId="446EBC98" w:rsidR="00140C1A" w:rsidRPr="00ED2B1F" w:rsidRDefault="00E757DF" w:rsidP="00E757DF">
      <w:pPr>
        <w:pStyle w:val="Source"/>
      </w:pPr>
      <w:r w:rsidRPr="00ED2B1F">
        <w:rPr>
          <w:bCs/>
        </w:rPr>
        <w:t>Source: Office of the Director of Mental Health and Addiction Services records.</w:t>
      </w:r>
    </w:p>
    <w:p w14:paraId="7A2D892A" w14:textId="2C7B7DD0" w:rsidR="00F1368B" w:rsidRPr="00C103C7" w:rsidRDefault="00F1368B" w:rsidP="00C103C7">
      <w:pPr>
        <w:pStyle w:val="Heading3"/>
      </w:pPr>
      <w:r w:rsidRPr="00C103C7">
        <w:t>Additional consultation and examination data</w:t>
      </w:r>
    </w:p>
    <w:p w14:paraId="41A1D643" w14:textId="189653F4" w:rsidR="00F1368B" w:rsidRPr="00ED2B1F" w:rsidRDefault="00F1368B" w:rsidP="00F1368B">
      <w:r w:rsidRPr="00ED2B1F">
        <w:t>In October 2023, the quarterly reporting template for</w:t>
      </w:r>
      <w:r w:rsidR="00652D56" w:rsidRPr="00ED2B1F">
        <w:t xml:space="preserve"> Directors of Area Mental Health Services was amended to include </w:t>
      </w:r>
      <w:r w:rsidR="00397467" w:rsidRPr="00ED2B1F">
        <w:t>data on the use of audio-visual links under section 6A of the Mental Health Act.</w:t>
      </w:r>
    </w:p>
    <w:p w14:paraId="7BFD274B" w14:textId="77777777" w:rsidR="00397467" w:rsidRPr="00ED2B1F" w:rsidRDefault="00397467" w:rsidP="00F1368B"/>
    <w:p w14:paraId="7D2452B1" w14:textId="4F36CECF" w:rsidR="00397467" w:rsidRPr="00ED2B1F" w:rsidRDefault="00397467" w:rsidP="00397467">
      <w:r w:rsidRPr="00ED2B1F">
        <w:t>Section 6A</w:t>
      </w:r>
      <w:r w:rsidR="004A08C2" w:rsidRPr="00ED2B1F">
        <w:t xml:space="preserve"> was added into the Act as a result of the Mental Health (Compulsory Assessment and Treatment) Amendment Act 2021. </w:t>
      </w:r>
      <w:r w:rsidR="00AA158A" w:rsidRPr="00ED2B1F">
        <w:t xml:space="preserve">It recognises that there may be reasons why it is not always practicable </w:t>
      </w:r>
      <w:r w:rsidR="0037556A" w:rsidRPr="00ED2B1F">
        <w:t xml:space="preserve">for an examination to take place </w:t>
      </w:r>
      <w:r w:rsidR="007A1787" w:rsidRPr="00ED2B1F">
        <w:t>face to face</w:t>
      </w:r>
      <w:r w:rsidR="0037556A" w:rsidRPr="00ED2B1F">
        <w:t>, such as</w:t>
      </w:r>
      <w:r w:rsidR="00D177A5" w:rsidRPr="00ED2B1F">
        <w:t xml:space="preserve"> when</w:t>
      </w:r>
      <w:r w:rsidR="0037556A" w:rsidRPr="00ED2B1F">
        <w:t xml:space="preserve"> the person </w:t>
      </w:r>
      <w:r w:rsidR="00D177A5" w:rsidRPr="00ED2B1F">
        <w:t xml:space="preserve">is </w:t>
      </w:r>
      <w:r w:rsidR="0037556A" w:rsidRPr="00ED2B1F">
        <w:t>living</w:t>
      </w:r>
      <w:r w:rsidR="00D177A5" w:rsidRPr="00ED2B1F">
        <w:t xml:space="preserve"> in a</w:t>
      </w:r>
      <w:r w:rsidR="0037556A" w:rsidRPr="00ED2B1F">
        <w:t xml:space="preserve"> rural</w:t>
      </w:r>
      <w:r w:rsidR="00D177A5" w:rsidRPr="00ED2B1F">
        <w:t xml:space="preserve"> area</w:t>
      </w:r>
      <w:r w:rsidR="0037556A" w:rsidRPr="00ED2B1F">
        <w:t xml:space="preserve">. </w:t>
      </w:r>
    </w:p>
    <w:p w14:paraId="003C4195" w14:textId="77777777" w:rsidR="00377967" w:rsidRPr="00ED2B1F" w:rsidRDefault="00377967" w:rsidP="00397467"/>
    <w:p w14:paraId="225847F3" w14:textId="516890C6" w:rsidR="00377967" w:rsidRPr="00ED2B1F" w:rsidRDefault="00377967" w:rsidP="00397467">
      <w:r w:rsidRPr="00ED2B1F">
        <w:t xml:space="preserve">The reporting of this data gives the Director </w:t>
      </w:r>
      <w:r w:rsidR="00D177A5" w:rsidRPr="00ED2B1F">
        <w:t>insight into</w:t>
      </w:r>
      <w:r w:rsidRPr="00ED2B1F">
        <w:t xml:space="preserve"> the use of audio-visual technologies. It is important </w:t>
      </w:r>
      <w:r w:rsidR="00D177A5" w:rsidRPr="00ED2B1F">
        <w:t xml:space="preserve">to only use </w:t>
      </w:r>
      <w:r w:rsidR="00572CB0" w:rsidRPr="00ED2B1F">
        <w:t>the</w:t>
      </w:r>
      <w:r w:rsidR="00D177A5" w:rsidRPr="00ED2B1F">
        <w:t>se technologies</w:t>
      </w:r>
      <w:r w:rsidR="00572CB0" w:rsidRPr="00ED2B1F">
        <w:t xml:space="preserve"> in situations where </w:t>
      </w:r>
      <w:r w:rsidR="00D177A5" w:rsidRPr="00ED2B1F">
        <w:t>their use</w:t>
      </w:r>
      <w:r w:rsidR="00572CB0" w:rsidRPr="00ED2B1F">
        <w:t xml:space="preserve"> is not detrimental to the patient and their care. </w:t>
      </w:r>
    </w:p>
    <w:p w14:paraId="13B77F0C" w14:textId="77777777" w:rsidR="00A3791E" w:rsidRPr="00ED2B1F" w:rsidRDefault="00A3791E" w:rsidP="00397467"/>
    <w:p w14:paraId="14571761" w14:textId="5864857C" w:rsidR="00A3791E" w:rsidRPr="00ED2B1F" w:rsidRDefault="00A3791E" w:rsidP="00397467">
      <w:pPr>
        <w:sectPr w:rsidR="00A3791E" w:rsidRPr="00ED2B1F" w:rsidSect="00D4159A">
          <w:pgSz w:w="11907" w:h="16834" w:code="9"/>
          <w:pgMar w:top="1418" w:right="1701" w:bottom="1134" w:left="1843" w:header="284" w:footer="425" w:gutter="284"/>
          <w:cols w:space="720"/>
        </w:sectPr>
      </w:pPr>
      <w:r w:rsidRPr="00ED2B1F">
        <w:t xml:space="preserve">Section 6A data will be included in next </w:t>
      </w:r>
      <w:r w:rsidR="00D457F8" w:rsidRPr="00ED2B1F">
        <w:t xml:space="preserve">year’s </w:t>
      </w:r>
      <w:r w:rsidRPr="00ED2B1F">
        <w:t>regulatory report.</w:t>
      </w:r>
    </w:p>
    <w:p w14:paraId="18B989C3" w14:textId="70B93342" w:rsidR="00F1628D" w:rsidRPr="00ED2B1F" w:rsidRDefault="00F1628D" w:rsidP="00F1628D">
      <w:pPr>
        <w:pStyle w:val="Heading1"/>
        <w:spacing w:before="0"/>
      </w:pPr>
      <w:bookmarkStart w:id="236" w:name="_Toc65141622"/>
      <w:bookmarkStart w:id="237" w:name="_Toc75176446"/>
      <w:bookmarkStart w:id="238" w:name="_Toc87429911"/>
      <w:bookmarkStart w:id="239" w:name="_Toc88826959"/>
      <w:bookmarkStart w:id="240" w:name="_Toc115188809"/>
      <w:bookmarkStart w:id="241" w:name="_Toc145394237"/>
      <w:bookmarkStart w:id="242" w:name="_Toc189053907"/>
      <w:bookmarkStart w:id="243" w:name="_Toc224638095"/>
      <w:r w:rsidRPr="00ED2B1F">
        <w:lastRenderedPageBreak/>
        <w:t>Seclusion</w:t>
      </w:r>
      <w:bookmarkEnd w:id="236"/>
      <w:bookmarkEnd w:id="237"/>
      <w:bookmarkEnd w:id="238"/>
      <w:bookmarkEnd w:id="239"/>
      <w:bookmarkEnd w:id="240"/>
      <w:bookmarkEnd w:id="241"/>
      <w:bookmarkEnd w:id="242"/>
      <w:bookmarkEnd w:id="243"/>
    </w:p>
    <w:p w14:paraId="633EEEDB" w14:textId="0124B397" w:rsidR="00463C26" w:rsidRPr="00ED2B1F" w:rsidRDefault="00463C26" w:rsidP="00463C26">
      <w:pPr>
        <w:rPr>
          <w:rFonts w:cs="Segoe UI"/>
        </w:rPr>
      </w:pPr>
      <w:r w:rsidRPr="00ED2B1F">
        <w:rPr>
          <w:rFonts w:cs="Segoe UI"/>
        </w:rPr>
        <w:t xml:space="preserve">In New Zealand, seclusion can only lawfully occur under the Mental Health Act or the </w:t>
      </w:r>
      <w:r w:rsidRPr="00ED2B1F">
        <w:t>Intellectual Disability (Compulsory Care and Rehabilitation) Act 2003 (</w:t>
      </w:r>
      <w:r w:rsidRPr="00ED2B1F">
        <w:rPr>
          <w:rFonts w:cs="Segoe UI"/>
        </w:rPr>
        <w:t xml:space="preserve">the </w:t>
      </w:r>
      <w:r w:rsidR="00DF6679" w:rsidRPr="00ED2B1F">
        <w:rPr>
          <w:rFonts w:cs="Segoe UI"/>
        </w:rPr>
        <w:t>IDCCR Act</w:t>
      </w:r>
      <w:r w:rsidRPr="00ED2B1F">
        <w:rPr>
          <w:rFonts w:cs="Segoe UI"/>
        </w:rPr>
        <w:t xml:space="preserve">). </w:t>
      </w:r>
    </w:p>
    <w:p w14:paraId="005E248C" w14:textId="5460FC2B" w:rsidR="00463C26" w:rsidRPr="00ED2B1F" w:rsidRDefault="00463C26" w:rsidP="00463C26">
      <w:pPr>
        <w:rPr>
          <w:rFonts w:cs="Segoe UI"/>
        </w:rPr>
      </w:pPr>
    </w:p>
    <w:p w14:paraId="36ACD24C" w14:textId="098C9DE2" w:rsidR="00463C26" w:rsidRPr="00ED2B1F" w:rsidRDefault="00463C26" w:rsidP="00463C26">
      <w:pPr>
        <w:rPr>
          <w:rFonts w:cs="Segoe UI"/>
        </w:rPr>
      </w:pPr>
      <w:r w:rsidRPr="00ED2B1F">
        <w:rPr>
          <w:rFonts w:cs="Segoe UI"/>
        </w:rPr>
        <w:t>Ngā Paerewa Health and Disability Services Standard defines ‘seclusion’ as a situation where a service user is ‘placed alone in a room or area, at any time and for any duration, from which they cannot freely exit’.</w:t>
      </w:r>
      <w:r w:rsidRPr="00ED2B1F">
        <w:rPr>
          <w:rFonts w:cs="Segoe UI"/>
          <w:vertAlign w:val="superscript"/>
        </w:rPr>
        <w:footnoteReference w:id="18"/>
      </w:r>
      <w:r w:rsidRPr="00ED2B1F">
        <w:rPr>
          <w:rFonts w:cs="Segoe UI"/>
        </w:rPr>
        <w:t xml:space="preserve"> </w:t>
      </w:r>
    </w:p>
    <w:p w14:paraId="1F0C735F" w14:textId="77777777" w:rsidR="00463C26" w:rsidRPr="00ED2B1F" w:rsidRDefault="00463C26" w:rsidP="00463C26">
      <w:pPr>
        <w:rPr>
          <w:rFonts w:cs="Segoe UI"/>
        </w:rPr>
      </w:pPr>
    </w:p>
    <w:p w14:paraId="2F91B652" w14:textId="646A8153" w:rsidR="009A5950" w:rsidRPr="00ED2B1F" w:rsidRDefault="005E41B1" w:rsidP="009A5950">
      <w:r w:rsidRPr="00ED2B1F">
        <w:t>T</w:t>
      </w:r>
      <w:r w:rsidR="009A5950" w:rsidRPr="00ED2B1F">
        <w:t xml:space="preserve">he analysis of </w:t>
      </w:r>
      <w:r w:rsidRPr="00ED2B1F">
        <w:t xml:space="preserve">data on </w:t>
      </w:r>
      <w:r w:rsidR="009A5950" w:rsidRPr="00ED2B1F">
        <w:t xml:space="preserve">the use of seclusion </w:t>
      </w:r>
      <w:r w:rsidR="00620DE0" w:rsidRPr="00ED2B1F">
        <w:t>during 2023/24</w:t>
      </w:r>
      <w:r w:rsidR="009A5950" w:rsidRPr="00ED2B1F">
        <w:t xml:space="preserve"> showed that eight individuals experienced prolonged and/or frequent periods of seclusion. This raises significant issues around trauma, dignity and human rights, and the impact th</w:t>
      </w:r>
      <w:r w:rsidRPr="00ED2B1F">
        <w:t>ese experiences</w:t>
      </w:r>
      <w:r w:rsidR="009A5950" w:rsidRPr="00ED2B1F">
        <w:t xml:space="preserve"> ha</w:t>
      </w:r>
      <w:r w:rsidRPr="00ED2B1F">
        <w:t>ve</w:t>
      </w:r>
      <w:r w:rsidR="009A5950" w:rsidRPr="00ED2B1F">
        <w:t xml:space="preserve"> on people and their recovery. There must be a clear focus on identifying and addressing the factors that sit behind these experiences in order to ensure the safety and dignity of people in the care system. </w:t>
      </w:r>
    </w:p>
    <w:p w14:paraId="7DEF29F2" w14:textId="77777777" w:rsidR="009A5950" w:rsidRPr="00ED2B1F" w:rsidRDefault="009A5950" w:rsidP="009A5950"/>
    <w:p w14:paraId="040C2FCD" w14:textId="6BC74530" w:rsidR="009A5950" w:rsidRPr="00ED2B1F" w:rsidRDefault="009A5950" w:rsidP="009A5950">
      <w:r w:rsidRPr="00ED2B1F">
        <w:t>The Office of the Director of Mental Health is undertaking deeper analysis of the circumstances and factors that led to these prolonged</w:t>
      </w:r>
      <w:r w:rsidR="005E41B1" w:rsidRPr="00ED2B1F">
        <w:t xml:space="preserve"> or </w:t>
      </w:r>
      <w:r w:rsidRPr="00ED2B1F">
        <w:t>frequent periods of seclusion and the interventions in place to address th</w:t>
      </w:r>
      <w:r w:rsidR="005E41B1" w:rsidRPr="00ED2B1F">
        <w:t>em</w:t>
      </w:r>
      <w:r w:rsidRPr="00ED2B1F">
        <w:t>. The Office will work with Health New Zealand on this</w:t>
      </w:r>
      <w:r w:rsidR="00A70958" w:rsidRPr="00ED2B1F">
        <w:t xml:space="preserve"> initiative</w:t>
      </w:r>
      <w:r w:rsidRPr="00ED2B1F">
        <w:t>.</w:t>
      </w:r>
    </w:p>
    <w:p w14:paraId="22C08E6E" w14:textId="77777777" w:rsidR="009A5950" w:rsidRPr="00ED2B1F" w:rsidRDefault="009A5950" w:rsidP="009A5950"/>
    <w:p w14:paraId="3177F5AB" w14:textId="77777777" w:rsidR="00335D72" w:rsidRDefault="009A5950" w:rsidP="00463C26">
      <w:r w:rsidRPr="00ED2B1F">
        <w:t xml:space="preserve">It is important to note that the data for these individuals is included in </w:t>
      </w:r>
      <w:r w:rsidR="00DE5F56" w:rsidRPr="00ED2B1F">
        <w:t>A</w:t>
      </w:r>
      <w:r w:rsidRPr="00ED2B1F">
        <w:t xml:space="preserve">ppendix </w:t>
      </w:r>
      <w:r w:rsidR="00DE5F56" w:rsidRPr="00ED2B1F">
        <w:t xml:space="preserve">3 </w:t>
      </w:r>
      <w:r w:rsidRPr="00ED2B1F">
        <w:t xml:space="preserve">for transparency and consistency with previous reports. </w:t>
      </w:r>
      <w:r w:rsidR="00DE5F56" w:rsidRPr="00ED2B1F">
        <w:t>The intention is to include</w:t>
      </w:r>
      <w:r w:rsidRPr="00ED2B1F">
        <w:t xml:space="preserve"> this information in this section in future reports. </w:t>
      </w:r>
    </w:p>
    <w:p w14:paraId="5DCADCB7" w14:textId="77777777" w:rsidR="00335D72" w:rsidRDefault="00335D72" w:rsidP="00463C26"/>
    <w:p w14:paraId="03F22D84" w14:textId="62186AEC" w:rsidR="00463C26" w:rsidRPr="00ED2B1F" w:rsidRDefault="00463C26" w:rsidP="00B05CA9">
      <w:pPr>
        <w:ind w:right="-568"/>
        <w:rPr>
          <w:rFonts w:cs="Segoe UI"/>
        </w:rPr>
      </w:pPr>
      <w:r w:rsidRPr="00ED2B1F">
        <w:rPr>
          <w:rFonts w:cs="Segoe UI"/>
        </w:rPr>
        <w:t>The following summarises adult inpatient services data</w:t>
      </w:r>
      <w:r w:rsidRPr="00ED2B1F">
        <w:rPr>
          <w:rFonts w:cs="Segoe UI"/>
          <w:vertAlign w:val="superscript"/>
        </w:rPr>
        <w:footnoteReference w:id="19"/>
      </w:r>
      <w:r w:rsidRPr="00ED2B1F">
        <w:rPr>
          <w:rFonts w:cs="Segoe UI"/>
        </w:rPr>
        <w:t xml:space="preserve"> from 1 July 2023 to 30 June 2024.</w:t>
      </w:r>
      <w:r w:rsidRPr="00ED2B1F">
        <w:rPr>
          <w:rFonts w:cs="Segoe UI"/>
          <w:vertAlign w:val="superscript"/>
        </w:rPr>
        <w:footnoteReference w:id="20"/>
      </w:r>
    </w:p>
    <w:p w14:paraId="3F86976D" w14:textId="061F084B" w:rsidR="00CB20B9" w:rsidRDefault="00CB20B9" w:rsidP="00E7037A">
      <w:pPr>
        <w:pStyle w:val="Bullet"/>
        <w:spacing w:before="80"/>
      </w:pPr>
      <w:r>
        <w:t xml:space="preserve">The total number of people who experienced seclusion while receiving mental health treatment in an adult inpatient service decreased by 48% since </w:t>
      </w:r>
      <w:r w:rsidR="00E7037A" w:rsidRPr="00ED2B1F">
        <w:t>2009</w:t>
      </w:r>
      <w:r w:rsidR="00E7037A" w:rsidRPr="00ED2B1F">
        <w:rPr>
          <w:rFonts w:cs="Segoe UI"/>
          <w:vertAlign w:val="superscript"/>
        </w:rPr>
        <w:footnoteReference w:id="21"/>
      </w:r>
      <w:r w:rsidR="00E7037A" w:rsidRPr="00ED2B1F">
        <w:t xml:space="preserve"> </w:t>
      </w:r>
      <w:r>
        <w:t>(</w:t>
      </w:r>
      <w:r>
        <w:fldChar w:fldCharType="begin"/>
      </w:r>
      <w:r>
        <w:instrText xml:space="preserve"> REF _Ref221728726 \h </w:instrText>
      </w:r>
      <w:r>
        <w:fldChar w:fldCharType="separate"/>
      </w:r>
      <w:r w:rsidR="00484E57" w:rsidRPr="00ED2B1F">
        <w:t>Figure </w:t>
      </w:r>
      <w:r w:rsidR="00484E57">
        <w:rPr>
          <w:noProof/>
        </w:rPr>
        <w:t>15</w:t>
      </w:r>
      <w:r>
        <w:fldChar w:fldCharType="end"/>
      </w:r>
      <w:r>
        <w:t>) and by 20% compared with 2022/23.</w:t>
      </w:r>
    </w:p>
    <w:p w14:paraId="296C02B9" w14:textId="77777777" w:rsidR="00CB20B9" w:rsidRDefault="00CB20B9" w:rsidP="00E7037A">
      <w:pPr>
        <w:pStyle w:val="Bullet"/>
        <w:spacing w:before="80"/>
      </w:pPr>
      <w:r>
        <w:t>In contrast, the number of Māori who have been secluded has decreased by 18% since 2009. However, it decreased by 20% compared with 2022/23.</w:t>
      </w:r>
    </w:p>
    <w:p w14:paraId="2FB129AE" w14:textId="109A2487" w:rsidR="00CB20B9" w:rsidRDefault="00CB20B9" w:rsidP="00E7037A">
      <w:pPr>
        <w:pStyle w:val="Bullet"/>
        <w:spacing w:before="80"/>
      </w:pPr>
      <w:r>
        <w:t>Since 2009, the total number of hours spent in seclusion has decreased by 73% (</w:t>
      </w:r>
      <w:r>
        <w:fldChar w:fldCharType="begin"/>
      </w:r>
      <w:r>
        <w:instrText xml:space="preserve"> REF _Ref224043928 \h </w:instrText>
      </w:r>
      <w:r>
        <w:fldChar w:fldCharType="separate"/>
      </w:r>
      <w:r w:rsidR="00484E57" w:rsidRPr="00ED2B1F">
        <w:t>Figure </w:t>
      </w:r>
      <w:r w:rsidR="00484E57">
        <w:rPr>
          <w:noProof/>
        </w:rPr>
        <w:t>16</w:t>
      </w:r>
      <w:r>
        <w:fldChar w:fldCharType="end"/>
      </w:r>
      <w:r>
        <w:t xml:space="preserve">). Compared with 2022/23, the total number of hours spent in seclusion has decreased by 24%. </w:t>
      </w:r>
    </w:p>
    <w:p w14:paraId="3A98D413" w14:textId="77777777" w:rsidR="00CB20B9" w:rsidRDefault="00CB20B9" w:rsidP="00E7037A">
      <w:pPr>
        <w:pStyle w:val="Bullet"/>
        <w:spacing w:before="80"/>
      </w:pPr>
      <w:r>
        <w:t xml:space="preserve">Of all seclusion events, 70% lasted for less than 24 hours and 16% lasted for longer than 48 hours. </w:t>
      </w:r>
    </w:p>
    <w:p w14:paraId="140CAAE8" w14:textId="77777777" w:rsidR="00CB20B9" w:rsidRDefault="00CB20B9" w:rsidP="00E7037A">
      <w:pPr>
        <w:pStyle w:val="Bullet"/>
        <w:spacing w:before="80"/>
      </w:pPr>
      <w:r>
        <w:t>Males were more than twice as likely as females to be secluded.</w:t>
      </w:r>
    </w:p>
    <w:p w14:paraId="45053D21" w14:textId="77777777" w:rsidR="00CB20B9" w:rsidRDefault="00CB20B9" w:rsidP="00E7037A">
      <w:pPr>
        <w:pStyle w:val="Bullet"/>
        <w:spacing w:before="80"/>
      </w:pPr>
      <w:r>
        <w:t>People aged 25–34 years were more likely than other age groups to be secluded.</w:t>
      </w:r>
    </w:p>
    <w:p w14:paraId="7506F353" w14:textId="77777777" w:rsidR="00CB20B9" w:rsidRDefault="00CB20B9" w:rsidP="00E7037A">
      <w:pPr>
        <w:pStyle w:val="Bullet"/>
        <w:spacing w:before="80"/>
      </w:pPr>
      <w:r>
        <w:lastRenderedPageBreak/>
        <w:t xml:space="preserve">Māori were more likely than non-Māori to be secluded. They also had more seclusion events, on average, and had longer periods of seclusion. </w:t>
      </w:r>
    </w:p>
    <w:p w14:paraId="26B1BD47" w14:textId="77777777" w:rsidR="00CB20B9" w:rsidRDefault="00CB20B9" w:rsidP="00E7037A">
      <w:pPr>
        <w:pStyle w:val="Bullet"/>
        <w:ind w:right="-143"/>
      </w:pPr>
      <w:r>
        <w:t>On average, adult inpatient units had 4.8 seclusion events for every 1,000 bed nights.</w:t>
      </w:r>
    </w:p>
    <w:p w14:paraId="524EF297" w14:textId="1F0D1474" w:rsidR="00463C26" w:rsidRDefault="00CB20B9" w:rsidP="00CB20B9">
      <w:pPr>
        <w:pStyle w:val="Bullet"/>
      </w:pPr>
      <w:r>
        <w:t>Of the 10,324 admissions to adult inpatient units, 665 (6.4%) had seclusion recorded at some point during the patient’s stay.</w:t>
      </w:r>
    </w:p>
    <w:p w14:paraId="3FB06484" w14:textId="77777777" w:rsidR="00C103C7" w:rsidRPr="00ED2B1F" w:rsidRDefault="00C103C7" w:rsidP="00C103C7"/>
    <w:p w14:paraId="33EC19E5" w14:textId="6D3AF13B" w:rsidR="00463C26" w:rsidRPr="00ED2B1F" w:rsidRDefault="00463C26" w:rsidP="00C103C7">
      <w:pPr>
        <w:pStyle w:val="Figure"/>
      </w:pPr>
      <w:bookmarkStart w:id="244" w:name="_Ref221728726"/>
      <w:bookmarkStart w:id="245" w:name="_Toc224638187"/>
      <w:r w:rsidRPr="00ED2B1F">
        <w:t>Figure </w:t>
      </w:r>
      <w:r w:rsidRPr="00ED2B1F">
        <w:fldChar w:fldCharType="begin"/>
      </w:r>
      <w:r w:rsidRPr="00ED2B1F">
        <w:instrText>SEQ Figure \* ARABIC</w:instrText>
      </w:r>
      <w:r w:rsidRPr="00ED2B1F">
        <w:fldChar w:fldCharType="separate"/>
      </w:r>
      <w:r w:rsidR="00484E57">
        <w:rPr>
          <w:noProof/>
        </w:rPr>
        <w:t>15</w:t>
      </w:r>
      <w:r w:rsidRPr="00ED2B1F">
        <w:fldChar w:fldCharType="end"/>
      </w:r>
      <w:bookmarkEnd w:id="244"/>
      <w:r w:rsidRPr="00ED2B1F">
        <w:t>: Number of people secluded in adult inpatient services nationally, 2007 to 2023/</w:t>
      </w:r>
      <w:r w:rsidR="007A1787" w:rsidRPr="00ED2B1F">
        <w:t>2</w:t>
      </w:r>
      <w:r w:rsidRPr="00ED2B1F">
        <w:t>4</w:t>
      </w:r>
      <w:bookmarkEnd w:id="245"/>
    </w:p>
    <w:p w14:paraId="03AA33F9" w14:textId="78E3EE00" w:rsidR="00463C26" w:rsidRPr="00ED2B1F" w:rsidRDefault="00CC12F1" w:rsidP="00463C26">
      <w:r>
        <w:rPr>
          <w:noProof/>
        </w:rPr>
        <w:drawing>
          <wp:inline distT="0" distB="0" distL="0" distR="0" wp14:anchorId="2031CA6B" wp14:editId="0ADD4E2B">
            <wp:extent cx="4794904" cy="2659380"/>
            <wp:effectExtent l="0" t="0" r="5715" b="7620"/>
            <wp:docPr id="164757783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7830" name="Picture 16">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5808" cy="2665428"/>
                    </a:xfrm>
                    <a:prstGeom prst="rect">
                      <a:avLst/>
                    </a:prstGeom>
                    <a:noFill/>
                  </pic:spPr>
                </pic:pic>
              </a:graphicData>
            </a:graphic>
          </wp:inline>
        </w:drawing>
      </w:r>
    </w:p>
    <w:p w14:paraId="33987967" w14:textId="77777777" w:rsidR="00463C26" w:rsidRPr="00ED2B1F" w:rsidRDefault="00463C26" w:rsidP="00C103C7">
      <w:pPr>
        <w:pStyle w:val="Note"/>
      </w:pPr>
      <w:r w:rsidRPr="00ED2B1F">
        <w:t>Notes: The data excludes forensic inpatient services and regional intellectual disability secure services. All years before 2020/21 are calendar years.</w:t>
      </w:r>
    </w:p>
    <w:p w14:paraId="7B7622C1" w14:textId="77777777" w:rsidR="00463C26" w:rsidRPr="00ED2B1F" w:rsidRDefault="00463C26" w:rsidP="00C103C7">
      <w:pPr>
        <w:pStyle w:val="Source"/>
      </w:pPr>
      <w:r w:rsidRPr="00ED2B1F">
        <w:t>Sources: PRIMHD data (extracted 10 June 2025) and manual data from Health New Zealand Canterbury, Southern, Waikato and Waitematā.</w:t>
      </w:r>
    </w:p>
    <w:p w14:paraId="7E204B1C" w14:textId="77777777" w:rsidR="00463C26" w:rsidRPr="00ED2B1F" w:rsidRDefault="00463C26" w:rsidP="00463C26">
      <w:pPr>
        <w:rPr>
          <w:rFonts w:cs="Segoe UI"/>
        </w:rPr>
      </w:pPr>
    </w:p>
    <w:p w14:paraId="0A0CD1D7" w14:textId="2BDEC83B" w:rsidR="005C1CEE" w:rsidRPr="00ED2B1F" w:rsidRDefault="005C1CEE" w:rsidP="005C1CEE">
      <w:pPr>
        <w:pStyle w:val="Figure"/>
      </w:pPr>
      <w:bookmarkStart w:id="246" w:name="_Ref224043928"/>
      <w:bookmarkStart w:id="247" w:name="_Toc224638188"/>
      <w:bookmarkStart w:id="248" w:name="_Ref221728862"/>
      <w:r w:rsidRPr="00ED2B1F">
        <w:t>Figure </w:t>
      </w:r>
      <w:r w:rsidRPr="00ED2B1F">
        <w:fldChar w:fldCharType="begin"/>
      </w:r>
      <w:r w:rsidRPr="00ED2B1F">
        <w:instrText>SEQ Figure \* ARABIC</w:instrText>
      </w:r>
      <w:r w:rsidRPr="00ED2B1F">
        <w:fldChar w:fldCharType="separate"/>
      </w:r>
      <w:r w:rsidR="00484E57">
        <w:rPr>
          <w:noProof/>
        </w:rPr>
        <w:t>16</w:t>
      </w:r>
      <w:r w:rsidRPr="00ED2B1F">
        <w:fldChar w:fldCharType="end"/>
      </w:r>
      <w:bookmarkEnd w:id="246"/>
      <w:r w:rsidRPr="00ED2B1F">
        <w:t>: Number of seclusion hours in adult inpatient services nationally, 2007 to 2023/24</w:t>
      </w:r>
      <w:bookmarkEnd w:id="247"/>
    </w:p>
    <w:p w14:paraId="28DAEB64" w14:textId="75AE2606" w:rsidR="005C1CEE" w:rsidRPr="00ED2B1F" w:rsidRDefault="00B05CA9" w:rsidP="005C1CEE">
      <w:r>
        <w:rPr>
          <w:noProof/>
        </w:rPr>
        <w:drawing>
          <wp:inline distT="0" distB="0" distL="0" distR="0" wp14:anchorId="53AD0B59" wp14:editId="2A9E1160">
            <wp:extent cx="4907280" cy="2855498"/>
            <wp:effectExtent l="0" t="0" r="7620" b="2540"/>
            <wp:docPr id="1312769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69757"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3393" cy="2864874"/>
                    </a:xfrm>
                    <a:prstGeom prst="rect">
                      <a:avLst/>
                    </a:prstGeom>
                    <a:noFill/>
                  </pic:spPr>
                </pic:pic>
              </a:graphicData>
            </a:graphic>
          </wp:inline>
        </w:drawing>
      </w:r>
    </w:p>
    <w:bookmarkEnd w:id="248"/>
    <w:p w14:paraId="05DE39ED" w14:textId="6294B478" w:rsidR="00463C26" w:rsidRPr="006D2F3F" w:rsidRDefault="00463C26" w:rsidP="006D2F3F">
      <w:pPr>
        <w:pStyle w:val="Note"/>
      </w:pPr>
      <w:r w:rsidRPr="00ED2B1F">
        <w:t xml:space="preserve">Notes: The data excludes forensic inpatient services and regional intellectual disability secure services. All </w:t>
      </w:r>
      <w:r w:rsidRPr="006D2F3F">
        <w:t>years before 2020/21 are calendar years.</w:t>
      </w:r>
    </w:p>
    <w:p w14:paraId="3960DF89" w14:textId="77777777" w:rsidR="00463C26" w:rsidRPr="00ED2B1F" w:rsidRDefault="00463C26" w:rsidP="006D2F3F">
      <w:pPr>
        <w:pStyle w:val="Source"/>
      </w:pPr>
      <w:r w:rsidRPr="00ED2B1F">
        <w:t>Sources: PRIMHD data (extracted 10 June 2025) and manual data from Health New Zealand Canterbury, Southern, Waikato and Waitematā.</w:t>
      </w:r>
    </w:p>
    <w:p w14:paraId="546C6B93" w14:textId="23C4C552" w:rsidR="00463C26" w:rsidRPr="00ED2B1F" w:rsidRDefault="00463C26" w:rsidP="007A34A3">
      <w:pPr>
        <w:pStyle w:val="Heading2"/>
      </w:pPr>
      <w:bookmarkStart w:id="249" w:name="_Toc224638096"/>
      <w:r w:rsidRPr="00C103C7">
        <w:lastRenderedPageBreak/>
        <w:t>Seclusion in New Zealand mental health services</w:t>
      </w:r>
      <w:bookmarkEnd w:id="249"/>
    </w:p>
    <w:p w14:paraId="5E67DA51" w14:textId="4CC1DC4F" w:rsidR="00463C26" w:rsidRPr="00ED2B1F" w:rsidRDefault="00463C26" w:rsidP="00463C26">
      <w:pPr>
        <w:rPr>
          <w:rFonts w:cs="Segoe UI"/>
        </w:rPr>
      </w:pPr>
      <w:r w:rsidRPr="00ED2B1F">
        <w:rPr>
          <w:rFonts w:cs="Segoe UI"/>
        </w:rPr>
        <w:t>In the 2023/24 financial year, New Zealand adult mental health services</w:t>
      </w:r>
      <w:r w:rsidR="00992464" w:rsidRPr="00ED2B1F">
        <w:rPr>
          <w:vertAlign w:val="superscript"/>
        </w:rPr>
        <w:footnoteReference w:id="22"/>
      </w:r>
      <w:r w:rsidRPr="00ED2B1F">
        <w:rPr>
          <w:rFonts w:cs="Segoe UI"/>
        </w:rPr>
        <w:t xml:space="preserve"> (excluding forensic and other regional rehabilitation services) accommodated 7,042 people for a total of 220,898 bed nights. Of these, 561 people (8%) were secluded at some stage during the reporting period. Māori were more likely to be secluded than other groups, making up 55% of all adults secluded.</w:t>
      </w:r>
      <w:r w:rsidR="00514494" w:rsidRPr="00ED2B1F">
        <w:rPr>
          <w:rFonts w:cs="Segoe UI"/>
        </w:rPr>
        <w:t xml:space="preserve"> For context, Māori make up 17% of the general population.</w:t>
      </w:r>
    </w:p>
    <w:p w14:paraId="512F2F30" w14:textId="77777777" w:rsidR="00463C26" w:rsidRPr="00ED2B1F" w:rsidRDefault="00463C26" w:rsidP="00463C26">
      <w:pPr>
        <w:rPr>
          <w:rFonts w:cs="Segoe UI"/>
        </w:rPr>
      </w:pPr>
    </w:p>
    <w:p w14:paraId="1A323582" w14:textId="2C0C3F67" w:rsidR="00463C26" w:rsidRPr="00ED2B1F" w:rsidRDefault="00463C26" w:rsidP="00463C26">
      <w:pPr>
        <w:rPr>
          <w:rFonts w:cs="Segoe UI"/>
        </w:rPr>
      </w:pPr>
      <w:r w:rsidRPr="00ED2B1F">
        <w:rPr>
          <w:rFonts w:cs="Segoe UI"/>
        </w:rPr>
        <w:t>Many were secluded more than once (on average, 1.9 times). For this reason, the number of seclusion events in adult inpatient services (1,050) was higher than the number of people secluded. The</w:t>
      </w:r>
      <w:r w:rsidR="00C7790D" w:rsidRPr="00ED2B1F">
        <w:rPr>
          <w:rFonts w:cs="Segoe UI"/>
        </w:rPr>
        <w:t xml:space="preserve"> 2024</w:t>
      </w:r>
      <w:r w:rsidRPr="00ED2B1F">
        <w:rPr>
          <w:rFonts w:cs="Segoe UI"/>
        </w:rPr>
        <w:t xml:space="preserve"> seclusion </w:t>
      </w:r>
      <w:r w:rsidR="00C7790D" w:rsidRPr="00ED2B1F">
        <w:rPr>
          <w:rFonts w:cs="Segoe UI"/>
        </w:rPr>
        <w:t>guidelines</w:t>
      </w:r>
      <w:r w:rsidRPr="00ED2B1F">
        <w:rPr>
          <w:rFonts w:cs="Segoe UI"/>
        </w:rPr>
        <w:t xml:space="preserve"> help to explain this trend in that </w:t>
      </w:r>
      <w:r w:rsidR="00F76F39" w:rsidRPr="00ED2B1F">
        <w:rPr>
          <w:rFonts w:cs="Segoe UI"/>
        </w:rPr>
        <w:t xml:space="preserve">they encourage </w:t>
      </w:r>
      <w:r w:rsidRPr="00ED2B1F">
        <w:rPr>
          <w:rFonts w:cs="Segoe UI"/>
        </w:rPr>
        <w:t xml:space="preserve">services to support patients to exit seclusion rather than secluding them for a longer single session. If </w:t>
      </w:r>
      <w:r w:rsidR="00CA77CF" w:rsidRPr="00ED2B1F">
        <w:rPr>
          <w:rFonts w:cs="Segoe UI"/>
        </w:rPr>
        <w:t>a</w:t>
      </w:r>
      <w:r w:rsidRPr="00ED2B1F">
        <w:rPr>
          <w:rFonts w:cs="Segoe UI"/>
        </w:rPr>
        <w:t xml:space="preserve"> transition out of seclusion is not successful, </w:t>
      </w:r>
      <w:r w:rsidR="00CA77CF" w:rsidRPr="00ED2B1F">
        <w:rPr>
          <w:rFonts w:cs="Segoe UI"/>
        </w:rPr>
        <w:t xml:space="preserve">a patient </w:t>
      </w:r>
      <w:r w:rsidRPr="00ED2B1F">
        <w:rPr>
          <w:rFonts w:cs="Segoe UI"/>
        </w:rPr>
        <w:t xml:space="preserve">may be secluded again, with the result that </w:t>
      </w:r>
      <w:r w:rsidR="00CA77CF" w:rsidRPr="00ED2B1F">
        <w:rPr>
          <w:rFonts w:cs="Segoe UI"/>
        </w:rPr>
        <w:t>they</w:t>
      </w:r>
      <w:r w:rsidRPr="00ED2B1F">
        <w:rPr>
          <w:rFonts w:cs="Segoe UI"/>
        </w:rPr>
        <w:t xml:space="preserve"> could have several seclusion events. </w:t>
      </w:r>
    </w:p>
    <w:p w14:paraId="133B7360" w14:textId="77777777" w:rsidR="00463C26" w:rsidRPr="00ED2B1F" w:rsidRDefault="00463C26" w:rsidP="00463C26">
      <w:pPr>
        <w:rPr>
          <w:rFonts w:cs="Segoe UI"/>
        </w:rPr>
      </w:pPr>
    </w:p>
    <w:p w14:paraId="6AC5F7B9" w14:textId="2EF96EC7" w:rsidR="00463C26" w:rsidRPr="00ED2B1F" w:rsidRDefault="00463C26" w:rsidP="00463C26">
      <w:pPr>
        <w:rPr>
          <w:rFonts w:cs="Segoe UI"/>
        </w:rPr>
      </w:pPr>
      <w:r w:rsidRPr="00ED2B1F">
        <w:rPr>
          <w:rFonts w:cs="Segoe UI"/>
        </w:rPr>
        <w:t xml:space="preserve">There were 4.8 seclusion events per 1,000 bed nights </w:t>
      </w:r>
      <w:r w:rsidR="00CA77CF" w:rsidRPr="00ED2B1F">
        <w:rPr>
          <w:rFonts w:cs="Segoe UI"/>
        </w:rPr>
        <w:t xml:space="preserve">on average </w:t>
      </w:r>
      <w:r w:rsidRPr="00ED2B1F">
        <w:rPr>
          <w:rFonts w:cs="Segoe UI"/>
        </w:rPr>
        <w:t>in adult inpatient units. This means that nationally and on average, for every 1,000 bed nights a person spent in an inpatient unit, they would have 4.8 seclusion events.</w:t>
      </w:r>
    </w:p>
    <w:p w14:paraId="47BD69D8" w14:textId="77777777" w:rsidR="00463C26" w:rsidRPr="00ED2B1F" w:rsidRDefault="00463C26" w:rsidP="00463C26">
      <w:pPr>
        <w:rPr>
          <w:rFonts w:cs="Segoe UI"/>
        </w:rPr>
      </w:pPr>
    </w:p>
    <w:p w14:paraId="48926433" w14:textId="77777777" w:rsidR="00463C26" w:rsidRPr="00ED2B1F" w:rsidRDefault="00463C26" w:rsidP="00463C26">
      <w:pPr>
        <w:rPr>
          <w:rFonts w:cs="Segoe UI"/>
        </w:rPr>
      </w:pPr>
      <w:r w:rsidRPr="00ED2B1F">
        <w:rPr>
          <w:rFonts w:cs="Segoe UI"/>
        </w:rPr>
        <w:t xml:space="preserve">Across all inpatient services, including forensic, intellectual disability and youth services, 755 people experienced at least one seclusion event. Of those people, 69% were male and 31% were female. </w:t>
      </w:r>
    </w:p>
    <w:p w14:paraId="331AE579" w14:textId="77777777" w:rsidR="00463C26" w:rsidRPr="00ED2B1F" w:rsidRDefault="00463C26" w:rsidP="00463C26">
      <w:pPr>
        <w:rPr>
          <w:rFonts w:cs="Segoe UI"/>
        </w:rPr>
      </w:pPr>
    </w:p>
    <w:p w14:paraId="29E230D8" w14:textId="1B04FF9A" w:rsidR="00463C26" w:rsidRDefault="00463C26" w:rsidP="00463C26">
      <w:pPr>
        <w:rPr>
          <w:rFonts w:cs="Segoe UI"/>
        </w:rPr>
      </w:pPr>
      <w:r w:rsidRPr="00ED2B1F">
        <w:rPr>
          <w:rFonts w:cs="Segoe UI"/>
        </w:rPr>
        <w:t xml:space="preserve">As </w:t>
      </w:r>
      <w:r w:rsidR="007A34A3">
        <w:rPr>
          <w:rFonts w:cs="Segoe UI"/>
        </w:rPr>
        <w:fldChar w:fldCharType="begin"/>
      </w:r>
      <w:r w:rsidR="007A34A3">
        <w:rPr>
          <w:rFonts w:cs="Segoe UI"/>
        </w:rPr>
        <w:instrText xml:space="preserve"> REF Figure17 \h </w:instrText>
      </w:r>
      <w:r w:rsidR="007A34A3">
        <w:rPr>
          <w:rFonts w:cs="Segoe UI"/>
        </w:rPr>
      </w:r>
      <w:r w:rsidR="007A34A3">
        <w:rPr>
          <w:rFonts w:cs="Segoe UI"/>
        </w:rPr>
        <w:fldChar w:fldCharType="separate"/>
      </w:r>
      <w:r w:rsidR="00484E57" w:rsidRPr="00ED2B1F">
        <w:t>Figure </w:t>
      </w:r>
      <w:r w:rsidR="00484E57">
        <w:rPr>
          <w:noProof/>
        </w:rPr>
        <w:t>17</w:t>
      </w:r>
      <w:r w:rsidR="007A34A3">
        <w:rPr>
          <w:rFonts w:cs="Segoe UI"/>
        </w:rPr>
        <w:fldChar w:fldCharType="end"/>
      </w:r>
      <w:r w:rsidR="007A34A3">
        <w:rPr>
          <w:rFonts w:cs="Segoe UI"/>
        </w:rPr>
        <w:t xml:space="preserve"> and </w:t>
      </w:r>
      <w:r w:rsidR="007A34A3">
        <w:rPr>
          <w:rFonts w:cs="Segoe UI"/>
        </w:rPr>
        <w:fldChar w:fldCharType="begin"/>
      </w:r>
      <w:r w:rsidR="007A34A3">
        <w:rPr>
          <w:rFonts w:cs="Segoe UI"/>
        </w:rPr>
        <w:instrText xml:space="preserve"> REF Figure18 \h </w:instrText>
      </w:r>
      <w:r w:rsidR="007A34A3">
        <w:rPr>
          <w:rFonts w:cs="Segoe UI"/>
        </w:rPr>
      </w:r>
      <w:r w:rsidR="007A34A3">
        <w:rPr>
          <w:rFonts w:cs="Segoe UI"/>
        </w:rPr>
        <w:fldChar w:fldCharType="separate"/>
      </w:r>
      <w:r w:rsidR="00484E57" w:rsidRPr="00ED2B1F">
        <w:t>Figure </w:t>
      </w:r>
      <w:r w:rsidR="00484E57">
        <w:rPr>
          <w:noProof/>
        </w:rPr>
        <w:t>18</w:t>
      </w:r>
      <w:r w:rsidR="007A34A3">
        <w:rPr>
          <w:rFonts w:cs="Segoe UI"/>
        </w:rPr>
        <w:fldChar w:fldCharType="end"/>
      </w:r>
      <w:r w:rsidR="007A34A3">
        <w:rPr>
          <w:rFonts w:cs="Segoe UI"/>
        </w:rPr>
        <w:t xml:space="preserve"> </w:t>
      </w:r>
      <w:r w:rsidR="00766859" w:rsidRPr="00ED2B1F">
        <w:rPr>
          <w:rFonts w:cs="Segoe UI"/>
        </w:rPr>
        <w:t>s</w:t>
      </w:r>
      <w:r w:rsidRPr="00ED2B1F">
        <w:rPr>
          <w:rFonts w:cs="Segoe UI"/>
        </w:rPr>
        <w:t xml:space="preserve">how, the most common age group for those secluded was </w:t>
      </w:r>
      <w:r w:rsidR="00214421" w:rsidRPr="00ED2B1F">
        <w:rPr>
          <w:rFonts w:cs="Segoe UI"/>
        </w:rPr>
        <w:t>30</w:t>
      </w:r>
      <w:r w:rsidR="003F70E3" w:rsidRPr="00ED2B1F">
        <w:t>–</w:t>
      </w:r>
      <w:r w:rsidRPr="00ED2B1F">
        <w:rPr>
          <w:rFonts w:cs="Segoe UI"/>
        </w:rPr>
        <w:t xml:space="preserve">34 years. A total of 67 young people (aged 19 years and under) experienced 225 seclusion events across mental health and intellectual disability services during the year. </w:t>
      </w:r>
      <w:r w:rsidR="00214421" w:rsidRPr="00ED2B1F">
        <w:rPr>
          <w:rFonts w:cs="Segoe UI"/>
        </w:rPr>
        <w:fldChar w:fldCharType="begin"/>
      </w:r>
      <w:r w:rsidR="00214421" w:rsidRPr="00ED2B1F">
        <w:rPr>
          <w:rFonts w:cs="Segoe UI"/>
        </w:rPr>
        <w:instrText xml:space="preserve"> REF _Ref219293634 \h </w:instrText>
      </w:r>
      <w:r w:rsidR="00214421" w:rsidRPr="00ED2B1F">
        <w:rPr>
          <w:rFonts w:cs="Segoe UI"/>
        </w:rPr>
      </w:r>
      <w:r w:rsidR="00214421" w:rsidRPr="00ED2B1F">
        <w:rPr>
          <w:rFonts w:cs="Segoe UI"/>
        </w:rPr>
        <w:fldChar w:fldCharType="separate"/>
      </w:r>
      <w:r w:rsidR="00484E57" w:rsidRPr="00ED2B1F">
        <w:t>Figure </w:t>
      </w:r>
      <w:r w:rsidR="00484E57">
        <w:rPr>
          <w:noProof/>
        </w:rPr>
        <w:t>18</w:t>
      </w:r>
      <w:r w:rsidR="00214421" w:rsidRPr="00ED2B1F">
        <w:rPr>
          <w:rFonts w:cs="Segoe UI"/>
        </w:rPr>
        <w:fldChar w:fldCharType="end"/>
      </w:r>
      <w:r w:rsidRPr="00ED2B1F">
        <w:rPr>
          <w:rFonts w:cs="Segoe UI"/>
        </w:rPr>
        <w:t xml:space="preserve"> presents the age group seclusion data as rates per 100,000 population to </w:t>
      </w:r>
      <w:r w:rsidR="00CA77CF" w:rsidRPr="00ED2B1F">
        <w:rPr>
          <w:rFonts w:cs="Segoe UI"/>
        </w:rPr>
        <w:t xml:space="preserve">more clearly </w:t>
      </w:r>
      <w:r w:rsidRPr="00ED2B1F">
        <w:rPr>
          <w:rFonts w:cs="Segoe UI"/>
        </w:rPr>
        <w:t>demonstrate the differences between them.</w:t>
      </w:r>
    </w:p>
    <w:p w14:paraId="36E2C58B" w14:textId="77777777" w:rsidR="006D2F3F" w:rsidRPr="00ED2B1F" w:rsidRDefault="006D2F3F" w:rsidP="00463C26">
      <w:pPr>
        <w:rPr>
          <w:rFonts w:cs="Segoe UI"/>
        </w:rPr>
      </w:pPr>
    </w:p>
    <w:p w14:paraId="08D4668A" w14:textId="26A18105" w:rsidR="00463C26" w:rsidRPr="00ED2B1F" w:rsidRDefault="00463C26" w:rsidP="00C103C7">
      <w:pPr>
        <w:pStyle w:val="Figure"/>
      </w:pPr>
      <w:bookmarkStart w:id="250" w:name="_Ref219293664"/>
      <w:bookmarkStart w:id="251" w:name="Figure17"/>
      <w:bookmarkStart w:id="252" w:name="_Toc224638189"/>
      <w:r w:rsidRPr="00ED2B1F">
        <w:lastRenderedPageBreak/>
        <w:t>Figure </w:t>
      </w:r>
      <w:r w:rsidRPr="00ED2B1F">
        <w:fldChar w:fldCharType="begin"/>
      </w:r>
      <w:r w:rsidRPr="00ED2B1F">
        <w:instrText>SEQ Figure \* ARABIC</w:instrText>
      </w:r>
      <w:r w:rsidRPr="00ED2B1F">
        <w:fldChar w:fldCharType="separate"/>
      </w:r>
      <w:r w:rsidR="00484E57">
        <w:rPr>
          <w:noProof/>
        </w:rPr>
        <w:t>17</w:t>
      </w:r>
      <w:r w:rsidRPr="00ED2B1F">
        <w:fldChar w:fldCharType="end"/>
      </w:r>
      <w:bookmarkEnd w:id="250"/>
      <w:bookmarkEnd w:id="251"/>
      <w:r w:rsidRPr="00ED2B1F">
        <w:t>: Number of people secluded across all inpatient services (adult, forensic, intellectual disability and youth), by age group, 1 July 2023 to 30 June 2024</w:t>
      </w:r>
      <w:bookmarkEnd w:id="252"/>
    </w:p>
    <w:p w14:paraId="576E632B" w14:textId="178931C9" w:rsidR="00463C26" w:rsidRPr="00ED2B1F" w:rsidRDefault="00CC12F1" w:rsidP="00463C26">
      <w:r>
        <w:rPr>
          <w:noProof/>
        </w:rPr>
        <w:drawing>
          <wp:inline distT="0" distB="0" distL="0" distR="0" wp14:anchorId="3EF175A3" wp14:editId="6ADFFA93">
            <wp:extent cx="5133340" cy="2468880"/>
            <wp:effectExtent l="0" t="0" r="0" b="7620"/>
            <wp:docPr id="25863541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5416" name="Picture 1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340" cy="2468880"/>
                    </a:xfrm>
                    <a:prstGeom prst="rect">
                      <a:avLst/>
                    </a:prstGeom>
                    <a:noFill/>
                  </pic:spPr>
                </pic:pic>
              </a:graphicData>
            </a:graphic>
          </wp:inline>
        </w:drawing>
      </w:r>
    </w:p>
    <w:p w14:paraId="40DF5AD0" w14:textId="56ACD33F" w:rsidR="00463C26" w:rsidRPr="00ED2B1F" w:rsidRDefault="00463C26" w:rsidP="006D2F3F">
      <w:pPr>
        <w:pStyle w:val="Note"/>
      </w:pPr>
      <w:r w:rsidRPr="00ED2B1F">
        <w:t>Note: The data includes patients treated in regional intellectual disability secure services, but excludes the eight individuals</w:t>
      </w:r>
      <w:r w:rsidR="00751CBC">
        <w:t xml:space="preserve"> who</w:t>
      </w:r>
      <w:r w:rsidRPr="00ED2B1F">
        <w:t xml:space="preserve"> </w:t>
      </w:r>
      <w:r w:rsidR="00751CBC">
        <w:t xml:space="preserve">had </w:t>
      </w:r>
      <w:r w:rsidR="003E3474" w:rsidRPr="003E3474">
        <w:t>experienced prolonged and/or frequent periods of seclusion.</w:t>
      </w:r>
    </w:p>
    <w:p w14:paraId="53ABB082" w14:textId="77777777" w:rsidR="00463C26" w:rsidRPr="00ED2B1F" w:rsidRDefault="00463C26" w:rsidP="006D2F3F">
      <w:pPr>
        <w:pStyle w:val="Source"/>
      </w:pPr>
      <w:r w:rsidRPr="00ED2B1F">
        <w:t>Sources: PRIMHD data (extracted 10 June 2025) and manual data from Health New Zealand Canterbury, Southern, Waikato and Waitematā.</w:t>
      </w:r>
    </w:p>
    <w:p w14:paraId="7C9F47FC" w14:textId="77777777" w:rsidR="00463C26" w:rsidRPr="00ED2B1F" w:rsidRDefault="00463C26" w:rsidP="00463C26">
      <w:pPr>
        <w:rPr>
          <w:rFonts w:cs="Segoe UI"/>
        </w:rPr>
      </w:pPr>
    </w:p>
    <w:p w14:paraId="059989CF" w14:textId="66F01998" w:rsidR="00463C26" w:rsidRPr="00ED2B1F" w:rsidRDefault="00463C26" w:rsidP="00C103C7">
      <w:pPr>
        <w:pStyle w:val="Figure"/>
      </w:pPr>
      <w:bookmarkStart w:id="253" w:name="_Ref219293634"/>
      <w:bookmarkStart w:id="254" w:name="Figure18"/>
      <w:bookmarkStart w:id="255" w:name="_Toc224638190"/>
      <w:r w:rsidRPr="00ED2B1F">
        <w:t>Figure </w:t>
      </w:r>
      <w:r w:rsidRPr="00ED2B1F">
        <w:fldChar w:fldCharType="begin"/>
      </w:r>
      <w:r w:rsidRPr="00ED2B1F">
        <w:instrText>SEQ Figure \* ARABIC</w:instrText>
      </w:r>
      <w:r w:rsidRPr="00ED2B1F">
        <w:fldChar w:fldCharType="separate"/>
      </w:r>
      <w:r w:rsidR="00484E57">
        <w:rPr>
          <w:noProof/>
        </w:rPr>
        <w:t>18</w:t>
      </w:r>
      <w:r w:rsidRPr="00ED2B1F">
        <w:fldChar w:fldCharType="end"/>
      </w:r>
      <w:bookmarkEnd w:id="253"/>
      <w:bookmarkEnd w:id="254"/>
      <w:r w:rsidRPr="00ED2B1F">
        <w:t>: Rate of people secluded across all inpatient services (adult, forensic, intellectual disability and youth) per 100,000 population, by age group, 1 July 2023 to 30 June 2024</w:t>
      </w:r>
      <w:bookmarkEnd w:id="255"/>
    </w:p>
    <w:p w14:paraId="6E487608" w14:textId="3204BC99" w:rsidR="00463C26" w:rsidRPr="00ED2B1F" w:rsidRDefault="00CC12F1" w:rsidP="00463C26">
      <w:r>
        <w:rPr>
          <w:noProof/>
        </w:rPr>
        <w:drawing>
          <wp:inline distT="0" distB="0" distL="0" distR="0" wp14:anchorId="047A336E" wp14:editId="2D9CB9B0">
            <wp:extent cx="5133340" cy="2390140"/>
            <wp:effectExtent l="0" t="0" r="0" b="0"/>
            <wp:docPr id="4720070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0708" name="Picture 1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3340" cy="2390140"/>
                    </a:xfrm>
                    <a:prstGeom prst="rect">
                      <a:avLst/>
                    </a:prstGeom>
                    <a:noFill/>
                  </pic:spPr>
                </pic:pic>
              </a:graphicData>
            </a:graphic>
          </wp:inline>
        </w:drawing>
      </w:r>
    </w:p>
    <w:p w14:paraId="6CE4F4B5" w14:textId="50FCCAC2" w:rsidR="00463C26" w:rsidRPr="00ED2B1F" w:rsidRDefault="00463C26" w:rsidP="006D2F3F">
      <w:pPr>
        <w:pStyle w:val="Note"/>
      </w:pPr>
      <w:r w:rsidRPr="00ED2B1F">
        <w:t xml:space="preserve">Note: The data includes patients treated in regional intellectual disability secure services, but excludes the eight individuals </w:t>
      </w:r>
      <w:r w:rsidR="00526393" w:rsidRPr="00ED2B1F">
        <w:t xml:space="preserve">who </w:t>
      </w:r>
      <w:r w:rsidR="00751CBC">
        <w:t xml:space="preserve">had </w:t>
      </w:r>
      <w:r w:rsidR="00751CBC" w:rsidRPr="003E3474">
        <w:t>experienced prolonged and/or frequent periods of seclusion</w:t>
      </w:r>
      <w:r w:rsidRPr="00ED2B1F">
        <w:t>.</w:t>
      </w:r>
    </w:p>
    <w:p w14:paraId="268CC1DC" w14:textId="77777777" w:rsidR="00463C26" w:rsidRDefault="00463C26" w:rsidP="006D2F3F">
      <w:pPr>
        <w:pStyle w:val="Source"/>
      </w:pPr>
      <w:r w:rsidRPr="00ED2B1F">
        <w:t xml:space="preserve">Sources: PRIMHD data (extracted 10 June 2025) and manual data from Health New Zealand Canterbury, Southern, Waikato and Waitematā. </w:t>
      </w:r>
    </w:p>
    <w:p w14:paraId="6D37DCF9" w14:textId="77777777" w:rsidR="006D2F3F" w:rsidRDefault="006D2F3F" w:rsidP="00463C26">
      <w:pPr>
        <w:spacing w:before="80"/>
        <w:rPr>
          <w:rFonts w:cs="Segoe UI"/>
          <w:sz w:val="17"/>
        </w:rPr>
      </w:pPr>
    </w:p>
    <w:p w14:paraId="6F5A900F" w14:textId="0B0F69E3" w:rsidR="008F495A" w:rsidRPr="00ED2B1F" w:rsidRDefault="008F495A" w:rsidP="009E5FC9">
      <w:r w:rsidRPr="00ED2B1F">
        <w:rPr>
          <w:b/>
        </w:rPr>
        <w:fldChar w:fldCharType="begin"/>
      </w:r>
      <w:r w:rsidRPr="00ED2B1F">
        <w:instrText xml:space="preserve"> REF _Ref214879259 \h  \* MERGEFORMAT </w:instrText>
      </w:r>
      <w:r w:rsidRPr="00ED2B1F">
        <w:rPr>
          <w:b/>
        </w:rPr>
      </w:r>
      <w:r w:rsidRPr="00ED2B1F">
        <w:rPr>
          <w:b/>
        </w:rPr>
        <w:fldChar w:fldCharType="separate"/>
      </w:r>
      <w:bookmarkStart w:id="256" w:name="_Toc219294795"/>
      <w:r w:rsidR="00484E57" w:rsidRPr="00ED2B1F">
        <w:t>Figure </w:t>
      </w:r>
      <w:r w:rsidR="00484E57">
        <w:t>19</w:t>
      </w:r>
      <w:r w:rsidRPr="00ED2B1F">
        <w:rPr>
          <w:b/>
        </w:rPr>
        <w:fldChar w:fldCharType="end"/>
      </w:r>
      <w:r w:rsidRPr="00ED2B1F">
        <w:t xml:space="preserve"> </w:t>
      </w:r>
      <w:r w:rsidR="00463C26" w:rsidRPr="00ED2B1F">
        <w:t xml:space="preserve">presents the percentage of seclusion events across all inpatient services by the length of </w:t>
      </w:r>
      <w:r w:rsidR="009E5FC9" w:rsidRPr="00ED2B1F">
        <w:t xml:space="preserve">the </w:t>
      </w:r>
      <w:r w:rsidR="00463C26" w:rsidRPr="00ED2B1F">
        <w:t xml:space="preserve">event in hours. Nearly half of seclusion events lasted </w:t>
      </w:r>
      <w:r w:rsidR="009E5FC9" w:rsidRPr="00ED2B1F">
        <w:t xml:space="preserve">for </w:t>
      </w:r>
      <w:r w:rsidR="00463C26" w:rsidRPr="00ED2B1F">
        <w:t xml:space="preserve">less than 12 hours and </w:t>
      </w:r>
      <w:r w:rsidR="00322E15">
        <w:t xml:space="preserve">about </w:t>
      </w:r>
      <w:r w:rsidR="00463C26" w:rsidRPr="00ED2B1F">
        <w:t>70% of events lasted for less than 24 hours.</w:t>
      </w:r>
      <w:bookmarkEnd w:id="256"/>
      <w:r w:rsidR="00463C26" w:rsidRPr="00ED2B1F">
        <w:t xml:space="preserve"> </w:t>
      </w:r>
    </w:p>
    <w:p w14:paraId="171326AB" w14:textId="77777777" w:rsidR="009E5FC9" w:rsidRPr="00ED2B1F" w:rsidRDefault="009E5FC9" w:rsidP="00751CBC"/>
    <w:p w14:paraId="7420942B" w14:textId="78C6BE0E" w:rsidR="00463C26" w:rsidRDefault="008F495A" w:rsidP="00751CBC">
      <w:r w:rsidRPr="00ED2B1F">
        <w:rPr>
          <w:b/>
        </w:rPr>
        <w:fldChar w:fldCharType="begin"/>
      </w:r>
      <w:r w:rsidRPr="00ED2B1F">
        <w:instrText xml:space="preserve"> REF _Ref214879300 \h  \* MERGEFORMAT </w:instrText>
      </w:r>
      <w:r w:rsidRPr="00ED2B1F">
        <w:rPr>
          <w:b/>
        </w:rPr>
      </w:r>
      <w:r w:rsidRPr="00ED2B1F">
        <w:rPr>
          <w:b/>
        </w:rPr>
        <w:fldChar w:fldCharType="separate"/>
      </w:r>
      <w:bookmarkStart w:id="257" w:name="_Toc219294796"/>
      <w:r w:rsidR="00484E57" w:rsidRPr="00ED2B1F">
        <w:t>Figure </w:t>
      </w:r>
      <w:r w:rsidR="00484E57">
        <w:t>20</w:t>
      </w:r>
      <w:r w:rsidRPr="00ED2B1F">
        <w:rPr>
          <w:b/>
        </w:rPr>
        <w:fldChar w:fldCharType="end"/>
      </w:r>
      <w:r w:rsidRPr="00ED2B1F">
        <w:t xml:space="preserve"> </w:t>
      </w:r>
      <w:r w:rsidR="00463C26" w:rsidRPr="00ED2B1F">
        <w:t xml:space="preserve">provides the number of events by length and ethnicity, which shows some variation in duration </w:t>
      </w:r>
      <w:r w:rsidR="00375026" w:rsidRPr="00ED2B1F">
        <w:t>between ethnic</w:t>
      </w:r>
      <w:r w:rsidR="00463C26" w:rsidRPr="00ED2B1F">
        <w:t xml:space="preserve"> groups</w:t>
      </w:r>
      <w:r w:rsidR="00375026" w:rsidRPr="00ED2B1F">
        <w:t>.</w:t>
      </w:r>
      <w:r w:rsidR="00404F0C" w:rsidRPr="00ED2B1F">
        <w:t xml:space="preserve"> </w:t>
      </w:r>
      <w:r w:rsidR="006D2781" w:rsidRPr="00ED2B1F">
        <w:rPr>
          <w:b/>
        </w:rPr>
        <w:fldChar w:fldCharType="begin"/>
      </w:r>
      <w:r w:rsidR="006D2781" w:rsidRPr="00ED2B1F">
        <w:instrText xml:space="preserve"> REF _Ref219293772 \h  \* MERGEFORMAT </w:instrText>
      </w:r>
      <w:r w:rsidR="006D2781" w:rsidRPr="00ED2B1F">
        <w:rPr>
          <w:b/>
        </w:rPr>
      </w:r>
      <w:r w:rsidR="006D2781" w:rsidRPr="00ED2B1F">
        <w:rPr>
          <w:b/>
        </w:rPr>
        <w:fldChar w:fldCharType="separate"/>
      </w:r>
      <w:r w:rsidR="00484E57" w:rsidRPr="00ED2B1F">
        <w:t>Figure </w:t>
      </w:r>
      <w:r w:rsidR="00484E57">
        <w:t>21</w:t>
      </w:r>
      <w:r w:rsidR="006D2781" w:rsidRPr="00ED2B1F">
        <w:rPr>
          <w:b/>
        </w:rPr>
        <w:fldChar w:fldCharType="end"/>
      </w:r>
      <w:r w:rsidR="00516F8B" w:rsidRPr="00ED2B1F">
        <w:t xml:space="preserve"> shows the</w:t>
      </w:r>
      <w:r w:rsidR="00C43862" w:rsidRPr="00ED2B1F">
        <w:t xml:space="preserve"> number and</w:t>
      </w:r>
      <w:r w:rsidR="00516F8B" w:rsidRPr="00ED2B1F">
        <w:t xml:space="preserve"> </w:t>
      </w:r>
      <w:r w:rsidR="00475102" w:rsidRPr="00ED2B1F">
        <w:t>percentage of events by</w:t>
      </w:r>
      <w:r w:rsidR="00375026" w:rsidRPr="00ED2B1F">
        <w:t xml:space="preserve"> their</w:t>
      </w:r>
      <w:r w:rsidR="00475102" w:rsidRPr="00ED2B1F">
        <w:t xml:space="preserve"> length</w:t>
      </w:r>
      <w:r w:rsidR="00463C26" w:rsidRPr="00ED2B1F">
        <w:t>.</w:t>
      </w:r>
      <w:bookmarkEnd w:id="257"/>
    </w:p>
    <w:p w14:paraId="692DFCE4" w14:textId="77777777" w:rsidR="006D2F3F" w:rsidRPr="00ED2B1F" w:rsidRDefault="006D2F3F" w:rsidP="00751CBC"/>
    <w:p w14:paraId="20E11B9A" w14:textId="520255F3" w:rsidR="00463C26" w:rsidRPr="00ED2B1F" w:rsidRDefault="00463C26" w:rsidP="00C103C7">
      <w:pPr>
        <w:pStyle w:val="Figure"/>
      </w:pPr>
      <w:bookmarkStart w:id="258" w:name="_Ref214879259"/>
      <w:bookmarkStart w:id="259" w:name="_Ref214879255"/>
      <w:bookmarkStart w:id="260" w:name="_Toc224638191"/>
      <w:r w:rsidRPr="00ED2B1F">
        <w:lastRenderedPageBreak/>
        <w:t>Figure </w:t>
      </w:r>
      <w:r w:rsidRPr="00ED2B1F">
        <w:fldChar w:fldCharType="begin"/>
      </w:r>
      <w:r w:rsidRPr="00ED2B1F">
        <w:instrText>SEQ Figure \* ARABIC</w:instrText>
      </w:r>
      <w:r w:rsidRPr="00ED2B1F">
        <w:fldChar w:fldCharType="separate"/>
      </w:r>
      <w:r w:rsidR="00484E57">
        <w:rPr>
          <w:noProof/>
        </w:rPr>
        <w:t>19</w:t>
      </w:r>
      <w:r w:rsidRPr="00ED2B1F">
        <w:fldChar w:fldCharType="end"/>
      </w:r>
      <w:bookmarkEnd w:id="258"/>
      <w:r w:rsidRPr="00ED2B1F">
        <w:t>: Percentage of seclusion events across all inpatient services (adult, forensic, intellectual disability and youth), by length of event, 1 July 2023 to 30 June 2024</w:t>
      </w:r>
      <w:bookmarkEnd w:id="259"/>
      <w:bookmarkEnd w:id="260"/>
    </w:p>
    <w:p w14:paraId="6FD596F4" w14:textId="676A9404" w:rsidR="00463C26" w:rsidRPr="00ED2B1F" w:rsidRDefault="00CC12F1" w:rsidP="00463C26">
      <w:r w:rsidRPr="00CC12F1">
        <w:rPr>
          <w:noProof/>
        </w:rPr>
        <w:drawing>
          <wp:inline distT="0" distB="0" distL="0" distR="0" wp14:anchorId="4005C8F9" wp14:editId="708C5825">
            <wp:extent cx="5130165" cy="2195830"/>
            <wp:effectExtent l="0" t="0" r="0" b="0"/>
            <wp:docPr id="17931307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0754" name="Picture 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130165" cy="2195830"/>
                    </a:xfrm>
                    <a:prstGeom prst="rect">
                      <a:avLst/>
                    </a:prstGeom>
                  </pic:spPr>
                </pic:pic>
              </a:graphicData>
            </a:graphic>
          </wp:inline>
        </w:drawing>
      </w:r>
    </w:p>
    <w:p w14:paraId="700D010E" w14:textId="5C2311BD" w:rsidR="00463C26" w:rsidRPr="00ED2B1F" w:rsidRDefault="00463C26" w:rsidP="006D2F3F">
      <w:pPr>
        <w:pStyle w:val="Note"/>
      </w:pPr>
      <w:r w:rsidRPr="00ED2B1F">
        <w:t xml:space="preserve">Notes: The data includes patients treated in regional intellectual disability secure services, but excludes the eight individuals </w:t>
      </w:r>
      <w:r w:rsidR="00751CBC" w:rsidRPr="00ED2B1F">
        <w:t xml:space="preserve">who </w:t>
      </w:r>
      <w:r w:rsidR="00751CBC">
        <w:t xml:space="preserve">had </w:t>
      </w:r>
      <w:r w:rsidR="00751CBC" w:rsidRPr="003E3474">
        <w:t>experienced prolonged and/or frequent periods of seclusion</w:t>
      </w:r>
      <w:r w:rsidR="00751CBC" w:rsidRPr="00ED2B1F">
        <w:t>.</w:t>
      </w:r>
    </w:p>
    <w:p w14:paraId="3DEE5E03" w14:textId="77777777" w:rsidR="00463C26" w:rsidRPr="00ED2B1F" w:rsidRDefault="00463C26" w:rsidP="006D2F3F">
      <w:pPr>
        <w:pStyle w:val="Source"/>
      </w:pPr>
      <w:r w:rsidRPr="00ED2B1F">
        <w:t>Sources: PRIMHD data (extracted 10 June 2025) and manual data from Health New Zealand Canterbury, Southern, Waikato and Waitematā.</w:t>
      </w:r>
    </w:p>
    <w:p w14:paraId="7C997087" w14:textId="77777777" w:rsidR="00463C26" w:rsidRPr="00ED2B1F" w:rsidRDefault="00463C26" w:rsidP="00463C26"/>
    <w:p w14:paraId="30D4F547" w14:textId="1EA72E0B" w:rsidR="00463C26" w:rsidRDefault="00463C26" w:rsidP="00B05CA9">
      <w:pPr>
        <w:pStyle w:val="Figure"/>
        <w:rPr>
          <w14:ligatures w14:val="standardContextual"/>
        </w:rPr>
      </w:pPr>
      <w:bookmarkStart w:id="261" w:name="_Ref214879300"/>
      <w:bookmarkStart w:id="262" w:name="_Toc224638192"/>
      <w:r w:rsidRPr="00ED2B1F">
        <w:t>Figure </w:t>
      </w:r>
      <w:r w:rsidRPr="00ED2B1F">
        <w:fldChar w:fldCharType="begin"/>
      </w:r>
      <w:r w:rsidRPr="00ED2B1F">
        <w:instrText>SEQ Figure \* ARABIC</w:instrText>
      </w:r>
      <w:r w:rsidRPr="00ED2B1F">
        <w:fldChar w:fldCharType="separate"/>
      </w:r>
      <w:r w:rsidR="00484E57">
        <w:rPr>
          <w:noProof/>
        </w:rPr>
        <w:t>20</w:t>
      </w:r>
      <w:r w:rsidRPr="00ED2B1F">
        <w:fldChar w:fldCharType="end"/>
      </w:r>
      <w:bookmarkEnd w:id="261"/>
      <w:r w:rsidRPr="00ED2B1F">
        <w:t>: Percentage of seclusion events across all inpatient services (adult, forensic, intellectual disability and youth), by ethnicity and length of event, 1 July 2023 to 30 June 2024</w:t>
      </w:r>
      <w:bookmarkEnd w:id="262"/>
      <w:r w:rsidRPr="00ED2B1F">
        <w:rPr>
          <w14:ligatures w14:val="standardContextual"/>
        </w:rPr>
        <w:t xml:space="preserve"> </w:t>
      </w:r>
    </w:p>
    <w:p w14:paraId="4D53497D" w14:textId="5F0E5087" w:rsidR="00B05CA9" w:rsidRPr="00B05CA9" w:rsidRDefault="00B05CA9" w:rsidP="00B05CA9">
      <w:r>
        <w:rPr>
          <w:noProof/>
        </w:rPr>
        <w:drawing>
          <wp:inline distT="0" distB="0" distL="0" distR="0" wp14:anchorId="6FB351A8" wp14:editId="0D0D4C32">
            <wp:extent cx="5133340" cy="2255520"/>
            <wp:effectExtent l="0" t="0" r="0" b="0"/>
            <wp:docPr id="276876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7654" name="Picture 2">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340" cy="2255520"/>
                    </a:xfrm>
                    <a:prstGeom prst="rect">
                      <a:avLst/>
                    </a:prstGeom>
                    <a:noFill/>
                  </pic:spPr>
                </pic:pic>
              </a:graphicData>
            </a:graphic>
          </wp:inline>
        </w:drawing>
      </w:r>
    </w:p>
    <w:p w14:paraId="379B718A" w14:textId="686E6012" w:rsidR="00D26F2E" w:rsidRPr="00ED2B1F" w:rsidRDefault="00463C26" w:rsidP="006D2F3F">
      <w:pPr>
        <w:pStyle w:val="Note"/>
      </w:pPr>
      <w:r w:rsidRPr="00ED2B1F">
        <w:t xml:space="preserve">Notes: The data includes patients treated in regional intellectual disability secure services, but excludes the eight </w:t>
      </w:r>
      <w:r w:rsidR="00526393" w:rsidRPr="00ED2B1F">
        <w:t xml:space="preserve">individuals </w:t>
      </w:r>
      <w:r w:rsidR="00751CBC" w:rsidRPr="00ED2B1F">
        <w:t xml:space="preserve">who </w:t>
      </w:r>
      <w:r w:rsidR="00751CBC">
        <w:t xml:space="preserve">had </w:t>
      </w:r>
      <w:r w:rsidR="00751CBC" w:rsidRPr="003E3474">
        <w:t>experienced prolonged and/or frequent periods of seclusion</w:t>
      </w:r>
      <w:r w:rsidR="00751CBC" w:rsidRPr="00ED2B1F">
        <w:t>.</w:t>
      </w:r>
    </w:p>
    <w:p w14:paraId="4AEEF769" w14:textId="77777777" w:rsidR="00463C26" w:rsidRDefault="00463C26" w:rsidP="006D2F3F">
      <w:pPr>
        <w:pStyle w:val="Source"/>
      </w:pPr>
      <w:r w:rsidRPr="00ED2B1F">
        <w:t>Sources: PRIMHD data (extracted 10 June 2025) and manual data from Health New Zealand Canterbury, Southern, Wai</w:t>
      </w:r>
      <w:r w:rsidRPr="00751CBC">
        <w:t>kato and Waitematā.</w:t>
      </w:r>
    </w:p>
    <w:p w14:paraId="12255AA4" w14:textId="77777777" w:rsidR="006D2F3F" w:rsidRPr="006D2F3F" w:rsidRDefault="006D2F3F" w:rsidP="006D2F3F"/>
    <w:p w14:paraId="61358E24" w14:textId="5EA4011A" w:rsidR="00463C26" w:rsidRPr="00ED2B1F" w:rsidRDefault="00463C26" w:rsidP="00C103C7">
      <w:pPr>
        <w:pStyle w:val="Figure"/>
      </w:pPr>
      <w:bookmarkStart w:id="263" w:name="_Ref219293772"/>
      <w:bookmarkStart w:id="264" w:name="_Toc224638193"/>
      <w:r w:rsidRPr="00ED2B1F">
        <w:lastRenderedPageBreak/>
        <w:t>Figure </w:t>
      </w:r>
      <w:r w:rsidRPr="00ED2B1F">
        <w:fldChar w:fldCharType="begin"/>
      </w:r>
      <w:r w:rsidRPr="00ED2B1F">
        <w:instrText>SEQ Figure \* ARABIC</w:instrText>
      </w:r>
      <w:r w:rsidRPr="00ED2B1F">
        <w:fldChar w:fldCharType="separate"/>
      </w:r>
      <w:r w:rsidR="00484E57">
        <w:rPr>
          <w:noProof/>
        </w:rPr>
        <w:t>21</w:t>
      </w:r>
      <w:r w:rsidRPr="00ED2B1F">
        <w:fldChar w:fldCharType="end"/>
      </w:r>
      <w:bookmarkEnd w:id="263"/>
      <w:r w:rsidRPr="00ED2B1F">
        <w:t xml:space="preserve">: </w:t>
      </w:r>
      <w:r w:rsidR="00C43862" w:rsidRPr="00ED2B1F">
        <w:t>Number and p</w:t>
      </w:r>
      <w:r w:rsidRPr="00ED2B1F">
        <w:t>ercentage of seclusion events across all inpatient services (adult, forensic, intellectual disability and youth), by length of event, 1 July 2023 to 30 June 2024</w:t>
      </w:r>
      <w:bookmarkEnd w:id="264"/>
    </w:p>
    <w:p w14:paraId="7044FF07" w14:textId="565D49DC" w:rsidR="00463C26" w:rsidRPr="00ED2B1F" w:rsidRDefault="00CC12F1" w:rsidP="00463C26">
      <w:pPr>
        <w:rPr>
          <w:rFonts w:cs="Segoe UI"/>
          <w:sz w:val="17"/>
          <w:szCs w:val="17"/>
        </w:rPr>
      </w:pPr>
      <w:r>
        <w:rPr>
          <w:rFonts w:cs="Segoe UI"/>
          <w:noProof/>
          <w:sz w:val="17"/>
          <w:szCs w:val="17"/>
        </w:rPr>
        <w:drawing>
          <wp:inline distT="0" distB="0" distL="0" distR="0" wp14:anchorId="4F8A7882" wp14:editId="54488724">
            <wp:extent cx="4066540" cy="2524125"/>
            <wp:effectExtent l="0" t="0" r="0" b="9525"/>
            <wp:docPr id="96685366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53669" name="Picture 22">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6540" cy="2524125"/>
                    </a:xfrm>
                    <a:prstGeom prst="rect">
                      <a:avLst/>
                    </a:prstGeom>
                    <a:noFill/>
                  </pic:spPr>
                </pic:pic>
              </a:graphicData>
            </a:graphic>
          </wp:inline>
        </w:drawing>
      </w:r>
    </w:p>
    <w:p w14:paraId="758525ED" w14:textId="3C43717E" w:rsidR="00463C26" w:rsidRPr="00ED2B1F" w:rsidRDefault="00463C26" w:rsidP="006D2F3F">
      <w:pPr>
        <w:pStyle w:val="Note"/>
      </w:pPr>
      <w:r w:rsidRPr="00ED2B1F">
        <w:t xml:space="preserve">Notes: The data includes patients treated in regional intellectual disability secure services, but excludes the eight individuals </w:t>
      </w:r>
      <w:r w:rsidR="00751CBC" w:rsidRPr="00ED2B1F">
        <w:t xml:space="preserve">who </w:t>
      </w:r>
      <w:r w:rsidR="00751CBC">
        <w:t xml:space="preserve">had </w:t>
      </w:r>
      <w:r w:rsidR="00751CBC" w:rsidRPr="003E3474">
        <w:t>experienced prolonged and/or frequent periods of seclusion</w:t>
      </w:r>
      <w:r w:rsidR="00751CBC" w:rsidRPr="00ED2B1F">
        <w:t>.</w:t>
      </w:r>
    </w:p>
    <w:p w14:paraId="100CF860" w14:textId="77777777" w:rsidR="00463C26" w:rsidRPr="00ED2B1F" w:rsidRDefault="00463C26" w:rsidP="006D2F3F">
      <w:pPr>
        <w:pStyle w:val="Source"/>
      </w:pPr>
      <w:r w:rsidRPr="00ED2B1F">
        <w:t>Sources: PRIMHD data (extracted 10 June 2025) and manual data from Health New Zealand Canterbury, Southern, Waikato and Waitematā.</w:t>
      </w:r>
    </w:p>
    <w:p w14:paraId="5CA13757" w14:textId="77777777" w:rsidR="00463C26" w:rsidRPr="00ED2B1F" w:rsidRDefault="00463C26" w:rsidP="006D2F3F"/>
    <w:p w14:paraId="2FD4F4D9" w14:textId="24881387" w:rsidR="00463C26" w:rsidRPr="00ED2B1F" w:rsidRDefault="00475102" w:rsidP="00751CBC">
      <w:r w:rsidRPr="00ED2B1F">
        <w:rPr>
          <w:b/>
        </w:rPr>
        <w:fldChar w:fldCharType="begin"/>
      </w:r>
      <w:r w:rsidRPr="00ED2B1F">
        <w:instrText xml:space="preserve"> REF _Ref219293856 \h  \* MERGEFORMAT </w:instrText>
      </w:r>
      <w:r w:rsidRPr="00ED2B1F">
        <w:rPr>
          <w:b/>
        </w:rPr>
      </w:r>
      <w:r w:rsidRPr="00ED2B1F">
        <w:rPr>
          <w:b/>
        </w:rPr>
        <w:fldChar w:fldCharType="separate"/>
      </w:r>
      <w:r w:rsidR="00484E57" w:rsidRPr="00ED2B1F">
        <w:t xml:space="preserve">Figure </w:t>
      </w:r>
      <w:r w:rsidR="00484E57">
        <w:t>22</w:t>
      </w:r>
      <w:r w:rsidRPr="00ED2B1F">
        <w:rPr>
          <w:b/>
        </w:rPr>
        <w:fldChar w:fldCharType="end"/>
      </w:r>
      <w:r w:rsidR="00210D40" w:rsidRPr="00ED2B1F">
        <w:t xml:space="preserve"> </w:t>
      </w:r>
      <w:r w:rsidR="00AA6BA6" w:rsidRPr="00ED2B1F">
        <w:t xml:space="preserve">gives an hourly breakdown of </w:t>
      </w:r>
      <w:r w:rsidR="00463C26" w:rsidRPr="00ED2B1F">
        <w:t xml:space="preserve">the distribution of seclusion events that </w:t>
      </w:r>
      <w:r w:rsidR="00AA6BA6" w:rsidRPr="00ED2B1F">
        <w:t xml:space="preserve">lasted for </w:t>
      </w:r>
      <w:r w:rsidR="00463C26" w:rsidRPr="00ED2B1F">
        <w:t xml:space="preserve">less than 24 hours. This shows a high proportion of these events </w:t>
      </w:r>
      <w:r w:rsidR="00C43862" w:rsidRPr="00ED2B1F">
        <w:t xml:space="preserve">last for </w:t>
      </w:r>
      <w:r w:rsidR="00463C26" w:rsidRPr="00ED2B1F">
        <w:t xml:space="preserve">less than </w:t>
      </w:r>
      <w:r w:rsidR="00981962" w:rsidRPr="00ED2B1F">
        <w:t>six</w:t>
      </w:r>
      <w:r w:rsidR="00463C26" w:rsidRPr="00ED2B1F">
        <w:t xml:space="preserve"> hours.</w:t>
      </w:r>
    </w:p>
    <w:p w14:paraId="018C4C18" w14:textId="77777777" w:rsidR="006F74D0" w:rsidRPr="00ED2B1F" w:rsidRDefault="006F74D0" w:rsidP="00C6514D"/>
    <w:p w14:paraId="4B1C02F2" w14:textId="4A88450E" w:rsidR="007D57ED" w:rsidRPr="00ED2B1F" w:rsidRDefault="00210D40" w:rsidP="00C103C7">
      <w:pPr>
        <w:pStyle w:val="Figure"/>
      </w:pPr>
      <w:bookmarkStart w:id="265" w:name="_Ref219293856"/>
      <w:bookmarkStart w:id="266" w:name="_Toc224638194"/>
      <w:r w:rsidRPr="00ED2B1F">
        <w:t xml:space="preserve">Figure </w:t>
      </w:r>
      <w:r>
        <w:fldChar w:fldCharType="begin"/>
      </w:r>
      <w:r>
        <w:instrText xml:space="preserve"> SEQ Figure \* ARABIC </w:instrText>
      </w:r>
      <w:r>
        <w:fldChar w:fldCharType="separate"/>
      </w:r>
      <w:r w:rsidR="00484E57">
        <w:rPr>
          <w:noProof/>
        </w:rPr>
        <w:t>22</w:t>
      </w:r>
      <w:r>
        <w:fldChar w:fldCharType="end"/>
      </w:r>
      <w:bookmarkEnd w:id="265"/>
      <w:r w:rsidRPr="00ED2B1F">
        <w:t>: Number of seclusion events across all inpatient services (adult, forensic, intellectual disability and youth) that are less than 24 hours, by length of event, 1 July 2023 to 30 June 2024</w:t>
      </w:r>
      <w:bookmarkEnd w:id="266"/>
    </w:p>
    <w:p w14:paraId="097D0BB2" w14:textId="7D6A41A6" w:rsidR="00463C26" w:rsidRPr="00ED2B1F" w:rsidRDefault="00CC12F1" w:rsidP="00751CBC">
      <w:r>
        <w:rPr>
          <w:noProof/>
        </w:rPr>
        <w:drawing>
          <wp:inline distT="0" distB="0" distL="0" distR="0" wp14:anchorId="485B8A7A" wp14:editId="7D75403F">
            <wp:extent cx="5133340" cy="2633980"/>
            <wp:effectExtent l="0" t="0" r="0" b="0"/>
            <wp:docPr id="143498595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85958" name="Picture 23">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3340" cy="2633980"/>
                    </a:xfrm>
                    <a:prstGeom prst="rect">
                      <a:avLst/>
                    </a:prstGeom>
                    <a:noFill/>
                  </pic:spPr>
                </pic:pic>
              </a:graphicData>
            </a:graphic>
          </wp:inline>
        </w:drawing>
      </w:r>
    </w:p>
    <w:p w14:paraId="1D365075" w14:textId="535CE931" w:rsidR="00463C26" w:rsidRPr="00ED2B1F" w:rsidRDefault="00463C26" w:rsidP="006D2F3F">
      <w:pPr>
        <w:pStyle w:val="Note"/>
      </w:pPr>
      <w:r w:rsidRPr="00ED2B1F">
        <w:t xml:space="preserve">Notes: The data includes patients treated in regional intellectual disability secure services, but excludes the eight individuals </w:t>
      </w:r>
      <w:r w:rsidR="00751CBC" w:rsidRPr="00ED2B1F">
        <w:t xml:space="preserve">who </w:t>
      </w:r>
      <w:r w:rsidR="00751CBC">
        <w:t xml:space="preserve">had </w:t>
      </w:r>
      <w:r w:rsidR="00751CBC" w:rsidRPr="003E3474">
        <w:t>experienced prolonged and/or frequent periods of seclusion</w:t>
      </w:r>
      <w:r w:rsidR="00751CBC" w:rsidRPr="00ED2B1F">
        <w:t>.</w:t>
      </w:r>
    </w:p>
    <w:p w14:paraId="47B95319" w14:textId="77777777" w:rsidR="00463C26" w:rsidRDefault="00463C26" w:rsidP="006D2F3F">
      <w:pPr>
        <w:pStyle w:val="Source"/>
      </w:pPr>
      <w:r w:rsidRPr="00ED2B1F">
        <w:t>Sources: PRIMHD data (extracted 10 June 2025) and manual data from Health New Zealand Canterbury, Southern, Waikato and Waitematā.</w:t>
      </w:r>
    </w:p>
    <w:p w14:paraId="1E761F48" w14:textId="797ABF3E" w:rsidR="00463C26" w:rsidRPr="006D2F3F" w:rsidRDefault="00463C26" w:rsidP="007A34A3">
      <w:pPr>
        <w:pStyle w:val="Heading2"/>
      </w:pPr>
      <w:bookmarkStart w:id="267" w:name="_Toc224638097"/>
      <w:r w:rsidRPr="006D2F3F">
        <w:lastRenderedPageBreak/>
        <w:t>Use of seclusion by district</w:t>
      </w:r>
      <w:bookmarkEnd w:id="267"/>
    </w:p>
    <w:p w14:paraId="349AD265" w14:textId="406066CF" w:rsidR="00463C26" w:rsidRPr="00ED2B1F" w:rsidRDefault="00463C26" w:rsidP="00463C26">
      <w:pPr>
        <w:rPr>
          <w:rFonts w:cs="Segoe UI"/>
        </w:rPr>
      </w:pPr>
      <w:r w:rsidRPr="00ED2B1F">
        <w:rPr>
          <w:rFonts w:cs="Segoe UI"/>
        </w:rPr>
        <w:t>All Health New Zealand districts except for Wairarapa (which ha</w:t>
      </w:r>
      <w:r w:rsidR="00395373" w:rsidRPr="00ED2B1F">
        <w:rPr>
          <w:rFonts w:cs="Segoe UI"/>
        </w:rPr>
        <w:t>s</w:t>
      </w:r>
      <w:r w:rsidRPr="00ED2B1F">
        <w:rPr>
          <w:rFonts w:cs="Segoe UI"/>
        </w:rPr>
        <w:t xml:space="preserve"> no mental health inpatient service) used seclusion in the 2023/24 financial year.</w:t>
      </w:r>
      <w:r w:rsidRPr="00ED2B1F">
        <w:rPr>
          <w:rFonts w:cs="Segoe UI"/>
          <w:vertAlign w:val="superscript"/>
        </w:rPr>
        <w:footnoteReference w:id="23"/>
      </w:r>
    </w:p>
    <w:p w14:paraId="328630E1" w14:textId="77777777" w:rsidR="00463C26" w:rsidRPr="00ED2B1F" w:rsidRDefault="00463C26" w:rsidP="00463C26">
      <w:pPr>
        <w:rPr>
          <w:rFonts w:cs="Segoe UI"/>
        </w:rPr>
      </w:pPr>
    </w:p>
    <w:p w14:paraId="610DE674" w14:textId="0D84630C" w:rsidR="00463C26" w:rsidRPr="00ED2B1F" w:rsidRDefault="00463C26" w:rsidP="00463C26">
      <w:pPr>
        <w:rPr>
          <w:rFonts w:cs="Segoe UI"/>
        </w:rPr>
      </w:pPr>
      <w:r w:rsidRPr="00ED2B1F">
        <w:rPr>
          <w:rFonts w:cs="Segoe UI"/>
        </w:rPr>
        <w:t xml:space="preserve">At the national level in 2023/24, the average number of people secluded in adult inpatient services was 17.9 per 100,000 people in the general population. </w:t>
      </w:r>
      <w:r w:rsidR="00981962" w:rsidRPr="00ED2B1F">
        <w:rPr>
          <w:rFonts w:cs="Segoe UI"/>
        </w:rPr>
        <w:fldChar w:fldCharType="begin"/>
      </w:r>
      <w:r w:rsidR="00981962" w:rsidRPr="00ED2B1F">
        <w:rPr>
          <w:rFonts w:cs="Segoe UI"/>
        </w:rPr>
        <w:instrText xml:space="preserve"> REF _Ref219293902 \h </w:instrText>
      </w:r>
      <w:r w:rsidR="00981962" w:rsidRPr="00ED2B1F">
        <w:rPr>
          <w:rFonts w:cs="Segoe UI"/>
        </w:rPr>
      </w:r>
      <w:r w:rsidR="00981962" w:rsidRPr="00ED2B1F">
        <w:rPr>
          <w:rFonts w:cs="Segoe UI"/>
        </w:rPr>
        <w:fldChar w:fldCharType="separate"/>
      </w:r>
      <w:r w:rsidR="00484E57" w:rsidRPr="00ED2B1F">
        <w:t>Figure </w:t>
      </w:r>
      <w:r w:rsidR="00484E57">
        <w:rPr>
          <w:noProof/>
        </w:rPr>
        <w:t>23</w:t>
      </w:r>
      <w:r w:rsidR="00981962" w:rsidRPr="00ED2B1F">
        <w:rPr>
          <w:rFonts w:cs="Segoe UI"/>
        </w:rPr>
        <w:fldChar w:fldCharType="end"/>
      </w:r>
      <w:r w:rsidRPr="00ED2B1F">
        <w:rPr>
          <w:rFonts w:cs="Segoe UI"/>
        </w:rPr>
        <w:t xml:space="preserve"> shows how individual districts compare with this national average.</w:t>
      </w:r>
    </w:p>
    <w:p w14:paraId="6D4ECB40" w14:textId="77777777" w:rsidR="00463C26" w:rsidRPr="00ED2B1F" w:rsidRDefault="00463C26" w:rsidP="00463C26">
      <w:pPr>
        <w:rPr>
          <w:rFonts w:cs="Segoe UI"/>
        </w:rPr>
      </w:pPr>
    </w:p>
    <w:p w14:paraId="02D851A9" w14:textId="2F1AEE73" w:rsidR="00463C26" w:rsidRPr="00ED2B1F" w:rsidRDefault="00463C26" w:rsidP="00C103C7">
      <w:pPr>
        <w:pStyle w:val="Figure"/>
      </w:pPr>
      <w:bookmarkStart w:id="268" w:name="_Ref219293902"/>
      <w:bookmarkStart w:id="269" w:name="_Toc224638195"/>
      <w:r w:rsidRPr="00ED2B1F">
        <w:t>Figure </w:t>
      </w:r>
      <w:r w:rsidRPr="00ED2B1F">
        <w:fldChar w:fldCharType="begin"/>
      </w:r>
      <w:r w:rsidRPr="00ED2B1F">
        <w:instrText>SEQ Figure \* ARABIC</w:instrText>
      </w:r>
      <w:r w:rsidRPr="00ED2B1F">
        <w:fldChar w:fldCharType="separate"/>
      </w:r>
      <w:r w:rsidR="00484E57">
        <w:rPr>
          <w:noProof/>
        </w:rPr>
        <w:t>23</w:t>
      </w:r>
      <w:r w:rsidRPr="00ED2B1F">
        <w:fldChar w:fldCharType="end"/>
      </w:r>
      <w:bookmarkEnd w:id="268"/>
      <w:r w:rsidRPr="00ED2B1F">
        <w:t xml:space="preserve">: Number of people secluded in adult inpatient services per 100,000 population, by </w:t>
      </w:r>
      <w:r w:rsidRPr="00ED2B1F">
        <w:rPr>
          <w:bCs/>
        </w:rPr>
        <w:t>district</w:t>
      </w:r>
      <w:r w:rsidRPr="00ED2B1F">
        <w:t>, 1 July 2023 to 30 June 2024</w:t>
      </w:r>
      <w:bookmarkEnd w:id="269"/>
    </w:p>
    <w:p w14:paraId="3FC17A2A" w14:textId="4714F9A9" w:rsidR="00463C26" w:rsidRPr="00ED2B1F" w:rsidRDefault="00CC12F1" w:rsidP="00CC12F1">
      <w:r>
        <w:rPr>
          <w:noProof/>
        </w:rPr>
        <w:drawing>
          <wp:inline distT="0" distB="0" distL="0" distR="0" wp14:anchorId="4931D733" wp14:editId="162EBEBB">
            <wp:extent cx="5133340" cy="3426460"/>
            <wp:effectExtent l="0" t="0" r="0" b="2540"/>
            <wp:docPr id="22185670"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670" name="Picture 24">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3340" cy="3426460"/>
                    </a:xfrm>
                    <a:prstGeom prst="rect">
                      <a:avLst/>
                    </a:prstGeom>
                    <a:noFill/>
                  </pic:spPr>
                </pic:pic>
              </a:graphicData>
            </a:graphic>
          </wp:inline>
        </w:drawing>
      </w:r>
    </w:p>
    <w:p w14:paraId="7C7878D2" w14:textId="187C7B48" w:rsidR="00463C26" w:rsidRPr="006D2F3F" w:rsidRDefault="00463C26" w:rsidP="006D2F3F">
      <w:pPr>
        <w:pStyle w:val="Note"/>
      </w:pPr>
      <w:r w:rsidRPr="006D2F3F">
        <w:t>Notes: In this figure, the confidence intervals (for 99% confidence, shown as vertical lines through the blue diamond markers) can help with interpreting the data. Where a service’s confidence interval crosses the national average, that means its rate was not</w:t>
      </w:r>
      <w:r w:rsidRPr="006D2F3F" w:rsidDel="006F4B34">
        <w:t xml:space="preserve"> </w:t>
      </w:r>
      <w:r w:rsidRPr="006D2F3F">
        <w:t>different from the average</w:t>
      </w:r>
      <w:r w:rsidR="006F4B34" w:rsidRPr="006D2F3F">
        <w:t xml:space="preserve"> at a statistically significant level</w:t>
      </w:r>
      <w:r w:rsidRPr="006D2F3F">
        <w:t>. The data excludes forensic inpatient services and regional intellectual disability secure services. Wairarapa had no inpatient unit, so is not shown in this figure.</w:t>
      </w:r>
    </w:p>
    <w:p w14:paraId="0B3020D9" w14:textId="7A9232EC" w:rsidR="00463C26" w:rsidRPr="00ED2B1F" w:rsidRDefault="00463C26" w:rsidP="006D2F3F">
      <w:pPr>
        <w:pStyle w:val="Source"/>
      </w:pPr>
      <w:r w:rsidRPr="00ED2B1F">
        <w:t>Sources: PRIMHD data (extracted 10 June 2025) and manual data from Health New Zealand Canterbury, Southern, Waikato and Waitematā.</w:t>
      </w:r>
    </w:p>
    <w:p w14:paraId="5068DC47" w14:textId="77777777" w:rsidR="00463C26" w:rsidRPr="00ED2B1F" w:rsidRDefault="00463C26" w:rsidP="00463C26">
      <w:pPr>
        <w:rPr>
          <w:rFonts w:cs="Segoe UI"/>
        </w:rPr>
      </w:pPr>
    </w:p>
    <w:p w14:paraId="61D77984" w14:textId="2A576257" w:rsidR="00463C26" w:rsidRDefault="001760C4" w:rsidP="00463C26">
      <w:pPr>
        <w:rPr>
          <w:rFonts w:cs="Segoe UI"/>
        </w:rPr>
      </w:pPr>
      <w:r>
        <w:rPr>
          <w:rFonts w:cs="Segoe UI"/>
        </w:rPr>
        <w:fldChar w:fldCharType="begin"/>
      </w:r>
      <w:r>
        <w:rPr>
          <w:rFonts w:cs="Segoe UI"/>
        </w:rPr>
        <w:instrText xml:space="preserve"> REF _Ref224043653 \h </w:instrText>
      </w:r>
      <w:r>
        <w:rPr>
          <w:rFonts w:cs="Segoe UI"/>
        </w:rPr>
      </w:r>
      <w:r>
        <w:rPr>
          <w:rFonts w:cs="Segoe UI"/>
        </w:rPr>
        <w:fldChar w:fldCharType="separate"/>
      </w:r>
      <w:r w:rsidR="00484E57" w:rsidRPr="00ED2B1F">
        <w:t xml:space="preserve">Table </w:t>
      </w:r>
      <w:r w:rsidR="00484E57">
        <w:rPr>
          <w:noProof/>
        </w:rPr>
        <w:t>8</w:t>
      </w:r>
      <w:r>
        <w:rPr>
          <w:rFonts w:cs="Segoe UI"/>
        </w:rPr>
        <w:fldChar w:fldCharType="end"/>
      </w:r>
      <w:r>
        <w:rPr>
          <w:rFonts w:cs="Segoe UI"/>
        </w:rPr>
        <w:t xml:space="preserve"> </w:t>
      </w:r>
      <w:r w:rsidR="00463C26" w:rsidRPr="00ED2B1F">
        <w:rPr>
          <w:rFonts w:cs="Segoe UI"/>
        </w:rPr>
        <w:t>shows the seclusion rate for each district as a percentage of patients admitted to adult inpatient services who experienced seclusion during their admission.</w:t>
      </w:r>
    </w:p>
    <w:p w14:paraId="219F6498" w14:textId="77777777" w:rsidR="005C1CEE" w:rsidRPr="00ED2B1F" w:rsidRDefault="005C1CEE" w:rsidP="00463C26">
      <w:pPr>
        <w:rPr>
          <w:rFonts w:cs="Segoe UI"/>
        </w:rPr>
      </w:pPr>
    </w:p>
    <w:p w14:paraId="237A183F" w14:textId="15268BFE" w:rsidR="005C1CEE" w:rsidRPr="00ED2B1F" w:rsidRDefault="005C1CEE" w:rsidP="005C1CEE">
      <w:pPr>
        <w:pStyle w:val="Table"/>
      </w:pPr>
      <w:bookmarkStart w:id="270" w:name="_Ref224043653"/>
      <w:bookmarkStart w:id="271" w:name="_Toc224638228"/>
      <w:r w:rsidRPr="00ED2B1F">
        <w:lastRenderedPageBreak/>
        <w:t xml:space="preserve">Table </w:t>
      </w:r>
      <w:r>
        <w:fldChar w:fldCharType="begin"/>
      </w:r>
      <w:r>
        <w:instrText xml:space="preserve"> SEQ Table \* ARABIC </w:instrText>
      </w:r>
      <w:r>
        <w:fldChar w:fldCharType="separate"/>
      </w:r>
      <w:r w:rsidR="00484E57">
        <w:rPr>
          <w:noProof/>
        </w:rPr>
        <w:t>8</w:t>
      </w:r>
      <w:r>
        <w:fldChar w:fldCharType="end"/>
      </w:r>
      <w:bookmarkEnd w:id="270"/>
      <w:r w:rsidRPr="00ED2B1F">
        <w:t>: Percentage of admissions to adult inpatient services with seclusion recorded during admission, by district, 1 July 2023 to 30 June 2024</w:t>
      </w:r>
      <w:bookmarkEnd w:id="271"/>
    </w:p>
    <w:tbl>
      <w:tblPr>
        <w:tblW w:w="7824"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070"/>
        <w:gridCol w:w="1701"/>
        <w:gridCol w:w="283"/>
        <w:gridCol w:w="2069"/>
        <w:gridCol w:w="1701"/>
      </w:tblGrid>
      <w:tr w:rsidR="005C1CEE" w:rsidRPr="00ED2B1F" w14:paraId="479AC7FB" w14:textId="77777777" w:rsidTr="005606B5">
        <w:trPr>
          <w:cantSplit/>
          <w:trHeight w:val="300"/>
        </w:trPr>
        <w:tc>
          <w:tcPr>
            <w:tcW w:w="2070" w:type="dxa"/>
            <w:tcBorders>
              <w:top w:val="nil"/>
              <w:bottom w:val="nil"/>
            </w:tcBorders>
            <w:shd w:val="clear" w:color="auto" w:fill="D9D9D9" w:themeFill="background1" w:themeFillShade="D9"/>
            <w:noWrap/>
            <w:vAlign w:val="bottom"/>
            <w:hideMark/>
          </w:tcPr>
          <w:p w14:paraId="1E00F6E4" w14:textId="77777777" w:rsidR="005C1CEE" w:rsidRPr="006D2F3F" w:rsidRDefault="005C1CEE" w:rsidP="005606B5">
            <w:pPr>
              <w:pStyle w:val="TableText"/>
              <w:keepNext/>
              <w:rPr>
                <w:b/>
                <w:lang w:eastAsia="en-NZ"/>
              </w:rPr>
            </w:pPr>
            <w:r w:rsidRPr="006D2F3F">
              <w:rPr>
                <w:b/>
                <w:lang w:eastAsia="en-NZ"/>
              </w:rPr>
              <w:t>District</w:t>
            </w:r>
          </w:p>
        </w:tc>
        <w:tc>
          <w:tcPr>
            <w:tcW w:w="1701" w:type="dxa"/>
            <w:tcBorders>
              <w:top w:val="nil"/>
              <w:bottom w:val="nil"/>
            </w:tcBorders>
            <w:shd w:val="clear" w:color="auto" w:fill="D9D9D9" w:themeFill="background1" w:themeFillShade="D9"/>
            <w:hideMark/>
          </w:tcPr>
          <w:p w14:paraId="260C3FAD" w14:textId="77777777" w:rsidR="005C1CEE" w:rsidRPr="006D2F3F" w:rsidRDefault="005C1CEE" w:rsidP="005606B5">
            <w:pPr>
              <w:pStyle w:val="TableText"/>
              <w:keepNext/>
              <w:jc w:val="center"/>
              <w:rPr>
                <w:b/>
                <w:bCs/>
                <w:lang w:eastAsia="en-NZ"/>
              </w:rPr>
            </w:pPr>
            <w:r w:rsidRPr="006D2F3F">
              <w:rPr>
                <w:b/>
                <w:bCs/>
              </w:rPr>
              <w:t>Percentage</w:t>
            </w:r>
          </w:p>
        </w:tc>
        <w:tc>
          <w:tcPr>
            <w:tcW w:w="283" w:type="dxa"/>
            <w:tcBorders>
              <w:top w:val="nil"/>
              <w:bottom w:val="nil"/>
            </w:tcBorders>
            <w:vAlign w:val="bottom"/>
          </w:tcPr>
          <w:p w14:paraId="3EF3A830" w14:textId="77777777" w:rsidR="005C1CEE" w:rsidRPr="00ED2B1F" w:rsidRDefault="005C1CEE" w:rsidP="005606B5">
            <w:pPr>
              <w:pStyle w:val="TableText"/>
              <w:keepNext/>
              <w:rPr>
                <w:b/>
                <w:lang w:eastAsia="en-NZ"/>
              </w:rPr>
            </w:pPr>
          </w:p>
        </w:tc>
        <w:tc>
          <w:tcPr>
            <w:tcW w:w="2069" w:type="dxa"/>
            <w:tcBorders>
              <w:top w:val="nil"/>
              <w:bottom w:val="nil"/>
            </w:tcBorders>
            <w:shd w:val="clear" w:color="auto" w:fill="D9D9D9" w:themeFill="background1" w:themeFillShade="D9"/>
          </w:tcPr>
          <w:p w14:paraId="24881933" w14:textId="77777777" w:rsidR="005C1CEE" w:rsidRPr="006D2F3F" w:rsidRDefault="005C1CEE" w:rsidP="005606B5">
            <w:pPr>
              <w:pStyle w:val="TableText"/>
              <w:keepNext/>
              <w:rPr>
                <w:b/>
                <w:bCs/>
                <w:lang w:eastAsia="en-NZ"/>
              </w:rPr>
            </w:pPr>
            <w:r w:rsidRPr="006D2F3F">
              <w:rPr>
                <w:b/>
                <w:bCs/>
              </w:rPr>
              <w:t>District</w:t>
            </w:r>
          </w:p>
        </w:tc>
        <w:tc>
          <w:tcPr>
            <w:tcW w:w="1701" w:type="dxa"/>
            <w:tcBorders>
              <w:top w:val="nil"/>
              <w:bottom w:val="nil"/>
            </w:tcBorders>
            <w:shd w:val="clear" w:color="auto" w:fill="D9D9D9" w:themeFill="background1" w:themeFillShade="D9"/>
          </w:tcPr>
          <w:p w14:paraId="143B7240" w14:textId="77777777" w:rsidR="005C1CEE" w:rsidRPr="006D2F3F" w:rsidRDefault="005C1CEE" w:rsidP="005606B5">
            <w:pPr>
              <w:pStyle w:val="TableText"/>
              <w:keepNext/>
              <w:jc w:val="center"/>
              <w:rPr>
                <w:b/>
                <w:bCs/>
                <w:lang w:eastAsia="en-NZ"/>
              </w:rPr>
            </w:pPr>
            <w:r w:rsidRPr="006D2F3F">
              <w:rPr>
                <w:b/>
                <w:bCs/>
              </w:rPr>
              <w:t>Percentage</w:t>
            </w:r>
          </w:p>
        </w:tc>
      </w:tr>
      <w:tr w:rsidR="005C1CEE" w:rsidRPr="00ED2B1F" w14:paraId="77831FFE" w14:textId="77777777" w:rsidTr="005606B5">
        <w:trPr>
          <w:cantSplit/>
          <w:trHeight w:val="300"/>
        </w:trPr>
        <w:tc>
          <w:tcPr>
            <w:tcW w:w="2070" w:type="dxa"/>
            <w:tcBorders>
              <w:top w:val="nil"/>
            </w:tcBorders>
            <w:noWrap/>
            <w:hideMark/>
          </w:tcPr>
          <w:p w14:paraId="17F6D402" w14:textId="77777777" w:rsidR="005C1CEE" w:rsidRPr="00ED2B1F" w:rsidRDefault="005C1CEE" w:rsidP="005606B5">
            <w:pPr>
              <w:pStyle w:val="TableText"/>
              <w:keepNext/>
              <w:rPr>
                <w:lang w:eastAsia="en-NZ"/>
              </w:rPr>
            </w:pPr>
            <w:r w:rsidRPr="00ED2B1F">
              <w:rPr>
                <w:lang w:eastAsia="en-NZ"/>
              </w:rPr>
              <w:t>Auckland</w:t>
            </w:r>
          </w:p>
        </w:tc>
        <w:tc>
          <w:tcPr>
            <w:tcW w:w="1701" w:type="dxa"/>
            <w:tcBorders>
              <w:top w:val="nil"/>
            </w:tcBorders>
            <w:noWrap/>
            <w:hideMark/>
          </w:tcPr>
          <w:p w14:paraId="733012CF" w14:textId="77777777" w:rsidR="005C1CEE" w:rsidRPr="00ED2B1F" w:rsidRDefault="005C1CEE" w:rsidP="005606B5">
            <w:pPr>
              <w:pStyle w:val="TableText"/>
              <w:keepNext/>
              <w:tabs>
                <w:tab w:val="decimal" w:pos="458"/>
              </w:tabs>
              <w:jc w:val="center"/>
              <w:rPr>
                <w:lang w:eastAsia="en-NZ"/>
              </w:rPr>
            </w:pPr>
            <w:r w:rsidRPr="00ED2B1F">
              <w:t>2.3%</w:t>
            </w:r>
          </w:p>
        </w:tc>
        <w:tc>
          <w:tcPr>
            <w:tcW w:w="283" w:type="dxa"/>
            <w:tcBorders>
              <w:top w:val="nil"/>
              <w:bottom w:val="nil"/>
            </w:tcBorders>
          </w:tcPr>
          <w:p w14:paraId="164E9759" w14:textId="77777777" w:rsidR="005C1CEE" w:rsidRPr="00ED2B1F" w:rsidRDefault="005C1CEE" w:rsidP="005606B5">
            <w:pPr>
              <w:pStyle w:val="TableText"/>
              <w:keepNext/>
              <w:rPr>
                <w:lang w:eastAsia="en-NZ"/>
              </w:rPr>
            </w:pPr>
          </w:p>
        </w:tc>
        <w:tc>
          <w:tcPr>
            <w:tcW w:w="2069" w:type="dxa"/>
            <w:tcBorders>
              <w:top w:val="nil"/>
            </w:tcBorders>
          </w:tcPr>
          <w:p w14:paraId="6010E674" w14:textId="77777777" w:rsidR="005C1CEE" w:rsidRPr="00ED2B1F" w:rsidRDefault="005C1CEE" w:rsidP="005606B5">
            <w:pPr>
              <w:pStyle w:val="TableText"/>
              <w:keepNext/>
              <w:rPr>
                <w:lang w:eastAsia="en-NZ"/>
              </w:rPr>
            </w:pPr>
            <w:r w:rsidRPr="00ED2B1F">
              <w:t>Northland</w:t>
            </w:r>
          </w:p>
        </w:tc>
        <w:tc>
          <w:tcPr>
            <w:tcW w:w="1701" w:type="dxa"/>
            <w:tcBorders>
              <w:top w:val="nil"/>
            </w:tcBorders>
          </w:tcPr>
          <w:p w14:paraId="0365E808" w14:textId="77777777" w:rsidR="005C1CEE" w:rsidRPr="00ED2B1F" w:rsidRDefault="005C1CEE" w:rsidP="005606B5">
            <w:pPr>
              <w:pStyle w:val="TableText"/>
              <w:keepNext/>
              <w:jc w:val="center"/>
              <w:rPr>
                <w:lang w:eastAsia="en-NZ"/>
              </w:rPr>
            </w:pPr>
            <w:r w:rsidRPr="00ED2B1F">
              <w:t>1.3%</w:t>
            </w:r>
          </w:p>
        </w:tc>
      </w:tr>
      <w:tr w:rsidR="005C1CEE" w:rsidRPr="00ED2B1F" w14:paraId="5F3A1C9A" w14:textId="77777777" w:rsidTr="005606B5">
        <w:trPr>
          <w:cantSplit/>
          <w:trHeight w:val="300"/>
        </w:trPr>
        <w:tc>
          <w:tcPr>
            <w:tcW w:w="2070" w:type="dxa"/>
            <w:noWrap/>
          </w:tcPr>
          <w:p w14:paraId="7C6F501A" w14:textId="77777777" w:rsidR="005C1CEE" w:rsidRPr="00ED2B1F" w:rsidRDefault="005C1CEE" w:rsidP="005606B5">
            <w:pPr>
              <w:pStyle w:val="TableText"/>
              <w:keepNext/>
              <w:rPr>
                <w:lang w:eastAsia="en-NZ"/>
              </w:rPr>
            </w:pPr>
            <w:r w:rsidRPr="00ED2B1F">
              <w:t>Bay of Plenty</w:t>
            </w:r>
          </w:p>
        </w:tc>
        <w:tc>
          <w:tcPr>
            <w:tcW w:w="1701" w:type="dxa"/>
            <w:noWrap/>
          </w:tcPr>
          <w:p w14:paraId="5560E6F6" w14:textId="77777777" w:rsidR="005C1CEE" w:rsidRPr="00ED2B1F" w:rsidRDefault="005C1CEE" w:rsidP="005606B5">
            <w:pPr>
              <w:pStyle w:val="TableText"/>
              <w:keepNext/>
              <w:tabs>
                <w:tab w:val="decimal" w:pos="458"/>
              </w:tabs>
              <w:jc w:val="center"/>
            </w:pPr>
            <w:r w:rsidRPr="00ED2B1F">
              <w:t>10.5%</w:t>
            </w:r>
          </w:p>
        </w:tc>
        <w:tc>
          <w:tcPr>
            <w:tcW w:w="283" w:type="dxa"/>
            <w:tcBorders>
              <w:top w:val="nil"/>
              <w:bottom w:val="nil"/>
            </w:tcBorders>
          </w:tcPr>
          <w:p w14:paraId="01894C67" w14:textId="77777777" w:rsidR="005C1CEE" w:rsidRPr="00ED2B1F" w:rsidRDefault="005C1CEE" w:rsidP="005606B5">
            <w:pPr>
              <w:pStyle w:val="TableText"/>
              <w:keepNext/>
              <w:rPr>
                <w:lang w:eastAsia="en-NZ"/>
              </w:rPr>
            </w:pPr>
          </w:p>
        </w:tc>
        <w:tc>
          <w:tcPr>
            <w:tcW w:w="2069" w:type="dxa"/>
          </w:tcPr>
          <w:p w14:paraId="0B44C784" w14:textId="77777777" w:rsidR="005C1CEE" w:rsidRPr="00ED2B1F" w:rsidRDefault="005C1CEE" w:rsidP="005606B5">
            <w:pPr>
              <w:pStyle w:val="TableText"/>
              <w:keepNext/>
              <w:rPr>
                <w:lang w:eastAsia="en-NZ"/>
              </w:rPr>
            </w:pPr>
            <w:r w:rsidRPr="00ED2B1F">
              <w:t>South Canterbury</w:t>
            </w:r>
          </w:p>
        </w:tc>
        <w:tc>
          <w:tcPr>
            <w:tcW w:w="1701" w:type="dxa"/>
          </w:tcPr>
          <w:p w14:paraId="68A6B9FD" w14:textId="77777777" w:rsidR="005C1CEE" w:rsidRPr="00ED2B1F" w:rsidRDefault="005C1CEE" w:rsidP="005606B5">
            <w:pPr>
              <w:pStyle w:val="TableText"/>
              <w:keepNext/>
              <w:jc w:val="center"/>
              <w:rPr>
                <w:lang w:eastAsia="en-NZ"/>
              </w:rPr>
            </w:pPr>
            <w:r w:rsidRPr="00ED2B1F">
              <w:t>4.1%</w:t>
            </w:r>
          </w:p>
        </w:tc>
      </w:tr>
      <w:tr w:rsidR="005C1CEE" w:rsidRPr="00ED2B1F" w14:paraId="386E5B73" w14:textId="77777777" w:rsidTr="005606B5">
        <w:trPr>
          <w:cantSplit/>
          <w:trHeight w:val="300"/>
        </w:trPr>
        <w:tc>
          <w:tcPr>
            <w:tcW w:w="2070" w:type="dxa"/>
            <w:noWrap/>
          </w:tcPr>
          <w:p w14:paraId="53682180" w14:textId="77777777" w:rsidR="005C1CEE" w:rsidRPr="00ED2B1F" w:rsidRDefault="005C1CEE" w:rsidP="005606B5">
            <w:pPr>
              <w:pStyle w:val="TableText"/>
              <w:keepNext/>
              <w:rPr>
                <w:lang w:eastAsia="en-NZ"/>
              </w:rPr>
            </w:pPr>
            <w:r w:rsidRPr="00ED2B1F">
              <w:t>Canterbury</w:t>
            </w:r>
          </w:p>
        </w:tc>
        <w:tc>
          <w:tcPr>
            <w:tcW w:w="1701" w:type="dxa"/>
            <w:noWrap/>
          </w:tcPr>
          <w:p w14:paraId="5CDA185F" w14:textId="77777777" w:rsidR="005C1CEE" w:rsidRPr="00ED2B1F" w:rsidRDefault="005C1CEE" w:rsidP="005606B5">
            <w:pPr>
              <w:pStyle w:val="TableText"/>
              <w:keepNext/>
              <w:tabs>
                <w:tab w:val="decimal" w:pos="458"/>
              </w:tabs>
              <w:jc w:val="center"/>
              <w:rPr>
                <w:lang w:eastAsia="en-NZ"/>
              </w:rPr>
            </w:pPr>
            <w:r w:rsidRPr="00ED2B1F">
              <w:t>8.0%</w:t>
            </w:r>
          </w:p>
        </w:tc>
        <w:tc>
          <w:tcPr>
            <w:tcW w:w="283" w:type="dxa"/>
            <w:tcBorders>
              <w:top w:val="nil"/>
              <w:bottom w:val="nil"/>
            </w:tcBorders>
          </w:tcPr>
          <w:p w14:paraId="35E5CB6E" w14:textId="77777777" w:rsidR="005C1CEE" w:rsidRPr="00ED2B1F" w:rsidRDefault="005C1CEE" w:rsidP="005606B5">
            <w:pPr>
              <w:pStyle w:val="TableText"/>
              <w:keepNext/>
              <w:rPr>
                <w:lang w:eastAsia="en-NZ"/>
              </w:rPr>
            </w:pPr>
          </w:p>
        </w:tc>
        <w:tc>
          <w:tcPr>
            <w:tcW w:w="2069" w:type="dxa"/>
          </w:tcPr>
          <w:p w14:paraId="4BBA0969" w14:textId="77777777" w:rsidR="005C1CEE" w:rsidRPr="00ED2B1F" w:rsidRDefault="005C1CEE" w:rsidP="005606B5">
            <w:pPr>
              <w:pStyle w:val="TableText"/>
              <w:keepNext/>
              <w:rPr>
                <w:lang w:eastAsia="en-NZ"/>
              </w:rPr>
            </w:pPr>
            <w:r w:rsidRPr="00ED2B1F">
              <w:t>Southern</w:t>
            </w:r>
          </w:p>
        </w:tc>
        <w:tc>
          <w:tcPr>
            <w:tcW w:w="1701" w:type="dxa"/>
          </w:tcPr>
          <w:p w14:paraId="3B07E1CD" w14:textId="77777777" w:rsidR="005C1CEE" w:rsidRPr="00ED2B1F" w:rsidRDefault="005C1CEE" w:rsidP="005606B5">
            <w:pPr>
              <w:pStyle w:val="TableText"/>
              <w:keepNext/>
              <w:jc w:val="center"/>
              <w:rPr>
                <w:lang w:eastAsia="en-NZ"/>
              </w:rPr>
            </w:pPr>
            <w:r w:rsidRPr="00ED2B1F">
              <w:t>10.4%</w:t>
            </w:r>
          </w:p>
        </w:tc>
      </w:tr>
      <w:tr w:rsidR="005C1CEE" w:rsidRPr="00ED2B1F" w14:paraId="2A07B049" w14:textId="77777777" w:rsidTr="005606B5">
        <w:trPr>
          <w:cantSplit/>
          <w:trHeight w:val="300"/>
        </w:trPr>
        <w:tc>
          <w:tcPr>
            <w:tcW w:w="2070" w:type="dxa"/>
            <w:noWrap/>
          </w:tcPr>
          <w:p w14:paraId="7CB72CC8" w14:textId="77777777" w:rsidR="005C1CEE" w:rsidRPr="00ED2B1F" w:rsidRDefault="005C1CEE" w:rsidP="005606B5">
            <w:pPr>
              <w:pStyle w:val="TableText"/>
              <w:keepNext/>
              <w:rPr>
                <w:lang w:eastAsia="en-NZ"/>
              </w:rPr>
            </w:pPr>
            <w:r w:rsidRPr="00ED2B1F">
              <w:t xml:space="preserve">Capital &amp; Coast </w:t>
            </w:r>
          </w:p>
        </w:tc>
        <w:tc>
          <w:tcPr>
            <w:tcW w:w="1701" w:type="dxa"/>
            <w:noWrap/>
          </w:tcPr>
          <w:p w14:paraId="1A3DE4FA" w14:textId="77777777" w:rsidR="005C1CEE" w:rsidRPr="00ED2B1F" w:rsidRDefault="005C1CEE" w:rsidP="005606B5">
            <w:pPr>
              <w:pStyle w:val="TableText"/>
              <w:keepNext/>
              <w:tabs>
                <w:tab w:val="decimal" w:pos="458"/>
              </w:tabs>
              <w:jc w:val="center"/>
              <w:rPr>
                <w:lang w:eastAsia="en-NZ"/>
              </w:rPr>
            </w:pPr>
            <w:r w:rsidRPr="00ED2B1F">
              <w:t>5.6%</w:t>
            </w:r>
          </w:p>
        </w:tc>
        <w:tc>
          <w:tcPr>
            <w:tcW w:w="283" w:type="dxa"/>
            <w:tcBorders>
              <w:top w:val="nil"/>
              <w:bottom w:val="nil"/>
            </w:tcBorders>
          </w:tcPr>
          <w:p w14:paraId="53860916" w14:textId="77777777" w:rsidR="005C1CEE" w:rsidRPr="00ED2B1F" w:rsidRDefault="005C1CEE" w:rsidP="005606B5">
            <w:pPr>
              <w:pStyle w:val="TableText"/>
              <w:keepNext/>
              <w:rPr>
                <w:lang w:eastAsia="en-NZ"/>
              </w:rPr>
            </w:pPr>
          </w:p>
        </w:tc>
        <w:tc>
          <w:tcPr>
            <w:tcW w:w="2069" w:type="dxa"/>
          </w:tcPr>
          <w:p w14:paraId="581768A8" w14:textId="77777777" w:rsidR="005C1CEE" w:rsidRPr="00ED2B1F" w:rsidRDefault="005C1CEE" w:rsidP="005606B5">
            <w:pPr>
              <w:pStyle w:val="TableText"/>
              <w:keepNext/>
              <w:rPr>
                <w:lang w:eastAsia="en-NZ"/>
              </w:rPr>
            </w:pPr>
            <w:r w:rsidRPr="00ED2B1F">
              <w:t>Tairāwhiti</w:t>
            </w:r>
          </w:p>
        </w:tc>
        <w:tc>
          <w:tcPr>
            <w:tcW w:w="1701" w:type="dxa"/>
          </w:tcPr>
          <w:p w14:paraId="1516E2CE" w14:textId="77777777" w:rsidR="005C1CEE" w:rsidRPr="00ED2B1F" w:rsidRDefault="005C1CEE" w:rsidP="005606B5">
            <w:pPr>
              <w:pStyle w:val="TableText"/>
              <w:keepNext/>
              <w:jc w:val="center"/>
              <w:rPr>
                <w:lang w:eastAsia="en-NZ"/>
              </w:rPr>
            </w:pPr>
            <w:r w:rsidRPr="00ED2B1F">
              <w:t>10.6%</w:t>
            </w:r>
          </w:p>
        </w:tc>
      </w:tr>
      <w:tr w:rsidR="005C1CEE" w:rsidRPr="00ED2B1F" w14:paraId="31B60E23" w14:textId="77777777" w:rsidTr="005606B5">
        <w:trPr>
          <w:cantSplit/>
          <w:trHeight w:val="300"/>
        </w:trPr>
        <w:tc>
          <w:tcPr>
            <w:tcW w:w="2070" w:type="dxa"/>
            <w:noWrap/>
          </w:tcPr>
          <w:p w14:paraId="0402A3E2" w14:textId="77777777" w:rsidR="005C1CEE" w:rsidRPr="00ED2B1F" w:rsidRDefault="005C1CEE" w:rsidP="005606B5">
            <w:pPr>
              <w:pStyle w:val="TableText"/>
              <w:keepNext/>
              <w:rPr>
                <w:lang w:eastAsia="en-NZ"/>
              </w:rPr>
            </w:pPr>
            <w:r w:rsidRPr="00ED2B1F">
              <w:t>Counties Manukau</w:t>
            </w:r>
          </w:p>
        </w:tc>
        <w:tc>
          <w:tcPr>
            <w:tcW w:w="1701" w:type="dxa"/>
            <w:noWrap/>
          </w:tcPr>
          <w:p w14:paraId="7455D3E3" w14:textId="77777777" w:rsidR="005C1CEE" w:rsidRPr="00ED2B1F" w:rsidRDefault="005C1CEE" w:rsidP="005606B5">
            <w:pPr>
              <w:pStyle w:val="TableText"/>
              <w:keepNext/>
              <w:tabs>
                <w:tab w:val="decimal" w:pos="458"/>
              </w:tabs>
              <w:jc w:val="center"/>
              <w:rPr>
                <w:lang w:eastAsia="en-NZ"/>
              </w:rPr>
            </w:pPr>
            <w:r w:rsidRPr="00ED2B1F">
              <w:t>7.2%</w:t>
            </w:r>
          </w:p>
        </w:tc>
        <w:tc>
          <w:tcPr>
            <w:tcW w:w="283" w:type="dxa"/>
            <w:tcBorders>
              <w:top w:val="nil"/>
              <w:bottom w:val="nil"/>
            </w:tcBorders>
          </w:tcPr>
          <w:p w14:paraId="1BAEB3E9" w14:textId="77777777" w:rsidR="005C1CEE" w:rsidRPr="00ED2B1F" w:rsidRDefault="005C1CEE" w:rsidP="005606B5">
            <w:pPr>
              <w:pStyle w:val="TableText"/>
              <w:keepNext/>
              <w:rPr>
                <w:lang w:eastAsia="en-NZ"/>
              </w:rPr>
            </w:pPr>
          </w:p>
        </w:tc>
        <w:tc>
          <w:tcPr>
            <w:tcW w:w="2069" w:type="dxa"/>
          </w:tcPr>
          <w:p w14:paraId="1838C2A5" w14:textId="77777777" w:rsidR="005C1CEE" w:rsidRPr="00ED2B1F" w:rsidRDefault="005C1CEE" w:rsidP="005606B5">
            <w:pPr>
              <w:pStyle w:val="TableText"/>
              <w:keepNext/>
              <w:rPr>
                <w:lang w:eastAsia="en-NZ"/>
              </w:rPr>
            </w:pPr>
            <w:r w:rsidRPr="00ED2B1F">
              <w:t>Taranaki</w:t>
            </w:r>
          </w:p>
        </w:tc>
        <w:tc>
          <w:tcPr>
            <w:tcW w:w="1701" w:type="dxa"/>
          </w:tcPr>
          <w:p w14:paraId="548FF4FA" w14:textId="77777777" w:rsidR="005C1CEE" w:rsidRPr="00ED2B1F" w:rsidRDefault="005C1CEE" w:rsidP="005606B5">
            <w:pPr>
              <w:pStyle w:val="TableText"/>
              <w:keepNext/>
              <w:jc w:val="center"/>
              <w:rPr>
                <w:lang w:eastAsia="en-NZ"/>
              </w:rPr>
            </w:pPr>
            <w:r w:rsidRPr="00ED2B1F">
              <w:t>3.7%</w:t>
            </w:r>
          </w:p>
        </w:tc>
      </w:tr>
      <w:tr w:rsidR="005C1CEE" w:rsidRPr="00ED2B1F" w14:paraId="1CBD716B" w14:textId="77777777" w:rsidTr="005606B5">
        <w:trPr>
          <w:cantSplit/>
          <w:trHeight w:val="300"/>
        </w:trPr>
        <w:tc>
          <w:tcPr>
            <w:tcW w:w="2070" w:type="dxa"/>
            <w:noWrap/>
          </w:tcPr>
          <w:p w14:paraId="30491D19" w14:textId="77777777" w:rsidR="005C1CEE" w:rsidRPr="00ED2B1F" w:rsidRDefault="005C1CEE" w:rsidP="005606B5">
            <w:pPr>
              <w:pStyle w:val="TableText"/>
              <w:keepNext/>
              <w:rPr>
                <w:lang w:eastAsia="en-NZ"/>
              </w:rPr>
            </w:pPr>
            <w:r w:rsidRPr="00ED2B1F">
              <w:t>Hawke’s Bay</w:t>
            </w:r>
          </w:p>
        </w:tc>
        <w:tc>
          <w:tcPr>
            <w:tcW w:w="1701" w:type="dxa"/>
            <w:noWrap/>
          </w:tcPr>
          <w:p w14:paraId="7FEE0D63" w14:textId="77777777" w:rsidR="005C1CEE" w:rsidRPr="00ED2B1F" w:rsidRDefault="005C1CEE" w:rsidP="005606B5">
            <w:pPr>
              <w:pStyle w:val="TableText"/>
              <w:keepNext/>
              <w:tabs>
                <w:tab w:val="decimal" w:pos="458"/>
              </w:tabs>
              <w:jc w:val="center"/>
              <w:rPr>
                <w:lang w:eastAsia="en-NZ"/>
              </w:rPr>
            </w:pPr>
            <w:r w:rsidRPr="00ED2B1F">
              <w:t>8.5%</w:t>
            </w:r>
          </w:p>
        </w:tc>
        <w:tc>
          <w:tcPr>
            <w:tcW w:w="283" w:type="dxa"/>
            <w:tcBorders>
              <w:top w:val="nil"/>
              <w:bottom w:val="nil"/>
            </w:tcBorders>
          </w:tcPr>
          <w:p w14:paraId="6A848FD7" w14:textId="77777777" w:rsidR="005C1CEE" w:rsidRPr="00ED2B1F" w:rsidRDefault="005C1CEE" w:rsidP="005606B5">
            <w:pPr>
              <w:pStyle w:val="TableText"/>
              <w:keepNext/>
              <w:rPr>
                <w:lang w:eastAsia="en-NZ"/>
              </w:rPr>
            </w:pPr>
          </w:p>
        </w:tc>
        <w:tc>
          <w:tcPr>
            <w:tcW w:w="2069" w:type="dxa"/>
          </w:tcPr>
          <w:p w14:paraId="7A8F1520" w14:textId="77777777" w:rsidR="005C1CEE" w:rsidRPr="00ED2B1F" w:rsidRDefault="005C1CEE" w:rsidP="005606B5">
            <w:pPr>
              <w:pStyle w:val="TableText"/>
              <w:keepNext/>
              <w:rPr>
                <w:lang w:eastAsia="en-NZ"/>
              </w:rPr>
            </w:pPr>
            <w:r w:rsidRPr="00ED2B1F">
              <w:t>Waikato</w:t>
            </w:r>
          </w:p>
        </w:tc>
        <w:tc>
          <w:tcPr>
            <w:tcW w:w="1701" w:type="dxa"/>
          </w:tcPr>
          <w:p w14:paraId="5E2A6DA6" w14:textId="77777777" w:rsidR="005C1CEE" w:rsidRPr="00ED2B1F" w:rsidRDefault="005C1CEE" w:rsidP="005606B5">
            <w:pPr>
              <w:pStyle w:val="TableText"/>
              <w:keepNext/>
              <w:jc w:val="center"/>
              <w:rPr>
                <w:lang w:eastAsia="en-NZ"/>
              </w:rPr>
            </w:pPr>
            <w:r w:rsidRPr="00ED2B1F">
              <w:t>9.5%</w:t>
            </w:r>
          </w:p>
        </w:tc>
      </w:tr>
      <w:tr w:rsidR="005C1CEE" w:rsidRPr="00ED2B1F" w14:paraId="38D67543" w14:textId="77777777" w:rsidTr="005606B5">
        <w:trPr>
          <w:cantSplit/>
          <w:trHeight w:val="300"/>
        </w:trPr>
        <w:tc>
          <w:tcPr>
            <w:tcW w:w="2070" w:type="dxa"/>
            <w:noWrap/>
          </w:tcPr>
          <w:p w14:paraId="2AB4CFDE" w14:textId="77777777" w:rsidR="005C1CEE" w:rsidRPr="00ED2B1F" w:rsidRDefault="005C1CEE" w:rsidP="005606B5">
            <w:pPr>
              <w:pStyle w:val="TableText"/>
              <w:keepNext/>
              <w:rPr>
                <w:lang w:eastAsia="en-NZ"/>
              </w:rPr>
            </w:pPr>
            <w:r w:rsidRPr="00ED2B1F">
              <w:t>Hutt Valley</w:t>
            </w:r>
          </w:p>
        </w:tc>
        <w:tc>
          <w:tcPr>
            <w:tcW w:w="1701" w:type="dxa"/>
            <w:noWrap/>
          </w:tcPr>
          <w:p w14:paraId="759741C0" w14:textId="77777777" w:rsidR="005C1CEE" w:rsidRPr="00ED2B1F" w:rsidRDefault="005C1CEE" w:rsidP="005606B5">
            <w:pPr>
              <w:pStyle w:val="TableText"/>
              <w:keepNext/>
              <w:tabs>
                <w:tab w:val="decimal" w:pos="458"/>
              </w:tabs>
              <w:jc w:val="center"/>
              <w:rPr>
                <w:lang w:eastAsia="en-NZ"/>
              </w:rPr>
            </w:pPr>
            <w:r w:rsidRPr="00ED2B1F">
              <w:t>10.8%</w:t>
            </w:r>
          </w:p>
        </w:tc>
        <w:tc>
          <w:tcPr>
            <w:tcW w:w="283" w:type="dxa"/>
            <w:tcBorders>
              <w:top w:val="nil"/>
              <w:bottom w:val="nil"/>
            </w:tcBorders>
          </w:tcPr>
          <w:p w14:paraId="46C2553E" w14:textId="77777777" w:rsidR="005C1CEE" w:rsidRPr="00ED2B1F" w:rsidRDefault="005C1CEE" w:rsidP="005606B5">
            <w:pPr>
              <w:pStyle w:val="TableText"/>
              <w:keepNext/>
              <w:rPr>
                <w:lang w:eastAsia="en-NZ"/>
              </w:rPr>
            </w:pPr>
          </w:p>
        </w:tc>
        <w:tc>
          <w:tcPr>
            <w:tcW w:w="2069" w:type="dxa"/>
          </w:tcPr>
          <w:p w14:paraId="284CF3FB" w14:textId="77777777" w:rsidR="005C1CEE" w:rsidRPr="00ED2B1F" w:rsidRDefault="005C1CEE" w:rsidP="005606B5">
            <w:pPr>
              <w:pStyle w:val="TableText"/>
              <w:keepNext/>
              <w:rPr>
                <w:lang w:eastAsia="en-NZ"/>
              </w:rPr>
            </w:pPr>
            <w:r w:rsidRPr="00ED2B1F">
              <w:t>Waitematā</w:t>
            </w:r>
          </w:p>
        </w:tc>
        <w:tc>
          <w:tcPr>
            <w:tcW w:w="1701" w:type="dxa"/>
          </w:tcPr>
          <w:p w14:paraId="2B38B076" w14:textId="77777777" w:rsidR="005C1CEE" w:rsidRPr="00ED2B1F" w:rsidRDefault="005C1CEE" w:rsidP="005606B5">
            <w:pPr>
              <w:pStyle w:val="TableText"/>
              <w:keepNext/>
              <w:jc w:val="center"/>
              <w:rPr>
                <w:lang w:eastAsia="en-NZ"/>
              </w:rPr>
            </w:pPr>
            <w:r w:rsidRPr="00ED2B1F">
              <w:t>2.3%</w:t>
            </w:r>
          </w:p>
        </w:tc>
      </w:tr>
      <w:tr w:rsidR="005C1CEE" w:rsidRPr="00ED2B1F" w14:paraId="4F265AD1" w14:textId="77777777" w:rsidTr="005606B5">
        <w:trPr>
          <w:cantSplit/>
          <w:trHeight w:val="300"/>
        </w:trPr>
        <w:tc>
          <w:tcPr>
            <w:tcW w:w="2070" w:type="dxa"/>
            <w:noWrap/>
          </w:tcPr>
          <w:p w14:paraId="165D4F61" w14:textId="77777777" w:rsidR="005C1CEE" w:rsidRPr="00ED2B1F" w:rsidRDefault="005C1CEE" w:rsidP="005606B5">
            <w:pPr>
              <w:pStyle w:val="TableText"/>
              <w:keepNext/>
            </w:pPr>
            <w:r w:rsidRPr="00ED2B1F">
              <w:t xml:space="preserve">Lakes </w:t>
            </w:r>
          </w:p>
        </w:tc>
        <w:tc>
          <w:tcPr>
            <w:tcW w:w="1701" w:type="dxa"/>
            <w:noWrap/>
          </w:tcPr>
          <w:p w14:paraId="14BAED05" w14:textId="77777777" w:rsidR="005C1CEE" w:rsidRPr="00ED2B1F" w:rsidDel="00645EEB" w:rsidRDefault="005C1CEE" w:rsidP="005606B5">
            <w:pPr>
              <w:pStyle w:val="TableText"/>
              <w:keepNext/>
              <w:tabs>
                <w:tab w:val="decimal" w:pos="458"/>
              </w:tabs>
              <w:jc w:val="center"/>
            </w:pPr>
            <w:r w:rsidRPr="00ED2B1F">
              <w:t>4.1%</w:t>
            </w:r>
          </w:p>
        </w:tc>
        <w:tc>
          <w:tcPr>
            <w:tcW w:w="283" w:type="dxa"/>
            <w:tcBorders>
              <w:top w:val="nil"/>
              <w:bottom w:val="nil"/>
            </w:tcBorders>
          </w:tcPr>
          <w:p w14:paraId="622395CE" w14:textId="77777777" w:rsidR="005C1CEE" w:rsidRPr="00ED2B1F" w:rsidRDefault="005C1CEE" w:rsidP="005606B5">
            <w:pPr>
              <w:pStyle w:val="TableText"/>
              <w:keepNext/>
              <w:rPr>
                <w:lang w:eastAsia="en-NZ"/>
              </w:rPr>
            </w:pPr>
          </w:p>
        </w:tc>
        <w:tc>
          <w:tcPr>
            <w:tcW w:w="2069" w:type="dxa"/>
          </w:tcPr>
          <w:p w14:paraId="0A36FA7F" w14:textId="77777777" w:rsidR="005C1CEE" w:rsidRPr="00ED2B1F" w:rsidRDefault="005C1CEE" w:rsidP="005606B5">
            <w:pPr>
              <w:pStyle w:val="TableText"/>
              <w:keepNext/>
              <w:rPr>
                <w:lang w:eastAsia="en-NZ"/>
              </w:rPr>
            </w:pPr>
            <w:r w:rsidRPr="00ED2B1F">
              <w:t>West Coast</w:t>
            </w:r>
          </w:p>
        </w:tc>
        <w:tc>
          <w:tcPr>
            <w:tcW w:w="1701" w:type="dxa"/>
          </w:tcPr>
          <w:p w14:paraId="7A349ADF" w14:textId="77777777" w:rsidR="005C1CEE" w:rsidRPr="00ED2B1F" w:rsidRDefault="005C1CEE" w:rsidP="005606B5">
            <w:pPr>
              <w:pStyle w:val="TableText"/>
              <w:keepNext/>
              <w:jc w:val="center"/>
              <w:rPr>
                <w:lang w:eastAsia="en-NZ"/>
              </w:rPr>
            </w:pPr>
            <w:r w:rsidRPr="00ED2B1F">
              <w:t>10.7%</w:t>
            </w:r>
          </w:p>
        </w:tc>
      </w:tr>
      <w:tr w:rsidR="005C1CEE" w:rsidRPr="00ED2B1F" w14:paraId="39B01095" w14:textId="77777777" w:rsidTr="005606B5">
        <w:trPr>
          <w:cantSplit/>
          <w:trHeight w:val="300"/>
        </w:trPr>
        <w:tc>
          <w:tcPr>
            <w:tcW w:w="2070" w:type="dxa"/>
            <w:noWrap/>
          </w:tcPr>
          <w:p w14:paraId="0D76DCDE" w14:textId="77777777" w:rsidR="005C1CEE" w:rsidRPr="00ED2B1F" w:rsidRDefault="005C1CEE" w:rsidP="005606B5">
            <w:pPr>
              <w:pStyle w:val="TableText"/>
              <w:keepNext/>
            </w:pPr>
            <w:r w:rsidRPr="00ED2B1F">
              <w:t>MidCentral</w:t>
            </w:r>
          </w:p>
        </w:tc>
        <w:tc>
          <w:tcPr>
            <w:tcW w:w="1701" w:type="dxa"/>
            <w:noWrap/>
          </w:tcPr>
          <w:p w14:paraId="2403FB6E" w14:textId="77777777" w:rsidR="005C1CEE" w:rsidRPr="00ED2B1F" w:rsidRDefault="005C1CEE" w:rsidP="005606B5">
            <w:pPr>
              <w:pStyle w:val="TableText"/>
              <w:keepNext/>
              <w:tabs>
                <w:tab w:val="decimal" w:pos="458"/>
              </w:tabs>
              <w:jc w:val="center"/>
              <w:rPr>
                <w:lang w:eastAsia="en-NZ"/>
              </w:rPr>
            </w:pPr>
            <w:r w:rsidRPr="00ED2B1F">
              <w:t>3.0%</w:t>
            </w:r>
          </w:p>
        </w:tc>
        <w:tc>
          <w:tcPr>
            <w:tcW w:w="283" w:type="dxa"/>
            <w:tcBorders>
              <w:top w:val="nil"/>
              <w:bottom w:val="nil"/>
            </w:tcBorders>
          </w:tcPr>
          <w:p w14:paraId="47D16914" w14:textId="77777777" w:rsidR="005C1CEE" w:rsidRPr="00ED2B1F" w:rsidRDefault="005C1CEE" w:rsidP="005606B5">
            <w:pPr>
              <w:pStyle w:val="TableText"/>
              <w:keepNext/>
              <w:rPr>
                <w:lang w:eastAsia="en-NZ"/>
              </w:rPr>
            </w:pPr>
          </w:p>
        </w:tc>
        <w:tc>
          <w:tcPr>
            <w:tcW w:w="2069" w:type="dxa"/>
          </w:tcPr>
          <w:p w14:paraId="47B8EDFF" w14:textId="77777777" w:rsidR="005C1CEE" w:rsidRPr="00ED2B1F" w:rsidRDefault="005C1CEE" w:rsidP="005606B5">
            <w:pPr>
              <w:pStyle w:val="TableText"/>
              <w:keepNext/>
              <w:rPr>
                <w:b/>
                <w:bCs/>
                <w:lang w:eastAsia="en-NZ"/>
              </w:rPr>
            </w:pPr>
            <w:r w:rsidRPr="00ED2B1F">
              <w:t>Whanganui</w:t>
            </w:r>
          </w:p>
        </w:tc>
        <w:tc>
          <w:tcPr>
            <w:tcW w:w="1701" w:type="dxa"/>
          </w:tcPr>
          <w:p w14:paraId="1C8F1F4A" w14:textId="77777777" w:rsidR="005C1CEE" w:rsidRPr="00ED2B1F" w:rsidRDefault="005C1CEE" w:rsidP="005606B5">
            <w:pPr>
              <w:pStyle w:val="TableText"/>
              <w:keepNext/>
              <w:jc w:val="center"/>
              <w:rPr>
                <w:b/>
                <w:bCs/>
                <w:lang w:eastAsia="en-NZ"/>
              </w:rPr>
            </w:pPr>
            <w:r w:rsidRPr="00ED2B1F">
              <w:t>3.2%</w:t>
            </w:r>
          </w:p>
        </w:tc>
      </w:tr>
      <w:tr w:rsidR="005C1CEE" w:rsidRPr="00ED2B1F" w14:paraId="46275CDF" w14:textId="77777777" w:rsidTr="005606B5">
        <w:trPr>
          <w:cantSplit/>
          <w:trHeight w:val="300"/>
        </w:trPr>
        <w:tc>
          <w:tcPr>
            <w:tcW w:w="2070" w:type="dxa"/>
            <w:noWrap/>
          </w:tcPr>
          <w:p w14:paraId="3278EE89" w14:textId="77777777" w:rsidR="005C1CEE" w:rsidRPr="00ED2B1F" w:rsidRDefault="005C1CEE" w:rsidP="005606B5">
            <w:pPr>
              <w:pStyle w:val="TableText"/>
              <w:keepNext/>
            </w:pPr>
            <w:r w:rsidRPr="00ED2B1F">
              <w:t>Nelson Marlborough</w:t>
            </w:r>
          </w:p>
        </w:tc>
        <w:tc>
          <w:tcPr>
            <w:tcW w:w="1701" w:type="dxa"/>
            <w:noWrap/>
          </w:tcPr>
          <w:p w14:paraId="6463BF68" w14:textId="77777777" w:rsidR="005C1CEE" w:rsidRPr="00ED2B1F" w:rsidRDefault="005C1CEE" w:rsidP="005606B5">
            <w:pPr>
              <w:pStyle w:val="TableText"/>
              <w:keepNext/>
              <w:tabs>
                <w:tab w:val="decimal" w:pos="458"/>
              </w:tabs>
              <w:jc w:val="center"/>
              <w:rPr>
                <w:lang w:eastAsia="en-NZ"/>
              </w:rPr>
            </w:pPr>
            <w:r w:rsidRPr="00ED2B1F">
              <w:t>7.7%</w:t>
            </w:r>
          </w:p>
        </w:tc>
        <w:tc>
          <w:tcPr>
            <w:tcW w:w="283" w:type="dxa"/>
            <w:tcBorders>
              <w:top w:val="nil"/>
              <w:bottom w:val="nil"/>
            </w:tcBorders>
          </w:tcPr>
          <w:p w14:paraId="61B2D71D" w14:textId="77777777" w:rsidR="005C1CEE" w:rsidRPr="00ED2B1F" w:rsidRDefault="005C1CEE" w:rsidP="005606B5">
            <w:pPr>
              <w:pStyle w:val="TableText"/>
              <w:keepNext/>
              <w:rPr>
                <w:lang w:eastAsia="en-NZ"/>
              </w:rPr>
            </w:pPr>
          </w:p>
        </w:tc>
        <w:tc>
          <w:tcPr>
            <w:tcW w:w="2069" w:type="dxa"/>
          </w:tcPr>
          <w:p w14:paraId="24F367AD" w14:textId="77777777" w:rsidR="005C1CEE" w:rsidRPr="00ED2B1F" w:rsidRDefault="005C1CEE" w:rsidP="005606B5">
            <w:pPr>
              <w:pStyle w:val="TableText"/>
              <w:keepNext/>
              <w:rPr>
                <w:b/>
                <w:bCs/>
                <w:lang w:eastAsia="en-NZ"/>
              </w:rPr>
            </w:pPr>
            <w:r w:rsidRPr="00ED2B1F">
              <w:rPr>
                <w:b/>
                <w:bCs/>
              </w:rPr>
              <w:t>National average</w:t>
            </w:r>
          </w:p>
        </w:tc>
        <w:tc>
          <w:tcPr>
            <w:tcW w:w="1701" w:type="dxa"/>
          </w:tcPr>
          <w:p w14:paraId="28DD2028" w14:textId="77777777" w:rsidR="005C1CEE" w:rsidRPr="00ED2B1F" w:rsidRDefault="005C1CEE" w:rsidP="005606B5">
            <w:pPr>
              <w:pStyle w:val="TableText"/>
              <w:keepNext/>
              <w:jc w:val="center"/>
              <w:rPr>
                <w:b/>
                <w:bCs/>
                <w:lang w:eastAsia="en-NZ"/>
              </w:rPr>
            </w:pPr>
            <w:r w:rsidRPr="00ED2B1F">
              <w:rPr>
                <w:b/>
                <w:bCs/>
              </w:rPr>
              <w:t>6.4%</w:t>
            </w:r>
          </w:p>
        </w:tc>
      </w:tr>
    </w:tbl>
    <w:p w14:paraId="225DA21C" w14:textId="77777777" w:rsidR="00463C26" w:rsidRPr="00ED2B1F" w:rsidRDefault="00463C26" w:rsidP="00463C26">
      <w:pPr>
        <w:rPr>
          <w:rFonts w:cs="Segoe UI"/>
        </w:rPr>
      </w:pPr>
    </w:p>
    <w:p w14:paraId="3A7C4A9A" w14:textId="77777777" w:rsidR="00463C26" w:rsidRPr="00ED2B1F" w:rsidRDefault="00463C26" w:rsidP="00463C26">
      <w:pPr>
        <w:pStyle w:val="Note"/>
      </w:pPr>
      <w:r w:rsidRPr="00ED2B1F">
        <w:t>Notes: The data excludes forensic inpatient services, regional intellectual disability secure services, and Wairarapa as it had no inpatient service. Some services may have low admission rates, with the result that they have a higher percentage of admissions with seclusion recorded than other services.</w:t>
      </w:r>
    </w:p>
    <w:p w14:paraId="4D46D3E8" w14:textId="77777777" w:rsidR="00463C26" w:rsidRPr="00ED2B1F" w:rsidRDefault="00463C26" w:rsidP="00463C26">
      <w:pPr>
        <w:pStyle w:val="Source"/>
      </w:pPr>
      <w:r w:rsidRPr="00ED2B1F">
        <w:t>Sources: PRIMHD data (extracted 10 June 2025) and manual data from Health New Zealand Canterbury, Southern, Waikato and Waitematā.</w:t>
      </w:r>
    </w:p>
    <w:p w14:paraId="6EECD6AD" w14:textId="77777777" w:rsidR="00463C26" w:rsidRPr="00ED2B1F" w:rsidRDefault="00463C26" w:rsidP="00EC2E96"/>
    <w:p w14:paraId="77903984" w14:textId="6F0876A9" w:rsidR="00911566" w:rsidRDefault="00463C26" w:rsidP="00B2356E">
      <w:r w:rsidRPr="00ED2B1F">
        <w:t xml:space="preserve">Nationally, the average number of seclusion events was 33.6 per 100,000 people in the general population, down from 38.4 in the 2022/23 financial year. </w:t>
      </w:r>
      <w:r w:rsidR="00B2356E">
        <w:fldChar w:fldCharType="begin"/>
      </w:r>
      <w:r w:rsidR="00B2356E">
        <w:instrText xml:space="preserve"> REF Figure24 \h </w:instrText>
      </w:r>
      <w:r w:rsidR="00B2356E">
        <w:fldChar w:fldCharType="separate"/>
      </w:r>
      <w:r w:rsidR="00484E57">
        <w:t xml:space="preserve">Figure </w:t>
      </w:r>
      <w:r w:rsidR="00484E57">
        <w:rPr>
          <w:noProof/>
        </w:rPr>
        <w:t>24</w:t>
      </w:r>
      <w:r w:rsidR="00B2356E">
        <w:fldChar w:fldCharType="end"/>
      </w:r>
      <w:r w:rsidR="00B2356E">
        <w:t xml:space="preserve"> </w:t>
      </w:r>
      <w:r w:rsidR="00911566" w:rsidRPr="00911566">
        <w:t xml:space="preserve">breaks this rate down by Health New Zealand district. </w:t>
      </w:r>
    </w:p>
    <w:p w14:paraId="00B336E5" w14:textId="77777777" w:rsidR="001760C4" w:rsidRPr="00911566" w:rsidRDefault="001760C4" w:rsidP="00B2356E"/>
    <w:p w14:paraId="114E1024" w14:textId="01EB304D" w:rsidR="001760C4" w:rsidRDefault="00911566" w:rsidP="00B2356E">
      <w:r w:rsidRPr="00911566">
        <w:t>The average length of a seclusion event was 23.4 hours, a decrease from 27.5 hours in the previous year.</w:t>
      </w:r>
      <w:r w:rsidR="006B1F70">
        <w:t xml:space="preserve"> </w:t>
      </w:r>
      <w:bookmarkStart w:id="272" w:name="_Ref214879678"/>
      <w:bookmarkStart w:id="273" w:name="_Ref224043506"/>
    </w:p>
    <w:p w14:paraId="72F951A5" w14:textId="77777777" w:rsidR="00EC2E96" w:rsidRDefault="00EC2E96" w:rsidP="00B2356E"/>
    <w:p w14:paraId="74C48C9E" w14:textId="77777777" w:rsidR="00EC2E96" w:rsidRDefault="00EC2E96" w:rsidP="00EC2E96">
      <w:pPr>
        <w:pStyle w:val="Figure"/>
        <w:sectPr w:rsidR="00EC2E96" w:rsidSect="00D4159A">
          <w:pgSz w:w="11907" w:h="16834" w:code="9"/>
          <w:pgMar w:top="1418" w:right="1701" w:bottom="1134" w:left="1843" w:header="284" w:footer="425" w:gutter="284"/>
          <w:cols w:space="720"/>
        </w:sectPr>
      </w:pPr>
      <w:bookmarkStart w:id="274" w:name="_Ref224045479"/>
    </w:p>
    <w:p w14:paraId="576F027F" w14:textId="07A04950" w:rsidR="00EC2E96" w:rsidRDefault="00EC2E96" w:rsidP="00EC2E96">
      <w:pPr>
        <w:pStyle w:val="Figure"/>
      </w:pPr>
      <w:bookmarkStart w:id="275" w:name="Figure24"/>
      <w:bookmarkStart w:id="276" w:name="_Toc224638196"/>
      <w:r>
        <w:lastRenderedPageBreak/>
        <w:t xml:space="preserve">Figure </w:t>
      </w:r>
      <w:r>
        <w:fldChar w:fldCharType="begin"/>
      </w:r>
      <w:r>
        <w:instrText xml:space="preserve"> SEQ Figure \* ARABIC </w:instrText>
      </w:r>
      <w:r>
        <w:fldChar w:fldCharType="separate"/>
      </w:r>
      <w:r w:rsidR="00484E57">
        <w:rPr>
          <w:noProof/>
        </w:rPr>
        <w:t>24</w:t>
      </w:r>
      <w:r>
        <w:fldChar w:fldCharType="end"/>
      </w:r>
      <w:bookmarkEnd w:id="274"/>
      <w:bookmarkEnd w:id="275"/>
      <w:r>
        <w:t xml:space="preserve">: </w:t>
      </w:r>
      <w:r w:rsidRPr="00EC2E96">
        <w:t>Number of seclusion events in adult inpatient services per 100,000 population, by district, 1 July 2023 to 30 June 2024</w:t>
      </w:r>
      <w:bookmarkEnd w:id="276"/>
    </w:p>
    <w:p w14:paraId="24F1DBFE" w14:textId="3F51A00B" w:rsidR="006B1F70" w:rsidRDefault="00CC12F1" w:rsidP="006B1F70">
      <w:r>
        <w:rPr>
          <w:noProof/>
        </w:rPr>
        <w:drawing>
          <wp:inline distT="0" distB="0" distL="0" distR="0" wp14:anchorId="770BFF38" wp14:editId="1A57B991">
            <wp:extent cx="5133340" cy="2914015"/>
            <wp:effectExtent l="0" t="0" r="0" b="635"/>
            <wp:docPr id="1836777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78" name="Picture 2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3340" cy="2914015"/>
                    </a:xfrm>
                    <a:prstGeom prst="rect">
                      <a:avLst/>
                    </a:prstGeom>
                    <a:noFill/>
                  </pic:spPr>
                </pic:pic>
              </a:graphicData>
            </a:graphic>
          </wp:inline>
        </w:drawing>
      </w:r>
    </w:p>
    <w:bookmarkEnd w:id="272"/>
    <w:bookmarkEnd w:id="273"/>
    <w:p w14:paraId="4408B6DE" w14:textId="22C8AC2C" w:rsidR="00463C26" w:rsidRPr="00ED2B1F" w:rsidRDefault="00463C26" w:rsidP="00463C26">
      <w:pPr>
        <w:pStyle w:val="Note"/>
      </w:pPr>
      <w:r w:rsidRPr="00ED2B1F">
        <w:t>Notes: In this figure, the confidence intervals (for 99% confidence, shown as vertical lines through the blue diamond markers) can help with interpreting the data. Where a service’s confidence interval crosses the national average, that means its rate was not different from the average</w:t>
      </w:r>
      <w:r w:rsidR="006F4B34" w:rsidRPr="00ED2B1F">
        <w:t xml:space="preserve"> at a statistically significant level</w:t>
      </w:r>
      <w:r w:rsidRPr="00ED2B1F">
        <w:t xml:space="preserve">. </w:t>
      </w:r>
      <w:r w:rsidRPr="00ED2B1F">
        <w:rPr>
          <w:szCs w:val="17"/>
        </w:rPr>
        <w:t>The data excludes forensic inpatient services and</w:t>
      </w:r>
      <w:r w:rsidRPr="00ED2B1F">
        <w:t xml:space="preserve"> regional intellectual disability secure services. Wairarapa had no inpatient unit, so is not shown in this figure.</w:t>
      </w:r>
    </w:p>
    <w:p w14:paraId="1D5C4016" w14:textId="77777777" w:rsidR="00463C26" w:rsidRPr="00ED2B1F" w:rsidRDefault="00463C26" w:rsidP="005C1CEE">
      <w:pPr>
        <w:pStyle w:val="Source"/>
      </w:pPr>
      <w:r w:rsidRPr="00ED2B1F">
        <w:t>Sources: PRIMHD data (extracted 10 June 2025) and manual data from Health New Zealand Canterbury, Southern, Waikato and Waitematā.</w:t>
      </w:r>
    </w:p>
    <w:p w14:paraId="66DD9639" w14:textId="77777777" w:rsidR="006931C3" w:rsidRPr="00ED2B1F" w:rsidRDefault="006931C3">
      <w:pPr>
        <w:rPr>
          <w:b/>
          <w:color w:val="1B83A0"/>
          <w:spacing w:val="-5"/>
          <w:sz w:val="48"/>
        </w:rPr>
      </w:pPr>
      <w:r w:rsidRPr="00ED2B1F">
        <w:br w:type="page"/>
      </w:r>
    </w:p>
    <w:p w14:paraId="3B5F2EC5" w14:textId="514BE002" w:rsidR="00463C26" w:rsidRPr="00ED2B1F" w:rsidRDefault="00463C26" w:rsidP="007A34A3">
      <w:pPr>
        <w:pStyle w:val="Heading2"/>
      </w:pPr>
      <w:bookmarkStart w:id="277" w:name="_Toc224638098"/>
      <w:r w:rsidRPr="00ED2B1F">
        <w:lastRenderedPageBreak/>
        <w:t>Seclusion and ethnicity</w:t>
      </w:r>
      <w:bookmarkEnd w:id="277"/>
    </w:p>
    <w:p w14:paraId="4D921BD9" w14:textId="77777777" w:rsidR="00463C26" w:rsidRPr="00ED2B1F" w:rsidRDefault="00463C26" w:rsidP="00463C26">
      <w:r w:rsidRPr="00ED2B1F">
        <w:t>The rate of seclusion for Māori in adult inpatient services was 62.8 people per 100,000 people in the general population. Māori were 6.6 times more likely to be secluded than non-Māori, who had a rate of 9.6 people per 100,000.</w:t>
      </w:r>
    </w:p>
    <w:p w14:paraId="79433D54" w14:textId="77777777" w:rsidR="00463C26" w:rsidRPr="00ED2B1F" w:rsidRDefault="00463C26" w:rsidP="00463C26"/>
    <w:p w14:paraId="2394B621" w14:textId="6E35799C" w:rsidR="00463C26" w:rsidRPr="00ED2B1F" w:rsidRDefault="0086592A" w:rsidP="00463C26">
      <w:r w:rsidRPr="00ED2B1F">
        <w:fldChar w:fldCharType="begin"/>
      </w:r>
      <w:r w:rsidRPr="00ED2B1F">
        <w:instrText xml:space="preserve"> REF _Ref219293961 \h </w:instrText>
      </w:r>
      <w:r w:rsidRPr="00ED2B1F">
        <w:fldChar w:fldCharType="separate"/>
      </w:r>
      <w:r w:rsidR="00484E57" w:rsidRPr="00ED2B1F">
        <w:t>Figure </w:t>
      </w:r>
      <w:r w:rsidR="00484E57">
        <w:rPr>
          <w:noProof/>
        </w:rPr>
        <w:t>25</w:t>
      </w:r>
      <w:r w:rsidRPr="00ED2B1F">
        <w:fldChar w:fldCharType="end"/>
      </w:r>
      <w:r w:rsidR="00463C26" w:rsidRPr="00ED2B1F">
        <w:t xml:space="preserve"> shows the number of people secluded by ethnicity over four financial years, from 2020/21 to 2023/24.</w:t>
      </w:r>
    </w:p>
    <w:p w14:paraId="38D01E34" w14:textId="77777777" w:rsidR="006931C3" w:rsidRPr="00ED2B1F" w:rsidRDefault="006931C3" w:rsidP="00463C26"/>
    <w:p w14:paraId="163FDA36" w14:textId="330937CA" w:rsidR="00463C26" w:rsidRPr="00ED2B1F" w:rsidRDefault="00463C26" w:rsidP="00C103C7">
      <w:pPr>
        <w:pStyle w:val="Figure"/>
      </w:pPr>
      <w:bookmarkStart w:id="278" w:name="_Ref219293961"/>
      <w:bookmarkStart w:id="279" w:name="_Toc224638197"/>
      <w:r w:rsidRPr="00ED2B1F">
        <w:t>Figure </w:t>
      </w:r>
      <w:r w:rsidRPr="00ED2B1F">
        <w:fldChar w:fldCharType="begin"/>
      </w:r>
      <w:r w:rsidRPr="00ED2B1F">
        <w:instrText>SEQ Figure \* ARABIC</w:instrText>
      </w:r>
      <w:r w:rsidRPr="00ED2B1F">
        <w:fldChar w:fldCharType="separate"/>
      </w:r>
      <w:r w:rsidR="00484E57">
        <w:rPr>
          <w:noProof/>
        </w:rPr>
        <w:t>25</w:t>
      </w:r>
      <w:r w:rsidRPr="00ED2B1F">
        <w:fldChar w:fldCharType="end"/>
      </w:r>
      <w:bookmarkEnd w:id="278"/>
      <w:r w:rsidRPr="00ED2B1F">
        <w:t>: Number of people secluded in adult inpatient services, by ethnicity and year, from 1 July 2020 to 30 June 2024</w:t>
      </w:r>
      <w:bookmarkEnd w:id="279"/>
    </w:p>
    <w:p w14:paraId="1BAC3E4E" w14:textId="52B5C220" w:rsidR="00015351" w:rsidRPr="00ED2B1F" w:rsidRDefault="00CC12F1" w:rsidP="00A16838">
      <w:r>
        <w:rPr>
          <w:noProof/>
        </w:rPr>
        <w:drawing>
          <wp:inline distT="0" distB="0" distL="0" distR="0" wp14:anchorId="2678BD7C" wp14:editId="3276BAE8">
            <wp:extent cx="5212715" cy="2755900"/>
            <wp:effectExtent l="0" t="0" r="6985" b="6350"/>
            <wp:docPr id="8996205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0590" name="Picture 26">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2715" cy="2755900"/>
                    </a:xfrm>
                    <a:prstGeom prst="rect">
                      <a:avLst/>
                    </a:prstGeom>
                    <a:noFill/>
                  </pic:spPr>
                </pic:pic>
              </a:graphicData>
            </a:graphic>
          </wp:inline>
        </w:drawing>
      </w:r>
    </w:p>
    <w:p w14:paraId="4BC87CE3" w14:textId="77777777" w:rsidR="00463C26" w:rsidRPr="00ED2B1F" w:rsidRDefault="00463C26" w:rsidP="005C1CEE">
      <w:pPr>
        <w:pStyle w:val="Note"/>
      </w:pPr>
      <w:r w:rsidRPr="00ED2B1F">
        <w:t>Notes: The data excludes forensic services and regional intellectual disability secure services.</w:t>
      </w:r>
    </w:p>
    <w:p w14:paraId="656BF5B1" w14:textId="77777777" w:rsidR="00463C26" w:rsidRPr="00ED2B1F" w:rsidRDefault="00463C26" w:rsidP="005C1CEE">
      <w:pPr>
        <w:pStyle w:val="Source"/>
      </w:pPr>
      <w:r w:rsidRPr="00ED2B1F">
        <w:t>Sources: PRIMHD data (extracted 10 June 2025) and manual data from Health New Zealand Canterbury, Southern, Waikato and Waitematā.</w:t>
      </w:r>
    </w:p>
    <w:p w14:paraId="79BD7059" w14:textId="77777777" w:rsidR="00463C26" w:rsidRPr="00ED2B1F" w:rsidRDefault="00463C26" w:rsidP="00463C26">
      <w:pPr>
        <w:rPr>
          <w:rFonts w:cs="Segoe UI"/>
        </w:rPr>
      </w:pPr>
    </w:p>
    <w:p w14:paraId="215DC2FF" w14:textId="5CBC70BD" w:rsidR="006931C3" w:rsidRPr="00ED2B1F" w:rsidRDefault="00281F92" w:rsidP="00463C26">
      <w:pPr>
        <w:rPr>
          <w:rFonts w:cs="Segoe UI"/>
        </w:rPr>
      </w:pPr>
      <w:r w:rsidRPr="00ED2B1F">
        <w:rPr>
          <w:rFonts w:cs="Segoe UI"/>
        </w:rPr>
        <w:t xml:space="preserve">Along with other seclusion indicators, </w:t>
      </w:r>
      <w:r w:rsidR="0086592A" w:rsidRPr="00ED2B1F">
        <w:rPr>
          <w:rFonts w:cs="Segoe UI"/>
        </w:rPr>
        <w:fldChar w:fldCharType="begin"/>
      </w:r>
      <w:r w:rsidR="0086592A" w:rsidRPr="00ED2B1F">
        <w:rPr>
          <w:rFonts w:cs="Segoe UI"/>
        </w:rPr>
        <w:instrText xml:space="preserve"> REF _Ref219293986 \h </w:instrText>
      </w:r>
      <w:r w:rsidR="0086592A" w:rsidRPr="00ED2B1F">
        <w:rPr>
          <w:rFonts w:cs="Segoe UI"/>
        </w:rPr>
      </w:r>
      <w:r w:rsidR="0086592A" w:rsidRPr="00ED2B1F">
        <w:rPr>
          <w:rFonts w:cs="Segoe UI"/>
        </w:rPr>
        <w:fldChar w:fldCharType="separate"/>
      </w:r>
      <w:r w:rsidR="00484E57" w:rsidRPr="00ED2B1F">
        <w:t>Figure </w:t>
      </w:r>
      <w:r w:rsidR="00484E57">
        <w:rPr>
          <w:noProof/>
        </w:rPr>
        <w:t>26</w:t>
      </w:r>
      <w:r w:rsidR="0086592A" w:rsidRPr="00ED2B1F">
        <w:rPr>
          <w:rFonts w:cs="Segoe UI"/>
        </w:rPr>
        <w:fldChar w:fldCharType="end"/>
      </w:r>
      <w:r w:rsidR="00463C26" w:rsidRPr="00ED2B1F">
        <w:rPr>
          <w:rFonts w:cs="Segoe UI"/>
        </w:rPr>
        <w:t xml:space="preserve"> shows seclusion rates for Māori, Pacific peoples and other ethnicities in 2023/24. Māori were secluded at a rate of 62.8 people per 100,000 people in the general population, Pacific peoples at a rate of 15.7 people per 100,000 and other ethnicities at a rate of 9.0 people per 100,000. </w:t>
      </w:r>
    </w:p>
    <w:p w14:paraId="634CA78F" w14:textId="77777777" w:rsidR="006931C3" w:rsidRPr="00ED2B1F" w:rsidRDefault="006931C3" w:rsidP="00463C26">
      <w:pPr>
        <w:rPr>
          <w:rFonts w:cs="Segoe UI"/>
        </w:rPr>
      </w:pPr>
    </w:p>
    <w:p w14:paraId="738BF97E" w14:textId="4E5875D9" w:rsidR="00463C26" w:rsidRPr="00ED2B1F" w:rsidRDefault="0086592A" w:rsidP="00463C26">
      <w:pPr>
        <w:rPr>
          <w:rFonts w:cs="Segoe UI"/>
        </w:rPr>
      </w:pPr>
      <w:r w:rsidRPr="00ED2B1F">
        <w:rPr>
          <w:rFonts w:cs="Segoe UI"/>
          <w:bCs/>
        </w:rPr>
        <w:fldChar w:fldCharType="begin"/>
      </w:r>
      <w:r w:rsidRPr="00ED2B1F">
        <w:rPr>
          <w:rFonts w:cs="Segoe UI"/>
          <w:bCs/>
        </w:rPr>
        <w:instrText xml:space="preserve"> REF _Ref219294004 \h </w:instrText>
      </w:r>
      <w:r w:rsidRPr="00ED2B1F">
        <w:rPr>
          <w:rFonts w:cs="Segoe UI"/>
          <w:bCs/>
        </w:rPr>
      </w:r>
      <w:r w:rsidRPr="00ED2B1F">
        <w:rPr>
          <w:rFonts w:cs="Segoe UI"/>
          <w:bCs/>
        </w:rPr>
        <w:fldChar w:fldCharType="separate"/>
      </w:r>
      <w:r w:rsidR="00484E57" w:rsidRPr="00ED2B1F">
        <w:t>Figure </w:t>
      </w:r>
      <w:r w:rsidR="00484E57">
        <w:rPr>
          <w:noProof/>
        </w:rPr>
        <w:t>27</w:t>
      </w:r>
      <w:r w:rsidRPr="00ED2B1F">
        <w:rPr>
          <w:rFonts w:cs="Segoe UI"/>
          <w:bCs/>
        </w:rPr>
        <w:fldChar w:fldCharType="end"/>
      </w:r>
      <w:r w:rsidR="00463C26" w:rsidRPr="00ED2B1F">
        <w:rPr>
          <w:rFonts w:cs="Segoe UI"/>
        </w:rPr>
        <w:t xml:space="preserve"> shows the percentage of people secluded in adult inpatient services by ethnicity and gender.</w:t>
      </w:r>
    </w:p>
    <w:p w14:paraId="5BEF5E05" w14:textId="77777777" w:rsidR="00463C26" w:rsidRPr="00ED2B1F" w:rsidRDefault="00463C26" w:rsidP="00463C26">
      <w:pPr>
        <w:rPr>
          <w:rFonts w:cs="Segoe UI"/>
        </w:rPr>
      </w:pPr>
    </w:p>
    <w:p w14:paraId="08F6BA6A" w14:textId="5BB9CCAD" w:rsidR="00463C26" w:rsidRPr="00ED2B1F" w:rsidRDefault="00463C26" w:rsidP="00C103C7">
      <w:pPr>
        <w:pStyle w:val="Figure"/>
      </w:pPr>
      <w:bookmarkStart w:id="280" w:name="_Ref219293986"/>
      <w:bookmarkStart w:id="281" w:name="_Toc224638198"/>
      <w:r w:rsidRPr="00ED2B1F">
        <w:lastRenderedPageBreak/>
        <w:t>Figure </w:t>
      </w:r>
      <w:r w:rsidRPr="00ED2B1F">
        <w:fldChar w:fldCharType="begin"/>
      </w:r>
      <w:r w:rsidRPr="00ED2B1F">
        <w:instrText>SEQ Figure \* ARABIC</w:instrText>
      </w:r>
      <w:r w:rsidRPr="00ED2B1F">
        <w:fldChar w:fldCharType="separate"/>
      </w:r>
      <w:r w:rsidR="00484E57">
        <w:rPr>
          <w:noProof/>
        </w:rPr>
        <w:t>26</w:t>
      </w:r>
      <w:r w:rsidRPr="00ED2B1F">
        <w:fldChar w:fldCharType="end"/>
      </w:r>
      <w:bookmarkEnd w:id="280"/>
      <w:r w:rsidRPr="00ED2B1F">
        <w:t>: Seclusion indicators for adult inpatient services, by ethnicity, 1 July 2023 to 30 June 2024</w:t>
      </w:r>
      <w:bookmarkEnd w:id="281"/>
    </w:p>
    <w:p w14:paraId="7C5A2AC1" w14:textId="609B52C1" w:rsidR="00463C26" w:rsidRPr="00ED2B1F" w:rsidRDefault="00CC12F1" w:rsidP="00463C26">
      <w:r>
        <w:rPr>
          <w:noProof/>
        </w:rPr>
        <w:drawing>
          <wp:inline distT="0" distB="0" distL="0" distR="0" wp14:anchorId="14C28AE8" wp14:editId="0FED17D9">
            <wp:extent cx="5334635" cy="2883535"/>
            <wp:effectExtent l="0" t="0" r="0" b="0"/>
            <wp:docPr id="23014655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6557" name="Picture 2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635" cy="2883535"/>
                    </a:xfrm>
                    <a:prstGeom prst="rect">
                      <a:avLst/>
                    </a:prstGeom>
                    <a:noFill/>
                  </pic:spPr>
                </pic:pic>
              </a:graphicData>
            </a:graphic>
          </wp:inline>
        </w:drawing>
      </w:r>
    </w:p>
    <w:p w14:paraId="2A271B6F" w14:textId="77777777" w:rsidR="00463C26" w:rsidRPr="00ED2B1F" w:rsidRDefault="00463C26" w:rsidP="005C1CEE">
      <w:pPr>
        <w:pStyle w:val="Note"/>
      </w:pPr>
      <w:r w:rsidRPr="00ED2B1F">
        <w:t>Note: The data excludes forensic services and regional intellectual disability secure services.</w:t>
      </w:r>
    </w:p>
    <w:p w14:paraId="39544BC3" w14:textId="77777777" w:rsidR="00463C26" w:rsidRPr="00ED2B1F" w:rsidRDefault="00463C26" w:rsidP="005C1CEE">
      <w:pPr>
        <w:pStyle w:val="Source"/>
      </w:pPr>
      <w:r w:rsidRPr="00ED2B1F">
        <w:t>Sources: PRIMHD data (extracted 10 June 2025) and manual data for Health New Zealand Canterbury, Southern, Waikato and Waitematā.</w:t>
      </w:r>
    </w:p>
    <w:p w14:paraId="71EB5AE4" w14:textId="77777777" w:rsidR="00463C26" w:rsidRPr="00ED2B1F" w:rsidRDefault="00463C26" w:rsidP="00463C26">
      <w:pPr>
        <w:spacing w:before="80"/>
        <w:rPr>
          <w:rFonts w:cs="Segoe UI"/>
          <w:sz w:val="17"/>
        </w:rPr>
      </w:pPr>
    </w:p>
    <w:p w14:paraId="6D0AE1F9" w14:textId="0C027398" w:rsidR="00463C26" w:rsidRPr="00ED2B1F" w:rsidRDefault="00463C26" w:rsidP="00C103C7">
      <w:pPr>
        <w:pStyle w:val="Figure"/>
      </w:pPr>
      <w:bookmarkStart w:id="282" w:name="_Ref219294004"/>
      <w:bookmarkStart w:id="283" w:name="_Toc224638199"/>
      <w:r w:rsidRPr="00ED2B1F">
        <w:t>Figure </w:t>
      </w:r>
      <w:r w:rsidRPr="00ED2B1F">
        <w:fldChar w:fldCharType="begin"/>
      </w:r>
      <w:r w:rsidRPr="00ED2B1F">
        <w:instrText>SEQ Figure \* ARABIC</w:instrText>
      </w:r>
      <w:r w:rsidRPr="00ED2B1F">
        <w:fldChar w:fldCharType="separate"/>
      </w:r>
      <w:r w:rsidR="00484E57">
        <w:rPr>
          <w:noProof/>
        </w:rPr>
        <w:t>27</w:t>
      </w:r>
      <w:r w:rsidRPr="00ED2B1F">
        <w:fldChar w:fldCharType="end"/>
      </w:r>
      <w:bookmarkEnd w:id="282"/>
      <w:r w:rsidRPr="00ED2B1F">
        <w:t>: Percentage of people secluded in adult inpatient services, by ethnicity and gender, 1 July 2023 to 30 June 2024</w:t>
      </w:r>
      <w:bookmarkEnd w:id="283"/>
    </w:p>
    <w:p w14:paraId="558C051E" w14:textId="4CF59AD5" w:rsidR="00463C26" w:rsidRPr="00ED2B1F" w:rsidRDefault="00CC12F1" w:rsidP="00463C26">
      <w:r>
        <w:rPr>
          <w:noProof/>
        </w:rPr>
        <w:drawing>
          <wp:inline distT="0" distB="0" distL="0" distR="0" wp14:anchorId="3C2DAAEC" wp14:editId="15B890D7">
            <wp:extent cx="5304155" cy="2268220"/>
            <wp:effectExtent l="0" t="0" r="0" b="0"/>
            <wp:docPr id="67096356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3568" name="Picture 28">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155" cy="2268220"/>
                    </a:xfrm>
                    <a:prstGeom prst="rect">
                      <a:avLst/>
                    </a:prstGeom>
                    <a:noFill/>
                  </pic:spPr>
                </pic:pic>
              </a:graphicData>
            </a:graphic>
          </wp:inline>
        </w:drawing>
      </w:r>
    </w:p>
    <w:p w14:paraId="77AD2CE2" w14:textId="77777777" w:rsidR="00463C26" w:rsidRPr="00ED2B1F" w:rsidRDefault="00463C26" w:rsidP="00463C26">
      <w:pPr>
        <w:spacing w:before="80"/>
        <w:rPr>
          <w:rFonts w:cs="Segoe UI"/>
          <w:sz w:val="17"/>
        </w:rPr>
      </w:pPr>
      <w:r w:rsidRPr="00ED2B1F">
        <w:rPr>
          <w:rFonts w:cs="Segoe UI"/>
          <w:sz w:val="17"/>
        </w:rPr>
        <w:t>Note: The data excludes forensic services and regional intellectual disability secure services.</w:t>
      </w:r>
    </w:p>
    <w:p w14:paraId="499FC3E6" w14:textId="77777777" w:rsidR="00463C26" w:rsidRPr="00ED2B1F" w:rsidRDefault="00463C26" w:rsidP="00463C26">
      <w:pPr>
        <w:spacing w:before="80"/>
        <w:rPr>
          <w:rFonts w:cs="Segoe UI"/>
          <w:sz w:val="17"/>
        </w:rPr>
      </w:pPr>
      <w:r w:rsidRPr="00ED2B1F">
        <w:rPr>
          <w:rFonts w:cs="Segoe UI"/>
          <w:sz w:val="17"/>
        </w:rPr>
        <w:t>Sources: PRIMHD data (extracted 10 June 2025) and manual data for Health New Zealand Canterbury, Southern, Waikato and Waitematā.</w:t>
      </w:r>
    </w:p>
    <w:p w14:paraId="112B3AAE" w14:textId="77777777" w:rsidR="00463C26" w:rsidRPr="00ED2B1F" w:rsidRDefault="00463C26" w:rsidP="00463C26">
      <w:pPr>
        <w:rPr>
          <w:rFonts w:cs="Segoe UI"/>
        </w:rPr>
      </w:pPr>
    </w:p>
    <w:p w14:paraId="4276DCCF" w14:textId="31DFACF4" w:rsidR="00463C26" w:rsidRPr="00ED2B1F" w:rsidRDefault="0086592A" w:rsidP="00463C26">
      <w:pPr>
        <w:rPr>
          <w:rFonts w:cs="Segoe UI"/>
          <w:b/>
        </w:rPr>
      </w:pPr>
      <w:r w:rsidRPr="00ED2B1F">
        <w:rPr>
          <w:rFonts w:cs="Segoe UI"/>
        </w:rPr>
        <w:fldChar w:fldCharType="begin"/>
      </w:r>
      <w:r w:rsidRPr="00ED2B1F">
        <w:rPr>
          <w:rFonts w:cs="Segoe UI"/>
        </w:rPr>
        <w:instrText xml:space="preserve"> REF _Ref219294017 \h </w:instrText>
      </w:r>
      <w:r w:rsidRPr="00ED2B1F">
        <w:rPr>
          <w:rFonts w:cs="Segoe UI"/>
        </w:rPr>
      </w:r>
      <w:r w:rsidRPr="00ED2B1F">
        <w:rPr>
          <w:rFonts w:cs="Segoe UI"/>
        </w:rPr>
        <w:fldChar w:fldCharType="separate"/>
      </w:r>
      <w:r w:rsidR="00484E57" w:rsidRPr="00ED2B1F">
        <w:t>Figure </w:t>
      </w:r>
      <w:r w:rsidR="00484E57">
        <w:rPr>
          <w:noProof/>
        </w:rPr>
        <w:t>28</w:t>
      </w:r>
      <w:r w:rsidRPr="00ED2B1F">
        <w:rPr>
          <w:rFonts w:cs="Segoe UI"/>
        </w:rPr>
        <w:fldChar w:fldCharType="end"/>
      </w:r>
      <w:r w:rsidR="00463C26" w:rsidRPr="00ED2B1F">
        <w:rPr>
          <w:rFonts w:cs="Segoe UI"/>
        </w:rPr>
        <w:t xml:space="preserve"> shows the number of Māori and non-Māori aged 20–64 years who were secluded in adult inpatient services from the 2007 calendar year to the 2023/24 financial year. Nationally since 2009 (when the seclusion reduction policies were introduced), the number of people secluded </w:t>
      </w:r>
      <w:r w:rsidR="00281F92" w:rsidRPr="00ED2B1F">
        <w:rPr>
          <w:rFonts w:cs="Segoe UI"/>
        </w:rPr>
        <w:t xml:space="preserve">has </w:t>
      </w:r>
      <w:r w:rsidR="00463C26" w:rsidRPr="00ED2B1F">
        <w:rPr>
          <w:rFonts w:cs="Segoe UI"/>
        </w:rPr>
        <w:t xml:space="preserve">decreased by 48%. </w:t>
      </w:r>
      <w:r w:rsidR="00281F92" w:rsidRPr="00ED2B1F">
        <w:rPr>
          <w:rFonts w:cs="Segoe UI"/>
        </w:rPr>
        <w:t xml:space="preserve">In contrast, </w:t>
      </w:r>
      <w:r w:rsidR="00463C26" w:rsidRPr="00ED2B1F">
        <w:rPr>
          <w:rFonts w:cs="Segoe UI"/>
        </w:rPr>
        <w:t xml:space="preserve">the number of Māori secluded </w:t>
      </w:r>
      <w:r w:rsidR="00281F92" w:rsidRPr="00ED2B1F">
        <w:rPr>
          <w:rFonts w:cs="Segoe UI"/>
        </w:rPr>
        <w:t xml:space="preserve">has </w:t>
      </w:r>
      <w:r w:rsidR="00463C26" w:rsidRPr="00ED2B1F">
        <w:rPr>
          <w:rFonts w:cs="Segoe UI"/>
        </w:rPr>
        <w:t>decreased by 18% over the same period.</w:t>
      </w:r>
    </w:p>
    <w:p w14:paraId="6501C27F" w14:textId="77777777" w:rsidR="00463C26" w:rsidRPr="00ED2B1F" w:rsidRDefault="00463C26" w:rsidP="00463C26">
      <w:pPr>
        <w:rPr>
          <w:rFonts w:cs="Segoe UI"/>
        </w:rPr>
      </w:pPr>
    </w:p>
    <w:p w14:paraId="0F8F5F0D" w14:textId="10F861DF" w:rsidR="00463C26" w:rsidRPr="00ED2B1F" w:rsidRDefault="00463C26" w:rsidP="00C103C7">
      <w:pPr>
        <w:pStyle w:val="Figure"/>
      </w:pPr>
      <w:bookmarkStart w:id="284" w:name="_Ref219294017"/>
      <w:bookmarkStart w:id="285" w:name="_Toc224638200"/>
      <w:r w:rsidRPr="00ED2B1F">
        <w:lastRenderedPageBreak/>
        <w:t>Figure </w:t>
      </w:r>
      <w:r w:rsidRPr="00ED2B1F">
        <w:fldChar w:fldCharType="begin"/>
      </w:r>
      <w:r w:rsidRPr="00ED2B1F">
        <w:instrText>SEQ Figure \* ARABIC</w:instrText>
      </w:r>
      <w:r w:rsidRPr="00ED2B1F">
        <w:fldChar w:fldCharType="separate"/>
      </w:r>
      <w:r w:rsidR="00484E57">
        <w:rPr>
          <w:noProof/>
        </w:rPr>
        <w:t>28</w:t>
      </w:r>
      <w:r w:rsidRPr="00ED2B1F">
        <w:fldChar w:fldCharType="end"/>
      </w:r>
      <w:bookmarkEnd w:id="284"/>
      <w:r w:rsidRPr="00ED2B1F">
        <w:t>: Number of Māori and non-Māori secluded in adult inpatient services, 2007 to 2023/24</w:t>
      </w:r>
      <w:bookmarkEnd w:id="285"/>
    </w:p>
    <w:p w14:paraId="0A3E3232" w14:textId="6C74A350" w:rsidR="00463C26" w:rsidRPr="00ED2B1F" w:rsidRDefault="00CC12F1" w:rsidP="00463C26">
      <w:r>
        <w:rPr>
          <w:noProof/>
        </w:rPr>
        <w:drawing>
          <wp:inline distT="0" distB="0" distL="0" distR="0" wp14:anchorId="2FDD8A67" wp14:editId="649933A3">
            <wp:extent cx="5344885" cy="2915842"/>
            <wp:effectExtent l="0" t="0" r="8255" b="0"/>
            <wp:docPr id="141378809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8094" name="Picture 29">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7985" cy="2917533"/>
                    </a:xfrm>
                    <a:prstGeom prst="rect">
                      <a:avLst/>
                    </a:prstGeom>
                    <a:noFill/>
                  </pic:spPr>
                </pic:pic>
              </a:graphicData>
            </a:graphic>
          </wp:inline>
        </w:drawing>
      </w:r>
    </w:p>
    <w:p w14:paraId="0F184BAF" w14:textId="77777777" w:rsidR="00463C26" w:rsidRPr="00ED2B1F" w:rsidRDefault="00463C26" w:rsidP="00463C26">
      <w:pPr>
        <w:spacing w:before="80"/>
        <w:rPr>
          <w:rFonts w:cs="Segoe UI"/>
          <w:sz w:val="17"/>
        </w:rPr>
      </w:pPr>
      <w:r w:rsidRPr="00ED2B1F">
        <w:rPr>
          <w:rFonts w:cs="Segoe UI"/>
          <w:sz w:val="17"/>
        </w:rPr>
        <w:t>Notes: The data excludes forensic services and regional intellectual disability secure services. All years before 2020/21 are calendar years. The numbers of Māori and non-Māori secluded in the 2009 year have been corrected in this chart. In previous reports, the figures for 2009 were incorrectly reported as 270 Māori and 805 non-Māori.</w:t>
      </w:r>
    </w:p>
    <w:p w14:paraId="321C2FCC" w14:textId="77777777" w:rsidR="00463C26" w:rsidRPr="00ED2B1F" w:rsidRDefault="00463C26" w:rsidP="00463C26">
      <w:pPr>
        <w:spacing w:before="80"/>
        <w:rPr>
          <w:rFonts w:cs="Segoe UI"/>
          <w:sz w:val="17"/>
        </w:rPr>
      </w:pPr>
      <w:r w:rsidRPr="00ED2B1F">
        <w:rPr>
          <w:rFonts w:cs="Segoe UI"/>
          <w:sz w:val="17"/>
        </w:rPr>
        <w:t>Sources: PRIMHD data (extracted 10 June 2025) and manual data for Health New Zealand Canterbury, Southern, Waikato and Waitematā.</w:t>
      </w:r>
    </w:p>
    <w:p w14:paraId="50E54EA0" w14:textId="77777777" w:rsidR="00C6514D" w:rsidRPr="00ED2B1F" w:rsidRDefault="00C6514D">
      <w:pPr>
        <w:rPr>
          <w:b/>
          <w:color w:val="1B83A0"/>
          <w:spacing w:val="-5"/>
          <w:sz w:val="48"/>
        </w:rPr>
      </w:pPr>
      <w:r w:rsidRPr="00ED2B1F">
        <w:br w:type="page"/>
      </w:r>
    </w:p>
    <w:p w14:paraId="7E6279ED" w14:textId="4AC70A5C" w:rsidR="00463C26" w:rsidRPr="00ED2B1F" w:rsidRDefault="00463C26" w:rsidP="007A34A3">
      <w:pPr>
        <w:pStyle w:val="Heading2"/>
      </w:pPr>
      <w:bookmarkStart w:id="286" w:name="_Ref221778773"/>
      <w:bookmarkStart w:id="287" w:name="_Toc224638099"/>
      <w:r w:rsidRPr="00ED2B1F">
        <w:lastRenderedPageBreak/>
        <w:t>Seclusion in forensic units</w:t>
      </w:r>
      <w:bookmarkEnd w:id="286"/>
      <w:bookmarkEnd w:id="287"/>
    </w:p>
    <w:p w14:paraId="22EC6A9E" w14:textId="77777777" w:rsidR="00463C26" w:rsidRPr="00ED2B1F" w:rsidRDefault="00463C26" w:rsidP="00463C26">
      <w:r w:rsidRPr="00ED2B1F">
        <w:t>Five regional forensic mental health services provide specialist inpatient forensic care.</w:t>
      </w:r>
    </w:p>
    <w:p w14:paraId="62C2EA11" w14:textId="77777777" w:rsidR="00463C26" w:rsidRPr="00ED2B1F" w:rsidRDefault="00463C26" w:rsidP="00463C26">
      <w:pPr>
        <w:pStyle w:val="Bullet"/>
        <w:tabs>
          <w:tab w:val="clear" w:pos="284"/>
        </w:tabs>
      </w:pPr>
      <w:r w:rsidRPr="00ED2B1F">
        <w:t>Auckland Regional Forensic Psychiatry Service operates from Health New Zealand Waitematā and covers the Auckland, Counties Manukau, Northland and Waitematā districts.</w:t>
      </w:r>
    </w:p>
    <w:p w14:paraId="6A9A70A1" w14:textId="77777777" w:rsidR="00463C26" w:rsidRPr="00ED2B1F" w:rsidRDefault="00463C26" w:rsidP="00463C26">
      <w:pPr>
        <w:pStyle w:val="Bullet"/>
        <w:tabs>
          <w:tab w:val="clear" w:pos="284"/>
        </w:tabs>
      </w:pPr>
      <w:r w:rsidRPr="00ED2B1F">
        <w:t>Midland Regional Forensic Psychiatric Service operates from Health New Zealand Waikato and covers the Bay of Plenty, Lakes, Tairāwhiti, Taranaki and Waikato districts.</w:t>
      </w:r>
    </w:p>
    <w:p w14:paraId="41DFC441" w14:textId="77777777" w:rsidR="00463C26" w:rsidRPr="00ED2B1F" w:rsidRDefault="00463C26" w:rsidP="00463C26">
      <w:pPr>
        <w:pStyle w:val="Bullet"/>
        <w:tabs>
          <w:tab w:val="clear" w:pos="284"/>
        </w:tabs>
      </w:pPr>
      <w:r w:rsidRPr="00ED2B1F">
        <w:t>Central Regional Forensic Mental Health Service operates from Health New Zealand Capital, Coast and Hutt Valley and covers the Capital &amp; Coast, Hawke’s Bay, Hutt Valley, MidCentral, Wairarapa and Whanganui districts.</w:t>
      </w:r>
    </w:p>
    <w:p w14:paraId="4078BD71" w14:textId="77777777" w:rsidR="00463C26" w:rsidRPr="00ED2B1F" w:rsidRDefault="00463C26" w:rsidP="00463C26">
      <w:pPr>
        <w:pStyle w:val="Bullet"/>
        <w:tabs>
          <w:tab w:val="clear" w:pos="284"/>
        </w:tabs>
      </w:pPr>
      <w:r w:rsidRPr="00ED2B1F">
        <w:t>Canterbury Regional Forensic Mental Health Service operates from Health New Zealand Canterbury and covers the Canterbury, Nelson Marlborough, South Canterbury and West Coast districts.</w:t>
      </w:r>
    </w:p>
    <w:p w14:paraId="73086AFE" w14:textId="77777777" w:rsidR="00463C26" w:rsidRPr="00ED2B1F" w:rsidRDefault="00463C26" w:rsidP="00463C26">
      <w:pPr>
        <w:pStyle w:val="Bullet"/>
        <w:tabs>
          <w:tab w:val="clear" w:pos="284"/>
        </w:tabs>
      </w:pPr>
      <w:r w:rsidRPr="00ED2B1F">
        <w:t>Southern Regional Forensic Mental Health Service operates from and covers the Southern district.</w:t>
      </w:r>
    </w:p>
    <w:p w14:paraId="24FD9566" w14:textId="77777777" w:rsidR="00463C26" w:rsidRPr="00ED2B1F" w:rsidRDefault="00463C26" w:rsidP="00463C26"/>
    <w:p w14:paraId="2F593F1A" w14:textId="64C7CE77" w:rsidR="00463C26" w:rsidRPr="00ED2B1F" w:rsidRDefault="00463C26" w:rsidP="00463C26">
      <w:r w:rsidRPr="00ED2B1F">
        <w:t xml:space="preserve">These services provide mental health treatment in a secure setting for prisoners with mental disorders and for people defined as a special or restricted patient. Some services have more beds than others, which may be a reason contributing to their higher levels of seclusion use. </w:t>
      </w:r>
    </w:p>
    <w:p w14:paraId="0DD68225" w14:textId="77777777" w:rsidR="00463C26" w:rsidRPr="00ED2B1F" w:rsidRDefault="00463C26" w:rsidP="00463C26"/>
    <w:p w14:paraId="794B73AB" w14:textId="08573DFA" w:rsidR="00463C26" w:rsidRPr="00ED2B1F" w:rsidRDefault="002E6B85" w:rsidP="00463C26">
      <w:r w:rsidRPr="00ED2B1F">
        <w:fldChar w:fldCharType="begin"/>
      </w:r>
      <w:r w:rsidRPr="00ED2B1F">
        <w:instrText xml:space="preserve"> REF _Ref221775898 \h </w:instrText>
      </w:r>
      <w:r w:rsidRPr="00ED2B1F">
        <w:fldChar w:fldCharType="separate"/>
      </w:r>
      <w:r w:rsidR="00484E57" w:rsidRPr="00ED2B1F">
        <w:t>Table </w:t>
      </w:r>
      <w:r w:rsidR="00484E57">
        <w:rPr>
          <w:noProof/>
        </w:rPr>
        <w:t>9</w:t>
      </w:r>
      <w:r w:rsidRPr="00ED2B1F">
        <w:fldChar w:fldCharType="end"/>
      </w:r>
      <w:r w:rsidRPr="00ED2B1F">
        <w:t xml:space="preserve"> </w:t>
      </w:r>
      <w:r w:rsidR="00463C26" w:rsidRPr="00ED2B1F">
        <w:t xml:space="preserve">presents seclusion indicators for each regional service that provides forensic mental health services. </w:t>
      </w:r>
      <w:r w:rsidR="00621C02" w:rsidRPr="00ED2B1F">
        <w:t>Broadening</w:t>
      </w:r>
      <w:r w:rsidR="00684837" w:rsidRPr="00ED2B1F">
        <w:t xml:space="preserve"> the</w:t>
      </w:r>
      <w:r w:rsidR="00463C26" w:rsidRPr="00ED2B1F">
        <w:t xml:space="preserve"> focus </w:t>
      </w:r>
      <w:r w:rsidR="00684837" w:rsidRPr="00ED2B1F">
        <w:t>to</w:t>
      </w:r>
      <w:r w:rsidR="00463C26" w:rsidRPr="00ED2B1F">
        <w:t xml:space="preserve"> the national level, </w:t>
      </w:r>
      <w:r w:rsidR="00481DBB" w:rsidRPr="00ED2B1F">
        <w:fldChar w:fldCharType="begin"/>
      </w:r>
      <w:r w:rsidR="00481DBB" w:rsidRPr="00ED2B1F">
        <w:instrText xml:space="preserve"> REF _Ref219294051 \h </w:instrText>
      </w:r>
      <w:r w:rsidR="00481DBB" w:rsidRPr="00ED2B1F">
        <w:fldChar w:fldCharType="separate"/>
      </w:r>
      <w:r w:rsidR="00484E57" w:rsidRPr="00ED2B1F">
        <w:t xml:space="preserve">Figure </w:t>
      </w:r>
      <w:r w:rsidR="00484E57">
        <w:rPr>
          <w:noProof/>
        </w:rPr>
        <w:t>29</w:t>
      </w:r>
      <w:r w:rsidR="00481DBB" w:rsidRPr="00ED2B1F">
        <w:fldChar w:fldCharType="end"/>
      </w:r>
      <w:r w:rsidR="00463C26" w:rsidRPr="00ED2B1F">
        <w:t xml:space="preserve"> breaks down the number of people secluded and number of events by ethnicity. These indicators cannot be compared with adult inpatient service indicators because they have a different client base. </w:t>
      </w:r>
    </w:p>
    <w:p w14:paraId="5EA16A18" w14:textId="77777777" w:rsidR="00463C26" w:rsidRPr="00ED2B1F" w:rsidRDefault="00463C26" w:rsidP="00463C26"/>
    <w:p w14:paraId="71700809" w14:textId="4E79CAB2" w:rsidR="00463C26" w:rsidRPr="00ED2B1F" w:rsidRDefault="00463C26" w:rsidP="00C103C7">
      <w:pPr>
        <w:pStyle w:val="Table"/>
      </w:pPr>
      <w:bookmarkStart w:id="288" w:name="_Ref221775898"/>
      <w:bookmarkStart w:id="289" w:name="_Toc224638229"/>
      <w:r w:rsidRPr="00ED2B1F">
        <w:t>Table </w:t>
      </w:r>
      <w:r w:rsidRPr="00ED2B1F">
        <w:fldChar w:fldCharType="begin"/>
      </w:r>
      <w:r w:rsidRPr="00ED2B1F">
        <w:instrText>SEQ Table \* ARABIC</w:instrText>
      </w:r>
      <w:r w:rsidRPr="00ED2B1F">
        <w:fldChar w:fldCharType="separate"/>
      </w:r>
      <w:r w:rsidR="00484E57">
        <w:rPr>
          <w:noProof/>
        </w:rPr>
        <w:t>9</w:t>
      </w:r>
      <w:r w:rsidRPr="00ED2B1F">
        <w:fldChar w:fldCharType="end"/>
      </w:r>
      <w:bookmarkEnd w:id="288"/>
      <w:r w:rsidRPr="00ED2B1F">
        <w:t xml:space="preserve">: Seclusion indicators for forensic mental health services, by </w:t>
      </w:r>
      <w:r w:rsidRPr="00ED2B1F">
        <w:rPr>
          <w:bCs/>
        </w:rPr>
        <w:t>regional service</w:t>
      </w:r>
      <w:r w:rsidRPr="00ED2B1F">
        <w:t>, 1 July 2023 to 30 June 2024</w:t>
      </w:r>
      <w:bookmarkEnd w:id="289"/>
    </w:p>
    <w:tbl>
      <w:tblPr>
        <w:tblW w:w="470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60" w:firstRow="1" w:lastRow="1" w:firstColumn="0" w:lastColumn="0" w:noHBand="0" w:noVBand="1"/>
      </w:tblPr>
      <w:tblGrid>
        <w:gridCol w:w="1699"/>
        <w:gridCol w:w="1475"/>
        <w:gridCol w:w="1474"/>
        <w:gridCol w:w="1474"/>
        <w:gridCol w:w="1474"/>
      </w:tblGrid>
      <w:tr w:rsidR="006875D2" w:rsidRPr="00ED2B1F" w14:paraId="4A62414F" w14:textId="77777777" w:rsidTr="005C1CEE">
        <w:trPr>
          <w:cantSplit/>
          <w:trHeight w:val="311"/>
        </w:trPr>
        <w:tc>
          <w:tcPr>
            <w:tcW w:w="1118" w:type="pct"/>
            <w:tcBorders>
              <w:top w:val="nil"/>
              <w:left w:val="nil"/>
              <w:bottom w:val="nil"/>
              <w:right w:val="nil"/>
            </w:tcBorders>
            <w:shd w:val="clear" w:color="auto" w:fill="D9D9D9" w:themeFill="background1" w:themeFillShade="D9"/>
            <w:vAlign w:val="bottom"/>
            <w:hideMark/>
          </w:tcPr>
          <w:p w14:paraId="71F141FE" w14:textId="77777777" w:rsidR="00D12B45" w:rsidRPr="005C1CEE" w:rsidRDefault="00D12B45" w:rsidP="005C1CEE">
            <w:pPr>
              <w:spacing w:before="60" w:after="60"/>
              <w:rPr>
                <w:rFonts w:cs="Segoe UI"/>
                <w:b/>
                <w:sz w:val="18"/>
              </w:rPr>
            </w:pPr>
            <w:r w:rsidRPr="005C1CEE">
              <w:rPr>
                <w:rFonts w:cs="Segoe UI"/>
                <w:b/>
                <w:sz w:val="18"/>
              </w:rPr>
              <w:t>Regional service</w:t>
            </w:r>
          </w:p>
        </w:tc>
        <w:tc>
          <w:tcPr>
            <w:tcW w:w="971" w:type="pct"/>
            <w:tcBorders>
              <w:top w:val="nil"/>
              <w:left w:val="nil"/>
              <w:bottom w:val="nil"/>
              <w:right w:val="nil"/>
            </w:tcBorders>
            <w:shd w:val="clear" w:color="auto" w:fill="D9D9D9" w:themeFill="background1" w:themeFillShade="D9"/>
            <w:vAlign w:val="bottom"/>
            <w:hideMark/>
          </w:tcPr>
          <w:p w14:paraId="4F7DAFDF" w14:textId="77777777" w:rsidR="00D12B45" w:rsidRPr="005C1CEE" w:rsidRDefault="00D12B45" w:rsidP="005C1CEE">
            <w:pPr>
              <w:spacing w:before="60" w:after="60"/>
              <w:rPr>
                <w:rFonts w:cs="Segoe UI"/>
                <w:b/>
                <w:sz w:val="18"/>
              </w:rPr>
            </w:pPr>
            <w:r w:rsidRPr="005C1CEE">
              <w:rPr>
                <w:rFonts w:cs="Segoe UI"/>
                <w:b/>
                <w:sz w:val="18"/>
              </w:rPr>
              <w:t>Number of people secluded</w:t>
            </w:r>
          </w:p>
        </w:tc>
        <w:tc>
          <w:tcPr>
            <w:tcW w:w="970" w:type="pct"/>
            <w:tcBorders>
              <w:top w:val="nil"/>
              <w:left w:val="nil"/>
              <w:bottom w:val="nil"/>
              <w:right w:val="nil"/>
            </w:tcBorders>
            <w:shd w:val="clear" w:color="auto" w:fill="D9D9D9" w:themeFill="background1" w:themeFillShade="D9"/>
            <w:vAlign w:val="bottom"/>
            <w:hideMark/>
          </w:tcPr>
          <w:p w14:paraId="23D0EEEE" w14:textId="77777777" w:rsidR="00D12B45" w:rsidRPr="005C1CEE" w:rsidRDefault="00D12B45" w:rsidP="005C1CEE">
            <w:pPr>
              <w:spacing w:before="60" w:after="60"/>
              <w:rPr>
                <w:rFonts w:cs="Segoe UI"/>
                <w:b/>
                <w:sz w:val="18"/>
              </w:rPr>
            </w:pPr>
            <w:r w:rsidRPr="005C1CEE">
              <w:rPr>
                <w:rFonts w:cs="Segoe UI"/>
                <w:b/>
                <w:sz w:val="18"/>
              </w:rPr>
              <w:t>Number of events</w:t>
            </w:r>
          </w:p>
        </w:tc>
        <w:tc>
          <w:tcPr>
            <w:tcW w:w="970" w:type="pct"/>
            <w:tcBorders>
              <w:top w:val="nil"/>
              <w:left w:val="nil"/>
              <w:bottom w:val="nil"/>
              <w:right w:val="nil"/>
            </w:tcBorders>
            <w:shd w:val="clear" w:color="auto" w:fill="D9D9D9" w:themeFill="background1" w:themeFillShade="D9"/>
            <w:vAlign w:val="bottom"/>
            <w:hideMark/>
          </w:tcPr>
          <w:p w14:paraId="216AF009" w14:textId="1AC5A1FA" w:rsidR="00D12B45" w:rsidRPr="005C1CEE" w:rsidRDefault="00D12B45" w:rsidP="005C1CEE">
            <w:pPr>
              <w:spacing w:before="60" w:after="60"/>
              <w:rPr>
                <w:rFonts w:cs="Segoe UI"/>
                <w:b/>
                <w:sz w:val="18"/>
              </w:rPr>
            </w:pPr>
            <w:r w:rsidRPr="005C1CEE">
              <w:rPr>
                <w:rFonts w:cs="Segoe UI"/>
                <w:b/>
                <w:sz w:val="18"/>
              </w:rPr>
              <w:t>Total</w:t>
            </w:r>
            <w:r w:rsidR="006875D2" w:rsidRPr="005C1CEE">
              <w:rPr>
                <w:rFonts w:cs="Segoe UI"/>
                <w:b/>
                <w:sz w:val="18"/>
              </w:rPr>
              <w:t xml:space="preserve"> </w:t>
            </w:r>
            <w:r w:rsidRPr="005C1CEE">
              <w:rPr>
                <w:rFonts w:cs="Segoe UI"/>
                <w:b/>
                <w:sz w:val="18"/>
              </w:rPr>
              <w:t>hours</w:t>
            </w:r>
          </w:p>
        </w:tc>
        <w:tc>
          <w:tcPr>
            <w:tcW w:w="970" w:type="pct"/>
            <w:tcBorders>
              <w:top w:val="nil"/>
              <w:left w:val="nil"/>
              <w:bottom w:val="nil"/>
              <w:right w:val="nil"/>
            </w:tcBorders>
            <w:shd w:val="clear" w:color="auto" w:fill="D9D9D9" w:themeFill="background1" w:themeFillShade="D9"/>
            <w:vAlign w:val="bottom"/>
            <w:hideMark/>
          </w:tcPr>
          <w:p w14:paraId="1E875F5D" w14:textId="77777777" w:rsidR="00D12B45" w:rsidRPr="005C1CEE" w:rsidRDefault="00D12B45" w:rsidP="005C1CEE">
            <w:pPr>
              <w:spacing w:before="60" w:after="60"/>
              <w:rPr>
                <w:rFonts w:cs="Segoe UI"/>
                <w:b/>
                <w:sz w:val="18"/>
              </w:rPr>
            </w:pPr>
            <w:r w:rsidRPr="005C1CEE">
              <w:rPr>
                <w:rFonts w:cs="Segoe UI"/>
                <w:b/>
                <w:sz w:val="18"/>
              </w:rPr>
              <w:t>Average duration per event (hours)</w:t>
            </w:r>
          </w:p>
        </w:tc>
      </w:tr>
      <w:tr w:rsidR="006875D2" w:rsidRPr="00ED2B1F" w14:paraId="03912C8D" w14:textId="77777777" w:rsidTr="006875D2">
        <w:trPr>
          <w:cantSplit/>
          <w:trHeight w:val="300"/>
        </w:trPr>
        <w:tc>
          <w:tcPr>
            <w:tcW w:w="1118" w:type="pct"/>
            <w:tcBorders>
              <w:top w:val="nil"/>
              <w:left w:val="nil"/>
              <w:bottom w:val="single" w:sz="4" w:space="0" w:color="A6A6A6" w:themeColor="background1" w:themeShade="A6"/>
              <w:right w:val="nil"/>
            </w:tcBorders>
            <w:vAlign w:val="center"/>
            <w:hideMark/>
          </w:tcPr>
          <w:p w14:paraId="36705B53" w14:textId="77777777" w:rsidR="00D12B45" w:rsidRPr="00ED2B1F" w:rsidRDefault="00D12B45" w:rsidP="005C1CEE">
            <w:pPr>
              <w:spacing w:before="60" w:after="60"/>
              <w:rPr>
                <w:rFonts w:cs="Segoe UI"/>
                <w:sz w:val="18"/>
              </w:rPr>
            </w:pPr>
            <w:r w:rsidRPr="00ED2B1F">
              <w:rPr>
                <w:rFonts w:cs="Segoe UI"/>
                <w:sz w:val="18"/>
              </w:rPr>
              <w:t>Auckland</w:t>
            </w:r>
          </w:p>
        </w:tc>
        <w:tc>
          <w:tcPr>
            <w:tcW w:w="971" w:type="pct"/>
            <w:tcBorders>
              <w:top w:val="nil"/>
              <w:left w:val="nil"/>
              <w:bottom w:val="single" w:sz="4" w:space="0" w:color="A6A6A6" w:themeColor="background1" w:themeShade="A6"/>
              <w:right w:val="nil"/>
            </w:tcBorders>
            <w:vAlign w:val="center"/>
            <w:hideMark/>
          </w:tcPr>
          <w:p w14:paraId="0F6C6103" w14:textId="77777777" w:rsidR="00D12B45" w:rsidRPr="00ED2B1F" w:rsidRDefault="00D12B45" w:rsidP="00CC2148">
            <w:pPr>
              <w:tabs>
                <w:tab w:val="decimal" w:pos="794"/>
              </w:tabs>
              <w:spacing w:before="60" w:after="60"/>
              <w:rPr>
                <w:rFonts w:cs="Segoe UI"/>
                <w:sz w:val="18"/>
              </w:rPr>
            </w:pPr>
            <w:r w:rsidRPr="00ED2B1F">
              <w:rPr>
                <w:rFonts w:cs="Segoe UI"/>
                <w:sz w:val="18"/>
              </w:rPr>
              <w:t>53</w:t>
            </w:r>
          </w:p>
        </w:tc>
        <w:tc>
          <w:tcPr>
            <w:tcW w:w="970" w:type="pct"/>
            <w:tcBorders>
              <w:top w:val="nil"/>
              <w:left w:val="nil"/>
              <w:bottom w:val="single" w:sz="4" w:space="0" w:color="A6A6A6" w:themeColor="background1" w:themeShade="A6"/>
              <w:right w:val="nil"/>
            </w:tcBorders>
            <w:vAlign w:val="center"/>
            <w:hideMark/>
          </w:tcPr>
          <w:p w14:paraId="4BD26C1B" w14:textId="77777777" w:rsidR="00D12B45" w:rsidRPr="00ED2B1F" w:rsidRDefault="00D12B45" w:rsidP="00CC2148">
            <w:pPr>
              <w:tabs>
                <w:tab w:val="decimal" w:pos="794"/>
              </w:tabs>
              <w:spacing w:before="60" w:after="60"/>
              <w:rPr>
                <w:rFonts w:cs="Segoe UI"/>
                <w:sz w:val="18"/>
              </w:rPr>
            </w:pPr>
            <w:r w:rsidRPr="00ED2B1F">
              <w:rPr>
                <w:rFonts w:cs="Segoe UI"/>
                <w:sz w:val="18"/>
              </w:rPr>
              <w:t>136</w:t>
            </w:r>
          </w:p>
        </w:tc>
        <w:tc>
          <w:tcPr>
            <w:tcW w:w="970" w:type="pct"/>
            <w:tcBorders>
              <w:top w:val="nil"/>
              <w:left w:val="nil"/>
              <w:bottom w:val="single" w:sz="4" w:space="0" w:color="A6A6A6" w:themeColor="background1" w:themeShade="A6"/>
              <w:right w:val="nil"/>
            </w:tcBorders>
            <w:vAlign w:val="center"/>
            <w:hideMark/>
          </w:tcPr>
          <w:p w14:paraId="628A349A" w14:textId="77777777" w:rsidR="00D12B45" w:rsidRPr="00ED2B1F" w:rsidRDefault="00D12B45" w:rsidP="00CC2148">
            <w:pPr>
              <w:tabs>
                <w:tab w:val="decimal" w:pos="952"/>
              </w:tabs>
              <w:spacing w:before="60" w:after="60"/>
              <w:rPr>
                <w:rFonts w:cs="Segoe UI"/>
                <w:sz w:val="18"/>
              </w:rPr>
            </w:pPr>
            <w:r w:rsidRPr="00ED2B1F">
              <w:rPr>
                <w:rFonts w:cs="Segoe UI"/>
                <w:sz w:val="18"/>
              </w:rPr>
              <w:t>8,820</w:t>
            </w:r>
          </w:p>
        </w:tc>
        <w:tc>
          <w:tcPr>
            <w:tcW w:w="970" w:type="pct"/>
            <w:tcBorders>
              <w:top w:val="nil"/>
              <w:left w:val="nil"/>
              <w:bottom w:val="single" w:sz="4" w:space="0" w:color="A6A6A6" w:themeColor="background1" w:themeShade="A6"/>
              <w:right w:val="nil"/>
            </w:tcBorders>
            <w:vAlign w:val="center"/>
            <w:hideMark/>
          </w:tcPr>
          <w:p w14:paraId="6B10EE41" w14:textId="77777777" w:rsidR="00D12B45" w:rsidRPr="00ED2B1F" w:rsidRDefault="00D12B45" w:rsidP="00CC2148">
            <w:pPr>
              <w:tabs>
                <w:tab w:val="decimal" w:pos="820"/>
              </w:tabs>
              <w:spacing w:before="60" w:after="60"/>
              <w:rPr>
                <w:rFonts w:cs="Segoe UI"/>
                <w:sz w:val="18"/>
              </w:rPr>
            </w:pPr>
            <w:r w:rsidRPr="00ED2B1F">
              <w:rPr>
                <w:rFonts w:cs="Segoe UI"/>
                <w:sz w:val="18"/>
              </w:rPr>
              <w:t>64.9</w:t>
            </w:r>
          </w:p>
        </w:tc>
      </w:tr>
      <w:tr w:rsidR="006875D2" w:rsidRPr="00ED2B1F" w14:paraId="6B3DFEB5" w14:textId="77777777" w:rsidTr="006875D2">
        <w:trPr>
          <w:cantSplit/>
          <w:trHeight w:val="300"/>
        </w:trPr>
        <w:tc>
          <w:tcPr>
            <w:tcW w:w="1118" w:type="pct"/>
            <w:tcBorders>
              <w:top w:val="nil"/>
              <w:left w:val="nil"/>
              <w:bottom w:val="single" w:sz="4" w:space="0" w:color="A6A6A6" w:themeColor="background1" w:themeShade="A6"/>
              <w:right w:val="nil"/>
            </w:tcBorders>
            <w:vAlign w:val="center"/>
            <w:hideMark/>
          </w:tcPr>
          <w:p w14:paraId="7366D74A" w14:textId="77777777" w:rsidR="00D12B45" w:rsidRPr="00ED2B1F" w:rsidRDefault="00D12B45" w:rsidP="005C1CEE">
            <w:pPr>
              <w:spacing w:before="60" w:after="60"/>
              <w:rPr>
                <w:rFonts w:cs="Segoe UI"/>
                <w:sz w:val="18"/>
              </w:rPr>
            </w:pPr>
            <w:r w:rsidRPr="00ED2B1F">
              <w:rPr>
                <w:rFonts w:cs="Segoe UI"/>
                <w:sz w:val="18"/>
              </w:rPr>
              <w:t>Canterbury</w:t>
            </w:r>
          </w:p>
        </w:tc>
        <w:tc>
          <w:tcPr>
            <w:tcW w:w="971" w:type="pct"/>
            <w:tcBorders>
              <w:top w:val="nil"/>
              <w:left w:val="nil"/>
              <w:bottom w:val="single" w:sz="4" w:space="0" w:color="A6A6A6" w:themeColor="background1" w:themeShade="A6"/>
              <w:right w:val="nil"/>
            </w:tcBorders>
            <w:vAlign w:val="center"/>
            <w:hideMark/>
          </w:tcPr>
          <w:p w14:paraId="4B5E2951" w14:textId="77777777" w:rsidR="00D12B45" w:rsidRPr="00ED2B1F" w:rsidRDefault="00D12B45" w:rsidP="00CC2148">
            <w:pPr>
              <w:tabs>
                <w:tab w:val="decimal" w:pos="794"/>
              </w:tabs>
              <w:spacing w:before="60" w:after="60"/>
              <w:rPr>
                <w:rFonts w:cs="Segoe UI"/>
                <w:sz w:val="18"/>
              </w:rPr>
            </w:pPr>
            <w:r w:rsidRPr="00ED2B1F">
              <w:rPr>
                <w:rFonts w:cs="Segoe UI"/>
                <w:sz w:val="18"/>
              </w:rPr>
              <w:t>26</w:t>
            </w:r>
          </w:p>
        </w:tc>
        <w:tc>
          <w:tcPr>
            <w:tcW w:w="970" w:type="pct"/>
            <w:tcBorders>
              <w:top w:val="nil"/>
              <w:left w:val="nil"/>
              <w:bottom w:val="single" w:sz="4" w:space="0" w:color="A6A6A6" w:themeColor="background1" w:themeShade="A6"/>
              <w:right w:val="nil"/>
            </w:tcBorders>
            <w:vAlign w:val="center"/>
            <w:hideMark/>
          </w:tcPr>
          <w:p w14:paraId="7663F6F1" w14:textId="77777777" w:rsidR="00D12B45" w:rsidRPr="00ED2B1F" w:rsidRDefault="00D12B45" w:rsidP="00CC2148">
            <w:pPr>
              <w:tabs>
                <w:tab w:val="decimal" w:pos="794"/>
              </w:tabs>
              <w:spacing w:before="60" w:after="60"/>
              <w:rPr>
                <w:rFonts w:cs="Segoe UI"/>
                <w:sz w:val="18"/>
              </w:rPr>
            </w:pPr>
            <w:r w:rsidRPr="00ED2B1F">
              <w:rPr>
                <w:rFonts w:cs="Segoe UI"/>
                <w:sz w:val="18"/>
              </w:rPr>
              <w:t>93</w:t>
            </w:r>
          </w:p>
        </w:tc>
        <w:tc>
          <w:tcPr>
            <w:tcW w:w="970" w:type="pct"/>
            <w:tcBorders>
              <w:top w:val="nil"/>
              <w:left w:val="nil"/>
              <w:bottom w:val="single" w:sz="4" w:space="0" w:color="A6A6A6" w:themeColor="background1" w:themeShade="A6"/>
              <w:right w:val="nil"/>
            </w:tcBorders>
            <w:vAlign w:val="center"/>
            <w:hideMark/>
          </w:tcPr>
          <w:p w14:paraId="740578AE" w14:textId="77777777" w:rsidR="00D12B45" w:rsidRPr="00ED2B1F" w:rsidRDefault="00D12B45" w:rsidP="00CC2148">
            <w:pPr>
              <w:tabs>
                <w:tab w:val="decimal" w:pos="952"/>
              </w:tabs>
              <w:spacing w:before="60" w:after="60"/>
              <w:rPr>
                <w:rFonts w:cs="Segoe UI"/>
                <w:sz w:val="18"/>
              </w:rPr>
            </w:pPr>
            <w:r w:rsidRPr="00ED2B1F">
              <w:rPr>
                <w:rFonts w:cs="Segoe UI"/>
                <w:sz w:val="18"/>
              </w:rPr>
              <w:t>5,494</w:t>
            </w:r>
          </w:p>
        </w:tc>
        <w:tc>
          <w:tcPr>
            <w:tcW w:w="970" w:type="pct"/>
            <w:tcBorders>
              <w:top w:val="nil"/>
              <w:left w:val="nil"/>
              <w:bottom w:val="single" w:sz="4" w:space="0" w:color="A6A6A6" w:themeColor="background1" w:themeShade="A6"/>
              <w:right w:val="nil"/>
            </w:tcBorders>
            <w:vAlign w:val="center"/>
            <w:hideMark/>
          </w:tcPr>
          <w:p w14:paraId="10F3923E" w14:textId="77777777" w:rsidR="00D12B45" w:rsidRPr="00ED2B1F" w:rsidRDefault="00D12B45" w:rsidP="00CC2148">
            <w:pPr>
              <w:tabs>
                <w:tab w:val="decimal" w:pos="820"/>
              </w:tabs>
              <w:spacing w:before="60" w:after="60"/>
              <w:rPr>
                <w:rFonts w:cs="Segoe UI"/>
                <w:sz w:val="18"/>
              </w:rPr>
            </w:pPr>
            <w:r w:rsidRPr="00ED2B1F">
              <w:rPr>
                <w:rFonts w:cs="Segoe UI"/>
                <w:sz w:val="18"/>
              </w:rPr>
              <w:t>59.1</w:t>
            </w:r>
          </w:p>
        </w:tc>
      </w:tr>
      <w:tr w:rsidR="006875D2" w:rsidRPr="00ED2B1F" w14:paraId="22966BD5" w14:textId="77777777" w:rsidTr="006875D2">
        <w:trPr>
          <w:cantSplit/>
          <w:trHeight w:val="300"/>
        </w:trPr>
        <w:tc>
          <w:tcPr>
            <w:tcW w:w="1118" w:type="pct"/>
            <w:tcBorders>
              <w:top w:val="single" w:sz="4" w:space="0" w:color="A6A6A6" w:themeColor="background1" w:themeShade="A6"/>
              <w:left w:val="nil"/>
              <w:bottom w:val="single" w:sz="4" w:space="0" w:color="A6A6A6" w:themeColor="background1" w:themeShade="A6"/>
              <w:right w:val="nil"/>
            </w:tcBorders>
            <w:vAlign w:val="center"/>
            <w:hideMark/>
          </w:tcPr>
          <w:p w14:paraId="446149B5" w14:textId="77777777" w:rsidR="00D12B45" w:rsidRPr="00ED2B1F" w:rsidRDefault="00D12B45" w:rsidP="005C1CEE">
            <w:pPr>
              <w:spacing w:before="60" w:after="60"/>
              <w:rPr>
                <w:rFonts w:cs="Segoe UI"/>
                <w:sz w:val="18"/>
              </w:rPr>
            </w:pPr>
            <w:r w:rsidRPr="00ED2B1F">
              <w:rPr>
                <w:rFonts w:cs="Segoe UI"/>
                <w:sz w:val="18"/>
              </w:rPr>
              <w:t>Central</w:t>
            </w:r>
          </w:p>
        </w:tc>
        <w:tc>
          <w:tcPr>
            <w:tcW w:w="971" w:type="pct"/>
            <w:tcBorders>
              <w:top w:val="single" w:sz="4" w:space="0" w:color="A6A6A6" w:themeColor="background1" w:themeShade="A6"/>
              <w:left w:val="nil"/>
              <w:bottom w:val="single" w:sz="4" w:space="0" w:color="A6A6A6" w:themeColor="background1" w:themeShade="A6"/>
              <w:right w:val="nil"/>
            </w:tcBorders>
            <w:vAlign w:val="center"/>
            <w:hideMark/>
          </w:tcPr>
          <w:p w14:paraId="63558A94" w14:textId="77777777" w:rsidR="00D12B45" w:rsidRPr="00ED2B1F" w:rsidRDefault="00D12B45" w:rsidP="00CC2148">
            <w:pPr>
              <w:tabs>
                <w:tab w:val="decimal" w:pos="794"/>
              </w:tabs>
              <w:spacing w:before="60" w:after="60"/>
              <w:rPr>
                <w:rFonts w:cs="Segoe UI"/>
                <w:sz w:val="18"/>
              </w:rPr>
            </w:pPr>
            <w:r w:rsidRPr="00ED2B1F">
              <w:rPr>
                <w:rFonts w:cs="Segoe UI"/>
                <w:sz w:val="18"/>
              </w:rPr>
              <w:t>5</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63B24A32" w14:textId="77777777" w:rsidR="00D12B45" w:rsidRPr="00ED2B1F" w:rsidRDefault="00D12B45" w:rsidP="00CC2148">
            <w:pPr>
              <w:tabs>
                <w:tab w:val="decimal" w:pos="794"/>
              </w:tabs>
              <w:spacing w:before="60" w:after="60"/>
              <w:rPr>
                <w:rFonts w:cs="Segoe UI"/>
                <w:sz w:val="18"/>
              </w:rPr>
            </w:pPr>
            <w:r w:rsidRPr="00ED2B1F">
              <w:rPr>
                <w:rFonts w:cs="Segoe UI"/>
                <w:sz w:val="18"/>
              </w:rPr>
              <w:t>6</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49D558B9" w14:textId="77777777" w:rsidR="00D12B45" w:rsidRPr="00ED2B1F" w:rsidRDefault="00D12B45" w:rsidP="00CC2148">
            <w:pPr>
              <w:tabs>
                <w:tab w:val="decimal" w:pos="952"/>
              </w:tabs>
              <w:spacing w:before="60" w:after="60"/>
              <w:rPr>
                <w:rFonts w:cs="Segoe UI"/>
                <w:sz w:val="18"/>
              </w:rPr>
            </w:pPr>
            <w:r w:rsidRPr="00ED2B1F">
              <w:rPr>
                <w:rFonts w:cs="Segoe UI"/>
                <w:sz w:val="18"/>
              </w:rPr>
              <w:t>130</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18B99504" w14:textId="77777777" w:rsidR="00D12B45" w:rsidRPr="00ED2B1F" w:rsidRDefault="00D12B45" w:rsidP="00CC2148">
            <w:pPr>
              <w:tabs>
                <w:tab w:val="decimal" w:pos="820"/>
              </w:tabs>
              <w:spacing w:before="60" w:after="60"/>
              <w:rPr>
                <w:rFonts w:cs="Segoe UI"/>
                <w:sz w:val="18"/>
              </w:rPr>
            </w:pPr>
            <w:r w:rsidRPr="00ED2B1F">
              <w:rPr>
                <w:rFonts w:cs="Segoe UI"/>
                <w:sz w:val="18"/>
              </w:rPr>
              <w:t>21.7</w:t>
            </w:r>
          </w:p>
        </w:tc>
      </w:tr>
      <w:tr w:rsidR="006875D2" w:rsidRPr="00ED2B1F" w14:paraId="1782705E" w14:textId="77777777" w:rsidTr="006875D2">
        <w:trPr>
          <w:cantSplit/>
          <w:trHeight w:val="300"/>
        </w:trPr>
        <w:tc>
          <w:tcPr>
            <w:tcW w:w="1118" w:type="pct"/>
            <w:tcBorders>
              <w:top w:val="single" w:sz="4" w:space="0" w:color="A6A6A6" w:themeColor="background1" w:themeShade="A6"/>
              <w:left w:val="nil"/>
              <w:bottom w:val="single" w:sz="4" w:space="0" w:color="A6A6A6" w:themeColor="background1" w:themeShade="A6"/>
              <w:right w:val="nil"/>
            </w:tcBorders>
            <w:vAlign w:val="center"/>
            <w:hideMark/>
          </w:tcPr>
          <w:p w14:paraId="7FB398C0" w14:textId="77777777" w:rsidR="00D12B45" w:rsidRPr="00ED2B1F" w:rsidRDefault="00D12B45" w:rsidP="005C1CEE">
            <w:pPr>
              <w:spacing w:before="60" w:after="60"/>
              <w:rPr>
                <w:rFonts w:cs="Segoe UI"/>
                <w:sz w:val="18"/>
              </w:rPr>
            </w:pPr>
            <w:r w:rsidRPr="00ED2B1F">
              <w:rPr>
                <w:rFonts w:cs="Segoe UI"/>
                <w:sz w:val="18"/>
              </w:rPr>
              <w:t>Midland</w:t>
            </w:r>
          </w:p>
        </w:tc>
        <w:tc>
          <w:tcPr>
            <w:tcW w:w="971" w:type="pct"/>
            <w:tcBorders>
              <w:top w:val="single" w:sz="4" w:space="0" w:color="A6A6A6" w:themeColor="background1" w:themeShade="A6"/>
              <w:left w:val="nil"/>
              <w:bottom w:val="single" w:sz="4" w:space="0" w:color="A6A6A6" w:themeColor="background1" w:themeShade="A6"/>
              <w:right w:val="nil"/>
            </w:tcBorders>
            <w:vAlign w:val="center"/>
            <w:hideMark/>
          </w:tcPr>
          <w:p w14:paraId="27F7FDCE" w14:textId="77777777" w:rsidR="00D12B45" w:rsidRPr="00ED2B1F" w:rsidRDefault="00D12B45" w:rsidP="00CC2148">
            <w:pPr>
              <w:tabs>
                <w:tab w:val="decimal" w:pos="794"/>
              </w:tabs>
              <w:spacing w:before="60" w:after="60"/>
              <w:rPr>
                <w:rFonts w:cs="Segoe UI"/>
                <w:sz w:val="18"/>
              </w:rPr>
            </w:pPr>
            <w:r w:rsidRPr="00ED2B1F">
              <w:rPr>
                <w:rFonts w:cs="Segoe UI"/>
                <w:sz w:val="18"/>
              </w:rPr>
              <w:t>21</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6FD08BA5" w14:textId="77777777" w:rsidR="00D12B45" w:rsidRPr="00ED2B1F" w:rsidRDefault="00D12B45" w:rsidP="00CC2148">
            <w:pPr>
              <w:tabs>
                <w:tab w:val="decimal" w:pos="794"/>
              </w:tabs>
              <w:spacing w:before="60" w:after="60"/>
              <w:rPr>
                <w:rFonts w:cs="Segoe UI"/>
                <w:sz w:val="18"/>
              </w:rPr>
            </w:pPr>
            <w:r w:rsidRPr="00ED2B1F">
              <w:rPr>
                <w:rFonts w:cs="Segoe UI"/>
                <w:sz w:val="18"/>
              </w:rPr>
              <w:t>64</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2E8A218B" w14:textId="77777777" w:rsidR="00D12B45" w:rsidRPr="00ED2B1F" w:rsidRDefault="00D12B45" w:rsidP="00CC2148">
            <w:pPr>
              <w:tabs>
                <w:tab w:val="decimal" w:pos="952"/>
              </w:tabs>
              <w:spacing w:before="60" w:after="60"/>
              <w:rPr>
                <w:rFonts w:cs="Segoe UI"/>
                <w:sz w:val="18"/>
              </w:rPr>
            </w:pPr>
            <w:r w:rsidRPr="00ED2B1F">
              <w:rPr>
                <w:rFonts w:cs="Segoe UI"/>
                <w:sz w:val="18"/>
              </w:rPr>
              <w:t>1,928</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04359ADB" w14:textId="77777777" w:rsidR="00D12B45" w:rsidRPr="00ED2B1F" w:rsidRDefault="00D12B45" w:rsidP="00CC2148">
            <w:pPr>
              <w:tabs>
                <w:tab w:val="decimal" w:pos="820"/>
              </w:tabs>
              <w:spacing w:before="60" w:after="60"/>
              <w:rPr>
                <w:rFonts w:cs="Segoe UI"/>
                <w:sz w:val="18"/>
              </w:rPr>
            </w:pPr>
            <w:r w:rsidRPr="00ED2B1F">
              <w:rPr>
                <w:rFonts w:cs="Segoe UI"/>
                <w:sz w:val="18"/>
              </w:rPr>
              <w:t>30.1</w:t>
            </w:r>
          </w:p>
        </w:tc>
      </w:tr>
      <w:tr w:rsidR="006875D2" w:rsidRPr="00ED2B1F" w14:paraId="702F26CF" w14:textId="77777777" w:rsidTr="006875D2">
        <w:trPr>
          <w:cantSplit/>
          <w:trHeight w:val="300"/>
        </w:trPr>
        <w:tc>
          <w:tcPr>
            <w:tcW w:w="1118" w:type="pct"/>
            <w:tcBorders>
              <w:top w:val="single" w:sz="4" w:space="0" w:color="A6A6A6" w:themeColor="background1" w:themeShade="A6"/>
              <w:left w:val="nil"/>
              <w:bottom w:val="single" w:sz="4" w:space="0" w:color="A6A6A6" w:themeColor="background1" w:themeShade="A6"/>
              <w:right w:val="nil"/>
            </w:tcBorders>
            <w:vAlign w:val="center"/>
            <w:hideMark/>
          </w:tcPr>
          <w:p w14:paraId="021D9175" w14:textId="77777777" w:rsidR="00D12B45" w:rsidRPr="00ED2B1F" w:rsidRDefault="00D12B45" w:rsidP="005C1CEE">
            <w:pPr>
              <w:spacing w:before="60" w:after="60"/>
              <w:rPr>
                <w:rFonts w:cs="Segoe UI"/>
                <w:sz w:val="18"/>
              </w:rPr>
            </w:pPr>
            <w:r w:rsidRPr="00ED2B1F">
              <w:rPr>
                <w:rFonts w:cs="Segoe UI"/>
                <w:sz w:val="18"/>
              </w:rPr>
              <w:t>Southern</w:t>
            </w:r>
          </w:p>
        </w:tc>
        <w:tc>
          <w:tcPr>
            <w:tcW w:w="971" w:type="pct"/>
            <w:tcBorders>
              <w:top w:val="single" w:sz="4" w:space="0" w:color="A6A6A6" w:themeColor="background1" w:themeShade="A6"/>
              <w:left w:val="nil"/>
              <w:bottom w:val="single" w:sz="4" w:space="0" w:color="A6A6A6" w:themeColor="background1" w:themeShade="A6"/>
              <w:right w:val="nil"/>
            </w:tcBorders>
            <w:vAlign w:val="center"/>
            <w:hideMark/>
          </w:tcPr>
          <w:p w14:paraId="4361D7AC" w14:textId="77777777" w:rsidR="00D12B45" w:rsidRPr="00ED2B1F" w:rsidRDefault="00D12B45" w:rsidP="00CC2148">
            <w:pPr>
              <w:tabs>
                <w:tab w:val="decimal" w:pos="794"/>
              </w:tabs>
              <w:spacing w:before="60" w:after="60"/>
              <w:rPr>
                <w:rFonts w:cs="Segoe UI"/>
                <w:sz w:val="18"/>
              </w:rPr>
            </w:pPr>
            <w:r w:rsidRPr="00ED2B1F">
              <w:rPr>
                <w:rFonts w:cs="Segoe UI"/>
                <w:sz w:val="18"/>
              </w:rPr>
              <w:t>9</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1B9BB4BC" w14:textId="77777777" w:rsidR="00D12B45" w:rsidRPr="00ED2B1F" w:rsidRDefault="00D12B45" w:rsidP="00CC2148">
            <w:pPr>
              <w:tabs>
                <w:tab w:val="decimal" w:pos="794"/>
              </w:tabs>
              <w:spacing w:before="60" w:after="60"/>
              <w:rPr>
                <w:rFonts w:cs="Segoe UI"/>
                <w:sz w:val="18"/>
              </w:rPr>
            </w:pPr>
            <w:r w:rsidRPr="00ED2B1F">
              <w:rPr>
                <w:rFonts w:cs="Segoe UI"/>
                <w:sz w:val="18"/>
              </w:rPr>
              <w:t>16</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3F715335" w14:textId="77777777" w:rsidR="00D12B45" w:rsidRPr="00ED2B1F" w:rsidRDefault="00D12B45" w:rsidP="00CC2148">
            <w:pPr>
              <w:tabs>
                <w:tab w:val="decimal" w:pos="952"/>
              </w:tabs>
              <w:spacing w:before="60" w:after="60"/>
              <w:rPr>
                <w:rFonts w:cs="Segoe UI"/>
                <w:sz w:val="18"/>
              </w:rPr>
            </w:pPr>
            <w:r w:rsidRPr="00ED2B1F">
              <w:rPr>
                <w:rFonts w:cs="Segoe UI"/>
                <w:sz w:val="18"/>
              </w:rPr>
              <w:t>506</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7991F9F5" w14:textId="77777777" w:rsidR="00D12B45" w:rsidRPr="00ED2B1F" w:rsidRDefault="00D12B45" w:rsidP="00CC2148">
            <w:pPr>
              <w:tabs>
                <w:tab w:val="decimal" w:pos="820"/>
              </w:tabs>
              <w:spacing w:before="60" w:after="60"/>
              <w:rPr>
                <w:rFonts w:cs="Segoe UI"/>
                <w:sz w:val="18"/>
              </w:rPr>
            </w:pPr>
            <w:r w:rsidRPr="00ED2B1F">
              <w:rPr>
                <w:rFonts w:cs="Segoe UI"/>
                <w:sz w:val="18"/>
              </w:rPr>
              <w:t>31.6</w:t>
            </w:r>
          </w:p>
        </w:tc>
      </w:tr>
      <w:tr w:rsidR="006875D2" w:rsidRPr="00ED2B1F" w14:paraId="59137893" w14:textId="77777777" w:rsidTr="006875D2">
        <w:trPr>
          <w:cantSplit/>
          <w:trHeight w:val="70"/>
        </w:trPr>
        <w:tc>
          <w:tcPr>
            <w:tcW w:w="1118" w:type="pct"/>
            <w:tcBorders>
              <w:top w:val="single" w:sz="4" w:space="0" w:color="A6A6A6" w:themeColor="background1" w:themeShade="A6"/>
              <w:left w:val="nil"/>
              <w:bottom w:val="single" w:sz="4" w:space="0" w:color="A6A6A6" w:themeColor="background1" w:themeShade="A6"/>
              <w:right w:val="nil"/>
            </w:tcBorders>
            <w:vAlign w:val="center"/>
            <w:hideMark/>
          </w:tcPr>
          <w:p w14:paraId="5BF0C850" w14:textId="77777777" w:rsidR="00D12B45" w:rsidRPr="00ED2B1F" w:rsidRDefault="00D12B45" w:rsidP="005C1CEE">
            <w:pPr>
              <w:spacing w:before="60" w:after="60"/>
              <w:rPr>
                <w:rFonts w:cs="Segoe UI"/>
                <w:b/>
                <w:sz w:val="18"/>
              </w:rPr>
            </w:pPr>
            <w:r w:rsidRPr="00ED2B1F">
              <w:rPr>
                <w:rFonts w:cs="Segoe UI"/>
                <w:b/>
                <w:sz w:val="18"/>
              </w:rPr>
              <w:t>Nationally</w:t>
            </w:r>
          </w:p>
        </w:tc>
        <w:tc>
          <w:tcPr>
            <w:tcW w:w="971" w:type="pct"/>
            <w:tcBorders>
              <w:top w:val="single" w:sz="4" w:space="0" w:color="A6A6A6" w:themeColor="background1" w:themeShade="A6"/>
              <w:left w:val="nil"/>
              <w:bottom w:val="single" w:sz="4" w:space="0" w:color="A6A6A6" w:themeColor="background1" w:themeShade="A6"/>
              <w:right w:val="nil"/>
            </w:tcBorders>
            <w:vAlign w:val="center"/>
            <w:hideMark/>
          </w:tcPr>
          <w:p w14:paraId="3F417B4E" w14:textId="77777777" w:rsidR="00D12B45" w:rsidRPr="00ED2B1F" w:rsidRDefault="00D12B45" w:rsidP="00CC2148">
            <w:pPr>
              <w:tabs>
                <w:tab w:val="decimal" w:pos="794"/>
              </w:tabs>
              <w:spacing w:before="60" w:after="60"/>
              <w:rPr>
                <w:rFonts w:cs="Segoe UI"/>
                <w:b/>
                <w:bCs/>
                <w:sz w:val="18"/>
              </w:rPr>
            </w:pPr>
            <w:r w:rsidRPr="00ED2B1F">
              <w:rPr>
                <w:rFonts w:cs="Segoe UI"/>
                <w:b/>
                <w:bCs/>
                <w:sz w:val="18"/>
              </w:rPr>
              <w:t>114</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4E243BCC" w14:textId="77777777" w:rsidR="00D12B45" w:rsidRPr="00ED2B1F" w:rsidRDefault="00D12B45" w:rsidP="00CC2148">
            <w:pPr>
              <w:tabs>
                <w:tab w:val="decimal" w:pos="794"/>
              </w:tabs>
              <w:spacing w:before="60" w:after="60"/>
              <w:rPr>
                <w:rFonts w:cs="Segoe UI"/>
                <w:b/>
                <w:bCs/>
                <w:sz w:val="18"/>
              </w:rPr>
            </w:pPr>
            <w:r w:rsidRPr="00ED2B1F">
              <w:rPr>
                <w:rFonts w:cs="Segoe UI"/>
                <w:b/>
                <w:bCs/>
                <w:sz w:val="18"/>
              </w:rPr>
              <w:t>315</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5F16E07E" w14:textId="77777777" w:rsidR="00D12B45" w:rsidRPr="00ED2B1F" w:rsidRDefault="00D12B45" w:rsidP="00CC2148">
            <w:pPr>
              <w:tabs>
                <w:tab w:val="decimal" w:pos="952"/>
              </w:tabs>
              <w:spacing w:before="60" w:after="60"/>
              <w:rPr>
                <w:rFonts w:cs="Segoe UI"/>
                <w:b/>
                <w:bCs/>
                <w:sz w:val="18"/>
              </w:rPr>
            </w:pPr>
            <w:r w:rsidRPr="00ED2B1F">
              <w:rPr>
                <w:rFonts w:cs="Segoe UI"/>
                <w:b/>
                <w:bCs/>
                <w:sz w:val="18"/>
              </w:rPr>
              <w:t>16,878</w:t>
            </w:r>
          </w:p>
        </w:tc>
        <w:tc>
          <w:tcPr>
            <w:tcW w:w="970" w:type="pct"/>
            <w:tcBorders>
              <w:top w:val="single" w:sz="4" w:space="0" w:color="A6A6A6" w:themeColor="background1" w:themeShade="A6"/>
              <w:left w:val="nil"/>
              <w:bottom w:val="single" w:sz="4" w:space="0" w:color="A6A6A6" w:themeColor="background1" w:themeShade="A6"/>
              <w:right w:val="nil"/>
            </w:tcBorders>
            <w:vAlign w:val="center"/>
            <w:hideMark/>
          </w:tcPr>
          <w:p w14:paraId="0BAF2462" w14:textId="77777777" w:rsidR="00D12B45" w:rsidRPr="00ED2B1F" w:rsidRDefault="00D12B45" w:rsidP="00CC2148">
            <w:pPr>
              <w:tabs>
                <w:tab w:val="decimal" w:pos="820"/>
              </w:tabs>
              <w:spacing w:before="60" w:after="60"/>
              <w:rPr>
                <w:rFonts w:cs="Segoe UI"/>
                <w:b/>
                <w:bCs/>
                <w:sz w:val="18"/>
              </w:rPr>
            </w:pPr>
            <w:r w:rsidRPr="00ED2B1F">
              <w:rPr>
                <w:rFonts w:cs="Segoe UI"/>
                <w:b/>
                <w:bCs/>
                <w:sz w:val="18"/>
              </w:rPr>
              <w:t>53.6</w:t>
            </w:r>
          </w:p>
        </w:tc>
      </w:tr>
    </w:tbl>
    <w:p w14:paraId="5B05895A" w14:textId="7887982E" w:rsidR="00463C26" w:rsidRPr="00ED2B1F" w:rsidRDefault="00463C26" w:rsidP="005C1CEE">
      <w:pPr>
        <w:pStyle w:val="Note"/>
      </w:pPr>
      <w:r w:rsidRPr="00ED2B1F">
        <w:t xml:space="preserve">Notes: This data is for forensic mental health service users aged 20–64 years. It excludes the three individuals </w:t>
      </w:r>
      <w:r w:rsidR="00751CBC" w:rsidRPr="00ED2B1F">
        <w:t xml:space="preserve">who </w:t>
      </w:r>
      <w:r w:rsidR="00751CBC">
        <w:t xml:space="preserve">had </w:t>
      </w:r>
      <w:r w:rsidR="00751CBC" w:rsidRPr="003E3474">
        <w:t>experienced prolonged and/or frequent periods of seclusion</w:t>
      </w:r>
      <w:r w:rsidR="00751CBC">
        <w:t xml:space="preserve"> </w:t>
      </w:r>
      <w:r w:rsidRPr="00ED2B1F">
        <w:t>in forensic services.</w:t>
      </w:r>
    </w:p>
    <w:p w14:paraId="7E731563" w14:textId="77777777" w:rsidR="00463C26" w:rsidRPr="00ED2B1F" w:rsidRDefault="00463C26" w:rsidP="005C1CEE">
      <w:pPr>
        <w:pStyle w:val="Source"/>
      </w:pPr>
      <w:r w:rsidRPr="00ED2B1F">
        <w:t>Sources: PRIMHD data (extracted 10 June 2025) and manual data for Health New Zealand Canterbury, Southern, Waikato and Waitematā.</w:t>
      </w:r>
    </w:p>
    <w:p w14:paraId="2008730C" w14:textId="77777777" w:rsidR="00463C26" w:rsidRPr="00ED2B1F" w:rsidRDefault="00463C26" w:rsidP="00463C26">
      <w:pPr>
        <w:rPr>
          <w:rFonts w:cs="Segoe UI"/>
        </w:rPr>
      </w:pPr>
    </w:p>
    <w:p w14:paraId="7F326567" w14:textId="77777777" w:rsidR="00463C26" w:rsidRPr="00ED2B1F" w:rsidRDefault="00463C26" w:rsidP="00463C26"/>
    <w:p w14:paraId="4B691CA6" w14:textId="5B1DF9CB" w:rsidR="00463C26" w:rsidRPr="00ED2B1F" w:rsidRDefault="00463C26" w:rsidP="00C103C7">
      <w:pPr>
        <w:pStyle w:val="Figure"/>
      </w:pPr>
      <w:bookmarkStart w:id="290" w:name="_Ref219294051"/>
      <w:bookmarkStart w:id="291" w:name="_Toc224638201"/>
      <w:r w:rsidRPr="00ED2B1F">
        <w:lastRenderedPageBreak/>
        <w:t xml:space="preserve">Figure </w:t>
      </w:r>
      <w:r w:rsidRPr="00ED2B1F">
        <w:fldChar w:fldCharType="begin"/>
      </w:r>
      <w:r w:rsidRPr="00ED2B1F">
        <w:instrText>SEQ Figure \* ARABIC</w:instrText>
      </w:r>
      <w:r w:rsidRPr="00ED2B1F">
        <w:fldChar w:fldCharType="separate"/>
      </w:r>
      <w:r w:rsidR="00484E57">
        <w:rPr>
          <w:noProof/>
        </w:rPr>
        <w:t>29</w:t>
      </w:r>
      <w:r w:rsidRPr="00ED2B1F">
        <w:fldChar w:fldCharType="end"/>
      </w:r>
      <w:bookmarkEnd w:id="290"/>
      <w:r w:rsidRPr="00ED2B1F">
        <w:t>: Seclusion indicators for forensic mental health services, by ethnicity, 1 July 2023 to 30 June 2024</w:t>
      </w:r>
      <w:bookmarkEnd w:id="291"/>
    </w:p>
    <w:p w14:paraId="1A7CEC71" w14:textId="6E51DBDC" w:rsidR="00463C26" w:rsidRPr="00ED2B1F" w:rsidRDefault="00CC12F1" w:rsidP="00463C26">
      <w:r>
        <w:rPr>
          <w:noProof/>
        </w:rPr>
        <w:drawing>
          <wp:inline distT="0" distB="0" distL="0" distR="0" wp14:anchorId="2F48D30A" wp14:editId="645EE282">
            <wp:extent cx="5041900" cy="2694940"/>
            <wp:effectExtent l="0" t="0" r="6350" b="0"/>
            <wp:docPr id="40973810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38100" name="Picture 30">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1900" cy="2694940"/>
                    </a:xfrm>
                    <a:prstGeom prst="rect">
                      <a:avLst/>
                    </a:prstGeom>
                    <a:noFill/>
                  </pic:spPr>
                </pic:pic>
              </a:graphicData>
            </a:graphic>
          </wp:inline>
        </w:drawing>
      </w:r>
    </w:p>
    <w:p w14:paraId="45876040" w14:textId="6938BCE5" w:rsidR="00463C26" w:rsidRPr="00ED2B1F" w:rsidRDefault="00463C26" w:rsidP="00463C26">
      <w:pPr>
        <w:spacing w:before="80"/>
        <w:rPr>
          <w:rFonts w:cs="Segoe UI"/>
          <w:sz w:val="17"/>
          <w:szCs w:val="17"/>
        </w:rPr>
      </w:pPr>
      <w:r w:rsidRPr="00ED2B1F">
        <w:rPr>
          <w:rFonts w:cs="Segoe UI"/>
          <w:sz w:val="17"/>
          <w:szCs w:val="17"/>
        </w:rPr>
        <w:t>Notes: This data is for forensic mental health service users aged 20–64</w:t>
      </w:r>
      <w:r w:rsidR="00684837" w:rsidRPr="00ED2B1F">
        <w:rPr>
          <w:rFonts w:cs="Segoe UI"/>
          <w:sz w:val="17"/>
          <w:szCs w:val="17"/>
        </w:rPr>
        <w:t xml:space="preserve"> years</w:t>
      </w:r>
      <w:r w:rsidRPr="00ED2B1F">
        <w:rPr>
          <w:rFonts w:cs="Segoe UI"/>
          <w:sz w:val="17"/>
          <w:szCs w:val="17"/>
        </w:rPr>
        <w:t xml:space="preserve">. It excludes the three individuals </w:t>
      </w:r>
      <w:r w:rsidR="00751CBC" w:rsidRPr="00ED2B1F">
        <w:rPr>
          <w:rFonts w:cs="Segoe UI"/>
          <w:sz w:val="17"/>
          <w:szCs w:val="17"/>
        </w:rPr>
        <w:t xml:space="preserve">who </w:t>
      </w:r>
      <w:r w:rsidR="00751CBC">
        <w:rPr>
          <w:rFonts w:cs="Segoe UI"/>
          <w:sz w:val="17"/>
          <w:szCs w:val="17"/>
        </w:rPr>
        <w:t xml:space="preserve">had </w:t>
      </w:r>
      <w:r w:rsidR="00751CBC" w:rsidRPr="003E3474">
        <w:rPr>
          <w:rFonts w:cs="Segoe UI"/>
          <w:sz w:val="17"/>
          <w:szCs w:val="17"/>
        </w:rPr>
        <w:t>experienced prolonged and/or frequent periods of seclusion</w:t>
      </w:r>
      <w:r w:rsidR="00751CBC">
        <w:rPr>
          <w:rFonts w:cs="Segoe UI"/>
          <w:sz w:val="17"/>
          <w:szCs w:val="17"/>
        </w:rPr>
        <w:t xml:space="preserve"> </w:t>
      </w:r>
      <w:r w:rsidRPr="00ED2B1F">
        <w:rPr>
          <w:rFonts w:cs="Segoe UI"/>
          <w:sz w:val="17"/>
          <w:szCs w:val="17"/>
        </w:rPr>
        <w:t>in forensic services.</w:t>
      </w:r>
    </w:p>
    <w:p w14:paraId="75844FBD" w14:textId="77777777" w:rsidR="00463C26" w:rsidRPr="00ED2B1F" w:rsidRDefault="00463C26" w:rsidP="00463C26">
      <w:pPr>
        <w:spacing w:before="80"/>
        <w:rPr>
          <w:rFonts w:cs="Segoe UI"/>
          <w:sz w:val="17"/>
        </w:rPr>
      </w:pPr>
      <w:r w:rsidRPr="00ED2B1F">
        <w:rPr>
          <w:rFonts w:cs="Segoe UI"/>
          <w:sz w:val="17"/>
        </w:rPr>
        <w:t>Sources: PRIMHD data (extracted 10 June 2025) and manual data for Health New Zealand Canterbury, Southern, Waikato and Waitematā.</w:t>
      </w:r>
    </w:p>
    <w:p w14:paraId="7CCBC0E6" w14:textId="77777777" w:rsidR="00463C26" w:rsidRPr="00ED2B1F" w:rsidRDefault="00463C26" w:rsidP="007A34A3">
      <w:pPr>
        <w:pStyle w:val="Heading2"/>
      </w:pPr>
      <w:bookmarkStart w:id="292" w:name="_Toc224638100"/>
      <w:r w:rsidRPr="00ED2B1F">
        <w:t>People with intellectual disabilities cared for in an intellectual disability forensic service</w:t>
      </w:r>
      <w:bookmarkEnd w:id="292"/>
    </w:p>
    <w:p w14:paraId="2FB4257A" w14:textId="1526D30B" w:rsidR="00463C26" w:rsidRPr="00ED2B1F" w:rsidRDefault="00463C26" w:rsidP="00463C26">
      <w:r w:rsidRPr="00ED2B1F">
        <w:t xml:space="preserve">The five regional forensic mental health services listed in the section above also provide forensic intellectual disability services for people with an intellectual disability under the </w:t>
      </w:r>
      <w:r w:rsidR="00DF6679" w:rsidRPr="00ED2B1F">
        <w:t>IDCCR Act</w:t>
      </w:r>
      <w:r w:rsidRPr="00ED2B1F">
        <w:t xml:space="preserve">, as care recipients or special care recipients. Individuals become subject to the </w:t>
      </w:r>
      <w:r w:rsidR="00DF6679" w:rsidRPr="00ED2B1F">
        <w:t>IDCCR Act</w:t>
      </w:r>
      <w:r w:rsidRPr="00ED2B1F">
        <w:t xml:space="preserve"> when</w:t>
      </w:r>
      <w:r w:rsidR="00684837" w:rsidRPr="00ED2B1F">
        <w:t xml:space="preserve"> they are</w:t>
      </w:r>
      <w:r w:rsidRPr="00ED2B1F">
        <w:t xml:space="preserve"> convicted of criminal offending and compulsory care is ordered rather than a prison sentence. A small number of individuals in forensic intellectual disability services are under the Mental Health Act.</w:t>
      </w:r>
    </w:p>
    <w:p w14:paraId="2D0E7EC8" w14:textId="77777777" w:rsidR="00463C26" w:rsidRPr="00ED2B1F" w:rsidRDefault="00463C26" w:rsidP="00463C26"/>
    <w:p w14:paraId="202280BF" w14:textId="46A8C373" w:rsidR="00463C26" w:rsidRPr="00ED2B1F" w:rsidRDefault="00463C26" w:rsidP="00463C26">
      <w:pPr>
        <w:rPr>
          <w:rFonts w:cs="Segoe UI"/>
        </w:rPr>
      </w:pPr>
      <w:r w:rsidRPr="00ED2B1F">
        <w:rPr>
          <w:rFonts w:cs="Segoe UI"/>
        </w:rPr>
        <w:t xml:space="preserve">The seclusion data presented in </w:t>
      </w:r>
      <w:r w:rsidR="00F3519A" w:rsidRPr="00ED2B1F">
        <w:rPr>
          <w:rFonts w:cs="Segoe UI"/>
        </w:rPr>
        <w:fldChar w:fldCharType="begin"/>
      </w:r>
      <w:r w:rsidR="00F3519A" w:rsidRPr="00ED2B1F">
        <w:rPr>
          <w:rFonts w:cs="Segoe UI"/>
        </w:rPr>
        <w:instrText xml:space="preserve"> REF _Ref214886581 \h </w:instrText>
      </w:r>
      <w:r w:rsidR="00F3519A" w:rsidRPr="00ED2B1F">
        <w:rPr>
          <w:rFonts w:cs="Segoe UI"/>
        </w:rPr>
      </w:r>
      <w:r w:rsidR="00F3519A" w:rsidRPr="00ED2B1F">
        <w:rPr>
          <w:rFonts w:cs="Segoe UI"/>
        </w:rPr>
        <w:fldChar w:fldCharType="separate"/>
      </w:r>
      <w:r w:rsidR="00484E57" w:rsidRPr="00ED2B1F">
        <w:t>Table </w:t>
      </w:r>
      <w:r w:rsidR="00484E57">
        <w:rPr>
          <w:noProof/>
        </w:rPr>
        <w:t>10</w:t>
      </w:r>
      <w:r w:rsidR="00484E57" w:rsidRPr="00ED2B1F">
        <w:t>: Seclusion indicators for people with intellectual disabilities, nationally,</w:t>
      </w:r>
      <w:r w:rsidR="00484E57">
        <w:t xml:space="preserve"> by Act,</w:t>
      </w:r>
      <w:r w:rsidR="00484E57" w:rsidRPr="00ED2B1F">
        <w:t xml:space="preserve"> 1 July 2023 to 30 June 2024</w:t>
      </w:r>
      <w:r w:rsidR="00F3519A" w:rsidRPr="00ED2B1F">
        <w:rPr>
          <w:rFonts w:cs="Segoe UI"/>
        </w:rPr>
        <w:fldChar w:fldCharType="end"/>
      </w:r>
      <w:r w:rsidR="00F3519A" w:rsidRPr="00ED2B1F">
        <w:rPr>
          <w:rFonts w:cs="Segoe UI"/>
        </w:rPr>
        <w:t xml:space="preserve"> through </w:t>
      </w:r>
      <w:r w:rsidR="00F3519A" w:rsidRPr="00ED2B1F">
        <w:rPr>
          <w:rFonts w:cs="Segoe UI"/>
        </w:rPr>
        <w:fldChar w:fldCharType="begin"/>
      </w:r>
      <w:r w:rsidR="00F3519A" w:rsidRPr="00ED2B1F">
        <w:rPr>
          <w:rFonts w:cs="Segoe UI"/>
        </w:rPr>
        <w:instrText xml:space="preserve"> REF _Ref214886588 \h </w:instrText>
      </w:r>
      <w:r w:rsidR="00F3519A" w:rsidRPr="00ED2B1F">
        <w:rPr>
          <w:rFonts w:cs="Segoe UI"/>
        </w:rPr>
      </w:r>
      <w:r w:rsidR="00F3519A" w:rsidRPr="00ED2B1F">
        <w:rPr>
          <w:rFonts w:cs="Segoe UI"/>
        </w:rPr>
        <w:fldChar w:fldCharType="separate"/>
      </w:r>
      <w:r w:rsidR="00484E57" w:rsidRPr="00ED2B1F">
        <w:t>Table </w:t>
      </w:r>
      <w:r w:rsidR="00484E57">
        <w:rPr>
          <w:noProof/>
        </w:rPr>
        <w:t>12</w:t>
      </w:r>
      <w:r w:rsidR="00F3519A" w:rsidRPr="00ED2B1F">
        <w:rPr>
          <w:rFonts w:cs="Segoe UI"/>
        </w:rPr>
        <w:fldChar w:fldCharType="end"/>
      </w:r>
      <w:r w:rsidR="00F3519A" w:rsidRPr="00ED2B1F">
        <w:rPr>
          <w:rFonts w:cs="Segoe UI"/>
        </w:rPr>
        <w:t xml:space="preserve"> </w:t>
      </w:r>
      <w:r w:rsidRPr="00ED2B1F">
        <w:rPr>
          <w:rFonts w:cs="Segoe UI"/>
        </w:rPr>
        <w:t xml:space="preserve">for people with intellectual disabilities is for individuals with a legal status under the </w:t>
      </w:r>
      <w:r w:rsidR="00DF6679" w:rsidRPr="00ED2B1F">
        <w:rPr>
          <w:rFonts w:cs="Segoe UI"/>
        </w:rPr>
        <w:t>IDCCR Act</w:t>
      </w:r>
      <w:r w:rsidRPr="00ED2B1F">
        <w:rPr>
          <w:rFonts w:cs="Segoe UI"/>
        </w:rPr>
        <w:t xml:space="preserve"> or the Mental Health Act. People receiving care under these Acts can </w:t>
      </w:r>
      <w:r w:rsidR="00F3519A" w:rsidRPr="00ED2B1F">
        <w:rPr>
          <w:rFonts w:cs="Segoe UI"/>
        </w:rPr>
        <w:t xml:space="preserve">only </w:t>
      </w:r>
      <w:r w:rsidRPr="00ED2B1F">
        <w:rPr>
          <w:rFonts w:cs="Segoe UI"/>
        </w:rPr>
        <w:t>be secluded in hospital-level secure services that meet specific requirements.</w:t>
      </w:r>
    </w:p>
    <w:p w14:paraId="66B1DACE" w14:textId="77777777" w:rsidR="00463C26" w:rsidRPr="00ED2B1F" w:rsidRDefault="00463C26" w:rsidP="00463C26">
      <w:pPr>
        <w:rPr>
          <w:rFonts w:cs="Segoe UI"/>
        </w:rPr>
      </w:pPr>
    </w:p>
    <w:p w14:paraId="5023EC3F" w14:textId="5141B06B" w:rsidR="00463C26" w:rsidRPr="00ED2B1F" w:rsidRDefault="00EC33B2" w:rsidP="00463C26">
      <w:pPr>
        <w:rPr>
          <w:rFonts w:cs="Segoe UI"/>
        </w:rPr>
      </w:pPr>
      <w:r w:rsidRPr="00ED2B1F">
        <w:rPr>
          <w:rFonts w:cs="Segoe UI"/>
        </w:rPr>
        <w:t>Data in this section is presented on a</w:t>
      </w:r>
      <w:r w:rsidR="00463C26" w:rsidRPr="00ED2B1F">
        <w:rPr>
          <w:rFonts w:cs="Segoe UI"/>
        </w:rPr>
        <w:t xml:space="preserve"> national level to protect individuals’ privacy. Similarly, the seclusion indicators for Māori and non-Māori with intellectual disabilities are presented per 100,000 people in the general population (</w:t>
      </w:r>
      <w:r w:rsidR="00C22427" w:rsidRPr="00ED2B1F">
        <w:rPr>
          <w:rFonts w:cs="Segoe UI"/>
        </w:rPr>
        <w:fldChar w:fldCharType="begin"/>
      </w:r>
      <w:r w:rsidR="00C22427" w:rsidRPr="00ED2B1F">
        <w:rPr>
          <w:rFonts w:cs="Segoe UI"/>
        </w:rPr>
        <w:instrText xml:space="preserve"> REF _Ref214886588 \h </w:instrText>
      </w:r>
      <w:r w:rsidR="00C22427" w:rsidRPr="00ED2B1F">
        <w:rPr>
          <w:rFonts w:cs="Segoe UI"/>
        </w:rPr>
      </w:r>
      <w:r w:rsidR="00C22427" w:rsidRPr="00ED2B1F">
        <w:rPr>
          <w:rFonts w:cs="Segoe UI"/>
        </w:rPr>
        <w:fldChar w:fldCharType="separate"/>
      </w:r>
      <w:r w:rsidR="00484E57" w:rsidRPr="00ED2B1F">
        <w:t>Table </w:t>
      </w:r>
      <w:r w:rsidR="00484E57">
        <w:rPr>
          <w:noProof/>
        </w:rPr>
        <w:t>12</w:t>
      </w:r>
      <w:r w:rsidR="00C22427" w:rsidRPr="00ED2B1F">
        <w:rPr>
          <w:rFonts w:cs="Segoe UI"/>
        </w:rPr>
        <w:fldChar w:fldCharType="end"/>
      </w:r>
      <w:r w:rsidR="00463C26" w:rsidRPr="00ED2B1F">
        <w:rPr>
          <w:rFonts w:cs="Segoe UI"/>
        </w:rPr>
        <w:t>), rather than as raw figures.</w:t>
      </w:r>
    </w:p>
    <w:p w14:paraId="0D2B1DCF" w14:textId="42779981" w:rsidR="00463C26" w:rsidRPr="00ED2B1F" w:rsidRDefault="00463C26" w:rsidP="00C103C7">
      <w:pPr>
        <w:pStyle w:val="Table"/>
      </w:pPr>
      <w:bookmarkStart w:id="293" w:name="_Ref214886581"/>
      <w:bookmarkStart w:id="294" w:name="_Toc224638230"/>
      <w:r w:rsidRPr="00ED2B1F">
        <w:lastRenderedPageBreak/>
        <w:t>Table </w:t>
      </w:r>
      <w:r w:rsidRPr="00ED2B1F">
        <w:fldChar w:fldCharType="begin"/>
      </w:r>
      <w:r w:rsidRPr="00ED2B1F">
        <w:instrText>SEQ Table \* ARABIC</w:instrText>
      </w:r>
      <w:r w:rsidRPr="00ED2B1F">
        <w:fldChar w:fldCharType="separate"/>
      </w:r>
      <w:r w:rsidR="00484E57">
        <w:rPr>
          <w:noProof/>
        </w:rPr>
        <w:t>10</w:t>
      </w:r>
      <w:r w:rsidRPr="00ED2B1F">
        <w:fldChar w:fldCharType="end"/>
      </w:r>
      <w:r w:rsidRPr="00ED2B1F">
        <w:t>: Seclusion indicators for people with intellectual disabilities, nationally,</w:t>
      </w:r>
      <w:r w:rsidR="00DA616C">
        <w:t xml:space="preserve"> </w:t>
      </w:r>
      <w:r w:rsidR="00B97AF7">
        <w:t>b</w:t>
      </w:r>
      <w:r w:rsidR="00DA616C">
        <w:t>y Act,</w:t>
      </w:r>
      <w:r w:rsidRPr="00ED2B1F">
        <w:t xml:space="preserve"> 1 July 2023 to 30 June 2024</w:t>
      </w:r>
      <w:bookmarkEnd w:id="293"/>
      <w:bookmarkEnd w:id="294"/>
    </w:p>
    <w:tbl>
      <w:tblPr>
        <w:tblW w:w="4877"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60" w:firstRow="1" w:lastRow="1" w:firstColumn="0" w:lastColumn="0" w:noHBand="0" w:noVBand="1"/>
      </w:tblPr>
      <w:tblGrid>
        <w:gridCol w:w="1703"/>
        <w:gridCol w:w="1491"/>
        <w:gridCol w:w="1492"/>
        <w:gridCol w:w="1492"/>
        <w:gridCol w:w="1702"/>
      </w:tblGrid>
      <w:tr w:rsidR="00504404" w:rsidRPr="00ED2B1F" w14:paraId="637CFB14" w14:textId="77777777" w:rsidTr="00CC2148">
        <w:trPr>
          <w:cantSplit/>
          <w:trHeight w:val="311"/>
        </w:trPr>
        <w:tc>
          <w:tcPr>
            <w:tcW w:w="1080" w:type="pct"/>
            <w:tcBorders>
              <w:top w:val="nil"/>
              <w:left w:val="nil"/>
              <w:bottom w:val="nil"/>
              <w:right w:val="nil"/>
            </w:tcBorders>
            <w:shd w:val="clear" w:color="auto" w:fill="D9D9D9" w:themeFill="background1" w:themeFillShade="D9"/>
            <w:vAlign w:val="bottom"/>
            <w:hideMark/>
          </w:tcPr>
          <w:p w14:paraId="6C0299AF" w14:textId="7BBE50A0" w:rsidR="00504404" w:rsidRPr="005C1CEE" w:rsidRDefault="00504404" w:rsidP="005C1CEE">
            <w:pPr>
              <w:spacing w:before="60" w:after="60"/>
              <w:rPr>
                <w:rFonts w:cs="Segoe UI"/>
                <w:b/>
                <w:sz w:val="18"/>
              </w:rPr>
            </w:pPr>
            <w:r w:rsidRPr="005C1CEE">
              <w:rPr>
                <w:rFonts w:cs="Segoe UI"/>
                <w:b/>
                <w:sz w:val="18"/>
              </w:rPr>
              <w:t>Act</w:t>
            </w:r>
          </w:p>
        </w:tc>
        <w:tc>
          <w:tcPr>
            <w:tcW w:w="946" w:type="pct"/>
            <w:tcBorders>
              <w:top w:val="nil"/>
              <w:left w:val="nil"/>
              <w:bottom w:val="nil"/>
              <w:right w:val="nil"/>
            </w:tcBorders>
            <w:shd w:val="clear" w:color="auto" w:fill="D9D9D9" w:themeFill="background1" w:themeFillShade="D9"/>
            <w:vAlign w:val="bottom"/>
            <w:hideMark/>
          </w:tcPr>
          <w:p w14:paraId="3ACEB647" w14:textId="77777777" w:rsidR="00504404" w:rsidRPr="005C1CEE" w:rsidRDefault="00504404" w:rsidP="005C1CEE">
            <w:pPr>
              <w:spacing w:before="60" w:after="60"/>
              <w:rPr>
                <w:rFonts w:cs="Segoe UI"/>
                <w:b/>
                <w:sz w:val="18"/>
              </w:rPr>
            </w:pPr>
            <w:r w:rsidRPr="005C1CEE">
              <w:rPr>
                <w:rFonts w:cs="Segoe UI"/>
                <w:b/>
                <w:sz w:val="18"/>
              </w:rPr>
              <w:t>Number of people secluded</w:t>
            </w:r>
          </w:p>
        </w:tc>
        <w:tc>
          <w:tcPr>
            <w:tcW w:w="947" w:type="pct"/>
            <w:tcBorders>
              <w:top w:val="nil"/>
              <w:left w:val="nil"/>
              <w:bottom w:val="nil"/>
              <w:right w:val="nil"/>
            </w:tcBorders>
            <w:shd w:val="clear" w:color="auto" w:fill="D9D9D9" w:themeFill="background1" w:themeFillShade="D9"/>
            <w:vAlign w:val="bottom"/>
            <w:hideMark/>
          </w:tcPr>
          <w:p w14:paraId="7E658FDF" w14:textId="77777777" w:rsidR="00504404" w:rsidRPr="005C1CEE" w:rsidRDefault="00504404" w:rsidP="005C1CEE">
            <w:pPr>
              <w:spacing w:before="60" w:after="60"/>
              <w:rPr>
                <w:rFonts w:cs="Segoe UI"/>
                <w:b/>
                <w:sz w:val="18"/>
              </w:rPr>
            </w:pPr>
            <w:r w:rsidRPr="005C1CEE">
              <w:rPr>
                <w:rFonts w:cs="Segoe UI"/>
                <w:b/>
                <w:sz w:val="18"/>
              </w:rPr>
              <w:t>Number of events</w:t>
            </w:r>
          </w:p>
        </w:tc>
        <w:tc>
          <w:tcPr>
            <w:tcW w:w="947" w:type="pct"/>
            <w:tcBorders>
              <w:top w:val="nil"/>
              <w:left w:val="nil"/>
              <w:bottom w:val="nil"/>
              <w:right w:val="nil"/>
            </w:tcBorders>
            <w:shd w:val="clear" w:color="auto" w:fill="D9D9D9" w:themeFill="background1" w:themeFillShade="D9"/>
            <w:vAlign w:val="bottom"/>
            <w:hideMark/>
          </w:tcPr>
          <w:p w14:paraId="454A1693" w14:textId="4F3728F4" w:rsidR="00504404" w:rsidRPr="005C1CEE" w:rsidRDefault="00504404" w:rsidP="005C1CEE">
            <w:pPr>
              <w:spacing w:before="60" w:after="60"/>
              <w:rPr>
                <w:rFonts w:cs="Segoe UI"/>
                <w:b/>
                <w:sz w:val="18"/>
              </w:rPr>
            </w:pPr>
            <w:r w:rsidRPr="005C1CEE">
              <w:rPr>
                <w:rFonts w:cs="Segoe UI"/>
                <w:b/>
                <w:sz w:val="18"/>
              </w:rPr>
              <w:t>Median number of events</w:t>
            </w:r>
          </w:p>
        </w:tc>
        <w:tc>
          <w:tcPr>
            <w:tcW w:w="1081" w:type="pct"/>
            <w:tcBorders>
              <w:top w:val="nil"/>
              <w:left w:val="nil"/>
              <w:bottom w:val="nil"/>
              <w:right w:val="nil"/>
            </w:tcBorders>
            <w:shd w:val="clear" w:color="auto" w:fill="D9D9D9" w:themeFill="background1" w:themeFillShade="D9"/>
            <w:vAlign w:val="bottom"/>
            <w:hideMark/>
          </w:tcPr>
          <w:p w14:paraId="2A2EE110" w14:textId="351FCDC0" w:rsidR="00504404" w:rsidRPr="005C1CEE" w:rsidRDefault="00504404" w:rsidP="005C1CEE">
            <w:pPr>
              <w:spacing w:before="60" w:after="60"/>
              <w:rPr>
                <w:rFonts w:cs="Segoe UI"/>
                <w:b/>
                <w:sz w:val="18"/>
              </w:rPr>
            </w:pPr>
            <w:r w:rsidRPr="005C1CEE">
              <w:rPr>
                <w:rFonts w:cs="Segoe UI"/>
                <w:b/>
                <w:sz w:val="18"/>
              </w:rPr>
              <w:t>Average number of events per person</w:t>
            </w:r>
          </w:p>
        </w:tc>
      </w:tr>
      <w:tr w:rsidR="00504404" w:rsidRPr="00ED2B1F" w14:paraId="453AC109" w14:textId="77777777" w:rsidTr="00CC2148">
        <w:trPr>
          <w:cantSplit/>
          <w:trHeight w:val="300"/>
        </w:trPr>
        <w:tc>
          <w:tcPr>
            <w:tcW w:w="1080" w:type="pct"/>
            <w:tcBorders>
              <w:top w:val="nil"/>
              <w:left w:val="nil"/>
              <w:bottom w:val="single" w:sz="4" w:space="0" w:color="A6A6A6" w:themeColor="background1" w:themeShade="A6"/>
              <w:right w:val="nil"/>
            </w:tcBorders>
            <w:hideMark/>
          </w:tcPr>
          <w:p w14:paraId="4CB9070E" w14:textId="58ABE00C" w:rsidR="00504404" w:rsidRPr="00ED2B1F" w:rsidRDefault="00504404" w:rsidP="004E6F2F">
            <w:pPr>
              <w:spacing w:before="60" w:after="60"/>
              <w:rPr>
                <w:rFonts w:cs="Segoe UI"/>
                <w:sz w:val="18"/>
              </w:rPr>
            </w:pPr>
            <w:r w:rsidRPr="00ED2B1F">
              <w:rPr>
                <w:rFonts w:cs="Segoe UI"/>
                <w:sz w:val="18"/>
              </w:rPr>
              <w:t>IDCCR Act</w:t>
            </w:r>
          </w:p>
        </w:tc>
        <w:tc>
          <w:tcPr>
            <w:tcW w:w="946" w:type="pct"/>
            <w:tcBorders>
              <w:top w:val="nil"/>
              <w:left w:val="nil"/>
              <w:bottom w:val="single" w:sz="4" w:space="0" w:color="A6A6A6" w:themeColor="background1" w:themeShade="A6"/>
              <w:right w:val="nil"/>
            </w:tcBorders>
            <w:vAlign w:val="center"/>
            <w:hideMark/>
          </w:tcPr>
          <w:p w14:paraId="7150874A" w14:textId="3F328624" w:rsidR="00504404" w:rsidRPr="00ED2B1F" w:rsidRDefault="00504404" w:rsidP="00D12B45">
            <w:pPr>
              <w:tabs>
                <w:tab w:val="decimal" w:pos="794"/>
              </w:tabs>
              <w:spacing w:before="60" w:after="60"/>
              <w:rPr>
                <w:rFonts w:cs="Segoe UI"/>
                <w:sz w:val="18"/>
              </w:rPr>
            </w:pPr>
            <w:r w:rsidRPr="00ED2B1F">
              <w:rPr>
                <w:rFonts w:cs="Segoe UI"/>
                <w:sz w:val="18"/>
              </w:rPr>
              <w:t>18</w:t>
            </w:r>
          </w:p>
        </w:tc>
        <w:tc>
          <w:tcPr>
            <w:tcW w:w="947" w:type="pct"/>
            <w:tcBorders>
              <w:top w:val="nil"/>
              <w:left w:val="nil"/>
              <w:bottom w:val="single" w:sz="4" w:space="0" w:color="A6A6A6" w:themeColor="background1" w:themeShade="A6"/>
              <w:right w:val="nil"/>
            </w:tcBorders>
            <w:vAlign w:val="center"/>
            <w:hideMark/>
          </w:tcPr>
          <w:p w14:paraId="2834195E" w14:textId="6E736705" w:rsidR="00504404" w:rsidRPr="00ED2B1F" w:rsidRDefault="00504404" w:rsidP="00D12B45">
            <w:pPr>
              <w:tabs>
                <w:tab w:val="decimal" w:pos="794"/>
              </w:tabs>
              <w:spacing w:before="60" w:after="60"/>
              <w:rPr>
                <w:rFonts w:cs="Segoe UI"/>
                <w:sz w:val="18"/>
              </w:rPr>
            </w:pPr>
            <w:r w:rsidRPr="00ED2B1F">
              <w:rPr>
                <w:rFonts w:cs="Segoe UI"/>
                <w:sz w:val="18"/>
              </w:rPr>
              <w:t>177</w:t>
            </w:r>
          </w:p>
        </w:tc>
        <w:tc>
          <w:tcPr>
            <w:tcW w:w="947" w:type="pct"/>
            <w:tcBorders>
              <w:top w:val="nil"/>
              <w:left w:val="nil"/>
              <w:bottom w:val="single" w:sz="4" w:space="0" w:color="A6A6A6" w:themeColor="background1" w:themeShade="A6"/>
              <w:right w:val="nil"/>
            </w:tcBorders>
            <w:vAlign w:val="center"/>
            <w:hideMark/>
          </w:tcPr>
          <w:p w14:paraId="1CA50B34" w14:textId="5F9BBA73" w:rsidR="00504404" w:rsidRPr="00ED2B1F" w:rsidRDefault="00504404" w:rsidP="00D12B45">
            <w:pPr>
              <w:tabs>
                <w:tab w:val="decimal" w:pos="952"/>
              </w:tabs>
              <w:spacing w:before="60" w:after="60"/>
              <w:rPr>
                <w:rFonts w:cs="Segoe UI"/>
                <w:sz w:val="18"/>
              </w:rPr>
            </w:pPr>
            <w:r w:rsidRPr="00ED2B1F">
              <w:rPr>
                <w:rFonts w:cs="Segoe UI"/>
                <w:sz w:val="18"/>
              </w:rPr>
              <w:t>7.0</w:t>
            </w:r>
          </w:p>
        </w:tc>
        <w:tc>
          <w:tcPr>
            <w:tcW w:w="1081" w:type="pct"/>
            <w:tcBorders>
              <w:top w:val="nil"/>
              <w:left w:val="nil"/>
              <w:bottom w:val="single" w:sz="4" w:space="0" w:color="A6A6A6" w:themeColor="background1" w:themeShade="A6"/>
              <w:right w:val="nil"/>
            </w:tcBorders>
            <w:vAlign w:val="center"/>
            <w:hideMark/>
          </w:tcPr>
          <w:p w14:paraId="0AE66EF1" w14:textId="165619B0" w:rsidR="00504404" w:rsidRPr="00ED2B1F" w:rsidRDefault="00504404" w:rsidP="00D12B45">
            <w:pPr>
              <w:tabs>
                <w:tab w:val="decimal" w:pos="820"/>
              </w:tabs>
              <w:spacing w:before="60" w:after="60"/>
              <w:rPr>
                <w:rFonts w:cs="Segoe UI"/>
                <w:sz w:val="18"/>
              </w:rPr>
            </w:pPr>
            <w:r w:rsidRPr="00ED2B1F">
              <w:rPr>
                <w:rFonts w:cs="Segoe UI"/>
                <w:sz w:val="18"/>
              </w:rPr>
              <w:t>9.8</w:t>
            </w:r>
          </w:p>
        </w:tc>
      </w:tr>
      <w:tr w:rsidR="00504404" w:rsidRPr="00ED2B1F" w14:paraId="3710DB6D" w14:textId="77777777" w:rsidTr="00CC2148">
        <w:trPr>
          <w:cantSplit/>
          <w:trHeight w:val="300"/>
        </w:trPr>
        <w:tc>
          <w:tcPr>
            <w:tcW w:w="1080" w:type="pct"/>
            <w:tcBorders>
              <w:top w:val="nil"/>
              <w:left w:val="nil"/>
              <w:bottom w:val="single" w:sz="4" w:space="0" w:color="A6A6A6" w:themeColor="background1" w:themeShade="A6"/>
              <w:right w:val="nil"/>
            </w:tcBorders>
            <w:hideMark/>
          </w:tcPr>
          <w:p w14:paraId="7A0C4A8D" w14:textId="09507F8F" w:rsidR="00504404" w:rsidRPr="00ED2B1F" w:rsidRDefault="00504404" w:rsidP="004E6F2F">
            <w:pPr>
              <w:spacing w:before="60" w:after="60"/>
              <w:rPr>
                <w:rFonts w:cs="Segoe UI"/>
                <w:sz w:val="18"/>
              </w:rPr>
            </w:pPr>
            <w:r w:rsidRPr="00ED2B1F">
              <w:rPr>
                <w:rFonts w:cs="Segoe UI"/>
                <w:sz w:val="18"/>
              </w:rPr>
              <w:t>Mental Health Act</w:t>
            </w:r>
          </w:p>
        </w:tc>
        <w:tc>
          <w:tcPr>
            <w:tcW w:w="946" w:type="pct"/>
            <w:tcBorders>
              <w:top w:val="nil"/>
              <w:left w:val="nil"/>
              <w:bottom w:val="single" w:sz="4" w:space="0" w:color="A6A6A6" w:themeColor="background1" w:themeShade="A6"/>
              <w:right w:val="nil"/>
            </w:tcBorders>
            <w:vAlign w:val="center"/>
            <w:hideMark/>
          </w:tcPr>
          <w:p w14:paraId="44950167" w14:textId="066E3AA0" w:rsidR="00504404" w:rsidRPr="00ED2B1F" w:rsidRDefault="00504404" w:rsidP="00D12B45">
            <w:pPr>
              <w:tabs>
                <w:tab w:val="decimal" w:pos="794"/>
              </w:tabs>
              <w:spacing w:before="60" w:after="60"/>
              <w:rPr>
                <w:rFonts w:cs="Segoe UI"/>
                <w:sz w:val="18"/>
              </w:rPr>
            </w:pPr>
            <w:r w:rsidRPr="00ED2B1F">
              <w:rPr>
                <w:rFonts w:cs="Segoe UI"/>
                <w:sz w:val="18"/>
              </w:rPr>
              <w:t>7</w:t>
            </w:r>
          </w:p>
        </w:tc>
        <w:tc>
          <w:tcPr>
            <w:tcW w:w="947" w:type="pct"/>
            <w:tcBorders>
              <w:top w:val="nil"/>
              <w:left w:val="nil"/>
              <w:bottom w:val="single" w:sz="4" w:space="0" w:color="A6A6A6" w:themeColor="background1" w:themeShade="A6"/>
              <w:right w:val="nil"/>
            </w:tcBorders>
            <w:vAlign w:val="center"/>
            <w:hideMark/>
          </w:tcPr>
          <w:p w14:paraId="40418B69" w14:textId="09DBF06E" w:rsidR="00504404" w:rsidRPr="00ED2B1F" w:rsidRDefault="00504404" w:rsidP="00D12B45">
            <w:pPr>
              <w:tabs>
                <w:tab w:val="decimal" w:pos="794"/>
              </w:tabs>
              <w:spacing w:before="60" w:after="60"/>
              <w:rPr>
                <w:rFonts w:cs="Segoe UI"/>
                <w:sz w:val="18"/>
              </w:rPr>
            </w:pPr>
            <w:r w:rsidRPr="00ED2B1F">
              <w:rPr>
                <w:rFonts w:cs="Segoe UI"/>
                <w:sz w:val="18"/>
              </w:rPr>
              <w:t>86</w:t>
            </w:r>
          </w:p>
        </w:tc>
        <w:tc>
          <w:tcPr>
            <w:tcW w:w="947" w:type="pct"/>
            <w:tcBorders>
              <w:top w:val="nil"/>
              <w:left w:val="nil"/>
              <w:bottom w:val="single" w:sz="4" w:space="0" w:color="A6A6A6" w:themeColor="background1" w:themeShade="A6"/>
              <w:right w:val="nil"/>
            </w:tcBorders>
            <w:vAlign w:val="center"/>
            <w:hideMark/>
          </w:tcPr>
          <w:p w14:paraId="3B863EB9" w14:textId="450D4322" w:rsidR="00504404" w:rsidRPr="00ED2B1F" w:rsidRDefault="00504404" w:rsidP="00D12B45">
            <w:pPr>
              <w:tabs>
                <w:tab w:val="decimal" w:pos="952"/>
              </w:tabs>
              <w:spacing w:before="60" w:after="60"/>
              <w:rPr>
                <w:rFonts w:cs="Segoe UI"/>
                <w:sz w:val="18"/>
              </w:rPr>
            </w:pPr>
            <w:r w:rsidRPr="00ED2B1F">
              <w:rPr>
                <w:rFonts w:cs="Segoe UI"/>
                <w:sz w:val="18"/>
              </w:rPr>
              <w:t>3.0</w:t>
            </w:r>
          </w:p>
        </w:tc>
        <w:tc>
          <w:tcPr>
            <w:tcW w:w="1081" w:type="pct"/>
            <w:tcBorders>
              <w:top w:val="nil"/>
              <w:left w:val="nil"/>
              <w:bottom w:val="single" w:sz="4" w:space="0" w:color="A6A6A6" w:themeColor="background1" w:themeShade="A6"/>
              <w:right w:val="nil"/>
            </w:tcBorders>
            <w:vAlign w:val="center"/>
            <w:hideMark/>
          </w:tcPr>
          <w:p w14:paraId="1999A9B9" w14:textId="3BDE55C6" w:rsidR="00504404" w:rsidRPr="00ED2B1F" w:rsidRDefault="00504404" w:rsidP="00D12B45">
            <w:pPr>
              <w:tabs>
                <w:tab w:val="decimal" w:pos="820"/>
              </w:tabs>
              <w:spacing w:before="60" w:after="60"/>
              <w:rPr>
                <w:rFonts w:cs="Segoe UI"/>
                <w:sz w:val="18"/>
              </w:rPr>
            </w:pPr>
            <w:r w:rsidRPr="00ED2B1F">
              <w:rPr>
                <w:rFonts w:cs="Segoe UI"/>
                <w:sz w:val="18"/>
              </w:rPr>
              <w:t>12.3</w:t>
            </w:r>
          </w:p>
        </w:tc>
      </w:tr>
    </w:tbl>
    <w:p w14:paraId="2065BB2C" w14:textId="7D679679" w:rsidR="00245684" w:rsidRPr="00ED2B1F" w:rsidRDefault="00463C26" w:rsidP="00CC2148">
      <w:pPr>
        <w:pStyle w:val="Note"/>
      </w:pPr>
      <w:r w:rsidRPr="00ED2B1F">
        <w:t xml:space="preserve">Note: </w:t>
      </w:r>
      <w:r w:rsidR="00C22427" w:rsidRPr="00ED2B1F">
        <w:t xml:space="preserve">The </w:t>
      </w:r>
      <w:r w:rsidRPr="00ED2B1F">
        <w:t xml:space="preserve">data </w:t>
      </w:r>
      <w:r w:rsidR="00C22427" w:rsidRPr="00ED2B1F">
        <w:t>excludes</w:t>
      </w:r>
      <w:r w:rsidRPr="00ED2B1F">
        <w:t xml:space="preserve"> the five individuals </w:t>
      </w:r>
      <w:r w:rsidR="00751CBC" w:rsidRPr="00ED2B1F">
        <w:t xml:space="preserve">who </w:t>
      </w:r>
      <w:r w:rsidR="00751CBC">
        <w:t xml:space="preserve">had </w:t>
      </w:r>
      <w:r w:rsidR="00751CBC" w:rsidRPr="003E3474">
        <w:t>experienced prolonged and/or frequent periods of seclusion</w:t>
      </w:r>
      <w:r w:rsidRPr="00ED2B1F">
        <w:t xml:space="preserve"> in intellectual disability services. </w:t>
      </w:r>
    </w:p>
    <w:p w14:paraId="4B944B32" w14:textId="314E3576" w:rsidR="00463C26" w:rsidRPr="00ED2B1F" w:rsidRDefault="00463C26" w:rsidP="00CC2148">
      <w:pPr>
        <w:pStyle w:val="Source"/>
      </w:pPr>
      <w:r w:rsidRPr="00ED2B1F">
        <w:t>Sources: PRIMHD data (extracted 10 June 2025) and manual data for Health New Zealand Canterbury, Southern, Waikato and Waitematā.</w:t>
      </w:r>
    </w:p>
    <w:p w14:paraId="1315AAF0" w14:textId="77777777" w:rsidR="00463C26" w:rsidRPr="00ED2B1F" w:rsidRDefault="00463C26" w:rsidP="00463C26">
      <w:pPr>
        <w:rPr>
          <w:rFonts w:cs="Segoe UI"/>
          <w:highlight w:val="yellow"/>
        </w:rPr>
      </w:pPr>
    </w:p>
    <w:p w14:paraId="414B87A3" w14:textId="47305B0E" w:rsidR="00463C26" w:rsidRPr="00ED2B1F" w:rsidRDefault="00463C26" w:rsidP="00C103C7">
      <w:pPr>
        <w:pStyle w:val="Table"/>
      </w:pPr>
      <w:bookmarkStart w:id="295" w:name="_Toc224638231"/>
      <w:r w:rsidRPr="00ED2B1F">
        <w:t>Table </w:t>
      </w:r>
      <w:r w:rsidRPr="00ED2B1F">
        <w:fldChar w:fldCharType="begin"/>
      </w:r>
      <w:r w:rsidRPr="00ED2B1F">
        <w:instrText>SEQ Table \* ARABIC</w:instrText>
      </w:r>
      <w:r w:rsidRPr="00ED2B1F">
        <w:fldChar w:fldCharType="separate"/>
      </w:r>
      <w:r w:rsidR="00484E57">
        <w:rPr>
          <w:noProof/>
        </w:rPr>
        <w:t>11</w:t>
      </w:r>
      <w:r w:rsidRPr="00ED2B1F">
        <w:fldChar w:fldCharType="end"/>
      </w:r>
      <w:r w:rsidRPr="00ED2B1F">
        <w:t xml:space="preserve">: Length of seclusion for people with intellectual disabilities, nationally, </w:t>
      </w:r>
      <w:r w:rsidR="003F56ED">
        <w:t xml:space="preserve">by Act, </w:t>
      </w:r>
      <w:r w:rsidRPr="00ED2B1F">
        <w:t>1 July 2023 to 30 June 2024</w:t>
      </w:r>
      <w:bookmarkEnd w:id="295"/>
    </w:p>
    <w:tbl>
      <w:tblPr>
        <w:tblW w:w="4736"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60" w:firstRow="1" w:lastRow="1" w:firstColumn="0" w:lastColumn="0" w:noHBand="0" w:noVBand="1"/>
      </w:tblPr>
      <w:tblGrid>
        <w:gridCol w:w="1701"/>
        <w:gridCol w:w="1984"/>
        <w:gridCol w:w="1984"/>
        <w:gridCol w:w="1983"/>
      </w:tblGrid>
      <w:tr w:rsidR="00306EB6" w:rsidRPr="00ED2B1F" w14:paraId="09567CB6" w14:textId="77777777" w:rsidTr="00CC2148">
        <w:trPr>
          <w:cantSplit/>
        </w:trPr>
        <w:tc>
          <w:tcPr>
            <w:tcW w:w="1111" w:type="pct"/>
            <w:tcBorders>
              <w:top w:val="nil"/>
              <w:left w:val="nil"/>
              <w:bottom w:val="nil"/>
              <w:right w:val="nil"/>
            </w:tcBorders>
            <w:shd w:val="clear" w:color="auto" w:fill="D9D9D9" w:themeFill="background1" w:themeFillShade="D9"/>
            <w:vAlign w:val="bottom"/>
            <w:hideMark/>
          </w:tcPr>
          <w:p w14:paraId="099F58E0" w14:textId="77777777" w:rsidR="00030114" w:rsidRPr="00CC2148" w:rsidRDefault="00030114" w:rsidP="00AA1D49">
            <w:pPr>
              <w:spacing w:before="60" w:after="60"/>
              <w:rPr>
                <w:rFonts w:cs="Segoe UI"/>
                <w:b/>
                <w:sz w:val="18"/>
              </w:rPr>
            </w:pPr>
            <w:r w:rsidRPr="00CC2148">
              <w:rPr>
                <w:rFonts w:cs="Segoe UI"/>
                <w:b/>
                <w:sz w:val="18"/>
              </w:rPr>
              <w:t>Act</w:t>
            </w:r>
          </w:p>
        </w:tc>
        <w:tc>
          <w:tcPr>
            <w:tcW w:w="1296" w:type="pct"/>
            <w:tcBorders>
              <w:top w:val="nil"/>
              <w:left w:val="nil"/>
              <w:bottom w:val="nil"/>
              <w:right w:val="nil"/>
            </w:tcBorders>
            <w:shd w:val="clear" w:color="auto" w:fill="D9D9D9" w:themeFill="background1" w:themeFillShade="D9"/>
            <w:vAlign w:val="bottom"/>
            <w:hideMark/>
          </w:tcPr>
          <w:p w14:paraId="412148FD" w14:textId="77777777" w:rsidR="00030114" w:rsidRPr="00CC2148" w:rsidRDefault="00030114" w:rsidP="00306EB6">
            <w:pPr>
              <w:spacing w:before="60" w:after="60"/>
              <w:rPr>
                <w:rFonts w:cs="Segoe UI"/>
                <w:b/>
                <w:sz w:val="18"/>
              </w:rPr>
            </w:pPr>
            <w:r w:rsidRPr="00CC2148">
              <w:rPr>
                <w:rFonts w:cs="Segoe UI"/>
                <w:b/>
                <w:sz w:val="18"/>
              </w:rPr>
              <w:t>Total seclusion hours</w:t>
            </w:r>
          </w:p>
        </w:tc>
        <w:tc>
          <w:tcPr>
            <w:tcW w:w="1296" w:type="pct"/>
            <w:tcBorders>
              <w:top w:val="nil"/>
              <w:left w:val="nil"/>
              <w:bottom w:val="nil"/>
              <w:right w:val="nil"/>
            </w:tcBorders>
            <w:shd w:val="clear" w:color="auto" w:fill="D9D9D9" w:themeFill="background1" w:themeFillShade="D9"/>
            <w:vAlign w:val="bottom"/>
            <w:hideMark/>
          </w:tcPr>
          <w:p w14:paraId="34F9F3EB" w14:textId="02FE8B26" w:rsidR="00030114" w:rsidRPr="00CC2148" w:rsidRDefault="00030114" w:rsidP="00306EB6">
            <w:pPr>
              <w:spacing w:before="60" w:after="60"/>
              <w:rPr>
                <w:rFonts w:cs="Segoe UI"/>
                <w:b/>
                <w:sz w:val="18"/>
              </w:rPr>
            </w:pPr>
            <w:r w:rsidRPr="00CC2148">
              <w:rPr>
                <w:rFonts w:cs="Segoe UI"/>
                <w:b/>
                <w:sz w:val="18"/>
              </w:rPr>
              <w:t>Median length of seclusion events (hours:minutes)</w:t>
            </w:r>
          </w:p>
        </w:tc>
        <w:tc>
          <w:tcPr>
            <w:tcW w:w="1296" w:type="pct"/>
            <w:tcBorders>
              <w:top w:val="nil"/>
              <w:left w:val="nil"/>
              <w:bottom w:val="nil"/>
              <w:right w:val="nil"/>
            </w:tcBorders>
            <w:shd w:val="clear" w:color="auto" w:fill="D9D9D9" w:themeFill="background1" w:themeFillShade="D9"/>
            <w:vAlign w:val="bottom"/>
            <w:hideMark/>
          </w:tcPr>
          <w:p w14:paraId="740F4853" w14:textId="7A2CF343" w:rsidR="00030114" w:rsidRPr="00CC2148" w:rsidRDefault="00030114" w:rsidP="00306EB6">
            <w:pPr>
              <w:spacing w:before="60" w:after="60"/>
              <w:rPr>
                <w:rFonts w:cs="Segoe UI"/>
                <w:b/>
                <w:sz w:val="18"/>
              </w:rPr>
            </w:pPr>
            <w:r w:rsidRPr="00CC2148">
              <w:rPr>
                <w:rFonts w:cs="Segoe UI"/>
                <w:b/>
                <w:sz w:val="18"/>
              </w:rPr>
              <w:t>Average length of seclusion events (hours:minutes)</w:t>
            </w:r>
          </w:p>
        </w:tc>
      </w:tr>
      <w:tr w:rsidR="00306EB6" w:rsidRPr="00ED2B1F" w14:paraId="751F1382" w14:textId="77777777" w:rsidTr="005B5C07">
        <w:trPr>
          <w:cantSplit/>
          <w:trHeight w:val="300"/>
        </w:trPr>
        <w:tc>
          <w:tcPr>
            <w:tcW w:w="1111" w:type="pct"/>
            <w:tcBorders>
              <w:top w:val="nil"/>
              <w:left w:val="nil"/>
              <w:bottom w:val="nil"/>
              <w:right w:val="nil"/>
            </w:tcBorders>
            <w:hideMark/>
          </w:tcPr>
          <w:p w14:paraId="55FAFC9A" w14:textId="03EF82EC" w:rsidR="00030114" w:rsidRPr="00ED2B1F" w:rsidRDefault="00030114">
            <w:pPr>
              <w:spacing w:before="60" w:after="60"/>
              <w:rPr>
                <w:rFonts w:cs="Segoe UI"/>
                <w:sz w:val="18"/>
              </w:rPr>
            </w:pPr>
            <w:r w:rsidRPr="00ED2B1F">
              <w:rPr>
                <w:rFonts w:cs="Segoe UI"/>
                <w:sz w:val="18"/>
              </w:rPr>
              <w:t>IDCCR Act</w:t>
            </w:r>
          </w:p>
        </w:tc>
        <w:tc>
          <w:tcPr>
            <w:tcW w:w="1296" w:type="pct"/>
            <w:tcBorders>
              <w:top w:val="nil"/>
              <w:left w:val="nil"/>
              <w:bottom w:val="single" w:sz="4" w:space="0" w:color="A6A6A6" w:themeColor="background1" w:themeShade="A6"/>
              <w:right w:val="nil"/>
            </w:tcBorders>
            <w:vAlign w:val="bottom"/>
            <w:hideMark/>
          </w:tcPr>
          <w:p w14:paraId="18B9796A" w14:textId="77777777" w:rsidR="00030114" w:rsidRPr="00ED2B1F" w:rsidRDefault="00030114" w:rsidP="00306EB6">
            <w:pPr>
              <w:tabs>
                <w:tab w:val="decimal" w:pos="933"/>
              </w:tabs>
              <w:spacing w:before="60" w:after="60"/>
              <w:rPr>
                <w:rFonts w:cs="Segoe UI"/>
                <w:sz w:val="18"/>
                <w:szCs w:val="18"/>
              </w:rPr>
            </w:pPr>
            <w:r w:rsidRPr="00ED2B1F">
              <w:rPr>
                <w:rFonts w:cs="Segoe UI"/>
                <w:sz w:val="18"/>
                <w:szCs w:val="18"/>
              </w:rPr>
              <w:t>8,982.8</w:t>
            </w:r>
          </w:p>
        </w:tc>
        <w:tc>
          <w:tcPr>
            <w:tcW w:w="1296" w:type="pct"/>
            <w:tcBorders>
              <w:top w:val="nil"/>
              <w:left w:val="nil"/>
              <w:bottom w:val="single" w:sz="4" w:space="0" w:color="A6A6A6" w:themeColor="background1" w:themeShade="A6"/>
              <w:right w:val="nil"/>
            </w:tcBorders>
            <w:vAlign w:val="bottom"/>
            <w:hideMark/>
          </w:tcPr>
          <w:p w14:paraId="1E738657" w14:textId="1D1EAF99" w:rsidR="00030114" w:rsidRPr="00ED2B1F" w:rsidRDefault="00030114" w:rsidP="00306EB6">
            <w:pPr>
              <w:tabs>
                <w:tab w:val="decimal" w:pos="934"/>
              </w:tabs>
              <w:spacing w:before="60" w:after="60"/>
              <w:rPr>
                <w:rFonts w:cs="Segoe UI"/>
                <w:sz w:val="18"/>
                <w:szCs w:val="18"/>
              </w:rPr>
            </w:pPr>
            <w:r w:rsidRPr="00ED2B1F">
              <w:rPr>
                <w:rFonts w:cs="Segoe UI"/>
                <w:sz w:val="18"/>
                <w:szCs w:val="18"/>
              </w:rPr>
              <w:t>10:48</w:t>
            </w:r>
          </w:p>
        </w:tc>
        <w:tc>
          <w:tcPr>
            <w:tcW w:w="1296" w:type="pct"/>
            <w:tcBorders>
              <w:top w:val="nil"/>
              <w:left w:val="nil"/>
              <w:bottom w:val="single" w:sz="4" w:space="0" w:color="A6A6A6" w:themeColor="background1" w:themeShade="A6"/>
              <w:right w:val="nil"/>
            </w:tcBorders>
            <w:vAlign w:val="bottom"/>
            <w:hideMark/>
          </w:tcPr>
          <w:p w14:paraId="50F57F3C" w14:textId="5F9A389C" w:rsidR="00030114" w:rsidRPr="00ED2B1F" w:rsidRDefault="00030114" w:rsidP="00306EB6">
            <w:pPr>
              <w:tabs>
                <w:tab w:val="decimal" w:pos="863"/>
              </w:tabs>
              <w:spacing w:before="60" w:after="60"/>
              <w:rPr>
                <w:rFonts w:cs="Segoe UI"/>
                <w:sz w:val="18"/>
                <w:szCs w:val="18"/>
              </w:rPr>
            </w:pPr>
            <w:r w:rsidRPr="00ED2B1F">
              <w:rPr>
                <w:rFonts w:cs="Segoe UI"/>
                <w:sz w:val="18"/>
                <w:szCs w:val="18"/>
              </w:rPr>
              <w:t>50:45</w:t>
            </w:r>
          </w:p>
        </w:tc>
      </w:tr>
      <w:tr w:rsidR="00306EB6" w:rsidRPr="00ED2B1F" w14:paraId="341B1740" w14:textId="77777777" w:rsidTr="005B5C07">
        <w:trPr>
          <w:cantSplit/>
          <w:trHeight w:val="300"/>
        </w:trPr>
        <w:tc>
          <w:tcPr>
            <w:tcW w:w="1111" w:type="pct"/>
            <w:tcBorders>
              <w:top w:val="single" w:sz="4" w:space="0" w:color="A6A6A6" w:themeColor="background1" w:themeShade="A6"/>
              <w:left w:val="nil"/>
              <w:bottom w:val="single" w:sz="4" w:space="0" w:color="A6A6A6" w:themeColor="background1" w:themeShade="A6"/>
              <w:right w:val="nil"/>
            </w:tcBorders>
            <w:hideMark/>
          </w:tcPr>
          <w:p w14:paraId="443C65F3" w14:textId="77777777" w:rsidR="00030114" w:rsidRPr="00ED2B1F" w:rsidRDefault="00030114">
            <w:pPr>
              <w:spacing w:before="60" w:after="60"/>
              <w:rPr>
                <w:rFonts w:cs="Segoe UI"/>
                <w:sz w:val="18"/>
              </w:rPr>
            </w:pPr>
            <w:r w:rsidRPr="00ED2B1F">
              <w:rPr>
                <w:rFonts w:cs="Segoe UI"/>
                <w:sz w:val="18"/>
              </w:rPr>
              <w:t>Mental Health Act</w:t>
            </w:r>
          </w:p>
        </w:tc>
        <w:tc>
          <w:tcPr>
            <w:tcW w:w="1296" w:type="pct"/>
            <w:tcBorders>
              <w:top w:val="single" w:sz="4" w:space="0" w:color="A6A6A6" w:themeColor="background1" w:themeShade="A6"/>
              <w:left w:val="nil"/>
              <w:bottom w:val="single" w:sz="4" w:space="0" w:color="A6A6A6" w:themeColor="background1" w:themeShade="A6"/>
              <w:right w:val="nil"/>
            </w:tcBorders>
            <w:vAlign w:val="bottom"/>
            <w:hideMark/>
          </w:tcPr>
          <w:p w14:paraId="5C2001B4" w14:textId="122A1CA6" w:rsidR="00030114" w:rsidRPr="00ED2B1F" w:rsidRDefault="00030114" w:rsidP="00306EB6">
            <w:pPr>
              <w:tabs>
                <w:tab w:val="decimal" w:pos="933"/>
              </w:tabs>
              <w:spacing w:before="60" w:after="60"/>
              <w:rPr>
                <w:rFonts w:cs="Segoe UI"/>
                <w:sz w:val="18"/>
                <w:szCs w:val="18"/>
              </w:rPr>
            </w:pPr>
            <w:r w:rsidRPr="00ED2B1F">
              <w:rPr>
                <w:rFonts w:cs="Segoe UI"/>
                <w:sz w:val="18"/>
                <w:szCs w:val="18"/>
              </w:rPr>
              <w:t>7,028.6</w:t>
            </w:r>
          </w:p>
        </w:tc>
        <w:tc>
          <w:tcPr>
            <w:tcW w:w="1296" w:type="pct"/>
            <w:tcBorders>
              <w:top w:val="single" w:sz="4" w:space="0" w:color="A6A6A6" w:themeColor="background1" w:themeShade="A6"/>
              <w:left w:val="nil"/>
              <w:bottom w:val="single" w:sz="4" w:space="0" w:color="A6A6A6" w:themeColor="background1" w:themeShade="A6"/>
              <w:right w:val="nil"/>
            </w:tcBorders>
            <w:vAlign w:val="bottom"/>
            <w:hideMark/>
          </w:tcPr>
          <w:p w14:paraId="52EE3BD8" w14:textId="1E96E62A" w:rsidR="00030114" w:rsidRPr="00ED2B1F" w:rsidRDefault="00030114" w:rsidP="00306EB6">
            <w:pPr>
              <w:tabs>
                <w:tab w:val="decimal" w:pos="934"/>
              </w:tabs>
              <w:spacing w:before="60" w:after="60"/>
              <w:rPr>
                <w:rFonts w:cs="Segoe UI"/>
                <w:sz w:val="18"/>
                <w:szCs w:val="18"/>
              </w:rPr>
            </w:pPr>
            <w:r w:rsidRPr="00ED2B1F">
              <w:rPr>
                <w:rFonts w:cs="Segoe UI"/>
                <w:sz w:val="18"/>
                <w:szCs w:val="18"/>
              </w:rPr>
              <w:t>16:9</w:t>
            </w:r>
          </w:p>
        </w:tc>
        <w:tc>
          <w:tcPr>
            <w:tcW w:w="1296" w:type="pct"/>
            <w:tcBorders>
              <w:top w:val="single" w:sz="4" w:space="0" w:color="A6A6A6" w:themeColor="background1" w:themeShade="A6"/>
              <w:left w:val="nil"/>
              <w:bottom w:val="single" w:sz="4" w:space="0" w:color="A6A6A6" w:themeColor="background1" w:themeShade="A6"/>
              <w:right w:val="nil"/>
            </w:tcBorders>
            <w:vAlign w:val="bottom"/>
            <w:hideMark/>
          </w:tcPr>
          <w:p w14:paraId="187AA510" w14:textId="78C1956D" w:rsidR="00030114" w:rsidRPr="00ED2B1F" w:rsidRDefault="00030114" w:rsidP="00306EB6">
            <w:pPr>
              <w:tabs>
                <w:tab w:val="decimal" w:pos="863"/>
              </w:tabs>
              <w:spacing w:before="60" w:after="60"/>
              <w:rPr>
                <w:rFonts w:cs="Segoe UI"/>
                <w:sz w:val="18"/>
                <w:szCs w:val="18"/>
              </w:rPr>
            </w:pPr>
            <w:r w:rsidRPr="00ED2B1F">
              <w:rPr>
                <w:rFonts w:cs="Segoe UI"/>
                <w:sz w:val="18"/>
                <w:szCs w:val="18"/>
              </w:rPr>
              <w:t>81:44</w:t>
            </w:r>
          </w:p>
        </w:tc>
      </w:tr>
    </w:tbl>
    <w:p w14:paraId="3D944740" w14:textId="291E95F8" w:rsidR="00245684" w:rsidRPr="00ED2B1F" w:rsidRDefault="00463C26" w:rsidP="00CC2148">
      <w:pPr>
        <w:pStyle w:val="Note"/>
      </w:pPr>
      <w:r w:rsidRPr="00ED2B1F">
        <w:t xml:space="preserve">Note: </w:t>
      </w:r>
      <w:r w:rsidR="00C22427" w:rsidRPr="00ED2B1F">
        <w:t xml:space="preserve">The </w:t>
      </w:r>
      <w:r w:rsidRPr="00ED2B1F">
        <w:t xml:space="preserve">data </w:t>
      </w:r>
      <w:r w:rsidR="00C22427" w:rsidRPr="00ED2B1F">
        <w:t xml:space="preserve">excludes </w:t>
      </w:r>
      <w:r w:rsidRPr="00ED2B1F">
        <w:t xml:space="preserve">the five individuals </w:t>
      </w:r>
      <w:r w:rsidR="00751CBC" w:rsidRPr="00ED2B1F">
        <w:t xml:space="preserve">who </w:t>
      </w:r>
      <w:r w:rsidR="00751CBC">
        <w:t xml:space="preserve">had </w:t>
      </w:r>
      <w:r w:rsidR="00751CBC" w:rsidRPr="003E3474">
        <w:t>experienced prolonged and/or frequent periods of seclusion</w:t>
      </w:r>
      <w:r w:rsidR="00751CBC">
        <w:t xml:space="preserve"> </w:t>
      </w:r>
      <w:r w:rsidRPr="00ED2B1F">
        <w:t xml:space="preserve">in intellectual disability services. </w:t>
      </w:r>
    </w:p>
    <w:p w14:paraId="0E57D42F" w14:textId="4E0C0122" w:rsidR="00463C26" w:rsidRPr="00ED2B1F" w:rsidRDefault="00463C26" w:rsidP="00CC2148">
      <w:pPr>
        <w:pStyle w:val="Source"/>
      </w:pPr>
      <w:r w:rsidRPr="00ED2B1F">
        <w:t>Sources: PRIMHD data (extracted 10 June 2025) and manual data for Health New Zealand Canterbury, Southern, Waikato and Waitematā.</w:t>
      </w:r>
    </w:p>
    <w:p w14:paraId="5A73D20F" w14:textId="77777777" w:rsidR="00463C26" w:rsidRPr="00ED2B1F" w:rsidRDefault="00463C26" w:rsidP="00463C26">
      <w:pPr>
        <w:rPr>
          <w:rFonts w:cs="Segoe UI"/>
          <w:highlight w:val="yellow"/>
        </w:rPr>
      </w:pPr>
    </w:p>
    <w:p w14:paraId="284E7220" w14:textId="147366C3" w:rsidR="00463C26" w:rsidRPr="00ED2B1F" w:rsidRDefault="00463C26" w:rsidP="00C103C7">
      <w:pPr>
        <w:pStyle w:val="Table"/>
      </w:pPr>
      <w:bookmarkStart w:id="296" w:name="_Ref214886588"/>
      <w:bookmarkStart w:id="297" w:name="_Toc224638232"/>
      <w:r w:rsidRPr="00ED2B1F">
        <w:t>Table </w:t>
      </w:r>
      <w:r w:rsidRPr="00ED2B1F">
        <w:fldChar w:fldCharType="begin"/>
      </w:r>
      <w:r w:rsidRPr="00ED2B1F">
        <w:instrText>SEQ Table \* ARABIC</w:instrText>
      </w:r>
      <w:r w:rsidRPr="00ED2B1F">
        <w:fldChar w:fldCharType="separate"/>
      </w:r>
      <w:r w:rsidR="00484E57">
        <w:rPr>
          <w:noProof/>
        </w:rPr>
        <w:t>12</w:t>
      </w:r>
      <w:r w:rsidRPr="00ED2B1F">
        <w:fldChar w:fldCharType="end"/>
      </w:r>
      <w:bookmarkEnd w:id="296"/>
      <w:r w:rsidRPr="00ED2B1F">
        <w:t>: Seclusion indicators for Māori and non-Māori with intellectual disabilities, nationally,</w:t>
      </w:r>
      <w:r w:rsidR="003F56ED">
        <w:t xml:space="preserve"> by Act,</w:t>
      </w:r>
      <w:r w:rsidRPr="00ED2B1F">
        <w:t xml:space="preserve"> 1 July 2023 to 30 June 2024</w:t>
      </w:r>
      <w:bookmarkEnd w:id="297"/>
    </w:p>
    <w:tbl>
      <w:tblPr>
        <w:tblStyle w:val="PlainTable2"/>
        <w:tblW w:w="5000" w:type="pct"/>
        <w:tblLook w:val="0460" w:firstRow="1" w:lastRow="1" w:firstColumn="0" w:lastColumn="0" w:noHBand="0" w:noVBand="1"/>
      </w:tblPr>
      <w:tblGrid>
        <w:gridCol w:w="1693"/>
        <w:gridCol w:w="1367"/>
        <w:gridCol w:w="1674"/>
        <w:gridCol w:w="1674"/>
        <w:gridCol w:w="1671"/>
      </w:tblGrid>
      <w:tr w:rsidR="00D235A0" w:rsidRPr="00ED2B1F" w14:paraId="0BA5790F" w14:textId="77777777" w:rsidTr="00CC2148">
        <w:trPr>
          <w:cnfStyle w:val="100000000000" w:firstRow="1" w:lastRow="0" w:firstColumn="0" w:lastColumn="0" w:oddVBand="0" w:evenVBand="0" w:oddHBand="0" w:evenHBand="0" w:firstRowFirstColumn="0" w:firstRowLastColumn="0" w:lastRowFirstColumn="0" w:lastRowLastColumn="0"/>
          <w:trHeight w:val="855"/>
        </w:trPr>
        <w:tc>
          <w:tcPr>
            <w:tcW w:w="1048" w:type="pct"/>
            <w:tcBorders>
              <w:top w:val="nil"/>
              <w:bottom w:val="nil"/>
            </w:tcBorders>
            <w:shd w:val="clear" w:color="auto" w:fill="D9D9D9" w:themeFill="background1" w:themeFillShade="D9"/>
            <w:vAlign w:val="bottom"/>
            <w:hideMark/>
          </w:tcPr>
          <w:p w14:paraId="647D05F2" w14:textId="77777777" w:rsidR="00463C26" w:rsidRPr="00CC2148" w:rsidRDefault="00463C26" w:rsidP="00D235A0">
            <w:pPr>
              <w:spacing w:before="60" w:after="60"/>
              <w:rPr>
                <w:rFonts w:cs="Segoe UI"/>
                <w:bCs w:val="0"/>
                <w:sz w:val="18"/>
              </w:rPr>
            </w:pPr>
            <w:r w:rsidRPr="00CC2148">
              <w:rPr>
                <w:rFonts w:cs="Segoe UI"/>
                <w:bCs w:val="0"/>
                <w:sz w:val="18"/>
              </w:rPr>
              <w:t>Act</w:t>
            </w:r>
          </w:p>
        </w:tc>
        <w:tc>
          <w:tcPr>
            <w:tcW w:w="846" w:type="pct"/>
            <w:tcBorders>
              <w:top w:val="nil"/>
              <w:bottom w:val="nil"/>
            </w:tcBorders>
            <w:shd w:val="clear" w:color="auto" w:fill="D9D9D9" w:themeFill="background1" w:themeFillShade="D9"/>
            <w:vAlign w:val="bottom"/>
            <w:hideMark/>
          </w:tcPr>
          <w:p w14:paraId="2B5A0A54" w14:textId="77777777" w:rsidR="00463C26" w:rsidRPr="00CC2148" w:rsidRDefault="00463C26" w:rsidP="00D235A0">
            <w:pPr>
              <w:spacing w:before="60" w:after="60"/>
              <w:rPr>
                <w:rFonts w:cs="Segoe UI"/>
                <w:bCs w:val="0"/>
                <w:sz w:val="18"/>
              </w:rPr>
            </w:pPr>
            <w:r w:rsidRPr="00CC2148">
              <w:rPr>
                <w:rFonts w:cs="Segoe UI"/>
                <w:bCs w:val="0"/>
                <w:sz w:val="18"/>
              </w:rPr>
              <w:t>Ethnicity</w:t>
            </w:r>
          </w:p>
        </w:tc>
        <w:tc>
          <w:tcPr>
            <w:tcW w:w="1036" w:type="pct"/>
            <w:tcBorders>
              <w:top w:val="nil"/>
              <w:bottom w:val="nil"/>
            </w:tcBorders>
            <w:shd w:val="clear" w:color="auto" w:fill="D9D9D9" w:themeFill="background1" w:themeFillShade="D9"/>
            <w:vAlign w:val="bottom"/>
            <w:hideMark/>
          </w:tcPr>
          <w:p w14:paraId="384B0432" w14:textId="77777777" w:rsidR="00463C26" w:rsidRPr="00CC2148" w:rsidRDefault="00463C26" w:rsidP="00D235A0">
            <w:pPr>
              <w:spacing w:before="60" w:after="60"/>
              <w:rPr>
                <w:rFonts w:cs="Segoe UI"/>
                <w:bCs w:val="0"/>
                <w:sz w:val="18"/>
              </w:rPr>
            </w:pPr>
            <w:r w:rsidRPr="00CC2148">
              <w:rPr>
                <w:rFonts w:cs="Segoe UI"/>
                <w:bCs w:val="0"/>
                <w:sz w:val="18"/>
              </w:rPr>
              <w:t>People secluded per 100,000 population</w:t>
            </w:r>
          </w:p>
        </w:tc>
        <w:tc>
          <w:tcPr>
            <w:tcW w:w="1036" w:type="pct"/>
            <w:tcBorders>
              <w:top w:val="nil"/>
              <w:bottom w:val="nil"/>
            </w:tcBorders>
            <w:shd w:val="clear" w:color="auto" w:fill="D9D9D9" w:themeFill="background1" w:themeFillShade="D9"/>
            <w:vAlign w:val="bottom"/>
            <w:hideMark/>
          </w:tcPr>
          <w:p w14:paraId="30ECB72D" w14:textId="77777777" w:rsidR="00463C26" w:rsidRPr="00CC2148" w:rsidRDefault="00463C26" w:rsidP="00D235A0">
            <w:pPr>
              <w:spacing w:before="60" w:after="60"/>
              <w:rPr>
                <w:rFonts w:cs="Segoe UI"/>
                <w:bCs w:val="0"/>
                <w:sz w:val="18"/>
              </w:rPr>
            </w:pPr>
            <w:r w:rsidRPr="00CC2148">
              <w:rPr>
                <w:rFonts w:cs="Segoe UI"/>
                <w:bCs w:val="0"/>
                <w:sz w:val="18"/>
              </w:rPr>
              <w:t>Seclusion events per 100,000 population</w:t>
            </w:r>
          </w:p>
        </w:tc>
        <w:tc>
          <w:tcPr>
            <w:tcW w:w="1035" w:type="pct"/>
            <w:tcBorders>
              <w:top w:val="nil"/>
              <w:bottom w:val="nil"/>
            </w:tcBorders>
            <w:shd w:val="clear" w:color="auto" w:fill="D9D9D9" w:themeFill="background1" w:themeFillShade="D9"/>
            <w:vAlign w:val="bottom"/>
            <w:hideMark/>
          </w:tcPr>
          <w:p w14:paraId="043BF7FE" w14:textId="17BD78F8" w:rsidR="00463C26" w:rsidRPr="00CC2148" w:rsidRDefault="00463C26" w:rsidP="00D235A0">
            <w:pPr>
              <w:spacing w:before="60" w:after="60"/>
              <w:rPr>
                <w:rFonts w:cs="Segoe UI"/>
                <w:bCs w:val="0"/>
                <w:sz w:val="18"/>
              </w:rPr>
            </w:pPr>
            <w:r w:rsidRPr="00CC2148">
              <w:rPr>
                <w:rFonts w:cs="Segoe UI"/>
                <w:bCs w:val="0"/>
                <w:sz w:val="18"/>
              </w:rPr>
              <w:t xml:space="preserve">Average </w:t>
            </w:r>
            <w:r w:rsidR="00621C02" w:rsidRPr="00CC2148">
              <w:rPr>
                <w:rFonts w:cs="Segoe UI"/>
                <w:bCs w:val="0"/>
                <w:sz w:val="18"/>
              </w:rPr>
              <w:t xml:space="preserve">number of </w:t>
            </w:r>
            <w:r w:rsidRPr="00CC2148">
              <w:rPr>
                <w:rFonts w:cs="Segoe UI"/>
                <w:bCs w:val="0"/>
                <w:sz w:val="18"/>
              </w:rPr>
              <w:t>events per person</w:t>
            </w:r>
          </w:p>
        </w:tc>
      </w:tr>
      <w:tr w:rsidR="00306EB6" w:rsidRPr="00ED2B1F" w14:paraId="158F5D69" w14:textId="77777777" w:rsidTr="00CC2148">
        <w:trPr>
          <w:cnfStyle w:val="000000100000" w:firstRow="0" w:lastRow="0" w:firstColumn="0" w:lastColumn="0" w:oddVBand="0" w:evenVBand="0" w:oddHBand="1" w:evenHBand="0" w:firstRowFirstColumn="0" w:firstRowLastColumn="0" w:lastRowFirstColumn="0" w:lastRowLastColumn="0"/>
          <w:trHeight w:val="366"/>
        </w:trPr>
        <w:tc>
          <w:tcPr>
            <w:tcW w:w="1048" w:type="pct"/>
            <w:vMerge w:val="restart"/>
            <w:tcBorders>
              <w:top w:val="nil"/>
            </w:tcBorders>
            <w:hideMark/>
          </w:tcPr>
          <w:p w14:paraId="6621E740" w14:textId="5A776D99" w:rsidR="00463C26" w:rsidRPr="00ED2B1F" w:rsidRDefault="00DF6679">
            <w:pPr>
              <w:spacing w:before="60" w:after="60"/>
              <w:rPr>
                <w:rFonts w:cs="Segoe UI"/>
                <w:sz w:val="18"/>
              </w:rPr>
            </w:pPr>
            <w:r w:rsidRPr="00ED2B1F">
              <w:rPr>
                <w:rFonts w:cs="Segoe UI"/>
                <w:sz w:val="18"/>
              </w:rPr>
              <w:t>IDCCR Act</w:t>
            </w:r>
          </w:p>
        </w:tc>
        <w:tc>
          <w:tcPr>
            <w:tcW w:w="846" w:type="pct"/>
            <w:tcBorders>
              <w:top w:val="nil"/>
            </w:tcBorders>
            <w:hideMark/>
          </w:tcPr>
          <w:p w14:paraId="3DB161EF" w14:textId="77777777" w:rsidR="00463C26" w:rsidRPr="00ED2B1F" w:rsidRDefault="00463C26">
            <w:pPr>
              <w:spacing w:before="60" w:after="60"/>
              <w:rPr>
                <w:rFonts w:cs="Segoe UI"/>
                <w:sz w:val="18"/>
              </w:rPr>
            </w:pPr>
            <w:r w:rsidRPr="00ED2B1F">
              <w:rPr>
                <w:rFonts w:cs="Segoe UI"/>
                <w:sz w:val="18"/>
              </w:rPr>
              <w:t>Māori</w:t>
            </w:r>
          </w:p>
        </w:tc>
        <w:tc>
          <w:tcPr>
            <w:tcW w:w="1036" w:type="pct"/>
            <w:tcBorders>
              <w:top w:val="nil"/>
            </w:tcBorders>
            <w:vAlign w:val="center"/>
            <w:hideMark/>
          </w:tcPr>
          <w:p w14:paraId="5906E5F0" w14:textId="77777777" w:rsidR="00463C26" w:rsidRPr="00ED2B1F" w:rsidRDefault="00463C26" w:rsidP="00D235A0">
            <w:pPr>
              <w:tabs>
                <w:tab w:val="decimal" w:pos="851"/>
              </w:tabs>
              <w:spacing w:before="60" w:after="60"/>
              <w:rPr>
                <w:rFonts w:cs="Segoe UI"/>
                <w:sz w:val="18"/>
                <w:szCs w:val="18"/>
              </w:rPr>
            </w:pPr>
            <w:r w:rsidRPr="00ED2B1F">
              <w:rPr>
                <w:rFonts w:cs="Segoe UI"/>
                <w:sz w:val="18"/>
                <w:szCs w:val="18"/>
              </w:rPr>
              <w:t>0.5</w:t>
            </w:r>
          </w:p>
        </w:tc>
        <w:tc>
          <w:tcPr>
            <w:tcW w:w="1036" w:type="pct"/>
            <w:tcBorders>
              <w:top w:val="nil"/>
            </w:tcBorders>
            <w:vAlign w:val="center"/>
            <w:hideMark/>
          </w:tcPr>
          <w:p w14:paraId="78B01967" w14:textId="77777777" w:rsidR="00463C26" w:rsidRPr="00ED2B1F" w:rsidRDefault="00463C26" w:rsidP="00D235A0">
            <w:pPr>
              <w:tabs>
                <w:tab w:val="decimal" w:pos="761"/>
              </w:tabs>
              <w:spacing w:before="60" w:after="60"/>
              <w:rPr>
                <w:rFonts w:cs="Segoe UI"/>
                <w:sz w:val="18"/>
                <w:szCs w:val="18"/>
              </w:rPr>
            </w:pPr>
            <w:r w:rsidRPr="00ED2B1F">
              <w:rPr>
                <w:rFonts w:cs="Segoe UI"/>
                <w:sz w:val="18"/>
                <w:szCs w:val="18"/>
              </w:rPr>
              <w:t>2.5</w:t>
            </w:r>
          </w:p>
        </w:tc>
        <w:tc>
          <w:tcPr>
            <w:tcW w:w="1035" w:type="pct"/>
            <w:tcBorders>
              <w:top w:val="nil"/>
            </w:tcBorders>
            <w:vAlign w:val="center"/>
            <w:hideMark/>
          </w:tcPr>
          <w:p w14:paraId="16CB6FDE" w14:textId="77777777" w:rsidR="00463C26" w:rsidRPr="00ED2B1F" w:rsidRDefault="00463C26" w:rsidP="00D235A0">
            <w:pPr>
              <w:tabs>
                <w:tab w:val="decimal" w:pos="740"/>
              </w:tabs>
              <w:spacing w:before="60" w:after="60"/>
              <w:rPr>
                <w:rFonts w:eastAsia="Calibri" w:cs="Segoe UI"/>
                <w:sz w:val="18"/>
                <w:szCs w:val="18"/>
              </w:rPr>
            </w:pPr>
            <w:r w:rsidRPr="00ED2B1F">
              <w:rPr>
                <w:rFonts w:cs="Segoe UI"/>
                <w:sz w:val="18"/>
                <w:szCs w:val="18"/>
              </w:rPr>
              <w:t>4.6</w:t>
            </w:r>
          </w:p>
        </w:tc>
      </w:tr>
      <w:tr w:rsidR="00306EB6" w:rsidRPr="00ED2B1F" w14:paraId="0B428410" w14:textId="77777777" w:rsidTr="005B5C07">
        <w:trPr>
          <w:trHeight w:val="384"/>
        </w:trPr>
        <w:tc>
          <w:tcPr>
            <w:tcW w:w="1048" w:type="pct"/>
            <w:vMerge/>
            <w:hideMark/>
          </w:tcPr>
          <w:p w14:paraId="37FF3CBE" w14:textId="77777777" w:rsidR="00463C26" w:rsidRPr="00ED2B1F" w:rsidRDefault="00463C26">
            <w:pPr>
              <w:rPr>
                <w:rFonts w:cs="Segoe UI"/>
                <w:sz w:val="18"/>
              </w:rPr>
            </w:pPr>
          </w:p>
        </w:tc>
        <w:tc>
          <w:tcPr>
            <w:tcW w:w="846" w:type="pct"/>
            <w:hideMark/>
          </w:tcPr>
          <w:p w14:paraId="55CA1652" w14:textId="77777777" w:rsidR="00463C26" w:rsidRPr="00ED2B1F" w:rsidRDefault="00463C26">
            <w:pPr>
              <w:spacing w:before="60" w:after="60"/>
              <w:rPr>
                <w:rFonts w:cs="Segoe UI"/>
                <w:sz w:val="18"/>
              </w:rPr>
            </w:pPr>
            <w:r w:rsidRPr="00ED2B1F">
              <w:rPr>
                <w:rFonts w:cs="Segoe UI"/>
                <w:sz w:val="18"/>
              </w:rPr>
              <w:t>Non-Māori</w:t>
            </w:r>
          </w:p>
        </w:tc>
        <w:tc>
          <w:tcPr>
            <w:tcW w:w="1036" w:type="pct"/>
            <w:vAlign w:val="center"/>
            <w:hideMark/>
          </w:tcPr>
          <w:p w14:paraId="44C724B3" w14:textId="77777777" w:rsidR="00463C26" w:rsidRPr="00ED2B1F" w:rsidRDefault="00463C26" w:rsidP="00D235A0">
            <w:pPr>
              <w:tabs>
                <w:tab w:val="decimal" w:pos="851"/>
              </w:tabs>
              <w:spacing w:before="60" w:after="60"/>
              <w:rPr>
                <w:rFonts w:cs="Segoe UI"/>
                <w:sz w:val="18"/>
                <w:szCs w:val="18"/>
              </w:rPr>
            </w:pPr>
            <w:r w:rsidRPr="00ED2B1F">
              <w:rPr>
                <w:rFonts w:cs="Segoe UI"/>
                <w:sz w:val="18"/>
                <w:szCs w:val="18"/>
              </w:rPr>
              <w:t>0.3</w:t>
            </w:r>
          </w:p>
        </w:tc>
        <w:tc>
          <w:tcPr>
            <w:tcW w:w="1036" w:type="pct"/>
            <w:vAlign w:val="center"/>
            <w:hideMark/>
          </w:tcPr>
          <w:p w14:paraId="26D7C9DC" w14:textId="77777777" w:rsidR="00463C26" w:rsidRPr="00ED2B1F" w:rsidRDefault="00463C26" w:rsidP="00D235A0">
            <w:pPr>
              <w:tabs>
                <w:tab w:val="decimal" w:pos="761"/>
              </w:tabs>
              <w:spacing w:before="60" w:after="60"/>
              <w:rPr>
                <w:rFonts w:cs="Segoe UI"/>
                <w:sz w:val="18"/>
                <w:szCs w:val="18"/>
              </w:rPr>
            </w:pPr>
            <w:r w:rsidRPr="00ED2B1F">
              <w:rPr>
                <w:rFonts w:cs="Segoe UI"/>
                <w:sz w:val="18"/>
                <w:szCs w:val="18"/>
              </w:rPr>
              <w:t>3.5</w:t>
            </w:r>
          </w:p>
        </w:tc>
        <w:tc>
          <w:tcPr>
            <w:tcW w:w="1035" w:type="pct"/>
            <w:vAlign w:val="center"/>
            <w:hideMark/>
          </w:tcPr>
          <w:p w14:paraId="3F67C6CD" w14:textId="77777777" w:rsidR="00463C26" w:rsidRPr="00ED2B1F" w:rsidRDefault="00463C26" w:rsidP="00D235A0">
            <w:pPr>
              <w:tabs>
                <w:tab w:val="decimal" w:pos="740"/>
              </w:tabs>
              <w:spacing w:before="60" w:after="60"/>
              <w:rPr>
                <w:rFonts w:eastAsia="Calibri" w:cs="Segoe UI"/>
                <w:sz w:val="18"/>
                <w:szCs w:val="18"/>
              </w:rPr>
            </w:pPr>
            <w:r w:rsidRPr="00ED2B1F">
              <w:rPr>
                <w:rFonts w:cs="Segoe UI"/>
                <w:sz w:val="18"/>
                <w:szCs w:val="18"/>
              </w:rPr>
              <w:t>11.8</w:t>
            </w:r>
          </w:p>
        </w:tc>
      </w:tr>
      <w:tr w:rsidR="00306EB6" w:rsidRPr="00ED2B1F" w14:paraId="413017C8" w14:textId="77777777" w:rsidTr="005B5C07">
        <w:trPr>
          <w:cnfStyle w:val="000000100000" w:firstRow="0" w:lastRow="0" w:firstColumn="0" w:lastColumn="0" w:oddVBand="0" w:evenVBand="0" w:oddHBand="1" w:evenHBand="0" w:firstRowFirstColumn="0" w:firstRowLastColumn="0" w:lastRowFirstColumn="0" w:lastRowLastColumn="0"/>
          <w:trHeight w:val="351"/>
        </w:trPr>
        <w:tc>
          <w:tcPr>
            <w:tcW w:w="1048" w:type="pct"/>
            <w:vMerge w:val="restart"/>
            <w:hideMark/>
          </w:tcPr>
          <w:p w14:paraId="11D10845" w14:textId="77777777" w:rsidR="00463C26" w:rsidRPr="00ED2B1F" w:rsidRDefault="00463C26">
            <w:pPr>
              <w:spacing w:before="60" w:after="60"/>
              <w:rPr>
                <w:rFonts w:cs="Segoe UI"/>
                <w:sz w:val="18"/>
              </w:rPr>
            </w:pPr>
            <w:r w:rsidRPr="00ED2B1F">
              <w:rPr>
                <w:rFonts w:cs="Segoe UI"/>
                <w:sz w:val="18"/>
              </w:rPr>
              <w:t>Mental Health Act</w:t>
            </w:r>
          </w:p>
        </w:tc>
        <w:tc>
          <w:tcPr>
            <w:tcW w:w="846" w:type="pct"/>
            <w:hideMark/>
          </w:tcPr>
          <w:p w14:paraId="1B370A39" w14:textId="77777777" w:rsidR="00463C26" w:rsidRPr="00ED2B1F" w:rsidRDefault="00463C26">
            <w:pPr>
              <w:spacing w:before="60" w:after="60"/>
              <w:rPr>
                <w:rFonts w:cs="Segoe UI"/>
                <w:sz w:val="18"/>
              </w:rPr>
            </w:pPr>
            <w:r w:rsidRPr="00ED2B1F">
              <w:rPr>
                <w:rFonts w:cs="Segoe UI"/>
                <w:sz w:val="18"/>
              </w:rPr>
              <w:t>Māori</w:t>
            </w:r>
          </w:p>
        </w:tc>
        <w:tc>
          <w:tcPr>
            <w:tcW w:w="1036" w:type="pct"/>
            <w:vAlign w:val="center"/>
            <w:hideMark/>
          </w:tcPr>
          <w:p w14:paraId="298FE74D" w14:textId="77777777" w:rsidR="00463C26" w:rsidRPr="00ED2B1F" w:rsidRDefault="00463C26" w:rsidP="00D235A0">
            <w:pPr>
              <w:tabs>
                <w:tab w:val="decimal" w:pos="851"/>
              </w:tabs>
              <w:spacing w:before="60" w:after="60"/>
              <w:rPr>
                <w:rFonts w:cs="Segoe UI"/>
                <w:sz w:val="18"/>
                <w:szCs w:val="18"/>
              </w:rPr>
            </w:pPr>
            <w:r w:rsidRPr="00ED2B1F">
              <w:rPr>
                <w:rFonts w:cs="Segoe UI"/>
                <w:sz w:val="18"/>
                <w:szCs w:val="18"/>
              </w:rPr>
              <w:t>0.2</w:t>
            </w:r>
          </w:p>
        </w:tc>
        <w:tc>
          <w:tcPr>
            <w:tcW w:w="1036" w:type="pct"/>
            <w:vAlign w:val="center"/>
            <w:hideMark/>
          </w:tcPr>
          <w:p w14:paraId="10A95077" w14:textId="77777777" w:rsidR="00463C26" w:rsidRPr="00ED2B1F" w:rsidRDefault="00463C26" w:rsidP="00D235A0">
            <w:pPr>
              <w:tabs>
                <w:tab w:val="decimal" w:pos="761"/>
              </w:tabs>
              <w:spacing w:before="60" w:after="60"/>
              <w:rPr>
                <w:rFonts w:cs="Segoe UI"/>
                <w:sz w:val="18"/>
                <w:szCs w:val="18"/>
              </w:rPr>
            </w:pPr>
            <w:r w:rsidRPr="00ED2B1F">
              <w:rPr>
                <w:rFonts w:cs="Segoe UI"/>
                <w:sz w:val="18"/>
                <w:szCs w:val="18"/>
              </w:rPr>
              <w:t>3.1</w:t>
            </w:r>
          </w:p>
        </w:tc>
        <w:tc>
          <w:tcPr>
            <w:tcW w:w="1035" w:type="pct"/>
            <w:vAlign w:val="center"/>
            <w:hideMark/>
          </w:tcPr>
          <w:p w14:paraId="4A809064" w14:textId="77777777" w:rsidR="00463C26" w:rsidRPr="00ED2B1F" w:rsidRDefault="00463C26" w:rsidP="00D235A0">
            <w:pPr>
              <w:tabs>
                <w:tab w:val="decimal" w:pos="740"/>
              </w:tabs>
              <w:spacing w:before="60" w:after="60"/>
              <w:rPr>
                <w:rFonts w:eastAsia="Calibri" w:cs="Segoe UI"/>
                <w:sz w:val="18"/>
                <w:szCs w:val="18"/>
              </w:rPr>
            </w:pPr>
            <w:r w:rsidRPr="00ED2B1F">
              <w:rPr>
                <w:rFonts w:cs="Segoe UI"/>
                <w:sz w:val="18"/>
                <w:szCs w:val="18"/>
              </w:rPr>
              <w:t>14.0</w:t>
            </w:r>
          </w:p>
        </w:tc>
      </w:tr>
      <w:tr w:rsidR="00306EB6" w:rsidRPr="00ED2B1F" w14:paraId="749CE4FD" w14:textId="77777777" w:rsidTr="005B5C07">
        <w:trPr>
          <w:cnfStyle w:val="010000000000" w:firstRow="0" w:lastRow="1" w:firstColumn="0" w:lastColumn="0" w:oddVBand="0" w:evenVBand="0" w:oddHBand="0" w:evenHBand="0" w:firstRowFirstColumn="0" w:firstRowLastColumn="0" w:lastRowFirstColumn="0" w:lastRowLastColumn="0"/>
          <w:trHeight w:val="381"/>
        </w:trPr>
        <w:tc>
          <w:tcPr>
            <w:tcW w:w="1048" w:type="pct"/>
            <w:vMerge/>
            <w:hideMark/>
          </w:tcPr>
          <w:p w14:paraId="6D0D2A1F" w14:textId="77777777" w:rsidR="00463C26" w:rsidRPr="00ED2B1F" w:rsidRDefault="00463C26">
            <w:pPr>
              <w:rPr>
                <w:rFonts w:cs="Segoe UI"/>
                <w:sz w:val="18"/>
              </w:rPr>
            </w:pPr>
          </w:p>
        </w:tc>
        <w:tc>
          <w:tcPr>
            <w:tcW w:w="846" w:type="pct"/>
            <w:hideMark/>
          </w:tcPr>
          <w:p w14:paraId="2D15D8A1" w14:textId="77777777" w:rsidR="00463C26" w:rsidRPr="00ED2B1F" w:rsidRDefault="00463C26">
            <w:pPr>
              <w:spacing w:before="60" w:after="60"/>
              <w:rPr>
                <w:rFonts w:cs="Segoe UI"/>
                <w:b w:val="0"/>
                <w:bCs w:val="0"/>
                <w:sz w:val="18"/>
              </w:rPr>
            </w:pPr>
            <w:r w:rsidRPr="00ED2B1F">
              <w:rPr>
                <w:rFonts w:cs="Segoe UI"/>
                <w:b w:val="0"/>
                <w:bCs w:val="0"/>
                <w:sz w:val="18"/>
              </w:rPr>
              <w:t>Non-Māori</w:t>
            </w:r>
          </w:p>
        </w:tc>
        <w:tc>
          <w:tcPr>
            <w:tcW w:w="1036" w:type="pct"/>
            <w:vAlign w:val="center"/>
            <w:hideMark/>
          </w:tcPr>
          <w:p w14:paraId="3A246B96" w14:textId="77777777" w:rsidR="00463C26" w:rsidRPr="00ED2B1F" w:rsidRDefault="00463C26" w:rsidP="00D235A0">
            <w:pPr>
              <w:tabs>
                <w:tab w:val="decimal" w:pos="851"/>
              </w:tabs>
              <w:spacing w:before="60" w:after="60"/>
              <w:rPr>
                <w:rFonts w:cs="Segoe UI"/>
                <w:b w:val="0"/>
                <w:bCs w:val="0"/>
                <w:sz w:val="18"/>
                <w:szCs w:val="18"/>
              </w:rPr>
            </w:pPr>
            <w:r w:rsidRPr="00ED2B1F">
              <w:rPr>
                <w:rFonts w:cs="Segoe UI"/>
                <w:b w:val="0"/>
                <w:bCs w:val="0"/>
                <w:sz w:val="18"/>
                <w:szCs w:val="18"/>
              </w:rPr>
              <w:t>0.1</w:t>
            </w:r>
          </w:p>
        </w:tc>
        <w:tc>
          <w:tcPr>
            <w:tcW w:w="1036" w:type="pct"/>
            <w:vAlign w:val="center"/>
            <w:hideMark/>
          </w:tcPr>
          <w:p w14:paraId="22401DD4" w14:textId="77777777" w:rsidR="00463C26" w:rsidRPr="00ED2B1F" w:rsidRDefault="00463C26" w:rsidP="00D235A0">
            <w:pPr>
              <w:tabs>
                <w:tab w:val="decimal" w:pos="761"/>
              </w:tabs>
              <w:spacing w:before="60" w:after="60"/>
              <w:rPr>
                <w:rFonts w:cs="Segoe UI"/>
                <w:b w:val="0"/>
                <w:bCs w:val="0"/>
                <w:sz w:val="18"/>
                <w:szCs w:val="18"/>
              </w:rPr>
            </w:pPr>
            <w:r w:rsidRPr="00ED2B1F">
              <w:rPr>
                <w:rFonts w:cs="Segoe UI"/>
                <w:b w:val="0"/>
                <w:bCs w:val="0"/>
                <w:sz w:val="18"/>
                <w:szCs w:val="18"/>
              </w:rPr>
              <w:t>1.3</w:t>
            </w:r>
          </w:p>
        </w:tc>
        <w:tc>
          <w:tcPr>
            <w:tcW w:w="1035" w:type="pct"/>
            <w:vAlign w:val="center"/>
            <w:hideMark/>
          </w:tcPr>
          <w:p w14:paraId="10C51AAC" w14:textId="77777777" w:rsidR="00463C26" w:rsidRPr="00ED2B1F" w:rsidRDefault="00463C26" w:rsidP="00D235A0">
            <w:pPr>
              <w:tabs>
                <w:tab w:val="decimal" w:pos="740"/>
              </w:tabs>
              <w:spacing w:before="60" w:after="60"/>
              <w:rPr>
                <w:rFonts w:eastAsia="Calibri" w:cs="Segoe UI"/>
                <w:b w:val="0"/>
                <w:bCs w:val="0"/>
                <w:sz w:val="18"/>
                <w:szCs w:val="18"/>
              </w:rPr>
            </w:pPr>
            <w:r w:rsidRPr="00ED2B1F">
              <w:rPr>
                <w:rFonts w:cs="Segoe UI"/>
                <w:b w:val="0"/>
                <w:bCs w:val="0"/>
                <w:sz w:val="18"/>
                <w:szCs w:val="18"/>
              </w:rPr>
              <w:t>11.6</w:t>
            </w:r>
          </w:p>
        </w:tc>
      </w:tr>
    </w:tbl>
    <w:p w14:paraId="054F2BCE" w14:textId="34BD8183" w:rsidR="00245684" w:rsidRPr="00ED2B1F" w:rsidRDefault="00463C26" w:rsidP="00CC2148">
      <w:pPr>
        <w:pStyle w:val="Note"/>
      </w:pPr>
      <w:r w:rsidRPr="00ED2B1F">
        <w:t xml:space="preserve">Note: </w:t>
      </w:r>
      <w:r w:rsidR="00C22427" w:rsidRPr="00ED2B1F">
        <w:t xml:space="preserve">The </w:t>
      </w:r>
      <w:r w:rsidRPr="00ED2B1F">
        <w:t xml:space="preserve">data </w:t>
      </w:r>
      <w:r w:rsidR="00C22427" w:rsidRPr="00ED2B1F">
        <w:t xml:space="preserve">excludes </w:t>
      </w:r>
      <w:r w:rsidRPr="00ED2B1F">
        <w:t xml:space="preserve">the five individuals </w:t>
      </w:r>
      <w:r w:rsidR="00751CBC" w:rsidRPr="00ED2B1F">
        <w:t xml:space="preserve">who </w:t>
      </w:r>
      <w:r w:rsidR="00751CBC">
        <w:t xml:space="preserve">had </w:t>
      </w:r>
      <w:r w:rsidR="00751CBC" w:rsidRPr="003E3474">
        <w:t>experienced prolonged and/or frequent periods of seclusion</w:t>
      </w:r>
      <w:r w:rsidR="00751CBC">
        <w:t xml:space="preserve"> </w:t>
      </w:r>
      <w:r w:rsidRPr="00ED2B1F">
        <w:t xml:space="preserve">in intellectual disability services. </w:t>
      </w:r>
    </w:p>
    <w:p w14:paraId="4209BA11" w14:textId="7E11A0B5" w:rsidR="00463C26" w:rsidRPr="00ED2B1F" w:rsidRDefault="00463C26" w:rsidP="00CC2148">
      <w:pPr>
        <w:pStyle w:val="Source"/>
      </w:pPr>
      <w:r w:rsidRPr="00ED2B1F">
        <w:t>Sources: PRIMHD data (extracted 10 June 2025) and manual data for Health New Zealand Canterbury, Southern, Waikato and Waitematā.</w:t>
      </w:r>
    </w:p>
    <w:p w14:paraId="139D2B6B" w14:textId="77777777" w:rsidR="00BB7D17" w:rsidRPr="00ED2B1F" w:rsidRDefault="00BB7D17" w:rsidP="00CC2148">
      <w:pPr>
        <w:pStyle w:val="Source"/>
        <w:rPr>
          <w:rFonts w:eastAsia="Arial Unicode MS"/>
        </w:rPr>
        <w:sectPr w:rsidR="00BB7D17" w:rsidRPr="00ED2B1F" w:rsidSect="00D4159A">
          <w:pgSz w:w="11907" w:h="16834" w:code="9"/>
          <w:pgMar w:top="1418" w:right="1701" w:bottom="1134" w:left="1843" w:header="284" w:footer="425" w:gutter="284"/>
          <w:cols w:space="720"/>
        </w:sectPr>
      </w:pPr>
    </w:p>
    <w:p w14:paraId="0EB186A1" w14:textId="77777777" w:rsidR="00BB7D17" w:rsidRPr="00ED2B1F" w:rsidRDefault="00BB7D17" w:rsidP="00BB7D17">
      <w:pPr>
        <w:pStyle w:val="Heading1"/>
        <w:spacing w:before="0"/>
      </w:pPr>
      <w:bookmarkStart w:id="298" w:name="_Toc65141627"/>
      <w:bookmarkStart w:id="299" w:name="_Toc75176451"/>
      <w:bookmarkStart w:id="300" w:name="_Toc87429918"/>
      <w:bookmarkStart w:id="301" w:name="_Toc88826966"/>
      <w:bookmarkStart w:id="302" w:name="_Toc115188816"/>
      <w:bookmarkStart w:id="303" w:name="_Toc145394243"/>
      <w:bookmarkStart w:id="304" w:name="_Toc189053913"/>
      <w:bookmarkStart w:id="305" w:name="_Toc224638101"/>
      <w:r w:rsidRPr="00ED2B1F">
        <w:lastRenderedPageBreak/>
        <w:t>Special and restricted patients</w:t>
      </w:r>
      <w:bookmarkEnd w:id="298"/>
      <w:bookmarkEnd w:id="299"/>
      <w:bookmarkEnd w:id="300"/>
      <w:bookmarkEnd w:id="301"/>
      <w:bookmarkEnd w:id="302"/>
      <w:bookmarkEnd w:id="303"/>
      <w:bookmarkEnd w:id="304"/>
      <w:bookmarkEnd w:id="305"/>
    </w:p>
    <w:p w14:paraId="4B86882F" w14:textId="1202EF42" w:rsidR="00BB7D17" w:rsidRPr="00ED2B1F" w:rsidRDefault="00BB7D17" w:rsidP="00BB7D17">
      <w:r w:rsidRPr="00ED2B1F">
        <w:t>Under New Zealand law, people who have been charged with committing crimes while severe mental illness was influencing their judgement may be treated in a secure mental health facility instead of going to prison. These people are given ‘special patient’ status.</w:t>
      </w:r>
    </w:p>
    <w:p w14:paraId="032347AC" w14:textId="77777777" w:rsidR="00BB7D17" w:rsidRPr="00ED2B1F" w:rsidRDefault="00BB7D17" w:rsidP="00BB7D17"/>
    <w:p w14:paraId="7B8147BB" w14:textId="77777777" w:rsidR="00BB7D17" w:rsidRPr="00ED2B1F" w:rsidRDefault="00BB7D17" w:rsidP="00BB7D17">
      <w:r w:rsidRPr="00ED2B1F">
        <w:t>Special patients include:</w:t>
      </w:r>
    </w:p>
    <w:p w14:paraId="29A9BE42" w14:textId="77777777" w:rsidR="00BB7D17" w:rsidRPr="00ED2B1F" w:rsidRDefault="00BB7D17" w:rsidP="00BB7D17">
      <w:pPr>
        <w:pStyle w:val="Bullet"/>
      </w:pPr>
      <w:r w:rsidRPr="00ED2B1F">
        <w:t>people charged with, or convicted of, a criminal offence and remanded to a hospital for a psychiatric report</w:t>
      </w:r>
    </w:p>
    <w:p w14:paraId="6FF4B4FA" w14:textId="77777777" w:rsidR="00BB7D17" w:rsidRPr="00ED2B1F" w:rsidRDefault="00BB7D17" w:rsidP="00BB7D17">
      <w:pPr>
        <w:pStyle w:val="Bullet"/>
      </w:pPr>
      <w:r w:rsidRPr="00ED2B1F">
        <w:t>remanded or sentenced prisoners transferred from prison to a hospital</w:t>
      </w:r>
    </w:p>
    <w:p w14:paraId="19CFD435" w14:textId="77777777" w:rsidR="00BB7D17" w:rsidRPr="00ED2B1F" w:rsidRDefault="00BB7D17" w:rsidP="00BB7D17">
      <w:pPr>
        <w:pStyle w:val="Bullet"/>
      </w:pPr>
      <w:r w:rsidRPr="00ED2B1F">
        <w:t>defendants found not guilty by reason of insanity or who have a finding of act proven but not criminally responsible on account of insanity</w:t>
      </w:r>
    </w:p>
    <w:p w14:paraId="550CB29F" w14:textId="77777777" w:rsidR="00BB7D17" w:rsidRPr="00ED2B1F" w:rsidRDefault="00BB7D17" w:rsidP="00BB7D17">
      <w:pPr>
        <w:pStyle w:val="Bullet"/>
      </w:pPr>
      <w:r w:rsidRPr="00ED2B1F">
        <w:t>defendants who are unfit to stand trial</w:t>
      </w:r>
    </w:p>
    <w:p w14:paraId="632D4E88" w14:textId="77777777" w:rsidR="00BB7D17" w:rsidRPr="00ED2B1F" w:rsidRDefault="00BB7D17" w:rsidP="00BB7D17">
      <w:pPr>
        <w:pStyle w:val="Bullet"/>
      </w:pPr>
      <w:r w:rsidRPr="00ED2B1F">
        <w:t>people who have been convicted of a criminal offence and are both sentenced to a term of imprisonment and placed under a CTO.</w:t>
      </w:r>
    </w:p>
    <w:p w14:paraId="5C2AB044" w14:textId="77777777" w:rsidR="00BB7D17" w:rsidRPr="00ED2B1F" w:rsidRDefault="00BB7D17" w:rsidP="00BB7D17"/>
    <w:p w14:paraId="6CB8FA04" w14:textId="77777777" w:rsidR="00BB7D17" w:rsidRPr="00ED2B1F" w:rsidRDefault="00BB7D17" w:rsidP="00BB7D17">
      <w:r w:rsidRPr="00ED2B1F">
        <w:t>Restricted patients are people detained in forensic mental health services by court order because they pose a danger to others. They have not necessarily been charged with or convicted of a crime. They may have also been transferred from prison or previously had a special patient status that changed when their sentence ended.</w:t>
      </w:r>
    </w:p>
    <w:p w14:paraId="0F5C5914" w14:textId="77777777" w:rsidR="00BB7D17" w:rsidRPr="00ED2B1F" w:rsidRDefault="00BB7D17" w:rsidP="00BB7D17"/>
    <w:p w14:paraId="64D1FDD9" w14:textId="4ACADEB2" w:rsidR="00BB7D17" w:rsidRPr="00ED2B1F" w:rsidRDefault="00BB7D17" w:rsidP="00BB7D17">
      <w:r w:rsidRPr="00ED2B1F">
        <w:t>Special and restricted patients can be detained in the</w:t>
      </w:r>
      <w:r w:rsidRPr="00ED2B1F" w:rsidDel="00A803F5">
        <w:t xml:space="preserve"> </w:t>
      </w:r>
      <w:r w:rsidRPr="00ED2B1F">
        <w:t xml:space="preserve">five regional forensic mental health services (see the </w:t>
      </w:r>
      <w:r w:rsidR="004B36A4" w:rsidRPr="00ED2B1F">
        <w:fldChar w:fldCharType="begin"/>
      </w:r>
      <w:r w:rsidR="004B36A4" w:rsidRPr="00ED2B1F">
        <w:instrText xml:space="preserve"> REF _Ref221778773 \h </w:instrText>
      </w:r>
      <w:r w:rsidR="004B36A4" w:rsidRPr="00ED2B1F">
        <w:fldChar w:fldCharType="separate"/>
      </w:r>
      <w:r w:rsidR="00484E57" w:rsidRPr="00ED2B1F">
        <w:t>Seclusion in forensic units</w:t>
      </w:r>
      <w:r w:rsidR="004B36A4" w:rsidRPr="00ED2B1F">
        <w:fldChar w:fldCharType="end"/>
      </w:r>
      <w:r w:rsidRPr="00ED2B1F">
        <w:t xml:space="preserve"> section).</w:t>
      </w:r>
    </w:p>
    <w:p w14:paraId="7A94778B" w14:textId="0425DB08" w:rsidR="00BB7D17" w:rsidRPr="00ED2B1F" w:rsidRDefault="00BB7D17" w:rsidP="00BB7D17"/>
    <w:p w14:paraId="2CBB061C" w14:textId="451C6D76" w:rsidR="00BB7D17" w:rsidRPr="00ED2B1F" w:rsidRDefault="00BB7D17" w:rsidP="00BB7D17">
      <w:r w:rsidRPr="00ED2B1F">
        <w:t xml:space="preserve">The national total of </w:t>
      </w:r>
      <w:r w:rsidR="0010398E" w:rsidRPr="00ED2B1F">
        <w:t xml:space="preserve">473 </w:t>
      </w:r>
      <w:r w:rsidRPr="00ED2B1F">
        <w:t>special patients is lower than the sum of special patients by regional service. This is because some special patients may have transferred across services during the year.</w:t>
      </w:r>
    </w:p>
    <w:p w14:paraId="1DE62855" w14:textId="77777777" w:rsidR="00BB7D17" w:rsidRPr="00ED2B1F" w:rsidRDefault="00BB7D17" w:rsidP="00BB7D17"/>
    <w:p w14:paraId="21A5F549" w14:textId="3B11A417" w:rsidR="00BB7D17" w:rsidRPr="00ED2B1F" w:rsidRDefault="0046488C" w:rsidP="00BB7D17">
      <w:r w:rsidRPr="00ED2B1F">
        <w:fldChar w:fldCharType="begin"/>
      </w:r>
      <w:r w:rsidRPr="00ED2B1F">
        <w:instrText xml:space="preserve"> REF _Ref65672403 \h </w:instrText>
      </w:r>
      <w:r w:rsidRPr="00ED2B1F">
        <w:fldChar w:fldCharType="separate"/>
      </w:r>
      <w:r w:rsidR="00484E57" w:rsidRPr="00ED2B1F">
        <w:t>Figure </w:t>
      </w:r>
      <w:r w:rsidR="00484E57">
        <w:rPr>
          <w:noProof/>
        </w:rPr>
        <w:t>30</w:t>
      </w:r>
      <w:r w:rsidRPr="00ED2B1F">
        <w:fldChar w:fldCharType="end"/>
      </w:r>
      <w:r w:rsidR="00BB7D17" w:rsidRPr="00ED2B1F">
        <w:t xml:space="preserve"> presents the total number of special patients in the care of each regional forensic mental health service. </w:t>
      </w:r>
    </w:p>
    <w:p w14:paraId="76BFB208" w14:textId="77777777" w:rsidR="00BB7D17" w:rsidRPr="00ED2B1F" w:rsidRDefault="00BB7D17" w:rsidP="00BB7D17">
      <w:pPr>
        <w:rPr>
          <w:rFonts w:cs="Segoe UI"/>
        </w:rPr>
      </w:pPr>
    </w:p>
    <w:p w14:paraId="331DC5CF" w14:textId="436AA446" w:rsidR="00BB7D17" w:rsidRPr="00ED2B1F" w:rsidRDefault="00BB7D17" w:rsidP="00BB7D17">
      <w:r w:rsidRPr="00ED2B1F">
        <w:t xml:space="preserve">Special and restricted patients may be detained for either extended or short-term care. The following discussion details </w:t>
      </w:r>
      <w:r w:rsidR="000E48B5" w:rsidRPr="00ED2B1F">
        <w:t xml:space="preserve">the data on </w:t>
      </w:r>
      <w:r w:rsidRPr="00ED2B1F">
        <w:t>these variations.</w:t>
      </w:r>
    </w:p>
    <w:p w14:paraId="183A5511" w14:textId="77777777" w:rsidR="00BB7D17" w:rsidRPr="00ED2B1F" w:rsidRDefault="00BB7D17" w:rsidP="00BB7D17">
      <w:pPr>
        <w:rPr>
          <w:rFonts w:cs="Segoe UI"/>
        </w:rPr>
      </w:pPr>
    </w:p>
    <w:p w14:paraId="16BAEFF2" w14:textId="77777777" w:rsidR="00CC1A7C" w:rsidRPr="00ED2B1F" w:rsidRDefault="00CC1A7C" w:rsidP="00753A1F">
      <w:pPr>
        <w:rPr>
          <w:rFonts w:eastAsia="Arial Unicode MS"/>
        </w:rPr>
      </w:pPr>
    </w:p>
    <w:p w14:paraId="704347E8" w14:textId="77777777" w:rsidR="00BB7D17" w:rsidRPr="00ED2B1F" w:rsidRDefault="00BB7D17" w:rsidP="00753A1F">
      <w:pPr>
        <w:rPr>
          <w:rFonts w:eastAsia="Arial Unicode MS"/>
        </w:rPr>
      </w:pPr>
    </w:p>
    <w:p w14:paraId="5A036E7C" w14:textId="77777777" w:rsidR="00BB7D17" w:rsidRPr="00ED2B1F" w:rsidRDefault="00BB7D17" w:rsidP="00753A1F">
      <w:pPr>
        <w:rPr>
          <w:rFonts w:eastAsia="Arial Unicode MS"/>
        </w:rPr>
      </w:pPr>
    </w:p>
    <w:p w14:paraId="68E33278" w14:textId="77777777" w:rsidR="00BB7D17" w:rsidRPr="00ED2B1F" w:rsidRDefault="00BB7D17" w:rsidP="00753A1F">
      <w:pPr>
        <w:rPr>
          <w:rFonts w:eastAsia="Arial Unicode MS"/>
        </w:rPr>
      </w:pPr>
    </w:p>
    <w:p w14:paraId="6F20E123" w14:textId="77777777" w:rsidR="00BB7D17" w:rsidRPr="00ED2B1F" w:rsidRDefault="00BB7D17" w:rsidP="00753A1F">
      <w:pPr>
        <w:rPr>
          <w:rFonts w:eastAsia="Arial Unicode MS"/>
        </w:rPr>
      </w:pPr>
    </w:p>
    <w:p w14:paraId="3B0DD0BD" w14:textId="6A002701" w:rsidR="00BB7D17" w:rsidRPr="00ED2B1F" w:rsidRDefault="00BB7D17" w:rsidP="00C103C7">
      <w:pPr>
        <w:pStyle w:val="Figure"/>
      </w:pPr>
      <w:bookmarkStart w:id="306" w:name="_Ref65672403"/>
      <w:bookmarkStart w:id="307" w:name="_Toc63764781"/>
      <w:bookmarkStart w:id="308" w:name="_Toc75176497"/>
      <w:bookmarkStart w:id="309" w:name="_Toc85442589"/>
      <w:bookmarkStart w:id="310" w:name="_Toc85445937"/>
      <w:bookmarkStart w:id="311" w:name="_Toc87429982"/>
      <w:bookmarkStart w:id="312" w:name="_Toc88561414"/>
      <w:bookmarkStart w:id="313" w:name="_Toc115188874"/>
      <w:bookmarkStart w:id="314" w:name="_Toc142314717"/>
      <w:bookmarkStart w:id="315" w:name="_Toc145394299"/>
      <w:bookmarkStart w:id="316" w:name="_Toc189053974"/>
      <w:bookmarkStart w:id="317" w:name="_Toc224638202"/>
      <w:r w:rsidRPr="00ED2B1F">
        <w:lastRenderedPageBreak/>
        <w:t>Figure </w:t>
      </w:r>
      <w:r w:rsidRPr="00ED2B1F">
        <w:fldChar w:fldCharType="begin"/>
      </w:r>
      <w:r w:rsidRPr="00ED2B1F">
        <w:instrText>SEQ Figure \* ARABIC</w:instrText>
      </w:r>
      <w:r w:rsidRPr="00ED2B1F">
        <w:fldChar w:fldCharType="separate"/>
      </w:r>
      <w:r w:rsidR="00484E57">
        <w:rPr>
          <w:noProof/>
        </w:rPr>
        <w:t>30</w:t>
      </w:r>
      <w:r w:rsidRPr="00ED2B1F">
        <w:fldChar w:fldCharType="end"/>
      </w:r>
      <w:bookmarkEnd w:id="306"/>
      <w:r w:rsidRPr="00ED2B1F">
        <w:t xml:space="preserve">: Total number of special patients, by regional service, </w:t>
      </w:r>
      <w:bookmarkEnd w:id="307"/>
      <w:bookmarkEnd w:id="308"/>
      <w:bookmarkEnd w:id="309"/>
      <w:bookmarkEnd w:id="310"/>
      <w:bookmarkEnd w:id="311"/>
      <w:bookmarkEnd w:id="312"/>
      <w:bookmarkEnd w:id="313"/>
      <w:bookmarkEnd w:id="314"/>
      <w:bookmarkEnd w:id="315"/>
      <w:bookmarkEnd w:id="316"/>
      <w:r w:rsidR="00211D17" w:rsidRPr="00ED2B1F">
        <w:t>1 July 2023 to 30 June 2024</w:t>
      </w:r>
      <w:bookmarkEnd w:id="317"/>
    </w:p>
    <w:p w14:paraId="758BB1A1" w14:textId="4C7D0A01" w:rsidR="00BB7D17" w:rsidRPr="00ED2B1F" w:rsidRDefault="00CC12F1" w:rsidP="00540C1C">
      <w:pPr>
        <w:rPr>
          <w:rFonts w:eastAsia="Arial Unicode MS"/>
        </w:rPr>
      </w:pPr>
      <w:r>
        <w:rPr>
          <w:rFonts w:eastAsia="Arial Unicode MS"/>
          <w:noProof/>
        </w:rPr>
        <w:drawing>
          <wp:inline distT="0" distB="0" distL="0" distR="0" wp14:anchorId="2D81F343" wp14:editId="27247D74">
            <wp:extent cx="4840763" cy="2536372"/>
            <wp:effectExtent l="0" t="0" r="0" b="0"/>
            <wp:docPr id="12597630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6304" name="Picture 31">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3561" cy="2537838"/>
                    </a:xfrm>
                    <a:prstGeom prst="rect">
                      <a:avLst/>
                    </a:prstGeom>
                    <a:noFill/>
                  </pic:spPr>
                </pic:pic>
              </a:graphicData>
            </a:graphic>
          </wp:inline>
        </w:drawing>
      </w:r>
    </w:p>
    <w:p w14:paraId="7BB223B9" w14:textId="6DF2AC34" w:rsidR="00BB7D17" w:rsidRPr="00CC2148" w:rsidRDefault="00BB7D17" w:rsidP="00CC2148">
      <w:pPr>
        <w:pStyle w:val="Source"/>
      </w:pPr>
      <w:r w:rsidRPr="00CC2148">
        <w:t>Source</w:t>
      </w:r>
      <w:r w:rsidR="00282FF5" w:rsidRPr="00CC2148">
        <w:t>s</w:t>
      </w:r>
      <w:r w:rsidRPr="00CC2148">
        <w:t xml:space="preserve">: PRIMHD data (extracted </w:t>
      </w:r>
      <w:r w:rsidR="00955846" w:rsidRPr="00CC2148">
        <w:t>10 June 2025</w:t>
      </w:r>
      <w:r w:rsidRPr="00CC2148">
        <w:t>)</w:t>
      </w:r>
      <w:r w:rsidR="00282FF5" w:rsidRPr="00CC2148">
        <w:t xml:space="preserve"> and manual data for Health New Zealand </w:t>
      </w:r>
      <w:r w:rsidR="00D4762F" w:rsidRPr="00CC2148">
        <w:t xml:space="preserve">Capital &amp; Coast and </w:t>
      </w:r>
      <w:r w:rsidR="00282FF5" w:rsidRPr="00CC2148">
        <w:t>Waikato.</w:t>
      </w:r>
    </w:p>
    <w:p w14:paraId="7C115D86" w14:textId="77777777" w:rsidR="00BB7D17" w:rsidRPr="00ED2B1F" w:rsidRDefault="00BB7D17" w:rsidP="007A34A3">
      <w:pPr>
        <w:pStyle w:val="Heading2"/>
      </w:pPr>
      <w:bookmarkStart w:id="318" w:name="_Toc65141628"/>
      <w:bookmarkStart w:id="319" w:name="_Toc75176452"/>
      <w:bookmarkStart w:id="320" w:name="_Toc87429919"/>
      <w:bookmarkStart w:id="321" w:name="_Toc88826967"/>
      <w:bookmarkStart w:id="322" w:name="_Toc115188817"/>
      <w:bookmarkStart w:id="323" w:name="_Toc145394244"/>
      <w:bookmarkStart w:id="324" w:name="_Toc189053914"/>
      <w:bookmarkStart w:id="325" w:name="_Toc224638102"/>
      <w:r w:rsidRPr="00ED2B1F">
        <w:t>Extended forensic care special patients</w:t>
      </w:r>
      <w:bookmarkEnd w:id="318"/>
      <w:bookmarkEnd w:id="319"/>
      <w:bookmarkEnd w:id="320"/>
      <w:bookmarkEnd w:id="321"/>
      <w:bookmarkEnd w:id="322"/>
      <w:bookmarkEnd w:id="323"/>
      <w:bookmarkEnd w:id="324"/>
      <w:bookmarkEnd w:id="325"/>
    </w:p>
    <w:p w14:paraId="413DDE7B" w14:textId="77777777" w:rsidR="00BB7D17" w:rsidRPr="00ED2B1F" w:rsidRDefault="00BB7D17" w:rsidP="00BB7D17">
      <w:r w:rsidRPr="00ED2B1F">
        <w:t>Extended forensic care (EFC) patients include special patients who have been found not guilty by reason of insanity or unfit to stand trial under section 24(2)(a) of the Criminal Procedure (Mentally Impaired Persons) Act 2003. Restricted patients under section 55 of the Mental Health Act are also supported in extended forensic care facilities.</w:t>
      </w:r>
    </w:p>
    <w:p w14:paraId="7D8CF7CF" w14:textId="77777777" w:rsidR="00BB7D17" w:rsidRPr="00ED2B1F" w:rsidRDefault="00BB7D17" w:rsidP="00BB7D17"/>
    <w:p w14:paraId="240BCC51" w14:textId="13A72B2F" w:rsidR="00BB7D17" w:rsidRPr="00ED2B1F" w:rsidRDefault="00BB7D17" w:rsidP="00BB7D17">
      <w:r w:rsidRPr="00ED2B1F">
        <w:t xml:space="preserve">From </w:t>
      </w:r>
      <w:r w:rsidR="00211D17" w:rsidRPr="00ED2B1F">
        <w:t>1 July 2023 to 30 June 2024</w:t>
      </w:r>
      <w:r w:rsidRPr="00ED2B1F">
        <w:t>, New Zealand had 1</w:t>
      </w:r>
      <w:r w:rsidR="00A04351" w:rsidRPr="00ED2B1F">
        <w:t>86</w:t>
      </w:r>
      <w:r w:rsidRPr="00ED2B1F">
        <w:t xml:space="preserve"> EFC special patients. </w:t>
      </w:r>
    </w:p>
    <w:p w14:paraId="0A9019C9" w14:textId="77777777" w:rsidR="00BB7D17" w:rsidRPr="00ED2B1F" w:rsidRDefault="00BB7D17" w:rsidP="007A34A3">
      <w:pPr>
        <w:pStyle w:val="Heading2"/>
      </w:pPr>
      <w:bookmarkStart w:id="326" w:name="_Toc65141629"/>
      <w:bookmarkStart w:id="327" w:name="_Toc75176453"/>
      <w:bookmarkStart w:id="328" w:name="_Toc87429920"/>
      <w:bookmarkStart w:id="329" w:name="_Toc88826968"/>
      <w:bookmarkStart w:id="330" w:name="_Toc115188818"/>
      <w:bookmarkStart w:id="331" w:name="_Toc145394245"/>
      <w:bookmarkStart w:id="332" w:name="_Toc189053915"/>
      <w:bookmarkStart w:id="333" w:name="_Toc224638103"/>
      <w:r w:rsidRPr="00ED2B1F">
        <w:t>Short-term forensic care special patients</w:t>
      </w:r>
      <w:bookmarkEnd w:id="326"/>
      <w:bookmarkEnd w:id="327"/>
      <w:bookmarkEnd w:id="328"/>
      <w:bookmarkEnd w:id="329"/>
      <w:bookmarkEnd w:id="330"/>
      <w:bookmarkEnd w:id="331"/>
      <w:bookmarkEnd w:id="332"/>
      <w:bookmarkEnd w:id="333"/>
    </w:p>
    <w:p w14:paraId="5539F79B" w14:textId="5C0FF2C8" w:rsidR="00BB7D17" w:rsidRPr="00ED2B1F" w:rsidRDefault="00BB7D17" w:rsidP="00BB7D17">
      <w:r w:rsidRPr="00ED2B1F">
        <w:t>Short-term forensic care (SFC) patients include people transferred from prison to a forensic mental health service. When a person has been sentenced to a term of imprisonment, any Mental Health Act status</w:t>
      </w:r>
      <w:r w:rsidR="000E48B5" w:rsidRPr="00ED2B1F">
        <w:t xml:space="preserve"> that they may have had previously</w:t>
      </w:r>
      <w:r w:rsidRPr="00ED2B1F">
        <w:t xml:space="preserve"> no longer applies. Remand prisoners may remain on a current CTO, but it is unlawful to enforce compulsory treatment in the prison environment. However, a court may make a ‘hybrid order’ under section 34(1)(a)(i) of the Criminal Procedure (Mentally Impaired Persons) Act 2003, sentencing an offender to a term of imprisonment while also ordering their detention in hospital as a special patient.</w:t>
      </w:r>
    </w:p>
    <w:p w14:paraId="2BDCC901" w14:textId="77777777" w:rsidR="00BB7D17" w:rsidRPr="00ED2B1F" w:rsidRDefault="00BB7D17" w:rsidP="00BB7D17"/>
    <w:p w14:paraId="50180115" w14:textId="42D9620E" w:rsidR="00BB7D17" w:rsidRPr="00ED2B1F" w:rsidRDefault="00BB7D17" w:rsidP="00E96DD0">
      <w:r w:rsidRPr="00ED2B1F">
        <w:t xml:space="preserve">From </w:t>
      </w:r>
      <w:r w:rsidR="00211D17" w:rsidRPr="00ED2B1F">
        <w:t>1 July 2023 to 30 June 2024</w:t>
      </w:r>
      <w:r w:rsidRPr="00ED2B1F">
        <w:t>, New Zealand had a total of 30</w:t>
      </w:r>
      <w:r w:rsidR="0068625B" w:rsidRPr="00ED2B1F">
        <w:t>8</w:t>
      </w:r>
      <w:r w:rsidRPr="00ED2B1F">
        <w:t xml:space="preserve"> SFC special patients. </w:t>
      </w:r>
    </w:p>
    <w:p w14:paraId="250F4BFC" w14:textId="77777777" w:rsidR="00BB7D17" w:rsidRPr="00ED2B1F" w:rsidRDefault="00BB7D17" w:rsidP="00E96DD0">
      <w:pPr>
        <w:rPr>
          <w:rFonts w:eastAsia="Arial Unicode MS"/>
        </w:rPr>
      </w:pPr>
    </w:p>
    <w:p w14:paraId="56E2B965" w14:textId="78ED5ABC" w:rsidR="00BB7D17" w:rsidRPr="00ED2B1F" w:rsidRDefault="0024354A" w:rsidP="00E96DD0">
      <w:r w:rsidRPr="00ED2B1F">
        <w:rPr>
          <w:bCs/>
        </w:rPr>
        <w:lastRenderedPageBreak/>
        <w:fldChar w:fldCharType="begin"/>
      </w:r>
      <w:r w:rsidRPr="00ED2B1F">
        <w:rPr>
          <w:bCs/>
        </w:rPr>
        <w:instrText xml:space="preserve"> REF _Ref85450596 \h </w:instrText>
      </w:r>
      <w:r w:rsidRPr="00ED2B1F">
        <w:rPr>
          <w:bCs/>
        </w:rPr>
      </w:r>
      <w:r w:rsidRPr="00ED2B1F">
        <w:rPr>
          <w:bCs/>
        </w:rPr>
        <w:fldChar w:fldCharType="separate"/>
      </w:r>
      <w:r w:rsidR="00484E57" w:rsidRPr="00ED2B1F">
        <w:t>Table </w:t>
      </w:r>
      <w:r w:rsidR="00484E57">
        <w:rPr>
          <w:noProof/>
        </w:rPr>
        <w:t>13</w:t>
      </w:r>
      <w:r w:rsidRPr="00ED2B1F">
        <w:rPr>
          <w:bCs/>
        </w:rPr>
        <w:fldChar w:fldCharType="end"/>
      </w:r>
      <w:r w:rsidR="00BB7D17" w:rsidRPr="00ED2B1F">
        <w:rPr>
          <w:bCs/>
        </w:rPr>
        <w:t xml:space="preserve"> shows the number of these patients in the care of each regional forensic mental health service.</w:t>
      </w:r>
      <w:r w:rsidR="00E96DD0" w:rsidRPr="00ED2B1F">
        <w:rPr>
          <w:bCs/>
        </w:rPr>
        <w:t xml:space="preserve"> </w:t>
      </w:r>
      <w:r w:rsidR="00E96DD0" w:rsidRPr="00ED2B1F">
        <w:fldChar w:fldCharType="begin"/>
      </w:r>
      <w:r w:rsidR="00E96DD0" w:rsidRPr="00ED2B1F">
        <w:instrText xml:space="preserve"> REF _Ref189394011 \h  \* MERGEFORMAT </w:instrText>
      </w:r>
      <w:r w:rsidR="00E96DD0" w:rsidRPr="00ED2B1F">
        <w:fldChar w:fldCharType="separate"/>
      </w:r>
      <w:r w:rsidR="00484E57" w:rsidRPr="00ED2B1F">
        <w:t>Figure </w:t>
      </w:r>
      <w:r w:rsidR="00484E57">
        <w:t>31</w:t>
      </w:r>
      <w:r w:rsidR="00E96DD0" w:rsidRPr="00ED2B1F">
        <w:fldChar w:fldCharType="end"/>
      </w:r>
      <w:r w:rsidR="00E96DD0" w:rsidRPr="00ED2B1F">
        <w:t xml:space="preserve"> </w:t>
      </w:r>
      <w:r w:rsidR="00BB7D17" w:rsidRPr="00ED2B1F">
        <w:t>shows</w:t>
      </w:r>
      <w:r w:rsidR="00BB7D17" w:rsidRPr="00ED2B1F" w:rsidDel="001B42F3">
        <w:t xml:space="preserve"> </w:t>
      </w:r>
      <w:r w:rsidR="00BB7D17" w:rsidRPr="00ED2B1F">
        <w:t>the percentage of court orders given for SFC and EFC legal status in each of these services.</w:t>
      </w:r>
    </w:p>
    <w:p w14:paraId="52EF3008" w14:textId="77777777" w:rsidR="00BB7D17" w:rsidRPr="00ED2B1F" w:rsidRDefault="00BB7D17" w:rsidP="00E96DD0"/>
    <w:p w14:paraId="3D1282AA" w14:textId="7AAE2F0B" w:rsidR="00BB7D17" w:rsidRPr="00ED2B1F" w:rsidRDefault="00BB7D17" w:rsidP="00C103C7">
      <w:pPr>
        <w:pStyle w:val="Table"/>
      </w:pPr>
      <w:bookmarkStart w:id="334" w:name="_Ref85450596"/>
      <w:bookmarkStart w:id="335" w:name="_Toc87430010"/>
      <w:bookmarkStart w:id="336" w:name="_Toc88561367"/>
      <w:bookmarkStart w:id="337" w:name="_Toc115188902"/>
      <w:bookmarkStart w:id="338" w:name="_Toc142314763"/>
      <w:bookmarkStart w:id="339" w:name="_Toc145394326"/>
      <w:bookmarkStart w:id="340" w:name="_Toc189054004"/>
      <w:bookmarkStart w:id="341" w:name="_Toc224638233"/>
      <w:r w:rsidRPr="00ED2B1F">
        <w:t>Table </w:t>
      </w:r>
      <w:r w:rsidRPr="00ED2B1F">
        <w:fldChar w:fldCharType="begin"/>
      </w:r>
      <w:r w:rsidRPr="00ED2B1F">
        <w:instrText>SEQ Table \* ARABIC</w:instrText>
      </w:r>
      <w:r w:rsidRPr="00ED2B1F">
        <w:fldChar w:fldCharType="separate"/>
      </w:r>
      <w:r w:rsidR="00484E57">
        <w:rPr>
          <w:noProof/>
        </w:rPr>
        <w:t>13</w:t>
      </w:r>
      <w:r w:rsidRPr="00ED2B1F">
        <w:fldChar w:fldCharType="end"/>
      </w:r>
      <w:bookmarkEnd w:id="334"/>
      <w:r w:rsidRPr="00ED2B1F">
        <w:t xml:space="preserve">: Total number of special patients, by type and service, </w:t>
      </w:r>
      <w:bookmarkEnd w:id="335"/>
      <w:bookmarkEnd w:id="336"/>
      <w:bookmarkEnd w:id="337"/>
      <w:bookmarkEnd w:id="338"/>
      <w:bookmarkEnd w:id="339"/>
      <w:bookmarkEnd w:id="340"/>
      <w:r w:rsidR="00211D17" w:rsidRPr="00ED2B1F">
        <w:t>1 July 2023 to 30 June 2024</w:t>
      </w:r>
      <w:bookmarkEnd w:id="341"/>
    </w:p>
    <w:tbl>
      <w:tblPr>
        <w:tblW w:w="4931" w:type="pct"/>
        <w:tblInd w:w="57" w:type="dxa"/>
        <w:tblLayout w:type="fixed"/>
        <w:tblCellMar>
          <w:left w:w="57" w:type="dxa"/>
          <w:right w:w="57" w:type="dxa"/>
        </w:tblCellMar>
        <w:tblLook w:val="01E0" w:firstRow="1" w:lastRow="1" w:firstColumn="1" w:lastColumn="1" w:noHBand="0" w:noVBand="0"/>
      </w:tblPr>
      <w:tblGrid>
        <w:gridCol w:w="1846"/>
        <w:gridCol w:w="2040"/>
        <w:gridCol w:w="2041"/>
        <w:gridCol w:w="2041"/>
      </w:tblGrid>
      <w:tr w:rsidR="00BB7D17" w:rsidRPr="00ED2B1F" w14:paraId="1B765B71" w14:textId="77777777" w:rsidTr="00CC2148">
        <w:trPr>
          <w:cantSplit/>
        </w:trPr>
        <w:tc>
          <w:tcPr>
            <w:tcW w:w="1158" w:type="pct"/>
            <w:shd w:val="clear" w:color="auto" w:fill="D9D9D9" w:themeFill="background1" w:themeFillShade="D9"/>
          </w:tcPr>
          <w:p w14:paraId="0A2B92D8" w14:textId="77777777" w:rsidR="00BB7D17" w:rsidRPr="00CC2148" w:rsidRDefault="00BB7D17" w:rsidP="00E96DD0">
            <w:pPr>
              <w:pStyle w:val="TableText"/>
              <w:rPr>
                <w:b/>
              </w:rPr>
            </w:pPr>
            <w:r w:rsidRPr="00CC2148">
              <w:rPr>
                <w:b/>
              </w:rPr>
              <w:t>Regional service</w:t>
            </w:r>
          </w:p>
        </w:tc>
        <w:tc>
          <w:tcPr>
            <w:tcW w:w="1280" w:type="pct"/>
            <w:shd w:val="clear" w:color="auto" w:fill="D9D9D9" w:themeFill="background1" w:themeFillShade="D9"/>
          </w:tcPr>
          <w:p w14:paraId="44AD2F33" w14:textId="77777777" w:rsidR="00BB7D17" w:rsidRPr="00CC2148" w:rsidRDefault="00BB7D17" w:rsidP="00E96DD0">
            <w:pPr>
              <w:pStyle w:val="TableText"/>
              <w:jc w:val="center"/>
              <w:rPr>
                <w:b/>
              </w:rPr>
            </w:pPr>
            <w:r w:rsidRPr="00CC2148">
              <w:rPr>
                <w:b/>
              </w:rPr>
              <w:t>EFC special patients</w:t>
            </w:r>
          </w:p>
        </w:tc>
        <w:tc>
          <w:tcPr>
            <w:tcW w:w="1281" w:type="pct"/>
            <w:shd w:val="clear" w:color="auto" w:fill="D9D9D9" w:themeFill="background1" w:themeFillShade="D9"/>
          </w:tcPr>
          <w:p w14:paraId="42F8A359" w14:textId="77777777" w:rsidR="00BB7D17" w:rsidRPr="00CC2148" w:rsidRDefault="00BB7D17" w:rsidP="00E96DD0">
            <w:pPr>
              <w:pStyle w:val="TableText"/>
              <w:jc w:val="center"/>
              <w:rPr>
                <w:b/>
              </w:rPr>
            </w:pPr>
            <w:r w:rsidRPr="00CC2148">
              <w:rPr>
                <w:b/>
              </w:rPr>
              <w:t>SFC special patients</w:t>
            </w:r>
          </w:p>
        </w:tc>
        <w:tc>
          <w:tcPr>
            <w:tcW w:w="1281" w:type="pct"/>
            <w:shd w:val="clear" w:color="auto" w:fill="D9D9D9" w:themeFill="background1" w:themeFillShade="D9"/>
          </w:tcPr>
          <w:p w14:paraId="579F75C8" w14:textId="77777777" w:rsidR="00BB7D17" w:rsidRPr="00CC2148" w:rsidRDefault="00BB7D17" w:rsidP="00E96DD0">
            <w:pPr>
              <w:pStyle w:val="TableText"/>
              <w:jc w:val="center"/>
              <w:rPr>
                <w:b/>
              </w:rPr>
            </w:pPr>
            <w:r w:rsidRPr="00CC2148">
              <w:rPr>
                <w:b/>
              </w:rPr>
              <w:t>Total special patients</w:t>
            </w:r>
          </w:p>
        </w:tc>
      </w:tr>
      <w:tr w:rsidR="00BB7D17" w:rsidRPr="00ED2B1F" w14:paraId="28E239BD" w14:textId="77777777" w:rsidTr="00E96DD0">
        <w:trPr>
          <w:cantSplit/>
          <w:trHeight w:val="300"/>
        </w:trPr>
        <w:tc>
          <w:tcPr>
            <w:tcW w:w="1158" w:type="pct"/>
            <w:tcBorders>
              <w:bottom w:val="single" w:sz="4" w:space="0" w:color="A6A6A6" w:themeColor="background1" w:themeShade="A6"/>
            </w:tcBorders>
          </w:tcPr>
          <w:p w14:paraId="269EB31A" w14:textId="77777777" w:rsidR="00BB7D17" w:rsidRPr="00ED2B1F" w:rsidRDefault="00BB7D17" w:rsidP="00E96DD0">
            <w:pPr>
              <w:pStyle w:val="TableText"/>
            </w:pPr>
            <w:r w:rsidRPr="00ED2B1F">
              <w:t>Auckland</w:t>
            </w:r>
          </w:p>
        </w:tc>
        <w:tc>
          <w:tcPr>
            <w:tcW w:w="1280" w:type="pct"/>
            <w:tcBorders>
              <w:bottom w:val="single" w:sz="4" w:space="0" w:color="A6A6A6" w:themeColor="background1" w:themeShade="A6"/>
            </w:tcBorders>
          </w:tcPr>
          <w:p w14:paraId="3149B700" w14:textId="776822AF" w:rsidR="00BB7D17" w:rsidRPr="00ED2B1F" w:rsidRDefault="00C468A3" w:rsidP="00E96DD0">
            <w:pPr>
              <w:pStyle w:val="TableText"/>
              <w:tabs>
                <w:tab w:val="decimal" w:pos="1173"/>
              </w:tabs>
              <w:jc w:val="center"/>
            </w:pPr>
            <w:r w:rsidRPr="00ED2B1F">
              <w:t>58</w:t>
            </w:r>
          </w:p>
        </w:tc>
        <w:tc>
          <w:tcPr>
            <w:tcW w:w="1281" w:type="pct"/>
            <w:tcBorders>
              <w:bottom w:val="single" w:sz="4" w:space="0" w:color="A6A6A6" w:themeColor="background1" w:themeShade="A6"/>
            </w:tcBorders>
          </w:tcPr>
          <w:p w14:paraId="73FE4A92" w14:textId="31FC9EF2" w:rsidR="00BB7D17" w:rsidRPr="00ED2B1F" w:rsidRDefault="00C468A3" w:rsidP="00E96DD0">
            <w:pPr>
              <w:pStyle w:val="TableText"/>
              <w:tabs>
                <w:tab w:val="decimal" w:pos="1173"/>
              </w:tabs>
              <w:jc w:val="center"/>
            </w:pPr>
            <w:r w:rsidRPr="00ED2B1F">
              <w:t>103</w:t>
            </w:r>
          </w:p>
        </w:tc>
        <w:tc>
          <w:tcPr>
            <w:tcW w:w="1281" w:type="pct"/>
            <w:tcBorders>
              <w:bottom w:val="single" w:sz="4" w:space="0" w:color="A6A6A6" w:themeColor="background1" w:themeShade="A6"/>
            </w:tcBorders>
          </w:tcPr>
          <w:p w14:paraId="7D7FBF7E" w14:textId="61D085B3" w:rsidR="00BB7D17" w:rsidRPr="00ED2B1F" w:rsidRDefault="0068625B" w:rsidP="00E96DD0">
            <w:pPr>
              <w:pStyle w:val="TableText"/>
              <w:tabs>
                <w:tab w:val="decimal" w:pos="1173"/>
              </w:tabs>
              <w:jc w:val="center"/>
            </w:pPr>
            <w:r w:rsidRPr="00ED2B1F">
              <w:t>153</w:t>
            </w:r>
          </w:p>
        </w:tc>
      </w:tr>
      <w:tr w:rsidR="00BB7D17" w:rsidRPr="00ED2B1F" w14:paraId="581F0C00"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09CDCFF8" w14:textId="77777777" w:rsidR="00BB7D17" w:rsidRPr="00ED2B1F" w:rsidRDefault="00BB7D17" w:rsidP="00E96DD0">
            <w:pPr>
              <w:pStyle w:val="TableText"/>
            </w:pPr>
            <w:r w:rsidRPr="00ED2B1F">
              <w:t>Canterbury</w:t>
            </w:r>
          </w:p>
        </w:tc>
        <w:tc>
          <w:tcPr>
            <w:tcW w:w="1280" w:type="pct"/>
            <w:tcBorders>
              <w:top w:val="single" w:sz="4" w:space="0" w:color="A6A6A6" w:themeColor="background1" w:themeShade="A6"/>
              <w:bottom w:val="single" w:sz="4" w:space="0" w:color="A6A6A6" w:themeColor="background1" w:themeShade="A6"/>
            </w:tcBorders>
          </w:tcPr>
          <w:p w14:paraId="37B01B6F" w14:textId="3F8BF8CE" w:rsidR="00BB7D17" w:rsidRPr="00ED2B1F" w:rsidRDefault="00C468A3" w:rsidP="00E96DD0">
            <w:pPr>
              <w:pStyle w:val="TableText"/>
              <w:tabs>
                <w:tab w:val="decimal" w:pos="1173"/>
              </w:tabs>
              <w:jc w:val="center"/>
            </w:pPr>
            <w:r w:rsidRPr="00ED2B1F">
              <w:t>18</w:t>
            </w:r>
          </w:p>
        </w:tc>
        <w:tc>
          <w:tcPr>
            <w:tcW w:w="1281" w:type="pct"/>
            <w:tcBorders>
              <w:top w:val="single" w:sz="4" w:space="0" w:color="A6A6A6" w:themeColor="background1" w:themeShade="A6"/>
              <w:bottom w:val="single" w:sz="4" w:space="0" w:color="A6A6A6" w:themeColor="background1" w:themeShade="A6"/>
            </w:tcBorders>
          </w:tcPr>
          <w:p w14:paraId="7A194FF5" w14:textId="67C84423" w:rsidR="00BB7D17" w:rsidRPr="00ED2B1F" w:rsidRDefault="00C468A3" w:rsidP="00E96DD0">
            <w:pPr>
              <w:pStyle w:val="TableText"/>
              <w:tabs>
                <w:tab w:val="decimal" w:pos="1173"/>
              </w:tabs>
              <w:jc w:val="center"/>
            </w:pPr>
            <w:r w:rsidRPr="00ED2B1F">
              <w:t>21</w:t>
            </w:r>
          </w:p>
        </w:tc>
        <w:tc>
          <w:tcPr>
            <w:tcW w:w="1281" w:type="pct"/>
            <w:tcBorders>
              <w:top w:val="single" w:sz="4" w:space="0" w:color="A6A6A6" w:themeColor="background1" w:themeShade="A6"/>
              <w:bottom w:val="single" w:sz="4" w:space="0" w:color="A6A6A6" w:themeColor="background1" w:themeShade="A6"/>
            </w:tcBorders>
          </w:tcPr>
          <w:p w14:paraId="381D53A7" w14:textId="335CF658" w:rsidR="00BB7D17" w:rsidRPr="00ED2B1F" w:rsidRDefault="0068625B" w:rsidP="00E96DD0">
            <w:pPr>
              <w:pStyle w:val="TableText"/>
              <w:tabs>
                <w:tab w:val="decimal" w:pos="1173"/>
              </w:tabs>
              <w:jc w:val="center"/>
            </w:pPr>
            <w:r w:rsidRPr="00ED2B1F">
              <w:t>39</w:t>
            </w:r>
          </w:p>
        </w:tc>
      </w:tr>
      <w:tr w:rsidR="00BB7D17" w:rsidRPr="00ED2B1F" w14:paraId="4FED0EBE"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3A1C5024" w14:textId="77777777" w:rsidR="00BB7D17" w:rsidRPr="00ED2B1F" w:rsidRDefault="00BB7D17" w:rsidP="00E96DD0">
            <w:pPr>
              <w:pStyle w:val="TableText"/>
            </w:pPr>
            <w:r w:rsidRPr="00ED2B1F">
              <w:t>Central</w:t>
            </w:r>
          </w:p>
        </w:tc>
        <w:tc>
          <w:tcPr>
            <w:tcW w:w="1280" w:type="pct"/>
            <w:tcBorders>
              <w:top w:val="single" w:sz="4" w:space="0" w:color="A6A6A6" w:themeColor="background1" w:themeShade="A6"/>
              <w:bottom w:val="single" w:sz="4" w:space="0" w:color="A6A6A6" w:themeColor="background1" w:themeShade="A6"/>
            </w:tcBorders>
          </w:tcPr>
          <w:p w14:paraId="6B3B3D62" w14:textId="1406F6B9" w:rsidR="00BB7D17" w:rsidRPr="00ED2B1F" w:rsidRDefault="00BE67C4" w:rsidP="00E96DD0">
            <w:pPr>
              <w:pStyle w:val="TableText"/>
              <w:tabs>
                <w:tab w:val="decimal" w:pos="1173"/>
              </w:tabs>
              <w:jc w:val="center"/>
            </w:pPr>
            <w:r>
              <w:t>72</w:t>
            </w:r>
          </w:p>
        </w:tc>
        <w:tc>
          <w:tcPr>
            <w:tcW w:w="1281" w:type="pct"/>
            <w:tcBorders>
              <w:top w:val="single" w:sz="4" w:space="0" w:color="A6A6A6" w:themeColor="background1" w:themeShade="A6"/>
              <w:bottom w:val="single" w:sz="4" w:space="0" w:color="A6A6A6" w:themeColor="background1" w:themeShade="A6"/>
            </w:tcBorders>
          </w:tcPr>
          <w:p w14:paraId="5AAEBD4E" w14:textId="6A33C4C3" w:rsidR="00BB7D17" w:rsidRPr="00ED2B1F" w:rsidRDefault="00A06244" w:rsidP="00E96DD0">
            <w:pPr>
              <w:pStyle w:val="TableText"/>
              <w:tabs>
                <w:tab w:val="decimal" w:pos="1173"/>
              </w:tabs>
              <w:jc w:val="center"/>
            </w:pPr>
            <w:r>
              <w:t>89</w:t>
            </w:r>
          </w:p>
        </w:tc>
        <w:tc>
          <w:tcPr>
            <w:tcW w:w="1281" w:type="pct"/>
            <w:tcBorders>
              <w:top w:val="single" w:sz="4" w:space="0" w:color="A6A6A6" w:themeColor="background1" w:themeShade="A6"/>
              <w:bottom w:val="single" w:sz="4" w:space="0" w:color="A6A6A6" w:themeColor="background1" w:themeShade="A6"/>
            </w:tcBorders>
          </w:tcPr>
          <w:p w14:paraId="7CA137F8" w14:textId="10F835EB" w:rsidR="00BB7D17" w:rsidRPr="00ED2B1F" w:rsidRDefault="008472E5" w:rsidP="00E96DD0">
            <w:pPr>
              <w:pStyle w:val="TableText"/>
              <w:tabs>
                <w:tab w:val="decimal" w:pos="1173"/>
              </w:tabs>
              <w:jc w:val="center"/>
            </w:pPr>
            <w:r>
              <w:t>154</w:t>
            </w:r>
          </w:p>
        </w:tc>
      </w:tr>
      <w:tr w:rsidR="00BB7D17" w:rsidRPr="00ED2B1F" w14:paraId="15F85044"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545B6D5B" w14:textId="77777777" w:rsidR="00BB7D17" w:rsidRPr="00ED2B1F" w:rsidRDefault="00BB7D17" w:rsidP="00E96DD0">
            <w:pPr>
              <w:pStyle w:val="TableText"/>
            </w:pPr>
            <w:r w:rsidRPr="00ED2B1F">
              <w:t>Midland</w:t>
            </w:r>
          </w:p>
        </w:tc>
        <w:tc>
          <w:tcPr>
            <w:tcW w:w="1280" w:type="pct"/>
            <w:tcBorders>
              <w:top w:val="single" w:sz="4" w:space="0" w:color="A6A6A6" w:themeColor="background1" w:themeShade="A6"/>
              <w:bottom w:val="single" w:sz="4" w:space="0" w:color="A6A6A6" w:themeColor="background1" w:themeShade="A6"/>
            </w:tcBorders>
          </w:tcPr>
          <w:p w14:paraId="527F3032" w14:textId="194BAA2F" w:rsidR="00BB7D17" w:rsidRPr="00ED2B1F" w:rsidRDefault="00C468A3" w:rsidP="00E96DD0">
            <w:pPr>
              <w:pStyle w:val="TableText"/>
              <w:tabs>
                <w:tab w:val="decimal" w:pos="1173"/>
              </w:tabs>
              <w:jc w:val="center"/>
            </w:pPr>
            <w:r w:rsidRPr="00ED2B1F">
              <w:t>37</w:t>
            </w:r>
          </w:p>
        </w:tc>
        <w:tc>
          <w:tcPr>
            <w:tcW w:w="1281" w:type="pct"/>
            <w:tcBorders>
              <w:top w:val="single" w:sz="4" w:space="0" w:color="A6A6A6" w:themeColor="background1" w:themeShade="A6"/>
              <w:bottom w:val="single" w:sz="4" w:space="0" w:color="A6A6A6" w:themeColor="background1" w:themeShade="A6"/>
            </w:tcBorders>
          </w:tcPr>
          <w:p w14:paraId="7468DCD5" w14:textId="287B5840" w:rsidR="00BB7D17" w:rsidRPr="00ED2B1F" w:rsidRDefault="00C468A3" w:rsidP="00E96DD0">
            <w:pPr>
              <w:pStyle w:val="TableText"/>
              <w:tabs>
                <w:tab w:val="decimal" w:pos="1173"/>
              </w:tabs>
              <w:jc w:val="center"/>
            </w:pPr>
            <w:r w:rsidRPr="00ED2B1F">
              <w:t>85</w:t>
            </w:r>
          </w:p>
        </w:tc>
        <w:tc>
          <w:tcPr>
            <w:tcW w:w="1281" w:type="pct"/>
            <w:tcBorders>
              <w:top w:val="single" w:sz="4" w:space="0" w:color="A6A6A6" w:themeColor="background1" w:themeShade="A6"/>
              <w:bottom w:val="single" w:sz="4" w:space="0" w:color="A6A6A6" w:themeColor="background1" w:themeShade="A6"/>
            </w:tcBorders>
          </w:tcPr>
          <w:p w14:paraId="75ECBC14" w14:textId="1F298B1F" w:rsidR="00BB7D17" w:rsidRPr="00ED2B1F" w:rsidRDefault="00BB7D17" w:rsidP="00E96DD0">
            <w:pPr>
              <w:pStyle w:val="TableText"/>
              <w:tabs>
                <w:tab w:val="decimal" w:pos="1173"/>
              </w:tabs>
              <w:jc w:val="center"/>
            </w:pPr>
            <w:r w:rsidRPr="00ED2B1F">
              <w:t>11</w:t>
            </w:r>
            <w:r w:rsidR="0068625B" w:rsidRPr="00ED2B1F">
              <w:t>7</w:t>
            </w:r>
          </w:p>
        </w:tc>
      </w:tr>
      <w:tr w:rsidR="00BB7D17" w:rsidRPr="00ED2B1F" w14:paraId="4BF45843"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722C0410" w14:textId="77777777" w:rsidR="00BB7D17" w:rsidRPr="00ED2B1F" w:rsidRDefault="00BB7D17" w:rsidP="00E96DD0">
            <w:pPr>
              <w:pStyle w:val="TableText"/>
            </w:pPr>
            <w:r w:rsidRPr="00ED2B1F">
              <w:t>Southern</w:t>
            </w:r>
          </w:p>
        </w:tc>
        <w:tc>
          <w:tcPr>
            <w:tcW w:w="1280" w:type="pct"/>
            <w:tcBorders>
              <w:top w:val="single" w:sz="4" w:space="0" w:color="A6A6A6" w:themeColor="background1" w:themeShade="A6"/>
              <w:bottom w:val="single" w:sz="4" w:space="0" w:color="A6A6A6" w:themeColor="background1" w:themeShade="A6"/>
            </w:tcBorders>
          </w:tcPr>
          <w:p w14:paraId="1DA4BEF8" w14:textId="77777777" w:rsidR="00BB7D17" w:rsidRPr="00ED2B1F" w:rsidRDefault="00BB7D17" w:rsidP="00E96DD0">
            <w:pPr>
              <w:pStyle w:val="TableText"/>
              <w:tabs>
                <w:tab w:val="decimal" w:pos="1173"/>
              </w:tabs>
              <w:jc w:val="center"/>
            </w:pPr>
            <w:r w:rsidRPr="00ED2B1F">
              <w:t>9</w:t>
            </w:r>
          </w:p>
        </w:tc>
        <w:tc>
          <w:tcPr>
            <w:tcW w:w="1281" w:type="pct"/>
            <w:tcBorders>
              <w:top w:val="single" w:sz="4" w:space="0" w:color="A6A6A6" w:themeColor="background1" w:themeShade="A6"/>
              <w:bottom w:val="single" w:sz="4" w:space="0" w:color="A6A6A6" w:themeColor="background1" w:themeShade="A6"/>
            </w:tcBorders>
          </w:tcPr>
          <w:p w14:paraId="543EEBF6" w14:textId="3528EC78" w:rsidR="00BB7D17" w:rsidRPr="00ED2B1F" w:rsidRDefault="00C468A3" w:rsidP="00E96DD0">
            <w:pPr>
              <w:pStyle w:val="TableText"/>
              <w:tabs>
                <w:tab w:val="decimal" w:pos="1173"/>
              </w:tabs>
              <w:jc w:val="center"/>
            </w:pPr>
            <w:r w:rsidRPr="00ED2B1F">
              <w:t>17</w:t>
            </w:r>
          </w:p>
        </w:tc>
        <w:tc>
          <w:tcPr>
            <w:tcW w:w="1281" w:type="pct"/>
            <w:tcBorders>
              <w:top w:val="single" w:sz="4" w:space="0" w:color="A6A6A6" w:themeColor="background1" w:themeShade="A6"/>
              <w:bottom w:val="single" w:sz="4" w:space="0" w:color="A6A6A6" w:themeColor="background1" w:themeShade="A6"/>
            </w:tcBorders>
          </w:tcPr>
          <w:p w14:paraId="0CEF1B3B" w14:textId="3CF40172" w:rsidR="00BB7D17" w:rsidRPr="00ED2B1F" w:rsidRDefault="00BB7D17" w:rsidP="00E96DD0">
            <w:pPr>
              <w:pStyle w:val="TableText"/>
              <w:tabs>
                <w:tab w:val="decimal" w:pos="1173"/>
              </w:tabs>
              <w:jc w:val="center"/>
            </w:pPr>
            <w:r w:rsidRPr="00ED2B1F">
              <w:t>2</w:t>
            </w:r>
            <w:r w:rsidR="0068625B" w:rsidRPr="00ED2B1F">
              <w:t>6</w:t>
            </w:r>
          </w:p>
        </w:tc>
      </w:tr>
      <w:tr w:rsidR="00BB7D17" w:rsidRPr="00ED2B1F" w14:paraId="1B74F7D0" w14:textId="77777777" w:rsidTr="00E96DD0">
        <w:trPr>
          <w:cantSplit/>
          <w:trHeight w:val="300"/>
        </w:trPr>
        <w:tc>
          <w:tcPr>
            <w:tcW w:w="1158" w:type="pct"/>
            <w:tcBorders>
              <w:top w:val="single" w:sz="4" w:space="0" w:color="A6A6A6" w:themeColor="background1" w:themeShade="A6"/>
              <w:bottom w:val="single" w:sz="4" w:space="0" w:color="A6A6A6" w:themeColor="background1" w:themeShade="A6"/>
            </w:tcBorders>
          </w:tcPr>
          <w:p w14:paraId="77EAD429" w14:textId="77777777" w:rsidR="00BB7D17" w:rsidRPr="00ED2B1F" w:rsidRDefault="00BB7D17" w:rsidP="00E96DD0">
            <w:pPr>
              <w:pStyle w:val="TableText"/>
              <w:rPr>
                <w:b/>
                <w:bCs/>
              </w:rPr>
            </w:pPr>
            <w:r w:rsidRPr="00ED2B1F">
              <w:rPr>
                <w:b/>
                <w:bCs/>
              </w:rPr>
              <w:t>Nationally</w:t>
            </w:r>
          </w:p>
        </w:tc>
        <w:tc>
          <w:tcPr>
            <w:tcW w:w="1280" w:type="pct"/>
            <w:tcBorders>
              <w:top w:val="single" w:sz="4" w:space="0" w:color="A6A6A6" w:themeColor="background1" w:themeShade="A6"/>
              <w:bottom w:val="single" w:sz="4" w:space="0" w:color="A6A6A6" w:themeColor="background1" w:themeShade="A6"/>
            </w:tcBorders>
          </w:tcPr>
          <w:p w14:paraId="06DA1039" w14:textId="1D392901" w:rsidR="00BB7D17" w:rsidRPr="00ED2B1F" w:rsidRDefault="00AD591C" w:rsidP="00E96DD0">
            <w:pPr>
              <w:pStyle w:val="TableText"/>
              <w:tabs>
                <w:tab w:val="decimal" w:pos="1173"/>
              </w:tabs>
              <w:jc w:val="center"/>
              <w:rPr>
                <w:b/>
                <w:bCs/>
              </w:rPr>
            </w:pPr>
            <w:r>
              <w:rPr>
                <w:b/>
                <w:bCs/>
              </w:rPr>
              <w:t>186</w:t>
            </w:r>
          </w:p>
        </w:tc>
        <w:tc>
          <w:tcPr>
            <w:tcW w:w="1281" w:type="pct"/>
            <w:tcBorders>
              <w:top w:val="single" w:sz="4" w:space="0" w:color="A6A6A6" w:themeColor="background1" w:themeShade="A6"/>
              <w:bottom w:val="single" w:sz="4" w:space="0" w:color="A6A6A6" w:themeColor="background1" w:themeShade="A6"/>
            </w:tcBorders>
          </w:tcPr>
          <w:p w14:paraId="76AD20C3" w14:textId="34E6BA6B" w:rsidR="00BB7D17" w:rsidRPr="00ED2B1F" w:rsidRDefault="00AD591C" w:rsidP="00E96DD0">
            <w:pPr>
              <w:pStyle w:val="TableText"/>
              <w:tabs>
                <w:tab w:val="decimal" w:pos="1173"/>
              </w:tabs>
              <w:jc w:val="center"/>
              <w:rPr>
                <w:b/>
                <w:bCs/>
              </w:rPr>
            </w:pPr>
            <w:r>
              <w:rPr>
                <w:b/>
                <w:bCs/>
              </w:rPr>
              <w:t>308</w:t>
            </w:r>
          </w:p>
        </w:tc>
        <w:tc>
          <w:tcPr>
            <w:tcW w:w="1281" w:type="pct"/>
            <w:tcBorders>
              <w:top w:val="single" w:sz="4" w:space="0" w:color="A6A6A6" w:themeColor="background1" w:themeShade="A6"/>
              <w:bottom w:val="single" w:sz="4" w:space="0" w:color="A6A6A6" w:themeColor="background1" w:themeShade="A6"/>
            </w:tcBorders>
          </w:tcPr>
          <w:p w14:paraId="6ACED2AC" w14:textId="09641054" w:rsidR="00BB7D17" w:rsidRPr="00ED2B1F" w:rsidRDefault="00BB7D17" w:rsidP="00E96DD0">
            <w:pPr>
              <w:pStyle w:val="TableText"/>
              <w:tabs>
                <w:tab w:val="decimal" w:pos="1173"/>
              </w:tabs>
              <w:jc w:val="center"/>
              <w:rPr>
                <w:b/>
                <w:bCs/>
              </w:rPr>
            </w:pPr>
            <w:r w:rsidRPr="00ED2B1F">
              <w:rPr>
                <w:b/>
                <w:bCs/>
              </w:rPr>
              <w:t>4</w:t>
            </w:r>
            <w:r w:rsidR="00C468A3" w:rsidRPr="00ED2B1F">
              <w:rPr>
                <w:b/>
                <w:bCs/>
              </w:rPr>
              <w:t>73</w:t>
            </w:r>
          </w:p>
        </w:tc>
      </w:tr>
    </w:tbl>
    <w:p w14:paraId="7153AC9E" w14:textId="3F6A2DE5" w:rsidR="00BB7D17" w:rsidRPr="00CC2148" w:rsidRDefault="00BB7D17" w:rsidP="00CC2148">
      <w:pPr>
        <w:pStyle w:val="Note"/>
      </w:pPr>
      <w:r w:rsidRPr="00CC2148">
        <w:t>Notes: Special patients who receive treatment with more than one service are counted in each</w:t>
      </w:r>
      <w:r w:rsidR="00FC537A" w:rsidRPr="00CC2148">
        <w:t xml:space="preserve"> one</w:t>
      </w:r>
      <w:r w:rsidRPr="00CC2148">
        <w:t>, which is why the sum of patients in the five services is higher than the national total. A patient may be represented under both the EFC and SFC categories in this table. Court orders for a small number of special patients directed them to receive treatment outside a regional forensic service. This data is excluded to protect patient confidentiality.</w:t>
      </w:r>
    </w:p>
    <w:p w14:paraId="4ACF6AEE" w14:textId="1815D083" w:rsidR="008B7F99" w:rsidRPr="00CC2148" w:rsidRDefault="008B7F99" w:rsidP="00CC2148">
      <w:pPr>
        <w:pStyle w:val="Source"/>
      </w:pPr>
      <w:r w:rsidRPr="00CC2148">
        <w:t xml:space="preserve">Sources: PRIMHD data (extracted 10 June 2025) and manual data for Health New Zealand </w:t>
      </w:r>
      <w:r w:rsidR="000755AE" w:rsidRPr="00CC2148">
        <w:t xml:space="preserve">Capital &amp; Coast and </w:t>
      </w:r>
      <w:r w:rsidRPr="00CC2148">
        <w:t>Waikato.</w:t>
      </w:r>
    </w:p>
    <w:p w14:paraId="7CDE75C2" w14:textId="77777777" w:rsidR="00BB7D17" w:rsidRPr="00ED2B1F" w:rsidRDefault="00BB7D17" w:rsidP="00BB7D17"/>
    <w:p w14:paraId="7D587FD2" w14:textId="66C50423" w:rsidR="00BB7D17" w:rsidRPr="00ED2B1F" w:rsidRDefault="00BB7D17" w:rsidP="00C103C7">
      <w:pPr>
        <w:pStyle w:val="Figure"/>
      </w:pPr>
      <w:bookmarkStart w:id="342" w:name="_Ref65672426"/>
      <w:bookmarkStart w:id="343" w:name="_Ref189394011"/>
      <w:bookmarkStart w:id="344" w:name="_Toc63764783"/>
      <w:bookmarkStart w:id="345" w:name="_Toc75176498"/>
      <w:bookmarkStart w:id="346" w:name="_Toc85442590"/>
      <w:bookmarkStart w:id="347" w:name="_Toc85445939"/>
      <w:bookmarkStart w:id="348" w:name="_Toc87429983"/>
      <w:bookmarkStart w:id="349" w:name="_Toc88561415"/>
      <w:bookmarkStart w:id="350" w:name="_Toc115188875"/>
      <w:bookmarkStart w:id="351" w:name="_Toc142314718"/>
      <w:bookmarkStart w:id="352" w:name="_Toc145394300"/>
      <w:bookmarkStart w:id="353" w:name="_Toc189053975"/>
      <w:bookmarkStart w:id="354" w:name="_Toc224638203"/>
      <w:r w:rsidRPr="00ED2B1F">
        <w:t>Figure </w:t>
      </w:r>
      <w:r w:rsidR="004628B9">
        <w:fldChar w:fldCharType="begin"/>
      </w:r>
      <w:r w:rsidR="004628B9">
        <w:instrText xml:space="preserve"> SEQ Figure \* ARABIC </w:instrText>
      </w:r>
      <w:r w:rsidR="004628B9">
        <w:fldChar w:fldCharType="separate"/>
      </w:r>
      <w:r w:rsidR="00484E57">
        <w:rPr>
          <w:noProof/>
        </w:rPr>
        <w:t>31</w:t>
      </w:r>
      <w:r w:rsidR="004628B9">
        <w:fldChar w:fldCharType="end"/>
      </w:r>
      <w:bookmarkEnd w:id="342"/>
      <w:bookmarkEnd w:id="343"/>
      <w:r w:rsidRPr="00ED2B1F">
        <w:t xml:space="preserve">: Percentage of court orders given for extended and short-term forensic care, by regional service, </w:t>
      </w:r>
      <w:bookmarkEnd w:id="344"/>
      <w:bookmarkEnd w:id="345"/>
      <w:bookmarkEnd w:id="346"/>
      <w:bookmarkEnd w:id="347"/>
      <w:bookmarkEnd w:id="348"/>
      <w:bookmarkEnd w:id="349"/>
      <w:bookmarkEnd w:id="350"/>
      <w:bookmarkEnd w:id="351"/>
      <w:bookmarkEnd w:id="352"/>
      <w:bookmarkEnd w:id="353"/>
      <w:r w:rsidR="00211D17" w:rsidRPr="00ED2B1F">
        <w:t>1 July 2023 to 30 June 2024</w:t>
      </w:r>
      <w:bookmarkEnd w:id="354"/>
    </w:p>
    <w:p w14:paraId="472C8E4E" w14:textId="7DA1479D" w:rsidR="00BB7D17" w:rsidRPr="00ED2B1F" w:rsidRDefault="0062401C" w:rsidP="008B7F99">
      <w:r>
        <w:rPr>
          <w:noProof/>
        </w:rPr>
        <w:drawing>
          <wp:inline distT="0" distB="0" distL="0" distR="0" wp14:anchorId="7C377256" wp14:editId="3DED9804">
            <wp:extent cx="4786025" cy="2656115"/>
            <wp:effectExtent l="0" t="0" r="0" b="0"/>
            <wp:docPr id="591142764"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42764" name="Picture 32">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9148" cy="2657848"/>
                    </a:xfrm>
                    <a:prstGeom prst="rect">
                      <a:avLst/>
                    </a:prstGeom>
                    <a:noFill/>
                  </pic:spPr>
                </pic:pic>
              </a:graphicData>
            </a:graphic>
          </wp:inline>
        </w:drawing>
      </w:r>
    </w:p>
    <w:p w14:paraId="135C1949" w14:textId="77777777" w:rsidR="00BB7D17" w:rsidRPr="00ED2B1F" w:rsidRDefault="00BB7D17" w:rsidP="00BB7D17">
      <w:pPr>
        <w:pStyle w:val="Note"/>
      </w:pPr>
      <w:r w:rsidRPr="00ED2B1F">
        <w:t xml:space="preserve">Notes: Unlike previous data in this section, this figure is based on a count of court orders rather than the number of special patients. A single special patient may have many court orders in the year, which could include both EFC and SFC, but each special patient’s legal status is counted in only one category at any one time. Please use caution when comparing the counts of court orders for legal status with the counts of people with either EFC or SFC legal status. </w:t>
      </w:r>
    </w:p>
    <w:p w14:paraId="55097428" w14:textId="55F1712D" w:rsidR="008B7F99" w:rsidRPr="00ED2B1F" w:rsidRDefault="008B7F99" w:rsidP="008B7F99">
      <w:pPr>
        <w:pStyle w:val="Source"/>
      </w:pPr>
      <w:r w:rsidRPr="00ED2B1F">
        <w:t xml:space="preserve">Sources: PRIMHD data (extracted 10 June 2025) and manual data for Health New Zealand </w:t>
      </w:r>
      <w:r w:rsidR="00AC565D">
        <w:t xml:space="preserve">Capital &amp; Coast and </w:t>
      </w:r>
      <w:r w:rsidRPr="00ED2B1F">
        <w:t>Waikato.</w:t>
      </w:r>
    </w:p>
    <w:p w14:paraId="0C25160F" w14:textId="77777777" w:rsidR="004628B9" w:rsidRPr="00ED2B1F" w:rsidRDefault="004628B9" w:rsidP="004628B9"/>
    <w:p w14:paraId="38EAEEAD" w14:textId="77777777" w:rsidR="00BB7D17" w:rsidRPr="00ED2B1F" w:rsidRDefault="00BB7D17" w:rsidP="007A34A3">
      <w:pPr>
        <w:pStyle w:val="Heading2"/>
      </w:pPr>
      <w:bookmarkStart w:id="355" w:name="_Toc65141630"/>
      <w:bookmarkStart w:id="356" w:name="_Toc75176454"/>
      <w:bookmarkStart w:id="357" w:name="_Toc115188819"/>
      <w:bookmarkStart w:id="358" w:name="_Toc145394246"/>
      <w:bookmarkStart w:id="359" w:name="_Toc87429921"/>
      <w:bookmarkStart w:id="360" w:name="_Toc88826969"/>
      <w:bookmarkStart w:id="361" w:name="_Toc189053916"/>
      <w:bookmarkStart w:id="362" w:name="_Toc224638104"/>
      <w:r w:rsidRPr="00ED2B1F">
        <w:lastRenderedPageBreak/>
        <w:t>Gender, age and ethnicity of special patients</w:t>
      </w:r>
      <w:bookmarkEnd w:id="355"/>
      <w:bookmarkEnd w:id="356"/>
      <w:bookmarkEnd w:id="357"/>
      <w:bookmarkEnd w:id="358"/>
      <w:bookmarkEnd w:id="359"/>
      <w:bookmarkEnd w:id="360"/>
      <w:bookmarkEnd w:id="361"/>
      <w:bookmarkEnd w:id="362"/>
    </w:p>
    <w:p w14:paraId="27D32D7A" w14:textId="4A644AB7" w:rsidR="00BB7D17" w:rsidRPr="00ED2B1F" w:rsidRDefault="00BB7D17" w:rsidP="00BB7D17">
      <w:r w:rsidRPr="00ED2B1F">
        <w:t>Special patients were over six times more likely to be male (86.</w:t>
      </w:r>
      <w:r w:rsidR="00556A1A" w:rsidRPr="00ED2B1F">
        <w:t>0</w:t>
      </w:r>
      <w:r w:rsidRPr="00ED2B1F">
        <w:t>%) than female (1</w:t>
      </w:r>
      <w:r w:rsidR="00556A1A" w:rsidRPr="00ED2B1F">
        <w:t>4</w:t>
      </w:r>
      <w:r w:rsidRPr="00ED2B1F">
        <w:t>.</w:t>
      </w:r>
      <w:r w:rsidR="00556A1A" w:rsidRPr="00ED2B1F">
        <w:t>0</w:t>
      </w:r>
      <w:r w:rsidRPr="00ED2B1F">
        <w:t>%) (</w:t>
      </w:r>
      <w:r w:rsidR="00D0490E" w:rsidRPr="00ED2B1F">
        <w:t xml:space="preserve">demonstrated as numbers in </w:t>
      </w:r>
      <w:r w:rsidRPr="00ED2B1F">
        <w:fldChar w:fldCharType="begin"/>
      </w:r>
      <w:r w:rsidRPr="00ED2B1F">
        <w:instrText xml:space="preserve"> REF _Ref84315086 \h  \* MERGEFORMAT </w:instrText>
      </w:r>
      <w:r w:rsidRPr="00ED2B1F">
        <w:fldChar w:fldCharType="separate"/>
      </w:r>
      <w:r w:rsidR="00484E57" w:rsidRPr="00ED2B1F">
        <w:t>Figure </w:t>
      </w:r>
      <w:r w:rsidR="00484E57">
        <w:t>32</w:t>
      </w:r>
      <w:r w:rsidRPr="00ED2B1F">
        <w:fldChar w:fldCharType="end"/>
      </w:r>
      <w:r w:rsidRPr="00ED2B1F">
        <w:t xml:space="preserve">). The most common age group for special patients in </w:t>
      </w:r>
      <w:r w:rsidR="00211D17" w:rsidRPr="00ED2B1F">
        <w:t>2023/24</w:t>
      </w:r>
      <w:r w:rsidRPr="00ED2B1F">
        <w:t xml:space="preserve"> </w:t>
      </w:r>
      <w:r w:rsidR="00B27CC1" w:rsidRPr="00ED2B1F">
        <w:t>was 30</w:t>
      </w:r>
      <w:r w:rsidRPr="00ED2B1F">
        <w:t>–</w:t>
      </w:r>
      <w:r w:rsidR="00B27CC1" w:rsidRPr="00ED2B1F">
        <w:t>34</w:t>
      </w:r>
      <w:r w:rsidR="00FC537A" w:rsidRPr="00ED2B1F">
        <w:t xml:space="preserve"> years</w:t>
      </w:r>
      <w:r w:rsidR="00B27CC1" w:rsidRPr="00ED2B1F">
        <w:t xml:space="preserve"> </w:t>
      </w:r>
      <w:r w:rsidRPr="00ED2B1F">
        <w:t>(</w:t>
      </w:r>
      <w:r w:rsidRPr="00ED2B1F">
        <w:fldChar w:fldCharType="begin"/>
      </w:r>
      <w:r w:rsidRPr="00ED2B1F">
        <w:instrText xml:space="preserve"> REF _Ref88550576 \h  \* MERGEFORMAT </w:instrText>
      </w:r>
      <w:r w:rsidRPr="00ED2B1F">
        <w:fldChar w:fldCharType="separate"/>
      </w:r>
      <w:r w:rsidR="00484E57" w:rsidRPr="00ED2B1F">
        <w:t>Figure </w:t>
      </w:r>
      <w:r w:rsidR="00484E57">
        <w:t>33</w:t>
      </w:r>
      <w:r w:rsidRPr="00ED2B1F">
        <w:fldChar w:fldCharType="end"/>
      </w:r>
      <w:r w:rsidRPr="00ED2B1F">
        <w:t>).</w:t>
      </w:r>
    </w:p>
    <w:p w14:paraId="6B8477DC" w14:textId="77777777" w:rsidR="00BB7D17" w:rsidRPr="00ED2B1F" w:rsidRDefault="00BB7D17" w:rsidP="00BB7D17"/>
    <w:p w14:paraId="6557367B" w14:textId="6B47FCA4" w:rsidR="00BB7D17" w:rsidRPr="00ED2B1F" w:rsidRDefault="00BB7D17" w:rsidP="00C103C7">
      <w:pPr>
        <w:pStyle w:val="Figure"/>
      </w:pPr>
      <w:bookmarkStart w:id="363" w:name="_Ref84315086"/>
      <w:bookmarkStart w:id="364" w:name="_Ref84315078"/>
      <w:bookmarkStart w:id="365" w:name="_Toc85442591"/>
      <w:bookmarkStart w:id="366" w:name="_Toc85445940"/>
      <w:bookmarkStart w:id="367" w:name="_Toc87429984"/>
      <w:bookmarkStart w:id="368" w:name="_Toc88561416"/>
      <w:bookmarkStart w:id="369" w:name="_Toc115188876"/>
      <w:bookmarkStart w:id="370" w:name="_Toc142314719"/>
      <w:bookmarkStart w:id="371" w:name="_Toc145394301"/>
      <w:bookmarkStart w:id="372" w:name="_Toc189053976"/>
      <w:bookmarkStart w:id="373" w:name="_Toc224638204"/>
      <w:r w:rsidRPr="00ED2B1F">
        <w:t>Figure </w:t>
      </w:r>
      <w:r w:rsidRPr="00ED2B1F">
        <w:fldChar w:fldCharType="begin"/>
      </w:r>
      <w:r w:rsidRPr="00ED2B1F">
        <w:instrText>SEQ Figure \* ARABIC</w:instrText>
      </w:r>
      <w:r w:rsidRPr="00ED2B1F">
        <w:fldChar w:fldCharType="separate"/>
      </w:r>
      <w:r w:rsidR="00484E57">
        <w:rPr>
          <w:noProof/>
        </w:rPr>
        <w:t>32</w:t>
      </w:r>
      <w:r w:rsidRPr="00ED2B1F">
        <w:fldChar w:fldCharType="end"/>
      </w:r>
      <w:bookmarkEnd w:id="363"/>
      <w:r w:rsidRPr="00ED2B1F">
        <w:t xml:space="preserve">: Number of special patients, by gender, </w:t>
      </w:r>
      <w:bookmarkEnd w:id="364"/>
      <w:bookmarkEnd w:id="365"/>
      <w:bookmarkEnd w:id="366"/>
      <w:bookmarkEnd w:id="367"/>
      <w:bookmarkEnd w:id="368"/>
      <w:bookmarkEnd w:id="369"/>
      <w:bookmarkEnd w:id="370"/>
      <w:bookmarkEnd w:id="371"/>
      <w:bookmarkEnd w:id="372"/>
      <w:r w:rsidR="00211D17" w:rsidRPr="00ED2B1F">
        <w:t>1 July 2023 to 30 June 2024</w:t>
      </w:r>
      <w:bookmarkEnd w:id="373"/>
    </w:p>
    <w:p w14:paraId="514F59BF" w14:textId="512A264E" w:rsidR="00BB7D17" w:rsidRPr="00ED2B1F" w:rsidRDefault="0062401C" w:rsidP="00582901">
      <w:pPr>
        <w:rPr>
          <w:rFonts w:eastAsia="Arial Unicode MS"/>
        </w:rPr>
      </w:pPr>
      <w:r>
        <w:rPr>
          <w:rFonts w:eastAsia="Arial Unicode MS"/>
          <w:noProof/>
        </w:rPr>
        <w:drawing>
          <wp:inline distT="0" distB="0" distL="0" distR="0" wp14:anchorId="46D00126" wp14:editId="5EEDB93A">
            <wp:extent cx="3152140" cy="2468880"/>
            <wp:effectExtent l="0" t="0" r="0" b="7620"/>
            <wp:docPr id="90967509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5095" name="Picture 3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2140" cy="2468880"/>
                    </a:xfrm>
                    <a:prstGeom prst="rect">
                      <a:avLst/>
                    </a:prstGeom>
                    <a:noFill/>
                  </pic:spPr>
                </pic:pic>
              </a:graphicData>
            </a:graphic>
          </wp:inline>
        </w:drawing>
      </w:r>
    </w:p>
    <w:p w14:paraId="6C32CEAC" w14:textId="46DA8B34" w:rsidR="00BB7D17" w:rsidRPr="00ED2B1F" w:rsidRDefault="00582901" w:rsidP="00BB7D17">
      <w:pPr>
        <w:pStyle w:val="Source"/>
      </w:pPr>
      <w:r w:rsidRPr="00ED2B1F">
        <w:t xml:space="preserve">Sources: PRIMHD data (extracted 10 June 2025) and manual data for Health New Zealand </w:t>
      </w:r>
      <w:r w:rsidR="00E464D9">
        <w:t xml:space="preserve">Capital &amp; Coast and </w:t>
      </w:r>
      <w:r w:rsidRPr="00ED2B1F">
        <w:t>Waikato.</w:t>
      </w:r>
    </w:p>
    <w:p w14:paraId="2F551B0E" w14:textId="77777777" w:rsidR="00582901" w:rsidRPr="00ED2B1F" w:rsidRDefault="00582901" w:rsidP="006E2D52"/>
    <w:p w14:paraId="1AEF4509" w14:textId="06F01099" w:rsidR="00BB7D17" w:rsidRPr="00ED2B1F" w:rsidRDefault="00BB7D17" w:rsidP="00C103C7">
      <w:pPr>
        <w:pStyle w:val="Figure"/>
      </w:pPr>
      <w:bookmarkStart w:id="374" w:name="_Ref88550576"/>
      <w:bookmarkStart w:id="375" w:name="_Toc85442592"/>
      <w:bookmarkStart w:id="376" w:name="_Toc85445941"/>
      <w:bookmarkStart w:id="377" w:name="_Toc87429985"/>
      <w:bookmarkStart w:id="378" w:name="_Toc88561417"/>
      <w:bookmarkStart w:id="379" w:name="_Toc115188877"/>
      <w:bookmarkStart w:id="380" w:name="_Toc142314720"/>
      <w:bookmarkStart w:id="381" w:name="_Toc145394302"/>
      <w:bookmarkStart w:id="382" w:name="_Toc189053977"/>
      <w:bookmarkStart w:id="383" w:name="_Toc224638205"/>
      <w:r w:rsidRPr="00ED2B1F">
        <w:t>Figure </w:t>
      </w:r>
      <w:r w:rsidRPr="00ED2B1F">
        <w:fldChar w:fldCharType="begin"/>
      </w:r>
      <w:r w:rsidRPr="00ED2B1F">
        <w:instrText>SEQ Figure \* ARABIC</w:instrText>
      </w:r>
      <w:r w:rsidRPr="00ED2B1F">
        <w:fldChar w:fldCharType="separate"/>
      </w:r>
      <w:r w:rsidR="00484E57">
        <w:rPr>
          <w:noProof/>
        </w:rPr>
        <w:t>33</w:t>
      </w:r>
      <w:r w:rsidRPr="00ED2B1F">
        <w:fldChar w:fldCharType="end"/>
      </w:r>
      <w:bookmarkEnd w:id="374"/>
      <w:r w:rsidRPr="00ED2B1F">
        <w:t xml:space="preserve">: Total number of special patients, by age group, </w:t>
      </w:r>
      <w:bookmarkEnd w:id="375"/>
      <w:bookmarkEnd w:id="376"/>
      <w:bookmarkEnd w:id="377"/>
      <w:bookmarkEnd w:id="378"/>
      <w:bookmarkEnd w:id="379"/>
      <w:bookmarkEnd w:id="380"/>
      <w:bookmarkEnd w:id="381"/>
      <w:bookmarkEnd w:id="382"/>
      <w:r w:rsidR="00211D17" w:rsidRPr="00ED2B1F">
        <w:t>1 July 2023 to 30 June 2024</w:t>
      </w:r>
      <w:bookmarkEnd w:id="383"/>
    </w:p>
    <w:p w14:paraId="683834E5" w14:textId="24D08D42" w:rsidR="00BB7D17" w:rsidRPr="00ED2B1F" w:rsidRDefault="0062401C" w:rsidP="00720439">
      <w:r>
        <w:rPr>
          <w:noProof/>
        </w:rPr>
        <w:drawing>
          <wp:inline distT="0" distB="0" distL="0" distR="0" wp14:anchorId="53B681D7" wp14:editId="60E7D5DD">
            <wp:extent cx="4706620" cy="2889885"/>
            <wp:effectExtent l="0" t="0" r="0" b="5715"/>
            <wp:docPr id="161048710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87103" name="Picture 34">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6620" cy="2889885"/>
                    </a:xfrm>
                    <a:prstGeom prst="rect">
                      <a:avLst/>
                    </a:prstGeom>
                    <a:noFill/>
                  </pic:spPr>
                </pic:pic>
              </a:graphicData>
            </a:graphic>
          </wp:inline>
        </w:drawing>
      </w:r>
    </w:p>
    <w:p w14:paraId="4F523219" w14:textId="0326FB09" w:rsidR="00BB7D17" w:rsidRPr="00ED2B1F" w:rsidRDefault="00720439" w:rsidP="00BB7D17">
      <w:pPr>
        <w:pStyle w:val="Source"/>
      </w:pPr>
      <w:r w:rsidRPr="00ED2B1F">
        <w:t xml:space="preserve">Sources: PRIMHD data (extracted 10 June 2025) and manual data for Health New Zealand </w:t>
      </w:r>
      <w:r w:rsidR="00E464D9">
        <w:t xml:space="preserve">Capital &amp; Coast and </w:t>
      </w:r>
      <w:r w:rsidRPr="00ED2B1F">
        <w:t>Waikato.</w:t>
      </w:r>
    </w:p>
    <w:p w14:paraId="1F58BB0E" w14:textId="77777777" w:rsidR="00BB7D17" w:rsidRPr="00ED2B1F" w:rsidRDefault="00BB7D17" w:rsidP="00BB7D17"/>
    <w:p w14:paraId="2A0CD6FD" w14:textId="64D747F3" w:rsidR="00BB7D17" w:rsidRPr="00ED2B1F" w:rsidRDefault="00BB7D17" w:rsidP="00BB7D17">
      <w:r w:rsidRPr="00ED2B1F">
        <w:lastRenderedPageBreak/>
        <w:t>Among people subject to a special patient order, most (5</w:t>
      </w:r>
      <w:r w:rsidR="007B1CA6" w:rsidRPr="00ED2B1F">
        <w:t>2</w:t>
      </w:r>
      <w:r w:rsidRPr="00ED2B1F">
        <w:t>.4%) were Māori (</w:t>
      </w:r>
      <w:r w:rsidRPr="00ED2B1F">
        <w:fldChar w:fldCharType="begin"/>
      </w:r>
      <w:r w:rsidRPr="00ED2B1F">
        <w:instrText xml:space="preserve"> REF _Ref141109045 \h  \* MERGEFORMAT </w:instrText>
      </w:r>
      <w:r w:rsidRPr="00ED2B1F">
        <w:fldChar w:fldCharType="separate"/>
      </w:r>
      <w:r w:rsidR="00484E57" w:rsidRPr="00ED2B1F">
        <w:t>Figure </w:t>
      </w:r>
      <w:r w:rsidR="00484E57">
        <w:t>34</w:t>
      </w:r>
      <w:r w:rsidRPr="00ED2B1F">
        <w:fldChar w:fldCharType="end"/>
      </w:r>
      <w:r w:rsidRPr="00ED2B1F">
        <w:t>). Māori represented the highest proportion of both EFC (4</w:t>
      </w:r>
      <w:r w:rsidR="0030256D" w:rsidRPr="00ED2B1F">
        <w:t>4</w:t>
      </w:r>
      <w:r w:rsidRPr="00ED2B1F">
        <w:t>.</w:t>
      </w:r>
      <w:r w:rsidR="0030256D" w:rsidRPr="00ED2B1F">
        <w:t>1</w:t>
      </w:r>
      <w:r w:rsidRPr="00ED2B1F">
        <w:t>%) and SFC (57.</w:t>
      </w:r>
      <w:r w:rsidR="0030256D" w:rsidRPr="00ED2B1F">
        <w:t>8</w:t>
      </w:r>
      <w:r w:rsidRPr="00ED2B1F">
        <w:t xml:space="preserve">%) special patients. </w:t>
      </w:r>
    </w:p>
    <w:p w14:paraId="58B48FA3" w14:textId="21F74B4A" w:rsidR="00BB7D17" w:rsidRPr="00ED2B1F" w:rsidRDefault="00BB7D17" w:rsidP="00BB7D17"/>
    <w:p w14:paraId="21FB4A96" w14:textId="754799BC" w:rsidR="00BB7D17" w:rsidRPr="00ED2B1F" w:rsidRDefault="00BB7D17" w:rsidP="00C103C7">
      <w:pPr>
        <w:pStyle w:val="Figure"/>
      </w:pPr>
      <w:bookmarkStart w:id="384" w:name="_Ref141109045"/>
      <w:bookmarkStart w:id="385" w:name="_Toc142314721"/>
      <w:bookmarkStart w:id="386" w:name="_Toc145394303"/>
      <w:bookmarkStart w:id="387" w:name="_Toc189053978"/>
      <w:bookmarkStart w:id="388" w:name="_Toc224638206"/>
      <w:r w:rsidRPr="00ED2B1F">
        <w:t>Figure </w:t>
      </w:r>
      <w:r w:rsidRPr="00ED2B1F">
        <w:fldChar w:fldCharType="begin"/>
      </w:r>
      <w:r w:rsidRPr="00ED2B1F">
        <w:instrText>SEQ Figure \* ARABIC</w:instrText>
      </w:r>
      <w:r w:rsidRPr="00ED2B1F">
        <w:fldChar w:fldCharType="separate"/>
      </w:r>
      <w:r w:rsidR="00484E57">
        <w:rPr>
          <w:noProof/>
        </w:rPr>
        <w:t>34</w:t>
      </w:r>
      <w:r w:rsidRPr="00ED2B1F">
        <w:fldChar w:fldCharType="end"/>
      </w:r>
      <w:bookmarkEnd w:id="384"/>
      <w:r w:rsidRPr="00ED2B1F">
        <w:t xml:space="preserve">: Percentage (and number) of special patients, by ethnicity and special patient type, </w:t>
      </w:r>
      <w:bookmarkEnd w:id="385"/>
      <w:bookmarkEnd w:id="386"/>
      <w:bookmarkEnd w:id="387"/>
      <w:r w:rsidR="00211D17" w:rsidRPr="00ED2B1F">
        <w:t>1 July 2023 to 30 June 2024</w:t>
      </w:r>
      <w:bookmarkEnd w:id="388"/>
    </w:p>
    <w:p w14:paraId="4069130A" w14:textId="5FA28B94" w:rsidR="00BB7D17" w:rsidRPr="00ED2B1F" w:rsidRDefault="0062401C" w:rsidP="00BB7D17">
      <w:r>
        <w:rPr>
          <w:noProof/>
        </w:rPr>
        <w:drawing>
          <wp:inline distT="0" distB="0" distL="0" distR="0" wp14:anchorId="69FF1194" wp14:editId="3904596D">
            <wp:extent cx="5133340" cy="2682240"/>
            <wp:effectExtent l="0" t="0" r="0" b="3810"/>
            <wp:docPr id="11665200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0008" name="Picture 35">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3340" cy="2682240"/>
                    </a:xfrm>
                    <a:prstGeom prst="rect">
                      <a:avLst/>
                    </a:prstGeom>
                    <a:noFill/>
                  </pic:spPr>
                </pic:pic>
              </a:graphicData>
            </a:graphic>
          </wp:inline>
        </w:drawing>
      </w:r>
    </w:p>
    <w:p w14:paraId="1A0C4977" w14:textId="080A6DAD" w:rsidR="00BB7D17" w:rsidRPr="00ED2B1F" w:rsidRDefault="00BB7D17" w:rsidP="00CC2148">
      <w:pPr>
        <w:pStyle w:val="Note"/>
      </w:pPr>
      <w:r w:rsidRPr="00ED2B1F">
        <w:t xml:space="preserve">Notes: A single patient may be represented under both the EFC and SFC categories in this figure. Numbers in brackets are the number of special patients. </w:t>
      </w:r>
    </w:p>
    <w:p w14:paraId="646B241C" w14:textId="44C0B522" w:rsidR="00BB7D17" w:rsidRPr="00CC2148" w:rsidRDefault="00C5166F" w:rsidP="00CC2148">
      <w:pPr>
        <w:pStyle w:val="Source"/>
      </w:pPr>
      <w:r w:rsidRPr="00CC2148">
        <w:t xml:space="preserve">Sources: PRIMHD data (extracted 10 June 2025) and manual data for Health New Zealand </w:t>
      </w:r>
      <w:r w:rsidR="00521CD8" w:rsidRPr="00CC2148">
        <w:t xml:space="preserve">Capital &amp; Coast and </w:t>
      </w:r>
      <w:r w:rsidRPr="00CC2148">
        <w:t>Waikato.</w:t>
      </w:r>
    </w:p>
    <w:p w14:paraId="7D5523C1" w14:textId="77777777" w:rsidR="00BB7D17" w:rsidRPr="00ED2B1F" w:rsidRDefault="00BB7D17" w:rsidP="007A34A3">
      <w:pPr>
        <w:pStyle w:val="Heading2"/>
      </w:pPr>
      <w:bookmarkStart w:id="389" w:name="_Toc65141631"/>
      <w:bookmarkStart w:id="390" w:name="_Toc75176455"/>
      <w:bookmarkStart w:id="391" w:name="_Toc87429922"/>
      <w:bookmarkStart w:id="392" w:name="_Toc88826970"/>
      <w:bookmarkStart w:id="393" w:name="_Toc115188820"/>
      <w:bookmarkStart w:id="394" w:name="_Toc145394247"/>
      <w:bookmarkStart w:id="395" w:name="_Toc189053917"/>
      <w:bookmarkStart w:id="396" w:name="_Toc224638105"/>
      <w:r w:rsidRPr="00ED2B1F">
        <w:t>Decisions about leave and change of legal status for special and restricted patients</w:t>
      </w:r>
      <w:bookmarkEnd w:id="389"/>
      <w:bookmarkEnd w:id="390"/>
      <w:bookmarkEnd w:id="391"/>
      <w:bookmarkEnd w:id="392"/>
      <w:bookmarkEnd w:id="393"/>
      <w:bookmarkEnd w:id="394"/>
      <w:bookmarkEnd w:id="395"/>
      <w:bookmarkEnd w:id="396"/>
    </w:p>
    <w:p w14:paraId="46499E4C" w14:textId="255BC50D" w:rsidR="00BB7D17" w:rsidRPr="00ED2B1F" w:rsidRDefault="00BB7D17" w:rsidP="00BB7D17">
      <w:r w:rsidRPr="00ED2B1F">
        <w:t xml:space="preserve">The Director of Mental Health (the Director) has a central role in managing special patients and restricted patients throughout the continuum of care. The Director must be notified when special and restricted patients are admitted, discharged or transferred, and when certain incidents involving these people occur (section 43 of the Mental Health Act). The Director may authorise the transfer of patients between </w:t>
      </w:r>
      <w:r w:rsidR="00FE687A" w:rsidRPr="00ED2B1F">
        <w:t xml:space="preserve">hospitals and </w:t>
      </w:r>
      <w:r w:rsidRPr="00ED2B1F">
        <w:t>districts under section 49 of the Mental Health Act or grant leave for any period no longer than seven days for certain special and restricted patients (section 52A).</w:t>
      </w:r>
    </w:p>
    <w:p w14:paraId="114A94C4" w14:textId="77777777" w:rsidR="00BB7D17" w:rsidRPr="00ED2B1F" w:rsidRDefault="00BB7D17" w:rsidP="00BB7D17"/>
    <w:p w14:paraId="7539DDCB" w14:textId="77777777" w:rsidR="00BB7D17" w:rsidRPr="00ED2B1F" w:rsidRDefault="00BB7D17" w:rsidP="00BB7D17">
      <w:r w:rsidRPr="00ED2B1F">
        <w:t>Under section 50A of the Mental Health Act, the Minister of Health can grant periods of leave for longer than seven days to certain categories of special patients. The Director briefs the Minister of Health when requests for this type of leave are made. If the Minister grants the first application under section 50A, it is usually for a period of six months. Further applications for ministerial leave for a period of 12 months are possible.</w:t>
      </w:r>
    </w:p>
    <w:p w14:paraId="47FEB699" w14:textId="77777777" w:rsidR="00BB7D17" w:rsidRPr="00ED2B1F" w:rsidRDefault="00BB7D17" w:rsidP="00BB7D17"/>
    <w:p w14:paraId="11AFDD2F" w14:textId="1478A7FA" w:rsidR="00BB7D17" w:rsidRPr="00ED2B1F" w:rsidRDefault="00BB7D17" w:rsidP="00BB7D17">
      <w:r w:rsidRPr="00ED2B1F">
        <w:lastRenderedPageBreak/>
        <w:t>Where a special patient has been a</w:t>
      </w:r>
      <w:r w:rsidR="00C5166F" w:rsidRPr="00ED2B1F">
        <w:t>c</w:t>
      </w:r>
      <w:r w:rsidRPr="00ED2B1F">
        <w:t>quitted by reason of insanity, or the criminal act is proven but they are not criminally responsible on account of insanity,</w:t>
      </w:r>
      <w:r w:rsidRPr="00ED2B1F">
        <w:rPr>
          <w:rStyle w:val="FootnoteReference"/>
        </w:rPr>
        <w:footnoteReference w:id="24"/>
      </w:r>
      <w:r w:rsidRPr="00ED2B1F">
        <w:t xml:space="preserve"> they may be considered for a change of legal status if it is determined that their detention as a special patient is no longer necessary to safeguard their own or the public’s interests. This change in legal status will usually occur after the person has been living successfully in the community on ministerial long leave for several years. Forensic services apply to the Director for this change. After careful consideration, the Director makes a recommendation for the Minister of Health’s decision about a person’s legal status.</w:t>
      </w:r>
    </w:p>
    <w:p w14:paraId="0F8979C4" w14:textId="77777777" w:rsidR="005A437F" w:rsidRPr="00ED2B1F" w:rsidRDefault="005A437F" w:rsidP="00BB7D17"/>
    <w:p w14:paraId="21479C0F" w14:textId="0E96ED18" w:rsidR="005A437F" w:rsidRPr="00ED2B1F" w:rsidRDefault="008F102A" w:rsidP="00BB7D17">
      <w:r w:rsidRPr="00ED2B1F">
        <w:t>O</w:t>
      </w:r>
      <w:r w:rsidR="005A437F" w:rsidRPr="00ED2B1F">
        <w:t xml:space="preserve">n some occasions, a special patient who was found unfit to stand trial may </w:t>
      </w:r>
      <w:r w:rsidR="00BC6F9D" w:rsidRPr="00ED2B1F">
        <w:t xml:space="preserve">be certified by their responsible clinician to still be unfit to stand trial but no longer require detention as a special patient. </w:t>
      </w:r>
      <w:r w:rsidRPr="00ED2B1F">
        <w:t>An application is then made</w:t>
      </w:r>
      <w:r w:rsidR="00593F69" w:rsidRPr="00ED2B1F">
        <w:t xml:space="preserve"> under section 3</w:t>
      </w:r>
      <w:r w:rsidR="00BE0028" w:rsidRPr="00ED2B1F">
        <w:t>1</w:t>
      </w:r>
      <w:r w:rsidR="001A0F8F" w:rsidRPr="00ED2B1F">
        <w:t>(3)</w:t>
      </w:r>
      <w:r w:rsidR="00593F69" w:rsidRPr="00ED2B1F">
        <w:t xml:space="preserve"> of the Criminal Procedure (Mentally Impaired Persons) Act 2003</w:t>
      </w:r>
      <w:r w:rsidRPr="00ED2B1F">
        <w:t xml:space="preserve"> to the Minister of Health and the Attorney-General to</w:t>
      </w:r>
      <w:r w:rsidR="005E3F15" w:rsidRPr="00ED2B1F">
        <w:t xml:space="preserve"> consider</w:t>
      </w:r>
      <w:r w:rsidRPr="00ED2B1F">
        <w:t xml:space="preserve"> reclassify</w:t>
      </w:r>
      <w:r w:rsidR="005E3F15" w:rsidRPr="00ED2B1F">
        <w:t>ing</w:t>
      </w:r>
      <w:r w:rsidRPr="00ED2B1F">
        <w:t xml:space="preserve"> the</w:t>
      </w:r>
      <w:r w:rsidR="00D87AFF" w:rsidRPr="00ED2B1F">
        <w:t xml:space="preserve"> person</w:t>
      </w:r>
      <w:r w:rsidRPr="00ED2B1F">
        <w:t xml:space="preserve"> as a patient subject to a regular </w:t>
      </w:r>
      <w:r w:rsidR="00C344D6" w:rsidRPr="00ED2B1F">
        <w:t>CTO or</w:t>
      </w:r>
      <w:r w:rsidRPr="00ED2B1F">
        <w:t xml:space="preserve"> </w:t>
      </w:r>
      <w:r w:rsidR="00DA4698" w:rsidRPr="00ED2B1F">
        <w:t xml:space="preserve">be </w:t>
      </w:r>
      <w:r w:rsidR="00593F69" w:rsidRPr="00ED2B1F">
        <w:t>fully discharged from compulsory treatment.</w:t>
      </w:r>
    </w:p>
    <w:p w14:paraId="22C50022" w14:textId="77777777" w:rsidR="00BB7D17" w:rsidRPr="00ED2B1F" w:rsidRDefault="00BB7D17" w:rsidP="00BB7D17"/>
    <w:p w14:paraId="7AA2EAB2" w14:textId="0A9AD400" w:rsidR="00BB7D17" w:rsidRPr="00ED2B1F" w:rsidRDefault="00BB7D17" w:rsidP="00BB7D17">
      <w:r w:rsidRPr="00ED2B1F">
        <w:fldChar w:fldCharType="begin"/>
      </w:r>
      <w:r w:rsidRPr="00ED2B1F">
        <w:instrText xml:space="preserve"> REF _Ref85451994 \h  \* MERGEFORMAT </w:instrText>
      </w:r>
      <w:r w:rsidRPr="00ED2B1F">
        <w:fldChar w:fldCharType="separate"/>
      </w:r>
      <w:r w:rsidR="00484E57" w:rsidRPr="00ED2B1F">
        <w:t>Table </w:t>
      </w:r>
      <w:r w:rsidR="00484E57">
        <w:t>14</w:t>
      </w:r>
      <w:r w:rsidRPr="00ED2B1F">
        <w:fldChar w:fldCharType="end"/>
      </w:r>
      <w:r w:rsidRPr="00ED2B1F">
        <w:t xml:space="preserve"> shows the number of applications for granting section 50A long leave, revoking that leave and reclassifying a person’s legal status that the Office of the Director of Mental Health and Addiction Services processed through to the Minister of Health in </w:t>
      </w:r>
      <w:r w:rsidR="00211D17" w:rsidRPr="00ED2B1F">
        <w:t>2023/24</w:t>
      </w:r>
      <w:r w:rsidRPr="00ED2B1F">
        <w:t>.</w:t>
      </w:r>
    </w:p>
    <w:p w14:paraId="5712A067" w14:textId="77777777" w:rsidR="00BB7D17" w:rsidRPr="00ED2B1F" w:rsidRDefault="00BB7D17" w:rsidP="00BB7D17"/>
    <w:p w14:paraId="00A0856F" w14:textId="599BCA41" w:rsidR="00BB7D17" w:rsidRPr="00ED2B1F" w:rsidRDefault="00BB7D17" w:rsidP="00C103C7">
      <w:pPr>
        <w:pStyle w:val="Table"/>
      </w:pPr>
      <w:bookmarkStart w:id="397" w:name="_Ref85451994"/>
      <w:bookmarkStart w:id="398" w:name="_Toc87430011"/>
      <w:bookmarkStart w:id="399" w:name="_Toc88561368"/>
      <w:bookmarkStart w:id="400" w:name="_Toc115188903"/>
      <w:bookmarkStart w:id="401" w:name="_Toc142314764"/>
      <w:bookmarkStart w:id="402" w:name="_Toc145394327"/>
      <w:bookmarkStart w:id="403" w:name="_Toc189054005"/>
      <w:bookmarkStart w:id="404" w:name="_Toc224638234"/>
      <w:r w:rsidRPr="00ED2B1F">
        <w:t>Table </w:t>
      </w:r>
      <w:r w:rsidRPr="00ED2B1F">
        <w:fldChar w:fldCharType="begin"/>
      </w:r>
      <w:r w:rsidRPr="00ED2B1F">
        <w:instrText>SEQ Table \* ARABIC</w:instrText>
      </w:r>
      <w:r w:rsidRPr="00ED2B1F">
        <w:fldChar w:fldCharType="separate"/>
      </w:r>
      <w:r w:rsidR="00484E57">
        <w:rPr>
          <w:noProof/>
        </w:rPr>
        <w:t>14</w:t>
      </w:r>
      <w:r w:rsidRPr="00ED2B1F">
        <w:fldChar w:fldCharType="end"/>
      </w:r>
      <w:bookmarkEnd w:id="397"/>
      <w:r w:rsidRPr="00ED2B1F">
        <w:t xml:space="preserve">: Number of applications for granting section 50A long leave, revoking that leave and reclassifying legal status that the Minister of Health received for special and restricted patients, </w:t>
      </w:r>
      <w:bookmarkEnd w:id="398"/>
      <w:bookmarkEnd w:id="399"/>
      <w:bookmarkEnd w:id="400"/>
      <w:bookmarkEnd w:id="401"/>
      <w:bookmarkEnd w:id="402"/>
      <w:bookmarkEnd w:id="403"/>
      <w:r w:rsidR="00211D17" w:rsidRPr="00ED2B1F">
        <w:t>1 July 2023 to 30 June 2024</w:t>
      </w:r>
      <w:bookmarkEnd w:id="404"/>
    </w:p>
    <w:tbl>
      <w:tblPr>
        <w:tblW w:w="8023" w:type="dxa"/>
        <w:tblInd w:w="57" w:type="dxa"/>
        <w:tblLayout w:type="fixed"/>
        <w:tblCellMar>
          <w:left w:w="57" w:type="dxa"/>
          <w:right w:w="57" w:type="dxa"/>
        </w:tblCellMar>
        <w:tblLook w:val="01E0" w:firstRow="1" w:lastRow="1" w:firstColumn="1" w:lastColumn="1" w:noHBand="0" w:noVBand="0"/>
      </w:tblPr>
      <w:tblGrid>
        <w:gridCol w:w="5046"/>
        <w:gridCol w:w="2977"/>
      </w:tblGrid>
      <w:tr w:rsidR="00BB7D17" w:rsidRPr="00ED2B1F" w14:paraId="5D06B1A1" w14:textId="77777777" w:rsidTr="00CC2148">
        <w:trPr>
          <w:cantSplit/>
        </w:trPr>
        <w:tc>
          <w:tcPr>
            <w:tcW w:w="5046" w:type="dxa"/>
            <w:shd w:val="clear" w:color="auto" w:fill="D9D9D9" w:themeFill="background1" w:themeFillShade="D9"/>
          </w:tcPr>
          <w:p w14:paraId="292BAA06" w14:textId="77777777" w:rsidR="00BB7D17" w:rsidRPr="00CC2148" w:rsidRDefault="00BB7D17" w:rsidP="00E96DD0">
            <w:pPr>
              <w:pStyle w:val="TableText"/>
              <w:keepNext/>
              <w:rPr>
                <w:b/>
              </w:rPr>
            </w:pPr>
            <w:bookmarkStart w:id="405" w:name="_Hlk62740241"/>
            <w:r w:rsidRPr="00CC2148">
              <w:rPr>
                <w:b/>
              </w:rPr>
              <w:t>Type of request</w:t>
            </w:r>
          </w:p>
        </w:tc>
        <w:tc>
          <w:tcPr>
            <w:tcW w:w="2977" w:type="dxa"/>
            <w:shd w:val="clear" w:color="auto" w:fill="D9D9D9" w:themeFill="background1" w:themeFillShade="D9"/>
          </w:tcPr>
          <w:p w14:paraId="0B267297" w14:textId="77777777" w:rsidR="00BB7D17" w:rsidRPr="00CC2148" w:rsidRDefault="00BB7D17" w:rsidP="00E96DD0">
            <w:pPr>
              <w:pStyle w:val="TableText"/>
              <w:keepNext/>
              <w:jc w:val="center"/>
              <w:rPr>
                <w:b/>
              </w:rPr>
            </w:pPr>
            <w:r w:rsidRPr="00CC2148">
              <w:rPr>
                <w:b/>
              </w:rPr>
              <w:t>Number completed</w:t>
            </w:r>
          </w:p>
        </w:tc>
      </w:tr>
      <w:tr w:rsidR="00BB7D17" w:rsidRPr="00ED2B1F" w14:paraId="590AB0D3" w14:textId="77777777" w:rsidTr="00E96DD0">
        <w:trPr>
          <w:cantSplit/>
        </w:trPr>
        <w:tc>
          <w:tcPr>
            <w:tcW w:w="5046" w:type="dxa"/>
            <w:tcBorders>
              <w:bottom w:val="single" w:sz="4" w:space="0" w:color="A6A6A6" w:themeColor="background1" w:themeShade="A6"/>
            </w:tcBorders>
          </w:tcPr>
          <w:p w14:paraId="64D95A78" w14:textId="77777777" w:rsidR="00BB7D17" w:rsidRPr="00ED2B1F" w:rsidRDefault="00BB7D17" w:rsidP="00E96DD0">
            <w:pPr>
              <w:pStyle w:val="TableText"/>
              <w:keepNext/>
            </w:pPr>
            <w:r w:rsidRPr="00ED2B1F">
              <w:t>Initial ministerial section 50A leave applications approved</w:t>
            </w:r>
          </w:p>
        </w:tc>
        <w:tc>
          <w:tcPr>
            <w:tcW w:w="2977" w:type="dxa"/>
            <w:tcBorders>
              <w:bottom w:val="single" w:sz="4" w:space="0" w:color="A6A6A6" w:themeColor="background1" w:themeShade="A6"/>
            </w:tcBorders>
          </w:tcPr>
          <w:p w14:paraId="0170A230" w14:textId="26703314" w:rsidR="00BB7D17" w:rsidRPr="00ED2B1F" w:rsidRDefault="00E57009" w:rsidP="00E96DD0">
            <w:pPr>
              <w:pStyle w:val="TableText"/>
              <w:keepNext/>
              <w:tabs>
                <w:tab w:val="decimal" w:pos="1360"/>
              </w:tabs>
              <w:jc w:val="center"/>
            </w:pPr>
            <w:r w:rsidRPr="00ED2B1F">
              <w:t>4</w:t>
            </w:r>
          </w:p>
        </w:tc>
      </w:tr>
      <w:tr w:rsidR="00BB7D17" w:rsidRPr="00ED2B1F" w14:paraId="6114AC43"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A2E80FF" w14:textId="77777777" w:rsidR="00BB7D17" w:rsidRPr="00ED2B1F" w:rsidRDefault="00BB7D17" w:rsidP="00E96DD0">
            <w:pPr>
              <w:pStyle w:val="TableText"/>
              <w:keepNext/>
            </w:pPr>
            <w:r w:rsidRPr="00ED2B1F">
              <w:t>Initial ministerial section 50A leave applications not approved</w:t>
            </w:r>
          </w:p>
        </w:tc>
        <w:tc>
          <w:tcPr>
            <w:tcW w:w="2977" w:type="dxa"/>
            <w:tcBorders>
              <w:top w:val="single" w:sz="4" w:space="0" w:color="A6A6A6" w:themeColor="background1" w:themeShade="A6"/>
              <w:bottom w:val="single" w:sz="4" w:space="0" w:color="A6A6A6" w:themeColor="background1" w:themeShade="A6"/>
            </w:tcBorders>
          </w:tcPr>
          <w:p w14:paraId="35177C9F" w14:textId="77777777" w:rsidR="00BB7D17" w:rsidRPr="00ED2B1F" w:rsidRDefault="00BB7D17" w:rsidP="00E96DD0">
            <w:pPr>
              <w:pStyle w:val="TableText"/>
              <w:keepNext/>
              <w:tabs>
                <w:tab w:val="decimal" w:pos="1360"/>
              </w:tabs>
              <w:jc w:val="center"/>
            </w:pPr>
            <w:r w:rsidRPr="00ED2B1F">
              <w:t>0</w:t>
            </w:r>
          </w:p>
        </w:tc>
      </w:tr>
      <w:tr w:rsidR="00BB7D17" w:rsidRPr="00ED2B1F" w14:paraId="53736797"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712171A2" w14:textId="77777777" w:rsidR="00BB7D17" w:rsidRPr="00ED2B1F" w:rsidRDefault="00BB7D17" w:rsidP="00E96DD0">
            <w:pPr>
              <w:pStyle w:val="TableText"/>
              <w:keepNext/>
            </w:pPr>
            <w:r w:rsidRPr="00ED2B1F">
              <w:t>Ministerial section 50A leave revocations (initial and further)</w:t>
            </w:r>
          </w:p>
        </w:tc>
        <w:tc>
          <w:tcPr>
            <w:tcW w:w="2977" w:type="dxa"/>
            <w:tcBorders>
              <w:top w:val="single" w:sz="4" w:space="0" w:color="A6A6A6" w:themeColor="background1" w:themeShade="A6"/>
              <w:bottom w:val="single" w:sz="4" w:space="0" w:color="A6A6A6" w:themeColor="background1" w:themeShade="A6"/>
            </w:tcBorders>
          </w:tcPr>
          <w:p w14:paraId="2B115840" w14:textId="3B02CD64" w:rsidR="00BB7D17" w:rsidRPr="00ED2B1F" w:rsidRDefault="00555520" w:rsidP="00E96DD0">
            <w:pPr>
              <w:pStyle w:val="TableText"/>
              <w:keepNext/>
              <w:tabs>
                <w:tab w:val="decimal" w:pos="1360"/>
              </w:tabs>
              <w:jc w:val="center"/>
            </w:pPr>
            <w:r w:rsidRPr="00ED2B1F">
              <w:t>3</w:t>
            </w:r>
          </w:p>
        </w:tc>
      </w:tr>
      <w:tr w:rsidR="00BB7D17" w:rsidRPr="00ED2B1F" w14:paraId="1186FCFF"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D59EB9E" w14:textId="77777777" w:rsidR="00BB7D17" w:rsidRPr="00ED2B1F" w:rsidRDefault="00BB7D17" w:rsidP="00E96DD0">
            <w:pPr>
              <w:pStyle w:val="TableText"/>
              <w:keepNext/>
            </w:pPr>
            <w:r w:rsidRPr="00ED2B1F">
              <w:t>Further ministerial section 50A leave applications approved</w:t>
            </w:r>
          </w:p>
        </w:tc>
        <w:tc>
          <w:tcPr>
            <w:tcW w:w="2977" w:type="dxa"/>
            <w:tcBorders>
              <w:top w:val="single" w:sz="4" w:space="0" w:color="A6A6A6" w:themeColor="background1" w:themeShade="A6"/>
              <w:bottom w:val="single" w:sz="4" w:space="0" w:color="A6A6A6" w:themeColor="background1" w:themeShade="A6"/>
            </w:tcBorders>
          </w:tcPr>
          <w:p w14:paraId="4DB0C51E" w14:textId="77777777" w:rsidR="00BB7D17" w:rsidRPr="00ED2B1F" w:rsidRDefault="00BB7D17" w:rsidP="00E96DD0">
            <w:pPr>
              <w:pStyle w:val="TableText"/>
              <w:keepNext/>
              <w:tabs>
                <w:tab w:val="decimal" w:pos="1360"/>
              </w:tabs>
              <w:jc w:val="center"/>
            </w:pPr>
            <w:r w:rsidRPr="00ED2B1F">
              <w:t>21</w:t>
            </w:r>
          </w:p>
        </w:tc>
      </w:tr>
      <w:tr w:rsidR="00BB7D17" w:rsidRPr="00ED2B1F" w14:paraId="66CEF867"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02A48819" w14:textId="77777777" w:rsidR="00BB7D17" w:rsidRPr="00ED2B1F" w:rsidRDefault="00BB7D17" w:rsidP="00E96DD0">
            <w:pPr>
              <w:pStyle w:val="TableText"/>
              <w:keepNext/>
            </w:pPr>
            <w:r w:rsidRPr="00ED2B1F">
              <w:t>Further ministerial section 50A applications not approved</w:t>
            </w:r>
          </w:p>
        </w:tc>
        <w:tc>
          <w:tcPr>
            <w:tcW w:w="2977" w:type="dxa"/>
            <w:tcBorders>
              <w:top w:val="single" w:sz="4" w:space="0" w:color="A6A6A6" w:themeColor="background1" w:themeShade="A6"/>
              <w:bottom w:val="single" w:sz="4" w:space="0" w:color="A6A6A6" w:themeColor="background1" w:themeShade="A6"/>
            </w:tcBorders>
          </w:tcPr>
          <w:p w14:paraId="7D05E92A" w14:textId="77777777" w:rsidR="00BB7D17" w:rsidRPr="00ED2B1F" w:rsidRDefault="00BB7D17" w:rsidP="00E96DD0">
            <w:pPr>
              <w:pStyle w:val="TableText"/>
              <w:keepNext/>
              <w:tabs>
                <w:tab w:val="decimal" w:pos="1360"/>
              </w:tabs>
              <w:jc w:val="center"/>
            </w:pPr>
            <w:r w:rsidRPr="00ED2B1F">
              <w:t>0</w:t>
            </w:r>
          </w:p>
        </w:tc>
      </w:tr>
      <w:tr w:rsidR="00BB7D17" w:rsidRPr="00ED2B1F" w14:paraId="59604FD5"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2D1C79D6" w14:textId="77777777" w:rsidR="00BB7D17" w:rsidRPr="00ED2B1F" w:rsidRDefault="00BB7D17" w:rsidP="00E96DD0">
            <w:pPr>
              <w:pStyle w:val="TableText"/>
              <w:keepNext/>
            </w:pPr>
            <w:r w:rsidRPr="00ED2B1F">
              <w:t>Change of legal status applications approved</w:t>
            </w:r>
          </w:p>
        </w:tc>
        <w:tc>
          <w:tcPr>
            <w:tcW w:w="2977" w:type="dxa"/>
            <w:tcBorders>
              <w:top w:val="single" w:sz="4" w:space="0" w:color="A6A6A6" w:themeColor="background1" w:themeShade="A6"/>
              <w:bottom w:val="single" w:sz="4" w:space="0" w:color="A6A6A6" w:themeColor="background1" w:themeShade="A6"/>
            </w:tcBorders>
          </w:tcPr>
          <w:p w14:paraId="387AC83B" w14:textId="27FBAF6F" w:rsidR="00BB7D17" w:rsidRPr="00ED2B1F" w:rsidRDefault="00555520" w:rsidP="00E96DD0">
            <w:pPr>
              <w:pStyle w:val="TableText"/>
              <w:keepNext/>
              <w:tabs>
                <w:tab w:val="decimal" w:pos="1360"/>
              </w:tabs>
              <w:jc w:val="center"/>
            </w:pPr>
            <w:r w:rsidRPr="00ED2B1F">
              <w:t>3</w:t>
            </w:r>
          </w:p>
        </w:tc>
      </w:tr>
      <w:tr w:rsidR="00BB7D17" w:rsidRPr="00ED2B1F" w14:paraId="17F0306C"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5EE37465" w14:textId="77777777" w:rsidR="00BB7D17" w:rsidRPr="00ED2B1F" w:rsidRDefault="00BB7D17" w:rsidP="00E96DD0">
            <w:pPr>
              <w:pStyle w:val="TableText"/>
              <w:keepNext/>
            </w:pPr>
            <w:r w:rsidRPr="00ED2B1F">
              <w:t>Change of legal status applications not approved</w:t>
            </w:r>
          </w:p>
        </w:tc>
        <w:tc>
          <w:tcPr>
            <w:tcW w:w="2977" w:type="dxa"/>
            <w:tcBorders>
              <w:top w:val="single" w:sz="4" w:space="0" w:color="A6A6A6" w:themeColor="background1" w:themeShade="A6"/>
              <w:bottom w:val="single" w:sz="4" w:space="0" w:color="A6A6A6" w:themeColor="background1" w:themeShade="A6"/>
            </w:tcBorders>
          </w:tcPr>
          <w:p w14:paraId="56F5349C" w14:textId="77777777" w:rsidR="00BB7D17" w:rsidRPr="00ED2B1F" w:rsidRDefault="00BB7D17" w:rsidP="00E96DD0">
            <w:pPr>
              <w:pStyle w:val="TableText"/>
              <w:keepNext/>
              <w:tabs>
                <w:tab w:val="decimal" w:pos="1360"/>
              </w:tabs>
              <w:jc w:val="center"/>
            </w:pPr>
            <w:r w:rsidRPr="00ED2B1F">
              <w:t>1</w:t>
            </w:r>
          </w:p>
        </w:tc>
      </w:tr>
      <w:tr w:rsidR="00BB7D17" w:rsidRPr="00ED2B1F" w14:paraId="43EC0C9F" w14:textId="77777777" w:rsidTr="00E96DD0">
        <w:trPr>
          <w:cantSplit/>
        </w:trPr>
        <w:tc>
          <w:tcPr>
            <w:tcW w:w="5046" w:type="dxa"/>
            <w:tcBorders>
              <w:top w:val="single" w:sz="4" w:space="0" w:color="A6A6A6" w:themeColor="background1" w:themeShade="A6"/>
              <w:bottom w:val="single" w:sz="4" w:space="0" w:color="A6A6A6" w:themeColor="background1" w:themeShade="A6"/>
            </w:tcBorders>
          </w:tcPr>
          <w:p w14:paraId="747E5A5A" w14:textId="77777777" w:rsidR="00BB7D17" w:rsidRPr="00ED2B1F" w:rsidRDefault="00BB7D17" w:rsidP="00E96DD0">
            <w:pPr>
              <w:pStyle w:val="TableText"/>
              <w:keepNext/>
              <w:rPr>
                <w:b/>
              </w:rPr>
            </w:pPr>
            <w:r w:rsidRPr="00ED2B1F">
              <w:rPr>
                <w:b/>
              </w:rPr>
              <w:t>Total applications completed</w:t>
            </w:r>
          </w:p>
        </w:tc>
        <w:tc>
          <w:tcPr>
            <w:tcW w:w="2977" w:type="dxa"/>
            <w:tcBorders>
              <w:top w:val="single" w:sz="4" w:space="0" w:color="A6A6A6" w:themeColor="background1" w:themeShade="A6"/>
              <w:bottom w:val="single" w:sz="4" w:space="0" w:color="A6A6A6" w:themeColor="background1" w:themeShade="A6"/>
            </w:tcBorders>
          </w:tcPr>
          <w:p w14:paraId="2E5D1499" w14:textId="02BE9B41" w:rsidR="00BB7D17" w:rsidRPr="00ED2B1F" w:rsidRDefault="00BB7D17" w:rsidP="00E96DD0">
            <w:pPr>
              <w:pStyle w:val="TableText"/>
              <w:keepNext/>
              <w:tabs>
                <w:tab w:val="decimal" w:pos="1360"/>
              </w:tabs>
              <w:jc w:val="center"/>
              <w:rPr>
                <w:b/>
              </w:rPr>
            </w:pPr>
            <w:r w:rsidRPr="00ED2B1F">
              <w:rPr>
                <w:b/>
              </w:rPr>
              <w:t>3</w:t>
            </w:r>
            <w:r w:rsidR="00555520" w:rsidRPr="00ED2B1F">
              <w:rPr>
                <w:b/>
              </w:rPr>
              <w:t>2</w:t>
            </w:r>
          </w:p>
        </w:tc>
      </w:tr>
    </w:tbl>
    <w:bookmarkEnd w:id="405"/>
    <w:p w14:paraId="51ACFDD6" w14:textId="75966C31" w:rsidR="00BB7D17" w:rsidRPr="00CC2148" w:rsidRDefault="00BB7D17" w:rsidP="00CC2148">
      <w:pPr>
        <w:pStyle w:val="Note"/>
      </w:pPr>
      <w:r w:rsidRPr="00CC2148">
        <w:t>Notes: This table does not include applications that were withdrawn before the Minister of Health received them and applications for adjustments to be made to section 50</w:t>
      </w:r>
      <w:r w:rsidR="006E10B0" w:rsidRPr="00CC2148">
        <w:t xml:space="preserve">A </w:t>
      </w:r>
      <w:r w:rsidRPr="00CC2148">
        <w:t xml:space="preserve">leave conditions for a special patient. </w:t>
      </w:r>
    </w:p>
    <w:p w14:paraId="7492DEEB" w14:textId="4D43CBBB" w:rsidR="00BB7D17" w:rsidRPr="00ED2B1F" w:rsidRDefault="00BB7D17" w:rsidP="00CC2148">
      <w:pPr>
        <w:pStyle w:val="Source"/>
      </w:pPr>
      <w:r w:rsidRPr="00ED2B1F">
        <w:t>Source: Office of the Director of Mental Health and Addiction Services records.</w:t>
      </w:r>
    </w:p>
    <w:p w14:paraId="4902FA64" w14:textId="77777777" w:rsidR="00BB7D17" w:rsidRPr="00ED2B1F" w:rsidRDefault="00BB7D17" w:rsidP="00CC2148">
      <w:pPr>
        <w:pStyle w:val="Source"/>
        <w:sectPr w:rsidR="00BB7D17" w:rsidRPr="00ED2B1F" w:rsidSect="00D4159A">
          <w:pgSz w:w="11907" w:h="16834" w:code="9"/>
          <w:pgMar w:top="1418" w:right="1701" w:bottom="1134" w:left="1843" w:header="284" w:footer="425" w:gutter="284"/>
          <w:cols w:space="720"/>
        </w:sectPr>
      </w:pPr>
    </w:p>
    <w:p w14:paraId="4D644E69" w14:textId="77777777" w:rsidR="00BB7D17" w:rsidRPr="00ED2B1F" w:rsidRDefault="00BB7D17" w:rsidP="00BB7D17">
      <w:pPr>
        <w:pStyle w:val="Heading1"/>
        <w:spacing w:before="0"/>
      </w:pPr>
      <w:bookmarkStart w:id="406" w:name="_Toc65141632"/>
      <w:bookmarkStart w:id="407" w:name="_Toc75176456"/>
      <w:bookmarkStart w:id="408" w:name="_Toc87429923"/>
      <w:bookmarkStart w:id="409" w:name="_Toc88826971"/>
      <w:bookmarkStart w:id="410" w:name="_Toc115188821"/>
      <w:bookmarkStart w:id="411" w:name="_Toc145394248"/>
      <w:bookmarkStart w:id="412" w:name="_Toc189053918"/>
      <w:bookmarkStart w:id="413" w:name="_Toc224638106"/>
      <w:r w:rsidRPr="00ED2B1F">
        <w:lastRenderedPageBreak/>
        <w:t>Mental health and addiction adverse event reporting</w:t>
      </w:r>
      <w:bookmarkEnd w:id="406"/>
      <w:bookmarkEnd w:id="407"/>
      <w:bookmarkEnd w:id="408"/>
      <w:bookmarkEnd w:id="409"/>
      <w:bookmarkEnd w:id="410"/>
      <w:bookmarkEnd w:id="411"/>
      <w:bookmarkEnd w:id="412"/>
      <w:bookmarkEnd w:id="413"/>
    </w:p>
    <w:p w14:paraId="342CC9B0" w14:textId="66B0955B" w:rsidR="00BB7D17" w:rsidRPr="00ED2B1F" w:rsidRDefault="00BB7D17" w:rsidP="00BB7D17">
      <w:r w:rsidRPr="00ED2B1F">
        <w:t>New Zealand has two major national reporting mechanisms for adverse events relating to mental health.</w:t>
      </w:r>
      <w:r w:rsidRPr="00ED2B1F">
        <w:rPr>
          <w:rStyle w:val="FootnoteReference"/>
        </w:rPr>
        <w:footnoteReference w:id="25"/>
      </w:r>
    </w:p>
    <w:p w14:paraId="354237E2" w14:textId="77777777" w:rsidR="00BB7D17" w:rsidRPr="00ED2B1F" w:rsidRDefault="00BB7D17" w:rsidP="00BB7D17">
      <w:pPr>
        <w:pStyle w:val="ListNumber"/>
        <w:spacing w:before="90"/>
        <w:ind w:left="357" w:hanging="357"/>
        <w:contextualSpacing w:val="0"/>
      </w:pPr>
      <w:r w:rsidRPr="00ED2B1F">
        <w:t>Health New Zealand districts notify the Director of Mental Health of the death of any person or special patient under the Mental Health Act.</w:t>
      </w:r>
    </w:p>
    <w:p w14:paraId="275BB42E" w14:textId="10406960" w:rsidR="00BB7D17" w:rsidRPr="00ED2B1F" w:rsidRDefault="00BB7D17" w:rsidP="00BB7D17">
      <w:pPr>
        <w:pStyle w:val="ListNumber"/>
        <w:spacing w:before="90"/>
        <w:ind w:left="357" w:hanging="357"/>
        <w:contextualSpacing w:val="0"/>
      </w:pPr>
      <w:r w:rsidRPr="00ED2B1F">
        <w:t>Districts report all adverse events rated Severity Assessment Code (SAC)</w:t>
      </w:r>
      <w:r w:rsidRPr="00ED2B1F">
        <w:rPr>
          <w:rStyle w:val="FootnoteReference"/>
          <w14:ligatures w14:val="none"/>
        </w:rPr>
        <w:footnoteReference w:id="26"/>
      </w:r>
      <w:r w:rsidRPr="00ED2B1F">
        <w:rPr>
          <w:rStyle w:val="FootnoteReference"/>
          <w14:ligatures w14:val="none"/>
        </w:rPr>
        <w:t xml:space="preserve"> </w:t>
      </w:r>
      <w:r w:rsidRPr="00ED2B1F">
        <w:t xml:space="preserve">1 or 2 to </w:t>
      </w:r>
      <w:r w:rsidR="00C126BD" w:rsidRPr="00ED2B1F">
        <w:t xml:space="preserve">the </w:t>
      </w:r>
      <w:r w:rsidRPr="00ED2B1F">
        <w:t>Health Quality &amp; Safety Commission in line with the National Adverse Events Reporting Policy.</w:t>
      </w:r>
      <w:r w:rsidRPr="00ED2B1F">
        <w:rPr>
          <w:rStyle w:val="FootnoteReference"/>
          <w14:ligatures w14:val="none"/>
        </w:rPr>
        <w:footnoteReference w:id="27"/>
      </w:r>
      <w:r w:rsidRPr="00ED2B1F">
        <w:rPr>
          <w14:ligatures w14:val="none"/>
        </w:rPr>
        <w:t xml:space="preserve"> </w:t>
      </w:r>
      <w:r w:rsidRPr="00ED2B1F">
        <w:t xml:space="preserve">At the time the data reported here was collected, mental health services not funded by districts were encouraged but not required to report adverse events to </w:t>
      </w:r>
      <w:r w:rsidR="002C05FA" w:rsidRPr="00ED2B1F">
        <w:t xml:space="preserve">the </w:t>
      </w:r>
      <w:r w:rsidR="002C05FA" w:rsidRPr="00ED2B1F">
        <w:rPr>
          <w:spacing w:val="-3"/>
        </w:rPr>
        <w:t>Health Quality</w:t>
      </w:r>
      <w:r w:rsidR="001F3A8F" w:rsidRPr="00ED2B1F">
        <w:rPr>
          <w:spacing w:val="-3"/>
        </w:rPr>
        <w:t xml:space="preserve"> </w:t>
      </w:r>
      <w:r w:rsidR="002C05FA" w:rsidRPr="00ED2B1F">
        <w:rPr>
          <w:spacing w:val="-3"/>
        </w:rPr>
        <w:t>&amp; Safety Commission</w:t>
      </w:r>
      <w:r w:rsidRPr="00ED2B1F">
        <w:t xml:space="preserve">. </w:t>
      </w:r>
    </w:p>
    <w:p w14:paraId="041C1AD6" w14:textId="77777777" w:rsidR="00BB7D17" w:rsidRPr="00ED2B1F" w:rsidRDefault="00BB7D17" w:rsidP="00BB7D17"/>
    <w:p w14:paraId="453E3A37" w14:textId="7A9FC34D" w:rsidR="00BB7D17" w:rsidRPr="00ED2B1F" w:rsidRDefault="00BB7D17" w:rsidP="00BB7D17">
      <w:r w:rsidRPr="00ED2B1F">
        <w:t>Public reporting of a</w:t>
      </w:r>
      <w:r w:rsidRPr="00ED2B1F">
        <w:rPr>
          <w:spacing w:val="-2"/>
        </w:rPr>
        <w:t xml:space="preserve">dverse events </w:t>
      </w:r>
      <w:r w:rsidRPr="00ED2B1F">
        <w:t xml:space="preserve">began in </w:t>
      </w:r>
      <w:r w:rsidRPr="00ED2B1F">
        <w:rPr>
          <w:spacing w:val="-2"/>
        </w:rPr>
        <w:t xml:space="preserve">2006. </w:t>
      </w:r>
      <w:r w:rsidRPr="00ED2B1F">
        <w:t xml:space="preserve">Since </w:t>
      </w:r>
      <w:r w:rsidRPr="00ED2B1F">
        <w:rPr>
          <w:spacing w:val="-2"/>
        </w:rPr>
        <w:t xml:space="preserve">then, the number of </w:t>
      </w:r>
      <w:r w:rsidRPr="00ED2B1F">
        <w:t xml:space="preserve">reported </w:t>
      </w:r>
      <w:r w:rsidRPr="00ED2B1F">
        <w:rPr>
          <w:spacing w:val="-2"/>
        </w:rPr>
        <w:t>adverse events has increased each year.</w:t>
      </w:r>
    </w:p>
    <w:p w14:paraId="7F4C2BD7" w14:textId="77777777" w:rsidR="00BB7D17" w:rsidRPr="00ED2B1F" w:rsidRDefault="00BB7D17" w:rsidP="00BB7D17">
      <w:pPr>
        <w:rPr>
          <w:spacing w:val="-2"/>
        </w:rPr>
      </w:pPr>
    </w:p>
    <w:p w14:paraId="283ACB79" w14:textId="7DF065CB" w:rsidR="00BB7D17" w:rsidRPr="00ED2B1F" w:rsidRDefault="00BB7D17" w:rsidP="00BB7D17">
      <w:r w:rsidRPr="00ED2B1F">
        <w:t xml:space="preserve">To provide timely access to adverse events data on mental health and addiction services, </w:t>
      </w:r>
      <w:r w:rsidR="001F3A8F" w:rsidRPr="00ED2B1F">
        <w:t xml:space="preserve">the </w:t>
      </w:r>
      <w:r w:rsidR="001F3A8F" w:rsidRPr="00ED2B1F">
        <w:rPr>
          <w:spacing w:val="-3"/>
        </w:rPr>
        <w:t>Health Quality &amp; Safety Commission</w:t>
      </w:r>
      <w:r w:rsidRPr="00ED2B1F">
        <w:t xml:space="preserve"> publishes the </w:t>
      </w:r>
      <w:hyperlink r:id="rId70" w:history="1">
        <w:r w:rsidRPr="00ED2B1F">
          <w:rPr>
            <w:rStyle w:val="Hyperlink"/>
          </w:rPr>
          <w:t>national quarterly dashboard</w:t>
        </w:r>
      </w:hyperlink>
      <w:r w:rsidRPr="00ED2B1F">
        <w:t xml:space="preserve"> online. In publishing providers’ reported adverse events, </w:t>
      </w:r>
      <w:r w:rsidR="001F3A8F" w:rsidRPr="00ED2B1F">
        <w:t>it</w:t>
      </w:r>
      <w:r w:rsidRPr="00ED2B1F">
        <w:t xml:space="preserve"> aims to make harm visible and transparent. </w:t>
      </w:r>
    </w:p>
    <w:p w14:paraId="729C97E0" w14:textId="77777777" w:rsidR="00BB7D17" w:rsidRPr="00ED2B1F" w:rsidRDefault="00BB7D17" w:rsidP="00BB7D17"/>
    <w:p w14:paraId="7C7B720B" w14:textId="77777777" w:rsidR="00BB7D17" w:rsidRPr="00ED2B1F" w:rsidRDefault="00BB7D17" w:rsidP="00BB7D17">
      <w:pPr>
        <w:rPr>
          <w:rFonts w:cs="Segoe UI"/>
        </w:rPr>
      </w:pPr>
      <w:r w:rsidRPr="00ED2B1F">
        <w:rPr>
          <w:color w:val="000000" w:themeColor="text1"/>
          <w:lang w:eastAsia="en-NZ"/>
        </w:rPr>
        <w:t xml:space="preserve">Event totals </w:t>
      </w:r>
      <w:r w:rsidRPr="00ED2B1F">
        <w:t xml:space="preserve">displayed in the dashboards </w:t>
      </w:r>
      <w:r w:rsidRPr="00ED2B1F">
        <w:rPr>
          <w:color w:val="000000" w:themeColor="text1"/>
          <w:lang w:eastAsia="en-NZ"/>
        </w:rPr>
        <w:t xml:space="preserve">fluctuate because later reviews may change the SAC rating of some events to more accurately reflect their level of severity. That, in turn, changes a provider’s obligation to report or not. </w:t>
      </w:r>
    </w:p>
    <w:p w14:paraId="26D31200" w14:textId="77777777" w:rsidR="00BB7D17" w:rsidRPr="00ED2B1F" w:rsidRDefault="00BB7D17" w:rsidP="00BB7D17">
      <w:pPr>
        <w:rPr>
          <w:rFonts w:ascii="Calibri" w:hAnsi="Calibri" w:cs="Calibri"/>
          <w:sz w:val="22"/>
          <w:szCs w:val="22"/>
          <w:lang w:eastAsia="en-US"/>
        </w:rPr>
      </w:pPr>
    </w:p>
    <w:p w14:paraId="0A66432D" w14:textId="62F0B18D" w:rsidR="00BB7D17" w:rsidRPr="00ED2B1F" w:rsidRDefault="001F3A8F" w:rsidP="00BB7D17">
      <w:r w:rsidRPr="00ED2B1F">
        <w:t xml:space="preserve">The </w:t>
      </w:r>
      <w:r w:rsidRPr="00ED2B1F">
        <w:rPr>
          <w:spacing w:val="-3"/>
        </w:rPr>
        <w:t>Health Quality &amp; Safety Commission</w:t>
      </w:r>
      <w:r w:rsidR="00BB7D17" w:rsidRPr="00ED2B1F">
        <w:t xml:space="preserve"> welcomes increases in reporting rates, because it believes they represent more thorough and consistent reporting of the events that have always been a part of the system, rather than </w:t>
      </w:r>
      <w:r w:rsidRPr="00ED2B1F">
        <w:t xml:space="preserve">showing </w:t>
      </w:r>
      <w:r w:rsidR="00BB7D17" w:rsidRPr="00ED2B1F">
        <w:t xml:space="preserve">that rates of adverse events are actually worsening. This stronger reporting culture can create real opportunities for improvement across the system. </w:t>
      </w:r>
    </w:p>
    <w:p w14:paraId="27012B6D" w14:textId="3258AB9C" w:rsidR="00BB7D17" w:rsidRPr="00ED2B1F" w:rsidRDefault="00BB7D17" w:rsidP="007A34A3">
      <w:pPr>
        <w:pStyle w:val="Heading2"/>
      </w:pPr>
      <w:bookmarkStart w:id="414" w:name="_Toc75176458"/>
      <w:bookmarkStart w:id="415" w:name="_Toc87429925"/>
      <w:bookmarkStart w:id="416" w:name="_Toc88826973"/>
      <w:bookmarkStart w:id="417" w:name="_Toc115188823"/>
      <w:bookmarkStart w:id="418" w:name="_Toc145394249"/>
      <w:bookmarkStart w:id="419" w:name="_Toc189053919"/>
      <w:bookmarkStart w:id="420" w:name="_Toc224638107"/>
      <w:r w:rsidRPr="00ED2B1F">
        <w:lastRenderedPageBreak/>
        <w:t>Deaths reported to the Director of Mental Health</w:t>
      </w:r>
      <w:bookmarkEnd w:id="414"/>
      <w:bookmarkEnd w:id="415"/>
      <w:bookmarkEnd w:id="416"/>
      <w:bookmarkEnd w:id="417"/>
      <w:bookmarkEnd w:id="418"/>
      <w:bookmarkEnd w:id="419"/>
      <w:bookmarkEnd w:id="420"/>
    </w:p>
    <w:p w14:paraId="72EBB003" w14:textId="77777777" w:rsidR="00BB7D17" w:rsidRPr="00ED2B1F" w:rsidRDefault="00BB7D17" w:rsidP="00BB7D17">
      <w:r w:rsidRPr="00ED2B1F">
        <w:t>Section 132 of the Mental Health Act requires services to notify the Director within 14 days of the death of any patient or special patient under the Mental Health Act. This includes identifying the apparent cause of death.</w:t>
      </w:r>
    </w:p>
    <w:p w14:paraId="56CC64DD" w14:textId="77777777" w:rsidR="00BB7D17" w:rsidRPr="00ED2B1F" w:rsidRDefault="00BB7D17" w:rsidP="00BB7D17"/>
    <w:p w14:paraId="7A466333" w14:textId="4AB13A53" w:rsidR="00BB7D17" w:rsidRPr="00ED2B1F" w:rsidRDefault="00BB7D17" w:rsidP="00BB7D17">
      <w:r w:rsidRPr="00ED2B1F">
        <w:t xml:space="preserve">In New Zealand, a coroner determines a cause of death after completing their inquiry. Only deaths that the coroner decides are ‘intentionally self-inflicted’ will receive a final verdict of suicide. The coronial inquiry is unlikely to occur within a year of a death. When a death appears to be </w:t>
      </w:r>
      <w:r w:rsidR="00D52F82" w:rsidRPr="00ED2B1F">
        <w:t>self-inflicted,</w:t>
      </w:r>
      <w:r w:rsidRPr="00ED2B1F">
        <w:t xml:space="preserve"> but the coroner has not yet made a ruling, it is called a ‘suspected suicide’. For more information and data, s</w:t>
      </w:r>
      <w:r w:rsidR="00D52F82" w:rsidRPr="00ED2B1F">
        <w:t xml:space="preserve">ee the suicide data web tool on Health New Zealand’s website: </w:t>
      </w:r>
      <w:hyperlink r:id="rId71" w:history="1">
        <w:r w:rsidR="00D52F82" w:rsidRPr="00ED2B1F">
          <w:rPr>
            <w:rStyle w:val="Hyperlink"/>
          </w:rPr>
          <w:t>tewhatuora.govt.nz/for-health-professionals/data-and-statistics/suicide/data-web-tool</w:t>
        </w:r>
      </w:hyperlink>
      <w:r w:rsidR="00D52F82" w:rsidRPr="00ED2B1F">
        <w:t xml:space="preserve">. </w:t>
      </w:r>
    </w:p>
    <w:p w14:paraId="79589176" w14:textId="77777777" w:rsidR="00BB7D17" w:rsidRPr="00ED2B1F" w:rsidRDefault="00BB7D17" w:rsidP="00BB7D17"/>
    <w:p w14:paraId="55D15879" w14:textId="3648FC90" w:rsidR="00BB7D17" w:rsidRPr="00ED2B1F" w:rsidRDefault="00BB7D17" w:rsidP="00BB7D17">
      <w:r w:rsidRPr="00ED2B1F">
        <w:t xml:space="preserve">In </w:t>
      </w:r>
      <w:r w:rsidR="00211D17" w:rsidRPr="00ED2B1F">
        <w:t>2023/24</w:t>
      </w:r>
      <w:r w:rsidRPr="00ED2B1F">
        <w:t xml:space="preserve">, the Director received </w:t>
      </w:r>
      <w:r w:rsidR="001126C8" w:rsidRPr="00ED2B1F">
        <w:t xml:space="preserve">47 </w:t>
      </w:r>
      <w:r w:rsidRPr="00ED2B1F">
        <w:t>death notifications relating to people under the Mental Health Act (</w:t>
      </w:r>
      <w:r w:rsidRPr="00ED2B1F">
        <w:fldChar w:fldCharType="begin"/>
      </w:r>
      <w:r w:rsidRPr="00ED2B1F">
        <w:instrText xml:space="preserve"> REF _Ref85452193 \h  \* MERGEFORMAT </w:instrText>
      </w:r>
      <w:r w:rsidRPr="00ED2B1F">
        <w:fldChar w:fldCharType="separate"/>
      </w:r>
      <w:r w:rsidR="00484E57" w:rsidRPr="00ED2B1F">
        <w:t>Table </w:t>
      </w:r>
      <w:r w:rsidR="00484E57">
        <w:t>15</w:t>
      </w:r>
      <w:r w:rsidRPr="00ED2B1F">
        <w:fldChar w:fldCharType="end"/>
      </w:r>
      <w:r w:rsidRPr="00ED2B1F">
        <w:t>). Of these, 1</w:t>
      </w:r>
      <w:r w:rsidR="001126C8" w:rsidRPr="00ED2B1F">
        <w:t>3</w:t>
      </w:r>
      <w:r w:rsidRPr="00ED2B1F">
        <w:t xml:space="preserve"> related to people who were reported to have died by suspected suicide. The remaining </w:t>
      </w:r>
      <w:r w:rsidR="001126C8" w:rsidRPr="00ED2B1F">
        <w:t xml:space="preserve">34 </w:t>
      </w:r>
      <w:r w:rsidRPr="00ED2B1F">
        <w:t>reportedly died by other means, including natural causes and illnesses unrelated to their mental health status.</w:t>
      </w:r>
    </w:p>
    <w:p w14:paraId="5B3BF67E" w14:textId="77777777" w:rsidR="00BB7D17" w:rsidRPr="00ED2B1F" w:rsidRDefault="00BB7D17" w:rsidP="00BB7D17"/>
    <w:p w14:paraId="266C2621" w14:textId="56385F1E" w:rsidR="00BB7D17" w:rsidRPr="00ED2B1F" w:rsidRDefault="00BB7D17" w:rsidP="00C103C7">
      <w:pPr>
        <w:pStyle w:val="Table"/>
      </w:pPr>
      <w:bookmarkStart w:id="421" w:name="_Ref85452193"/>
      <w:bookmarkStart w:id="422" w:name="_Toc87430014"/>
      <w:bookmarkStart w:id="423" w:name="_Toc88561371"/>
      <w:bookmarkStart w:id="424" w:name="_Toc115188906"/>
      <w:bookmarkStart w:id="425" w:name="_Toc142314765"/>
      <w:bookmarkStart w:id="426" w:name="_Toc145394328"/>
      <w:bookmarkStart w:id="427" w:name="_Toc189054006"/>
      <w:bookmarkStart w:id="428" w:name="_Toc224638235"/>
      <w:r w:rsidRPr="00ED2B1F">
        <w:t>Table </w:t>
      </w:r>
      <w:r w:rsidRPr="00ED2B1F">
        <w:fldChar w:fldCharType="begin"/>
      </w:r>
      <w:r w:rsidRPr="00ED2B1F">
        <w:instrText>SEQ Table \* ARABIC</w:instrText>
      </w:r>
      <w:r w:rsidRPr="00ED2B1F">
        <w:fldChar w:fldCharType="separate"/>
      </w:r>
      <w:r w:rsidR="00484E57">
        <w:rPr>
          <w:noProof/>
        </w:rPr>
        <w:t>15</w:t>
      </w:r>
      <w:r w:rsidRPr="00ED2B1F">
        <w:fldChar w:fldCharType="end"/>
      </w:r>
      <w:bookmarkEnd w:id="421"/>
      <w:r w:rsidRPr="00ED2B1F">
        <w:t xml:space="preserve">: Outcomes of reportable death notifications under section 132 of the Mental Health Act, </w:t>
      </w:r>
      <w:bookmarkEnd w:id="422"/>
      <w:bookmarkEnd w:id="423"/>
      <w:bookmarkEnd w:id="424"/>
      <w:bookmarkEnd w:id="425"/>
      <w:bookmarkEnd w:id="426"/>
      <w:bookmarkEnd w:id="427"/>
      <w:r w:rsidR="00211D17" w:rsidRPr="00ED2B1F">
        <w:t>1 July 2023 to 30 June 2024</w:t>
      </w:r>
      <w:bookmarkEnd w:id="428"/>
    </w:p>
    <w:tbl>
      <w:tblPr>
        <w:tblW w:w="8023"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495"/>
        <w:gridCol w:w="5528"/>
      </w:tblGrid>
      <w:tr w:rsidR="00BB7D17" w:rsidRPr="00ED2B1F" w14:paraId="297BB588" w14:textId="77777777" w:rsidTr="00CC2148">
        <w:trPr>
          <w:cantSplit/>
          <w:trHeight w:val="267"/>
        </w:trPr>
        <w:tc>
          <w:tcPr>
            <w:tcW w:w="2495" w:type="dxa"/>
            <w:tcBorders>
              <w:top w:val="nil"/>
              <w:bottom w:val="nil"/>
            </w:tcBorders>
            <w:shd w:val="clear" w:color="auto" w:fill="D9D9D9" w:themeFill="background1" w:themeFillShade="D9"/>
            <w:vAlign w:val="center"/>
          </w:tcPr>
          <w:p w14:paraId="1DFF781D" w14:textId="77777777" w:rsidR="00BB7D17" w:rsidRPr="00CC2148" w:rsidRDefault="00BB7D17" w:rsidP="00E96DD0">
            <w:pPr>
              <w:pStyle w:val="TableText"/>
              <w:rPr>
                <w:b/>
              </w:rPr>
            </w:pPr>
            <w:r w:rsidRPr="00CC2148">
              <w:rPr>
                <w:b/>
              </w:rPr>
              <w:t>Reportable death outcome</w:t>
            </w:r>
          </w:p>
        </w:tc>
        <w:tc>
          <w:tcPr>
            <w:tcW w:w="5528" w:type="dxa"/>
            <w:tcBorders>
              <w:top w:val="nil"/>
              <w:bottom w:val="nil"/>
            </w:tcBorders>
            <w:shd w:val="clear" w:color="auto" w:fill="D9D9D9" w:themeFill="background1" w:themeFillShade="D9"/>
            <w:vAlign w:val="center"/>
          </w:tcPr>
          <w:p w14:paraId="6CAFA5E2" w14:textId="77777777" w:rsidR="00BB7D17" w:rsidRPr="00CC2148" w:rsidRDefault="00BB7D17" w:rsidP="00E96DD0">
            <w:pPr>
              <w:pStyle w:val="TableText"/>
              <w:jc w:val="center"/>
              <w:rPr>
                <w:b/>
              </w:rPr>
            </w:pPr>
            <w:r w:rsidRPr="00CC2148">
              <w:rPr>
                <w:b/>
              </w:rPr>
              <w:t>Number of deaths</w:t>
            </w:r>
          </w:p>
        </w:tc>
      </w:tr>
      <w:tr w:rsidR="00BB7D17" w:rsidRPr="00ED2B1F" w14:paraId="6491DC43" w14:textId="77777777" w:rsidTr="00CC2148">
        <w:trPr>
          <w:cantSplit/>
          <w:trHeight w:val="267"/>
        </w:trPr>
        <w:tc>
          <w:tcPr>
            <w:tcW w:w="2495" w:type="dxa"/>
            <w:tcBorders>
              <w:top w:val="nil"/>
              <w:bottom w:val="single" w:sz="4" w:space="0" w:color="A6A6A6" w:themeColor="background1" w:themeShade="A6"/>
            </w:tcBorders>
            <w:vAlign w:val="center"/>
          </w:tcPr>
          <w:p w14:paraId="09EFE193" w14:textId="77777777" w:rsidR="00BB7D17" w:rsidRPr="00ED2B1F" w:rsidRDefault="00BB7D17" w:rsidP="00E96DD0">
            <w:pPr>
              <w:pStyle w:val="TableText"/>
            </w:pPr>
            <w:r w:rsidRPr="00ED2B1F">
              <w:t>Suspected suicide</w:t>
            </w:r>
          </w:p>
        </w:tc>
        <w:tc>
          <w:tcPr>
            <w:tcW w:w="5528" w:type="dxa"/>
            <w:tcBorders>
              <w:top w:val="nil"/>
              <w:bottom w:val="single" w:sz="4" w:space="0" w:color="A6A6A6" w:themeColor="background1" w:themeShade="A6"/>
            </w:tcBorders>
            <w:vAlign w:val="center"/>
          </w:tcPr>
          <w:p w14:paraId="52AD7C99" w14:textId="51643E6D" w:rsidR="00BB7D17" w:rsidRPr="00ED2B1F" w:rsidRDefault="00C63FA5" w:rsidP="00E96DD0">
            <w:pPr>
              <w:pStyle w:val="TableText"/>
              <w:jc w:val="center"/>
            </w:pPr>
            <w:r w:rsidRPr="00ED2B1F">
              <w:t>13</w:t>
            </w:r>
          </w:p>
        </w:tc>
      </w:tr>
      <w:tr w:rsidR="00BB7D17" w:rsidRPr="00ED2B1F" w14:paraId="1163B4A4" w14:textId="77777777" w:rsidTr="00CC2148">
        <w:trPr>
          <w:cantSplit/>
          <w:trHeight w:val="267"/>
        </w:trPr>
        <w:tc>
          <w:tcPr>
            <w:tcW w:w="2495" w:type="dxa"/>
            <w:tcBorders>
              <w:top w:val="single" w:sz="4" w:space="0" w:color="A6A6A6" w:themeColor="background1" w:themeShade="A6"/>
              <w:bottom w:val="single" w:sz="4" w:space="0" w:color="A6A6A6" w:themeColor="background1" w:themeShade="A6"/>
            </w:tcBorders>
            <w:vAlign w:val="center"/>
          </w:tcPr>
          <w:p w14:paraId="4ABBD8A5" w14:textId="77777777" w:rsidR="00BB7D17" w:rsidRPr="00ED2B1F" w:rsidRDefault="00BB7D17" w:rsidP="00E96DD0">
            <w:pPr>
              <w:pStyle w:val="TableText"/>
            </w:pPr>
            <w:r w:rsidRPr="00ED2B1F">
              <w:t>Other deaths</w:t>
            </w:r>
          </w:p>
        </w:tc>
        <w:tc>
          <w:tcPr>
            <w:tcW w:w="5528" w:type="dxa"/>
            <w:tcBorders>
              <w:top w:val="single" w:sz="4" w:space="0" w:color="A6A6A6" w:themeColor="background1" w:themeShade="A6"/>
              <w:bottom w:val="single" w:sz="4" w:space="0" w:color="A6A6A6" w:themeColor="background1" w:themeShade="A6"/>
            </w:tcBorders>
            <w:vAlign w:val="center"/>
          </w:tcPr>
          <w:p w14:paraId="237317C5" w14:textId="59BD5729" w:rsidR="00BB7D17" w:rsidRPr="00ED2B1F" w:rsidRDefault="00C63FA5" w:rsidP="00E96DD0">
            <w:pPr>
              <w:pStyle w:val="TableText"/>
              <w:jc w:val="center"/>
            </w:pPr>
            <w:r w:rsidRPr="00ED2B1F">
              <w:t>3</w:t>
            </w:r>
            <w:r w:rsidR="001126C8" w:rsidRPr="00ED2B1F">
              <w:t>4</w:t>
            </w:r>
          </w:p>
        </w:tc>
      </w:tr>
      <w:tr w:rsidR="00BB7D17" w:rsidRPr="00ED2B1F" w14:paraId="1C850005" w14:textId="77777777" w:rsidTr="00CC2148">
        <w:trPr>
          <w:cantSplit/>
          <w:trHeight w:val="255"/>
        </w:trPr>
        <w:tc>
          <w:tcPr>
            <w:tcW w:w="2495" w:type="dxa"/>
            <w:tcBorders>
              <w:top w:val="single" w:sz="4" w:space="0" w:color="A6A6A6" w:themeColor="background1" w:themeShade="A6"/>
              <w:bottom w:val="single" w:sz="4" w:space="0" w:color="A6A6A6" w:themeColor="background1" w:themeShade="A6"/>
            </w:tcBorders>
            <w:vAlign w:val="center"/>
          </w:tcPr>
          <w:p w14:paraId="3915A369" w14:textId="77777777" w:rsidR="00BB7D17" w:rsidRPr="00ED2B1F" w:rsidRDefault="00BB7D17" w:rsidP="00E96DD0">
            <w:pPr>
              <w:pStyle w:val="TableText"/>
              <w:rPr>
                <w:b/>
              </w:rPr>
            </w:pPr>
            <w:r w:rsidRPr="00ED2B1F">
              <w:rPr>
                <w:b/>
              </w:rPr>
              <w:t>All reportable deaths</w:t>
            </w:r>
          </w:p>
        </w:tc>
        <w:tc>
          <w:tcPr>
            <w:tcW w:w="5528" w:type="dxa"/>
            <w:tcBorders>
              <w:top w:val="single" w:sz="4" w:space="0" w:color="A6A6A6" w:themeColor="background1" w:themeShade="A6"/>
              <w:bottom w:val="single" w:sz="4" w:space="0" w:color="A6A6A6" w:themeColor="background1" w:themeShade="A6"/>
            </w:tcBorders>
            <w:vAlign w:val="center"/>
          </w:tcPr>
          <w:p w14:paraId="0E2AD6F4" w14:textId="22AC9576" w:rsidR="00BB7D17" w:rsidRPr="00ED2B1F" w:rsidRDefault="007C4997" w:rsidP="00E96DD0">
            <w:pPr>
              <w:pStyle w:val="TableText"/>
              <w:jc w:val="center"/>
              <w:rPr>
                <w:b/>
              </w:rPr>
            </w:pPr>
            <w:r w:rsidRPr="00ED2B1F">
              <w:rPr>
                <w:b/>
              </w:rPr>
              <w:t>47</w:t>
            </w:r>
          </w:p>
        </w:tc>
      </w:tr>
    </w:tbl>
    <w:p w14:paraId="355E8E31" w14:textId="77777777" w:rsidR="00BB7D17" w:rsidRPr="00CC2148" w:rsidRDefault="00BB7D17" w:rsidP="00CC2148">
      <w:pPr>
        <w:pStyle w:val="Source"/>
      </w:pPr>
      <w:r w:rsidRPr="00CC2148">
        <w:t>Source: Office of the Director of Mental Health and Addiction Services records.</w:t>
      </w:r>
    </w:p>
    <w:p w14:paraId="0781C77E" w14:textId="77777777" w:rsidR="00BB7D17" w:rsidRPr="00ED2B1F" w:rsidRDefault="00BB7D17" w:rsidP="007A34A3">
      <w:pPr>
        <w:pStyle w:val="Heading2"/>
      </w:pPr>
      <w:bookmarkStart w:id="429" w:name="_Toc87429926"/>
      <w:bookmarkStart w:id="430" w:name="_Toc88826974"/>
      <w:bookmarkStart w:id="431" w:name="_Toc115188824"/>
      <w:bookmarkStart w:id="432" w:name="_Toc145394250"/>
      <w:bookmarkStart w:id="433" w:name="_Toc189053920"/>
      <w:bookmarkStart w:id="434" w:name="_Toc224638108"/>
      <w:r w:rsidRPr="00ED2B1F">
        <w:t>Section 95 inquiries and section 99 in</w:t>
      </w:r>
      <w:bookmarkEnd w:id="429"/>
      <w:bookmarkEnd w:id="430"/>
      <w:r w:rsidRPr="00ED2B1F">
        <w:t>spections</w:t>
      </w:r>
      <w:bookmarkEnd w:id="431"/>
      <w:bookmarkEnd w:id="432"/>
      <w:bookmarkEnd w:id="433"/>
      <w:bookmarkEnd w:id="434"/>
    </w:p>
    <w:p w14:paraId="18CEF083" w14:textId="71CC6F47" w:rsidR="00BB7D17" w:rsidRPr="00ED2B1F" w:rsidRDefault="00414E51" w:rsidP="00BB7D17">
      <w:r w:rsidRPr="00ED2B1F">
        <w:t xml:space="preserve">Occasionally the </w:t>
      </w:r>
      <w:r w:rsidR="00BB7D17" w:rsidRPr="00ED2B1F">
        <w:t xml:space="preserve">Director will require a district inspector to carry out an inquiry under section 95 of the Mental Health Act or </w:t>
      </w:r>
      <w:r w:rsidRPr="00ED2B1F">
        <w:t xml:space="preserve">the Director will </w:t>
      </w:r>
      <w:r w:rsidR="00BB7D17" w:rsidRPr="00ED2B1F">
        <w:t>undertake an inspection themselves under section 99. Inquiries and inspections generally focus on systemic issues across one or more mental health services. As a result of either an inquiry or an inspection, typically a district inspector or the Director makes specific recommendations about the mental health services and/or their system.</w:t>
      </w:r>
    </w:p>
    <w:p w14:paraId="7863E871" w14:textId="77777777" w:rsidR="00BB7D17" w:rsidRPr="00ED2B1F" w:rsidRDefault="00BB7D17" w:rsidP="00BB7D17"/>
    <w:p w14:paraId="55ED8CDB" w14:textId="1540E42E" w:rsidR="00BB7D17" w:rsidRPr="00ED2B1F" w:rsidRDefault="00BB7D17" w:rsidP="00BB7D17">
      <w:r w:rsidRPr="00ED2B1F">
        <w:t>Following an inquiry under s</w:t>
      </w:r>
      <w:r w:rsidR="00AB46BB" w:rsidRPr="00ED2B1F">
        <w:t>ection 9</w:t>
      </w:r>
      <w:r w:rsidRPr="00ED2B1F">
        <w:t>5 of the Mental Health Act, the Director considers the recommendations and acts on any that have implications for the Ministry of Health or the wider mental health sector. The Director later audits the specific district’s implementation of the recommendations.</w:t>
      </w:r>
    </w:p>
    <w:p w14:paraId="1541A167" w14:textId="77777777" w:rsidR="00BB7D17" w:rsidRPr="00ED2B1F" w:rsidRDefault="00BB7D17" w:rsidP="00BB7D17"/>
    <w:p w14:paraId="11D998DB" w14:textId="6DA7F10C" w:rsidR="00BB7D17" w:rsidRPr="00ED2B1F" w:rsidRDefault="00BB7D17" w:rsidP="00BB7D17">
      <w:r w:rsidRPr="00ED2B1F">
        <w:lastRenderedPageBreak/>
        <w:t>Following an inquiry under section 99 of the Mental Health Act, the Director will make specific recommendations to district mental health services and will monitor the</w:t>
      </w:r>
      <w:r w:rsidR="00414E51" w:rsidRPr="00ED2B1F">
        <w:t>ir</w:t>
      </w:r>
      <w:r w:rsidRPr="00ED2B1F">
        <w:t xml:space="preserve"> implementation.</w:t>
      </w:r>
    </w:p>
    <w:p w14:paraId="449A27D9" w14:textId="68F77CB5" w:rsidR="00BB7D17" w:rsidRPr="00ED2B1F" w:rsidRDefault="00BB7D17" w:rsidP="00BB7D17"/>
    <w:p w14:paraId="0F9C9741" w14:textId="77777777" w:rsidR="00BB7D17" w:rsidRPr="00ED2B1F" w:rsidRDefault="00BB7D17" w:rsidP="00BB7D17">
      <w:r w:rsidRPr="00ED2B1F">
        <w:t>The inquiry process is complete when the Director considers that the district concerned and, if appropriate, the Ministry and all other districts have satisfactorily implemented the recommendations.</w:t>
      </w:r>
    </w:p>
    <w:p w14:paraId="05635D7A" w14:textId="77777777" w:rsidR="00BB7D17" w:rsidRPr="00ED2B1F" w:rsidRDefault="00BB7D17" w:rsidP="00BB7D17"/>
    <w:p w14:paraId="5005C206" w14:textId="1796E60F" w:rsidR="00BB7D17" w:rsidRPr="00ED2B1F" w:rsidRDefault="00BB7D17" w:rsidP="00BB7D17">
      <w:r w:rsidRPr="00ED2B1F">
        <w:t xml:space="preserve">No section 95 inquiries or section 99 inspections were completed in the </w:t>
      </w:r>
      <w:r w:rsidR="00211D17" w:rsidRPr="00ED2B1F">
        <w:t>2023/24</w:t>
      </w:r>
      <w:r w:rsidRPr="00ED2B1F">
        <w:t xml:space="preserve"> financial year. </w:t>
      </w:r>
      <w:r w:rsidRPr="00ED2B1F">
        <w:fldChar w:fldCharType="begin"/>
      </w:r>
      <w:r w:rsidRPr="00ED2B1F">
        <w:instrText xml:space="preserve"> REF _Ref85550138 \h  \* MERGEFORMAT </w:instrText>
      </w:r>
      <w:r w:rsidRPr="00ED2B1F">
        <w:fldChar w:fldCharType="separate"/>
      </w:r>
      <w:r w:rsidR="00484E57" w:rsidRPr="00ED2B1F">
        <w:t>Table </w:t>
      </w:r>
      <w:r w:rsidR="00484E57">
        <w:t>16</w:t>
      </w:r>
      <w:r w:rsidRPr="00ED2B1F">
        <w:fldChar w:fldCharType="end"/>
      </w:r>
      <w:r w:rsidRPr="00ED2B1F">
        <w:t xml:space="preserve"> shows the number of completed section 95 inquiry reports the Director received and the number of </w:t>
      </w:r>
      <w:bookmarkStart w:id="435" w:name="_Int_BoaxsjAy"/>
      <w:r w:rsidRPr="00ED2B1F">
        <w:t>section</w:t>
      </w:r>
      <w:bookmarkEnd w:id="435"/>
      <w:r w:rsidRPr="00ED2B1F">
        <w:t xml:space="preserve"> 99 reports the Director received or completed between 1 July 201</w:t>
      </w:r>
      <w:r w:rsidR="0003229A" w:rsidRPr="00ED2B1F">
        <w:t>3</w:t>
      </w:r>
      <w:r w:rsidRPr="00ED2B1F">
        <w:t xml:space="preserve"> and 30 June 202</w:t>
      </w:r>
      <w:r w:rsidR="0031058F" w:rsidRPr="00ED2B1F">
        <w:t>4</w:t>
      </w:r>
      <w:r w:rsidRPr="00ED2B1F">
        <w:t>.</w:t>
      </w:r>
    </w:p>
    <w:p w14:paraId="07F13C92" w14:textId="77777777" w:rsidR="00BB7D17" w:rsidRPr="00ED2B1F" w:rsidRDefault="00BB7D17" w:rsidP="00BB7D17"/>
    <w:p w14:paraId="4CAD5F17" w14:textId="357EF95B" w:rsidR="00BB7D17" w:rsidRPr="00ED29C4" w:rsidRDefault="00BB7D17" w:rsidP="00BB7D17">
      <w:pPr>
        <w:rPr>
          <w:sz w:val="17"/>
          <w:szCs w:val="17"/>
        </w:rPr>
      </w:pPr>
      <w:r w:rsidRPr="00ED2B1F">
        <w:t>The Director initiated a section 99 inspection on 6 July 2022, following a serious incident in late June 2022 and in the context of concerns about the Canterbury</w:t>
      </w:r>
      <w:r w:rsidR="00AD6856" w:rsidRPr="00ED2B1F">
        <w:t xml:space="preserve"> </w:t>
      </w:r>
      <w:r w:rsidR="00234EC3" w:rsidRPr="00ED2B1F">
        <w:t>–</w:t>
      </w:r>
      <w:r w:rsidR="00AD6856" w:rsidRPr="00ED2B1F">
        <w:t xml:space="preserve"> </w:t>
      </w:r>
      <w:r w:rsidR="186999A7" w:rsidRPr="00ED2B1F">
        <w:t>Waitaha</w:t>
      </w:r>
      <w:r w:rsidRPr="00ED2B1F">
        <w:t xml:space="preserve"> adult inpatient service and associated mental health services.</w:t>
      </w:r>
      <w:r w:rsidR="00ED29C4">
        <w:rPr>
          <w:rStyle w:val="FootnoteReference"/>
        </w:rPr>
        <w:footnoteReference w:id="28"/>
      </w:r>
      <w:r w:rsidRPr="00ED2B1F">
        <w:t xml:space="preserve"> </w:t>
      </w:r>
      <w:r w:rsidR="001517D6">
        <w:rPr>
          <w:rStyle w:val="FootnoteReference"/>
        </w:rPr>
        <w:footnoteReference w:id="29"/>
      </w:r>
    </w:p>
    <w:p w14:paraId="0BB26B71" w14:textId="77777777" w:rsidR="0069307F" w:rsidRPr="00ED2B1F" w:rsidRDefault="0069307F" w:rsidP="00BB7D17"/>
    <w:p w14:paraId="3225DC15" w14:textId="77777777" w:rsidR="00BB7D17" w:rsidRPr="00ED2B1F" w:rsidRDefault="00BB7D17" w:rsidP="00BB7D17"/>
    <w:p w14:paraId="7178EC97" w14:textId="3DBB7FB3" w:rsidR="00BB7D17" w:rsidRPr="00ED2B1F" w:rsidRDefault="00BB7D17" w:rsidP="00C103C7">
      <w:pPr>
        <w:pStyle w:val="Table"/>
      </w:pPr>
      <w:bookmarkStart w:id="436" w:name="_Ref85550138"/>
      <w:bookmarkStart w:id="437" w:name="_Toc87430015"/>
      <w:bookmarkStart w:id="438" w:name="_Toc88561372"/>
      <w:bookmarkStart w:id="439" w:name="_Toc115188907"/>
      <w:bookmarkStart w:id="440" w:name="_Toc142314766"/>
      <w:bookmarkStart w:id="441" w:name="_Toc145394329"/>
      <w:bookmarkStart w:id="442" w:name="_Toc189054007"/>
      <w:bookmarkStart w:id="443" w:name="_Toc224638236"/>
      <w:r w:rsidRPr="00ED2B1F">
        <w:t>Table </w:t>
      </w:r>
      <w:r w:rsidRPr="00ED2B1F">
        <w:fldChar w:fldCharType="begin"/>
      </w:r>
      <w:r w:rsidRPr="00ED2B1F">
        <w:instrText>SEQ Table \* ARABIC</w:instrText>
      </w:r>
      <w:r w:rsidRPr="00ED2B1F">
        <w:fldChar w:fldCharType="separate"/>
      </w:r>
      <w:r w:rsidR="00484E57">
        <w:rPr>
          <w:noProof/>
        </w:rPr>
        <w:t>16</w:t>
      </w:r>
      <w:r w:rsidRPr="00ED2B1F">
        <w:fldChar w:fldCharType="end"/>
      </w:r>
      <w:bookmarkEnd w:id="436"/>
      <w:r w:rsidRPr="00ED2B1F">
        <w:t>: Number of section 95 inquiries completed and section 99 inspections reports received or completed by the Director, 201</w:t>
      </w:r>
      <w:r w:rsidR="00923D98" w:rsidRPr="00ED2B1F">
        <w:t>3</w:t>
      </w:r>
      <w:r w:rsidRPr="00ED2B1F">
        <w:t>/1</w:t>
      </w:r>
      <w:r w:rsidR="00923D98" w:rsidRPr="00ED2B1F">
        <w:t>4</w:t>
      </w:r>
      <w:r w:rsidRPr="00ED2B1F">
        <w:t xml:space="preserve"> to </w:t>
      </w:r>
      <w:bookmarkEnd w:id="437"/>
      <w:bookmarkEnd w:id="438"/>
      <w:bookmarkEnd w:id="439"/>
      <w:bookmarkEnd w:id="440"/>
      <w:bookmarkEnd w:id="441"/>
      <w:bookmarkEnd w:id="442"/>
      <w:r w:rsidR="00211D17" w:rsidRPr="00ED2B1F">
        <w:t>2023/24</w:t>
      </w:r>
      <w:bookmarkEnd w:id="443"/>
    </w:p>
    <w:tbl>
      <w:tblPr>
        <w:tblW w:w="8161"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742"/>
        <w:gridCol w:w="742"/>
        <w:gridCol w:w="742"/>
        <w:gridCol w:w="741"/>
        <w:gridCol w:w="742"/>
        <w:gridCol w:w="742"/>
        <w:gridCol w:w="742"/>
        <w:gridCol w:w="742"/>
        <w:gridCol w:w="742"/>
        <w:gridCol w:w="742"/>
        <w:gridCol w:w="742"/>
      </w:tblGrid>
      <w:tr w:rsidR="00CC2148" w:rsidRPr="00CC2148" w14:paraId="135A1606" w14:textId="77777777" w:rsidTr="00CC2148">
        <w:trPr>
          <w:cantSplit/>
          <w:trHeight w:val="382"/>
        </w:trPr>
        <w:tc>
          <w:tcPr>
            <w:tcW w:w="742" w:type="dxa"/>
            <w:tcBorders>
              <w:top w:val="nil"/>
              <w:left w:val="nil"/>
              <w:bottom w:val="nil"/>
              <w:right w:val="nil"/>
            </w:tcBorders>
            <w:shd w:val="clear" w:color="auto" w:fill="D9D9D9" w:themeFill="background1" w:themeFillShade="D9"/>
            <w:hideMark/>
          </w:tcPr>
          <w:p w14:paraId="47194A53" w14:textId="1D7A33FD" w:rsidR="00BB7D17" w:rsidRPr="00CC2148" w:rsidRDefault="00BB7D17" w:rsidP="00E96DD0">
            <w:pPr>
              <w:pStyle w:val="TableText"/>
              <w:jc w:val="center"/>
              <w:rPr>
                <w:b/>
                <w:sz w:val="16"/>
                <w:szCs w:val="16"/>
              </w:rPr>
            </w:pPr>
            <w:r w:rsidRPr="00CC2148">
              <w:rPr>
                <w:b/>
                <w:sz w:val="16"/>
                <w:szCs w:val="16"/>
              </w:rPr>
              <w:t>201</w:t>
            </w:r>
            <w:r w:rsidR="00923D98" w:rsidRPr="00CC2148">
              <w:rPr>
                <w:b/>
                <w:sz w:val="16"/>
                <w:szCs w:val="16"/>
              </w:rPr>
              <w:t>3</w:t>
            </w:r>
            <w:r w:rsidRPr="00CC2148">
              <w:rPr>
                <w:b/>
                <w:sz w:val="16"/>
                <w:szCs w:val="16"/>
              </w:rPr>
              <w:t>/1</w:t>
            </w:r>
            <w:r w:rsidR="00923D98" w:rsidRPr="00CC2148">
              <w:rPr>
                <w:b/>
                <w:sz w:val="16"/>
                <w:szCs w:val="16"/>
              </w:rPr>
              <w:t>4</w:t>
            </w:r>
          </w:p>
        </w:tc>
        <w:tc>
          <w:tcPr>
            <w:tcW w:w="742" w:type="dxa"/>
            <w:tcBorders>
              <w:top w:val="nil"/>
              <w:left w:val="nil"/>
              <w:bottom w:val="nil"/>
              <w:right w:val="nil"/>
            </w:tcBorders>
            <w:shd w:val="clear" w:color="auto" w:fill="D9D9D9" w:themeFill="background1" w:themeFillShade="D9"/>
            <w:hideMark/>
          </w:tcPr>
          <w:p w14:paraId="30453A87" w14:textId="17F0D621" w:rsidR="00BB7D17" w:rsidRPr="00CC2148" w:rsidRDefault="00923D98" w:rsidP="00E96DD0">
            <w:pPr>
              <w:pStyle w:val="TableText"/>
              <w:jc w:val="center"/>
              <w:rPr>
                <w:b/>
                <w:sz w:val="16"/>
                <w:szCs w:val="16"/>
              </w:rPr>
            </w:pPr>
            <w:r w:rsidRPr="00CC2148">
              <w:rPr>
                <w:b/>
                <w:sz w:val="16"/>
                <w:szCs w:val="16"/>
              </w:rPr>
              <w:t>2014/15</w:t>
            </w:r>
          </w:p>
        </w:tc>
        <w:tc>
          <w:tcPr>
            <w:tcW w:w="742" w:type="dxa"/>
            <w:tcBorders>
              <w:top w:val="nil"/>
              <w:left w:val="nil"/>
              <w:bottom w:val="nil"/>
              <w:right w:val="nil"/>
            </w:tcBorders>
            <w:shd w:val="clear" w:color="auto" w:fill="D9D9D9" w:themeFill="background1" w:themeFillShade="D9"/>
            <w:hideMark/>
          </w:tcPr>
          <w:p w14:paraId="6AE327DB" w14:textId="0BE19572" w:rsidR="00BB7D17" w:rsidRPr="00CC2148" w:rsidRDefault="00923D98" w:rsidP="00E96DD0">
            <w:pPr>
              <w:pStyle w:val="TableText"/>
              <w:jc w:val="center"/>
              <w:rPr>
                <w:b/>
                <w:sz w:val="16"/>
                <w:szCs w:val="16"/>
              </w:rPr>
            </w:pPr>
            <w:r w:rsidRPr="00CC2148">
              <w:rPr>
                <w:b/>
                <w:sz w:val="16"/>
                <w:szCs w:val="16"/>
              </w:rPr>
              <w:t>2015/14</w:t>
            </w:r>
          </w:p>
        </w:tc>
        <w:tc>
          <w:tcPr>
            <w:tcW w:w="741" w:type="dxa"/>
            <w:tcBorders>
              <w:top w:val="nil"/>
              <w:left w:val="nil"/>
              <w:bottom w:val="nil"/>
              <w:right w:val="nil"/>
            </w:tcBorders>
            <w:shd w:val="clear" w:color="auto" w:fill="D9D9D9" w:themeFill="background1" w:themeFillShade="D9"/>
            <w:hideMark/>
          </w:tcPr>
          <w:p w14:paraId="277CDC18" w14:textId="1CD267BD" w:rsidR="00BB7D17" w:rsidRPr="00CC2148" w:rsidRDefault="00923D98" w:rsidP="00E96DD0">
            <w:pPr>
              <w:pStyle w:val="TableText"/>
              <w:jc w:val="center"/>
              <w:rPr>
                <w:b/>
                <w:sz w:val="16"/>
                <w:szCs w:val="16"/>
              </w:rPr>
            </w:pPr>
            <w:r w:rsidRPr="00CC2148">
              <w:rPr>
                <w:b/>
                <w:sz w:val="16"/>
                <w:szCs w:val="16"/>
              </w:rPr>
              <w:t>201</w:t>
            </w:r>
            <w:r w:rsidR="0003229A" w:rsidRPr="00CC2148">
              <w:rPr>
                <w:b/>
                <w:sz w:val="16"/>
                <w:szCs w:val="16"/>
              </w:rPr>
              <w:t>6/17</w:t>
            </w:r>
          </w:p>
        </w:tc>
        <w:tc>
          <w:tcPr>
            <w:tcW w:w="742" w:type="dxa"/>
            <w:tcBorders>
              <w:top w:val="nil"/>
              <w:left w:val="nil"/>
              <w:bottom w:val="nil"/>
              <w:right w:val="nil"/>
            </w:tcBorders>
            <w:shd w:val="clear" w:color="auto" w:fill="D9D9D9" w:themeFill="background1" w:themeFillShade="D9"/>
            <w:hideMark/>
          </w:tcPr>
          <w:p w14:paraId="7C144EF8" w14:textId="3B00CAC1" w:rsidR="00BB7D17" w:rsidRPr="00CC2148" w:rsidRDefault="0003229A" w:rsidP="00E96DD0">
            <w:pPr>
              <w:pStyle w:val="TableText"/>
              <w:jc w:val="center"/>
              <w:rPr>
                <w:b/>
                <w:sz w:val="16"/>
                <w:szCs w:val="16"/>
              </w:rPr>
            </w:pPr>
            <w:r w:rsidRPr="00CC2148">
              <w:rPr>
                <w:b/>
                <w:sz w:val="16"/>
                <w:szCs w:val="16"/>
              </w:rPr>
              <w:t>2017/18</w:t>
            </w:r>
          </w:p>
        </w:tc>
        <w:tc>
          <w:tcPr>
            <w:tcW w:w="742" w:type="dxa"/>
            <w:tcBorders>
              <w:top w:val="nil"/>
              <w:left w:val="nil"/>
              <w:bottom w:val="nil"/>
              <w:right w:val="nil"/>
            </w:tcBorders>
            <w:shd w:val="clear" w:color="auto" w:fill="D9D9D9" w:themeFill="background1" w:themeFillShade="D9"/>
            <w:hideMark/>
          </w:tcPr>
          <w:p w14:paraId="32268086" w14:textId="17941936" w:rsidR="00BB7D17" w:rsidRPr="00CC2148" w:rsidRDefault="0003229A" w:rsidP="00E96DD0">
            <w:pPr>
              <w:pStyle w:val="TableText"/>
              <w:jc w:val="center"/>
              <w:rPr>
                <w:b/>
                <w:sz w:val="16"/>
                <w:szCs w:val="16"/>
              </w:rPr>
            </w:pPr>
            <w:r w:rsidRPr="00CC2148">
              <w:rPr>
                <w:b/>
                <w:sz w:val="16"/>
                <w:szCs w:val="16"/>
              </w:rPr>
              <w:t>2018/19</w:t>
            </w:r>
          </w:p>
        </w:tc>
        <w:tc>
          <w:tcPr>
            <w:tcW w:w="742" w:type="dxa"/>
            <w:tcBorders>
              <w:top w:val="nil"/>
              <w:left w:val="nil"/>
              <w:bottom w:val="nil"/>
              <w:right w:val="nil"/>
            </w:tcBorders>
            <w:shd w:val="clear" w:color="auto" w:fill="D9D9D9" w:themeFill="background1" w:themeFillShade="D9"/>
            <w:hideMark/>
          </w:tcPr>
          <w:p w14:paraId="0A1D550C" w14:textId="66566BA2" w:rsidR="00BB7D17" w:rsidRPr="00CC2148" w:rsidRDefault="0003229A" w:rsidP="00E96DD0">
            <w:pPr>
              <w:pStyle w:val="TableText"/>
              <w:jc w:val="center"/>
              <w:rPr>
                <w:b/>
                <w:sz w:val="16"/>
                <w:szCs w:val="16"/>
              </w:rPr>
            </w:pPr>
            <w:r w:rsidRPr="00CC2148">
              <w:rPr>
                <w:b/>
                <w:sz w:val="16"/>
                <w:szCs w:val="16"/>
              </w:rPr>
              <w:t>2019/20</w:t>
            </w:r>
          </w:p>
        </w:tc>
        <w:tc>
          <w:tcPr>
            <w:tcW w:w="742" w:type="dxa"/>
            <w:tcBorders>
              <w:top w:val="nil"/>
              <w:left w:val="nil"/>
              <w:bottom w:val="nil"/>
              <w:right w:val="nil"/>
            </w:tcBorders>
            <w:shd w:val="clear" w:color="auto" w:fill="D9D9D9" w:themeFill="background1" w:themeFillShade="D9"/>
            <w:hideMark/>
          </w:tcPr>
          <w:p w14:paraId="225461F6" w14:textId="1D616513" w:rsidR="00BB7D17" w:rsidRPr="00CC2148" w:rsidRDefault="0003229A" w:rsidP="00E96DD0">
            <w:pPr>
              <w:pStyle w:val="TableText"/>
              <w:jc w:val="center"/>
              <w:rPr>
                <w:b/>
                <w:sz w:val="16"/>
                <w:szCs w:val="16"/>
              </w:rPr>
            </w:pPr>
            <w:r w:rsidRPr="00CC2148">
              <w:rPr>
                <w:b/>
                <w:sz w:val="16"/>
                <w:szCs w:val="16"/>
              </w:rPr>
              <w:t>2020/21</w:t>
            </w:r>
          </w:p>
        </w:tc>
        <w:tc>
          <w:tcPr>
            <w:tcW w:w="742" w:type="dxa"/>
            <w:tcBorders>
              <w:top w:val="nil"/>
              <w:left w:val="nil"/>
              <w:bottom w:val="nil"/>
              <w:right w:val="nil"/>
            </w:tcBorders>
            <w:shd w:val="clear" w:color="auto" w:fill="D9D9D9" w:themeFill="background1" w:themeFillShade="D9"/>
          </w:tcPr>
          <w:p w14:paraId="1A3EE17A" w14:textId="02CBB6AD" w:rsidR="00BB7D17" w:rsidRPr="00CC2148" w:rsidRDefault="0003229A" w:rsidP="00E96DD0">
            <w:pPr>
              <w:pStyle w:val="TableText"/>
              <w:jc w:val="center"/>
              <w:rPr>
                <w:b/>
                <w:sz w:val="16"/>
                <w:szCs w:val="16"/>
              </w:rPr>
            </w:pPr>
            <w:r w:rsidRPr="00CC2148">
              <w:rPr>
                <w:b/>
                <w:sz w:val="16"/>
                <w:szCs w:val="16"/>
              </w:rPr>
              <w:t>2021/22</w:t>
            </w:r>
          </w:p>
        </w:tc>
        <w:tc>
          <w:tcPr>
            <w:tcW w:w="742" w:type="dxa"/>
            <w:tcBorders>
              <w:top w:val="nil"/>
              <w:left w:val="nil"/>
              <w:bottom w:val="nil"/>
              <w:right w:val="nil"/>
            </w:tcBorders>
            <w:shd w:val="clear" w:color="auto" w:fill="D9D9D9" w:themeFill="background1" w:themeFillShade="D9"/>
          </w:tcPr>
          <w:p w14:paraId="795CC741" w14:textId="39CBD386" w:rsidR="00BB7D17" w:rsidRPr="00CC2148" w:rsidRDefault="0003229A" w:rsidP="00E96DD0">
            <w:pPr>
              <w:pStyle w:val="TableText"/>
              <w:jc w:val="center"/>
              <w:rPr>
                <w:b/>
                <w:sz w:val="16"/>
                <w:szCs w:val="16"/>
              </w:rPr>
            </w:pPr>
            <w:r w:rsidRPr="00CC2148">
              <w:rPr>
                <w:b/>
                <w:sz w:val="16"/>
                <w:szCs w:val="16"/>
              </w:rPr>
              <w:t>2022/23</w:t>
            </w:r>
          </w:p>
        </w:tc>
        <w:tc>
          <w:tcPr>
            <w:tcW w:w="742" w:type="dxa"/>
            <w:tcBorders>
              <w:top w:val="nil"/>
              <w:left w:val="nil"/>
              <w:bottom w:val="nil"/>
              <w:right w:val="nil"/>
            </w:tcBorders>
            <w:shd w:val="clear" w:color="auto" w:fill="D9D9D9" w:themeFill="background1" w:themeFillShade="D9"/>
          </w:tcPr>
          <w:p w14:paraId="775502D1" w14:textId="3BBA995E" w:rsidR="00BB7D17" w:rsidRPr="00CC2148" w:rsidRDefault="00211D17" w:rsidP="00E96DD0">
            <w:pPr>
              <w:pStyle w:val="TableText"/>
              <w:jc w:val="center"/>
              <w:rPr>
                <w:b/>
                <w:sz w:val="16"/>
                <w:szCs w:val="16"/>
              </w:rPr>
            </w:pPr>
            <w:r w:rsidRPr="00CC2148">
              <w:rPr>
                <w:b/>
                <w:sz w:val="16"/>
                <w:szCs w:val="16"/>
              </w:rPr>
              <w:t>2023/24</w:t>
            </w:r>
          </w:p>
        </w:tc>
      </w:tr>
      <w:tr w:rsidR="00BB7D17" w:rsidRPr="00ED2B1F" w14:paraId="004D0C5E" w14:textId="77777777" w:rsidTr="00E96DD0">
        <w:trPr>
          <w:cantSplit/>
          <w:trHeight w:val="382"/>
        </w:trPr>
        <w:tc>
          <w:tcPr>
            <w:tcW w:w="742" w:type="dxa"/>
            <w:tcBorders>
              <w:top w:val="nil"/>
              <w:left w:val="nil"/>
              <w:bottom w:val="single" w:sz="4" w:space="0" w:color="A6A6A6" w:themeColor="background1" w:themeShade="A6"/>
              <w:right w:val="nil"/>
            </w:tcBorders>
            <w:hideMark/>
          </w:tcPr>
          <w:p w14:paraId="020B8EAB"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hideMark/>
          </w:tcPr>
          <w:p w14:paraId="106CE93A" w14:textId="21BD6AE0" w:rsidR="00BB7D17" w:rsidRPr="00ED2B1F" w:rsidRDefault="0003229A" w:rsidP="00E96DD0">
            <w:pPr>
              <w:pStyle w:val="TableText"/>
              <w:jc w:val="center"/>
              <w:rPr>
                <w:sz w:val="16"/>
                <w:szCs w:val="16"/>
              </w:rPr>
            </w:pPr>
            <w:r w:rsidRPr="00ED2B1F">
              <w:rPr>
                <w:sz w:val="16"/>
                <w:szCs w:val="16"/>
              </w:rPr>
              <w:t>1</w:t>
            </w:r>
          </w:p>
        </w:tc>
        <w:tc>
          <w:tcPr>
            <w:tcW w:w="742" w:type="dxa"/>
            <w:tcBorders>
              <w:top w:val="nil"/>
              <w:left w:val="nil"/>
              <w:bottom w:val="single" w:sz="4" w:space="0" w:color="A6A6A6" w:themeColor="background1" w:themeShade="A6"/>
              <w:right w:val="nil"/>
            </w:tcBorders>
            <w:hideMark/>
          </w:tcPr>
          <w:p w14:paraId="3D3C04E7" w14:textId="00E2058E" w:rsidR="00BB7D17" w:rsidRPr="00ED2B1F" w:rsidRDefault="0003229A" w:rsidP="00E96DD0">
            <w:pPr>
              <w:pStyle w:val="TableText"/>
              <w:jc w:val="center"/>
              <w:rPr>
                <w:sz w:val="16"/>
                <w:szCs w:val="16"/>
              </w:rPr>
            </w:pPr>
            <w:r w:rsidRPr="00ED2B1F">
              <w:rPr>
                <w:sz w:val="16"/>
                <w:szCs w:val="16"/>
              </w:rPr>
              <w:t>2</w:t>
            </w:r>
          </w:p>
        </w:tc>
        <w:tc>
          <w:tcPr>
            <w:tcW w:w="741" w:type="dxa"/>
            <w:tcBorders>
              <w:top w:val="nil"/>
              <w:left w:val="nil"/>
              <w:bottom w:val="single" w:sz="4" w:space="0" w:color="A6A6A6" w:themeColor="background1" w:themeShade="A6"/>
              <w:right w:val="nil"/>
            </w:tcBorders>
            <w:hideMark/>
          </w:tcPr>
          <w:p w14:paraId="4294F08D" w14:textId="41F17380" w:rsidR="00BB7D17" w:rsidRPr="00ED2B1F" w:rsidRDefault="0003229A"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hideMark/>
          </w:tcPr>
          <w:p w14:paraId="66DD3ADF"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hideMark/>
          </w:tcPr>
          <w:p w14:paraId="50285B32"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hideMark/>
          </w:tcPr>
          <w:p w14:paraId="373F735E"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hideMark/>
          </w:tcPr>
          <w:p w14:paraId="1839ADB3"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tcPr>
          <w:p w14:paraId="77C9699E"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tcPr>
          <w:p w14:paraId="04E5B814" w14:textId="77777777" w:rsidR="00BB7D17" w:rsidRPr="00ED2B1F" w:rsidRDefault="00BB7D17" w:rsidP="00E96DD0">
            <w:pPr>
              <w:pStyle w:val="TableText"/>
              <w:jc w:val="center"/>
              <w:rPr>
                <w:sz w:val="16"/>
                <w:szCs w:val="16"/>
              </w:rPr>
            </w:pPr>
            <w:r w:rsidRPr="00ED2B1F">
              <w:rPr>
                <w:sz w:val="16"/>
                <w:szCs w:val="16"/>
              </w:rPr>
              <w:t>0</w:t>
            </w:r>
          </w:p>
        </w:tc>
        <w:tc>
          <w:tcPr>
            <w:tcW w:w="742" w:type="dxa"/>
            <w:tcBorders>
              <w:top w:val="nil"/>
              <w:left w:val="nil"/>
              <w:bottom w:val="single" w:sz="4" w:space="0" w:color="A6A6A6" w:themeColor="background1" w:themeShade="A6"/>
              <w:right w:val="nil"/>
            </w:tcBorders>
          </w:tcPr>
          <w:p w14:paraId="7BD39D78" w14:textId="77777777" w:rsidR="00BB7D17" w:rsidRPr="00ED2B1F" w:rsidRDefault="00BB7D17" w:rsidP="00E96DD0">
            <w:pPr>
              <w:pStyle w:val="TableText"/>
              <w:jc w:val="center"/>
              <w:rPr>
                <w:sz w:val="16"/>
                <w:szCs w:val="16"/>
              </w:rPr>
            </w:pPr>
            <w:r w:rsidRPr="00ED2B1F">
              <w:rPr>
                <w:sz w:val="16"/>
                <w:szCs w:val="16"/>
              </w:rPr>
              <w:t>0</w:t>
            </w:r>
          </w:p>
        </w:tc>
      </w:tr>
    </w:tbl>
    <w:p w14:paraId="26E02AB9" w14:textId="77777777" w:rsidR="00BB7D17" w:rsidRPr="00CC2148" w:rsidRDefault="00BB7D17" w:rsidP="00CC2148">
      <w:pPr>
        <w:pStyle w:val="Source"/>
      </w:pPr>
      <w:r w:rsidRPr="00CC2148">
        <w:t>Source: Office of the Director of Mental Health and Addiction Services records.</w:t>
      </w:r>
    </w:p>
    <w:p w14:paraId="00D3B402" w14:textId="77777777" w:rsidR="00BB7D17" w:rsidRPr="00ED2B1F" w:rsidRDefault="00BB7D17" w:rsidP="00BB7D17"/>
    <w:p w14:paraId="54AD6673" w14:textId="77777777" w:rsidR="00BB7D17" w:rsidRPr="00ED2B1F" w:rsidRDefault="00BB7D17" w:rsidP="00BB7D17">
      <w:pPr>
        <w:spacing w:after="160" w:line="259" w:lineRule="auto"/>
        <w:rPr>
          <w:sz w:val="17"/>
        </w:rPr>
      </w:pPr>
    </w:p>
    <w:p w14:paraId="1B402CB0" w14:textId="77777777" w:rsidR="00BB7D17" w:rsidRPr="00ED2B1F" w:rsidRDefault="00BB7D17" w:rsidP="00BB7D17">
      <w:pPr>
        <w:spacing w:after="160" w:line="259" w:lineRule="auto"/>
      </w:pPr>
      <w:r w:rsidRPr="00ED2B1F">
        <w:br w:type="page"/>
      </w:r>
    </w:p>
    <w:p w14:paraId="3E360F84" w14:textId="77777777" w:rsidR="00BB7D17" w:rsidRPr="00ED2B1F" w:rsidRDefault="00BB7D17" w:rsidP="000420E5">
      <w:pPr>
        <w:pStyle w:val="Heading1"/>
        <w:ind w:right="-426"/>
        <w:rPr>
          <w:sz w:val="68"/>
          <w:szCs w:val="68"/>
        </w:rPr>
      </w:pPr>
      <w:bookmarkStart w:id="444" w:name="_Toc65141634"/>
      <w:bookmarkStart w:id="445" w:name="_Toc75176459"/>
      <w:bookmarkStart w:id="446" w:name="_Toc87429927"/>
      <w:bookmarkStart w:id="447" w:name="_Toc88826975"/>
      <w:bookmarkStart w:id="448" w:name="_Toc115188825"/>
      <w:bookmarkStart w:id="449" w:name="_Toc145394251"/>
      <w:bookmarkStart w:id="450" w:name="_Toc189053921"/>
      <w:bookmarkStart w:id="451" w:name="_Toc224638109"/>
      <w:r w:rsidRPr="00ED2B1F">
        <w:rPr>
          <w:sz w:val="68"/>
          <w:szCs w:val="68"/>
        </w:rPr>
        <w:lastRenderedPageBreak/>
        <w:t>Electroconvulsive therapy</w:t>
      </w:r>
      <w:bookmarkEnd w:id="444"/>
      <w:bookmarkEnd w:id="445"/>
      <w:bookmarkEnd w:id="446"/>
      <w:bookmarkEnd w:id="447"/>
      <w:bookmarkEnd w:id="448"/>
      <w:bookmarkEnd w:id="449"/>
      <w:bookmarkEnd w:id="450"/>
      <w:bookmarkEnd w:id="451"/>
    </w:p>
    <w:p w14:paraId="3AFE134B" w14:textId="77777777" w:rsidR="00BB7D17" w:rsidRPr="00ED2B1F" w:rsidRDefault="00BB7D17" w:rsidP="00BB7D17">
      <w:r w:rsidRPr="00ED2B1F">
        <w:t>Electroconvulsive therapy (ECT) is a therapeutic procedure that delivers a brief pulse of electricity to a person’s brain to generate a seizure while they are under anaesthesia. ECT can be an effective treatment for depression, mania, catatonia and other serious neuropsychiatric conditions. It can happen only if the person receiving it consents or in carefully defined circumstances without their consent.</w:t>
      </w:r>
    </w:p>
    <w:p w14:paraId="62BCF782" w14:textId="15CC6527" w:rsidR="00BB7D17" w:rsidRPr="00ED2B1F" w:rsidRDefault="00BB7D17" w:rsidP="00BB7D17"/>
    <w:p w14:paraId="0670220D" w14:textId="574E7C35" w:rsidR="00BB7D17" w:rsidRPr="00ED2B1F" w:rsidRDefault="00BB7D17" w:rsidP="00BB7D17">
      <w:r w:rsidRPr="00ED2B1F">
        <w:t xml:space="preserve">The following summarises ECT data from </w:t>
      </w:r>
      <w:r w:rsidR="00211D17" w:rsidRPr="00ED2B1F">
        <w:t>1 July 2023 to 30 June 2024</w:t>
      </w:r>
      <w:r w:rsidRPr="00ED2B1F">
        <w:t>.</w:t>
      </w:r>
      <w:r w:rsidRPr="00ED2B1F">
        <w:rPr>
          <w:rStyle w:val="FootnoteReference"/>
        </w:rPr>
        <w:footnoteReference w:id="30"/>
      </w:r>
    </w:p>
    <w:p w14:paraId="16D70ED0" w14:textId="3550F9C3" w:rsidR="00BB7D17" w:rsidRPr="00ED2B1F" w:rsidRDefault="00BB7D17" w:rsidP="00BB7D17">
      <w:pPr>
        <w:pStyle w:val="Bullet"/>
      </w:pPr>
      <w:r w:rsidRPr="00ED2B1F">
        <w:t>2</w:t>
      </w:r>
      <w:r w:rsidR="00305B24" w:rsidRPr="00ED2B1F">
        <w:t>94</w:t>
      </w:r>
      <w:r w:rsidRPr="00ED2B1F">
        <w:t xml:space="preserve"> people received ECT (5.</w:t>
      </w:r>
      <w:r w:rsidR="00305B24" w:rsidRPr="00ED2B1F">
        <w:t>5</w:t>
      </w:r>
      <w:r w:rsidRPr="00ED2B1F">
        <w:t xml:space="preserve"> people per 100,000 population).</w:t>
      </w:r>
    </w:p>
    <w:p w14:paraId="535FFCFB" w14:textId="25C00080" w:rsidR="00BB7D17" w:rsidRPr="00ED2B1F" w:rsidRDefault="00BB7D17" w:rsidP="00BB7D17">
      <w:pPr>
        <w:pStyle w:val="Bullet"/>
      </w:pPr>
      <w:r w:rsidRPr="00ED2B1F">
        <w:t>Services administered a total of 3,</w:t>
      </w:r>
      <w:r w:rsidR="00B01320" w:rsidRPr="00ED2B1F">
        <w:t>531</w:t>
      </w:r>
      <w:r w:rsidRPr="00ED2B1F">
        <w:t xml:space="preserve"> treatments of ECT.</w:t>
      </w:r>
    </w:p>
    <w:p w14:paraId="24790499" w14:textId="642E6FF6" w:rsidR="00BB7D17" w:rsidRPr="00ED2B1F" w:rsidRDefault="00BB7D17" w:rsidP="00BB7D17">
      <w:pPr>
        <w:pStyle w:val="Bullet"/>
      </w:pPr>
      <w:r w:rsidRPr="00ED2B1F">
        <w:t xml:space="preserve">ECT patients received an average of </w:t>
      </w:r>
      <w:r w:rsidR="00B01320" w:rsidRPr="00ED2B1F">
        <w:t>12.0</w:t>
      </w:r>
      <w:r w:rsidRPr="00ED2B1F">
        <w:t xml:space="preserve"> ECT treatments each over the year.</w:t>
      </w:r>
    </w:p>
    <w:p w14:paraId="51B22C23" w14:textId="1FA2173A" w:rsidR="00BB7D17" w:rsidRPr="00ED2B1F" w:rsidRDefault="00BB7D17" w:rsidP="00BB7D17">
      <w:pPr>
        <w:pStyle w:val="Bullet"/>
      </w:pPr>
      <w:r w:rsidRPr="00ED2B1F">
        <w:t>Females (</w:t>
      </w:r>
      <w:r w:rsidR="00C43D4F" w:rsidRPr="00ED2B1F">
        <w:t>62.2</w:t>
      </w:r>
      <w:r w:rsidRPr="00ED2B1F">
        <w:t>%) were more likely to receive ECT than males (</w:t>
      </w:r>
      <w:r w:rsidR="00C43D4F" w:rsidRPr="00ED2B1F">
        <w:t>37.4</w:t>
      </w:r>
      <w:r w:rsidRPr="00ED2B1F">
        <w:t>%).</w:t>
      </w:r>
    </w:p>
    <w:p w14:paraId="3B540A4A" w14:textId="0ACEDF5E" w:rsidR="00BB7D17" w:rsidRPr="00ED2B1F" w:rsidRDefault="00BB7D17" w:rsidP="00BB7D17">
      <w:pPr>
        <w:pStyle w:val="Bullet"/>
      </w:pPr>
      <w:r w:rsidRPr="00ED2B1F">
        <w:t xml:space="preserve">Older people were more likely to receive ECT. Those aged over 50 years made up </w:t>
      </w:r>
      <w:r w:rsidR="000A1EEE" w:rsidRPr="00ED2B1F">
        <w:t>68.0</w:t>
      </w:r>
      <w:r w:rsidRPr="00ED2B1F">
        <w:t>% of ECT patients.</w:t>
      </w:r>
    </w:p>
    <w:p w14:paraId="5A887B3C" w14:textId="4F06200F" w:rsidR="00C060CC" w:rsidRPr="00C060CC" w:rsidRDefault="00C060CC" w:rsidP="001A63ED">
      <w:pPr>
        <w:pStyle w:val="Bullet"/>
      </w:pPr>
      <w:bookmarkStart w:id="452" w:name="_Toc115188826"/>
      <w:bookmarkStart w:id="453" w:name="_Toc145394252"/>
      <w:bookmarkStart w:id="454" w:name="_Toc189053922"/>
      <w:bookmarkStart w:id="455" w:name="_Toc65141635"/>
      <w:bookmarkStart w:id="456" w:name="_Toc75176460"/>
      <w:bookmarkStart w:id="457" w:name="_Toc87429928"/>
      <w:bookmarkStart w:id="458" w:name="_Toc88826976"/>
      <w:r w:rsidRPr="00C060CC">
        <w:t>For every 100,000 specialist service users, 166.2 received ECT</w:t>
      </w:r>
      <w:r>
        <w:t>.</w:t>
      </w:r>
    </w:p>
    <w:p w14:paraId="221B8EFA" w14:textId="77777777" w:rsidR="00BB7D17" w:rsidRPr="00ED2B1F" w:rsidRDefault="00BB7D17" w:rsidP="007A34A3">
      <w:pPr>
        <w:pStyle w:val="Heading2"/>
      </w:pPr>
      <w:bookmarkStart w:id="459" w:name="_Toc224638110"/>
      <w:r w:rsidRPr="00ED2B1F">
        <w:t>Number of people receiving ECT</w:t>
      </w:r>
      <w:bookmarkEnd w:id="452"/>
      <w:bookmarkEnd w:id="453"/>
      <w:bookmarkEnd w:id="454"/>
      <w:bookmarkEnd w:id="459"/>
      <w:r w:rsidRPr="00ED2B1F">
        <w:t xml:space="preserve"> </w:t>
      </w:r>
      <w:bookmarkEnd w:id="455"/>
      <w:bookmarkEnd w:id="456"/>
      <w:bookmarkEnd w:id="457"/>
      <w:bookmarkEnd w:id="458"/>
    </w:p>
    <w:p w14:paraId="3F6641CA" w14:textId="35C61464" w:rsidR="00E96DD0" w:rsidRPr="00ED2B1F" w:rsidRDefault="00E96DD0" w:rsidP="0024354A">
      <w:r w:rsidRPr="00ED2B1F">
        <w:t xml:space="preserve">Around 200 to 300 people receive ECT treatment each year. This number has remained relatively stable since </w:t>
      </w:r>
      <w:r w:rsidR="005A7DBE" w:rsidRPr="00ED2B1F">
        <w:t xml:space="preserve">2010 </w:t>
      </w:r>
      <w:r w:rsidR="0024354A" w:rsidRPr="00ED2B1F">
        <w:t>(</w:t>
      </w:r>
      <w:r w:rsidR="0024354A" w:rsidRPr="00ED2B1F">
        <w:fldChar w:fldCharType="begin"/>
      </w:r>
      <w:r w:rsidR="0024354A" w:rsidRPr="00ED2B1F">
        <w:instrText xml:space="preserve"> REF _Ref189454844 \h </w:instrText>
      </w:r>
      <w:r w:rsidR="0024354A" w:rsidRPr="00ED2B1F">
        <w:fldChar w:fldCharType="separate"/>
      </w:r>
      <w:r w:rsidR="00484E57" w:rsidRPr="00ED2B1F">
        <w:t>Figure </w:t>
      </w:r>
      <w:r w:rsidR="00484E57">
        <w:rPr>
          <w:noProof/>
        </w:rPr>
        <w:t>35</w:t>
      </w:r>
      <w:r w:rsidR="0024354A" w:rsidRPr="00ED2B1F">
        <w:fldChar w:fldCharType="end"/>
      </w:r>
      <w:r w:rsidR="0024354A" w:rsidRPr="00ED2B1F">
        <w:t>)</w:t>
      </w:r>
      <w:r w:rsidRPr="00ED2B1F">
        <w:t>.</w:t>
      </w:r>
      <w:r w:rsidR="00E278F6">
        <w:t xml:space="preserve"> Figure 36 shows the rate of people per 100,000 population receiving ECT.</w:t>
      </w:r>
    </w:p>
    <w:p w14:paraId="55FC168D" w14:textId="77777777" w:rsidR="00BE3072" w:rsidRPr="00ED2B1F" w:rsidRDefault="00BE3072" w:rsidP="0024354A"/>
    <w:p w14:paraId="0413A699" w14:textId="628B766A" w:rsidR="00BB7D17" w:rsidRPr="00ED2B1F" w:rsidRDefault="00BB7D17" w:rsidP="00C103C7">
      <w:pPr>
        <w:pStyle w:val="Figure"/>
      </w:pPr>
      <w:bookmarkStart w:id="460" w:name="_Ref141109299"/>
      <w:bookmarkStart w:id="461" w:name="_Ref189454844"/>
      <w:bookmarkStart w:id="462" w:name="_Toc63764791"/>
      <w:bookmarkStart w:id="463" w:name="_Toc75176502"/>
      <w:bookmarkStart w:id="464" w:name="_Toc85442595"/>
      <w:bookmarkStart w:id="465" w:name="_Toc85445948"/>
      <w:bookmarkStart w:id="466" w:name="_Toc87429988"/>
      <w:bookmarkStart w:id="467" w:name="_Toc88561420"/>
      <w:bookmarkStart w:id="468" w:name="_Toc115188880"/>
      <w:bookmarkStart w:id="469" w:name="_Ref141109282"/>
      <w:bookmarkStart w:id="470" w:name="_Toc142314722"/>
      <w:bookmarkStart w:id="471" w:name="_Toc145394304"/>
      <w:bookmarkStart w:id="472" w:name="_Toc189053979"/>
      <w:bookmarkStart w:id="473" w:name="_Toc224638207"/>
      <w:r w:rsidRPr="00ED2B1F">
        <w:t>Figure </w:t>
      </w:r>
      <w:r w:rsidRPr="00ED2B1F">
        <w:fldChar w:fldCharType="begin"/>
      </w:r>
      <w:r w:rsidRPr="00ED2B1F">
        <w:instrText>SEQ Figure \* ARABIC</w:instrText>
      </w:r>
      <w:r w:rsidRPr="00ED2B1F">
        <w:fldChar w:fldCharType="separate"/>
      </w:r>
      <w:r w:rsidR="00484E57">
        <w:rPr>
          <w:noProof/>
        </w:rPr>
        <w:t>35</w:t>
      </w:r>
      <w:r w:rsidRPr="00ED2B1F">
        <w:fldChar w:fldCharType="end"/>
      </w:r>
      <w:bookmarkEnd w:id="460"/>
      <w:bookmarkEnd w:id="461"/>
      <w:r w:rsidRPr="00ED2B1F">
        <w:t xml:space="preserve">: Number of ECT patients, </w:t>
      </w:r>
      <w:r w:rsidR="00C67BBB" w:rsidRPr="00ED2B1F">
        <w:t xml:space="preserve">2010 </w:t>
      </w:r>
      <w:r w:rsidRPr="00ED2B1F">
        <w:t xml:space="preserve">to </w:t>
      </w:r>
      <w:bookmarkEnd w:id="462"/>
      <w:bookmarkEnd w:id="463"/>
      <w:bookmarkEnd w:id="464"/>
      <w:bookmarkEnd w:id="465"/>
      <w:bookmarkEnd w:id="466"/>
      <w:bookmarkEnd w:id="467"/>
      <w:bookmarkEnd w:id="468"/>
      <w:bookmarkEnd w:id="469"/>
      <w:bookmarkEnd w:id="470"/>
      <w:bookmarkEnd w:id="471"/>
      <w:bookmarkEnd w:id="472"/>
      <w:r w:rsidR="00211D17" w:rsidRPr="00ED2B1F">
        <w:t>2023/24</w:t>
      </w:r>
      <w:bookmarkEnd w:id="473"/>
    </w:p>
    <w:p w14:paraId="4F25FE76" w14:textId="5475EB3E" w:rsidR="00BB7D17" w:rsidRPr="00ED2B1F" w:rsidRDefault="0062401C" w:rsidP="00BB7D17">
      <w:pPr>
        <w:rPr>
          <w:rFonts w:eastAsia="Arial Unicode MS"/>
        </w:rPr>
      </w:pPr>
      <w:r>
        <w:rPr>
          <w:rFonts w:eastAsia="Arial Unicode MS"/>
          <w:noProof/>
        </w:rPr>
        <w:drawing>
          <wp:inline distT="0" distB="0" distL="0" distR="0" wp14:anchorId="7BBFD158" wp14:editId="76E771C7">
            <wp:extent cx="5084445" cy="2322830"/>
            <wp:effectExtent l="0" t="0" r="1905" b="1270"/>
            <wp:docPr id="139919319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93196" name="Picture 36">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4445" cy="2322830"/>
                    </a:xfrm>
                    <a:prstGeom prst="rect">
                      <a:avLst/>
                    </a:prstGeom>
                    <a:noFill/>
                  </pic:spPr>
                </pic:pic>
              </a:graphicData>
            </a:graphic>
          </wp:inline>
        </w:drawing>
      </w:r>
    </w:p>
    <w:p w14:paraId="3FA17E9C" w14:textId="77777777" w:rsidR="00CC2148" w:rsidRPr="00ED2B1F" w:rsidRDefault="00CC2148" w:rsidP="00CC2148">
      <w:pPr>
        <w:pStyle w:val="Note"/>
      </w:pPr>
      <w:r>
        <w:t>Note: in the 2022/23 Regulatory Report we incorrectly labelled the equivalent graph (Figure 38) as showing the rate per 100,000 population. The caption should have stated that the figure showed the number of ECT patients.</w:t>
      </w:r>
    </w:p>
    <w:p w14:paraId="5812C04F" w14:textId="4811CEED" w:rsidR="00CC54DD" w:rsidRPr="00CC2148" w:rsidRDefault="00BB7D17" w:rsidP="00CC2148">
      <w:pPr>
        <w:pStyle w:val="Source"/>
      </w:pPr>
      <w:r w:rsidRPr="00CC2148">
        <w:t xml:space="preserve">Sources: </w:t>
      </w:r>
      <w:r w:rsidR="00EF11E6" w:rsidRPr="00CC2148">
        <w:t>2023/24</w:t>
      </w:r>
      <w:r w:rsidRPr="00CC2148">
        <w:t xml:space="preserve"> PRIMHD data (extracted </w:t>
      </w:r>
      <w:r w:rsidR="00955846" w:rsidRPr="00CC2148">
        <w:t>10 June 2025</w:t>
      </w:r>
      <w:r w:rsidRPr="00CC2148">
        <w:t xml:space="preserve">) and manual data for </w:t>
      </w:r>
      <w:bookmarkStart w:id="474" w:name="_Hlk214443237"/>
      <w:r w:rsidRPr="00CC2148">
        <w:t xml:space="preserve">Health New Zealand </w:t>
      </w:r>
      <w:r w:rsidR="0057268E" w:rsidRPr="00CC2148">
        <w:t xml:space="preserve">Capital </w:t>
      </w:r>
      <w:r w:rsidR="000C673F" w:rsidRPr="00CC2148">
        <w:t xml:space="preserve">&amp; </w:t>
      </w:r>
      <w:r w:rsidR="0057268E" w:rsidRPr="00CC2148">
        <w:t>Coast, Hawke’s Bay, Southern and Waikato</w:t>
      </w:r>
      <w:bookmarkEnd w:id="474"/>
      <w:r w:rsidR="0057268E" w:rsidRPr="00CC2148">
        <w:t xml:space="preserve">. </w:t>
      </w:r>
      <w:r w:rsidRPr="00CC2148">
        <w:t>All years before 2020/21 are calendar years.</w:t>
      </w:r>
    </w:p>
    <w:p w14:paraId="71DEE79E" w14:textId="6D93F9C5" w:rsidR="009202B8" w:rsidRPr="00ED2B1F" w:rsidRDefault="009202B8" w:rsidP="00C103C7">
      <w:pPr>
        <w:pStyle w:val="Figure"/>
      </w:pPr>
      <w:bookmarkStart w:id="475" w:name="_Toc224638208"/>
      <w:r w:rsidRPr="00ED2B1F">
        <w:lastRenderedPageBreak/>
        <w:t>Figure </w:t>
      </w:r>
      <w:r w:rsidRPr="00ED2B1F">
        <w:fldChar w:fldCharType="begin"/>
      </w:r>
      <w:r w:rsidRPr="00ED2B1F">
        <w:instrText>SEQ Figure \* ARABIC</w:instrText>
      </w:r>
      <w:r w:rsidRPr="00ED2B1F">
        <w:fldChar w:fldCharType="separate"/>
      </w:r>
      <w:r w:rsidR="00484E57">
        <w:rPr>
          <w:noProof/>
        </w:rPr>
        <w:t>36</w:t>
      </w:r>
      <w:r w:rsidRPr="00ED2B1F">
        <w:fldChar w:fldCharType="end"/>
      </w:r>
      <w:r w:rsidRPr="00ED2B1F">
        <w:t>: Rate of ECT patients per 100,000 population, 2010 to 2023/24</w:t>
      </w:r>
      <w:bookmarkEnd w:id="475"/>
    </w:p>
    <w:p w14:paraId="0F689E86" w14:textId="750CBC14" w:rsidR="009202B8" w:rsidRPr="00ED2B1F" w:rsidRDefault="0062401C" w:rsidP="009202B8">
      <w:r>
        <w:rPr>
          <w:noProof/>
        </w:rPr>
        <w:drawing>
          <wp:inline distT="0" distB="0" distL="0" distR="0" wp14:anchorId="46C86291" wp14:editId="2804CE90">
            <wp:extent cx="5133340" cy="2468880"/>
            <wp:effectExtent l="0" t="0" r="0" b="7620"/>
            <wp:docPr id="1753378129"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78129" name="Picture 37">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33340" cy="2468880"/>
                    </a:xfrm>
                    <a:prstGeom prst="rect">
                      <a:avLst/>
                    </a:prstGeom>
                    <a:noFill/>
                  </pic:spPr>
                </pic:pic>
              </a:graphicData>
            </a:graphic>
          </wp:inline>
        </w:drawing>
      </w:r>
    </w:p>
    <w:p w14:paraId="3B96338D" w14:textId="1BE4E50B" w:rsidR="009202B8" w:rsidRPr="00ED2B1F" w:rsidRDefault="009202B8" w:rsidP="009202B8">
      <w:pPr>
        <w:pStyle w:val="Source"/>
      </w:pPr>
      <w:r w:rsidRPr="00ED2B1F">
        <w:t xml:space="preserve">Sources: </w:t>
      </w:r>
      <w:r w:rsidR="00EF11E6">
        <w:t>2023/24</w:t>
      </w:r>
      <w:r w:rsidRPr="00ED2B1F">
        <w:t xml:space="preserve"> PRIMHD data (extracted 10 June 2025) and manual data for Health New Zealand Capital </w:t>
      </w:r>
      <w:r w:rsidR="000C673F" w:rsidRPr="00ED2B1F">
        <w:t xml:space="preserve">&amp; </w:t>
      </w:r>
      <w:r w:rsidRPr="00ED2B1F">
        <w:t>Coast, Hawke’s Bay, Southern and Waikato. All years before 2020/21 are calendar years.</w:t>
      </w:r>
    </w:p>
    <w:p w14:paraId="6F8D83DA" w14:textId="77777777" w:rsidR="00BB7D17" w:rsidRPr="00ED2B1F" w:rsidRDefault="00BB7D17" w:rsidP="007A34A3">
      <w:pPr>
        <w:pStyle w:val="Heading2"/>
      </w:pPr>
      <w:bookmarkStart w:id="476" w:name="_Toc65141636"/>
      <w:bookmarkStart w:id="477" w:name="_Toc75176461"/>
      <w:bookmarkStart w:id="478" w:name="_Toc87429929"/>
      <w:bookmarkStart w:id="479" w:name="_Toc88826977"/>
      <w:bookmarkStart w:id="480" w:name="_Toc115188827"/>
      <w:bookmarkStart w:id="481" w:name="_Toc145394253"/>
      <w:bookmarkStart w:id="482" w:name="_Toc189053923"/>
      <w:bookmarkStart w:id="483" w:name="_Toc224638111"/>
      <w:r w:rsidRPr="00ED2B1F">
        <w:t xml:space="preserve">ECT by </w:t>
      </w:r>
      <w:bookmarkEnd w:id="476"/>
      <w:bookmarkEnd w:id="477"/>
      <w:bookmarkEnd w:id="478"/>
      <w:bookmarkEnd w:id="479"/>
      <w:bookmarkEnd w:id="480"/>
      <w:bookmarkEnd w:id="481"/>
      <w:r w:rsidRPr="00ED2B1F">
        <w:t>region</w:t>
      </w:r>
      <w:bookmarkEnd w:id="482"/>
      <w:bookmarkEnd w:id="483"/>
    </w:p>
    <w:p w14:paraId="2308319E" w14:textId="4A2CA57C" w:rsidR="00BB7D17" w:rsidRPr="00ED2B1F" w:rsidRDefault="00E96DD0" w:rsidP="00BB7D17">
      <w:r w:rsidRPr="00ED2B1F">
        <w:t>The number and rate of ECT treatments vary regionally (</w:t>
      </w:r>
      <w:r w:rsidRPr="00ED2B1F">
        <w:fldChar w:fldCharType="begin"/>
      </w:r>
      <w:r w:rsidRPr="00ED2B1F">
        <w:instrText xml:space="preserve"> REF _Ref85452298 \h </w:instrText>
      </w:r>
      <w:r w:rsidRPr="00ED2B1F">
        <w:fldChar w:fldCharType="separate"/>
      </w:r>
      <w:r w:rsidR="00484E57" w:rsidRPr="00ED2B1F">
        <w:t>Table </w:t>
      </w:r>
      <w:r w:rsidR="00484E57">
        <w:rPr>
          <w:noProof/>
        </w:rPr>
        <w:t>17</w:t>
      </w:r>
      <w:r w:rsidRPr="00ED2B1F">
        <w:fldChar w:fldCharType="end"/>
      </w:r>
      <w:r w:rsidRPr="00ED2B1F">
        <w:t xml:space="preserve"> and </w:t>
      </w:r>
      <w:r w:rsidRPr="00ED2B1F">
        <w:fldChar w:fldCharType="begin"/>
      </w:r>
      <w:r w:rsidRPr="00ED2B1F">
        <w:instrText xml:space="preserve"> REF _Ref86343700 \h </w:instrText>
      </w:r>
      <w:r w:rsidRPr="00ED2B1F">
        <w:fldChar w:fldCharType="separate"/>
      </w:r>
      <w:r w:rsidR="00484E57" w:rsidRPr="00ED2B1F">
        <w:t>Figure </w:t>
      </w:r>
      <w:r w:rsidR="00484E57">
        <w:rPr>
          <w:noProof/>
        </w:rPr>
        <w:t>37</w:t>
      </w:r>
      <w:r w:rsidRPr="00ED2B1F">
        <w:fldChar w:fldCharType="end"/>
      </w:r>
      <w:r w:rsidRPr="00ED2B1F">
        <w:t xml:space="preserve">, </w:t>
      </w:r>
      <w:r w:rsidRPr="00ED2B1F">
        <w:fldChar w:fldCharType="begin"/>
      </w:r>
      <w:r w:rsidRPr="00ED2B1F">
        <w:instrText xml:space="preserve"> REF _Ref111472332 \h </w:instrText>
      </w:r>
      <w:r w:rsidRPr="00ED2B1F">
        <w:fldChar w:fldCharType="separate"/>
      </w:r>
      <w:r w:rsidR="00484E57" w:rsidRPr="00ED2B1F">
        <w:t>Figure </w:t>
      </w:r>
      <w:r w:rsidR="00484E57">
        <w:rPr>
          <w:noProof/>
        </w:rPr>
        <w:t>38</w:t>
      </w:r>
      <w:r w:rsidRPr="00ED2B1F">
        <w:fldChar w:fldCharType="end"/>
      </w:r>
      <w:r w:rsidRPr="00ED2B1F">
        <w:t xml:space="preserve"> and</w:t>
      </w:r>
      <w:r w:rsidR="000420E5" w:rsidRPr="00ED2B1F">
        <w:t xml:space="preserve"> </w:t>
      </w:r>
      <w:r w:rsidR="000420E5" w:rsidRPr="00ED2B1F">
        <w:fldChar w:fldCharType="begin"/>
      </w:r>
      <w:r w:rsidR="000420E5" w:rsidRPr="00ED2B1F">
        <w:instrText xml:space="preserve"> REF _Ref189454994 \h </w:instrText>
      </w:r>
      <w:r w:rsidR="000420E5" w:rsidRPr="00ED2B1F">
        <w:fldChar w:fldCharType="separate"/>
      </w:r>
      <w:r w:rsidR="00484E57" w:rsidRPr="00ED2B1F">
        <w:t>Figure </w:t>
      </w:r>
      <w:r w:rsidR="00484E57">
        <w:rPr>
          <w:noProof/>
        </w:rPr>
        <w:t>39</w:t>
      </w:r>
      <w:r w:rsidR="000420E5" w:rsidRPr="00ED2B1F">
        <w:fldChar w:fldCharType="end"/>
      </w:r>
      <w:r w:rsidRPr="00ED2B1F">
        <w:t xml:space="preserve">). Several factors help to explain these variations. </w:t>
      </w:r>
    </w:p>
    <w:p w14:paraId="0C6431C6" w14:textId="77777777" w:rsidR="00BB7D17" w:rsidRPr="00CC2148" w:rsidRDefault="00BB7D17" w:rsidP="00CC2148">
      <w:pPr>
        <w:pStyle w:val="Bullet"/>
      </w:pPr>
      <w:r w:rsidRPr="00CC2148">
        <w:t xml:space="preserve">Districts with smaller populations are more vulnerable to variations between years (based on the needs of the population at any given time). </w:t>
      </w:r>
    </w:p>
    <w:p w14:paraId="7AD63552" w14:textId="77777777" w:rsidR="00BB7D17" w:rsidRPr="00CC2148" w:rsidRDefault="00BB7D17" w:rsidP="00CC2148">
      <w:pPr>
        <w:pStyle w:val="Bullet"/>
      </w:pPr>
      <w:r w:rsidRPr="00CC2148">
        <w:t xml:space="preserve">People receiving ECT treatment to maintain the improvement in their mental health will typically receive more treatments in a year than those treated with an acute course. </w:t>
      </w:r>
    </w:p>
    <w:p w14:paraId="06C87411" w14:textId="77777777" w:rsidR="00BB7D17" w:rsidRPr="00CC2148" w:rsidRDefault="00BB7D17" w:rsidP="00CC2148">
      <w:pPr>
        <w:pStyle w:val="Bullet"/>
      </w:pPr>
      <w:r w:rsidRPr="00CC2148">
        <w:t>People in some districts have fewer barriers to accessing ECT services than those in other districts. Some districts have no ECT facilities.</w:t>
      </w:r>
    </w:p>
    <w:p w14:paraId="376A5E0B" w14:textId="77777777" w:rsidR="00CC2148" w:rsidRDefault="00CC2148" w:rsidP="00BB7D17"/>
    <w:p w14:paraId="53196B98" w14:textId="227D2E6A" w:rsidR="00BB7D17" w:rsidRPr="00ED2B1F" w:rsidRDefault="00BB7D17" w:rsidP="00BB7D17">
      <w:r w:rsidRPr="00ED2B1F">
        <w:t>It is important to keep these factors in mind when interpreting the following information.</w:t>
      </w:r>
    </w:p>
    <w:p w14:paraId="114181A2" w14:textId="77777777" w:rsidR="00BB7D17" w:rsidRPr="00ED2B1F" w:rsidRDefault="00BB7D17" w:rsidP="00BB7D17"/>
    <w:p w14:paraId="1916EE68" w14:textId="2D4E56E0" w:rsidR="00BB7D17" w:rsidRPr="00ED2B1F" w:rsidRDefault="00C816FB" w:rsidP="00BB7D17">
      <w:pPr>
        <w:spacing w:after="60"/>
      </w:pPr>
      <w:r w:rsidRPr="00ED2B1F">
        <w:t>As</w:t>
      </w:r>
      <w:r w:rsidR="00195AE4" w:rsidRPr="00ED2B1F" w:rsidDel="00C816FB">
        <w:t xml:space="preserve"> </w:t>
      </w:r>
      <w:r w:rsidR="00195AE4" w:rsidRPr="00ED2B1F">
        <w:t xml:space="preserve">in the 2022/23 </w:t>
      </w:r>
      <w:r w:rsidR="00306AD9" w:rsidRPr="00ED2B1F">
        <w:t>Regulatory Report, this</w:t>
      </w:r>
      <w:r w:rsidR="00BB7D17" w:rsidRPr="00ED2B1F">
        <w:t xml:space="preserve"> data </w:t>
      </w:r>
      <w:r w:rsidR="00306AD9" w:rsidRPr="00ED2B1F">
        <w:t xml:space="preserve">is reported </w:t>
      </w:r>
      <w:r w:rsidR="00BB7D17" w:rsidRPr="00ED2B1F">
        <w:t>regionally to protect the privacy of individuals. These regions are:</w:t>
      </w:r>
    </w:p>
    <w:p w14:paraId="1FC4DB5B" w14:textId="3167A76B" w:rsidR="00BB7D17" w:rsidRPr="00CC2148" w:rsidRDefault="00BB7D17" w:rsidP="00CC2148">
      <w:pPr>
        <w:pStyle w:val="Bullet"/>
      </w:pPr>
      <w:r w:rsidRPr="00CC2148">
        <w:t>Northern</w:t>
      </w:r>
      <w:r w:rsidR="00C816FB" w:rsidRPr="00CC2148">
        <w:t xml:space="preserve"> –</w:t>
      </w:r>
      <w:r w:rsidRPr="00CC2148">
        <w:t xml:space="preserve"> covering Health New Zealand Northland, Waitematā, Auckland and Counties Manukau</w:t>
      </w:r>
    </w:p>
    <w:p w14:paraId="5E200826" w14:textId="708E77C1" w:rsidR="00BB7D17" w:rsidRPr="00CC2148" w:rsidRDefault="00BB7D17" w:rsidP="00CC2148">
      <w:pPr>
        <w:pStyle w:val="Bullet"/>
      </w:pPr>
      <w:r w:rsidRPr="00CC2148">
        <w:t>Midland</w:t>
      </w:r>
      <w:r w:rsidR="00C816FB" w:rsidRPr="00CC2148">
        <w:t xml:space="preserve"> –</w:t>
      </w:r>
      <w:r w:rsidRPr="00CC2148">
        <w:t xml:space="preserve"> covering Health New Zealand Waikato, Bay of Plenty, Tairāwhiti, Lakes and Taranaki</w:t>
      </w:r>
    </w:p>
    <w:p w14:paraId="0DE58EB2" w14:textId="249516AF" w:rsidR="00BB7D17" w:rsidRPr="00CC2148" w:rsidRDefault="00BB7D17" w:rsidP="00CC2148">
      <w:pPr>
        <w:pStyle w:val="Bullet"/>
      </w:pPr>
      <w:r w:rsidRPr="00CC2148">
        <w:t>Central</w:t>
      </w:r>
      <w:r w:rsidR="00C816FB" w:rsidRPr="00CC2148">
        <w:t xml:space="preserve"> –</w:t>
      </w:r>
      <w:r w:rsidRPr="00CC2148">
        <w:t xml:space="preserve"> covering Health New Zealand Whanganui, Hawke’s Bay, MidCentral, Wairarapa, and Capital, Coast and Hutt Valley</w:t>
      </w:r>
    </w:p>
    <w:p w14:paraId="3AA003ED" w14:textId="0693FCE3" w:rsidR="00BB7D17" w:rsidRPr="00CC2148" w:rsidRDefault="00BB7D17" w:rsidP="00CC2148">
      <w:pPr>
        <w:pStyle w:val="Bullet"/>
      </w:pPr>
      <w:r w:rsidRPr="00CC2148">
        <w:t>South Island</w:t>
      </w:r>
      <w:r w:rsidR="00C816FB" w:rsidRPr="00CC2148">
        <w:t xml:space="preserve"> –</w:t>
      </w:r>
      <w:r w:rsidRPr="00CC2148">
        <w:t xml:space="preserve"> covering Health New Zealand Nelson Marlborough, West Coast, Canterbury, South Canterbury and Southern.</w:t>
      </w:r>
    </w:p>
    <w:p w14:paraId="27C37CF5" w14:textId="77777777" w:rsidR="00BB7D17" w:rsidRPr="00ED2B1F" w:rsidRDefault="00BB7D17" w:rsidP="00BB7D17"/>
    <w:p w14:paraId="119D7F06" w14:textId="00F1DA4A" w:rsidR="00BB7D17" w:rsidRPr="00ED2B1F" w:rsidRDefault="00BB7D17" w:rsidP="00C103C7">
      <w:pPr>
        <w:pStyle w:val="Table"/>
      </w:pPr>
      <w:bookmarkStart w:id="484" w:name="_Ref85452298"/>
      <w:bookmarkStart w:id="485" w:name="_Toc87430016"/>
      <w:bookmarkStart w:id="486" w:name="_Toc88561373"/>
      <w:bookmarkStart w:id="487" w:name="_Toc115188908"/>
      <w:bookmarkStart w:id="488" w:name="_Ref141109359"/>
      <w:bookmarkStart w:id="489" w:name="_Toc142314767"/>
      <w:bookmarkStart w:id="490" w:name="_Toc145394330"/>
      <w:bookmarkStart w:id="491" w:name="_Toc189054008"/>
      <w:bookmarkStart w:id="492" w:name="_Toc224638237"/>
      <w:r w:rsidRPr="00ED2B1F">
        <w:lastRenderedPageBreak/>
        <w:t>Table </w:t>
      </w:r>
      <w:r w:rsidRPr="00ED2B1F">
        <w:fldChar w:fldCharType="begin"/>
      </w:r>
      <w:r w:rsidRPr="00ED2B1F">
        <w:instrText>SEQ Table \* ARABIC</w:instrText>
      </w:r>
      <w:r w:rsidRPr="00ED2B1F">
        <w:fldChar w:fldCharType="separate"/>
      </w:r>
      <w:r w:rsidR="00484E57">
        <w:rPr>
          <w:noProof/>
        </w:rPr>
        <w:t>17</w:t>
      </w:r>
      <w:r w:rsidRPr="00ED2B1F">
        <w:fldChar w:fldCharType="end"/>
      </w:r>
      <w:bookmarkEnd w:id="484"/>
      <w:r w:rsidRPr="00ED2B1F">
        <w:t xml:space="preserve">: ECT indicators, by region of domicile, </w:t>
      </w:r>
      <w:bookmarkEnd w:id="485"/>
      <w:bookmarkEnd w:id="486"/>
      <w:bookmarkEnd w:id="487"/>
      <w:bookmarkEnd w:id="488"/>
      <w:bookmarkEnd w:id="489"/>
      <w:bookmarkEnd w:id="490"/>
      <w:bookmarkEnd w:id="491"/>
      <w:r w:rsidR="00211D17" w:rsidRPr="00ED2B1F">
        <w:t>1 July 2023 to 30 June 2024</w:t>
      </w:r>
      <w:bookmarkEnd w:id="492"/>
    </w:p>
    <w:tbl>
      <w:tblPr>
        <w:tblW w:w="4931"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2097"/>
        <w:gridCol w:w="1957"/>
        <w:gridCol w:w="1398"/>
        <w:gridCol w:w="2516"/>
      </w:tblGrid>
      <w:tr w:rsidR="00BB7D17" w:rsidRPr="00ED2B1F" w14:paraId="4F48C436" w14:textId="77777777" w:rsidTr="00CC2148">
        <w:trPr>
          <w:cantSplit/>
        </w:trPr>
        <w:tc>
          <w:tcPr>
            <w:tcW w:w="1316" w:type="pct"/>
            <w:tcBorders>
              <w:top w:val="nil"/>
              <w:bottom w:val="nil"/>
            </w:tcBorders>
            <w:shd w:val="clear" w:color="auto" w:fill="D9D9D9" w:themeFill="background1" w:themeFillShade="D9"/>
          </w:tcPr>
          <w:p w14:paraId="621ECF9C" w14:textId="77777777" w:rsidR="00BB7D17" w:rsidRPr="00CC2148" w:rsidRDefault="00BB7D17" w:rsidP="00E96DD0">
            <w:pPr>
              <w:pStyle w:val="TableText"/>
              <w:keepNext/>
              <w:spacing w:before="50" w:after="50"/>
              <w:rPr>
                <w:b/>
              </w:rPr>
            </w:pPr>
            <w:r w:rsidRPr="00CC2148">
              <w:rPr>
                <w:b/>
              </w:rPr>
              <w:t>Region of domicile</w:t>
            </w:r>
          </w:p>
        </w:tc>
        <w:tc>
          <w:tcPr>
            <w:tcW w:w="1228" w:type="pct"/>
            <w:tcBorders>
              <w:top w:val="nil"/>
              <w:bottom w:val="nil"/>
            </w:tcBorders>
            <w:shd w:val="clear" w:color="auto" w:fill="D9D9D9" w:themeFill="background1" w:themeFillShade="D9"/>
          </w:tcPr>
          <w:p w14:paraId="530F89FC" w14:textId="77777777" w:rsidR="00BB7D17" w:rsidRPr="00CC2148" w:rsidRDefault="00BB7D17" w:rsidP="00E96DD0">
            <w:pPr>
              <w:pStyle w:val="TableText"/>
              <w:keepNext/>
              <w:spacing w:before="50" w:after="50"/>
              <w:jc w:val="center"/>
              <w:rPr>
                <w:b/>
              </w:rPr>
            </w:pPr>
            <w:r w:rsidRPr="00CC2148">
              <w:rPr>
                <w:b/>
              </w:rPr>
              <w:t>Number of people treated with ECT</w:t>
            </w:r>
          </w:p>
        </w:tc>
        <w:tc>
          <w:tcPr>
            <w:tcW w:w="877" w:type="pct"/>
            <w:tcBorders>
              <w:top w:val="nil"/>
              <w:bottom w:val="nil"/>
            </w:tcBorders>
            <w:shd w:val="clear" w:color="auto" w:fill="D9D9D9" w:themeFill="background1" w:themeFillShade="D9"/>
          </w:tcPr>
          <w:p w14:paraId="162D5B1F" w14:textId="77777777" w:rsidR="00BB7D17" w:rsidRPr="00CC2148" w:rsidRDefault="00BB7D17" w:rsidP="00E96DD0">
            <w:pPr>
              <w:pStyle w:val="TableText"/>
              <w:keepNext/>
              <w:spacing w:before="50" w:after="50"/>
              <w:jc w:val="center"/>
              <w:rPr>
                <w:b/>
              </w:rPr>
            </w:pPr>
            <w:r w:rsidRPr="00CC2148">
              <w:rPr>
                <w:b/>
              </w:rPr>
              <w:t>Number of treatments</w:t>
            </w:r>
          </w:p>
        </w:tc>
        <w:tc>
          <w:tcPr>
            <w:tcW w:w="1579" w:type="pct"/>
            <w:tcBorders>
              <w:top w:val="nil"/>
              <w:bottom w:val="nil"/>
            </w:tcBorders>
            <w:shd w:val="clear" w:color="auto" w:fill="D9D9D9" w:themeFill="background1" w:themeFillShade="D9"/>
          </w:tcPr>
          <w:p w14:paraId="650D6E2E" w14:textId="77777777" w:rsidR="00BB7D17" w:rsidRPr="00CC2148" w:rsidRDefault="00BB7D17" w:rsidP="00E96DD0">
            <w:pPr>
              <w:pStyle w:val="TableText"/>
              <w:keepNext/>
              <w:spacing w:before="50" w:after="50"/>
              <w:jc w:val="center"/>
              <w:rPr>
                <w:b/>
              </w:rPr>
            </w:pPr>
            <w:r w:rsidRPr="00CC2148">
              <w:rPr>
                <w:b/>
              </w:rPr>
              <w:t>Mean number of treatments per person (range)</w:t>
            </w:r>
          </w:p>
        </w:tc>
      </w:tr>
      <w:tr w:rsidR="00BB7D17" w:rsidRPr="00ED2B1F" w14:paraId="489546FC" w14:textId="77777777" w:rsidTr="00E96DD0">
        <w:trPr>
          <w:cantSplit/>
          <w:trHeight w:val="300"/>
        </w:trPr>
        <w:tc>
          <w:tcPr>
            <w:tcW w:w="1316" w:type="pct"/>
            <w:tcBorders>
              <w:top w:val="nil"/>
              <w:bottom w:val="single" w:sz="4" w:space="0" w:color="A6A6A6" w:themeColor="background1" w:themeShade="A6"/>
            </w:tcBorders>
          </w:tcPr>
          <w:p w14:paraId="359C1BDE" w14:textId="77777777" w:rsidR="00BB7D17" w:rsidRPr="00ED2B1F" w:rsidRDefault="00BB7D17" w:rsidP="00E96DD0">
            <w:pPr>
              <w:pStyle w:val="TableText"/>
              <w:keepNext/>
              <w:spacing w:before="50" w:after="50"/>
              <w:rPr>
                <w:bCs/>
                <w:szCs w:val="18"/>
              </w:rPr>
            </w:pPr>
            <w:r w:rsidRPr="00ED2B1F">
              <w:rPr>
                <w:bCs/>
                <w:szCs w:val="18"/>
              </w:rPr>
              <w:t>Northern</w:t>
            </w:r>
          </w:p>
        </w:tc>
        <w:tc>
          <w:tcPr>
            <w:tcW w:w="1228" w:type="pct"/>
            <w:tcBorders>
              <w:top w:val="nil"/>
              <w:bottom w:val="single" w:sz="4" w:space="0" w:color="A6A6A6" w:themeColor="background1" w:themeShade="A6"/>
            </w:tcBorders>
          </w:tcPr>
          <w:p w14:paraId="40E5DBBB" w14:textId="0C80BB86" w:rsidR="00BB7D17" w:rsidRPr="00ED2B1F" w:rsidRDefault="00BB7D17" w:rsidP="00E96DD0">
            <w:pPr>
              <w:pStyle w:val="TableText"/>
              <w:keepNext/>
              <w:tabs>
                <w:tab w:val="decimal" w:pos="1077"/>
              </w:tabs>
              <w:spacing w:before="50" w:after="50"/>
              <w:jc w:val="center"/>
            </w:pPr>
            <w:r w:rsidRPr="00ED2B1F">
              <w:t>7</w:t>
            </w:r>
            <w:r w:rsidR="00195AE4" w:rsidRPr="00ED2B1F">
              <w:t>7</w:t>
            </w:r>
          </w:p>
        </w:tc>
        <w:tc>
          <w:tcPr>
            <w:tcW w:w="877" w:type="pct"/>
            <w:tcBorders>
              <w:top w:val="nil"/>
              <w:bottom w:val="single" w:sz="4" w:space="0" w:color="A6A6A6" w:themeColor="background1" w:themeShade="A6"/>
            </w:tcBorders>
          </w:tcPr>
          <w:p w14:paraId="4D2B64BB" w14:textId="7A80FEEA" w:rsidR="00BB7D17" w:rsidRPr="00ED2B1F" w:rsidRDefault="009B7447" w:rsidP="00E96DD0">
            <w:pPr>
              <w:pStyle w:val="TableText"/>
              <w:keepNext/>
              <w:tabs>
                <w:tab w:val="decimal" w:pos="935"/>
              </w:tabs>
              <w:spacing w:before="50" w:after="50"/>
              <w:jc w:val="center"/>
            </w:pPr>
            <w:r w:rsidRPr="00ED2B1F">
              <w:t>785</w:t>
            </w:r>
          </w:p>
        </w:tc>
        <w:tc>
          <w:tcPr>
            <w:tcW w:w="1579" w:type="pct"/>
            <w:tcBorders>
              <w:top w:val="nil"/>
              <w:bottom w:val="single" w:sz="4" w:space="0" w:color="A6A6A6" w:themeColor="background1" w:themeShade="A6"/>
            </w:tcBorders>
          </w:tcPr>
          <w:p w14:paraId="14C444EF" w14:textId="4E969EAA" w:rsidR="00BB7D17" w:rsidRPr="00ED2B1F" w:rsidRDefault="009B7447" w:rsidP="00E96DD0">
            <w:pPr>
              <w:pStyle w:val="TableText"/>
              <w:keepNext/>
              <w:tabs>
                <w:tab w:val="decimal" w:pos="936"/>
              </w:tabs>
              <w:spacing w:before="50" w:after="50"/>
              <w:jc w:val="center"/>
            </w:pPr>
            <w:r w:rsidRPr="00ED2B1F">
              <w:t>10 (1</w:t>
            </w:r>
            <w:r w:rsidR="00C2599A" w:rsidRPr="00ED2B1F">
              <w:t>–</w:t>
            </w:r>
            <w:r w:rsidRPr="00ED2B1F">
              <w:t>43)</w:t>
            </w:r>
          </w:p>
        </w:tc>
      </w:tr>
      <w:tr w:rsidR="00BB7D17" w:rsidRPr="00ED2B1F" w14:paraId="647AD9F3"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tcPr>
          <w:p w14:paraId="21D11A4C" w14:textId="77777777" w:rsidR="00BB7D17" w:rsidRPr="00ED2B1F" w:rsidRDefault="00BB7D17" w:rsidP="00E96DD0">
            <w:pPr>
              <w:pStyle w:val="TableText"/>
              <w:keepNext/>
              <w:spacing w:before="50" w:after="50"/>
              <w:rPr>
                <w:bCs/>
                <w:szCs w:val="18"/>
              </w:rPr>
            </w:pPr>
            <w:r w:rsidRPr="00ED2B1F">
              <w:rPr>
                <w:bCs/>
                <w:szCs w:val="18"/>
              </w:rPr>
              <w:t>Midland</w:t>
            </w:r>
          </w:p>
        </w:tc>
        <w:tc>
          <w:tcPr>
            <w:tcW w:w="1228" w:type="pct"/>
            <w:tcBorders>
              <w:top w:val="single" w:sz="4" w:space="0" w:color="A6A6A6" w:themeColor="background1" w:themeShade="A6"/>
              <w:bottom w:val="single" w:sz="4" w:space="0" w:color="A6A6A6" w:themeColor="background1" w:themeShade="A6"/>
            </w:tcBorders>
          </w:tcPr>
          <w:p w14:paraId="6DEAACE6" w14:textId="605C5049" w:rsidR="00BB7D17" w:rsidRPr="00ED2B1F" w:rsidRDefault="00797327" w:rsidP="00E96DD0">
            <w:pPr>
              <w:pStyle w:val="TableText"/>
              <w:keepNext/>
              <w:tabs>
                <w:tab w:val="decimal" w:pos="1077"/>
              </w:tabs>
              <w:spacing w:before="50" w:after="50"/>
              <w:jc w:val="center"/>
            </w:pPr>
            <w:r w:rsidRPr="00ED2B1F">
              <w:t>81</w:t>
            </w:r>
          </w:p>
        </w:tc>
        <w:tc>
          <w:tcPr>
            <w:tcW w:w="877" w:type="pct"/>
            <w:tcBorders>
              <w:top w:val="single" w:sz="4" w:space="0" w:color="A6A6A6" w:themeColor="background1" w:themeShade="A6"/>
              <w:bottom w:val="single" w:sz="4" w:space="0" w:color="A6A6A6" w:themeColor="background1" w:themeShade="A6"/>
            </w:tcBorders>
          </w:tcPr>
          <w:p w14:paraId="5EF7E4D8" w14:textId="27FFDEBE" w:rsidR="00BB7D17" w:rsidRPr="00ED2B1F" w:rsidRDefault="00797327" w:rsidP="00E96DD0">
            <w:pPr>
              <w:pStyle w:val="TableText"/>
              <w:keepNext/>
              <w:tabs>
                <w:tab w:val="decimal" w:pos="935"/>
              </w:tabs>
              <w:spacing w:before="50" w:after="50"/>
              <w:jc w:val="center"/>
            </w:pPr>
            <w:r w:rsidRPr="00ED2B1F">
              <w:t>851</w:t>
            </w:r>
          </w:p>
        </w:tc>
        <w:tc>
          <w:tcPr>
            <w:tcW w:w="1579" w:type="pct"/>
            <w:tcBorders>
              <w:top w:val="single" w:sz="4" w:space="0" w:color="A6A6A6" w:themeColor="background1" w:themeShade="A6"/>
              <w:bottom w:val="single" w:sz="4" w:space="0" w:color="A6A6A6" w:themeColor="background1" w:themeShade="A6"/>
            </w:tcBorders>
          </w:tcPr>
          <w:p w14:paraId="671324E2" w14:textId="71DC23DC" w:rsidR="00BB7D17" w:rsidRPr="00ED2B1F" w:rsidRDefault="00BB7D17" w:rsidP="00E96DD0">
            <w:pPr>
              <w:pStyle w:val="TableText"/>
              <w:keepNext/>
              <w:tabs>
                <w:tab w:val="decimal" w:pos="936"/>
              </w:tabs>
              <w:spacing w:before="50" w:after="50"/>
              <w:jc w:val="center"/>
            </w:pPr>
            <w:r w:rsidRPr="00ED2B1F">
              <w:t>1</w:t>
            </w:r>
            <w:r w:rsidR="00C2599A" w:rsidRPr="00ED2B1F">
              <w:t>1</w:t>
            </w:r>
            <w:r w:rsidRPr="00ED2B1F">
              <w:t xml:space="preserve"> (1–55)</w:t>
            </w:r>
          </w:p>
        </w:tc>
      </w:tr>
      <w:tr w:rsidR="00BB7D17" w:rsidRPr="00ED2B1F" w14:paraId="42509E9F"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tcPr>
          <w:p w14:paraId="5808360A" w14:textId="77777777" w:rsidR="00BB7D17" w:rsidRPr="00ED2B1F" w:rsidRDefault="00BB7D17" w:rsidP="00E96DD0">
            <w:pPr>
              <w:pStyle w:val="TableText"/>
              <w:keepNext/>
              <w:spacing w:before="50" w:after="50"/>
              <w:rPr>
                <w:bCs/>
                <w:szCs w:val="18"/>
              </w:rPr>
            </w:pPr>
            <w:r w:rsidRPr="00ED2B1F">
              <w:rPr>
                <w:bCs/>
                <w:szCs w:val="18"/>
              </w:rPr>
              <w:t>Central</w:t>
            </w:r>
          </w:p>
        </w:tc>
        <w:tc>
          <w:tcPr>
            <w:tcW w:w="1228" w:type="pct"/>
            <w:tcBorders>
              <w:top w:val="single" w:sz="4" w:space="0" w:color="A6A6A6" w:themeColor="background1" w:themeShade="A6"/>
              <w:bottom w:val="single" w:sz="4" w:space="0" w:color="A6A6A6" w:themeColor="background1" w:themeShade="A6"/>
            </w:tcBorders>
          </w:tcPr>
          <w:p w14:paraId="4E0DF3A6" w14:textId="02A854AC" w:rsidR="00BB7D17" w:rsidRPr="00ED2B1F" w:rsidRDefault="008623D2" w:rsidP="00E96DD0">
            <w:pPr>
              <w:pStyle w:val="TableText"/>
              <w:keepNext/>
              <w:tabs>
                <w:tab w:val="decimal" w:pos="1077"/>
              </w:tabs>
              <w:spacing w:before="50" w:after="50"/>
              <w:jc w:val="center"/>
            </w:pPr>
            <w:r w:rsidRPr="00ED2B1F">
              <w:t>58</w:t>
            </w:r>
          </w:p>
        </w:tc>
        <w:tc>
          <w:tcPr>
            <w:tcW w:w="877" w:type="pct"/>
            <w:tcBorders>
              <w:top w:val="single" w:sz="4" w:space="0" w:color="A6A6A6" w:themeColor="background1" w:themeShade="A6"/>
              <w:bottom w:val="single" w:sz="4" w:space="0" w:color="A6A6A6" w:themeColor="background1" w:themeShade="A6"/>
            </w:tcBorders>
          </w:tcPr>
          <w:p w14:paraId="0849153A" w14:textId="155F565B" w:rsidR="00BB7D17" w:rsidRPr="00ED2B1F" w:rsidRDefault="008623D2" w:rsidP="00E96DD0">
            <w:pPr>
              <w:pStyle w:val="TableText"/>
              <w:keepNext/>
              <w:tabs>
                <w:tab w:val="decimal" w:pos="935"/>
              </w:tabs>
              <w:spacing w:before="50" w:after="50"/>
              <w:jc w:val="center"/>
            </w:pPr>
            <w:r w:rsidRPr="00ED2B1F">
              <w:t>856</w:t>
            </w:r>
          </w:p>
        </w:tc>
        <w:tc>
          <w:tcPr>
            <w:tcW w:w="1579" w:type="pct"/>
            <w:tcBorders>
              <w:top w:val="single" w:sz="4" w:space="0" w:color="A6A6A6" w:themeColor="background1" w:themeShade="A6"/>
              <w:bottom w:val="single" w:sz="4" w:space="0" w:color="A6A6A6" w:themeColor="background1" w:themeShade="A6"/>
            </w:tcBorders>
          </w:tcPr>
          <w:p w14:paraId="76C01773" w14:textId="5F39D800" w:rsidR="00BB7D17" w:rsidRPr="00ED2B1F" w:rsidRDefault="00BB7D17" w:rsidP="00E96DD0">
            <w:pPr>
              <w:pStyle w:val="TableText"/>
              <w:keepNext/>
              <w:tabs>
                <w:tab w:val="decimal" w:pos="936"/>
              </w:tabs>
              <w:spacing w:before="50" w:after="50"/>
              <w:jc w:val="center"/>
            </w:pPr>
            <w:r w:rsidRPr="00ED2B1F">
              <w:t>1</w:t>
            </w:r>
            <w:r w:rsidR="008623D2" w:rsidRPr="00ED2B1F">
              <w:t>5</w:t>
            </w:r>
            <w:r w:rsidRPr="00ED2B1F">
              <w:t xml:space="preserve"> (1–</w:t>
            </w:r>
            <w:r w:rsidR="008623D2" w:rsidRPr="00ED2B1F">
              <w:t>48</w:t>
            </w:r>
            <w:r w:rsidRPr="00ED2B1F">
              <w:t>)</w:t>
            </w:r>
          </w:p>
        </w:tc>
      </w:tr>
      <w:tr w:rsidR="00BB7D17" w:rsidRPr="00ED2B1F" w14:paraId="29D18F34"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tcPr>
          <w:p w14:paraId="29E21FBE" w14:textId="77777777" w:rsidR="00BB7D17" w:rsidRPr="00ED2B1F" w:rsidRDefault="00BB7D17" w:rsidP="00E96DD0">
            <w:pPr>
              <w:pStyle w:val="TableText"/>
              <w:keepNext/>
              <w:spacing w:before="50" w:after="50"/>
              <w:rPr>
                <w:bCs/>
                <w:szCs w:val="18"/>
              </w:rPr>
            </w:pPr>
            <w:r w:rsidRPr="00ED2B1F">
              <w:rPr>
                <w:bCs/>
                <w:szCs w:val="18"/>
              </w:rPr>
              <w:t>South Island</w:t>
            </w:r>
          </w:p>
        </w:tc>
        <w:tc>
          <w:tcPr>
            <w:tcW w:w="1228" w:type="pct"/>
            <w:tcBorders>
              <w:top w:val="single" w:sz="4" w:space="0" w:color="A6A6A6" w:themeColor="background1" w:themeShade="A6"/>
              <w:bottom w:val="single" w:sz="4" w:space="0" w:color="A6A6A6" w:themeColor="background1" w:themeShade="A6"/>
            </w:tcBorders>
          </w:tcPr>
          <w:p w14:paraId="62E877AA" w14:textId="2788EF8C" w:rsidR="00BB7D17" w:rsidRPr="00ED2B1F" w:rsidRDefault="008623D2" w:rsidP="00E96DD0">
            <w:pPr>
              <w:pStyle w:val="TableText"/>
              <w:keepNext/>
              <w:tabs>
                <w:tab w:val="decimal" w:pos="1077"/>
              </w:tabs>
              <w:spacing w:before="50" w:after="50"/>
              <w:jc w:val="center"/>
            </w:pPr>
            <w:r w:rsidRPr="00ED2B1F">
              <w:t>79</w:t>
            </w:r>
          </w:p>
        </w:tc>
        <w:tc>
          <w:tcPr>
            <w:tcW w:w="877" w:type="pct"/>
            <w:tcBorders>
              <w:top w:val="single" w:sz="4" w:space="0" w:color="A6A6A6" w:themeColor="background1" w:themeShade="A6"/>
              <w:bottom w:val="single" w:sz="4" w:space="0" w:color="A6A6A6" w:themeColor="background1" w:themeShade="A6"/>
            </w:tcBorders>
          </w:tcPr>
          <w:p w14:paraId="0B43A514" w14:textId="517E0F2D" w:rsidR="00BB7D17" w:rsidRPr="00ED2B1F" w:rsidRDefault="006E6EE8" w:rsidP="00E96DD0">
            <w:pPr>
              <w:pStyle w:val="TableText"/>
              <w:keepNext/>
              <w:tabs>
                <w:tab w:val="decimal" w:pos="935"/>
              </w:tabs>
              <w:spacing w:before="50" w:after="50"/>
              <w:jc w:val="center"/>
            </w:pPr>
            <w:r w:rsidRPr="00ED2B1F">
              <w:t>1,039</w:t>
            </w:r>
          </w:p>
        </w:tc>
        <w:tc>
          <w:tcPr>
            <w:tcW w:w="1579" w:type="pct"/>
            <w:tcBorders>
              <w:top w:val="single" w:sz="4" w:space="0" w:color="A6A6A6" w:themeColor="background1" w:themeShade="A6"/>
              <w:bottom w:val="single" w:sz="4" w:space="0" w:color="A6A6A6" w:themeColor="background1" w:themeShade="A6"/>
            </w:tcBorders>
          </w:tcPr>
          <w:p w14:paraId="3D20AE75" w14:textId="0D0F018F" w:rsidR="00BB7D17" w:rsidRPr="00ED2B1F" w:rsidRDefault="00BB7D17" w:rsidP="00E96DD0">
            <w:pPr>
              <w:pStyle w:val="TableText"/>
              <w:keepNext/>
              <w:tabs>
                <w:tab w:val="decimal" w:pos="936"/>
              </w:tabs>
              <w:spacing w:before="50" w:after="50"/>
              <w:jc w:val="center"/>
            </w:pPr>
            <w:r w:rsidRPr="00ED2B1F">
              <w:t>1</w:t>
            </w:r>
            <w:r w:rsidR="00336F75">
              <w:t>3</w:t>
            </w:r>
            <w:r w:rsidRPr="00ED2B1F">
              <w:t xml:space="preserve"> (1–</w:t>
            </w:r>
            <w:r w:rsidR="006E6EE8" w:rsidRPr="00ED2B1F">
              <w:t>62</w:t>
            </w:r>
            <w:r w:rsidRPr="00ED2B1F">
              <w:t>)</w:t>
            </w:r>
          </w:p>
        </w:tc>
      </w:tr>
      <w:tr w:rsidR="00BB7D17" w:rsidRPr="00ED2B1F" w14:paraId="635ABBE3" w14:textId="77777777" w:rsidTr="00E96DD0">
        <w:trPr>
          <w:cantSplit/>
          <w:trHeight w:val="300"/>
        </w:trPr>
        <w:tc>
          <w:tcPr>
            <w:tcW w:w="1316" w:type="pct"/>
            <w:tcBorders>
              <w:top w:val="single" w:sz="4" w:space="0" w:color="A6A6A6" w:themeColor="background1" w:themeShade="A6"/>
              <w:bottom w:val="single" w:sz="4" w:space="0" w:color="A6A6A6" w:themeColor="background1" w:themeShade="A6"/>
            </w:tcBorders>
          </w:tcPr>
          <w:p w14:paraId="676F896B" w14:textId="77777777" w:rsidR="00BB7D17" w:rsidRPr="00ED2B1F" w:rsidRDefault="00BB7D17" w:rsidP="00E96DD0">
            <w:pPr>
              <w:pStyle w:val="TableText"/>
              <w:spacing w:before="50" w:after="50"/>
              <w:rPr>
                <w:b/>
                <w:szCs w:val="18"/>
              </w:rPr>
            </w:pPr>
            <w:r w:rsidRPr="00ED2B1F">
              <w:rPr>
                <w:b/>
                <w:szCs w:val="18"/>
              </w:rPr>
              <w:t>Nationally</w:t>
            </w:r>
          </w:p>
        </w:tc>
        <w:tc>
          <w:tcPr>
            <w:tcW w:w="1228" w:type="pct"/>
            <w:tcBorders>
              <w:top w:val="single" w:sz="4" w:space="0" w:color="A6A6A6" w:themeColor="background1" w:themeShade="A6"/>
              <w:bottom w:val="single" w:sz="4" w:space="0" w:color="A6A6A6" w:themeColor="background1" w:themeShade="A6"/>
            </w:tcBorders>
          </w:tcPr>
          <w:p w14:paraId="3CF7AB4F" w14:textId="1AFE0F32" w:rsidR="00BB7D17" w:rsidRPr="00ED2B1F" w:rsidRDefault="00BB7D17" w:rsidP="00E96DD0">
            <w:pPr>
              <w:pStyle w:val="TableText"/>
              <w:tabs>
                <w:tab w:val="decimal" w:pos="1077"/>
              </w:tabs>
              <w:spacing w:before="50" w:after="50"/>
              <w:jc w:val="center"/>
              <w:rPr>
                <w:b/>
              </w:rPr>
            </w:pPr>
            <w:r w:rsidRPr="00ED2B1F">
              <w:rPr>
                <w:b/>
                <w:bCs/>
              </w:rPr>
              <w:t>2</w:t>
            </w:r>
            <w:r w:rsidR="006E6EE8" w:rsidRPr="00ED2B1F">
              <w:rPr>
                <w:b/>
                <w:bCs/>
              </w:rPr>
              <w:t>94</w:t>
            </w:r>
          </w:p>
        </w:tc>
        <w:tc>
          <w:tcPr>
            <w:tcW w:w="877" w:type="pct"/>
            <w:tcBorders>
              <w:top w:val="single" w:sz="4" w:space="0" w:color="A6A6A6" w:themeColor="background1" w:themeShade="A6"/>
              <w:bottom w:val="single" w:sz="4" w:space="0" w:color="A6A6A6" w:themeColor="background1" w:themeShade="A6"/>
            </w:tcBorders>
          </w:tcPr>
          <w:p w14:paraId="0473BC96" w14:textId="5CAB2A88" w:rsidR="00BB7D17" w:rsidRPr="00ED2B1F" w:rsidRDefault="006E6EE8" w:rsidP="00E96DD0">
            <w:pPr>
              <w:pStyle w:val="TableText"/>
              <w:tabs>
                <w:tab w:val="decimal" w:pos="935"/>
              </w:tabs>
              <w:spacing w:before="50" w:after="50"/>
              <w:jc w:val="center"/>
              <w:rPr>
                <w:b/>
                <w:bCs/>
              </w:rPr>
            </w:pPr>
            <w:r w:rsidRPr="00ED2B1F">
              <w:rPr>
                <w:b/>
                <w:bCs/>
              </w:rPr>
              <w:t>3,</w:t>
            </w:r>
            <w:r w:rsidR="00EC7786" w:rsidRPr="00ED2B1F">
              <w:rPr>
                <w:b/>
                <w:bCs/>
              </w:rPr>
              <w:t>531</w:t>
            </w:r>
          </w:p>
        </w:tc>
        <w:tc>
          <w:tcPr>
            <w:tcW w:w="1579" w:type="pct"/>
            <w:tcBorders>
              <w:top w:val="single" w:sz="4" w:space="0" w:color="A6A6A6" w:themeColor="background1" w:themeShade="A6"/>
              <w:bottom w:val="single" w:sz="4" w:space="0" w:color="A6A6A6" w:themeColor="background1" w:themeShade="A6"/>
            </w:tcBorders>
          </w:tcPr>
          <w:p w14:paraId="67167386" w14:textId="4E625049" w:rsidR="00BB7D17" w:rsidRPr="00ED2B1F" w:rsidRDefault="00BB7D17" w:rsidP="00E96DD0">
            <w:pPr>
              <w:pStyle w:val="TableText"/>
              <w:tabs>
                <w:tab w:val="decimal" w:pos="936"/>
              </w:tabs>
              <w:spacing w:before="50" w:after="50"/>
              <w:jc w:val="center"/>
              <w:rPr>
                <w:b/>
              </w:rPr>
            </w:pPr>
            <w:r w:rsidRPr="00ED2B1F">
              <w:rPr>
                <w:b/>
              </w:rPr>
              <w:t>1</w:t>
            </w:r>
            <w:r w:rsidR="00BD0F33" w:rsidRPr="00ED2B1F">
              <w:rPr>
                <w:b/>
              </w:rPr>
              <w:t>2</w:t>
            </w:r>
            <w:r w:rsidRPr="00ED2B1F">
              <w:rPr>
                <w:b/>
              </w:rPr>
              <w:t xml:space="preserve"> (1–</w:t>
            </w:r>
            <w:r w:rsidR="00BD0F33" w:rsidRPr="00ED2B1F">
              <w:rPr>
                <w:b/>
              </w:rPr>
              <w:t>62</w:t>
            </w:r>
            <w:r w:rsidRPr="00ED2B1F">
              <w:rPr>
                <w:b/>
              </w:rPr>
              <w:t>)</w:t>
            </w:r>
          </w:p>
        </w:tc>
      </w:tr>
    </w:tbl>
    <w:p w14:paraId="2AE6D5FF" w14:textId="6DE694B5" w:rsidR="00BB7D17" w:rsidRPr="00CC2148" w:rsidRDefault="00BB7D17" w:rsidP="00CC2148">
      <w:pPr>
        <w:pStyle w:val="Note"/>
      </w:pPr>
      <w:r w:rsidRPr="00CC2148">
        <w:t xml:space="preserve">Note: </w:t>
      </w:r>
      <w:r w:rsidR="00142AA7" w:rsidRPr="00CC2148">
        <w:t>The distinct total of people is 294</w:t>
      </w:r>
      <w:r w:rsidR="00C77ABB" w:rsidRPr="00CC2148">
        <w:t>;</w:t>
      </w:r>
      <w:r w:rsidR="00142AA7" w:rsidRPr="00CC2148">
        <w:t xml:space="preserve"> however</w:t>
      </w:r>
      <w:r w:rsidR="00C77ABB" w:rsidRPr="00CC2148">
        <w:t>,</w:t>
      </w:r>
      <w:r w:rsidR="00142AA7" w:rsidRPr="00CC2148">
        <w:t xml:space="preserve"> the sum is 295 as one person was counted in two regions.</w:t>
      </w:r>
    </w:p>
    <w:p w14:paraId="70415777" w14:textId="59C4D857" w:rsidR="00544E33" w:rsidRPr="00CC2148" w:rsidRDefault="00544E33"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5EE9CACF" w14:textId="729792CA" w:rsidR="00BB7D17" w:rsidRPr="00ED2B1F" w:rsidRDefault="00BB7D17" w:rsidP="00BB7D17">
      <w:pPr>
        <w:rPr>
          <w:rFonts w:eastAsia="Arial Unicode MS"/>
        </w:rPr>
      </w:pPr>
    </w:p>
    <w:p w14:paraId="32892EF7" w14:textId="7D26A7C0" w:rsidR="00E96DD0" w:rsidRPr="00ED2B1F" w:rsidRDefault="00E96DD0" w:rsidP="00C103C7">
      <w:pPr>
        <w:pStyle w:val="Figure"/>
      </w:pPr>
      <w:bookmarkStart w:id="493" w:name="_Ref86343700"/>
      <w:bookmarkStart w:id="494" w:name="_Toc87429989"/>
      <w:bookmarkStart w:id="495" w:name="_Toc88561421"/>
      <w:bookmarkStart w:id="496" w:name="_Toc115188881"/>
      <w:bookmarkStart w:id="497" w:name="_Toc142314723"/>
      <w:bookmarkStart w:id="498" w:name="_Toc145394305"/>
      <w:bookmarkStart w:id="499" w:name="_Toc189053980"/>
      <w:bookmarkStart w:id="500" w:name="_Toc224638209"/>
      <w:r w:rsidRPr="00ED2B1F">
        <w:t>Figure </w:t>
      </w:r>
      <w:r w:rsidRPr="00ED2B1F">
        <w:fldChar w:fldCharType="begin"/>
      </w:r>
      <w:r w:rsidRPr="00ED2B1F">
        <w:instrText>SEQ Figure \* ARABIC</w:instrText>
      </w:r>
      <w:r w:rsidRPr="00ED2B1F">
        <w:fldChar w:fldCharType="separate"/>
      </w:r>
      <w:r w:rsidR="00484E57">
        <w:rPr>
          <w:noProof/>
        </w:rPr>
        <w:t>37</w:t>
      </w:r>
      <w:r w:rsidRPr="00ED2B1F">
        <w:fldChar w:fldCharType="end"/>
      </w:r>
      <w:bookmarkEnd w:id="493"/>
      <w:r w:rsidRPr="00ED2B1F">
        <w:t xml:space="preserve">: </w:t>
      </w:r>
      <w:r w:rsidR="00AE0ED0" w:rsidRPr="00ED2B1F">
        <w:t xml:space="preserve">Rate </w:t>
      </w:r>
      <w:r w:rsidRPr="00ED2B1F">
        <w:t xml:space="preserve">of people per 100,000 population treated with ECT, by district of domicile, </w:t>
      </w:r>
      <w:bookmarkEnd w:id="494"/>
      <w:bookmarkEnd w:id="495"/>
      <w:bookmarkEnd w:id="496"/>
      <w:bookmarkEnd w:id="497"/>
      <w:bookmarkEnd w:id="498"/>
      <w:bookmarkEnd w:id="499"/>
      <w:r w:rsidR="00211D17" w:rsidRPr="00ED2B1F">
        <w:t>1 July 2023 to 30 June 2024</w:t>
      </w:r>
      <w:bookmarkEnd w:id="500"/>
    </w:p>
    <w:p w14:paraId="53DB7A9E" w14:textId="47889831" w:rsidR="00E96DD0" w:rsidRPr="00ED2B1F" w:rsidRDefault="0062401C" w:rsidP="00AC01B0">
      <w:r>
        <w:rPr>
          <w:noProof/>
        </w:rPr>
        <w:drawing>
          <wp:inline distT="0" distB="0" distL="0" distR="0" wp14:anchorId="07C5A597" wp14:editId="5B753A1C">
            <wp:extent cx="5133340" cy="3255645"/>
            <wp:effectExtent l="0" t="0" r="0" b="1905"/>
            <wp:docPr id="22333795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37951" name="Picture 38">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33340" cy="3255645"/>
                    </a:xfrm>
                    <a:prstGeom prst="rect">
                      <a:avLst/>
                    </a:prstGeom>
                    <a:noFill/>
                  </pic:spPr>
                </pic:pic>
              </a:graphicData>
            </a:graphic>
          </wp:inline>
        </w:drawing>
      </w:r>
    </w:p>
    <w:p w14:paraId="25FBE4C7" w14:textId="3880A1F6" w:rsidR="00E96DD0" w:rsidRPr="00ED2B1F" w:rsidRDefault="00E96DD0" w:rsidP="00CC2148">
      <w:pPr>
        <w:pStyle w:val="Note"/>
      </w:pPr>
      <w:r w:rsidRPr="00ED2B1F">
        <w:t>Note: In this figure, the confidence intervals (for 99% confidence, shown as vertical lines through the blue diamond markers) can help with interpreting the data. Where a service’s confidence interval crosses the national average, that means its rate was not different from the average</w:t>
      </w:r>
      <w:r w:rsidR="007F263D" w:rsidRPr="00ED2B1F">
        <w:t xml:space="preserve"> at a statistically significant level</w:t>
      </w:r>
      <w:r w:rsidRPr="00ED2B1F">
        <w:t xml:space="preserve">. No one living in South Canterbury received ECT treatment in the period, so </w:t>
      </w:r>
      <w:r w:rsidR="00AC01B0" w:rsidRPr="00ED2B1F">
        <w:t xml:space="preserve">this </w:t>
      </w:r>
      <w:r w:rsidRPr="00ED2B1F">
        <w:t>district</w:t>
      </w:r>
      <w:r w:rsidR="00AC01B0" w:rsidRPr="00ED2B1F">
        <w:t xml:space="preserve"> is</w:t>
      </w:r>
      <w:r w:rsidRPr="00ED2B1F">
        <w:t xml:space="preserve"> not included in the figure.</w:t>
      </w:r>
    </w:p>
    <w:p w14:paraId="4C916040" w14:textId="4DC2829A" w:rsidR="001F69BF" w:rsidRPr="00CC2148" w:rsidRDefault="001F69BF"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33D2D9EE" w14:textId="77777777" w:rsidR="00E96DD0" w:rsidRPr="00ED2B1F" w:rsidRDefault="00E96DD0" w:rsidP="00E96DD0"/>
    <w:p w14:paraId="3AFF6105" w14:textId="674BC3D8" w:rsidR="00E96DD0" w:rsidRPr="00ED2B1F" w:rsidRDefault="00E96DD0" w:rsidP="00C103C7">
      <w:pPr>
        <w:pStyle w:val="Figure"/>
      </w:pPr>
      <w:bookmarkStart w:id="501" w:name="_Ref111472332"/>
      <w:bookmarkStart w:id="502" w:name="_Toc115188882"/>
      <w:bookmarkStart w:id="503" w:name="_Toc142314724"/>
      <w:bookmarkStart w:id="504" w:name="_Toc145394306"/>
      <w:bookmarkStart w:id="505" w:name="_Toc189053981"/>
      <w:bookmarkStart w:id="506" w:name="_Toc224638210"/>
      <w:r w:rsidRPr="00ED2B1F">
        <w:lastRenderedPageBreak/>
        <w:t>Figure </w:t>
      </w:r>
      <w:r w:rsidRPr="00ED2B1F">
        <w:fldChar w:fldCharType="begin"/>
      </w:r>
      <w:r w:rsidRPr="00ED2B1F">
        <w:instrText>SEQ Figure \* ARABIC</w:instrText>
      </w:r>
      <w:r w:rsidRPr="00ED2B1F">
        <w:fldChar w:fldCharType="separate"/>
      </w:r>
      <w:r w:rsidR="00484E57">
        <w:rPr>
          <w:noProof/>
        </w:rPr>
        <w:t>38</w:t>
      </w:r>
      <w:r w:rsidRPr="00ED2B1F">
        <w:fldChar w:fldCharType="end"/>
      </w:r>
      <w:bookmarkEnd w:id="501"/>
      <w:r w:rsidRPr="00ED2B1F">
        <w:t xml:space="preserve">: </w:t>
      </w:r>
      <w:r w:rsidR="00AE0ED0" w:rsidRPr="00ED2B1F">
        <w:t xml:space="preserve">Rate </w:t>
      </w:r>
      <w:r w:rsidRPr="00ED2B1F">
        <w:t xml:space="preserve">of ECT treatments per 100,000 population, by district of domicile, </w:t>
      </w:r>
      <w:bookmarkEnd w:id="502"/>
      <w:bookmarkEnd w:id="503"/>
      <w:bookmarkEnd w:id="504"/>
      <w:bookmarkEnd w:id="505"/>
      <w:r w:rsidR="00211D17" w:rsidRPr="00ED2B1F">
        <w:t>1 July 2023 to 30 June 2024</w:t>
      </w:r>
      <w:bookmarkEnd w:id="506"/>
    </w:p>
    <w:p w14:paraId="7239C352" w14:textId="2A21F433" w:rsidR="00E96DD0" w:rsidRPr="00ED2B1F" w:rsidRDefault="0062401C" w:rsidP="00817F90">
      <w:r>
        <w:rPr>
          <w:noProof/>
        </w:rPr>
        <w:drawing>
          <wp:inline distT="0" distB="0" distL="0" distR="0" wp14:anchorId="21573FF0" wp14:editId="3B432F2C">
            <wp:extent cx="5133340" cy="3274060"/>
            <wp:effectExtent l="0" t="0" r="0" b="2540"/>
            <wp:docPr id="722677882"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77882" name="Picture 39">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33340" cy="3274060"/>
                    </a:xfrm>
                    <a:prstGeom prst="rect">
                      <a:avLst/>
                    </a:prstGeom>
                    <a:noFill/>
                  </pic:spPr>
                </pic:pic>
              </a:graphicData>
            </a:graphic>
          </wp:inline>
        </w:drawing>
      </w:r>
    </w:p>
    <w:p w14:paraId="240F5FD9" w14:textId="3AB88280" w:rsidR="00817F90" w:rsidRPr="00ED2B1F" w:rsidRDefault="00817F90" w:rsidP="00CC2148">
      <w:pPr>
        <w:pStyle w:val="Note"/>
        <w:ind w:right="-285"/>
      </w:pPr>
      <w:r w:rsidRPr="00ED2B1F">
        <w:t>Note: In this figure, the confidence intervals (for 99% confidence, shown as vertical lines through the blue diamond markers) can help with interpreting the data. Where a service’s confidence interval crosses the national average, that means its rate was not different from the average</w:t>
      </w:r>
      <w:r w:rsidR="006F4B34" w:rsidRPr="00ED2B1F">
        <w:t xml:space="preserve"> at a statistically significant level</w:t>
      </w:r>
      <w:r w:rsidRPr="00ED2B1F">
        <w:t>. No one living in South Canterbury received ECT treatment in the period, so this district is not included in the figure.</w:t>
      </w:r>
    </w:p>
    <w:p w14:paraId="7CDCBE27" w14:textId="28CEB286" w:rsidR="00817F90" w:rsidRPr="00CC2148" w:rsidRDefault="00817F90"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275B3D4D" w14:textId="77777777" w:rsidR="00C84BC3" w:rsidRPr="00ED2B1F" w:rsidRDefault="00C84BC3" w:rsidP="00C424EE"/>
    <w:p w14:paraId="3A90D891" w14:textId="0C62FA67" w:rsidR="00E96DD0" w:rsidRPr="00ED2B1F" w:rsidRDefault="00E96DD0" w:rsidP="00C103C7">
      <w:pPr>
        <w:pStyle w:val="Figure"/>
      </w:pPr>
      <w:bookmarkStart w:id="507" w:name="_Ref111473382"/>
      <w:bookmarkStart w:id="508" w:name="_Ref189454994"/>
      <w:bookmarkStart w:id="509" w:name="_Toc115188883"/>
      <w:bookmarkStart w:id="510" w:name="_Toc142314725"/>
      <w:bookmarkStart w:id="511" w:name="_Toc145394307"/>
      <w:bookmarkStart w:id="512" w:name="_Toc189053982"/>
      <w:bookmarkStart w:id="513" w:name="_Toc224638211"/>
      <w:r w:rsidRPr="00ED2B1F">
        <w:t>Figure </w:t>
      </w:r>
      <w:r w:rsidRPr="00ED2B1F">
        <w:fldChar w:fldCharType="begin"/>
      </w:r>
      <w:r w:rsidRPr="00ED2B1F">
        <w:instrText>SEQ Figure \* ARABIC</w:instrText>
      </w:r>
      <w:r w:rsidRPr="00ED2B1F">
        <w:fldChar w:fldCharType="separate"/>
      </w:r>
      <w:r w:rsidR="00484E57">
        <w:rPr>
          <w:noProof/>
        </w:rPr>
        <w:t>39</w:t>
      </w:r>
      <w:r w:rsidRPr="00ED2B1F">
        <w:fldChar w:fldCharType="end"/>
      </w:r>
      <w:bookmarkEnd w:id="507"/>
      <w:bookmarkEnd w:id="508"/>
      <w:r w:rsidRPr="00ED2B1F">
        <w:t xml:space="preserve">: </w:t>
      </w:r>
      <w:r w:rsidR="00C84BC3" w:rsidRPr="00ED2B1F">
        <w:t xml:space="preserve">Rate </w:t>
      </w:r>
      <w:r w:rsidRPr="00ED2B1F">
        <w:t xml:space="preserve">of people treated with ECT per 100,000 population, by district of domicile, </w:t>
      </w:r>
      <w:bookmarkEnd w:id="509"/>
      <w:bookmarkEnd w:id="510"/>
      <w:bookmarkEnd w:id="511"/>
      <w:bookmarkEnd w:id="512"/>
      <w:r w:rsidR="00211D17" w:rsidRPr="00ED2B1F">
        <w:t>1 July 2023 to 30 June 2024</w:t>
      </w:r>
      <w:bookmarkEnd w:id="513"/>
    </w:p>
    <w:p w14:paraId="61D118A7" w14:textId="2AF8DB14" w:rsidR="00E96DD0" w:rsidRPr="00ED2B1F" w:rsidRDefault="0062401C" w:rsidP="004F6B45">
      <w:r>
        <w:rPr>
          <w:noProof/>
        </w:rPr>
        <w:drawing>
          <wp:inline distT="0" distB="0" distL="0" distR="0" wp14:anchorId="5A3C2385" wp14:editId="1B756D26">
            <wp:extent cx="5133340" cy="2999740"/>
            <wp:effectExtent l="0" t="0" r="0" b="0"/>
            <wp:docPr id="62547824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78241" name="Picture 4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33340" cy="2999740"/>
                    </a:xfrm>
                    <a:prstGeom prst="rect">
                      <a:avLst/>
                    </a:prstGeom>
                    <a:noFill/>
                  </pic:spPr>
                </pic:pic>
              </a:graphicData>
            </a:graphic>
          </wp:inline>
        </w:drawing>
      </w:r>
    </w:p>
    <w:p w14:paraId="2DABA0AD" w14:textId="7CD9C55D" w:rsidR="00E96DD0" w:rsidRPr="00ED2B1F" w:rsidRDefault="00E96DD0" w:rsidP="00CC2148">
      <w:pPr>
        <w:pStyle w:val="Note"/>
      </w:pPr>
      <w:r w:rsidRPr="00ED2B1F">
        <w:t xml:space="preserve">Note: No one living in South Canterbury received ECT treatment in the period, </w:t>
      </w:r>
      <w:r w:rsidR="004F6B45" w:rsidRPr="00ED2B1F">
        <w:t>so this district is not included in the figure.</w:t>
      </w:r>
      <w:r w:rsidR="00AD31B9">
        <w:t xml:space="preserve"> National average rate is 5.5 people per 100,000 population.</w:t>
      </w:r>
    </w:p>
    <w:p w14:paraId="5602AEB0" w14:textId="08DA33E1" w:rsidR="004F6B45" w:rsidRPr="00CC2148" w:rsidRDefault="004F6B45"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28205B07" w14:textId="77777777" w:rsidR="00E96DD0" w:rsidRPr="00ED2B1F" w:rsidRDefault="00E96DD0" w:rsidP="007A34A3">
      <w:pPr>
        <w:pStyle w:val="Heading2"/>
      </w:pPr>
      <w:bookmarkStart w:id="514" w:name="_Toc65141637"/>
      <w:bookmarkStart w:id="515" w:name="_Toc75176462"/>
      <w:bookmarkStart w:id="516" w:name="_Toc87429930"/>
      <w:bookmarkStart w:id="517" w:name="_Toc88826978"/>
      <w:bookmarkStart w:id="518" w:name="_Toc115188828"/>
      <w:bookmarkStart w:id="519" w:name="_Toc145394254"/>
      <w:bookmarkStart w:id="520" w:name="_Toc189053924"/>
      <w:bookmarkStart w:id="521" w:name="_Toc224638112"/>
      <w:r w:rsidRPr="00ED2B1F">
        <w:lastRenderedPageBreak/>
        <w:t>Age and gender of people receiving ECT</w:t>
      </w:r>
      <w:bookmarkEnd w:id="514"/>
      <w:bookmarkEnd w:id="515"/>
      <w:bookmarkEnd w:id="516"/>
      <w:bookmarkEnd w:id="517"/>
      <w:bookmarkEnd w:id="518"/>
      <w:bookmarkEnd w:id="519"/>
      <w:bookmarkEnd w:id="520"/>
      <w:bookmarkEnd w:id="521"/>
    </w:p>
    <w:p w14:paraId="7C50EC3D" w14:textId="36EF7C59" w:rsidR="00E96DD0" w:rsidRPr="00ED2B1F" w:rsidRDefault="00E96DD0" w:rsidP="00E96DD0">
      <w:r w:rsidRPr="00ED2B1F">
        <w:t xml:space="preserve">In the </w:t>
      </w:r>
      <w:r w:rsidR="00211D17" w:rsidRPr="00ED2B1F">
        <w:t>2023/24</w:t>
      </w:r>
      <w:r w:rsidRPr="00ED2B1F">
        <w:t xml:space="preserve"> financial year, women were more likely to receive ECT than men. Older people were more likely to receive ECT</w:t>
      </w:r>
      <w:r w:rsidR="00E20EB9" w:rsidRPr="00ED2B1F">
        <w:t xml:space="preserve"> than other age groups</w:t>
      </w:r>
      <w:r w:rsidRPr="00ED2B1F">
        <w:t xml:space="preserve">, with those aged over 50 years making up </w:t>
      </w:r>
      <w:r w:rsidR="00A97D99" w:rsidRPr="00ED2B1F">
        <w:t>68</w:t>
      </w:r>
      <w:r w:rsidRPr="00ED2B1F">
        <w:t xml:space="preserve">% of ECT patients. </w:t>
      </w:r>
      <w:r w:rsidR="00487468" w:rsidRPr="00ED2B1F">
        <w:fldChar w:fldCharType="begin"/>
      </w:r>
      <w:r w:rsidR="00487468" w:rsidRPr="00ED2B1F">
        <w:instrText xml:space="preserve"> REF _Ref219293365 \h </w:instrText>
      </w:r>
      <w:r w:rsidR="00487468" w:rsidRPr="00ED2B1F">
        <w:fldChar w:fldCharType="separate"/>
      </w:r>
      <w:r w:rsidR="00484E57" w:rsidRPr="00ED2B1F">
        <w:t xml:space="preserve">Figure </w:t>
      </w:r>
      <w:r w:rsidR="00484E57">
        <w:rPr>
          <w:noProof/>
        </w:rPr>
        <w:t>40</w:t>
      </w:r>
      <w:r w:rsidR="00487468" w:rsidRPr="00ED2B1F">
        <w:fldChar w:fldCharType="end"/>
      </w:r>
      <w:r w:rsidRPr="00ED2B1F">
        <w:t xml:space="preserve"> breaks down the number of people treated with ECT by age group and gender.</w:t>
      </w:r>
    </w:p>
    <w:p w14:paraId="3BE74685" w14:textId="77777777" w:rsidR="00E96DD0" w:rsidRPr="00ED2B1F" w:rsidRDefault="00E96DD0" w:rsidP="00BB7D17">
      <w:pPr>
        <w:rPr>
          <w:rFonts w:eastAsia="Arial Unicode MS"/>
        </w:rPr>
      </w:pPr>
    </w:p>
    <w:p w14:paraId="54F7C7D9" w14:textId="14C469BE" w:rsidR="00E96DD0" w:rsidRPr="00ED2B1F" w:rsidRDefault="00E96DD0" w:rsidP="00C103C7">
      <w:pPr>
        <w:pStyle w:val="Figure"/>
      </w:pPr>
      <w:bookmarkStart w:id="522" w:name="_Ref65672687"/>
      <w:bookmarkStart w:id="523" w:name="_Ref219293365"/>
      <w:bookmarkStart w:id="524" w:name="_Toc63764792"/>
      <w:bookmarkStart w:id="525" w:name="_Toc75176503"/>
      <w:bookmarkStart w:id="526" w:name="_Toc85442596"/>
      <w:bookmarkStart w:id="527" w:name="_Toc85445950"/>
      <w:bookmarkStart w:id="528" w:name="_Toc87429990"/>
      <w:bookmarkStart w:id="529" w:name="_Toc88561422"/>
      <w:bookmarkStart w:id="530" w:name="_Toc115188884"/>
      <w:bookmarkStart w:id="531" w:name="_Toc142314726"/>
      <w:bookmarkStart w:id="532" w:name="_Toc145394308"/>
      <w:bookmarkStart w:id="533" w:name="_Toc189053983"/>
      <w:bookmarkStart w:id="534" w:name="_Toc224638212"/>
      <w:r w:rsidRPr="00ED2B1F">
        <w:t xml:space="preserve">Figure </w:t>
      </w:r>
      <w:r w:rsidR="00487468">
        <w:fldChar w:fldCharType="begin"/>
      </w:r>
      <w:r w:rsidR="00487468">
        <w:instrText xml:space="preserve"> SEQ Figure \* ARABIC </w:instrText>
      </w:r>
      <w:r w:rsidR="00487468">
        <w:fldChar w:fldCharType="separate"/>
      </w:r>
      <w:r w:rsidR="00484E57">
        <w:rPr>
          <w:noProof/>
        </w:rPr>
        <w:t>40</w:t>
      </w:r>
      <w:r w:rsidR="00487468">
        <w:fldChar w:fldCharType="end"/>
      </w:r>
      <w:bookmarkEnd w:id="522"/>
      <w:bookmarkEnd w:id="523"/>
      <w:r w:rsidRPr="00ED2B1F">
        <w:t xml:space="preserve">: Number of people treated with ECT, by age group and gender, </w:t>
      </w:r>
      <w:bookmarkEnd w:id="524"/>
      <w:bookmarkEnd w:id="525"/>
      <w:bookmarkEnd w:id="526"/>
      <w:bookmarkEnd w:id="527"/>
      <w:bookmarkEnd w:id="528"/>
      <w:bookmarkEnd w:id="529"/>
      <w:bookmarkEnd w:id="530"/>
      <w:bookmarkEnd w:id="531"/>
      <w:bookmarkEnd w:id="532"/>
      <w:bookmarkEnd w:id="533"/>
      <w:r w:rsidR="00211D17" w:rsidRPr="00ED2B1F">
        <w:t>1 July 2023 to 30 June 2024</w:t>
      </w:r>
      <w:bookmarkEnd w:id="534"/>
    </w:p>
    <w:p w14:paraId="40BAB296" w14:textId="25E4E015" w:rsidR="00E96DD0" w:rsidRPr="00ED2B1F" w:rsidRDefault="0062401C" w:rsidP="00F3241D">
      <w:r>
        <w:rPr>
          <w:noProof/>
        </w:rPr>
        <w:drawing>
          <wp:inline distT="0" distB="0" distL="0" distR="0" wp14:anchorId="3B310AA8" wp14:editId="02E90D32">
            <wp:extent cx="5133340" cy="2011680"/>
            <wp:effectExtent l="0" t="0" r="0" b="7620"/>
            <wp:docPr id="2112981589"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1589" name="Picture 41">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3340" cy="2011680"/>
                    </a:xfrm>
                    <a:prstGeom prst="rect">
                      <a:avLst/>
                    </a:prstGeom>
                    <a:noFill/>
                  </pic:spPr>
                </pic:pic>
              </a:graphicData>
            </a:graphic>
          </wp:inline>
        </w:drawing>
      </w:r>
    </w:p>
    <w:p w14:paraId="55620DC4" w14:textId="4CBC6743" w:rsidR="00E96DD0" w:rsidRPr="00ED2B1F" w:rsidRDefault="00E96DD0" w:rsidP="00CC2148">
      <w:pPr>
        <w:pStyle w:val="Note"/>
      </w:pPr>
      <w:r w:rsidRPr="00ED2B1F">
        <w:t xml:space="preserve">Note: </w:t>
      </w:r>
      <w:r w:rsidR="00C060CC">
        <w:t>E</w:t>
      </w:r>
      <w:r w:rsidR="00C060CC" w:rsidRPr="00C060CC">
        <w:t>veryone receiving ECT was under 90</w:t>
      </w:r>
      <w:r w:rsidR="00C060CC">
        <w:t>.</w:t>
      </w:r>
    </w:p>
    <w:p w14:paraId="5136D164" w14:textId="0E41E6BB" w:rsidR="00451F66" w:rsidRPr="00CC2148" w:rsidRDefault="00451F66"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5F9E3416" w14:textId="6CCF5915" w:rsidR="00E96DD0" w:rsidRPr="00ED2B1F" w:rsidRDefault="00E96DD0" w:rsidP="007A34A3">
      <w:pPr>
        <w:pStyle w:val="Heading2"/>
      </w:pPr>
      <w:bookmarkStart w:id="535" w:name="_Toc65141638"/>
      <w:bookmarkStart w:id="536" w:name="_Toc75176463"/>
      <w:bookmarkStart w:id="537" w:name="_Toc87429931"/>
      <w:bookmarkStart w:id="538" w:name="_Toc88826979"/>
      <w:bookmarkStart w:id="539" w:name="_Toc115188829"/>
      <w:bookmarkStart w:id="540" w:name="_Toc145394255"/>
      <w:bookmarkStart w:id="541" w:name="_Toc189053925"/>
      <w:bookmarkStart w:id="542" w:name="_Toc224638113"/>
      <w:r w:rsidRPr="00ED2B1F">
        <w:t>Ethnicity of people treated with ECT</w:t>
      </w:r>
      <w:bookmarkEnd w:id="535"/>
      <w:bookmarkEnd w:id="536"/>
      <w:bookmarkEnd w:id="537"/>
      <w:bookmarkEnd w:id="538"/>
      <w:bookmarkEnd w:id="539"/>
      <w:bookmarkEnd w:id="540"/>
      <w:bookmarkEnd w:id="541"/>
      <w:bookmarkEnd w:id="542"/>
    </w:p>
    <w:bookmarkStart w:id="543" w:name="_Ref85452367"/>
    <w:bookmarkStart w:id="544" w:name="_Ref141109478"/>
    <w:bookmarkStart w:id="545" w:name="_Toc87430017"/>
    <w:bookmarkStart w:id="546" w:name="_Toc88561374"/>
    <w:bookmarkStart w:id="547" w:name="_Toc115188909"/>
    <w:bookmarkStart w:id="548" w:name="_Toc142314768"/>
    <w:bookmarkStart w:id="549" w:name="_Toc145394331"/>
    <w:bookmarkStart w:id="550" w:name="_Toc189054009"/>
    <w:p w14:paraId="71578415" w14:textId="53A783AD" w:rsidR="00E96DD0" w:rsidRPr="00ED2B1F" w:rsidRDefault="000420E5" w:rsidP="000420E5">
      <w:r w:rsidRPr="00ED2B1F">
        <w:fldChar w:fldCharType="begin"/>
      </w:r>
      <w:r w:rsidRPr="00ED2B1F">
        <w:instrText xml:space="preserve"> REF _Ref189455094 \h </w:instrText>
      </w:r>
      <w:r w:rsidRPr="00ED2B1F">
        <w:fldChar w:fldCharType="separate"/>
      </w:r>
      <w:r w:rsidR="00484E57" w:rsidRPr="00ED2B1F">
        <w:t>Table </w:t>
      </w:r>
      <w:r w:rsidR="00484E57">
        <w:rPr>
          <w:noProof/>
        </w:rPr>
        <w:t>18</w:t>
      </w:r>
      <w:r w:rsidRPr="00ED2B1F">
        <w:fldChar w:fldCharType="end"/>
      </w:r>
      <w:r w:rsidRPr="00ED2B1F">
        <w:t xml:space="preserve"> indicates that Asian, Māori and Pacific peoples were less likely to receive ECT than people of other ethnicities, such as New Zealand Europeans. However, the numbers involved are so small that it is not statistically appropriate to compare the percentage of people receiving ECT in each ethnic group with that group’s proportion of the total population.</w:t>
      </w:r>
    </w:p>
    <w:p w14:paraId="6561A527" w14:textId="77777777" w:rsidR="000420E5" w:rsidRPr="00ED2B1F" w:rsidRDefault="000420E5" w:rsidP="000420E5"/>
    <w:p w14:paraId="14EAAC6D" w14:textId="1CC341F4" w:rsidR="00E96DD0" w:rsidRPr="00ED2B1F" w:rsidRDefault="00E96DD0" w:rsidP="00C103C7">
      <w:pPr>
        <w:pStyle w:val="Table"/>
      </w:pPr>
      <w:bookmarkStart w:id="551" w:name="_Ref189455094"/>
      <w:bookmarkStart w:id="552" w:name="_Toc224638238"/>
      <w:r w:rsidRPr="00ED2B1F">
        <w:t>Table </w:t>
      </w:r>
      <w:r w:rsidRPr="00ED2B1F">
        <w:fldChar w:fldCharType="begin"/>
      </w:r>
      <w:r w:rsidRPr="00ED2B1F">
        <w:instrText>SEQ Table \* ARABIC</w:instrText>
      </w:r>
      <w:r w:rsidRPr="00ED2B1F">
        <w:fldChar w:fldCharType="separate"/>
      </w:r>
      <w:r w:rsidR="00484E57">
        <w:rPr>
          <w:noProof/>
        </w:rPr>
        <w:t>18</w:t>
      </w:r>
      <w:r w:rsidRPr="00ED2B1F">
        <w:fldChar w:fldCharType="end"/>
      </w:r>
      <w:bookmarkEnd w:id="543"/>
      <w:bookmarkEnd w:id="544"/>
      <w:bookmarkEnd w:id="551"/>
      <w:r w:rsidRPr="00ED2B1F">
        <w:t xml:space="preserve">: Number of people treated with ECT and rate per 100,000 population, by ethnicity, </w:t>
      </w:r>
      <w:bookmarkEnd w:id="545"/>
      <w:bookmarkEnd w:id="546"/>
      <w:bookmarkEnd w:id="547"/>
      <w:bookmarkEnd w:id="548"/>
      <w:bookmarkEnd w:id="549"/>
      <w:bookmarkEnd w:id="550"/>
      <w:r w:rsidR="00211D17" w:rsidRPr="00ED2B1F">
        <w:t>1 July 2023 to 30 June 2024</w:t>
      </w:r>
      <w:bookmarkEnd w:id="552"/>
    </w:p>
    <w:tbl>
      <w:tblPr>
        <w:tblW w:w="802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74"/>
        <w:gridCol w:w="2674"/>
        <w:gridCol w:w="2675"/>
      </w:tblGrid>
      <w:tr w:rsidR="00CC2148" w:rsidRPr="00CC2148" w14:paraId="033F861E" w14:textId="77777777" w:rsidTr="00CC2148">
        <w:trPr>
          <w:cantSplit/>
          <w:trHeight w:val="351"/>
        </w:trPr>
        <w:tc>
          <w:tcPr>
            <w:tcW w:w="2674" w:type="dxa"/>
            <w:tcBorders>
              <w:top w:val="nil"/>
              <w:bottom w:val="nil"/>
            </w:tcBorders>
            <w:shd w:val="clear" w:color="auto" w:fill="D9D9D9" w:themeFill="background1" w:themeFillShade="D9"/>
          </w:tcPr>
          <w:p w14:paraId="09E58E5E" w14:textId="77777777" w:rsidR="00E96DD0" w:rsidRPr="00CC2148" w:rsidRDefault="00E96DD0" w:rsidP="00E96DD0">
            <w:pPr>
              <w:pStyle w:val="TableText"/>
              <w:keepNext/>
              <w:rPr>
                <w:b/>
              </w:rPr>
            </w:pPr>
            <w:r w:rsidRPr="00CC2148">
              <w:rPr>
                <w:b/>
              </w:rPr>
              <w:t>Ethnicity</w:t>
            </w:r>
          </w:p>
        </w:tc>
        <w:tc>
          <w:tcPr>
            <w:tcW w:w="2674" w:type="dxa"/>
            <w:tcBorders>
              <w:top w:val="nil"/>
              <w:bottom w:val="nil"/>
            </w:tcBorders>
            <w:shd w:val="clear" w:color="auto" w:fill="D9D9D9" w:themeFill="background1" w:themeFillShade="D9"/>
          </w:tcPr>
          <w:p w14:paraId="46936B8A" w14:textId="77777777" w:rsidR="00E96DD0" w:rsidRPr="00CC2148" w:rsidRDefault="00E96DD0" w:rsidP="00E96DD0">
            <w:pPr>
              <w:pStyle w:val="TableText"/>
              <w:keepNext/>
              <w:jc w:val="center"/>
              <w:rPr>
                <w:b/>
              </w:rPr>
            </w:pPr>
            <w:r w:rsidRPr="00CC2148">
              <w:rPr>
                <w:b/>
              </w:rPr>
              <w:t>Number</w:t>
            </w:r>
          </w:p>
        </w:tc>
        <w:tc>
          <w:tcPr>
            <w:tcW w:w="2675" w:type="dxa"/>
            <w:tcBorders>
              <w:top w:val="nil"/>
              <w:bottom w:val="nil"/>
            </w:tcBorders>
            <w:shd w:val="clear" w:color="auto" w:fill="D9D9D9" w:themeFill="background1" w:themeFillShade="D9"/>
          </w:tcPr>
          <w:p w14:paraId="20915A3C" w14:textId="77777777" w:rsidR="00E96DD0" w:rsidRPr="00CC2148" w:rsidRDefault="00E96DD0" w:rsidP="00E96DD0">
            <w:pPr>
              <w:pStyle w:val="TableText"/>
              <w:keepNext/>
              <w:jc w:val="center"/>
              <w:rPr>
                <w:b/>
              </w:rPr>
            </w:pPr>
            <w:r w:rsidRPr="00CC2148">
              <w:rPr>
                <w:b/>
              </w:rPr>
              <w:t>Rate per 100,000</w:t>
            </w:r>
          </w:p>
        </w:tc>
      </w:tr>
      <w:tr w:rsidR="00E96DD0" w:rsidRPr="00ED2B1F" w14:paraId="715F2FB9" w14:textId="77777777" w:rsidTr="00E96DD0">
        <w:trPr>
          <w:cantSplit/>
          <w:trHeight w:val="352"/>
        </w:trPr>
        <w:tc>
          <w:tcPr>
            <w:tcW w:w="2674" w:type="dxa"/>
            <w:tcBorders>
              <w:top w:val="nil"/>
            </w:tcBorders>
          </w:tcPr>
          <w:p w14:paraId="3708E9F7" w14:textId="77777777" w:rsidR="00E96DD0" w:rsidRPr="00ED2B1F" w:rsidRDefault="00E96DD0" w:rsidP="00E96DD0">
            <w:pPr>
              <w:pStyle w:val="TableText"/>
              <w:keepNext/>
            </w:pPr>
            <w:r w:rsidRPr="00ED2B1F">
              <w:t>Māori</w:t>
            </w:r>
          </w:p>
        </w:tc>
        <w:tc>
          <w:tcPr>
            <w:tcW w:w="2674" w:type="dxa"/>
            <w:tcBorders>
              <w:top w:val="nil"/>
            </w:tcBorders>
          </w:tcPr>
          <w:p w14:paraId="6C0483FE" w14:textId="60F87434" w:rsidR="00E96DD0" w:rsidRPr="00ED2B1F" w:rsidRDefault="00DC1EDC" w:rsidP="00E96DD0">
            <w:pPr>
              <w:pStyle w:val="TableText"/>
              <w:keepNext/>
              <w:tabs>
                <w:tab w:val="decimal" w:pos="709"/>
              </w:tabs>
              <w:jc w:val="center"/>
            </w:pPr>
            <w:r w:rsidRPr="00ED2B1F">
              <w:t>26</w:t>
            </w:r>
          </w:p>
        </w:tc>
        <w:tc>
          <w:tcPr>
            <w:tcW w:w="2675" w:type="dxa"/>
            <w:tcBorders>
              <w:top w:val="nil"/>
            </w:tcBorders>
          </w:tcPr>
          <w:p w14:paraId="0448A143" w14:textId="66ED2269" w:rsidR="00E96DD0" w:rsidRPr="00ED2B1F" w:rsidRDefault="00B90557" w:rsidP="00E96DD0">
            <w:pPr>
              <w:pStyle w:val="TableText"/>
              <w:keepNext/>
              <w:tabs>
                <w:tab w:val="decimal" w:pos="709"/>
              </w:tabs>
              <w:jc w:val="center"/>
            </w:pPr>
            <w:r w:rsidRPr="00ED2B1F">
              <w:t>2.9</w:t>
            </w:r>
          </w:p>
        </w:tc>
      </w:tr>
      <w:tr w:rsidR="00E96DD0" w:rsidRPr="00ED2B1F" w14:paraId="61F09B5E" w14:textId="77777777" w:rsidTr="00E96DD0">
        <w:trPr>
          <w:cantSplit/>
          <w:trHeight w:val="351"/>
        </w:trPr>
        <w:tc>
          <w:tcPr>
            <w:tcW w:w="2674" w:type="dxa"/>
          </w:tcPr>
          <w:p w14:paraId="6BB6C8BC" w14:textId="77777777" w:rsidR="00E96DD0" w:rsidRPr="00ED2B1F" w:rsidRDefault="00E96DD0" w:rsidP="00E96DD0">
            <w:pPr>
              <w:pStyle w:val="TableText"/>
            </w:pPr>
            <w:r w:rsidRPr="00ED2B1F">
              <w:t>Pacific peoples</w:t>
            </w:r>
          </w:p>
        </w:tc>
        <w:tc>
          <w:tcPr>
            <w:tcW w:w="2674" w:type="dxa"/>
          </w:tcPr>
          <w:p w14:paraId="5E3FD04D" w14:textId="2FDC31C5" w:rsidR="00E96DD0" w:rsidRPr="00ED2B1F" w:rsidRDefault="00DC1EDC" w:rsidP="00E96DD0">
            <w:pPr>
              <w:pStyle w:val="TableText"/>
              <w:tabs>
                <w:tab w:val="decimal" w:pos="709"/>
              </w:tabs>
              <w:jc w:val="center"/>
            </w:pPr>
            <w:r w:rsidRPr="00ED2B1F">
              <w:t>9</w:t>
            </w:r>
          </w:p>
        </w:tc>
        <w:tc>
          <w:tcPr>
            <w:tcW w:w="2675" w:type="dxa"/>
          </w:tcPr>
          <w:p w14:paraId="51270B7D" w14:textId="25D959DA" w:rsidR="00E96DD0" w:rsidRPr="00ED2B1F" w:rsidRDefault="00E96DD0" w:rsidP="00E96DD0">
            <w:pPr>
              <w:pStyle w:val="TableText"/>
              <w:tabs>
                <w:tab w:val="decimal" w:pos="709"/>
              </w:tabs>
              <w:jc w:val="center"/>
            </w:pPr>
            <w:r w:rsidRPr="00ED2B1F">
              <w:t>2.</w:t>
            </w:r>
            <w:r w:rsidR="00B90557" w:rsidRPr="00ED2B1F">
              <w:t>4</w:t>
            </w:r>
          </w:p>
        </w:tc>
      </w:tr>
      <w:tr w:rsidR="00E96DD0" w:rsidRPr="00ED2B1F" w14:paraId="7F130300" w14:textId="77777777" w:rsidTr="00E96DD0">
        <w:trPr>
          <w:cantSplit/>
          <w:trHeight w:val="351"/>
        </w:trPr>
        <w:tc>
          <w:tcPr>
            <w:tcW w:w="2674" w:type="dxa"/>
          </w:tcPr>
          <w:p w14:paraId="668540A2" w14:textId="77777777" w:rsidR="00E96DD0" w:rsidRPr="00ED2B1F" w:rsidRDefault="00E96DD0" w:rsidP="00E96DD0">
            <w:pPr>
              <w:pStyle w:val="TableText"/>
            </w:pPr>
            <w:r w:rsidRPr="00ED2B1F">
              <w:t>Asian</w:t>
            </w:r>
          </w:p>
        </w:tc>
        <w:tc>
          <w:tcPr>
            <w:tcW w:w="2674" w:type="dxa"/>
          </w:tcPr>
          <w:p w14:paraId="210D7EBD" w14:textId="48EFE95F" w:rsidR="00E96DD0" w:rsidRPr="00ED2B1F" w:rsidRDefault="00DC1EDC" w:rsidP="00E96DD0">
            <w:pPr>
              <w:pStyle w:val="TableText"/>
              <w:tabs>
                <w:tab w:val="decimal" w:pos="709"/>
              </w:tabs>
              <w:jc w:val="center"/>
            </w:pPr>
            <w:r w:rsidRPr="00ED2B1F">
              <w:t>21</w:t>
            </w:r>
          </w:p>
        </w:tc>
        <w:tc>
          <w:tcPr>
            <w:tcW w:w="2675" w:type="dxa"/>
          </w:tcPr>
          <w:p w14:paraId="1DC3E41E" w14:textId="21D71ED3" w:rsidR="00E96DD0" w:rsidRPr="00ED2B1F" w:rsidRDefault="00E96DD0" w:rsidP="00E96DD0">
            <w:pPr>
              <w:pStyle w:val="TableText"/>
              <w:tabs>
                <w:tab w:val="decimal" w:pos="709"/>
              </w:tabs>
              <w:jc w:val="center"/>
            </w:pPr>
            <w:r w:rsidRPr="00ED2B1F">
              <w:t>2.</w:t>
            </w:r>
            <w:r w:rsidR="00B90557" w:rsidRPr="00ED2B1F">
              <w:t>0</w:t>
            </w:r>
          </w:p>
        </w:tc>
      </w:tr>
      <w:tr w:rsidR="00E96DD0" w:rsidRPr="00ED2B1F" w14:paraId="466DB15C" w14:textId="77777777" w:rsidTr="00E96DD0">
        <w:trPr>
          <w:cantSplit/>
          <w:trHeight w:val="351"/>
        </w:trPr>
        <w:tc>
          <w:tcPr>
            <w:tcW w:w="2674" w:type="dxa"/>
          </w:tcPr>
          <w:p w14:paraId="1767085F" w14:textId="77777777" w:rsidR="00E96DD0" w:rsidRPr="00ED2B1F" w:rsidRDefault="00E96DD0" w:rsidP="00E96DD0">
            <w:pPr>
              <w:pStyle w:val="TableText"/>
            </w:pPr>
            <w:r w:rsidRPr="00ED2B1F">
              <w:t>Other</w:t>
            </w:r>
          </w:p>
        </w:tc>
        <w:tc>
          <w:tcPr>
            <w:tcW w:w="2674" w:type="dxa"/>
          </w:tcPr>
          <w:p w14:paraId="66B8D13E" w14:textId="0F63501B" w:rsidR="00E96DD0" w:rsidRPr="00ED2B1F" w:rsidRDefault="00B90557" w:rsidP="00E96DD0">
            <w:pPr>
              <w:pStyle w:val="TableText"/>
              <w:tabs>
                <w:tab w:val="decimal" w:pos="709"/>
              </w:tabs>
              <w:jc w:val="center"/>
            </w:pPr>
            <w:r w:rsidRPr="00ED2B1F">
              <w:t>238</w:t>
            </w:r>
          </w:p>
        </w:tc>
        <w:tc>
          <w:tcPr>
            <w:tcW w:w="2675" w:type="dxa"/>
          </w:tcPr>
          <w:p w14:paraId="5B402238" w14:textId="003D2D88" w:rsidR="00E96DD0" w:rsidRPr="00ED2B1F" w:rsidRDefault="00B90557" w:rsidP="00E96DD0">
            <w:pPr>
              <w:pStyle w:val="TableText"/>
              <w:tabs>
                <w:tab w:val="decimal" w:pos="709"/>
              </w:tabs>
              <w:jc w:val="center"/>
            </w:pPr>
            <w:r w:rsidRPr="00ED2B1F">
              <w:t>7.9</w:t>
            </w:r>
          </w:p>
        </w:tc>
      </w:tr>
      <w:tr w:rsidR="00E96DD0" w:rsidRPr="00ED2B1F" w14:paraId="708601EB" w14:textId="77777777" w:rsidTr="00E96DD0">
        <w:trPr>
          <w:cantSplit/>
          <w:trHeight w:val="352"/>
        </w:trPr>
        <w:tc>
          <w:tcPr>
            <w:tcW w:w="2674" w:type="dxa"/>
          </w:tcPr>
          <w:p w14:paraId="7939E94A" w14:textId="77777777" w:rsidR="00E96DD0" w:rsidRPr="00ED2B1F" w:rsidRDefault="00E96DD0" w:rsidP="00E96DD0">
            <w:pPr>
              <w:pStyle w:val="TableText"/>
              <w:rPr>
                <w:b/>
              </w:rPr>
            </w:pPr>
            <w:r w:rsidRPr="00ED2B1F">
              <w:rPr>
                <w:b/>
              </w:rPr>
              <w:t>All</w:t>
            </w:r>
          </w:p>
        </w:tc>
        <w:tc>
          <w:tcPr>
            <w:tcW w:w="2674" w:type="dxa"/>
          </w:tcPr>
          <w:p w14:paraId="3DB7B80A" w14:textId="1DFA13E3" w:rsidR="00E96DD0" w:rsidRPr="00ED2B1F" w:rsidRDefault="00B90557" w:rsidP="00E96DD0">
            <w:pPr>
              <w:pStyle w:val="TableText"/>
              <w:tabs>
                <w:tab w:val="decimal" w:pos="709"/>
              </w:tabs>
              <w:jc w:val="center"/>
              <w:rPr>
                <w:b/>
              </w:rPr>
            </w:pPr>
            <w:r w:rsidRPr="00ED2B1F">
              <w:rPr>
                <w:b/>
              </w:rPr>
              <w:t>294</w:t>
            </w:r>
          </w:p>
        </w:tc>
        <w:tc>
          <w:tcPr>
            <w:tcW w:w="2675" w:type="dxa"/>
          </w:tcPr>
          <w:p w14:paraId="4C1C30B9" w14:textId="2B54407F" w:rsidR="00E96DD0" w:rsidRPr="00ED2B1F" w:rsidRDefault="00E96DD0" w:rsidP="00E96DD0">
            <w:pPr>
              <w:pStyle w:val="TableText"/>
              <w:tabs>
                <w:tab w:val="decimal" w:pos="709"/>
              </w:tabs>
              <w:jc w:val="center"/>
              <w:rPr>
                <w:b/>
              </w:rPr>
            </w:pPr>
            <w:r w:rsidRPr="00ED2B1F">
              <w:rPr>
                <w:b/>
              </w:rPr>
              <w:t>5.</w:t>
            </w:r>
            <w:r w:rsidR="00B90557" w:rsidRPr="00ED2B1F">
              <w:rPr>
                <w:b/>
              </w:rPr>
              <w:t>5</w:t>
            </w:r>
          </w:p>
        </w:tc>
      </w:tr>
    </w:tbl>
    <w:p w14:paraId="03F987FA" w14:textId="358DBDDB" w:rsidR="00B90557" w:rsidRPr="00CC2148" w:rsidRDefault="00B90557" w:rsidP="00CC2148">
      <w:pPr>
        <w:pStyle w:val="Source"/>
      </w:pPr>
      <w:r w:rsidRPr="00CC2148">
        <w:t xml:space="preserve">Sources: PRIMHD data (extracted 10 June 2025) and manual data for Health New Zealand Capital </w:t>
      </w:r>
      <w:r w:rsidR="000C673F" w:rsidRPr="00CC2148">
        <w:t xml:space="preserve">&amp; </w:t>
      </w:r>
      <w:r w:rsidRPr="00CC2148">
        <w:t xml:space="preserve">Coast, Hawke’s Bay, Southern and Waikato. </w:t>
      </w:r>
    </w:p>
    <w:p w14:paraId="0F8839AB" w14:textId="27E84758" w:rsidR="00E96DD0" w:rsidRPr="00ED2B1F" w:rsidRDefault="00E96DD0" w:rsidP="007A34A3">
      <w:pPr>
        <w:pStyle w:val="Heading2"/>
      </w:pPr>
      <w:bookmarkStart w:id="553" w:name="_Toc65141639"/>
      <w:bookmarkStart w:id="554" w:name="_Toc75176464"/>
      <w:bookmarkStart w:id="555" w:name="_Toc87429932"/>
      <w:bookmarkStart w:id="556" w:name="_Toc88826980"/>
      <w:bookmarkStart w:id="557" w:name="_Toc115188830"/>
      <w:bookmarkStart w:id="558" w:name="_Toc145394256"/>
      <w:bookmarkStart w:id="559" w:name="_Toc189053926"/>
      <w:bookmarkStart w:id="560" w:name="_Toc224638114"/>
      <w:r w:rsidRPr="00ED2B1F">
        <w:lastRenderedPageBreak/>
        <w:t>Consent to ECT treatment</w:t>
      </w:r>
      <w:bookmarkEnd w:id="553"/>
      <w:bookmarkEnd w:id="554"/>
      <w:bookmarkEnd w:id="555"/>
      <w:bookmarkEnd w:id="556"/>
      <w:bookmarkEnd w:id="557"/>
      <w:bookmarkEnd w:id="558"/>
      <w:bookmarkEnd w:id="559"/>
      <w:bookmarkEnd w:id="560"/>
    </w:p>
    <w:p w14:paraId="78191D6C" w14:textId="77777777" w:rsidR="00E96DD0" w:rsidRPr="00ED2B1F" w:rsidRDefault="00E96DD0" w:rsidP="00E96DD0">
      <w:r w:rsidRPr="00ED2B1F">
        <w:t>Under the Mental Health Act, a person can be treated with ECT if they consent in writing or if an independent psychiatrist appointed by the Mental Health Review Tribunal</w:t>
      </w:r>
      <w:r w:rsidRPr="00ED2B1F">
        <w:rPr>
          <w:rStyle w:val="FootnoteReference"/>
        </w:rPr>
        <w:footnoteReference w:id="31"/>
      </w:r>
      <w:r w:rsidRPr="00ED2B1F">
        <w:t xml:space="preserve"> considers this treatment to be in the person’s interests. An independent psychiatrist cannot be the patient’s responsible clinician or part of the patient’s clinical team.</w:t>
      </w:r>
    </w:p>
    <w:p w14:paraId="768AC34C" w14:textId="77777777" w:rsidR="00E96DD0" w:rsidRPr="00ED2B1F" w:rsidRDefault="00E96DD0" w:rsidP="00E96DD0"/>
    <w:p w14:paraId="163C125A" w14:textId="77777777" w:rsidR="0062716D" w:rsidRPr="00ED2B1F" w:rsidRDefault="0062716D" w:rsidP="0062716D">
      <w:r w:rsidRPr="00ED2B1F">
        <w:t xml:space="preserve">In 2023/24, a total of </w:t>
      </w:r>
      <w:r>
        <w:t>1,085</w:t>
      </w:r>
      <w:r w:rsidRPr="00BB3C64">
        <w:t xml:space="preserve"> ECT treatments were administered to </w:t>
      </w:r>
      <w:r>
        <w:t>105</w:t>
      </w:r>
      <w:r w:rsidRPr="00ED2B1F">
        <w:t xml:space="preserve"> people who did not have capacity to consent. </w:t>
      </w:r>
      <w:r>
        <w:t>One person</w:t>
      </w:r>
      <w:r w:rsidRPr="00ED2B1F">
        <w:t xml:space="preserve"> </w:t>
      </w:r>
      <w:r>
        <w:t>had</w:t>
      </w:r>
      <w:r w:rsidRPr="00ED2B1F">
        <w:t xml:space="preserve"> capacity to consent but refused to consent, and </w:t>
      </w:r>
      <w:r>
        <w:t xml:space="preserve">was </w:t>
      </w:r>
      <w:r w:rsidRPr="00ED2B1F">
        <w:t xml:space="preserve">administered </w:t>
      </w:r>
      <w:r>
        <w:t xml:space="preserve">12 </w:t>
      </w:r>
      <w:r w:rsidRPr="00ED2B1F">
        <w:t>treatments of ECT</w:t>
      </w:r>
      <w:r>
        <w:t xml:space="preserve"> after </w:t>
      </w:r>
      <w:r w:rsidRPr="00ED2B1F">
        <w:t xml:space="preserve">an independent psychiatrist provided a second opinion. </w:t>
      </w:r>
    </w:p>
    <w:p w14:paraId="1998D1C7" w14:textId="77777777" w:rsidR="0062716D" w:rsidRPr="00ED2B1F" w:rsidRDefault="0062716D" w:rsidP="0062716D"/>
    <w:p w14:paraId="16B472EC" w14:textId="10CFA94F" w:rsidR="0062716D" w:rsidRPr="00ED2B1F" w:rsidRDefault="0062716D" w:rsidP="0062716D">
      <w:pPr>
        <w:rPr>
          <w:rFonts w:cs="Segoe UI"/>
        </w:rPr>
      </w:pPr>
      <w:r w:rsidRPr="00ED2B1F">
        <w:fldChar w:fldCharType="begin"/>
      </w:r>
      <w:r w:rsidRPr="00ED2B1F">
        <w:instrText xml:space="preserve"> REF _Ref189455137 \h </w:instrText>
      </w:r>
      <w:r w:rsidRPr="00ED2B1F">
        <w:fldChar w:fldCharType="separate"/>
      </w:r>
      <w:r w:rsidR="00484E57" w:rsidRPr="00ED2B1F">
        <w:t>Table </w:t>
      </w:r>
      <w:r w:rsidR="00484E57">
        <w:rPr>
          <w:noProof/>
        </w:rPr>
        <w:t>19</w:t>
      </w:r>
      <w:r w:rsidRPr="00ED2B1F">
        <w:fldChar w:fldCharType="end"/>
      </w:r>
      <w:r w:rsidRPr="00ED2B1F">
        <w:t xml:space="preserve"> </w:t>
      </w:r>
      <w:r w:rsidRPr="00ED2B1F">
        <w:rPr>
          <w:rFonts w:cs="Segoe UI"/>
        </w:rPr>
        <w:t>shows the number of treatments administered without consent during this period.</w:t>
      </w:r>
      <w:bookmarkStart w:id="561" w:name="_Ref141109499"/>
      <w:bookmarkStart w:id="562" w:name="_Toc142314769"/>
      <w:bookmarkStart w:id="563" w:name="_Toc145394332"/>
      <w:r w:rsidRPr="00ED2B1F">
        <w:rPr>
          <w:rFonts w:cs="Segoe UI"/>
        </w:rPr>
        <w:t xml:space="preserve"> Please note the numbers per region may not add up to the national total, as some individuals may have received ECT under multiple services or their capacity to consent may have fluctuated.</w:t>
      </w:r>
    </w:p>
    <w:p w14:paraId="23A980FB" w14:textId="77777777" w:rsidR="0062716D" w:rsidRPr="00ED2B1F" w:rsidRDefault="0062716D" w:rsidP="0062716D"/>
    <w:p w14:paraId="38C5EE55" w14:textId="69DEECFE" w:rsidR="0062716D" w:rsidRPr="00ED2B1F" w:rsidRDefault="0062716D" w:rsidP="0062716D">
      <w:pPr>
        <w:pStyle w:val="Table"/>
      </w:pPr>
      <w:bookmarkStart w:id="564" w:name="_Ref189455137"/>
      <w:bookmarkStart w:id="565" w:name="_Toc189054010"/>
      <w:bookmarkStart w:id="566" w:name="_Toc224638239"/>
      <w:r w:rsidRPr="00ED2B1F">
        <w:t>Table </w:t>
      </w:r>
      <w:r w:rsidRPr="00ED2B1F">
        <w:fldChar w:fldCharType="begin"/>
      </w:r>
      <w:r w:rsidRPr="00ED2B1F">
        <w:instrText>SEQ Table \* ARABIC</w:instrText>
      </w:r>
      <w:r w:rsidRPr="00ED2B1F">
        <w:fldChar w:fldCharType="separate"/>
      </w:r>
      <w:r w:rsidR="00484E57">
        <w:rPr>
          <w:noProof/>
        </w:rPr>
        <w:t>19</w:t>
      </w:r>
      <w:r w:rsidRPr="00ED2B1F">
        <w:fldChar w:fldCharType="end"/>
      </w:r>
      <w:bookmarkEnd w:id="561"/>
      <w:bookmarkEnd w:id="564"/>
      <w:r w:rsidRPr="00ED2B1F">
        <w:t xml:space="preserve">: ECT administered under second opinion without consent, by region of service, </w:t>
      </w:r>
      <w:bookmarkEnd w:id="562"/>
      <w:bookmarkEnd w:id="563"/>
      <w:bookmarkEnd w:id="565"/>
      <w:r w:rsidRPr="00ED2B1F">
        <w:t>1 July 2023 to 30 June 2024</w:t>
      </w:r>
      <w:bookmarkEnd w:id="566"/>
    </w:p>
    <w:tbl>
      <w:tblPr>
        <w:tblW w:w="7882" w:type="dxa"/>
        <w:tblInd w:w="57"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ayout w:type="fixed"/>
        <w:tblCellMar>
          <w:left w:w="57" w:type="dxa"/>
          <w:right w:w="57" w:type="dxa"/>
        </w:tblCellMar>
        <w:tblLook w:val="01E0" w:firstRow="1" w:lastRow="1" w:firstColumn="1" w:lastColumn="1" w:noHBand="0" w:noVBand="0"/>
      </w:tblPr>
      <w:tblGrid>
        <w:gridCol w:w="1644"/>
        <w:gridCol w:w="1559"/>
        <w:gridCol w:w="1560"/>
        <w:gridCol w:w="1559"/>
        <w:gridCol w:w="1560"/>
      </w:tblGrid>
      <w:tr w:rsidR="0062716D" w:rsidRPr="00ED2B1F" w14:paraId="1334CDCC" w14:textId="77777777" w:rsidTr="00FA713C">
        <w:trPr>
          <w:cantSplit/>
        </w:trPr>
        <w:tc>
          <w:tcPr>
            <w:tcW w:w="1644" w:type="dxa"/>
            <w:vMerge w:val="restart"/>
            <w:tcBorders>
              <w:top w:val="nil"/>
              <w:bottom w:val="single" w:sz="6" w:space="0" w:color="A6A6A6" w:themeColor="background1" w:themeShade="A6"/>
              <w:right w:val="nil"/>
            </w:tcBorders>
            <w:shd w:val="clear" w:color="auto" w:fill="D9D9D9" w:themeFill="background1" w:themeFillShade="D9"/>
            <w:vAlign w:val="bottom"/>
          </w:tcPr>
          <w:p w14:paraId="1C5501DB" w14:textId="77777777" w:rsidR="0062716D" w:rsidRPr="00CC2148" w:rsidRDefault="0062716D" w:rsidP="00FA713C">
            <w:pPr>
              <w:pStyle w:val="TableText"/>
              <w:keepNext/>
              <w:rPr>
                <w:b/>
              </w:rPr>
            </w:pPr>
            <w:r w:rsidRPr="00CC2148">
              <w:rPr>
                <w:b/>
              </w:rPr>
              <w:t>Region of service</w:t>
            </w:r>
          </w:p>
        </w:tc>
        <w:tc>
          <w:tcPr>
            <w:tcW w:w="3119" w:type="dxa"/>
            <w:gridSpan w:val="2"/>
            <w:tcBorders>
              <w:top w:val="nil"/>
              <w:left w:val="nil"/>
              <w:bottom w:val="single" w:sz="8" w:space="0" w:color="A6A6A6" w:themeColor="background1" w:themeShade="A6"/>
              <w:right w:val="nil"/>
            </w:tcBorders>
            <w:shd w:val="clear" w:color="auto" w:fill="D9D9D9" w:themeFill="background1" w:themeFillShade="D9"/>
            <w:vAlign w:val="bottom"/>
          </w:tcPr>
          <w:p w14:paraId="0434F346" w14:textId="77777777" w:rsidR="0062716D" w:rsidRPr="00CC2148" w:rsidRDefault="0062716D" w:rsidP="00FA713C">
            <w:pPr>
              <w:pStyle w:val="TableText"/>
              <w:keepNext/>
              <w:rPr>
                <w:b/>
              </w:rPr>
            </w:pPr>
            <w:r w:rsidRPr="00CC2148">
              <w:rPr>
                <w:b/>
              </w:rPr>
              <w:t>Second opinion where patient did not have the capacity to consent</w:t>
            </w:r>
          </w:p>
        </w:tc>
        <w:tc>
          <w:tcPr>
            <w:tcW w:w="3119" w:type="dxa"/>
            <w:gridSpan w:val="2"/>
            <w:tcBorders>
              <w:top w:val="nil"/>
              <w:left w:val="nil"/>
              <w:bottom w:val="single" w:sz="8" w:space="0" w:color="A6A6A6" w:themeColor="background1" w:themeShade="A6"/>
              <w:right w:val="nil"/>
            </w:tcBorders>
            <w:shd w:val="clear" w:color="auto" w:fill="D9D9D9" w:themeFill="background1" w:themeFillShade="D9"/>
            <w:vAlign w:val="bottom"/>
          </w:tcPr>
          <w:p w14:paraId="7E656731" w14:textId="77777777" w:rsidR="0062716D" w:rsidRPr="00CC2148" w:rsidRDefault="0062716D" w:rsidP="00FA713C">
            <w:pPr>
              <w:pStyle w:val="TableText"/>
              <w:keepNext/>
              <w:rPr>
                <w:b/>
              </w:rPr>
            </w:pPr>
            <w:r w:rsidRPr="00CC2148">
              <w:rPr>
                <w:b/>
              </w:rPr>
              <w:t>Second opinion where patient had the capacity but refused to consent</w:t>
            </w:r>
          </w:p>
        </w:tc>
      </w:tr>
      <w:tr w:rsidR="0062716D" w:rsidRPr="00ED2B1F" w14:paraId="10A09CA4" w14:textId="77777777" w:rsidTr="00FA713C">
        <w:trPr>
          <w:cantSplit/>
        </w:trPr>
        <w:tc>
          <w:tcPr>
            <w:tcW w:w="1644" w:type="dxa"/>
            <w:vMerge/>
            <w:tcBorders>
              <w:bottom w:val="nil"/>
            </w:tcBorders>
            <w:shd w:val="clear" w:color="auto" w:fill="D9D9D9" w:themeFill="background1" w:themeFillShade="D9"/>
            <w:vAlign w:val="bottom"/>
          </w:tcPr>
          <w:p w14:paraId="6BC7BC7C" w14:textId="77777777" w:rsidR="0062716D" w:rsidRPr="00CC2148" w:rsidRDefault="0062716D" w:rsidP="00FA713C">
            <w:pPr>
              <w:pStyle w:val="TableText"/>
              <w:rPr>
                <w:b/>
              </w:rPr>
            </w:pPr>
          </w:p>
        </w:tc>
        <w:tc>
          <w:tcPr>
            <w:tcW w:w="1559" w:type="dxa"/>
            <w:tcBorders>
              <w:top w:val="single" w:sz="8" w:space="0" w:color="A6A6A6" w:themeColor="background1" w:themeShade="A6"/>
              <w:left w:val="nil"/>
              <w:bottom w:val="nil"/>
              <w:right w:val="nil"/>
            </w:tcBorders>
            <w:shd w:val="clear" w:color="auto" w:fill="D9D9D9" w:themeFill="background1" w:themeFillShade="D9"/>
            <w:vAlign w:val="bottom"/>
          </w:tcPr>
          <w:p w14:paraId="6896D5C8" w14:textId="77777777" w:rsidR="0062716D" w:rsidRPr="00CC2148" w:rsidRDefault="0062716D" w:rsidP="00FA713C">
            <w:pPr>
              <w:pStyle w:val="TableText"/>
              <w:spacing w:before="0"/>
              <w:rPr>
                <w:b/>
              </w:rPr>
            </w:pPr>
            <w:r w:rsidRPr="00CC2148">
              <w:rPr>
                <w:b/>
              </w:rPr>
              <w:t>Number of people given ECT</w:t>
            </w:r>
          </w:p>
        </w:tc>
        <w:tc>
          <w:tcPr>
            <w:tcW w:w="1560" w:type="dxa"/>
            <w:tcBorders>
              <w:top w:val="single" w:sz="8" w:space="0" w:color="A6A6A6" w:themeColor="background1" w:themeShade="A6"/>
              <w:left w:val="nil"/>
              <w:bottom w:val="nil"/>
              <w:right w:val="nil"/>
            </w:tcBorders>
            <w:shd w:val="clear" w:color="auto" w:fill="D9D9D9" w:themeFill="background1" w:themeFillShade="D9"/>
            <w:vAlign w:val="bottom"/>
          </w:tcPr>
          <w:p w14:paraId="7D9459DB" w14:textId="77777777" w:rsidR="0062716D" w:rsidRPr="00CC2148" w:rsidRDefault="0062716D" w:rsidP="00FA713C">
            <w:pPr>
              <w:pStyle w:val="TableText"/>
              <w:spacing w:before="0"/>
              <w:rPr>
                <w:b/>
              </w:rPr>
            </w:pPr>
            <w:r w:rsidRPr="00CC2148">
              <w:rPr>
                <w:b/>
              </w:rPr>
              <w:t>Number of treatments administered</w:t>
            </w:r>
          </w:p>
        </w:tc>
        <w:tc>
          <w:tcPr>
            <w:tcW w:w="1559" w:type="dxa"/>
            <w:tcBorders>
              <w:top w:val="single" w:sz="8" w:space="0" w:color="A6A6A6" w:themeColor="background1" w:themeShade="A6"/>
              <w:left w:val="nil"/>
              <w:bottom w:val="nil"/>
              <w:right w:val="nil"/>
            </w:tcBorders>
            <w:shd w:val="clear" w:color="auto" w:fill="D9D9D9" w:themeFill="background1" w:themeFillShade="D9"/>
            <w:vAlign w:val="bottom"/>
          </w:tcPr>
          <w:p w14:paraId="3F481E98" w14:textId="77777777" w:rsidR="0062716D" w:rsidRPr="00CC2148" w:rsidRDefault="0062716D" w:rsidP="00FA713C">
            <w:pPr>
              <w:pStyle w:val="TableText"/>
              <w:spacing w:before="0"/>
              <w:rPr>
                <w:b/>
              </w:rPr>
            </w:pPr>
            <w:r w:rsidRPr="00CC2148">
              <w:rPr>
                <w:b/>
              </w:rPr>
              <w:t>Number of people given ECT</w:t>
            </w:r>
          </w:p>
        </w:tc>
        <w:tc>
          <w:tcPr>
            <w:tcW w:w="1560" w:type="dxa"/>
            <w:tcBorders>
              <w:top w:val="single" w:sz="8" w:space="0" w:color="A6A6A6" w:themeColor="background1" w:themeShade="A6"/>
              <w:left w:val="nil"/>
              <w:bottom w:val="nil"/>
              <w:right w:val="nil"/>
            </w:tcBorders>
            <w:shd w:val="clear" w:color="auto" w:fill="D9D9D9" w:themeFill="background1" w:themeFillShade="D9"/>
            <w:vAlign w:val="bottom"/>
          </w:tcPr>
          <w:p w14:paraId="4CCA86C2" w14:textId="77777777" w:rsidR="0062716D" w:rsidRPr="00CC2148" w:rsidRDefault="0062716D" w:rsidP="00FA713C">
            <w:pPr>
              <w:pStyle w:val="TableText"/>
              <w:spacing w:before="0"/>
              <w:rPr>
                <w:b/>
              </w:rPr>
            </w:pPr>
            <w:r w:rsidRPr="00CC2148">
              <w:rPr>
                <w:b/>
              </w:rPr>
              <w:t>Number of treatments administered</w:t>
            </w:r>
          </w:p>
        </w:tc>
      </w:tr>
      <w:tr w:rsidR="0062716D" w:rsidRPr="00ED2B1F" w14:paraId="687C2EF1" w14:textId="77777777" w:rsidTr="00FA713C">
        <w:trPr>
          <w:cantSplit/>
          <w:trHeight w:val="300"/>
        </w:trPr>
        <w:tc>
          <w:tcPr>
            <w:tcW w:w="1644" w:type="dxa"/>
            <w:tcBorders>
              <w:top w:val="nil"/>
              <w:bottom w:val="single" w:sz="6" w:space="0" w:color="A6A6A6" w:themeColor="background1" w:themeShade="A6"/>
              <w:right w:val="nil"/>
            </w:tcBorders>
          </w:tcPr>
          <w:p w14:paraId="7CA60316" w14:textId="77777777" w:rsidR="0062716D" w:rsidRPr="00ED2B1F" w:rsidRDefault="0062716D" w:rsidP="00FA713C">
            <w:pPr>
              <w:pStyle w:val="TableText"/>
            </w:pPr>
            <w:r w:rsidRPr="00ED2B1F">
              <w:t>Northern</w:t>
            </w:r>
          </w:p>
        </w:tc>
        <w:tc>
          <w:tcPr>
            <w:tcW w:w="1559" w:type="dxa"/>
            <w:tcBorders>
              <w:top w:val="nil"/>
              <w:left w:val="nil"/>
              <w:bottom w:val="single" w:sz="6" w:space="0" w:color="A6A6A6" w:themeColor="background1" w:themeShade="A6"/>
              <w:right w:val="nil"/>
            </w:tcBorders>
            <w:vAlign w:val="center"/>
          </w:tcPr>
          <w:p w14:paraId="07D15616" w14:textId="77777777" w:rsidR="0062716D" w:rsidRPr="00ED2B1F" w:rsidRDefault="0062716D" w:rsidP="00FA713C">
            <w:pPr>
              <w:pStyle w:val="TableText"/>
              <w:tabs>
                <w:tab w:val="decimal" w:pos="794"/>
              </w:tabs>
              <w:jc w:val="center"/>
            </w:pPr>
            <w:r>
              <w:t>46</w:t>
            </w:r>
          </w:p>
        </w:tc>
        <w:tc>
          <w:tcPr>
            <w:tcW w:w="1560" w:type="dxa"/>
            <w:tcBorders>
              <w:top w:val="nil"/>
              <w:left w:val="nil"/>
              <w:bottom w:val="single" w:sz="6" w:space="0" w:color="A6A6A6" w:themeColor="background1" w:themeShade="A6"/>
              <w:right w:val="nil"/>
            </w:tcBorders>
            <w:vAlign w:val="center"/>
          </w:tcPr>
          <w:p w14:paraId="04E03D79" w14:textId="77777777" w:rsidR="0062716D" w:rsidRPr="00ED2B1F" w:rsidRDefault="0062716D" w:rsidP="00FA713C">
            <w:pPr>
              <w:pStyle w:val="TableText"/>
              <w:tabs>
                <w:tab w:val="decimal" w:pos="794"/>
              </w:tabs>
              <w:jc w:val="center"/>
            </w:pPr>
            <w:r>
              <w:t>444</w:t>
            </w:r>
          </w:p>
        </w:tc>
        <w:tc>
          <w:tcPr>
            <w:tcW w:w="1559" w:type="dxa"/>
            <w:tcBorders>
              <w:top w:val="nil"/>
              <w:left w:val="nil"/>
              <w:bottom w:val="single" w:sz="6" w:space="0" w:color="A6A6A6" w:themeColor="background1" w:themeShade="A6"/>
              <w:right w:val="nil"/>
            </w:tcBorders>
            <w:vAlign w:val="center"/>
          </w:tcPr>
          <w:p w14:paraId="29A2F644" w14:textId="77777777" w:rsidR="0062716D" w:rsidRPr="00ED2B1F" w:rsidRDefault="0062716D" w:rsidP="00FA713C">
            <w:pPr>
              <w:pStyle w:val="TableText"/>
              <w:jc w:val="center"/>
            </w:pPr>
            <w:r w:rsidRPr="00ED2B1F">
              <w:t>0</w:t>
            </w:r>
          </w:p>
        </w:tc>
        <w:tc>
          <w:tcPr>
            <w:tcW w:w="1560" w:type="dxa"/>
            <w:tcBorders>
              <w:top w:val="nil"/>
              <w:left w:val="nil"/>
              <w:bottom w:val="single" w:sz="6" w:space="0" w:color="A6A6A6" w:themeColor="background1" w:themeShade="A6"/>
              <w:right w:val="nil"/>
            </w:tcBorders>
            <w:vAlign w:val="center"/>
          </w:tcPr>
          <w:p w14:paraId="6BCE6817" w14:textId="77777777" w:rsidR="0062716D" w:rsidRPr="00ED2B1F" w:rsidRDefault="0062716D" w:rsidP="00FA713C">
            <w:pPr>
              <w:pStyle w:val="TableText"/>
              <w:tabs>
                <w:tab w:val="decimal" w:pos="794"/>
              </w:tabs>
              <w:jc w:val="center"/>
            </w:pPr>
            <w:r w:rsidRPr="00ED2B1F">
              <w:t>0</w:t>
            </w:r>
          </w:p>
        </w:tc>
      </w:tr>
      <w:tr w:rsidR="0062716D" w:rsidRPr="00ED2B1F" w14:paraId="30DC38AD" w14:textId="77777777" w:rsidTr="00FA713C">
        <w:trPr>
          <w:cantSplit/>
          <w:trHeight w:val="300"/>
        </w:trPr>
        <w:tc>
          <w:tcPr>
            <w:tcW w:w="1644" w:type="dxa"/>
            <w:tcBorders>
              <w:top w:val="single" w:sz="6" w:space="0" w:color="A6A6A6" w:themeColor="background1" w:themeShade="A6"/>
              <w:bottom w:val="single" w:sz="6" w:space="0" w:color="A6A6A6" w:themeColor="background1" w:themeShade="A6"/>
              <w:right w:val="nil"/>
            </w:tcBorders>
          </w:tcPr>
          <w:p w14:paraId="7F21C5AA" w14:textId="77777777" w:rsidR="0062716D" w:rsidRPr="00ED2B1F" w:rsidRDefault="0062716D" w:rsidP="00FA713C">
            <w:pPr>
              <w:pStyle w:val="TableText"/>
            </w:pPr>
            <w:r w:rsidRPr="00ED2B1F">
              <w:t>Midland</w:t>
            </w:r>
          </w:p>
        </w:tc>
        <w:tc>
          <w:tcPr>
            <w:tcW w:w="1559" w:type="dxa"/>
            <w:tcBorders>
              <w:top w:val="single" w:sz="6" w:space="0" w:color="A6A6A6" w:themeColor="background1" w:themeShade="A6"/>
              <w:left w:val="nil"/>
              <w:bottom w:val="single" w:sz="4" w:space="0" w:color="A6A6A6" w:themeColor="background1" w:themeShade="A6"/>
              <w:right w:val="nil"/>
            </w:tcBorders>
          </w:tcPr>
          <w:p w14:paraId="4DA8FD19" w14:textId="77777777" w:rsidR="0062716D" w:rsidRPr="00ED2B1F" w:rsidRDefault="0062716D" w:rsidP="00FA713C">
            <w:pPr>
              <w:pStyle w:val="TableText"/>
              <w:tabs>
                <w:tab w:val="decimal" w:pos="794"/>
              </w:tabs>
              <w:jc w:val="center"/>
            </w:pPr>
            <w:r>
              <w:t>19</w:t>
            </w:r>
          </w:p>
        </w:tc>
        <w:tc>
          <w:tcPr>
            <w:tcW w:w="1560" w:type="dxa"/>
            <w:tcBorders>
              <w:top w:val="single" w:sz="6" w:space="0" w:color="A6A6A6" w:themeColor="background1" w:themeShade="A6"/>
              <w:left w:val="nil"/>
              <w:bottom w:val="single" w:sz="4" w:space="0" w:color="A6A6A6" w:themeColor="background1" w:themeShade="A6"/>
              <w:right w:val="nil"/>
            </w:tcBorders>
          </w:tcPr>
          <w:p w14:paraId="6702891D" w14:textId="77777777" w:rsidR="0062716D" w:rsidRPr="00ED2B1F" w:rsidRDefault="0062716D" w:rsidP="00FA713C">
            <w:pPr>
              <w:pStyle w:val="TableText"/>
              <w:tabs>
                <w:tab w:val="decimal" w:pos="794"/>
              </w:tabs>
              <w:jc w:val="center"/>
            </w:pPr>
            <w:r>
              <w:t>141</w:t>
            </w:r>
          </w:p>
        </w:tc>
        <w:tc>
          <w:tcPr>
            <w:tcW w:w="1559" w:type="dxa"/>
            <w:tcBorders>
              <w:top w:val="single" w:sz="6" w:space="0" w:color="A6A6A6" w:themeColor="background1" w:themeShade="A6"/>
              <w:left w:val="nil"/>
              <w:bottom w:val="single" w:sz="4" w:space="0" w:color="A6A6A6" w:themeColor="background1" w:themeShade="A6"/>
              <w:right w:val="nil"/>
            </w:tcBorders>
          </w:tcPr>
          <w:p w14:paraId="6752FFFD" w14:textId="77777777" w:rsidR="0062716D" w:rsidRPr="00ED2B1F" w:rsidRDefault="0062716D" w:rsidP="00FA713C">
            <w:pPr>
              <w:pStyle w:val="TableText"/>
              <w:jc w:val="center"/>
            </w:pPr>
            <w:r w:rsidRPr="00ED2B1F">
              <w:t>0</w:t>
            </w:r>
          </w:p>
        </w:tc>
        <w:tc>
          <w:tcPr>
            <w:tcW w:w="1560" w:type="dxa"/>
            <w:tcBorders>
              <w:top w:val="single" w:sz="6" w:space="0" w:color="A6A6A6" w:themeColor="background1" w:themeShade="A6"/>
              <w:left w:val="nil"/>
              <w:bottom w:val="single" w:sz="4" w:space="0" w:color="A6A6A6" w:themeColor="background1" w:themeShade="A6"/>
            </w:tcBorders>
          </w:tcPr>
          <w:p w14:paraId="763380AC" w14:textId="77777777" w:rsidR="0062716D" w:rsidRPr="00ED2B1F" w:rsidRDefault="0062716D" w:rsidP="00FA713C">
            <w:pPr>
              <w:pStyle w:val="TableText"/>
              <w:tabs>
                <w:tab w:val="decimal" w:pos="794"/>
              </w:tabs>
              <w:jc w:val="center"/>
            </w:pPr>
            <w:r w:rsidRPr="00ED2B1F">
              <w:t>0</w:t>
            </w:r>
          </w:p>
        </w:tc>
      </w:tr>
      <w:tr w:rsidR="0062716D" w:rsidRPr="00ED2B1F" w14:paraId="6A55DC62" w14:textId="77777777" w:rsidTr="00FA713C">
        <w:trPr>
          <w:cantSplit/>
          <w:trHeight w:val="300"/>
        </w:trPr>
        <w:tc>
          <w:tcPr>
            <w:tcW w:w="1644" w:type="dxa"/>
            <w:tcBorders>
              <w:top w:val="single" w:sz="6" w:space="0" w:color="A6A6A6" w:themeColor="background1" w:themeShade="A6"/>
              <w:bottom w:val="single" w:sz="6" w:space="0" w:color="A6A6A6" w:themeColor="background1" w:themeShade="A6"/>
              <w:right w:val="nil"/>
            </w:tcBorders>
          </w:tcPr>
          <w:p w14:paraId="0B7717CC" w14:textId="77777777" w:rsidR="0062716D" w:rsidRPr="00ED2B1F" w:rsidRDefault="0062716D" w:rsidP="00FA713C">
            <w:pPr>
              <w:pStyle w:val="TableText"/>
            </w:pPr>
            <w:r w:rsidRPr="00ED2B1F">
              <w:t>Central</w:t>
            </w:r>
          </w:p>
        </w:tc>
        <w:tc>
          <w:tcPr>
            <w:tcW w:w="1559" w:type="dxa"/>
            <w:tcBorders>
              <w:top w:val="single" w:sz="4" w:space="0" w:color="A6A6A6" w:themeColor="background1" w:themeShade="A6"/>
              <w:left w:val="nil"/>
              <w:bottom w:val="single" w:sz="4" w:space="0" w:color="A6A6A6" w:themeColor="background1" w:themeShade="A6"/>
              <w:right w:val="nil"/>
            </w:tcBorders>
          </w:tcPr>
          <w:p w14:paraId="72D8A381" w14:textId="77777777" w:rsidR="0062716D" w:rsidRPr="00ED2B1F" w:rsidRDefault="0062716D" w:rsidP="00FA713C">
            <w:pPr>
              <w:pStyle w:val="TableText"/>
              <w:tabs>
                <w:tab w:val="decimal" w:pos="794"/>
              </w:tabs>
              <w:jc w:val="center"/>
            </w:pPr>
            <w:r>
              <w:t>11</w:t>
            </w:r>
          </w:p>
        </w:tc>
        <w:tc>
          <w:tcPr>
            <w:tcW w:w="1560" w:type="dxa"/>
            <w:tcBorders>
              <w:top w:val="single" w:sz="4" w:space="0" w:color="A6A6A6" w:themeColor="background1" w:themeShade="A6"/>
              <w:left w:val="nil"/>
              <w:bottom w:val="single" w:sz="4" w:space="0" w:color="A6A6A6" w:themeColor="background1" w:themeShade="A6"/>
              <w:right w:val="nil"/>
            </w:tcBorders>
          </w:tcPr>
          <w:p w14:paraId="7C05871E" w14:textId="77777777" w:rsidR="0062716D" w:rsidRPr="00ED2B1F" w:rsidRDefault="0062716D" w:rsidP="00FA713C">
            <w:pPr>
              <w:pStyle w:val="TableText"/>
              <w:tabs>
                <w:tab w:val="decimal" w:pos="794"/>
              </w:tabs>
              <w:jc w:val="center"/>
            </w:pPr>
            <w:r>
              <w:t>139</w:t>
            </w:r>
          </w:p>
        </w:tc>
        <w:tc>
          <w:tcPr>
            <w:tcW w:w="1559" w:type="dxa"/>
            <w:tcBorders>
              <w:top w:val="single" w:sz="4" w:space="0" w:color="A6A6A6" w:themeColor="background1" w:themeShade="A6"/>
              <w:left w:val="nil"/>
              <w:bottom w:val="single" w:sz="4" w:space="0" w:color="A6A6A6" w:themeColor="background1" w:themeShade="A6"/>
              <w:right w:val="nil"/>
            </w:tcBorders>
          </w:tcPr>
          <w:p w14:paraId="7B1D8274" w14:textId="77777777" w:rsidR="0062716D" w:rsidRPr="00ED2B1F" w:rsidRDefault="0062716D" w:rsidP="00FA713C">
            <w:pPr>
              <w:pStyle w:val="TableText"/>
              <w:jc w:val="center"/>
            </w:pPr>
            <w:r>
              <w:t>0</w:t>
            </w:r>
          </w:p>
        </w:tc>
        <w:tc>
          <w:tcPr>
            <w:tcW w:w="1560" w:type="dxa"/>
            <w:tcBorders>
              <w:top w:val="single" w:sz="4" w:space="0" w:color="A6A6A6" w:themeColor="background1" w:themeShade="A6"/>
              <w:left w:val="nil"/>
              <w:bottom w:val="single" w:sz="4" w:space="0" w:color="A6A6A6" w:themeColor="background1" w:themeShade="A6"/>
            </w:tcBorders>
          </w:tcPr>
          <w:p w14:paraId="3622A662" w14:textId="77777777" w:rsidR="0062716D" w:rsidRPr="00ED2B1F" w:rsidRDefault="0062716D" w:rsidP="00FA713C">
            <w:pPr>
              <w:pStyle w:val="TableText"/>
              <w:tabs>
                <w:tab w:val="decimal" w:pos="794"/>
              </w:tabs>
              <w:jc w:val="center"/>
            </w:pPr>
            <w:r>
              <w:t>0</w:t>
            </w:r>
          </w:p>
        </w:tc>
      </w:tr>
      <w:tr w:rsidR="0062716D" w:rsidRPr="00ED2B1F" w14:paraId="059BBCC2" w14:textId="77777777" w:rsidTr="00FA713C">
        <w:trPr>
          <w:cantSplit/>
          <w:trHeight w:val="300"/>
        </w:trPr>
        <w:tc>
          <w:tcPr>
            <w:tcW w:w="1644" w:type="dxa"/>
            <w:tcBorders>
              <w:top w:val="single" w:sz="6" w:space="0" w:color="A6A6A6" w:themeColor="background1" w:themeShade="A6"/>
              <w:bottom w:val="single" w:sz="6" w:space="0" w:color="A6A6A6" w:themeColor="background1" w:themeShade="A6"/>
              <w:right w:val="nil"/>
            </w:tcBorders>
          </w:tcPr>
          <w:p w14:paraId="7AF4932F" w14:textId="77777777" w:rsidR="0062716D" w:rsidRPr="00ED2B1F" w:rsidRDefault="0062716D" w:rsidP="00FA713C">
            <w:pPr>
              <w:pStyle w:val="TableText"/>
            </w:pPr>
            <w:r w:rsidRPr="00ED2B1F">
              <w:t>South Island</w:t>
            </w:r>
          </w:p>
        </w:tc>
        <w:tc>
          <w:tcPr>
            <w:tcW w:w="1559" w:type="dxa"/>
            <w:tcBorders>
              <w:top w:val="single" w:sz="4" w:space="0" w:color="A6A6A6" w:themeColor="background1" w:themeShade="A6"/>
              <w:left w:val="nil"/>
              <w:bottom w:val="single" w:sz="4" w:space="0" w:color="A6A6A6" w:themeColor="background1" w:themeShade="A6"/>
              <w:right w:val="nil"/>
            </w:tcBorders>
          </w:tcPr>
          <w:p w14:paraId="13BF6E62" w14:textId="77777777" w:rsidR="0062716D" w:rsidRPr="00ED2B1F" w:rsidRDefault="0062716D" w:rsidP="00FA713C">
            <w:pPr>
              <w:pStyle w:val="TableText"/>
              <w:tabs>
                <w:tab w:val="decimal" w:pos="794"/>
              </w:tabs>
              <w:jc w:val="center"/>
            </w:pPr>
            <w:r>
              <w:t>29</w:t>
            </w:r>
          </w:p>
        </w:tc>
        <w:tc>
          <w:tcPr>
            <w:tcW w:w="1560" w:type="dxa"/>
            <w:tcBorders>
              <w:top w:val="single" w:sz="4" w:space="0" w:color="A6A6A6" w:themeColor="background1" w:themeShade="A6"/>
              <w:left w:val="nil"/>
              <w:bottom w:val="single" w:sz="4" w:space="0" w:color="A6A6A6" w:themeColor="background1" w:themeShade="A6"/>
              <w:right w:val="nil"/>
            </w:tcBorders>
          </w:tcPr>
          <w:p w14:paraId="31FA6644" w14:textId="77777777" w:rsidR="0062716D" w:rsidRPr="00ED2B1F" w:rsidRDefault="0062716D" w:rsidP="00FA713C">
            <w:pPr>
              <w:pStyle w:val="TableText"/>
              <w:tabs>
                <w:tab w:val="decimal" w:pos="794"/>
              </w:tabs>
              <w:jc w:val="center"/>
            </w:pPr>
            <w:r>
              <w:t>361</w:t>
            </w:r>
          </w:p>
        </w:tc>
        <w:tc>
          <w:tcPr>
            <w:tcW w:w="1559" w:type="dxa"/>
            <w:tcBorders>
              <w:top w:val="single" w:sz="4" w:space="0" w:color="A6A6A6" w:themeColor="background1" w:themeShade="A6"/>
              <w:left w:val="nil"/>
              <w:bottom w:val="single" w:sz="4" w:space="0" w:color="A6A6A6" w:themeColor="background1" w:themeShade="A6"/>
              <w:right w:val="nil"/>
            </w:tcBorders>
          </w:tcPr>
          <w:p w14:paraId="6E320F2C" w14:textId="77777777" w:rsidR="0062716D" w:rsidRPr="00ED2B1F" w:rsidRDefault="0062716D" w:rsidP="00FA713C">
            <w:pPr>
              <w:pStyle w:val="TableText"/>
              <w:jc w:val="center"/>
            </w:pPr>
            <w:r>
              <w:t>1</w:t>
            </w:r>
          </w:p>
        </w:tc>
        <w:tc>
          <w:tcPr>
            <w:tcW w:w="1560" w:type="dxa"/>
            <w:tcBorders>
              <w:top w:val="single" w:sz="4" w:space="0" w:color="A6A6A6" w:themeColor="background1" w:themeShade="A6"/>
              <w:left w:val="nil"/>
              <w:bottom w:val="single" w:sz="4" w:space="0" w:color="A6A6A6" w:themeColor="background1" w:themeShade="A6"/>
            </w:tcBorders>
          </w:tcPr>
          <w:p w14:paraId="117D0E56" w14:textId="77777777" w:rsidR="0062716D" w:rsidRPr="00ED2B1F" w:rsidRDefault="0062716D" w:rsidP="00FA713C">
            <w:pPr>
              <w:pStyle w:val="TableText"/>
              <w:tabs>
                <w:tab w:val="decimal" w:pos="794"/>
              </w:tabs>
              <w:jc w:val="center"/>
            </w:pPr>
            <w:r>
              <w:t>12</w:t>
            </w:r>
          </w:p>
        </w:tc>
      </w:tr>
      <w:tr w:rsidR="0062716D" w:rsidRPr="00ED2B1F" w14:paraId="734D0744" w14:textId="77777777" w:rsidTr="00FA713C">
        <w:trPr>
          <w:cantSplit/>
          <w:trHeight w:val="300"/>
        </w:trPr>
        <w:tc>
          <w:tcPr>
            <w:tcW w:w="1644" w:type="dxa"/>
            <w:tcBorders>
              <w:top w:val="single" w:sz="4" w:space="0" w:color="A6A6A6" w:themeColor="background1" w:themeShade="A6"/>
              <w:bottom w:val="single" w:sz="4" w:space="0" w:color="A6A6A6" w:themeColor="background1" w:themeShade="A6"/>
              <w:right w:val="nil"/>
            </w:tcBorders>
          </w:tcPr>
          <w:p w14:paraId="42A504D7" w14:textId="77777777" w:rsidR="0062716D" w:rsidRPr="00ED2B1F" w:rsidRDefault="0062716D" w:rsidP="00FA713C">
            <w:pPr>
              <w:pStyle w:val="TableText"/>
              <w:rPr>
                <w:b/>
              </w:rPr>
            </w:pPr>
            <w:r w:rsidRPr="00ED2B1F">
              <w:rPr>
                <w:b/>
              </w:rPr>
              <w:t>Nationally</w:t>
            </w:r>
          </w:p>
        </w:tc>
        <w:tc>
          <w:tcPr>
            <w:tcW w:w="1559" w:type="dxa"/>
            <w:tcBorders>
              <w:top w:val="single" w:sz="6" w:space="0" w:color="A6A6A6" w:themeColor="background1" w:themeShade="A6"/>
              <w:left w:val="nil"/>
              <w:bottom w:val="single" w:sz="4" w:space="0" w:color="A6A6A6" w:themeColor="background1" w:themeShade="A6"/>
            </w:tcBorders>
          </w:tcPr>
          <w:p w14:paraId="4FB785F2" w14:textId="77777777" w:rsidR="0062716D" w:rsidRPr="00ED2B1F" w:rsidRDefault="0062716D" w:rsidP="00FA713C">
            <w:pPr>
              <w:pStyle w:val="TableText"/>
              <w:tabs>
                <w:tab w:val="decimal" w:pos="794"/>
              </w:tabs>
              <w:jc w:val="center"/>
              <w:rPr>
                <w:b/>
                <w:bCs/>
              </w:rPr>
            </w:pPr>
            <w:r>
              <w:rPr>
                <w:b/>
                <w:bCs/>
              </w:rPr>
              <w:t>105</w:t>
            </w:r>
          </w:p>
        </w:tc>
        <w:tc>
          <w:tcPr>
            <w:tcW w:w="1560" w:type="dxa"/>
            <w:tcBorders>
              <w:top w:val="single" w:sz="6" w:space="0" w:color="A6A6A6" w:themeColor="background1" w:themeShade="A6"/>
              <w:bottom w:val="single" w:sz="4" w:space="0" w:color="A6A6A6" w:themeColor="background1" w:themeShade="A6"/>
              <w:right w:val="nil"/>
            </w:tcBorders>
          </w:tcPr>
          <w:p w14:paraId="4E9A6696" w14:textId="29532A0D" w:rsidR="0062716D" w:rsidRPr="00ED2B1F" w:rsidRDefault="0062716D" w:rsidP="00FA713C">
            <w:pPr>
              <w:pStyle w:val="TableText"/>
              <w:tabs>
                <w:tab w:val="decimal" w:pos="794"/>
              </w:tabs>
              <w:jc w:val="center"/>
              <w:rPr>
                <w:b/>
                <w:bCs/>
              </w:rPr>
            </w:pPr>
            <w:r>
              <w:rPr>
                <w:b/>
                <w:bCs/>
              </w:rPr>
              <w:t>1</w:t>
            </w:r>
            <w:r w:rsidR="00DF1607">
              <w:rPr>
                <w:b/>
                <w:bCs/>
              </w:rPr>
              <w:t>,</w:t>
            </w:r>
            <w:r>
              <w:rPr>
                <w:b/>
                <w:bCs/>
              </w:rPr>
              <w:t>085</w:t>
            </w:r>
          </w:p>
        </w:tc>
        <w:tc>
          <w:tcPr>
            <w:tcW w:w="1559" w:type="dxa"/>
            <w:tcBorders>
              <w:top w:val="single" w:sz="4" w:space="0" w:color="A6A6A6" w:themeColor="background1" w:themeShade="A6"/>
              <w:left w:val="nil"/>
              <w:bottom w:val="single" w:sz="4" w:space="0" w:color="A6A6A6" w:themeColor="background1" w:themeShade="A6"/>
            </w:tcBorders>
          </w:tcPr>
          <w:p w14:paraId="145E61E2" w14:textId="77777777" w:rsidR="0062716D" w:rsidRPr="00ED2B1F" w:rsidRDefault="0062716D" w:rsidP="00FA713C">
            <w:pPr>
              <w:pStyle w:val="TableText"/>
              <w:jc w:val="center"/>
              <w:rPr>
                <w:b/>
                <w:bCs/>
              </w:rPr>
            </w:pPr>
            <w:r>
              <w:rPr>
                <w:b/>
                <w:bCs/>
              </w:rPr>
              <w:t>1</w:t>
            </w:r>
          </w:p>
        </w:tc>
        <w:tc>
          <w:tcPr>
            <w:tcW w:w="1560" w:type="dxa"/>
            <w:tcBorders>
              <w:top w:val="single" w:sz="4" w:space="0" w:color="A6A6A6" w:themeColor="background1" w:themeShade="A6"/>
              <w:bottom w:val="single" w:sz="4" w:space="0" w:color="A6A6A6" w:themeColor="background1" w:themeShade="A6"/>
            </w:tcBorders>
          </w:tcPr>
          <w:p w14:paraId="03DDE955" w14:textId="77777777" w:rsidR="0062716D" w:rsidRPr="00ED2B1F" w:rsidRDefault="0062716D" w:rsidP="00FA713C">
            <w:pPr>
              <w:pStyle w:val="TableText"/>
              <w:tabs>
                <w:tab w:val="decimal" w:pos="794"/>
              </w:tabs>
              <w:jc w:val="center"/>
              <w:rPr>
                <w:b/>
                <w:bCs/>
              </w:rPr>
            </w:pPr>
            <w:r>
              <w:rPr>
                <w:b/>
                <w:bCs/>
              </w:rPr>
              <w:t>12</w:t>
            </w:r>
          </w:p>
        </w:tc>
      </w:tr>
    </w:tbl>
    <w:p w14:paraId="6D1CAE0B" w14:textId="6EBC996E" w:rsidR="0062716D" w:rsidRPr="00ED2B1F" w:rsidRDefault="0062716D" w:rsidP="0062716D">
      <w:pPr>
        <w:pStyle w:val="Note"/>
      </w:pPr>
      <w:r w:rsidRPr="00ED2B1F">
        <w:t xml:space="preserve">Notes: The data in this table cannot be reliably compared with the data in </w:t>
      </w:r>
      <w:r w:rsidRPr="00ED2B1F">
        <w:fldChar w:fldCharType="begin"/>
      </w:r>
      <w:r w:rsidRPr="00ED2B1F">
        <w:instrText xml:space="preserve"> REF _Ref85452298 \h </w:instrText>
      </w:r>
      <w:r w:rsidRPr="00ED2B1F">
        <w:fldChar w:fldCharType="separate"/>
      </w:r>
      <w:r w:rsidR="00484E57" w:rsidRPr="00ED2B1F">
        <w:t>Table </w:t>
      </w:r>
      <w:r w:rsidR="00484E57">
        <w:rPr>
          <w:noProof/>
        </w:rPr>
        <w:t>17</w:t>
      </w:r>
      <w:r w:rsidRPr="00ED2B1F">
        <w:fldChar w:fldCharType="end"/>
      </w:r>
      <w:r w:rsidRPr="00ED2B1F">
        <w:t xml:space="preserve"> as it relates to the Health New Zealand region of service rather than region of domicile. </w:t>
      </w:r>
    </w:p>
    <w:p w14:paraId="004DBD08" w14:textId="77777777" w:rsidR="0062716D" w:rsidRPr="00ED2B1F" w:rsidRDefault="0062716D" w:rsidP="0062716D">
      <w:pPr>
        <w:pStyle w:val="Source"/>
      </w:pPr>
      <w:r w:rsidRPr="00ED2B1F">
        <w:t>Source: Manual data from districts.</w:t>
      </w:r>
    </w:p>
    <w:p w14:paraId="5E7B92D7" w14:textId="77777777" w:rsidR="00E96DD0" w:rsidRPr="00ED2B1F" w:rsidRDefault="00E96DD0" w:rsidP="00E96DD0">
      <w:pPr>
        <w:spacing w:after="160" w:line="259" w:lineRule="auto"/>
        <w:sectPr w:rsidR="00E96DD0" w:rsidRPr="00ED2B1F" w:rsidSect="00753A1F">
          <w:pgSz w:w="11907" w:h="16834" w:code="9"/>
          <w:pgMar w:top="1418" w:right="1701" w:bottom="1134" w:left="1843" w:header="284" w:footer="425" w:gutter="284"/>
          <w:cols w:space="720"/>
        </w:sectPr>
      </w:pPr>
    </w:p>
    <w:p w14:paraId="3701AD95" w14:textId="78717675" w:rsidR="00E96DD0" w:rsidRPr="00ED2B1F" w:rsidRDefault="00315C29" w:rsidP="00E96DD0">
      <w:pPr>
        <w:pStyle w:val="Heading1"/>
        <w:spacing w:before="0"/>
      </w:pPr>
      <w:bookmarkStart w:id="567" w:name="_Toc224638115"/>
      <w:r w:rsidRPr="00ED2B1F">
        <w:lastRenderedPageBreak/>
        <w:t>Drug and substance harm reduction</w:t>
      </w:r>
      <w:bookmarkEnd w:id="567"/>
    </w:p>
    <w:p w14:paraId="566CFEF3" w14:textId="77777777" w:rsidR="00E96DD0" w:rsidRPr="00ED2B1F" w:rsidRDefault="00E96DD0" w:rsidP="007A34A3">
      <w:pPr>
        <w:pStyle w:val="Heading2"/>
      </w:pPr>
      <w:bookmarkStart w:id="568" w:name="_Toc65141650"/>
      <w:bookmarkStart w:id="569" w:name="_Toc75176467"/>
      <w:bookmarkStart w:id="570" w:name="_Toc87429936"/>
      <w:bookmarkStart w:id="571" w:name="_Toc88826984"/>
      <w:bookmarkStart w:id="572" w:name="_Toc115188832"/>
      <w:bookmarkStart w:id="573" w:name="_Toc145394258"/>
      <w:bookmarkStart w:id="574" w:name="_Toc189053928"/>
      <w:bookmarkStart w:id="575" w:name="_Toc224638116"/>
      <w:r w:rsidRPr="00ED2B1F">
        <w:t>Opioid substitution treatment</w:t>
      </w:r>
      <w:bookmarkEnd w:id="568"/>
      <w:bookmarkEnd w:id="569"/>
      <w:bookmarkEnd w:id="570"/>
      <w:bookmarkEnd w:id="571"/>
      <w:bookmarkEnd w:id="572"/>
      <w:bookmarkEnd w:id="573"/>
      <w:bookmarkEnd w:id="574"/>
      <w:bookmarkEnd w:id="575"/>
    </w:p>
    <w:p w14:paraId="2E7D979B" w14:textId="77777777" w:rsidR="00E96DD0" w:rsidRPr="00ED2B1F" w:rsidRDefault="00E96DD0" w:rsidP="00E96DD0">
      <w:r w:rsidRPr="00ED2B1F">
        <w:t>The Director, acting under delegated authority from the Minister of Health, designates specialist services and lead clinicians to provide treatment with controlled drugs to people who are dependent on them, under section 24A(7)(b) of the Misuse of Drugs Act 1975. These services are also subject to an audit every three years, using the</w:t>
      </w:r>
      <w:r w:rsidRPr="00ED2B1F">
        <w:rPr>
          <w:i/>
          <w:iCs/>
        </w:rPr>
        <w:t xml:space="preserve"> </w:t>
      </w:r>
      <w:r w:rsidRPr="00952F2F">
        <w:t>Specialist Opioid Substitution Treatment Service Audit and Review Tool</w:t>
      </w:r>
      <w:r w:rsidRPr="00ED2B1F">
        <w:rPr>
          <w:i/>
          <w:iCs/>
        </w:rPr>
        <w:t>.</w:t>
      </w:r>
      <w:r w:rsidRPr="00ED2B1F">
        <w:rPr>
          <w:rStyle w:val="FootnoteReference"/>
        </w:rPr>
        <w:footnoteReference w:id="32"/>
      </w:r>
    </w:p>
    <w:p w14:paraId="232DDB4B" w14:textId="77777777" w:rsidR="00E96DD0" w:rsidRPr="00ED2B1F" w:rsidRDefault="00E96DD0" w:rsidP="00E96DD0">
      <w:pPr>
        <w:ind w:right="-285"/>
      </w:pPr>
    </w:p>
    <w:p w14:paraId="314298C0" w14:textId="77777777" w:rsidR="00E96DD0" w:rsidRPr="00ED2B1F" w:rsidRDefault="00E96DD0" w:rsidP="00E96DD0">
      <w:pPr>
        <w:ind w:right="-285"/>
      </w:pPr>
      <w:r w:rsidRPr="00ED2B1F">
        <w:t>Opioid dependence is a complex, relapsing condition requiring a model of treatment and care much like any other chronic health problem. Opioid substitution treatment (OST) helps people who have an opioid dependence to access treatment, including substitution therapy, which provides them with the opportunity to recover their health and wellbeing.</w:t>
      </w:r>
    </w:p>
    <w:p w14:paraId="62EAC2AF" w14:textId="77777777" w:rsidR="00E96DD0" w:rsidRPr="00ED2B1F" w:rsidRDefault="00E96DD0" w:rsidP="00E96DD0"/>
    <w:p w14:paraId="633B919B" w14:textId="77777777" w:rsidR="00E96DD0" w:rsidRPr="00ED2B1F" w:rsidRDefault="00E96DD0" w:rsidP="00E96DD0">
      <w:r w:rsidRPr="00ED2B1F">
        <w:t xml:space="preserve">Specialist OST services are specified by the Minister of Health under section 24A of the Misuse of Drugs Act 1975 and notified in the </w:t>
      </w:r>
      <w:r w:rsidRPr="00ED2B1F">
        <w:rPr>
          <w:i/>
          <w:iCs/>
        </w:rPr>
        <w:t>New Zealand Gazette</w:t>
      </w:r>
      <w:r w:rsidRPr="00ED2B1F">
        <w:rPr>
          <w:iCs/>
        </w:rPr>
        <w:t>.</w:t>
      </w:r>
      <w:r w:rsidRPr="00ED2B1F">
        <w:t xml:space="preserve"> </w:t>
      </w:r>
    </w:p>
    <w:p w14:paraId="7F4DE5EF" w14:textId="77777777" w:rsidR="00E96DD0" w:rsidRPr="00ED2B1F" w:rsidRDefault="00E96DD0" w:rsidP="00E96DD0"/>
    <w:p w14:paraId="6A7B00FA" w14:textId="5D611ED6" w:rsidR="00E96DD0" w:rsidRPr="00ED2B1F" w:rsidRDefault="00E96DD0" w:rsidP="00E96DD0">
      <w:r w:rsidRPr="00ED2B1F">
        <w:t>OST services in</w:t>
      </w:r>
      <w:r w:rsidRPr="00ED2B1F" w:rsidDel="00E42E2A">
        <w:t xml:space="preserve"> </w:t>
      </w:r>
      <w:r w:rsidRPr="00ED2B1F">
        <w:t xml:space="preserve">New Zealand are expected to provide a standardised approach that puts the person, family and whānau at the heart of treatment, recovery, wellbeing and citizenship. To help services take this approach, the </w:t>
      </w:r>
      <w:r w:rsidRPr="00ED2B1F">
        <w:rPr>
          <w:i/>
          <w:iCs/>
        </w:rPr>
        <w:t>New Zealand Practice Guidelines for Opioid Substitution Treatment</w:t>
      </w:r>
      <w:r w:rsidRPr="00ED2B1F">
        <w:rPr>
          <w:rStyle w:val="FootnoteReference"/>
        </w:rPr>
        <w:footnoteReference w:id="33"/>
      </w:r>
      <w:r w:rsidRPr="00ED2B1F">
        <w:t xml:space="preserve"> provide clinical and procedural guidance for specialist services and primary health care providers who deliver OST. </w:t>
      </w:r>
      <w:r w:rsidR="002B0088" w:rsidRPr="00ED2B1F">
        <w:t xml:space="preserve">These guidelines were updated in </w:t>
      </w:r>
      <w:r w:rsidR="00B83CCD" w:rsidRPr="00ED2B1F">
        <w:t>October</w:t>
      </w:r>
      <w:r w:rsidR="002B0088" w:rsidRPr="00ED2B1F">
        <w:t xml:space="preserve"> 2025</w:t>
      </w:r>
      <w:r w:rsidR="00B83CCD" w:rsidRPr="00ED2B1F">
        <w:t>, with an increased emphasis on people’s</w:t>
      </w:r>
      <w:r w:rsidR="00636CF3" w:rsidRPr="00ED2B1F">
        <w:t xml:space="preserve"> rights and empowering them towards recovery</w:t>
      </w:r>
      <w:r w:rsidR="002B0088" w:rsidRPr="00ED2B1F">
        <w:t xml:space="preserve">. </w:t>
      </w:r>
    </w:p>
    <w:p w14:paraId="0BE15A1B" w14:textId="77777777" w:rsidR="00E96DD0" w:rsidRPr="00ED2B1F" w:rsidRDefault="00E96DD0" w:rsidP="00E96DD0">
      <w:bookmarkStart w:id="576" w:name="_Toc65141651"/>
    </w:p>
    <w:p w14:paraId="5F4A64C5" w14:textId="0856BE5F" w:rsidR="00E96DD0" w:rsidRPr="00ED2B1F" w:rsidRDefault="00E96DD0" w:rsidP="00E96DD0">
      <w:r w:rsidRPr="00ED2B1F">
        <w:t xml:space="preserve">The following summarises OST data from </w:t>
      </w:r>
      <w:r w:rsidR="00211D17" w:rsidRPr="00ED2B1F">
        <w:t>1 July 2023 to 30 June 2024</w:t>
      </w:r>
      <w:r w:rsidRPr="00ED2B1F">
        <w:t>.</w:t>
      </w:r>
      <w:r w:rsidRPr="00ED2B1F">
        <w:rPr>
          <w:rStyle w:val="FootnoteReference"/>
        </w:rPr>
        <w:footnoteReference w:id="34"/>
      </w:r>
      <w:bookmarkEnd w:id="576"/>
    </w:p>
    <w:p w14:paraId="4408C4CA" w14:textId="665ECE2A" w:rsidR="00E96DD0" w:rsidRPr="00ED2B1F" w:rsidRDefault="00E96DD0" w:rsidP="00E96DD0">
      <w:pPr>
        <w:pStyle w:val="Bullet"/>
      </w:pPr>
      <w:r w:rsidRPr="00ED2B1F">
        <w:t>5,</w:t>
      </w:r>
      <w:r w:rsidR="00BB0797" w:rsidRPr="00ED2B1F">
        <w:t>4</w:t>
      </w:r>
      <w:r w:rsidRPr="00ED2B1F">
        <w:t>4</w:t>
      </w:r>
      <w:r w:rsidR="00BB0797" w:rsidRPr="00ED2B1F">
        <w:t>4</w:t>
      </w:r>
      <w:r w:rsidRPr="00ED2B1F">
        <w:t xml:space="preserve"> people received OST.</w:t>
      </w:r>
    </w:p>
    <w:p w14:paraId="1F725074" w14:textId="21CD955E" w:rsidR="00E96DD0" w:rsidRPr="00ED2B1F" w:rsidRDefault="004477AE" w:rsidP="00E96DD0">
      <w:pPr>
        <w:pStyle w:val="Bullet"/>
      </w:pPr>
      <w:r w:rsidRPr="00ED2B1F">
        <w:t xml:space="preserve">Of these people, </w:t>
      </w:r>
      <w:r w:rsidR="00E96DD0" w:rsidRPr="00ED2B1F">
        <w:t>7</w:t>
      </w:r>
      <w:r w:rsidR="00BB0797" w:rsidRPr="00ED2B1F">
        <w:t>4</w:t>
      </w:r>
      <w:r w:rsidR="00E96DD0" w:rsidRPr="00ED2B1F">
        <w:t>.</w:t>
      </w:r>
      <w:r w:rsidR="00BB0797" w:rsidRPr="00ED2B1F">
        <w:t>8</w:t>
      </w:r>
      <w:r w:rsidR="00E96DD0" w:rsidRPr="00ED2B1F">
        <w:t>% were New Zealand European, 1</w:t>
      </w:r>
      <w:r w:rsidR="00BB0797" w:rsidRPr="00ED2B1F">
        <w:t>8.3</w:t>
      </w:r>
      <w:r w:rsidR="00E96DD0" w:rsidRPr="00ED2B1F">
        <w:t>% were Māori, 1.</w:t>
      </w:r>
      <w:r w:rsidR="00BB0797" w:rsidRPr="00ED2B1F">
        <w:t>4</w:t>
      </w:r>
      <w:r w:rsidR="00E96DD0" w:rsidRPr="00ED2B1F">
        <w:t xml:space="preserve">% were Pacific peoples and </w:t>
      </w:r>
      <w:r w:rsidR="00BB0797" w:rsidRPr="00ED2B1F">
        <w:t>5.5</w:t>
      </w:r>
      <w:r w:rsidR="00E96DD0" w:rsidRPr="00ED2B1F">
        <w:t>% were of other ethnicities.</w:t>
      </w:r>
    </w:p>
    <w:p w14:paraId="7F852829" w14:textId="4C680186" w:rsidR="00E96DD0" w:rsidRPr="00ED2B1F" w:rsidRDefault="00E96DD0" w:rsidP="00E96DD0">
      <w:pPr>
        <w:pStyle w:val="Bullet"/>
      </w:pPr>
      <w:r w:rsidRPr="00ED2B1F">
        <w:t>70.</w:t>
      </w:r>
      <w:r w:rsidR="00B524ED" w:rsidRPr="00ED2B1F">
        <w:t>7</w:t>
      </w:r>
      <w:r w:rsidRPr="00ED2B1F">
        <w:t>% of clients receiving OST were over 45 years of age.</w:t>
      </w:r>
    </w:p>
    <w:p w14:paraId="3262ABAD" w14:textId="0D9C9B1E" w:rsidR="00E96DD0" w:rsidRPr="00ED2B1F" w:rsidRDefault="00E96DD0" w:rsidP="00E96DD0">
      <w:pPr>
        <w:pStyle w:val="Bullet"/>
      </w:pPr>
      <w:r w:rsidRPr="00ED2B1F">
        <w:t>25.</w:t>
      </w:r>
      <w:r w:rsidR="00B524ED" w:rsidRPr="00ED2B1F">
        <w:t>6</w:t>
      </w:r>
      <w:r w:rsidRPr="00ED2B1F">
        <w:t>% of people receiving OST were receiving treatment from a general practitioner in a shared-care arrangement.</w:t>
      </w:r>
      <w:bookmarkStart w:id="577" w:name="_Toc65141652"/>
    </w:p>
    <w:p w14:paraId="0247313D" w14:textId="77777777" w:rsidR="00E96DD0" w:rsidRPr="00ED2B1F" w:rsidRDefault="00E96DD0" w:rsidP="00C103C7">
      <w:pPr>
        <w:pStyle w:val="Heading3"/>
      </w:pPr>
      <w:bookmarkStart w:id="578" w:name="_Toc65141653"/>
      <w:bookmarkStart w:id="579" w:name="_Toc87429937"/>
      <w:bookmarkStart w:id="580" w:name="_Toc115188833"/>
      <w:bookmarkStart w:id="581" w:name="_Toc189053929"/>
      <w:bookmarkEnd w:id="577"/>
      <w:r w:rsidRPr="00ED2B1F">
        <w:lastRenderedPageBreak/>
        <w:t>Service providers</w:t>
      </w:r>
      <w:bookmarkEnd w:id="578"/>
      <w:bookmarkEnd w:id="579"/>
      <w:bookmarkEnd w:id="580"/>
      <w:bookmarkEnd w:id="581"/>
    </w:p>
    <w:p w14:paraId="0038B31A" w14:textId="4B99CDED" w:rsidR="00E96DD0" w:rsidRPr="00ED2B1F" w:rsidRDefault="00E96DD0" w:rsidP="00E96DD0">
      <w:r w:rsidRPr="00ED2B1F">
        <w:t>New Zealand has three types of OST service providers.</w:t>
      </w:r>
    </w:p>
    <w:p w14:paraId="1A3B99EF" w14:textId="77777777" w:rsidR="00E96DD0" w:rsidRPr="00ED2B1F" w:rsidRDefault="00E96DD0" w:rsidP="00E96DD0"/>
    <w:p w14:paraId="7B8D13BF" w14:textId="77777777" w:rsidR="00E96DD0" w:rsidRPr="00ED2B1F" w:rsidRDefault="00E96DD0" w:rsidP="00E96DD0">
      <w:r w:rsidRPr="00ED2B1F">
        <w:rPr>
          <w:b/>
          <w:bCs/>
        </w:rPr>
        <w:t>Specialist services:</w:t>
      </w:r>
      <w:r w:rsidRPr="00ED2B1F">
        <w:t xml:space="preserve"> Specialist OST services are the entry point for nearly all people needing treatment with controlled drugs. These services comprehensively assess the needs of clients, provide them with specialist interventions and stabilise them. This approach creates a pathway to plan for recovery, make referrals for co-existing health needs and social support, and eventually transfer treatment to a primary health provider or withdraw the client from treatment altogether. </w:t>
      </w:r>
    </w:p>
    <w:p w14:paraId="6E3B8397" w14:textId="77777777" w:rsidR="00E96DD0" w:rsidRPr="00ED2B1F" w:rsidRDefault="00E96DD0" w:rsidP="00E96DD0"/>
    <w:p w14:paraId="7C3425C6" w14:textId="6CE833D3" w:rsidR="00E96DD0" w:rsidRPr="00ED2B1F" w:rsidRDefault="00E96DD0" w:rsidP="00E96DD0">
      <w:r w:rsidRPr="00ED2B1F">
        <w:t xml:space="preserve">In </w:t>
      </w:r>
      <w:r w:rsidR="00211D17" w:rsidRPr="00ED2B1F">
        <w:t>2023/24</w:t>
      </w:r>
      <w:r w:rsidRPr="00ED2B1F">
        <w:t>, 73.</w:t>
      </w:r>
      <w:r w:rsidR="00756365" w:rsidRPr="00ED2B1F">
        <w:t>3</w:t>
      </w:r>
      <w:r w:rsidRPr="00ED2B1F">
        <w:t>% of OST clients received treatment from specialist services.</w:t>
      </w:r>
    </w:p>
    <w:p w14:paraId="779A08C0" w14:textId="77777777" w:rsidR="00E96DD0" w:rsidRPr="00ED2B1F" w:rsidRDefault="00E96DD0" w:rsidP="00E96DD0"/>
    <w:p w14:paraId="6B4E9646" w14:textId="77777777" w:rsidR="00E96DD0" w:rsidRPr="00ED2B1F" w:rsidRDefault="00E96DD0" w:rsidP="00E96DD0">
      <w:r w:rsidRPr="00ED2B1F">
        <w:rPr>
          <w:b/>
          <w:bCs/>
        </w:rPr>
        <w:t>Primary health:</w:t>
      </w:r>
      <w:r w:rsidRPr="00ED2B1F">
        <w:rPr>
          <w:rFonts w:ascii="Segoe UI Semibold" w:hAnsi="Segoe UI Semibold" w:cs="Segoe UI Semibold"/>
        </w:rPr>
        <w:t xml:space="preserve"> </w:t>
      </w:r>
      <w:r w:rsidRPr="00ED2B1F">
        <w:t xml:space="preserve">Specialist addiction services work alongside primary health care to share delivery of OST services. This approach allows specialist services to focus on clients who have the highest need and normalises the treatment process. </w:t>
      </w:r>
    </w:p>
    <w:p w14:paraId="40E7E441" w14:textId="77777777" w:rsidR="00E96DD0" w:rsidRPr="00ED2B1F" w:rsidRDefault="00E96DD0" w:rsidP="00E96DD0"/>
    <w:p w14:paraId="1B2C6FF3" w14:textId="13E3D5AC" w:rsidR="00E96DD0" w:rsidRPr="00ED2B1F" w:rsidRDefault="00E96DD0" w:rsidP="00E96DD0">
      <w:r w:rsidRPr="00ED2B1F">
        <w:t xml:space="preserve">In </w:t>
      </w:r>
      <w:r w:rsidR="00211D17" w:rsidRPr="00ED2B1F">
        <w:t>2023/24</w:t>
      </w:r>
      <w:r w:rsidRPr="00ED2B1F">
        <w:t>, 25.</w:t>
      </w:r>
      <w:r w:rsidR="00756365" w:rsidRPr="00ED2B1F">
        <w:t>6</w:t>
      </w:r>
      <w:r w:rsidRPr="00ED2B1F">
        <w:t xml:space="preserve">% of OST clients received this treatment from their general practitioner (GP). </w:t>
      </w:r>
    </w:p>
    <w:p w14:paraId="12CF8B0E" w14:textId="77777777" w:rsidR="00E96DD0" w:rsidRPr="00ED2B1F" w:rsidRDefault="00E96DD0" w:rsidP="00E96DD0"/>
    <w:p w14:paraId="3F166064" w14:textId="25789A7F" w:rsidR="00E96DD0" w:rsidRPr="00ED2B1F" w:rsidRDefault="00E96DD0" w:rsidP="00E96DD0">
      <w:r w:rsidRPr="00ED2B1F">
        <w:t>The Ministry</w:t>
      </w:r>
      <w:r w:rsidR="00756365" w:rsidRPr="00ED2B1F">
        <w:t xml:space="preserve"> and Health New Zealand</w:t>
      </w:r>
      <w:r w:rsidRPr="00ED2B1F">
        <w:t xml:space="preserve">’s target for service provision is to split it 50:50 between primary and specialist health care services. </w:t>
      </w:r>
    </w:p>
    <w:p w14:paraId="587CC108" w14:textId="77777777" w:rsidR="00E96DD0" w:rsidRPr="00ED2B1F" w:rsidRDefault="00E96DD0" w:rsidP="00E96DD0"/>
    <w:p w14:paraId="45062E8A" w14:textId="77777777" w:rsidR="00E96DD0" w:rsidRPr="00ED2B1F" w:rsidRDefault="00E96DD0" w:rsidP="00E96DD0">
      <w:r w:rsidRPr="00ED2B1F">
        <w:rPr>
          <w:b/>
          <w:bCs/>
        </w:rPr>
        <w:t>Ara Poutama – Department of Corrections</w:t>
      </w:r>
      <w:r w:rsidRPr="00ED2B1F">
        <w:t xml:space="preserve"> (Ara Poutama)</w:t>
      </w:r>
      <w:r w:rsidRPr="00ED2B1F">
        <w:rPr>
          <w:rFonts w:ascii="Segoe UI Semibold" w:hAnsi="Segoe UI Semibold" w:cs="Segoe UI Semibold"/>
        </w:rPr>
        <w:t xml:space="preserve">: </w:t>
      </w:r>
      <w:r w:rsidRPr="00ED2B1F">
        <w:t xml:space="preserve">When a person receiving OST goes to prison, Ara Poutama ensures that the person continues to receive OST services, including psychosocial support and treatment from specialist services. </w:t>
      </w:r>
    </w:p>
    <w:p w14:paraId="19344DC9" w14:textId="77777777" w:rsidR="00E96DD0" w:rsidRPr="00ED2B1F" w:rsidRDefault="00E96DD0" w:rsidP="00E96DD0"/>
    <w:p w14:paraId="0698CFD8" w14:textId="313DC246" w:rsidR="00E96DD0" w:rsidRPr="00ED2B1F" w:rsidRDefault="00E96DD0" w:rsidP="00E96DD0">
      <w:r w:rsidRPr="00ED2B1F">
        <w:t xml:space="preserve">In </w:t>
      </w:r>
      <w:r w:rsidR="00211D17" w:rsidRPr="00ED2B1F">
        <w:t>2023/24</w:t>
      </w:r>
      <w:r w:rsidRPr="00ED2B1F">
        <w:t>, 1% of OST clients received this treatment from Ara Poutama. Service providers and Ara Poutama work together to initiate OST as appropriate for people who are imprisoned.</w:t>
      </w:r>
    </w:p>
    <w:p w14:paraId="0644EA49" w14:textId="1CDCA540" w:rsidR="000420E5" w:rsidRPr="00ED2B1F" w:rsidRDefault="000420E5" w:rsidP="00E96DD0"/>
    <w:p w14:paraId="57BC3A9A" w14:textId="3B74919B" w:rsidR="000420E5" w:rsidRPr="00ED2B1F" w:rsidRDefault="000420E5" w:rsidP="000420E5">
      <w:r w:rsidRPr="00ED2B1F">
        <w:fldChar w:fldCharType="begin"/>
      </w:r>
      <w:r w:rsidRPr="00ED2B1F">
        <w:instrText xml:space="preserve"> REF _Ref189455227 \h </w:instrText>
      </w:r>
      <w:r w:rsidRPr="00ED2B1F">
        <w:fldChar w:fldCharType="separate"/>
      </w:r>
      <w:r w:rsidR="00484E57" w:rsidRPr="00ED2B1F">
        <w:t>Figure </w:t>
      </w:r>
      <w:r w:rsidR="00484E57">
        <w:rPr>
          <w:noProof/>
        </w:rPr>
        <w:t>41</w:t>
      </w:r>
      <w:r w:rsidRPr="00ED2B1F">
        <w:fldChar w:fldCharType="end"/>
      </w:r>
      <w:r w:rsidRPr="00ED2B1F">
        <w:t xml:space="preserve"> presents the percentage of people receiving OST from specialist services and GPs in each Health New Zealand district in </w:t>
      </w:r>
      <w:r w:rsidR="00211D17" w:rsidRPr="00ED2B1F">
        <w:t>2023/24</w:t>
      </w:r>
      <w:r w:rsidRPr="00ED2B1F">
        <w:t xml:space="preserve">. </w:t>
      </w:r>
      <w:r w:rsidRPr="00ED2B1F">
        <w:fldChar w:fldCharType="begin"/>
      </w:r>
      <w:r w:rsidRPr="00ED2B1F">
        <w:instrText xml:space="preserve"> REF _Ref65672913 \h </w:instrText>
      </w:r>
      <w:r w:rsidRPr="00ED2B1F">
        <w:fldChar w:fldCharType="separate"/>
      </w:r>
      <w:r w:rsidR="00484E57" w:rsidRPr="00ED2B1F">
        <w:t>Figure </w:t>
      </w:r>
      <w:r w:rsidR="00484E57">
        <w:rPr>
          <w:noProof/>
        </w:rPr>
        <w:t>42</w:t>
      </w:r>
      <w:r w:rsidRPr="00ED2B1F">
        <w:fldChar w:fldCharType="end"/>
      </w:r>
      <w:r w:rsidRPr="00ED2B1F">
        <w:t xml:space="preserve"> shows the number of people receiving OST from these providers from 200</w:t>
      </w:r>
      <w:r w:rsidR="00A8299B" w:rsidRPr="00ED2B1F">
        <w:t>9</w:t>
      </w:r>
      <w:r w:rsidRPr="00ED2B1F">
        <w:t>/</w:t>
      </w:r>
      <w:r w:rsidR="00A8299B" w:rsidRPr="00ED2B1F">
        <w:t>10</w:t>
      </w:r>
      <w:r w:rsidRPr="00ED2B1F">
        <w:t xml:space="preserve"> to </w:t>
      </w:r>
      <w:r w:rsidR="00211D17" w:rsidRPr="00ED2B1F">
        <w:t>2023/24</w:t>
      </w:r>
      <w:r w:rsidRPr="00ED2B1F">
        <w:t>, based on January to June six-monthly reports from OST providers.</w:t>
      </w:r>
    </w:p>
    <w:p w14:paraId="6F6304CA" w14:textId="44BB9FE2" w:rsidR="000420E5" w:rsidRPr="00ED2B1F" w:rsidRDefault="000420E5" w:rsidP="00E96DD0"/>
    <w:p w14:paraId="2F6A514F" w14:textId="77777777" w:rsidR="00E96DD0" w:rsidRPr="00ED2B1F" w:rsidRDefault="00E96DD0" w:rsidP="00E96DD0"/>
    <w:p w14:paraId="1CBE1440" w14:textId="5CA56F3E" w:rsidR="00E96DD0" w:rsidRPr="00ED2B1F" w:rsidRDefault="00E96DD0" w:rsidP="00E96DD0">
      <w:r w:rsidRPr="00ED2B1F">
        <w:t xml:space="preserve"> </w:t>
      </w:r>
    </w:p>
    <w:p w14:paraId="431B98D7" w14:textId="77777777" w:rsidR="00E96DD0" w:rsidRPr="00ED2B1F" w:rsidRDefault="00E96DD0" w:rsidP="00E96DD0"/>
    <w:p w14:paraId="075DCB84" w14:textId="77777777" w:rsidR="00E96DD0" w:rsidRPr="00ED2B1F" w:rsidRDefault="00E96DD0" w:rsidP="00C103C7">
      <w:pPr>
        <w:pStyle w:val="Figure"/>
        <w:sectPr w:rsidR="00E96DD0" w:rsidRPr="00ED2B1F" w:rsidSect="00753A1F">
          <w:pgSz w:w="11907" w:h="16834" w:code="9"/>
          <w:pgMar w:top="1418" w:right="1701" w:bottom="1134" w:left="1843" w:header="284" w:footer="425" w:gutter="284"/>
          <w:cols w:space="720"/>
        </w:sectPr>
      </w:pPr>
      <w:bookmarkStart w:id="582" w:name="_Ref65672817"/>
      <w:bookmarkStart w:id="583" w:name="_Toc63764798"/>
      <w:bookmarkStart w:id="584" w:name="_Toc75176504"/>
      <w:bookmarkStart w:id="585" w:name="_Toc85442597"/>
      <w:bookmarkStart w:id="586" w:name="_Toc85445953"/>
      <w:bookmarkStart w:id="587" w:name="_Toc87429991"/>
      <w:bookmarkStart w:id="588" w:name="_Toc88561423"/>
      <w:bookmarkStart w:id="589" w:name="_Toc115188885"/>
      <w:bookmarkStart w:id="590" w:name="_Toc142314727"/>
      <w:bookmarkStart w:id="591" w:name="_Toc145394309"/>
      <w:bookmarkStart w:id="592" w:name="_Toc189053984"/>
    </w:p>
    <w:p w14:paraId="14C355C9" w14:textId="6A899EAA" w:rsidR="00E96DD0" w:rsidRPr="00ED2B1F" w:rsidRDefault="00E96DD0" w:rsidP="00C103C7">
      <w:pPr>
        <w:pStyle w:val="Figure"/>
      </w:pPr>
      <w:bookmarkStart w:id="593" w:name="_Ref189455227"/>
      <w:bookmarkStart w:id="594" w:name="_Toc224638213"/>
      <w:r w:rsidRPr="00ED2B1F">
        <w:lastRenderedPageBreak/>
        <w:t>Figure </w:t>
      </w:r>
      <w:r w:rsidRPr="00ED2B1F">
        <w:fldChar w:fldCharType="begin"/>
      </w:r>
      <w:r w:rsidRPr="00ED2B1F">
        <w:instrText>SEQ Figure \* ARABIC</w:instrText>
      </w:r>
      <w:r w:rsidRPr="00ED2B1F">
        <w:fldChar w:fldCharType="separate"/>
      </w:r>
      <w:r w:rsidR="00484E57">
        <w:rPr>
          <w:noProof/>
        </w:rPr>
        <w:t>41</w:t>
      </w:r>
      <w:r w:rsidRPr="00ED2B1F">
        <w:fldChar w:fldCharType="end"/>
      </w:r>
      <w:bookmarkEnd w:id="582"/>
      <w:bookmarkEnd w:id="593"/>
      <w:r w:rsidRPr="00ED2B1F">
        <w:t xml:space="preserve">: Percentage of people receiving opioid substitution therapy from specialist services and general practitioners, by district, </w:t>
      </w:r>
      <w:bookmarkEnd w:id="583"/>
      <w:bookmarkEnd w:id="584"/>
      <w:bookmarkEnd w:id="585"/>
      <w:bookmarkEnd w:id="586"/>
      <w:bookmarkEnd w:id="587"/>
      <w:bookmarkEnd w:id="588"/>
      <w:bookmarkEnd w:id="589"/>
      <w:bookmarkEnd w:id="590"/>
      <w:bookmarkEnd w:id="591"/>
      <w:bookmarkEnd w:id="592"/>
      <w:r w:rsidR="00211D17" w:rsidRPr="00ED2B1F">
        <w:t>1 July 2023 to 30 June 2024</w:t>
      </w:r>
      <w:bookmarkEnd w:id="594"/>
    </w:p>
    <w:p w14:paraId="438A2CD3" w14:textId="221CF22F" w:rsidR="00E96DD0" w:rsidRPr="00ED2B1F" w:rsidRDefault="0062401C" w:rsidP="003E3C20">
      <w:r>
        <w:rPr>
          <w:noProof/>
        </w:rPr>
        <w:drawing>
          <wp:inline distT="0" distB="0" distL="0" distR="0" wp14:anchorId="688650ED" wp14:editId="41ABE818">
            <wp:extent cx="5468620" cy="3164205"/>
            <wp:effectExtent l="0" t="0" r="0" b="0"/>
            <wp:docPr id="633093283"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3283" name="Picture 42">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8620" cy="3164205"/>
                    </a:xfrm>
                    <a:prstGeom prst="rect">
                      <a:avLst/>
                    </a:prstGeom>
                    <a:noFill/>
                  </pic:spPr>
                </pic:pic>
              </a:graphicData>
            </a:graphic>
          </wp:inline>
        </w:drawing>
      </w:r>
    </w:p>
    <w:p w14:paraId="2C072407" w14:textId="77777777" w:rsidR="00E96DD0" w:rsidRPr="00CC2148" w:rsidRDefault="00E96DD0" w:rsidP="00CC2148">
      <w:pPr>
        <w:pStyle w:val="Note"/>
      </w:pPr>
      <w:r w:rsidRPr="00CC2148">
        <w:t>Notes: ‘Auckland’ includes Auckland, Counties Manukau and Waitematā districts. ‘Capital &amp; Coast’ includes Capital &amp; Coast and Hutt Valley districts. ‘Canterbury’ includes one GP service operating in Christchurch.</w:t>
      </w:r>
    </w:p>
    <w:p w14:paraId="28FDDD16" w14:textId="77777777" w:rsidR="00E96DD0" w:rsidRPr="00CC2148" w:rsidRDefault="00E96DD0" w:rsidP="00CC2148">
      <w:pPr>
        <w:pStyle w:val="Source"/>
      </w:pPr>
      <w:r w:rsidRPr="00CC2148">
        <w:t>Source: Data provided by OST services in January to June six-monthly reports.</w:t>
      </w:r>
    </w:p>
    <w:p w14:paraId="2E1765D7" w14:textId="77777777" w:rsidR="00E96DD0" w:rsidRPr="00ED2B1F" w:rsidRDefault="00E96DD0" w:rsidP="00E96DD0"/>
    <w:p w14:paraId="20403D82" w14:textId="06C50AE0" w:rsidR="00E96DD0" w:rsidRPr="00ED2B1F" w:rsidRDefault="00E96DD0" w:rsidP="00C103C7">
      <w:pPr>
        <w:pStyle w:val="Figure"/>
      </w:pPr>
      <w:bookmarkStart w:id="595" w:name="_Ref65672913"/>
      <w:bookmarkStart w:id="596" w:name="_Toc63764800"/>
      <w:bookmarkStart w:id="597" w:name="_Toc75176505"/>
      <w:bookmarkStart w:id="598" w:name="_Toc85442598"/>
      <w:bookmarkStart w:id="599" w:name="_Toc85445954"/>
      <w:bookmarkStart w:id="600" w:name="_Toc87429992"/>
      <w:bookmarkStart w:id="601" w:name="_Toc88561424"/>
      <w:bookmarkStart w:id="602" w:name="_Toc115188886"/>
      <w:bookmarkStart w:id="603" w:name="_Toc142314728"/>
      <w:bookmarkStart w:id="604" w:name="_Toc145394310"/>
      <w:bookmarkStart w:id="605" w:name="_Toc189053985"/>
      <w:bookmarkStart w:id="606" w:name="_Toc224638214"/>
      <w:r w:rsidRPr="00ED2B1F">
        <w:t>Figure </w:t>
      </w:r>
      <w:r w:rsidRPr="00ED2B1F">
        <w:fldChar w:fldCharType="begin"/>
      </w:r>
      <w:r w:rsidRPr="00ED2B1F">
        <w:instrText>SEQ Figure \* ARABIC</w:instrText>
      </w:r>
      <w:r w:rsidRPr="00ED2B1F">
        <w:fldChar w:fldCharType="separate"/>
      </w:r>
      <w:r w:rsidR="00484E57">
        <w:rPr>
          <w:noProof/>
        </w:rPr>
        <w:t>42</w:t>
      </w:r>
      <w:r w:rsidRPr="00ED2B1F">
        <w:fldChar w:fldCharType="end"/>
      </w:r>
      <w:bookmarkEnd w:id="595"/>
      <w:r w:rsidRPr="00ED2B1F">
        <w:t>: Number of people receiving opioid substitution therapy</w:t>
      </w:r>
      <w:r w:rsidRPr="00ED2B1F" w:rsidDel="001B3633">
        <w:t xml:space="preserve"> </w:t>
      </w:r>
      <w:r w:rsidRPr="00ED2B1F">
        <w:t xml:space="preserve">from a specialist service, general practitioner or prison service, </w:t>
      </w:r>
      <w:bookmarkEnd w:id="596"/>
      <w:bookmarkEnd w:id="597"/>
      <w:bookmarkEnd w:id="598"/>
      <w:bookmarkEnd w:id="599"/>
      <w:bookmarkEnd w:id="600"/>
      <w:bookmarkEnd w:id="601"/>
      <w:bookmarkEnd w:id="602"/>
      <w:r w:rsidRPr="00ED2B1F">
        <w:t>200</w:t>
      </w:r>
      <w:r w:rsidR="00A8299B" w:rsidRPr="00ED2B1F">
        <w:t>9</w:t>
      </w:r>
      <w:r w:rsidR="00D27C69" w:rsidRPr="00ED2B1F">
        <w:t>/</w:t>
      </w:r>
      <w:r w:rsidR="00A8299B" w:rsidRPr="00ED2B1F">
        <w:t>10</w:t>
      </w:r>
      <w:r w:rsidR="00D27C69" w:rsidRPr="00ED2B1F">
        <w:t xml:space="preserve"> </w:t>
      </w:r>
      <w:r w:rsidRPr="00ED2B1F">
        <w:t xml:space="preserve">to </w:t>
      </w:r>
      <w:bookmarkEnd w:id="603"/>
      <w:bookmarkEnd w:id="604"/>
      <w:bookmarkEnd w:id="605"/>
      <w:r w:rsidR="00211D17" w:rsidRPr="00ED2B1F">
        <w:t>2023/24</w:t>
      </w:r>
      <w:bookmarkEnd w:id="606"/>
    </w:p>
    <w:p w14:paraId="5890C9CE" w14:textId="35A7524F" w:rsidR="00E96DD0" w:rsidRPr="00ED2B1F" w:rsidRDefault="0062401C" w:rsidP="004C0E3E">
      <w:r>
        <w:rPr>
          <w:noProof/>
        </w:rPr>
        <w:drawing>
          <wp:inline distT="0" distB="0" distL="0" distR="0" wp14:anchorId="6DC672C5" wp14:editId="7AF3ABA5">
            <wp:extent cx="5133340" cy="3914140"/>
            <wp:effectExtent l="0" t="0" r="0" b="0"/>
            <wp:docPr id="121732135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1356" name="Picture 4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3340" cy="3914140"/>
                    </a:xfrm>
                    <a:prstGeom prst="rect">
                      <a:avLst/>
                    </a:prstGeom>
                    <a:noFill/>
                  </pic:spPr>
                </pic:pic>
              </a:graphicData>
            </a:graphic>
          </wp:inline>
        </w:drawing>
      </w:r>
    </w:p>
    <w:p w14:paraId="22D25AD3" w14:textId="77777777" w:rsidR="00E96DD0" w:rsidRPr="00ED2B1F" w:rsidRDefault="00E96DD0" w:rsidP="00E96DD0">
      <w:pPr>
        <w:pStyle w:val="Note"/>
      </w:pPr>
      <w:r w:rsidRPr="00ED2B1F">
        <w:t>Note: Data for clients seen in prison collected from July 2013.</w:t>
      </w:r>
    </w:p>
    <w:p w14:paraId="7AF3113D" w14:textId="77777777" w:rsidR="00E96DD0" w:rsidRPr="00ED2B1F" w:rsidRDefault="00E96DD0" w:rsidP="00E96DD0">
      <w:pPr>
        <w:pStyle w:val="Source"/>
      </w:pPr>
      <w:r w:rsidRPr="00ED2B1F">
        <w:t>Source: Data provided by OST services in January to June six-monthly reports.</w:t>
      </w:r>
    </w:p>
    <w:p w14:paraId="373DAB9A" w14:textId="77777777" w:rsidR="00E96DD0" w:rsidRPr="00ED2B1F" w:rsidRDefault="00E96DD0" w:rsidP="00C103C7">
      <w:pPr>
        <w:pStyle w:val="Heading3"/>
      </w:pPr>
      <w:bookmarkStart w:id="607" w:name="_Toc65141654"/>
      <w:bookmarkStart w:id="608" w:name="_Toc87429938"/>
      <w:bookmarkStart w:id="609" w:name="_Toc115188834"/>
      <w:bookmarkStart w:id="610" w:name="_Toc189053930"/>
      <w:r w:rsidRPr="00ED2B1F">
        <w:lastRenderedPageBreak/>
        <w:t>Prescribing opioid treatments</w:t>
      </w:r>
      <w:bookmarkEnd w:id="607"/>
      <w:bookmarkEnd w:id="608"/>
      <w:bookmarkEnd w:id="609"/>
      <w:bookmarkEnd w:id="610"/>
    </w:p>
    <w:p w14:paraId="53ED0B49" w14:textId="77777777" w:rsidR="00E96DD0" w:rsidRPr="00ED2B1F" w:rsidRDefault="00E96DD0" w:rsidP="00E96DD0">
      <w:r w:rsidRPr="00ED2B1F">
        <w:t>A treatment that replaces addictive substances like opioids with prescribed drugs is called pharmacotherapy. The purpose of this treatment is to stabilise the opioid user’s health and reduce harms from drug use, such as the risk of overdose, blood-borne virus transmission and substance-related criminal activity.</w:t>
      </w:r>
    </w:p>
    <w:p w14:paraId="47D6CF47" w14:textId="77777777" w:rsidR="00E96DD0" w:rsidRPr="00ED2B1F" w:rsidRDefault="00E96DD0" w:rsidP="00E96DD0"/>
    <w:p w14:paraId="16DAB5E1" w14:textId="77777777" w:rsidR="00E96DD0" w:rsidRPr="00ED2B1F" w:rsidRDefault="00E96DD0" w:rsidP="00E96DD0">
      <w:r w:rsidRPr="00ED2B1F">
        <w:t>The two types of pharmacotherapy are:</w:t>
      </w:r>
    </w:p>
    <w:p w14:paraId="5F803F78" w14:textId="77777777" w:rsidR="00E96DD0" w:rsidRPr="00ED2B1F" w:rsidRDefault="00E96DD0" w:rsidP="00E96DD0">
      <w:pPr>
        <w:pStyle w:val="Bullet"/>
      </w:pPr>
      <w:r w:rsidRPr="00ED2B1F">
        <w:t>maintenance therapy – using opioid substitutes to remain on a stable dose</w:t>
      </w:r>
    </w:p>
    <w:p w14:paraId="560FCA6A" w14:textId="77777777" w:rsidR="00E96DD0" w:rsidRPr="00ED2B1F" w:rsidRDefault="00E96DD0" w:rsidP="00E96DD0">
      <w:pPr>
        <w:pStyle w:val="Bullet"/>
      </w:pPr>
      <w:r w:rsidRPr="00ED2B1F">
        <w:t>detox – using opioid substitutes to gradually withdraw from the substitute so the client can be free of all opioid substances.</w:t>
      </w:r>
    </w:p>
    <w:p w14:paraId="36D52CF5" w14:textId="77777777" w:rsidR="00E96DD0" w:rsidRPr="00ED2B1F" w:rsidRDefault="00E96DD0" w:rsidP="00E96DD0"/>
    <w:p w14:paraId="2B2A94C9" w14:textId="77777777" w:rsidR="00E96DD0" w:rsidRPr="00ED2B1F" w:rsidRDefault="00E96DD0" w:rsidP="00E96DD0">
      <w:r w:rsidRPr="00ED2B1F">
        <w:t>Methadone has historically been the main OST available. Clients need a daily dose, which in turn makes it necessary to limit prescribing and dispensing.</w:t>
      </w:r>
    </w:p>
    <w:p w14:paraId="1B9ABE6F" w14:textId="77777777" w:rsidR="00E96DD0" w:rsidRPr="00ED2B1F" w:rsidRDefault="00E96DD0" w:rsidP="00E96DD0"/>
    <w:p w14:paraId="1A8872E1" w14:textId="03442630" w:rsidR="00E96DD0" w:rsidRPr="00ED2B1F" w:rsidRDefault="00E96DD0" w:rsidP="00E96DD0">
      <w:r w:rsidRPr="00ED2B1F">
        <w:t xml:space="preserve">In 2012, the Pharmaceutical Management Agency Ltd (Pharmac) began funding a buprenorphine-naloxone (suboxone) combination for OST. Suboxone can be administered in cumulative doses that last several days, which reduces the risk of drug diversion and offers clients more normality in their lives. </w:t>
      </w:r>
      <w:r w:rsidRPr="00ED2B1F">
        <w:fldChar w:fldCharType="begin"/>
      </w:r>
      <w:r w:rsidRPr="00ED2B1F">
        <w:instrText xml:space="preserve"> REF _Ref65672928 \h </w:instrText>
      </w:r>
      <w:r w:rsidRPr="00ED2B1F">
        <w:fldChar w:fldCharType="separate"/>
      </w:r>
      <w:r w:rsidR="00484E57" w:rsidRPr="00ED2B1F">
        <w:t>Figure </w:t>
      </w:r>
      <w:r w:rsidR="00484E57">
        <w:rPr>
          <w:noProof/>
        </w:rPr>
        <w:t>43</w:t>
      </w:r>
      <w:r w:rsidRPr="00ED2B1F">
        <w:fldChar w:fldCharType="end"/>
      </w:r>
      <w:r w:rsidRPr="00ED2B1F">
        <w:t xml:space="preserve"> presents the number of people prescribed suboxone from </w:t>
      </w:r>
      <w:r w:rsidR="000F5627" w:rsidRPr="00ED2B1F">
        <w:t>2009/10</w:t>
      </w:r>
      <w:r w:rsidRPr="00ED2B1F">
        <w:t xml:space="preserve"> to </w:t>
      </w:r>
      <w:r w:rsidR="00211D17" w:rsidRPr="00ED2B1F">
        <w:t>2023/24</w:t>
      </w:r>
      <w:r w:rsidRPr="00ED2B1F">
        <w:t xml:space="preserve">. </w:t>
      </w:r>
    </w:p>
    <w:p w14:paraId="7FABF14F" w14:textId="77777777" w:rsidR="00E96DD0" w:rsidRPr="00ED2B1F" w:rsidRDefault="00E96DD0" w:rsidP="00E96DD0"/>
    <w:p w14:paraId="02556029" w14:textId="704D6D7C" w:rsidR="00E96DD0" w:rsidRPr="00ED2B1F" w:rsidRDefault="00E96DD0" w:rsidP="00E96DD0">
      <w:r w:rsidRPr="00ED2B1F">
        <w:t xml:space="preserve">In </w:t>
      </w:r>
      <w:r w:rsidR="00211D17" w:rsidRPr="00ED2B1F">
        <w:t>2023/24</w:t>
      </w:r>
      <w:r w:rsidRPr="00ED2B1F">
        <w:t>, 24.</w:t>
      </w:r>
      <w:r w:rsidR="00BD28A6" w:rsidRPr="00ED2B1F">
        <w:t>3</w:t>
      </w:r>
      <w:r w:rsidRPr="00ED2B1F">
        <w:t>% of OST clients were prescribed suboxone.</w:t>
      </w:r>
    </w:p>
    <w:p w14:paraId="2056AD22" w14:textId="77777777" w:rsidR="00E96DD0" w:rsidRPr="00ED2B1F" w:rsidRDefault="00E96DD0" w:rsidP="00E96DD0"/>
    <w:p w14:paraId="383CB996" w14:textId="2C88512C" w:rsidR="00E96DD0" w:rsidRPr="00ED2B1F" w:rsidRDefault="00E96DD0" w:rsidP="00C103C7">
      <w:pPr>
        <w:pStyle w:val="Figure"/>
      </w:pPr>
      <w:bookmarkStart w:id="611" w:name="_Ref65672928"/>
      <w:bookmarkStart w:id="612" w:name="_Toc63764801"/>
      <w:bookmarkStart w:id="613" w:name="_Toc75176506"/>
      <w:bookmarkStart w:id="614" w:name="_Toc85442599"/>
      <w:bookmarkStart w:id="615" w:name="_Toc85445955"/>
      <w:bookmarkStart w:id="616" w:name="_Toc87429993"/>
      <w:bookmarkStart w:id="617" w:name="_Toc88561425"/>
      <w:bookmarkStart w:id="618" w:name="_Toc115188887"/>
      <w:bookmarkStart w:id="619" w:name="_Toc142314729"/>
      <w:bookmarkStart w:id="620" w:name="_Toc145394311"/>
      <w:bookmarkStart w:id="621" w:name="_Toc189053986"/>
      <w:bookmarkStart w:id="622" w:name="_Toc224638215"/>
      <w:r w:rsidRPr="00ED2B1F">
        <w:t>Figure </w:t>
      </w:r>
      <w:r w:rsidRPr="00ED2B1F">
        <w:fldChar w:fldCharType="begin"/>
      </w:r>
      <w:r w:rsidRPr="00ED2B1F">
        <w:instrText>SEQ Figure \* ARABIC</w:instrText>
      </w:r>
      <w:r w:rsidRPr="00ED2B1F">
        <w:fldChar w:fldCharType="separate"/>
      </w:r>
      <w:r w:rsidR="00484E57">
        <w:rPr>
          <w:noProof/>
        </w:rPr>
        <w:t>43</w:t>
      </w:r>
      <w:r w:rsidRPr="00ED2B1F">
        <w:fldChar w:fldCharType="end"/>
      </w:r>
      <w:bookmarkEnd w:id="611"/>
      <w:r w:rsidRPr="00ED2B1F">
        <w:t>: Number of people prescribed suboxone, 200</w:t>
      </w:r>
      <w:r w:rsidR="00510ED9" w:rsidRPr="00ED2B1F">
        <w:t>9</w:t>
      </w:r>
      <w:r w:rsidRPr="00ED2B1F">
        <w:t>/</w:t>
      </w:r>
      <w:r w:rsidR="00510ED9" w:rsidRPr="00ED2B1F">
        <w:t>1</w:t>
      </w:r>
      <w:r w:rsidRPr="00ED2B1F">
        <w:t xml:space="preserve">0 to </w:t>
      </w:r>
      <w:bookmarkEnd w:id="612"/>
      <w:bookmarkEnd w:id="613"/>
      <w:bookmarkEnd w:id="614"/>
      <w:bookmarkEnd w:id="615"/>
      <w:bookmarkEnd w:id="616"/>
      <w:bookmarkEnd w:id="617"/>
      <w:bookmarkEnd w:id="618"/>
      <w:bookmarkEnd w:id="619"/>
      <w:bookmarkEnd w:id="620"/>
      <w:bookmarkEnd w:id="621"/>
      <w:r w:rsidR="00211D17" w:rsidRPr="00ED2B1F">
        <w:t>2023/24</w:t>
      </w:r>
      <w:bookmarkEnd w:id="622"/>
    </w:p>
    <w:p w14:paraId="42D90D3D" w14:textId="7DB1E583" w:rsidR="00E96DD0" w:rsidRPr="00ED2B1F" w:rsidRDefault="0062401C" w:rsidP="00BD28A6">
      <w:r>
        <w:rPr>
          <w:noProof/>
        </w:rPr>
        <w:drawing>
          <wp:inline distT="0" distB="0" distL="0" distR="0" wp14:anchorId="0EE41EB4" wp14:editId="710CE25B">
            <wp:extent cx="4877435" cy="2883535"/>
            <wp:effectExtent l="0" t="0" r="0" b="0"/>
            <wp:docPr id="1236323482"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23482" name="Picture 44">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7435" cy="2883535"/>
                    </a:xfrm>
                    <a:prstGeom prst="rect">
                      <a:avLst/>
                    </a:prstGeom>
                    <a:noFill/>
                  </pic:spPr>
                </pic:pic>
              </a:graphicData>
            </a:graphic>
          </wp:inline>
        </w:drawing>
      </w:r>
    </w:p>
    <w:p w14:paraId="25D05B89" w14:textId="77777777" w:rsidR="00E96DD0" w:rsidRPr="00ED2B1F" w:rsidRDefault="00E96DD0" w:rsidP="00E96DD0">
      <w:pPr>
        <w:pStyle w:val="Source"/>
      </w:pPr>
      <w:r w:rsidRPr="00ED2B1F">
        <w:t>Source: Data provided by OST services in January to June six-monthly reports.</w:t>
      </w:r>
    </w:p>
    <w:p w14:paraId="455458A2" w14:textId="77777777" w:rsidR="00E96DD0" w:rsidRPr="00ED2B1F" w:rsidRDefault="00E96DD0" w:rsidP="00E96DD0">
      <w:bookmarkStart w:id="623" w:name="_Toc65141655"/>
      <w:bookmarkStart w:id="624" w:name="_Toc87429939"/>
      <w:bookmarkStart w:id="625" w:name="_Toc115188835"/>
    </w:p>
    <w:p w14:paraId="319BD304" w14:textId="77777777" w:rsidR="0028343D" w:rsidRPr="00ED2B1F" w:rsidRDefault="0028343D" w:rsidP="00E96DD0"/>
    <w:p w14:paraId="4FD90BBA" w14:textId="13AC0678" w:rsidR="00E96DD0" w:rsidRPr="00ED2B1F" w:rsidRDefault="00E96DD0" w:rsidP="00C103C7">
      <w:pPr>
        <w:pStyle w:val="Heading3"/>
      </w:pPr>
      <w:bookmarkStart w:id="626" w:name="_Toc189053931"/>
      <w:r w:rsidRPr="00ED2B1F">
        <w:lastRenderedPageBreak/>
        <w:t>The ageing population of OST clients</w:t>
      </w:r>
      <w:bookmarkEnd w:id="623"/>
      <w:bookmarkEnd w:id="624"/>
      <w:bookmarkEnd w:id="625"/>
      <w:bookmarkEnd w:id="626"/>
    </w:p>
    <w:p w14:paraId="54A3C658" w14:textId="1F8EC281" w:rsidR="00E96DD0" w:rsidRPr="00ED2B1F" w:rsidRDefault="00E96DD0" w:rsidP="00E96DD0">
      <w:r w:rsidRPr="00ED2B1F">
        <w:t xml:space="preserve">OST clients are an ageing population. </w:t>
      </w:r>
      <w:r w:rsidRPr="00ED2B1F">
        <w:fldChar w:fldCharType="begin"/>
      </w:r>
      <w:r w:rsidRPr="00ED2B1F">
        <w:instrText xml:space="preserve"> REF _Ref65672935 \h  \* MERGEFORMAT </w:instrText>
      </w:r>
      <w:r w:rsidRPr="00ED2B1F">
        <w:fldChar w:fldCharType="separate"/>
      </w:r>
      <w:r w:rsidR="00484E57" w:rsidRPr="00ED2B1F">
        <w:t>Figure </w:t>
      </w:r>
      <w:r w:rsidR="00484E57">
        <w:t>44</w:t>
      </w:r>
      <w:r w:rsidRPr="00ED2B1F">
        <w:fldChar w:fldCharType="end"/>
      </w:r>
      <w:r w:rsidRPr="00ED2B1F">
        <w:t xml:space="preserve"> shows how the number of clients in older age groups has been increasing from 200</w:t>
      </w:r>
      <w:r w:rsidR="00510ED9" w:rsidRPr="00ED2B1F">
        <w:t>9</w:t>
      </w:r>
      <w:r w:rsidRPr="00ED2B1F">
        <w:t>/</w:t>
      </w:r>
      <w:r w:rsidR="00510ED9" w:rsidRPr="00ED2B1F">
        <w:t>1</w:t>
      </w:r>
      <w:r w:rsidRPr="00ED2B1F">
        <w:t xml:space="preserve">0. Those aged 45–59 years are the most likely </w:t>
      </w:r>
      <w:r w:rsidR="00510ED9" w:rsidRPr="00ED2B1F">
        <w:t xml:space="preserve">of any </w:t>
      </w:r>
      <w:r w:rsidRPr="00ED2B1F">
        <w:t xml:space="preserve">age group to be receiving OST. </w:t>
      </w:r>
    </w:p>
    <w:p w14:paraId="29FD0DC3" w14:textId="77777777" w:rsidR="00E96DD0" w:rsidRPr="00ED2B1F" w:rsidRDefault="00E96DD0" w:rsidP="00E96DD0"/>
    <w:p w14:paraId="6C05CBFA" w14:textId="49114FB7" w:rsidR="00E96DD0" w:rsidRPr="00ED2B1F" w:rsidRDefault="00E96DD0" w:rsidP="00E96DD0">
      <w:r w:rsidRPr="00ED2B1F">
        <w:t xml:space="preserve">In </w:t>
      </w:r>
      <w:r w:rsidR="00211D17" w:rsidRPr="00ED2B1F">
        <w:t>2023/24</w:t>
      </w:r>
      <w:r w:rsidRPr="00ED2B1F">
        <w:t>, the majority of clients (70.</w:t>
      </w:r>
      <w:r w:rsidR="00FA6BB6" w:rsidRPr="00ED2B1F">
        <w:t>7</w:t>
      </w:r>
      <w:r w:rsidRPr="00ED2B1F">
        <w:t>%) were aged over 45 years. Treating an ageing population brings with it more health complications.</w:t>
      </w:r>
    </w:p>
    <w:p w14:paraId="356F235E" w14:textId="77777777" w:rsidR="00E96DD0" w:rsidRPr="00ED2B1F" w:rsidRDefault="00E96DD0" w:rsidP="00E96DD0"/>
    <w:p w14:paraId="03AC9635" w14:textId="140D0FB0" w:rsidR="00E96DD0" w:rsidRPr="00ED2B1F" w:rsidRDefault="00E96DD0" w:rsidP="00C103C7">
      <w:pPr>
        <w:pStyle w:val="Figure"/>
      </w:pPr>
      <w:bookmarkStart w:id="627" w:name="_Ref65672935"/>
      <w:bookmarkStart w:id="628" w:name="_Toc63764802"/>
      <w:bookmarkStart w:id="629" w:name="_Toc75176507"/>
      <w:bookmarkStart w:id="630" w:name="_Toc85442600"/>
      <w:bookmarkStart w:id="631" w:name="_Toc85445956"/>
      <w:bookmarkStart w:id="632" w:name="_Toc87429994"/>
      <w:bookmarkStart w:id="633" w:name="_Toc88561426"/>
      <w:bookmarkStart w:id="634" w:name="_Toc115188888"/>
      <w:bookmarkStart w:id="635" w:name="_Toc142314730"/>
      <w:bookmarkStart w:id="636" w:name="_Toc145394312"/>
      <w:bookmarkStart w:id="637" w:name="_Toc189053987"/>
      <w:bookmarkStart w:id="638" w:name="_Toc224638216"/>
      <w:r w:rsidRPr="00ED2B1F">
        <w:t>Figure </w:t>
      </w:r>
      <w:r w:rsidRPr="00ED2B1F">
        <w:fldChar w:fldCharType="begin"/>
      </w:r>
      <w:r w:rsidRPr="00ED2B1F">
        <w:instrText>SEQ Figure \* ARABIC</w:instrText>
      </w:r>
      <w:r w:rsidRPr="00ED2B1F">
        <w:fldChar w:fldCharType="separate"/>
      </w:r>
      <w:r w:rsidR="00484E57">
        <w:rPr>
          <w:noProof/>
        </w:rPr>
        <w:t>44</w:t>
      </w:r>
      <w:r w:rsidRPr="00ED2B1F">
        <w:fldChar w:fldCharType="end"/>
      </w:r>
      <w:bookmarkEnd w:id="627"/>
      <w:r w:rsidRPr="00ED2B1F">
        <w:t xml:space="preserve">: Number of opioid substitution treatment clients, by age group, </w:t>
      </w:r>
      <w:bookmarkEnd w:id="628"/>
      <w:bookmarkEnd w:id="629"/>
      <w:bookmarkEnd w:id="630"/>
      <w:bookmarkEnd w:id="631"/>
      <w:bookmarkEnd w:id="632"/>
      <w:bookmarkEnd w:id="633"/>
      <w:bookmarkEnd w:id="634"/>
      <w:r w:rsidRPr="00ED2B1F">
        <w:t>200</w:t>
      </w:r>
      <w:r w:rsidR="00510ED9" w:rsidRPr="00ED2B1F">
        <w:t>9</w:t>
      </w:r>
      <w:r w:rsidRPr="00ED2B1F">
        <w:t>/</w:t>
      </w:r>
      <w:r w:rsidR="00510ED9" w:rsidRPr="00ED2B1F">
        <w:t>1</w:t>
      </w:r>
      <w:r w:rsidRPr="00ED2B1F">
        <w:t xml:space="preserve">0 to </w:t>
      </w:r>
      <w:bookmarkEnd w:id="635"/>
      <w:bookmarkEnd w:id="636"/>
      <w:bookmarkEnd w:id="637"/>
      <w:r w:rsidR="00211D17" w:rsidRPr="00ED2B1F">
        <w:t>2023/24</w:t>
      </w:r>
      <w:bookmarkEnd w:id="638"/>
    </w:p>
    <w:p w14:paraId="1AA171A7" w14:textId="112021D7" w:rsidR="00E96DD0" w:rsidRPr="00ED2B1F" w:rsidRDefault="0062401C" w:rsidP="00100163">
      <w:r>
        <w:rPr>
          <w:noProof/>
        </w:rPr>
        <w:drawing>
          <wp:inline distT="0" distB="0" distL="0" distR="0" wp14:anchorId="311B8D6B" wp14:editId="1654C25C">
            <wp:extent cx="5084445" cy="2627630"/>
            <wp:effectExtent l="0" t="0" r="1905" b="1270"/>
            <wp:docPr id="87232697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6973" name="Picture 45">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4445" cy="2627630"/>
                    </a:xfrm>
                    <a:prstGeom prst="rect">
                      <a:avLst/>
                    </a:prstGeom>
                    <a:noFill/>
                  </pic:spPr>
                </pic:pic>
              </a:graphicData>
            </a:graphic>
          </wp:inline>
        </w:drawing>
      </w:r>
    </w:p>
    <w:p w14:paraId="510293F7" w14:textId="77777777" w:rsidR="00E96DD0" w:rsidRPr="00ED2B1F" w:rsidRDefault="00E96DD0" w:rsidP="00E96DD0">
      <w:pPr>
        <w:pStyle w:val="Source"/>
      </w:pPr>
      <w:r w:rsidRPr="00ED2B1F">
        <w:t>Source: Data provided by OST services in January to June six-monthly reports.</w:t>
      </w:r>
    </w:p>
    <w:p w14:paraId="11FC2251" w14:textId="77777777" w:rsidR="00E96DD0" w:rsidRPr="00ED2B1F" w:rsidRDefault="00E96DD0" w:rsidP="00C103C7">
      <w:pPr>
        <w:pStyle w:val="Heading3"/>
      </w:pPr>
      <w:bookmarkStart w:id="639" w:name="_Toc65141656"/>
      <w:bookmarkStart w:id="640" w:name="_Toc87429940"/>
      <w:bookmarkStart w:id="641" w:name="_Toc115188836"/>
      <w:bookmarkStart w:id="642" w:name="_Toc189053932"/>
      <w:r w:rsidRPr="00ED2B1F">
        <w:t>Exit from</w:t>
      </w:r>
      <w:bookmarkEnd w:id="639"/>
      <w:r w:rsidRPr="00ED2B1F">
        <w:t xml:space="preserve"> </w:t>
      </w:r>
      <w:bookmarkEnd w:id="640"/>
      <w:bookmarkEnd w:id="641"/>
      <w:r w:rsidRPr="00ED2B1F">
        <w:t>OST</w:t>
      </w:r>
      <w:bookmarkEnd w:id="642"/>
    </w:p>
    <w:p w14:paraId="10BD3DCB" w14:textId="7CC8AA37" w:rsidR="00E96DD0" w:rsidRPr="00ED2B1F" w:rsidRDefault="00E96DD0" w:rsidP="00E96DD0">
      <w:r w:rsidRPr="00ED2B1F">
        <w:t xml:space="preserve">A total of </w:t>
      </w:r>
      <w:r w:rsidR="00C300B2" w:rsidRPr="00ED2B1F">
        <w:t xml:space="preserve">374 </w:t>
      </w:r>
      <w:r w:rsidRPr="00ED2B1F">
        <w:t xml:space="preserve">people receiving OST exited the service in </w:t>
      </w:r>
      <w:r w:rsidR="00211D17" w:rsidRPr="00ED2B1F">
        <w:t>2023/24</w:t>
      </w:r>
      <w:r w:rsidRPr="00ED2B1F">
        <w:t>. The following summarises the OST exit data for this group.</w:t>
      </w:r>
    </w:p>
    <w:p w14:paraId="46F84958" w14:textId="383EE534" w:rsidR="00E96DD0" w:rsidRPr="00ED2B1F" w:rsidRDefault="00E96DD0" w:rsidP="00E96DD0">
      <w:pPr>
        <w:pStyle w:val="Bullet"/>
      </w:pPr>
      <w:r w:rsidRPr="00ED2B1F">
        <w:t xml:space="preserve">Of those who exited OST, </w:t>
      </w:r>
      <w:r w:rsidR="00225F65" w:rsidRPr="00ED2B1F">
        <w:t xml:space="preserve">272 </w:t>
      </w:r>
      <w:r w:rsidRPr="00ED2B1F">
        <w:t>(</w:t>
      </w:r>
      <w:r w:rsidR="00225F65" w:rsidRPr="00ED2B1F">
        <w:t>73</w:t>
      </w:r>
      <w:r w:rsidRPr="00ED2B1F">
        <w:t>%) voluntarily withdrew.</w:t>
      </w:r>
    </w:p>
    <w:p w14:paraId="3E22A270" w14:textId="3936F4A5" w:rsidR="00E96DD0" w:rsidRPr="00ED2B1F" w:rsidRDefault="00E96DD0" w:rsidP="00E96DD0">
      <w:pPr>
        <w:pStyle w:val="Bullet"/>
      </w:pPr>
      <w:r w:rsidRPr="00ED2B1F">
        <w:t xml:space="preserve">There were </w:t>
      </w:r>
      <w:r w:rsidR="00510ED9" w:rsidRPr="00ED2B1F">
        <w:t xml:space="preserve">10 </w:t>
      </w:r>
      <w:r w:rsidRPr="00ED2B1F">
        <w:t>involuntary withdrawals (</w:t>
      </w:r>
      <w:r w:rsidR="00225F65" w:rsidRPr="00ED2B1F">
        <w:t>3</w:t>
      </w:r>
      <w:r w:rsidRPr="00ED2B1F">
        <w:t>% of all exits). Involuntary withdrawals can occur where a client’s behaviour puts their own safety or the safety of others at risk.</w:t>
      </w:r>
    </w:p>
    <w:p w14:paraId="51BE8AFD" w14:textId="0C5430BE" w:rsidR="00E96DD0" w:rsidRPr="00ED2B1F" w:rsidRDefault="00E96DD0" w:rsidP="00E96DD0">
      <w:pPr>
        <w:pStyle w:val="Bullet"/>
      </w:pPr>
      <w:r w:rsidRPr="00ED2B1F">
        <w:t>Of the people who had been receiving OST</w:t>
      </w:r>
      <w:r w:rsidR="00F31E37" w:rsidRPr="00ED2B1F">
        <w:t>, 92 passed away.</w:t>
      </w:r>
      <w:r w:rsidRPr="00ED2B1F">
        <w:t xml:space="preserve"> A small proportion of these people died of a suspected overdose. In these cases, the Ministry requires services to conduct an incident review and report it to the medical officer of health. The remaining deaths had a range of other causes, such as cancer </w:t>
      </w:r>
      <w:r w:rsidR="00510ED9" w:rsidRPr="00ED2B1F">
        <w:t xml:space="preserve">or </w:t>
      </w:r>
      <w:r w:rsidRPr="00ED2B1F">
        <w:t>cardiovascular disease.</w:t>
      </w:r>
    </w:p>
    <w:p w14:paraId="15E6DFC2" w14:textId="77777777" w:rsidR="00E96DD0" w:rsidRPr="00ED2B1F" w:rsidRDefault="00E96DD0" w:rsidP="00E96DD0"/>
    <w:p w14:paraId="5522D2C4" w14:textId="6BF30845" w:rsidR="00E96DD0" w:rsidRPr="00ED2B1F" w:rsidRDefault="00E96DD0" w:rsidP="00E96DD0">
      <w:r w:rsidRPr="00ED2B1F">
        <w:fldChar w:fldCharType="begin"/>
      </w:r>
      <w:r w:rsidRPr="00ED2B1F">
        <w:instrText xml:space="preserve"> REF _Ref65672943 \h </w:instrText>
      </w:r>
      <w:r w:rsidRPr="00ED2B1F">
        <w:fldChar w:fldCharType="separate"/>
      </w:r>
      <w:r w:rsidR="00484E57" w:rsidRPr="00ED2B1F">
        <w:t>Figure </w:t>
      </w:r>
      <w:r w:rsidR="00484E57">
        <w:rPr>
          <w:noProof/>
        </w:rPr>
        <w:t>45</w:t>
      </w:r>
      <w:r w:rsidRPr="00ED2B1F">
        <w:fldChar w:fldCharType="end"/>
      </w:r>
      <w:r w:rsidRPr="00ED2B1F">
        <w:t xml:space="preserve"> gives an overview of the reasons for exit from treatment (voluntary, involuntary or death) from 2</w:t>
      </w:r>
      <w:r w:rsidR="000F5627" w:rsidRPr="00ED2B1F">
        <w:t>009/10</w:t>
      </w:r>
      <w:r w:rsidRPr="00ED2B1F">
        <w:t xml:space="preserve"> to </w:t>
      </w:r>
      <w:r w:rsidR="00211D17" w:rsidRPr="00ED2B1F">
        <w:t>2023/24</w:t>
      </w:r>
      <w:r w:rsidRPr="00ED2B1F">
        <w:t>.</w:t>
      </w:r>
    </w:p>
    <w:p w14:paraId="2735FEAC" w14:textId="77777777" w:rsidR="00B36513" w:rsidRPr="00ED2B1F" w:rsidRDefault="00B36513" w:rsidP="00E96DD0">
      <w:pPr>
        <w:sectPr w:rsidR="00B36513" w:rsidRPr="00ED2B1F" w:rsidSect="00753A1F">
          <w:pgSz w:w="11907" w:h="16834" w:code="9"/>
          <w:pgMar w:top="1418" w:right="1701" w:bottom="1134" w:left="1843" w:header="284" w:footer="425" w:gutter="284"/>
          <w:cols w:space="720"/>
        </w:sectPr>
      </w:pPr>
    </w:p>
    <w:p w14:paraId="2CE7458E" w14:textId="225DA20B" w:rsidR="00B36513" w:rsidRPr="00ED2B1F" w:rsidRDefault="00B36513" w:rsidP="00C103C7">
      <w:pPr>
        <w:pStyle w:val="Figure"/>
      </w:pPr>
      <w:bookmarkStart w:id="643" w:name="_Ref65672943"/>
      <w:bookmarkStart w:id="644" w:name="_Toc63764803"/>
      <w:bookmarkStart w:id="645" w:name="_Toc75176508"/>
      <w:bookmarkStart w:id="646" w:name="_Toc85442601"/>
      <w:bookmarkStart w:id="647" w:name="_Toc85445957"/>
      <w:bookmarkStart w:id="648" w:name="_Toc87429995"/>
      <w:bookmarkStart w:id="649" w:name="_Toc88561427"/>
      <w:bookmarkStart w:id="650" w:name="_Toc115188889"/>
      <w:bookmarkStart w:id="651" w:name="_Toc142314731"/>
      <w:bookmarkStart w:id="652" w:name="_Toc145394313"/>
      <w:bookmarkStart w:id="653" w:name="_Toc189053988"/>
      <w:bookmarkStart w:id="654" w:name="_Toc224638217"/>
      <w:r w:rsidRPr="00ED2B1F">
        <w:lastRenderedPageBreak/>
        <w:t>Figure </w:t>
      </w:r>
      <w:r w:rsidRPr="00ED2B1F">
        <w:fldChar w:fldCharType="begin"/>
      </w:r>
      <w:r w:rsidRPr="00ED2B1F">
        <w:instrText>SEQ Figure \* ARABIC</w:instrText>
      </w:r>
      <w:r w:rsidRPr="00ED2B1F">
        <w:fldChar w:fldCharType="separate"/>
      </w:r>
      <w:r w:rsidR="00484E57">
        <w:rPr>
          <w:noProof/>
        </w:rPr>
        <w:t>45</w:t>
      </w:r>
      <w:r w:rsidRPr="00ED2B1F">
        <w:fldChar w:fldCharType="end"/>
      </w:r>
      <w:bookmarkEnd w:id="643"/>
      <w:r w:rsidRPr="00ED2B1F">
        <w:t xml:space="preserve">: Percentage of exits from opioid substitution treatment programmes, by reason (voluntary, involuntary or death), </w:t>
      </w:r>
      <w:bookmarkEnd w:id="644"/>
      <w:bookmarkEnd w:id="645"/>
      <w:bookmarkEnd w:id="646"/>
      <w:bookmarkEnd w:id="647"/>
      <w:bookmarkEnd w:id="648"/>
      <w:bookmarkEnd w:id="649"/>
      <w:bookmarkEnd w:id="650"/>
      <w:r w:rsidRPr="00ED2B1F">
        <w:t>200</w:t>
      </w:r>
      <w:r w:rsidR="00510ED9" w:rsidRPr="00ED2B1F">
        <w:t>9</w:t>
      </w:r>
      <w:r w:rsidRPr="00ED2B1F">
        <w:t>/</w:t>
      </w:r>
      <w:r w:rsidR="00510ED9" w:rsidRPr="00ED2B1F">
        <w:t>1</w:t>
      </w:r>
      <w:r w:rsidRPr="00ED2B1F">
        <w:t xml:space="preserve">0 to </w:t>
      </w:r>
      <w:bookmarkEnd w:id="651"/>
      <w:bookmarkEnd w:id="652"/>
      <w:bookmarkEnd w:id="653"/>
      <w:r w:rsidR="00211D17" w:rsidRPr="00ED2B1F">
        <w:t>2023/24</w:t>
      </w:r>
      <w:bookmarkEnd w:id="654"/>
    </w:p>
    <w:p w14:paraId="6D1DD77E" w14:textId="4B021C65" w:rsidR="00B36513" w:rsidRPr="00ED2B1F" w:rsidRDefault="0062401C" w:rsidP="00D57441">
      <w:r>
        <w:rPr>
          <w:noProof/>
        </w:rPr>
        <w:drawing>
          <wp:inline distT="0" distB="0" distL="0" distR="0" wp14:anchorId="0C90D242" wp14:editId="4CB0FC4B">
            <wp:extent cx="5066030" cy="3298190"/>
            <wp:effectExtent l="0" t="0" r="1270" b="0"/>
            <wp:docPr id="124838199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81997" name="Picture 46">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66030" cy="3298190"/>
                    </a:xfrm>
                    <a:prstGeom prst="rect">
                      <a:avLst/>
                    </a:prstGeom>
                    <a:noFill/>
                  </pic:spPr>
                </pic:pic>
              </a:graphicData>
            </a:graphic>
          </wp:inline>
        </w:drawing>
      </w:r>
    </w:p>
    <w:p w14:paraId="41BFAE4F" w14:textId="77777777" w:rsidR="00B36513" w:rsidRPr="00ED2B1F" w:rsidRDefault="00B36513" w:rsidP="00B36513">
      <w:pPr>
        <w:pStyle w:val="Source"/>
        <w:rPr>
          <w:rFonts w:cs="Segoe UI"/>
        </w:rPr>
      </w:pPr>
      <w:bookmarkStart w:id="655" w:name="_Hlk214612990"/>
      <w:r w:rsidRPr="00ED2B1F">
        <w:t>Source: Data provided by OST services in six-monthly reports.</w:t>
      </w:r>
      <w:bookmarkEnd w:id="655"/>
    </w:p>
    <w:p w14:paraId="685D43BC" w14:textId="77777777" w:rsidR="00D33A29" w:rsidRPr="00ED2B1F" w:rsidRDefault="00D33A29">
      <w:pPr>
        <w:rPr>
          <w:b/>
          <w:color w:val="1B83A0"/>
          <w:spacing w:val="-5"/>
          <w:sz w:val="48"/>
        </w:rPr>
      </w:pPr>
      <w:bookmarkStart w:id="656" w:name="_Toc145394261"/>
      <w:bookmarkStart w:id="657" w:name="_Toc189053935"/>
      <w:r w:rsidRPr="00ED2B1F">
        <w:br w:type="page"/>
      </w:r>
    </w:p>
    <w:p w14:paraId="64B24183" w14:textId="12E812D4" w:rsidR="00B36513" w:rsidRPr="00ED2B1F" w:rsidRDefault="00B36513" w:rsidP="007A34A3">
      <w:pPr>
        <w:pStyle w:val="Heading2"/>
      </w:pPr>
      <w:bookmarkStart w:id="658" w:name="_Toc224638117"/>
      <w:r w:rsidRPr="00ED2B1F">
        <w:lastRenderedPageBreak/>
        <w:t>Drug</w:t>
      </w:r>
      <w:r w:rsidR="00073E13" w:rsidRPr="00ED2B1F">
        <w:t>-</w:t>
      </w:r>
      <w:r w:rsidRPr="00ED2B1F">
        <w:t>checking licensing scheme</w:t>
      </w:r>
      <w:bookmarkEnd w:id="656"/>
      <w:bookmarkEnd w:id="657"/>
      <w:bookmarkEnd w:id="658"/>
    </w:p>
    <w:p w14:paraId="215B35B7" w14:textId="10E97BAF" w:rsidR="00207B86" w:rsidRPr="00ED2B1F" w:rsidRDefault="00B36513" w:rsidP="00B36513">
      <w:pPr>
        <w:rPr>
          <w:rFonts w:eastAsiaTheme="majorEastAsia"/>
        </w:rPr>
      </w:pPr>
      <w:r w:rsidRPr="00ED2B1F">
        <w:rPr>
          <w:rFonts w:eastAsiaTheme="majorEastAsia"/>
        </w:rPr>
        <w:t xml:space="preserve">Drug checking was legalised in New Zealand through amendments made to the Misuse of Drugs Act 1975 in November 2021. Drug checking is regulated under the Misuse of Drugs Act 1975, Psychoactive Substances Act 2013 and Medicines Act 1981, along with the relevant regulations under those Acts. </w:t>
      </w:r>
    </w:p>
    <w:p w14:paraId="67D4AC7F" w14:textId="77777777" w:rsidR="00207B86" w:rsidRPr="00ED2B1F" w:rsidRDefault="00207B86" w:rsidP="00B36513">
      <w:pPr>
        <w:rPr>
          <w:rFonts w:eastAsiaTheme="majorEastAsia"/>
        </w:rPr>
      </w:pPr>
    </w:p>
    <w:p w14:paraId="25881D9A" w14:textId="58A2D6C4" w:rsidR="00B36513" w:rsidRPr="00ED2B1F" w:rsidRDefault="00207B86" w:rsidP="00B36513">
      <w:r w:rsidRPr="00ED2B1F">
        <w:rPr>
          <w:rFonts w:eastAsiaTheme="majorEastAsia"/>
        </w:rPr>
        <w:t>New Zealand was the first country globally to legislate a fully legal</w:t>
      </w:r>
      <w:r w:rsidR="00CA7105" w:rsidRPr="00ED2B1F">
        <w:rPr>
          <w:rFonts w:eastAsiaTheme="majorEastAsia"/>
        </w:rPr>
        <w:t>,</w:t>
      </w:r>
      <w:r w:rsidRPr="00ED2B1F">
        <w:rPr>
          <w:rFonts w:eastAsiaTheme="majorEastAsia"/>
        </w:rPr>
        <w:t xml:space="preserve"> licensed drug</w:t>
      </w:r>
      <w:r w:rsidR="003E43B3" w:rsidRPr="00ED2B1F">
        <w:rPr>
          <w:rFonts w:eastAsiaTheme="majorEastAsia"/>
        </w:rPr>
        <w:t>-</w:t>
      </w:r>
      <w:r w:rsidRPr="00ED2B1F">
        <w:rPr>
          <w:rFonts w:eastAsiaTheme="majorEastAsia"/>
        </w:rPr>
        <w:t xml:space="preserve">checking scheme. </w:t>
      </w:r>
      <w:r w:rsidR="003E43B3" w:rsidRPr="00ED2B1F">
        <w:rPr>
          <w:rFonts w:eastAsiaTheme="majorEastAsia"/>
        </w:rPr>
        <w:t>A</w:t>
      </w:r>
      <w:r w:rsidRPr="00ED2B1F">
        <w:rPr>
          <w:rFonts w:eastAsiaTheme="majorEastAsia"/>
        </w:rPr>
        <w:t>t least 27 other countries operate some type of drug</w:t>
      </w:r>
      <w:r w:rsidR="003E43B3" w:rsidRPr="00ED2B1F">
        <w:rPr>
          <w:rFonts w:eastAsiaTheme="majorEastAsia"/>
        </w:rPr>
        <w:t>-</w:t>
      </w:r>
      <w:r w:rsidRPr="00ED2B1F">
        <w:rPr>
          <w:rFonts w:eastAsiaTheme="majorEastAsia"/>
        </w:rPr>
        <w:t xml:space="preserve">checking service scheme, either within legislation or in a legislative ‘grey area’ where the scheme is not fully legalised or legislated for. </w:t>
      </w:r>
    </w:p>
    <w:p w14:paraId="71E45CB5" w14:textId="77777777" w:rsidR="00B36513" w:rsidRPr="00ED2B1F" w:rsidRDefault="00B36513" w:rsidP="00B36513"/>
    <w:p w14:paraId="52114E09" w14:textId="19778D9C" w:rsidR="002D0353" w:rsidRPr="00ED2B1F" w:rsidRDefault="002D0353" w:rsidP="00B36513">
      <w:r w:rsidRPr="00ED2B1F">
        <w:t>Drug</w:t>
      </w:r>
      <w:r w:rsidR="003E43B3" w:rsidRPr="00ED2B1F">
        <w:t>-</w:t>
      </w:r>
      <w:r w:rsidRPr="00ED2B1F">
        <w:t xml:space="preserve">checking services aim to reduce drug harm and risk by helping people make informed decisions about drug use. </w:t>
      </w:r>
      <w:r w:rsidR="00F86A80" w:rsidRPr="00ED2B1F">
        <w:t xml:space="preserve">They </w:t>
      </w:r>
      <w:r w:rsidRPr="00ED2B1F">
        <w:t>do not promote illicit drug use or claim that illicit drug use is safe. Licensed drug</w:t>
      </w:r>
      <w:r w:rsidR="00F86A80" w:rsidRPr="00ED2B1F">
        <w:t>-</w:t>
      </w:r>
      <w:r w:rsidRPr="00ED2B1F">
        <w:t>checking providers conduct scientific tests on unknown substances (which may be illicit drugs)</w:t>
      </w:r>
      <w:r w:rsidR="00F86A80" w:rsidRPr="00ED2B1F">
        <w:t xml:space="preserve"> and interpret results</w:t>
      </w:r>
      <w:r w:rsidRPr="00ED2B1F">
        <w:t xml:space="preserve"> to </w:t>
      </w:r>
      <w:r w:rsidR="00F86A80" w:rsidRPr="00ED2B1F">
        <w:t xml:space="preserve">establish </w:t>
      </w:r>
      <w:r w:rsidRPr="00ED2B1F">
        <w:t xml:space="preserve">their likely identity and composition. </w:t>
      </w:r>
      <w:r w:rsidR="00F86A80" w:rsidRPr="00ED2B1F">
        <w:t xml:space="preserve">The </w:t>
      </w:r>
      <w:r w:rsidRPr="00ED2B1F">
        <w:t>providers then</w:t>
      </w:r>
      <w:r w:rsidRPr="00ED2B1F" w:rsidDel="00F86A80">
        <w:t xml:space="preserve"> </w:t>
      </w:r>
      <w:r w:rsidR="00F86A80" w:rsidRPr="00ED2B1F">
        <w:t xml:space="preserve">give </w:t>
      </w:r>
      <w:r w:rsidRPr="00ED2B1F">
        <w:t>mandatory harm reduction information to any person who provides a sample.</w:t>
      </w:r>
    </w:p>
    <w:p w14:paraId="72B81631" w14:textId="77777777" w:rsidR="00D6145A" w:rsidRPr="00ED2B1F" w:rsidRDefault="00D6145A" w:rsidP="00B36513"/>
    <w:p w14:paraId="783A84B5" w14:textId="5FBE4195" w:rsidR="00B1071B" w:rsidRPr="00ED2B1F" w:rsidRDefault="00D6145A" w:rsidP="00D6145A">
      <w:pPr>
        <w:rPr>
          <w:rFonts w:cs="Segoe UI"/>
          <w:color w:val="000000"/>
        </w:rPr>
      </w:pPr>
      <w:r w:rsidRPr="00ED2B1F">
        <w:rPr>
          <w:rFonts w:cs="Segoe UI"/>
          <w:color w:val="000000"/>
        </w:rPr>
        <w:t xml:space="preserve">In the 2023/24 </w:t>
      </w:r>
      <w:r w:rsidR="00CA7105" w:rsidRPr="00ED2B1F">
        <w:rPr>
          <w:rFonts w:cs="Segoe UI"/>
          <w:color w:val="000000"/>
        </w:rPr>
        <w:t>financial year</w:t>
      </w:r>
      <w:r w:rsidRPr="00ED2B1F">
        <w:rPr>
          <w:rFonts w:cs="Segoe UI"/>
          <w:color w:val="000000"/>
        </w:rPr>
        <w:t>, four existing entities retained their drug</w:t>
      </w:r>
      <w:r w:rsidR="00F86A80" w:rsidRPr="00ED2B1F">
        <w:rPr>
          <w:rFonts w:cs="Segoe UI"/>
          <w:color w:val="000000"/>
        </w:rPr>
        <w:t>-</w:t>
      </w:r>
      <w:r w:rsidRPr="00ED2B1F">
        <w:rPr>
          <w:rFonts w:cs="Segoe UI"/>
          <w:color w:val="000000"/>
        </w:rPr>
        <w:t xml:space="preserve">checking licences. The fifth existing provider surrendered </w:t>
      </w:r>
      <w:r w:rsidR="00F86A80" w:rsidRPr="00ED2B1F">
        <w:rPr>
          <w:rFonts w:cs="Segoe UI"/>
          <w:color w:val="000000"/>
        </w:rPr>
        <w:t xml:space="preserve">its </w:t>
      </w:r>
      <w:r w:rsidRPr="00ED2B1F">
        <w:rPr>
          <w:rFonts w:cs="Segoe UI"/>
          <w:color w:val="000000"/>
        </w:rPr>
        <w:t xml:space="preserve">licence on 1 December 2023, </w:t>
      </w:r>
      <w:r w:rsidR="00F86A80" w:rsidRPr="00ED2B1F">
        <w:rPr>
          <w:rFonts w:cs="Segoe UI"/>
          <w:color w:val="000000"/>
        </w:rPr>
        <w:t>because it was</w:t>
      </w:r>
      <w:r w:rsidRPr="00ED2B1F">
        <w:rPr>
          <w:rFonts w:cs="Segoe UI"/>
          <w:color w:val="000000"/>
        </w:rPr>
        <w:t xml:space="preserve"> disestablish</w:t>
      </w:r>
      <w:r w:rsidR="00F86A80" w:rsidRPr="00ED2B1F">
        <w:rPr>
          <w:rFonts w:cs="Segoe UI"/>
          <w:color w:val="000000"/>
        </w:rPr>
        <w:t>ed</w:t>
      </w:r>
      <w:r w:rsidRPr="00ED2B1F">
        <w:rPr>
          <w:rFonts w:cs="Segoe UI"/>
          <w:color w:val="000000"/>
        </w:rPr>
        <w:t>. A new provider was granted approval from 9 October 2023. Due to the date of licensing,</w:t>
      </w:r>
      <w:r w:rsidR="00F86A80" w:rsidRPr="00ED2B1F">
        <w:rPr>
          <w:rFonts w:cs="Segoe UI"/>
          <w:color w:val="000000"/>
        </w:rPr>
        <w:t xml:space="preserve"> no</w:t>
      </w:r>
      <w:r w:rsidRPr="00ED2B1F">
        <w:rPr>
          <w:rFonts w:cs="Segoe UI"/>
          <w:color w:val="000000"/>
        </w:rPr>
        <w:t xml:space="preserve"> data</w:t>
      </w:r>
      <w:r w:rsidR="00F86A80" w:rsidRPr="00ED2B1F">
        <w:rPr>
          <w:rFonts w:cs="Segoe UI"/>
          <w:color w:val="000000"/>
        </w:rPr>
        <w:t xml:space="preserve"> for this provider</w:t>
      </w:r>
      <w:r w:rsidRPr="00ED2B1F" w:rsidDel="00F86A80">
        <w:rPr>
          <w:rFonts w:cs="Segoe UI"/>
          <w:color w:val="000000"/>
        </w:rPr>
        <w:t xml:space="preserve"> </w:t>
      </w:r>
      <w:r w:rsidRPr="00ED2B1F">
        <w:rPr>
          <w:rFonts w:cs="Segoe UI"/>
          <w:color w:val="000000"/>
        </w:rPr>
        <w:t>exist</w:t>
      </w:r>
      <w:r w:rsidR="00F86A80" w:rsidRPr="00ED2B1F">
        <w:rPr>
          <w:rFonts w:cs="Segoe UI"/>
          <w:color w:val="000000"/>
        </w:rPr>
        <w:t>s</w:t>
      </w:r>
      <w:r w:rsidRPr="00ED2B1F">
        <w:rPr>
          <w:rFonts w:cs="Segoe UI"/>
          <w:color w:val="000000"/>
        </w:rPr>
        <w:t xml:space="preserve"> for the July</w:t>
      </w:r>
      <w:r w:rsidR="00F86A80" w:rsidRPr="00ED2B1F">
        <w:rPr>
          <w:rFonts w:cs="Segoe UI"/>
          <w:color w:val="000000"/>
        </w:rPr>
        <w:t>–</w:t>
      </w:r>
      <w:r w:rsidRPr="00ED2B1F">
        <w:rPr>
          <w:rFonts w:cs="Segoe UI"/>
          <w:color w:val="000000"/>
        </w:rPr>
        <w:t xml:space="preserve">September 2023 quarter. </w:t>
      </w:r>
    </w:p>
    <w:p w14:paraId="4AC829F9" w14:textId="77777777" w:rsidR="00B55BB2" w:rsidRPr="00ED2B1F" w:rsidRDefault="00B55BB2" w:rsidP="00D6145A">
      <w:pPr>
        <w:rPr>
          <w:rFonts w:cs="Segoe UI"/>
          <w:color w:val="000000"/>
        </w:rPr>
      </w:pPr>
    </w:p>
    <w:p w14:paraId="36480D6F" w14:textId="2ADAC3AB" w:rsidR="00D6145A" w:rsidRPr="00ED2B1F" w:rsidRDefault="00D6145A" w:rsidP="00D6145A">
      <w:pPr>
        <w:rPr>
          <w:rFonts w:cs="Segoe UI"/>
          <w:color w:val="000000"/>
        </w:rPr>
      </w:pPr>
      <w:r w:rsidRPr="00ED2B1F">
        <w:rPr>
          <w:rFonts w:cs="Segoe UI"/>
          <w:color w:val="000000"/>
        </w:rPr>
        <w:t>The licensed providers for 2023/24 are:</w:t>
      </w:r>
    </w:p>
    <w:p w14:paraId="05382BE0" w14:textId="77777777" w:rsidR="00D6145A" w:rsidRPr="00ED2B1F" w:rsidRDefault="00D6145A" w:rsidP="00B1071B">
      <w:pPr>
        <w:pStyle w:val="Bullet"/>
        <w:tabs>
          <w:tab w:val="clear" w:pos="284"/>
        </w:tabs>
      </w:pPr>
      <w:r w:rsidRPr="00ED2B1F">
        <w:t>KnowYourStuffNZ, licensed on 10 October 2022</w:t>
      </w:r>
    </w:p>
    <w:p w14:paraId="56F7EDF7" w14:textId="2591371D" w:rsidR="00D6145A" w:rsidRPr="00ED2B1F" w:rsidRDefault="00D6145A" w:rsidP="00B1071B">
      <w:pPr>
        <w:pStyle w:val="Bullet"/>
        <w:tabs>
          <w:tab w:val="clear" w:pos="284"/>
        </w:tabs>
      </w:pPr>
      <w:r w:rsidRPr="00ED2B1F">
        <w:t>New Zealand Institute for Public Health and Forensic Science (PHF Science, formerly ESR), licen</w:t>
      </w:r>
      <w:r w:rsidR="00073E13" w:rsidRPr="00ED2B1F">
        <w:t>s</w:t>
      </w:r>
      <w:r w:rsidRPr="00ED2B1F">
        <w:t>ed on 17 October 2022</w:t>
      </w:r>
    </w:p>
    <w:p w14:paraId="0071026A" w14:textId="77777777" w:rsidR="00D6145A" w:rsidRPr="00ED2B1F" w:rsidRDefault="00D6145A" w:rsidP="00B1071B">
      <w:pPr>
        <w:pStyle w:val="Bullet"/>
        <w:tabs>
          <w:tab w:val="clear" w:pos="284"/>
        </w:tabs>
      </w:pPr>
      <w:r w:rsidRPr="00ED2B1F">
        <w:t>NZ Drug Foundation, licensed on 31 October 2022</w:t>
      </w:r>
    </w:p>
    <w:p w14:paraId="0A763C48" w14:textId="77777777" w:rsidR="00D6145A" w:rsidRPr="00ED2B1F" w:rsidRDefault="00D6145A" w:rsidP="00B1071B">
      <w:pPr>
        <w:pStyle w:val="Bullet"/>
        <w:tabs>
          <w:tab w:val="clear" w:pos="284"/>
        </w:tabs>
      </w:pPr>
      <w:r w:rsidRPr="00ED2B1F">
        <w:t>Needle Exchange Services Trust, licensed on 5 December 2022 and surrendered on 1 December 2023</w:t>
      </w:r>
    </w:p>
    <w:p w14:paraId="74F34A3B" w14:textId="4EFC0BA8" w:rsidR="00D6145A" w:rsidRPr="00ED2B1F" w:rsidRDefault="004D3F48" w:rsidP="00B1071B">
      <w:pPr>
        <w:pStyle w:val="Bullet"/>
        <w:tabs>
          <w:tab w:val="clear" w:pos="284"/>
        </w:tabs>
      </w:pPr>
      <w:r w:rsidRPr="00ED2B1F">
        <w:t>t</w:t>
      </w:r>
      <w:r w:rsidR="00D6145A" w:rsidRPr="00ED2B1F">
        <w:t>he University of Auckland, School of Pharmacy, licensed on 15 May 2023</w:t>
      </w:r>
    </w:p>
    <w:p w14:paraId="3473A7FE" w14:textId="3A38DB21" w:rsidR="00D6145A" w:rsidRPr="00ED2B1F" w:rsidRDefault="00D6145A" w:rsidP="00B1071B">
      <w:pPr>
        <w:pStyle w:val="Bullet"/>
        <w:tabs>
          <w:tab w:val="clear" w:pos="284"/>
        </w:tabs>
      </w:pPr>
      <w:r w:rsidRPr="00ED2B1F">
        <w:t>Drug Injecting Services Canterbury, licensed on 9 October 2023</w:t>
      </w:r>
      <w:r w:rsidR="00F86A80" w:rsidRPr="00ED2B1F">
        <w:t>.</w:t>
      </w:r>
    </w:p>
    <w:p w14:paraId="1B0A0FD2" w14:textId="77777777" w:rsidR="00D6145A" w:rsidRPr="00ED2B1F" w:rsidRDefault="00D6145A" w:rsidP="00B36513"/>
    <w:p w14:paraId="600F1213" w14:textId="365807BF" w:rsidR="00727721" w:rsidRPr="00ED2B1F" w:rsidRDefault="00A513FB" w:rsidP="00A513FB">
      <w:r w:rsidRPr="00ED2B1F">
        <w:t>Drug</w:t>
      </w:r>
      <w:r w:rsidR="00073E13" w:rsidRPr="00ED2B1F">
        <w:t>-</w:t>
      </w:r>
      <w:r w:rsidRPr="00ED2B1F">
        <w:t xml:space="preserve">checking test results provide critical information to the National Drug Intelligence Bureau, which is a joint operation between the Ministry of Health, Health New Zealand, Customs, and Police. This system alerts health professionals and the public to especially dangerous drugs circulating in New Zealand. </w:t>
      </w:r>
    </w:p>
    <w:p w14:paraId="55FBAEA5" w14:textId="77777777" w:rsidR="00727721" w:rsidRPr="00ED2B1F" w:rsidRDefault="00727721" w:rsidP="00A513FB"/>
    <w:p w14:paraId="048F5F68" w14:textId="6C22E18D" w:rsidR="00A513FB" w:rsidRPr="00ED2B1F" w:rsidRDefault="00A513FB" w:rsidP="00A513FB">
      <w:r w:rsidRPr="00ED2B1F">
        <w:t>The National Drug Intelligence Bureau works closely with licensed drug</w:t>
      </w:r>
      <w:r w:rsidR="00073E13" w:rsidRPr="00ED2B1F">
        <w:t>-</w:t>
      </w:r>
      <w:r w:rsidRPr="00ED2B1F">
        <w:t xml:space="preserve">checking providers to share information and provide harm reduction messaging to the public through their early warning system, </w:t>
      </w:r>
      <w:hyperlink r:id="rId83" w:history="1">
        <w:r w:rsidRPr="00ED2B1F">
          <w:rPr>
            <w:rStyle w:val="Hyperlink"/>
          </w:rPr>
          <w:t>High Alert</w:t>
        </w:r>
      </w:hyperlink>
      <w:r w:rsidRPr="00ED2B1F">
        <w:t xml:space="preserve">. </w:t>
      </w:r>
      <w:r w:rsidR="00073E13" w:rsidRPr="00ED2B1F">
        <w:t>Data from l</w:t>
      </w:r>
      <w:r w:rsidRPr="00ED2B1F">
        <w:t>icensed drug</w:t>
      </w:r>
      <w:r w:rsidR="00073E13" w:rsidRPr="00ED2B1F">
        <w:t>-</w:t>
      </w:r>
      <w:r w:rsidRPr="00ED2B1F">
        <w:t>checking services directly feed</w:t>
      </w:r>
      <w:r w:rsidR="00073E13" w:rsidRPr="00ED2B1F">
        <w:t>s</w:t>
      </w:r>
      <w:r w:rsidRPr="00ED2B1F">
        <w:t xml:space="preserve"> into this early warning system</w:t>
      </w:r>
      <w:r w:rsidR="00073E13" w:rsidRPr="00ED2B1F">
        <w:t>.</w:t>
      </w:r>
      <w:r w:rsidRPr="00ED2B1F">
        <w:t xml:space="preserve"> </w:t>
      </w:r>
      <w:r w:rsidR="00073E13" w:rsidRPr="00ED2B1F">
        <w:t>D</w:t>
      </w:r>
      <w:r w:rsidRPr="00ED2B1F">
        <w:t>rug</w:t>
      </w:r>
      <w:r w:rsidR="00073E13" w:rsidRPr="00ED2B1F">
        <w:t>-</w:t>
      </w:r>
      <w:r w:rsidRPr="00ED2B1F">
        <w:t>checking services play</w:t>
      </w:r>
      <w:r w:rsidR="00073E13" w:rsidRPr="00ED2B1F">
        <w:t>ed</w:t>
      </w:r>
      <w:r w:rsidRPr="00ED2B1F">
        <w:t xml:space="preserve"> a direct role in 77.7% (seven of nine) of the High Alert notifications released during 2023/24.</w:t>
      </w:r>
    </w:p>
    <w:p w14:paraId="132743E4" w14:textId="77777777" w:rsidR="00B36513" w:rsidRPr="00ED2B1F" w:rsidRDefault="00B36513" w:rsidP="00B36513"/>
    <w:p w14:paraId="77B6FBD3" w14:textId="7370DCA6" w:rsidR="006E0A3D" w:rsidRPr="00ED2B1F" w:rsidRDefault="006E0A3D" w:rsidP="006E0A3D">
      <w:r w:rsidRPr="00ED2B1F">
        <w:lastRenderedPageBreak/>
        <w:t>The Ministry of Health receives quarterly reporting from all licensed drug</w:t>
      </w:r>
      <w:r w:rsidR="00073E13" w:rsidRPr="00ED2B1F">
        <w:t>-</w:t>
      </w:r>
      <w:r w:rsidRPr="00ED2B1F">
        <w:t>checking providers. A total of 453 drug</w:t>
      </w:r>
      <w:r w:rsidR="00073E13" w:rsidRPr="00ED2B1F">
        <w:t>-</w:t>
      </w:r>
      <w:r w:rsidRPr="00ED2B1F">
        <w:t>checking events and clinics were held during 2023/24, which includes festivals</w:t>
      </w:r>
      <w:r w:rsidR="00073E13" w:rsidRPr="00ED2B1F">
        <w:t xml:space="preserve"> and other </w:t>
      </w:r>
      <w:r w:rsidRPr="00ED2B1F">
        <w:t>events, static clinics, pop-up clinics, mobile clinics and continuous services. At these drug</w:t>
      </w:r>
      <w:r w:rsidR="00073E13" w:rsidRPr="00ED2B1F">
        <w:t>-</w:t>
      </w:r>
      <w:r w:rsidRPr="00ED2B1F">
        <w:t>checking events</w:t>
      </w:r>
      <w:r w:rsidR="00073E13" w:rsidRPr="00ED2B1F">
        <w:t xml:space="preserve"> and </w:t>
      </w:r>
      <w:r w:rsidRPr="00ED2B1F">
        <w:t>clinics, 9</w:t>
      </w:r>
      <w:r w:rsidR="00734577" w:rsidRPr="00ED2B1F">
        <w:t>,</w:t>
      </w:r>
      <w:r w:rsidRPr="00ED2B1F">
        <w:t>458 samples were presented for drug</w:t>
      </w:r>
      <w:r w:rsidR="00335D72">
        <w:t>-</w:t>
      </w:r>
      <w:r w:rsidRPr="00ED2B1F">
        <w:t xml:space="preserve">checking. </w:t>
      </w:r>
    </w:p>
    <w:p w14:paraId="41E7CD1B" w14:textId="77777777" w:rsidR="006E0A3D" w:rsidRPr="00ED2B1F" w:rsidRDefault="006E0A3D" w:rsidP="006E0A3D"/>
    <w:p w14:paraId="3972A1D5" w14:textId="41BDE21C" w:rsidR="00854012" w:rsidRPr="00ED2B1F" w:rsidRDefault="006E0A3D" w:rsidP="00B36513">
      <w:r w:rsidRPr="00ED2B1F">
        <w:t>Drug</w:t>
      </w:r>
      <w:r w:rsidR="00073E13" w:rsidRPr="00ED2B1F">
        <w:t>-</w:t>
      </w:r>
      <w:r w:rsidRPr="00ED2B1F">
        <w:t xml:space="preserve">checking service providers must also provide harm reduction advice to anyone who receives test results for a particular drug. This must be specific to the person, their circumstances and the drug identified. In 2023/24, 11,947 people received harm reduction advice. </w:t>
      </w:r>
    </w:p>
    <w:p w14:paraId="213208BB" w14:textId="77777777" w:rsidR="00854012" w:rsidRPr="00ED2B1F" w:rsidRDefault="00854012" w:rsidP="00B36513"/>
    <w:p w14:paraId="2739D555" w14:textId="0B37936B" w:rsidR="003D4866" w:rsidRDefault="00A80C42" w:rsidP="00B1071B">
      <w:r w:rsidRPr="00ED2B1F">
        <w:fldChar w:fldCharType="begin"/>
      </w:r>
      <w:r w:rsidRPr="00ED2B1F">
        <w:instrText xml:space="preserve"> REF _Ref214611998 \h </w:instrText>
      </w:r>
      <w:r w:rsidRPr="00ED2B1F">
        <w:fldChar w:fldCharType="separate"/>
      </w:r>
      <w:r w:rsidR="00484E57" w:rsidRPr="00ED2B1F">
        <w:t xml:space="preserve">Figure </w:t>
      </w:r>
      <w:r w:rsidR="00484E57">
        <w:rPr>
          <w:noProof/>
        </w:rPr>
        <w:t>46</w:t>
      </w:r>
      <w:r w:rsidRPr="00ED2B1F">
        <w:fldChar w:fldCharType="end"/>
      </w:r>
      <w:r w:rsidRPr="00ED2B1F">
        <w:t xml:space="preserve"> presents t</w:t>
      </w:r>
      <w:r w:rsidR="006E0A3D" w:rsidRPr="00ED2B1F">
        <w:t xml:space="preserve">he </w:t>
      </w:r>
      <w:r w:rsidRPr="00ED2B1F">
        <w:t xml:space="preserve">number of samples </w:t>
      </w:r>
      <w:r w:rsidR="006E0A3D" w:rsidRPr="00ED2B1F">
        <w:t>test</w:t>
      </w:r>
      <w:r w:rsidRPr="00ED2B1F">
        <w:t>ed</w:t>
      </w:r>
      <w:r w:rsidR="006E0A3D" w:rsidRPr="00ED2B1F">
        <w:t xml:space="preserve"> and </w:t>
      </w:r>
      <w:r w:rsidRPr="00ED2B1F">
        <w:t xml:space="preserve">number of clients </w:t>
      </w:r>
      <w:r w:rsidR="00CD6094">
        <w:t>given</w:t>
      </w:r>
      <w:r w:rsidRPr="00ED2B1F">
        <w:t xml:space="preserve"> </w:t>
      </w:r>
      <w:r w:rsidR="006E0A3D" w:rsidRPr="00ED2B1F">
        <w:t>harm reduction advice</w:t>
      </w:r>
      <w:r w:rsidRPr="00ED2B1F">
        <w:t xml:space="preserve"> for each quarter in 2023/24. These </w:t>
      </w:r>
      <w:r w:rsidR="006E0A3D" w:rsidRPr="00ED2B1F">
        <w:t xml:space="preserve">numbers differ because they depend on the number of clients or samples that are presented at a given time (eg, one harm reduction client presenting three samples to test; or one sample presented by two clients who </w:t>
      </w:r>
      <w:r w:rsidR="0070288C">
        <w:t xml:space="preserve">are </w:t>
      </w:r>
      <w:r w:rsidR="006E0A3D" w:rsidRPr="00ED2B1F">
        <w:t xml:space="preserve">both </w:t>
      </w:r>
      <w:r w:rsidR="0070288C">
        <w:t>given</w:t>
      </w:r>
      <w:r w:rsidR="006E0A3D" w:rsidRPr="00ED2B1F">
        <w:t xml:space="preserve"> harm reduction advice on the one sample tested).</w:t>
      </w:r>
    </w:p>
    <w:p w14:paraId="304BF69A" w14:textId="77777777" w:rsidR="00E63593" w:rsidRPr="00ED2B1F" w:rsidRDefault="00E63593" w:rsidP="00B1071B"/>
    <w:p w14:paraId="70EFA416" w14:textId="6147F2FC" w:rsidR="003D4866" w:rsidRPr="00ED2B1F" w:rsidRDefault="003D4866" w:rsidP="00C103C7">
      <w:pPr>
        <w:pStyle w:val="Figure"/>
      </w:pPr>
      <w:bookmarkStart w:id="659" w:name="_Ref214611998"/>
      <w:bookmarkStart w:id="660" w:name="_Toc224638218"/>
      <w:r w:rsidRPr="00ED2B1F">
        <w:t xml:space="preserve">Figure </w:t>
      </w:r>
      <w:r w:rsidR="000F5627">
        <w:fldChar w:fldCharType="begin"/>
      </w:r>
      <w:r w:rsidR="000F5627">
        <w:instrText xml:space="preserve"> SEQ Figure \* ARABIC </w:instrText>
      </w:r>
      <w:r w:rsidR="000F5627">
        <w:fldChar w:fldCharType="separate"/>
      </w:r>
      <w:r w:rsidR="00484E57">
        <w:rPr>
          <w:noProof/>
        </w:rPr>
        <w:t>46</w:t>
      </w:r>
      <w:r w:rsidR="000F5627">
        <w:fldChar w:fldCharType="end"/>
      </w:r>
      <w:bookmarkEnd w:id="659"/>
      <w:r w:rsidRPr="00ED2B1F">
        <w:t>: Drug</w:t>
      </w:r>
      <w:r w:rsidR="00A80C42" w:rsidRPr="00ED2B1F">
        <w:t>-</w:t>
      </w:r>
      <w:r w:rsidRPr="00ED2B1F">
        <w:t xml:space="preserve">checking harm reduction advice and samples tested by quarter, </w:t>
      </w:r>
      <w:r w:rsidR="00005378" w:rsidRPr="00ED2B1F">
        <w:t>1 July 2023 to 30 June 2024</w:t>
      </w:r>
      <w:bookmarkEnd w:id="660"/>
    </w:p>
    <w:p w14:paraId="0602DDF7" w14:textId="706FD073" w:rsidR="003D4866" w:rsidRPr="00ED2B1F" w:rsidRDefault="0062401C" w:rsidP="003D4866">
      <w:r>
        <w:rPr>
          <w:noProof/>
        </w:rPr>
        <w:drawing>
          <wp:inline distT="0" distB="0" distL="0" distR="0" wp14:anchorId="13972A97" wp14:editId="3CCB9DEA">
            <wp:extent cx="4834255" cy="2743200"/>
            <wp:effectExtent l="0" t="0" r="4445" b="0"/>
            <wp:docPr id="1298072795"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2795" name="Picture 47">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4255" cy="2743200"/>
                    </a:xfrm>
                    <a:prstGeom prst="rect">
                      <a:avLst/>
                    </a:prstGeom>
                    <a:noFill/>
                  </pic:spPr>
                </pic:pic>
              </a:graphicData>
            </a:graphic>
          </wp:inline>
        </w:drawing>
      </w:r>
    </w:p>
    <w:p w14:paraId="4DEE6238" w14:textId="55510F5F" w:rsidR="003D4866" w:rsidRPr="00ED2B1F" w:rsidRDefault="001617E4" w:rsidP="0094532F">
      <w:pPr>
        <w:pStyle w:val="Source"/>
      </w:pPr>
      <w:r w:rsidRPr="00ED2B1F">
        <w:t>Source</w:t>
      </w:r>
      <w:r w:rsidR="003D4866" w:rsidRPr="00ED2B1F">
        <w:t xml:space="preserve">: </w:t>
      </w:r>
      <w:r w:rsidRPr="00ED2B1F">
        <w:t>Data</w:t>
      </w:r>
      <w:r w:rsidR="003D4866" w:rsidRPr="00ED2B1F">
        <w:t xml:space="preserve"> submitted in quarterly reporting by field-based drug</w:t>
      </w:r>
      <w:r w:rsidR="00A80C42" w:rsidRPr="00ED2B1F">
        <w:t>-</w:t>
      </w:r>
      <w:r w:rsidR="003D4866" w:rsidRPr="00ED2B1F">
        <w:t xml:space="preserve">checking providers. </w:t>
      </w:r>
    </w:p>
    <w:p w14:paraId="4D3AEB4A" w14:textId="77777777" w:rsidR="003D4866" w:rsidRPr="00ED2B1F" w:rsidRDefault="003D4866" w:rsidP="003D4866"/>
    <w:p w14:paraId="686153C4" w14:textId="00D57B8D" w:rsidR="003D4866" w:rsidRPr="00ED2B1F" w:rsidRDefault="003D4866" w:rsidP="003D4866">
      <w:r w:rsidRPr="00ED2B1F">
        <w:t>The data</w:t>
      </w:r>
      <w:r w:rsidRPr="00ED2B1F" w:rsidDel="00504253">
        <w:t xml:space="preserve"> </w:t>
      </w:r>
      <w:r w:rsidR="00504253" w:rsidRPr="00ED2B1F">
        <w:t xml:space="preserve">in Figure 46 </w:t>
      </w:r>
      <w:r w:rsidRPr="00ED2B1F">
        <w:t xml:space="preserve">excludes testing undertaken by the New Zealand Institute for Public Health and Forensic Science (PHF Science, previously ESR), </w:t>
      </w:r>
      <w:r w:rsidR="00A80C42" w:rsidRPr="00ED2B1F">
        <w:t>which is</w:t>
      </w:r>
      <w:r w:rsidRPr="00ED2B1F">
        <w:t xml:space="preserve"> the approved laboratory for further testing and analysis of substances. A substance presented for initial drug checking may be sent for further analysis to PHF Science to determine its composition if the substance remains unknown following field drug checking, if it presents as a novel (new) substance, or as a substance linked to high</w:t>
      </w:r>
      <w:r w:rsidR="00294A55" w:rsidRPr="00ED2B1F">
        <w:t>-</w:t>
      </w:r>
      <w:r w:rsidRPr="00ED2B1F">
        <w:t>risk and/or harm events. PHF Science tested 144 substances for the purpose of further analysis of drug</w:t>
      </w:r>
      <w:r w:rsidR="004D3F48" w:rsidRPr="00ED2B1F">
        <w:t>-</w:t>
      </w:r>
      <w:r w:rsidRPr="00ED2B1F">
        <w:t xml:space="preserve">checking samples during 2023/24. </w:t>
      </w:r>
    </w:p>
    <w:p w14:paraId="78D776E4" w14:textId="77777777" w:rsidR="003D4866" w:rsidRPr="00ED2B1F" w:rsidRDefault="003D4866" w:rsidP="003D4866"/>
    <w:p w14:paraId="7CF91038" w14:textId="46CC5886" w:rsidR="003D4866" w:rsidRPr="00ED2B1F" w:rsidRDefault="0028664F" w:rsidP="003D4866">
      <w:r w:rsidRPr="00ED2B1F">
        <w:t>It</w:t>
      </w:r>
      <w:r w:rsidR="003D4866" w:rsidRPr="00ED2B1F">
        <w:t xml:space="preserve"> also excludes data from the University of Auckland, School of Pharmacy, </w:t>
      </w:r>
      <w:r w:rsidR="00294A55" w:rsidRPr="00ED2B1F">
        <w:t>which is</w:t>
      </w:r>
      <w:r w:rsidR="003D4866" w:rsidRPr="00ED2B1F">
        <w:t xml:space="preserve"> licensed to provide drug checking under the Research Project service model. In</w:t>
      </w:r>
      <w:r w:rsidR="003D4866" w:rsidRPr="00ED2B1F" w:rsidDel="00294A55">
        <w:t xml:space="preserve"> </w:t>
      </w:r>
      <w:r w:rsidR="003D4866" w:rsidRPr="00ED2B1F">
        <w:t>2023/24</w:t>
      </w:r>
      <w:r w:rsidR="00294A55" w:rsidRPr="00ED2B1F">
        <w:t>,</w:t>
      </w:r>
      <w:r w:rsidR="003D4866" w:rsidRPr="00ED2B1F">
        <w:t xml:space="preserve"> two projects have been active under this licence</w:t>
      </w:r>
      <w:r w:rsidR="00294A55" w:rsidRPr="00ED2B1F">
        <w:t xml:space="preserve"> – one on</w:t>
      </w:r>
      <w:r w:rsidR="003D4866" w:rsidRPr="00ED2B1F">
        <w:t xml:space="preserve"> psychedelic mushrooms and </w:t>
      </w:r>
      <w:r w:rsidR="00294A55" w:rsidRPr="00ED2B1F">
        <w:t xml:space="preserve">the other on </w:t>
      </w:r>
      <w:r w:rsidR="003D4866" w:rsidRPr="00ED2B1F">
        <w:t xml:space="preserve">microdosing LSD. The University of Auckland tested a total of 26 samples in this period and had harm reduction conversations with 12 </w:t>
      </w:r>
      <w:r w:rsidR="003D4866" w:rsidRPr="00ED2B1F">
        <w:lastRenderedPageBreak/>
        <w:t xml:space="preserve">clients. </w:t>
      </w:r>
      <w:r w:rsidR="00504253" w:rsidRPr="00ED2B1F">
        <w:t>Due to t</w:t>
      </w:r>
      <w:r w:rsidR="003D4866" w:rsidRPr="00ED2B1F">
        <w:t>he nature of these clinics under the research model</w:t>
      </w:r>
      <w:r w:rsidR="00504253" w:rsidRPr="00ED2B1F">
        <w:t>,</w:t>
      </w:r>
      <w:r w:rsidR="003D4866" w:rsidRPr="00ED2B1F" w:rsidDel="00504253">
        <w:t xml:space="preserve"> </w:t>
      </w:r>
      <w:r w:rsidR="003D4866" w:rsidRPr="00ED2B1F">
        <w:t>often only one client com</w:t>
      </w:r>
      <w:r w:rsidR="00504253" w:rsidRPr="00ED2B1F">
        <w:t>es</w:t>
      </w:r>
      <w:r w:rsidR="003D4866" w:rsidRPr="00ED2B1F">
        <w:t xml:space="preserve"> to the clinic at a time, bringing multiple samples. </w:t>
      </w:r>
    </w:p>
    <w:p w14:paraId="79F03D3C" w14:textId="77777777" w:rsidR="003D4866" w:rsidRPr="00ED2B1F" w:rsidRDefault="003D4866" w:rsidP="003D4866">
      <w:r w:rsidRPr="00ED2B1F">
        <w:t xml:space="preserve"> </w:t>
      </w:r>
    </w:p>
    <w:p w14:paraId="76BFF588" w14:textId="702FDCEF" w:rsidR="00B330B2" w:rsidRPr="00ED2B1F" w:rsidRDefault="003D4866" w:rsidP="003D4866">
      <w:r w:rsidRPr="00ED2B1F">
        <w:t>Drug</w:t>
      </w:r>
      <w:r w:rsidR="00294A55" w:rsidRPr="00ED2B1F">
        <w:t>-</w:t>
      </w:r>
      <w:r w:rsidRPr="00ED2B1F">
        <w:t xml:space="preserve">checking providers also report to the National Drug Intelligence Bureau, </w:t>
      </w:r>
      <w:r w:rsidR="00294A55" w:rsidRPr="00ED2B1F">
        <w:t xml:space="preserve">which </w:t>
      </w:r>
      <w:r w:rsidRPr="00ED2B1F">
        <w:t>analyse</w:t>
      </w:r>
      <w:r w:rsidR="00294A55" w:rsidRPr="00ED2B1F">
        <w:t>s</w:t>
      </w:r>
      <w:r w:rsidRPr="00ED2B1F">
        <w:t xml:space="preserve"> drug</w:t>
      </w:r>
      <w:r w:rsidR="00294A55" w:rsidRPr="00ED2B1F">
        <w:t>-</w:t>
      </w:r>
      <w:r w:rsidRPr="00ED2B1F">
        <w:t>checking trends. The top five presumed</w:t>
      </w:r>
      <w:r w:rsidR="00294A55" w:rsidRPr="00ED2B1F">
        <w:t xml:space="preserve"> drug types</w:t>
      </w:r>
      <w:r w:rsidRPr="00ED2B1F">
        <w:t xml:space="preserve"> (</w:t>
      </w:r>
      <w:r w:rsidR="00294A55" w:rsidRPr="00ED2B1F">
        <w:t xml:space="preserve">ie, </w:t>
      </w:r>
      <w:r w:rsidRPr="00ED2B1F">
        <w:t>what the person thought the drug was before testing)</w:t>
      </w:r>
      <w:r w:rsidRPr="00ED2B1F" w:rsidDel="00294A55">
        <w:t xml:space="preserve"> </w:t>
      </w:r>
      <w:r w:rsidRPr="00ED2B1F">
        <w:t xml:space="preserve">presented for testing in </w:t>
      </w:r>
      <w:r w:rsidR="00A02E92" w:rsidRPr="00ED2B1F">
        <w:t>2023/24</w:t>
      </w:r>
      <w:r w:rsidRPr="00ED2B1F">
        <w:t xml:space="preserve"> were</w:t>
      </w:r>
      <w:r w:rsidR="00B330B2" w:rsidRPr="00ED2B1F">
        <w:t>:</w:t>
      </w:r>
    </w:p>
    <w:p w14:paraId="4DF25F7A" w14:textId="26C01357" w:rsidR="00BA38D3" w:rsidRPr="00ED2B1F" w:rsidRDefault="003D4866" w:rsidP="002E65F7">
      <w:pPr>
        <w:pStyle w:val="Bullet"/>
        <w:tabs>
          <w:tab w:val="clear" w:pos="284"/>
        </w:tabs>
      </w:pPr>
      <w:r w:rsidRPr="00ED2B1F">
        <w:t>MDMA (59.3%)</w:t>
      </w:r>
    </w:p>
    <w:p w14:paraId="1595347E" w14:textId="773BAEA3" w:rsidR="00BA38D3" w:rsidRPr="00ED2B1F" w:rsidRDefault="00294A55" w:rsidP="002E65F7">
      <w:pPr>
        <w:pStyle w:val="Bullet"/>
        <w:tabs>
          <w:tab w:val="clear" w:pos="284"/>
        </w:tabs>
      </w:pPr>
      <w:r w:rsidRPr="00ED2B1F">
        <w:t>k</w:t>
      </w:r>
      <w:r w:rsidR="003D4866" w:rsidRPr="00ED2B1F">
        <w:t xml:space="preserve">etamine (11.5%) </w:t>
      </w:r>
    </w:p>
    <w:p w14:paraId="0349F425" w14:textId="47A7A01F" w:rsidR="00BA38D3" w:rsidRPr="00ED2B1F" w:rsidRDefault="00294A55" w:rsidP="002E65F7">
      <w:pPr>
        <w:pStyle w:val="Bullet"/>
        <w:tabs>
          <w:tab w:val="clear" w:pos="284"/>
        </w:tabs>
      </w:pPr>
      <w:r w:rsidRPr="00ED2B1F">
        <w:t>c</w:t>
      </w:r>
      <w:r w:rsidR="003D4866" w:rsidRPr="00ED2B1F">
        <w:t xml:space="preserve">ocaine (7.4%) </w:t>
      </w:r>
    </w:p>
    <w:p w14:paraId="458678DC" w14:textId="04B69750" w:rsidR="00BA38D3" w:rsidRPr="00ED2B1F" w:rsidRDefault="00294A55" w:rsidP="002E65F7">
      <w:pPr>
        <w:pStyle w:val="Bullet"/>
        <w:tabs>
          <w:tab w:val="clear" w:pos="284"/>
        </w:tabs>
      </w:pPr>
      <w:r w:rsidRPr="00ED2B1F">
        <w:t>m</w:t>
      </w:r>
      <w:r w:rsidR="003D4866" w:rsidRPr="00ED2B1F">
        <w:t xml:space="preserve">ethamphetamine (5.8%) </w:t>
      </w:r>
    </w:p>
    <w:p w14:paraId="52ED79DD" w14:textId="77777777" w:rsidR="00BA38D3" w:rsidRPr="00ED2B1F" w:rsidRDefault="003D4866" w:rsidP="002E65F7">
      <w:pPr>
        <w:pStyle w:val="Bullet"/>
        <w:tabs>
          <w:tab w:val="clear" w:pos="284"/>
        </w:tabs>
      </w:pPr>
      <w:r w:rsidRPr="00ED2B1F">
        <w:t xml:space="preserve">LSD (5.7%). </w:t>
      </w:r>
    </w:p>
    <w:p w14:paraId="7C7E9F2A" w14:textId="77777777" w:rsidR="00E63593" w:rsidRDefault="00E63593" w:rsidP="00E63593"/>
    <w:p w14:paraId="5298060F" w14:textId="515D3197" w:rsidR="003D4866" w:rsidRPr="00ED2B1F" w:rsidRDefault="003D4866" w:rsidP="00E63593">
      <w:r w:rsidRPr="00ED2B1F">
        <w:t xml:space="preserve">These presumed substances accounted for 93% of all drugs presented for drug checking, with the additional 7% being an assortment of less commonly presented substances. </w:t>
      </w:r>
      <w:r w:rsidR="00BA38D3" w:rsidRPr="00ED2B1F">
        <w:t xml:space="preserve">Out of all substances presented for testing, </w:t>
      </w:r>
      <w:r w:rsidRPr="00ED2B1F">
        <w:t xml:space="preserve">9.5% were presumed unknown. </w:t>
      </w:r>
      <w:r w:rsidR="00B400F3" w:rsidRPr="00ED2B1F">
        <w:fldChar w:fldCharType="begin"/>
      </w:r>
      <w:r w:rsidR="00B400F3" w:rsidRPr="00ED2B1F">
        <w:instrText xml:space="preserve"> REF _Ref214613216 \h </w:instrText>
      </w:r>
      <w:r w:rsidR="00E63593">
        <w:instrText xml:space="preserve"> \* MERGEFORMAT </w:instrText>
      </w:r>
      <w:r w:rsidR="00B400F3" w:rsidRPr="00ED2B1F">
        <w:fldChar w:fldCharType="separate"/>
      </w:r>
      <w:r w:rsidR="00484E57" w:rsidRPr="00ED2B1F">
        <w:t xml:space="preserve">Figure </w:t>
      </w:r>
      <w:r w:rsidR="00484E57">
        <w:t>47</w:t>
      </w:r>
      <w:r w:rsidR="00B400F3" w:rsidRPr="00ED2B1F">
        <w:fldChar w:fldCharType="end"/>
      </w:r>
      <w:r w:rsidR="009C11FE" w:rsidRPr="00ED2B1F">
        <w:t xml:space="preserve"> </w:t>
      </w:r>
      <w:r w:rsidR="006D4FBD" w:rsidRPr="00ED2B1F">
        <w:t xml:space="preserve">shows </w:t>
      </w:r>
      <w:r w:rsidR="009C11FE" w:rsidRPr="00ED2B1F">
        <w:t>the number of</w:t>
      </w:r>
      <w:r w:rsidR="006D4FBD" w:rsidRPr="00ED2B1F">
        <w:t xml:space="preserve"> each type of</w:t>
      </w:r>
      <w:r w:rsidR="009C11FE" w:rsidRPr="00ED2B1F">
        <w:t xml:space="preserve"> presumed substance presented</w:t>
      </w:r>
      <w:r w:rsidR="00B33C1A" w:rsidRPr="00ED2B1F">
        <w:t>.</w:t>
      </w:r>
    </w:p>
    <w:p w14:paraId="052DC70E" w14:textId="77777777" w:rsidR="00B400F3" w:rsidRPr="00ED2B1F" w:rsidRDefault="00B400F3" w:rsidP="003D4866"/>
    <w:p w14:paraId="02440A99" w14:textId="1C46FFC3" w:rsidR="00B400F3" w:rsidRPr="00ED2B1F" w:rsidRDefault="00B400F3" w:rsidP="00C103C7">
      <w:pPr>
        <w:pStyle w:val="Figure"/>
      </w:pPr>
      <w:bookmarkStart w:id="661" w:name="_Ref214613216"/>
      <w:bookmarkStart w:id="662" w:name="_Toc224638219"/>
      <w:r w:rsidRPr="00ED2B1F">
        <w:t xml:space="preserve">Figure </w:t>
      </w:r>
      <w:r w:rsidR="000F5627">
        <w:fldChar w:fldCharType="begin"/>
      </w:r>
      <w:r w:rsidR="000F5627">
        <w:instrText xml:space="preserve"> SEQ Figure \* ARABIC </w:instrText>
      </w:r>
      <w:r w:rsidR="000F5627">
        <w:fldChar w:fldCharType="separate"/>
      </w:r>
      <w:r w:rsidR="00484E57">
        <w:rPr>
          <w:noProof/>
        </w:rPr>
        <w:t>47</w:t>
      </w:r>
      <w:r w:rsidR="000F5627">
        <w:fldChar w:fldCharType="end"/>
      </w:r>
      <w:bookmarkEnd w:id="661"/>
      <w:r w:rsidRPr="00ED2B1F">
        <w:t xml:space="preserve">: Breakdown of drug types at drug checking, as presumed by client on presentation, </w:t>
      </w:r>
      <w:r w:rsidR="00005378" w:rsidRPr="00ED2B1F">
        <w:t>1 July 2023 to 30 June 2024</w:t>
      </w:r>
      <w:bookmarkEnd w:id="662"/>
    </w:p>
    <w:p w14:paraId="3C87D9E4" w14:textId="5779D256" w:rsidR="003D4866" w:rsidRPr="00ED2B1F" w:rsidRDefault="0062401C" w:rsidP="003D4866">
      <w:r>
        <w:rPr>
          <w:noProof/>
        </w:rPr>
        <w:drawing>
          <wp:inline distT="0" distB="0" distL="0" distR="0" wp14:anchorId="48DFCEAF" wp14:editId="6A75FD96">
            <wp:extent cx="5322570" cy="2560320"/>
            <wp:effectExtent l="0" t="0" r="0" b="0"/>
            <wp:docPr id="84104866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48667" name="Picture 48">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2570" cy="2560320"/>
                    </a:xfrm>
                    <a:prstGeom prst="rect">
                      <a:avLst/>
                    </a:prstGeom>
                    <a:noFill/>
                  </pic:spPr>
                </pic:pic>
              </a:graphicData>
            </a:graphic>
          </wp:inline>
        </w:drawing>
      </w:r>
    </w:p>
    <w:p w14:paraId="42BEE355" w14:textId="6F5FF062" w:rsidR="003D4866" w:rsidRPr="00ED2B1F" w:rsidRDefault="00DF348B" w:rsidP="00DF348B">
      <w:pPr>
        <w:pStyle w:val="Source"/>
      </w:pPr>
      <w:r w:rsidRPr="00ED2B1F">
        <w:t>Source</w:t>
      </w:r>
      <w:r w:rsidR="003D4866" w:rsidRPr="00ED2B1F">
        <w:t xml:space="preserve">: </w:t>
      </w:r>
      <w:r w:rsidRPr="00ED2B1F">
        <w:t>Data</w:t>
      </w:r>
      <w:r w:rsidR="003D4866" w:rsidRPr="00ED2B1F">
        <w:t xml:space="preserve"> submitted to the National Drug Intelligence Bureau in post</w:t>
      </w:r>
      <w:r w:rsidRPr="00ED2B1F">
        <w:t>-</w:t>
      </w:r>
      <w:r w:rsidR="003D4866" w:rsidRPr="00ED2B1F">
        <w:t>clinic reporting</w:t>
      </w:r>
      <w:r w:rsidRPr="00ED2B1F">
        <w:t>.</w:t>
      </w:r>
      <w:r w:rsidR="003D4866" w:rsidRPr="00ED2B1F">
        <w:t xml:space="preserve"> </w:t>
      </w:r>
      <w:r w:rsidRPr="00ED2B1F">
        <w:t>This</w:t>
      </w:r>
      <w:r w:rsidR="003D4866" w:rsidRPr="00ED2B1F">
        <w:t xml:space="preserve"> excludes data from PHF Science and University of Auckland. All data for this period is provisional and subject to change. Finalised data is reflected in quarterly reports provided by PHF Science and </w:t>
      </w:r>
      <w:r w:rsidR="006D4FBD" w:rsidRPr="00ED2B1F">
        <w:t>d</w:t>
      </w:r>
      <w:r w:rsidR="003D4866" w:rsidRPr="00ED2B1F">
        <w:t>rug</w:t>
      </w:r>
      <w:r w:rsidR="006D4FBD" w:rsidRPr="00ED2B1F">
        <w:t>-c</w:t>
      </w:r>
      <w:r w:rsidR="003D4866" w:rsidRPr="00ED2B1F">
        <w:t xml:space="preserve">hecking </w:t>
      </w:r>
      <w:r w:rsidR="006D4FBD" w:rsidRPr="00ED2B1F">
        <w:t>p</w:t>
      </w:r>
      <w:r w:rsidR="003D4866" w:rsidRPr="00ED2B1F">
        <w:t xml:space="preserve">roviders to the Ministry of Health. </w:t>
      </w:r>
    </w:p>
    <w:p w14:paraId="362BD7F4" w14:textId="77777777" w:rsidR="00DF348B" w:rsidRPr="00ED2B1F" w:rsidRDefault="00DF348B" w:rsidP="00DF348B"/>
    <w:p w14:paraId="3024161C" w14:textId="0DF8E11C" w:rsidR="003D4866" w:rsidRPr="00ED2B1F" w:rsidRDefault="003D4866" w:rsidP="003D4866">
      <w:r w:rsidRPr="00ED2B1F">
        <w:t>The National Drug Intelligence Bureau reported that in 2023/24, 88.7% of substances presented for drug checking were found to be consistent with what the client presumed</w:t>
      </w:r>
      <w:r w:rsidR="00C32DEF" w:rsidRPr="00ED2B1F">
        <w:t xml:space="preserve"> (see</w:t>
      </w:r>
      <w:r w:rsidRPr="00ED2B1F">
        <w:t xml:space="preserve"> </w:t>
      </w:r>
      <w:r w:rsidR="00D74215" w:rsidRPr="00ED2B1F">
        <w:fldChar w:fldCharType="begin"/>
      </w:r>
      <w:r w:rsidR="00D74215" w:rsidRPr="00ED2B1F">
        <w:instrText xml:space="preserve"> REF _Ref214614912 \h </w:instrText>
      </w:r>
      <w:r w:rsidR="00D74215" w:rsidRPr="00ED2B1F">
        <w:fldChar w:fldCharType="separate"/>
      </w:r>
      <w:r w:rsidR="00484E57" w:rsidRPr="00ED2B1F">
        <w:t xml:space="preserve">Figure </w:t>
      </w:r>
      <w:r w:rsidR="00484E57">
        <w:rPr>
          <w:noProof/>
        </w:rPr>
        <w:t>48</w:t>
      </w:r>
      <w:r w:rsidR="00D74215" w:rsidRPr="00ED2B1F">
        <w:fldChar w:fldCharType="end"/>
      </w:r>
      <w:r w:rsidR="00C32DEF" w:rsidRPr="00ED2B1F">
        <w:t>)</w:t>
      </w:r>
      <w:r w:rsidRPr="00ED2B1F">
        <w:t xml:space="preserve">. </w:t>
      </w:r>
    </w:p>
    <w:p w14:paraId="73710F07" w14:textId="77777777" w:rsidR="003D4866" w:rsidRPr="00ED2B1F" w:rsidRDefault="003D4866" w:rsidP="003D4866"/>
    <w:p w14:paraId="535A7E19" w14:textId="5A8FF2DC" w:rsidR="003D4866" w:rsidRPr="00ED2B1F" w:rsidRDefault="008D22C1" w:rsidP="00C103C7">
      <w:pPr>
        <w:pStyle w:val="Figure"/>
      </w:pPr>
      <w:bookmarkStart w:id="663" w:name="_Ref214614912"/>
      <w:bookmarkStart w:id="664" w:name="_Toc224638220"/>
      <w:r w:rsidRPr="00ED2B1F">
        <w:lastRenderedPageBreak/>
        <w:t xml:space="preserve">Figure </w:t>
      </w:r>
      <w:r w:rsidR="000F5627">
        <w:fldChar w:fldCharType="begin"/>
      </w:r>
      <w:r w:rsidR="000F5627">
        <w:instrText xml:space="preserve"> SEQ Figure \* ARABIC </w:instrText>
      </w:r>
      <w:r w:rsidR="000F5627">
        <w:fldChar w:fldCharType="separate"/>
      </w:r>
      <w:r w:rsidR="00484E57">
        <w:rPr>
          <w:noProof/>
        </w:rPr>
        <w:t>48</w:t>
      </w:r>
      <w:r w:rsidR="000F5627">
        <w:fldChar w:fldCharType="end"/>
      </w:r>
      <w:bookmarkEnd w:id="663"/>
      <w:r w:rsidRPr="00ED2B1F">
        <w:t xml:space="preserve">: </w:t>
      </w:r>
      <w:r w:rsidR="00DA150A" w:rsidRPr="00ED2B1F">
        <w:t>Percentage of t</w:t>
      </w:r>
      <w:r w:rsidRPr="00ED2B1F">
        <w:t xml:space="preserve">esting consistency with presumed substance, </w:t>
      </w:r>
      <w:r w:rsidR="00005378" w:rsidRPr="00ED2B1F">
        <w:t>1 July 2023 to 30 June 2024</w:t>
      </w:r>
      <w:bookmarkEnd w:id="664"/>
    </w:p>
    <w:p w14:paraId="51A456FA" w14:textId="3510AFFE" w:rsidR="003D4866" w:rsidRPr="00ED2B1F" w:rsidRDefault="0062401C" w:rsidP="003D4866">
      <w:r>
        <w:rPr>
          <w:noProof/>
        </w:rPr>
        <w:drawing>
          <wp:inline distT="0" distB="0" distL="0" distR="0" wp14:anchorId="00071DE3" wp14:editId="4B8E4CB1">
            <wp:extent cx="5194300" cy="2974975"/>
            <wp:effectExtent l="0" t="0" r="6350" b="0"/>
            <wp:docPr id="1440156786"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6786" name="Picture 49">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94300" cy="2974975"/>
                    </a:xfrm>
                    <a:prstGeom prst="rect">
                      <a:avLst/>
                    </a:prstGeom>
                    <a:noFill/>
                  </pic:spPr>
                </pic:pic>
              </a:graphicData>
            </a:graphic>
          </wp:inline>
        </w:drawing>
      </w:r>
    </w:p>
    <w:p w14:paraId="22996591" w14:textId="7626E88A" w:rsidR="008D22C1" w:rsidRPr="00ED2B1F" w:rsidRDefault="008D22C1" w:rsidP="008D22C1">
      <w:pPr>
        <w:pStyle w:val="Source"/>
      </w:pPr>
      <w:r w:rsidRPr="00ED2B1F">
        <w:t xml:space="preserve">Source: Data submitted to the National Drug Intelligence Bureau in post-clinic reporting. This excludes data from PHF Science and University of Auckland. All data for this period is provisional and subject to change. Finalised data is reflected in quarterly reports provided by PHF Science and </w:t>
      </w:r>
      <w:r w:rsidR="008E44FF" w:rsidRPr="00ED2B1F">
        <w:t>d</w:t>
      </w:r>
      <w:r w:rsidRPr="00ED2B1F">
        <w:t>rug</w:t>
      </w:r>
      <w:r w:rsidR="008E44FF" w:rsidRPr="00ED2B1F">
        <w:t>-c</w:t>
      </w:r>
      <w:r w:rsidRPr="00ED2B1F">
        <w:t xml:space="preserve">hecking </w:t>
      </w:r>
      <w:r w:rsidR="008E44FF" w:rsidRPr="00ED2B1F">
        <w:t>p</w:t>
      </w:r>
      <w:r w:rsidRPr="00ED2B1F">
        <w:t xml:space="preserve">roviders to the Ministry of Health. </w:t>
      </w:r>
    </w:p>
    <w:p w14:paraId="0EE377C4" w14:textId="77777777" w:rsidR="003D4866" w:rsidRPr="00ED2B1F" w:rsidRDefault="003D4866" w:rsidP="003D4866">
      <w:pPr>
        <w:rPr>
          <w:i/>
          <w:iCs/>
        </w:rPr>
      </w:pPr>
    </w:p>
    <w:p w14:paraId="477640B7" w14:textId="51812687" w:rsidR="003D4866" w:rsidRPr="00ED2B1F" w:rsidRDefault="008E44FF" w:rsidP="003D4866">
      <w:r w:rsidRPr="00ED2B1F">
        <w:t>W</w:t>
      </w:r>
      <w:r w:rsidR="003D4866" w:rsidRPr="00ED2B1F">
        <w:t xml:space="preserve">hether </w:t>
      </w:r>
      <w:r w:rsidRPr="00ED2B1F">
        <w:t xml:space="preserve">or not </w:t>
      </w:r>
      <w:r w:rsidR="003D4866" w:rsidRPr="00ED2B1F">
        <w:t>the sample presented is consistent with the presumed drug, drug</w:t>
      </w:r>
      <w:r w:rsidRPr="00ED2B1F">
        <w:t>-</w:t>
      </w:r>
      <w:r w:rsidR="003D4866" w:rsidRPr="00ED2B1F">
        <w:t xml:space="preserve">checking providers </w:t>
      </w:r>
      <w:r w:rsidRPr="00ED2B1F">
        <w:t xml:space="preserve">always </w:t>
      </w:r>
      <w:r w:rsidR="003D4866" w:rsidRPr="00ED2B1F">
        <w:t xml:space="preserve">have a harm reduction conversation with the client. This conversation aims to inform the client of risks relating to the substance, allowing them to make more informed decisions about safety and risk associated with drug use. </w:t>
      </w:r>
    </w:p>
    <w:p w14:paraId="1E9D9442" w14:textId="77777777" w:rsidR="003D4866" w:rsidRPr="00ED2B1F" w:rsidRDefault="003D4866" w:rsidP="003D4866"/>
    <w:p w14:paraId="5CDD761E" w14:textId="39A81BDA" w:rsidR="00B36513" w:rsidRPr="00ED2B1F" w:rsidRDefault="003D4866" w:rsidP="00B36513">
      <w:r w:rsidRPr="00ED2B1F">
        <w:t xml:space="preserve">The Drug Checking Licensing Scheme also received funding from the Ministry of Health’s Research and Evaluation Fund </w:t>
      </w:r>
      <w:r w:rsidR="008E44FF" w:rsidRPr="00ED2B1F">
        <w:t xml:space="preserve">to conduct </w:t>
      </w:r>
      <w:r w:rsidRPr="00ED2B1F">
        <w:t xml:space="preserve">an evaluation of the Drug and Substance Checking Legislation within the 2023/24 </w:t>
      </w:r>
      <w:r w:rsidR="00CA7105" w:rsidRPr="00ED2B1F">
        <w:t>financial year</w:t>
      </w:r>
      <w:r w:rsidRPr="00ED2B1F">
        <w:t xml:space="preserve">. This study aims to evaluate the effectiveness, challenges and opportunities </w:t>
      </w:r>
      <w:r w:rsidR="008E44FF" w:rsidRPr="00ED2B1F">
        <w:t>of</w:t>
      </w:r>
      <w:r w:rsidRPr="00ED2B1F">
        <w:t xml:space="preserve"> current drug</w:t>
      </w:r>
      <w:r w:rsidR="008E44FF" w:rsidRPr="00ED2B1F">
        <w:t>-</w:t>
      </w:r>
      <w:r w:rsidRPr="00ED2B1F">
        <w:t xml:space="preserve">checking legislation. The evaluation will finish in 2026 with a final report publishing the findings. </w:t>
      </w:r>
      <w:r w:rsidR="008E44FF" w:rsidRPr="00ED2B1F">
        <w:t>Future regulatory reports will publish information on the study’s i</w:t>
      </w:r>
      <w:r w:rsidRPr="00ED2B1F">
        <w:t>mplementation</w:t>
      </w:r>
      <w:r w:rsidR="008E44FF" w:rsidRPr="00ED2B1F">
        <w:t xml:space="preserve"> </w:t>
      </w:r>
      <w:r w:rsidRPr="00ED2B1F">
        <w:t>and progress.</w:t>
      </w:r>
    </w:p>
    <w:p w14:paraId="09422CC6" w14:textId="77777777" w:rsidR="009C11FE" w:rsidRPr="00ED2B1F" w:rsidRDefault="009C11FE">
      <w:pPr>
        <w:rPr>
          <w:b/>
          <w:color w:val="1B83A0"/>
          <w:spacing w:val="-5"/>
          <w:sz w:val="48"/>
        </w:rPr>
      </w:pPr>
      <w:r w:rsidRPr="00ED2B1F">
        <w:br w:type="page"/>
      </w:r>
    </w:p>
    <w:p w14:paraId="51B4693B" w14:textId="564DFF26" w:rsidR="008F1FB2" w:rsidRPr="00ED2B1F" w:rsidRDefault="008F1FB2" w:rsidP="007A34A3">
      <w:pPr>
        <w:pStyle w:val="Heading2"/>
      </w:pPr>
      <w:bookmarkStart w:id="665" w:name="_Toc224638118"/>
      <w:r w:rsidRPr="00ED2B1F">
        <w:lastRenderedPageBreak/>
        <w:t>Substance Addiction (Compulsory Assessment and Treatment) Act 2017</w:t>
      </w:r>
      <w:bookmarkEnd w:id="665"/>
    </w:p>
    <w:p w14:paraId="1135DC1F" w14:textId="741D4B67" w:rsidR="008F1FB2" w:rsidRPr="00ED2B1F" w:rsidRDefault="008F1FB2" w:rsidP="008F1FB2">
      <w:r w:rsidRPr="00ED2B1F">
        <w:t>The</w:t>
      </w:r>
      <w:r w:rsidR="008E44FF" w:rsidRPr="00ED2B1F">
        <w:t xml:space="preserve"> Substance Addiction (Compulsory Assessment and Treatment) Act 2017</w:t>
      </w:r>
      <w:r w:rsidRPr="00ED2B1F">
        <w:t xml:space="preserve"> </w:t>
      </w:r>
      <w:r w:rsidR="008E44FF" w:rsidRPr="00ED2B1F">
        <w:t>(</w:t>
      </w:r>
      <w:r w:rsidRPr="00ED2B1F">
        <w:t>Substance Addiction Act</w:t>
      </w:r>
      <w:r w:rsidR="008E44FF" w:rsidRPr="00ED2B1F">
        <w:t>)</w:t>
      </w:r>
      <w:r w:rsidRPr="00ED2B1F">
        <w:t xml:space="preserve"> is designed to help people who have a severe substance addiction and impaired capacity to make decisions about engaging in treatment. This legislation is better equipped than the Act</w:t>
      </w:r>
      <w:r w:rsidR="00005356" w:rsidRPr="00ED2B1F">
        <w:t xml:space="preserve"> it replaced</w:t>
      </w:r>
      <w:r w:rsidRPr="00ED2B1F">
        <w:t xml:space="preserve"> to protect the human rights and cultural needs of patients and their families and whānau</w:t>
      </w:r>
      <w:r w:rsidR="00E36A33" w:rsidRPr="00ED2B1F">
        <w:t>. It also</w:t>
      </w:r>
      <w:r w:rsidRPr="00ED2B1F">
        <w:t xml:space="preserve"> places greater emphasis on enhancing mana and following a health-based approach.</w:t>
      </w:r>
    </w:p>
    <w:p w14:paraId="5A4A4303" w14:textId="77777777" w:rsidR="008F1FB2" w:rsidRPr="00ED2B1F" w:rsidRDefault="008F1FB2" w:rsidP="008F1FB2"/>
    <w:p w14:paraId="20938AC9" w14:textId="22E2A63B" w:rsidR="008F1FB2" w:rsidRPr="00ED2B1F" w:rsidRDefault="008F1FB2" w:rsidP="008F1FB2">
      <w:r w:rsidRPr="00ED2B1F">
        <w:t>Section 119 of the Substance Addiction Act requires the Ministry to publish certain information in its annual report, such as the number of people who received compulsory treatment. The 2023/24 annual report</w:t>
      </w:r>
      <w:r w:rsidR="0011680E" w:rsidRPr="00ED2B1F">
        <w:t>,</w:t>
      </w:r>
      <w:r w:rsidRPr="00ED2B1F">
        <w:t xml:space="preserve"> which includes the Substance Addiction Act data for the 2023/24 financial year, is available on the </w:t>
      </w:r>
      <w:hyperlink r:id="rId87" w:history="1">
        <w:r w:rsidRPr="00ED2B1F">
          <w:rPr>
            <w:rStyle w:val="Hyperlink"/>
          </w:rPr>
          <w:t>Ministry’s website</w:t>
        </w:r>
      </w:hyperlink>
      <w:r w:rsidRPr="00ED2B1F">
        <w:t>.</w:t>
      </w:r>
    </w:p>
    <w:p w14:paraId="574006C7" w14:textId="77777777" w:rsidR="008F1FB2" w:rsidRPr="00ED2B1F" w:rsidRDefault="008F1FB2" w:rsidP="007A34A3">
      <w:pPr>
        <w:pStyle w:val="Heading2"/>
      </w:pPr>
      <w:bookmarkStart w:id="666" w:name="_Toc224638119"/>
      <w:r w:rsidRPr="00ED2B1F">
        <w:t>Land Transport Act 1998</w:t>
      </w:r>
      <w:bookmarkEnd w:id="666"/>
    </w:p>
    <w:p w14:paraId="4E50DE41" w14:textId="77777777" w:rsidR="008F1FB2" w:rsidRPr="00ED2B1F" w:rsidRDefault="008F1FB2" w:rsidP="008F1FB2">
      <w:pPr>
        <w:keepLines/>
      </w:pPr>
      <w:r w:rsidRPr="00ED2B1F">
        <w:t xml:space="preserve">In 2023/24, the Office of the Director of Mental Health and Addiction Services continued to work with Waka Kotahi New Zealand Transport Agency (Waka Kotahi), the Ministry of Transport and the Drug and Alcohol Practitioners’ Association Aotearoa New Zealand to monitor the reinstatement of drivers disqualified for offences involving alcohol or drugs. It also worked with the agencies to approve assessment centres under section 65A of the Land Transport Act 1998. </w:t>
      </w:r>
    </w:p>
    <w:p w14:paraId="0F6B34EA" w14:textId="77777777" w:rsidR="008F1FB2" w:rsidRPr="00ED2B1F" w:rsidRDefault="008F1FB2" w:rsidP="008F1FB2"/>
    <w:p w14:paraId="1ED9AB8F" w14:textId="77777777" w:rsidR="008F1FB2" w:rsidRPr="00ED2B1F" w:rsidRDefault="008F1FB2" w:rsidP="008F1FB2">
      <w:r w:rsidRPr="00ED2B1F">
        <w:t>Where people have committed repeat driving offences involving drugs or alcohol, section 65A requires them to be indefinitely disqualified from having a driver licence and to undergo assessment. To determine if a person can have their licence reinstated, an approved assessment centre considers their ability to manage their substance use or addictive behaviours. The assessment centre sends a copy of its report to Waka Kotahi, which decides whether to reinstate the person’s licence.</w:t>
      </w:r>
    </w:p>
    <w:p w14:paraId="1F97496B" w14:textId="77777777" w:rsidR="008F1FB2" w:rsidRPr="00ED2B1F" w:rsidRDefault="008F1FB2" w:rsidP="008F1FB2"/>
    <w:p w14:paraId="09E857C1" w14:textId="77777777" w:rsidR="008F1FB2" w:rsidRPr="00ED2B1F" w:rsidRDefault="008F1FB2" w:rsidP="008F1FB2">
      <w:r w:rsidRPr="00ED2B1F">
        <w:t>The Director-General of Health makes the decision on whether to approve an assessment centre. Establishments and individuals applying to be an approved assessment centre must demonstrate that they are competent in assessing alcohol and other drug problems and are a registered and experienced alcohol and drug practitioner or employ such practitioners.</w:t>
      </w:r>
    </w:p>
    <w:p w14:paraId="79CA519A" w14:textId="77777777" w:rsidR="008F1FB2" w:rsidRPr="00ED2B1F" w:rsidRDefault="008F1FB2" w:rsidP="00B36513"/>
    <w:p w14:paraId="6255B4A4" w14:textId="77777777" w:rsidR="00B36513" w:rsidRPr="00ED2B1F" w:rsidRDefault="00B36513" w:rsidP="00B36513">
      <w:pPr>
        <w:spacing w:after="160" w:line="259" w:lineRule="auto"/>
        <w:rPr>
          <w:rFonts w:eastAsiaTheme="minorEastAsia" w:cs="Segoe UI"/>
          <w:color w:val="000000"/>
          <w:lang w:eastAsia="ja-JP"/>
        </w:rPr>
      </w:pPr>
      <w:r w:rsidRPr="00ED2B1F">
        <w:br w:type="page"/>
      </w:r>
    </w:p>
    <w:p w14:paraId="599F5516" w14:textId="77777777" w:rsidR="00C916E6" w:rsidRPr="00ED2B1F" w:rsidRDefault="00C916E6" w:rsidP="00C916E6">
      <w:pPr>
        <w:pStyle w:val="Heading1"/>
      </w:pPr>
      <w:bookmarkStart w:id="667" w:name="_Toc189053936"/>
      <w:bookmarkStart w:id="668" w:name="_Toc224638120"/>
      <w:r w:rsidRPr="00ED2B1F">
        <w:lastRenderedPageBreak/>
        <w:t>Appendix 1: The Mental Health Act process</w:t>
      </w:r>
      <w:bookmarkEnd w:id="667"/>
      <w:bookmarkEnd w:id="668"/>
    </w:p>
    <w:p w14:paraId="50901DE9" w14:textId="77777777" w:rsidR="00C916E6" w:rsidRPr="00ED2B1F" w:rsidRDefault="00C916E6" w:rsidP="00C916E6">
      <w:r w:rsidRPr="00ED2B1F">
        <w:t>The compulsory assessment and treatment process begins with a referral and an initial assessment. If the health assessor believes a person fits the Mental Health Act’s criteria, the person will become subject to the Mental Health Act and receive further assessment from there.</w:t>
      </w:r>
    </w:p>
    <w:bookmarkStart w:id="669" w:name="_Toc189053937"/>
    <w:bookmarkStart w:id="670" w:name="_Toc224638121"/>
    <w:p w14:paraId="43D84338" w14:textId="02681FFA" w:rsidR="00C916E6" w:rsidRPr="00ED2B1F" w:rsidRDefault="00CD0B5B" w:rsidP="007A34A3">
      <w:pPr>
        <w:pStyle w:val="Heading2"/>
      </w:pPr>
      <w:r w:rsidRPr="00ED2B1F">
        <w:rPr>
          <w:noProof/>
        </w:rPr>
        <mc:AlternateContent>
          <mc:Choice Requires="wps">
            <w:drawing>
              <wp:anchor distT="0" distB="0" distL="114300" distR="114300" simplePos="0" relativeHeight="251658243" behindDoc="1" locked="0" layoutInCell="1" allowOverlap="1" wp14:anchorId="2D0D24DB" wp14:editId="14E00DE7">
                <wp:simplePos x="0" y="0"/>
                <wp:positionH relativeFrom="column">
                  <wp:posOffset>3686454</wp:posOffset>
                </wp:positionH>
                <wp:positionV relativeFrom="page">
                  <wp:posOffset>3136900</wp:posOffset>
                </wp:positionV>
                <wp:extent cx="1731010" cy="457200"/>
                <wp:effectExtent l="0" t="0" r="21590" b="19050"/>
                <wp:wrapTight wrapText="bothSides">
                  <wp:wrapPolygon edited="0">
                    <wp:start x="0" y="0"/>
                    <wp:lineTo x="0" y="21600"/>
                    <wp:lineTo x="21632" y="21600"/>
                    <wp:lineTo x="21632" y="0"/>
                    <wp:lineTo x="0" y="0"/>
                  </wp:wrapPolygon>
                </wp:wrapTight>
                <wp:docPr id="2099743073" name="Text Box 2099743073" descr="Application for assessment (section 8A)"/>
                <wp:cNvGraphicFramePr/>
                <a:graphic xmlns:a="http://schemas.openxmlformats.org/drawingml/2006/main">
                  <a:graphicData uri="http://schemas.microsoft.com/office/word/2010/wordprocessingShape">
                    <wps:wsp>
                      <wps:cNvSpPr txBox="1"/>
                      <wps:spPr>
                        <a:xfrm>
                          <a:off x="0" y="0"/>
                          <a:ext cx="1731010" cy="457200"/>
                        </a:xfrm>
                        <a:prstGeom prst="rect">
                          <a:avLst/>
                        </a:prstGeom>
                        <a:solidFill>
                          <a:sysClr val="window" lastClr="FFFFFF">
                            <a:lumMod val="85000"/>
                          </a:sysClr>
                        </a:solidFill>
                        <a:ln w="6350">
                          <a:solidFill>
                            <a:sysClr val="windowText" lastClr="000000"/>
                          </a:solidFill>
                        </a:ln>
                      </wps:spPr>
                      <wps:txbx>
                        <w:txbxContent>
                          <w:p w14:paraId="31E4D193" w14:textId="77777777" w:rsidR="00535C2F" w:rsidRPr="00ED2B1F" w:rsidRDefault="00535C2F" w:rsidP="00C916E6">
                            <w:pPr>
                              <w:shd w:val="clear" w:color="auto" w:fill="D9D9D9"/>
                              <w:jc w:val="center"/>
                            </w:pPr>
                            <w:r w:rsidRPr="00ED2B1F">
                              <w:t>Application for assessment (section 8A)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D24DB" id="_x0000_t202" coordsize="21600,21600" o:spt="202" path="m,l,21600r21600,l21600,xe">
                <v:stroke joinstyle="miter"/>
                <v:path gradientshapeok="t" o:connecttype="rect"/>
              </v:shapetype>
              <v:shape id="Text Box 2099743073" o:spid="_x0000_s1026" type="#_x0000_t202" alt="Application for assessment (section 8A)" style="position:absolute;margin-left:290.25pt;margin-top:247pt;width:136.3pt;height:3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" fillcolor="#d9d9d9" strokecolor="windowText" strokeweight=".5pt">
                <v:textbox>
                  <w:txbxContent>
                    <w:p w14:paraId="31E4D193" w14:textId="77777777" w:rsidR="00535C2F" w:rsidRPr="00ED2B1F" w:rsidRDefault="00535C2F" w:rsidP="00C916E6">
                      <w:pPr>
                        <w:shd w:val="clear" w:color="auto" w:fill="D9D9D9"/>
                        <w:jc w:val="center"/>
                      </w:pPr>
                      <w:r w:rsidRPr="00ED2B1F">
                        <w:t>Application for assessment (section 8A)</w:t>
                      </w:r>
                    </w:p>
                  </w:txbxContent>
                </v:textbox>
                <w10:wrap type="tight" anchory="page"/>
              </v:shape>
            </w:pict>
          </mc:Fallback>
        </mc:AlternateContent>
      </w:r>
      <w:r w:rsidRPr="00ED2B1F">
        <w:rPr>
          <w:noProof/>
        </w:rPr>
        <mc:AlternateContent>
          <mc:Choice Requires="wps">
            <w:drawing>
              <wp:anchor distT="0" distB="0" distL="114300" distR="114300" simplePos="0" relativeHeight="251658242" behindDoc="0" locked="0" layoutInCell="1" allowOverlap="1" wp14:anchorId="2F8A8E48" wp14:editId="3F9739B2">
                <wp:simplePos x="0" y="0"/>
                <wp:positionH relativeFrom="column">
                  <wp:posOffset>4580366</wp:posOffset>
                </wp:positionH>
                <wp:positionV relativeFrom="paragraph">
                  <wp:posOffset>497421</wp:posOffset>
                </wp:positionV>
                <wp:extent cx="0" cy="1983179"/>
                <wp:effectExtent l="0" t="0" r="38100" b="36195"/>
                <wp:wrapNone/>
                <wp:docPr id="2099743074" name="Straight Connector 2099743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98317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4FAEDA" id="Straight Connector 2099743074" o:spid="_x0000_s1026" alt="&quot;&quot;"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5pt,39.15pt" to="360.6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"/>
            </w:pict>
          </mc:Fallback>
        </mc:AlternateContent>
      </w:r>
      <w:r w:rsidR="00C916E6" w:rsidRPr="00ED2B1F">
        <w:t>Compulsory assessment</w:t>
      </w:r>
      <w:bookmarkEnd w:id="669"/>
      <w:bookmarkEnd w:id="670"/>
    </w:p>
    <w:p w14:paraId="5A97916F" w14:textId="73ABDDBA" w:rsidR="00C916E6" w:rsidRPr="00ED2B1F" w:rsidRDefault="00CD0B5B" w:rsidP="001A63ED">
      <w:pPr>
        <w:tabs>
          <w:tab w:val="left" w:pos="4393"/>
        </w:tabs>
        <w:ind w:right="3119"/>
      </w:pPr>
      <w:r w:rsidRPr="00ED2B1F">
        <w:rPr>
          <w:noProof/>
        </w:rPr>
        <mc:AlternateContent>
          <mc:Choice Requires="wps">
            <w:drawing>
              <wp:anchor distT="0" distB="0" distL="114300" distR="114300" simplePos="0" relativeHeight="251658244" behindDoc="1" locked="0" layoutInCell="1" allowOverlap="1" wp14:anchorId="10DBFA8F" wp14:editId="5C4B5FDF">
                <wp:simplePos x="0" y="0"/>
                <wp:positionH relativeFrom="column">
                  <wp:posOffset>3695288</wp:posOffset>
                </wp:positionH>
                <wp:positionV relativeFrom="page">
                  <wp:posOffset>3736640</wp:posOffset>
                </wp:positionV>
                <wp:extent cx="1731010" cy="457200"/>
                <wp:effectExtent l="0" t="0" r="21590" b="19050"/>
                <wp:wrapTight wrapText="bothSides">
                  <wp:wrapPolygon edited="0">
                    <wp:start x="0" y="0"/>
                    <wp:lineTo x="0" y="21600"/>
                    <wp:lineTo x="21632" y="21600"/>
                    <wp:lineTo x="21632" y="0"/>
                    <wp:lineTo x="0" y="0"/>
                  </wp:wrapPolygon>
                </wp:wrapTight>
                <wp:docPr id="2099743076" name="Text Box 2099743076" descr="First period of assessment (section 11, up to 5 days)"/>
                <wp:cNvGraphicFramePr/>
                <a:graphic xmlns:a="http://schemas.openxmlformats.org/drawingml/2006/main">
                  <a:graphicData uri="http://schemas.microsoft.com/office/word/2010/wordprocessingShape">
                    <wps:wsp>
                      <wps:cNvSpPr txBox="1"/>
                      <wps:spPr>
                        <a:xfrm>
                          <a:off x="0" y="0"/>
                          <a:ext cx="1731010" cy="457200"/>
                        </a:xfrm>
                        <a:prstGeom prst="rect">
                          <a:avLst/>
                        </a:prstGeom>
                        <a:solidFill>
                          <a:sysClr val="window" lastClr="FFFFFF">
                            <a:lumMod val="85000"/>
                          </a:sysClr>
                        </a:solidFill>
                        <a:ln w="6350">
                          <a:solidFill>
                            <a:sysClr val="windowText" lastClr="000000"/>
                          </a:solidFill>
                        </a:ln>
                      </wps:spPr>
                      <wps:txbx>
                        <w:txbxContent>
                          <w:p w14:paraId="3B62F5F1" w14:textId="77777777" w:rsidR="00535C2F" w:rsidRPr="00ED2B1F" w:rsidRDefault="00535C2F" w:rsidP="00C916E6">
                            <w:pPr>
                              <w:jc w:val="center"/>
                            </w:pPr>
                            <w:r w:rsidRPr="00ED2B1F">
                              <w:t>First period of assessment (section 11, up to 5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FA8F" id="Text Box 2099743076" o:spid="_x0000_s1027" type="#_x0000_t202" alt="First period of assessment (section 11, up to 5 days)" style="position:absolute;margin-left:290.95pt;margin-top:294.2pt;width:136.3pt;height:3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" fillcolor="#d9d9d9" strokecolor="windowText" strokeweight=".5pt">
                <v:textbox>
                  <w:txbxContent>
                    <w:p w14:paraId="3B62F5F1" w14:textId="77777777" w:rsidR="00535C2F" w:rsidRPr="00ED2B1F" w:rsidRDefault="00535C2F" w:rsidP="00C916E6">
                      <w:pPr>
                        <w:jc w:val="center"/>
                      </w:pPr>
                      <w:r w:rsidRPr="00ED2B1F">
                        <w:t>First period of assessment (section 11, up to 5 days)</w:t>
                      </w:r>
                    </w:p>
                  </w:txbxContent>
                </v:textbox>
                <w10:wrap type="tight" anchory="page"/>
              </v:shape>
            </w:pict>
          </mc:Fallback>
        </mc:AlternateContent>
      </w:r>
      <w:r w:rsidRPr="00ED2B1F">
        <w:rPr>
          <w:noProof/>
        </w:rPr>
        <mc:AlternateContent>
          <mc:Choice Requires="wps">
            <w:drawing>
              <wp:anchor distT="0" distB="0" distL="114300" distR="114300" simplePos="0" relativeHeight="251658245" behindDoc="1" locked="0" layoutInCell="1" allowOverlap="1" wp14:anchorId="041F4E62" wp14:editId="108704D2">
                <wp:simplePos x="0" y="0"/>
                <wp:positionH relativeFrom="column">
                  <wp:posOffset>3700145</wp:posOffset>
                </wp:positionH>
                <wp:positionV relativeFrom="page">
                  <wp:posOffset>4326255</wp:posOffset>
                </wp:positionV>
                <wp:extent cx="1731010" cy="647700"/>
                <wp:effectExtent l="0" t="0" r="21590" b="19050"/>
                <wp:wrapTight wrapText="bothSides">
                  <wp:wrapPolygon edited="0">
                    <wp:start x="0" y="0"/>
                    <wp:lineTo x="0" y="21600"/>
                    <wp:lineTo x="21632" y="21600"/>
                    <wp:lineTo x="21632" y="0"/>
                    <wp:lineTo x="0" y="0"/>
                  </wp:wrapPolygon>
                </wp:wrapTight>
                <wp:docPr id="2099743075" name="Text Box 2099743075" descr="Second period of assessment (section 13, up to 14 days)"/>
                <wp:cNvGraphicFramePr/>
                <a:graphic xmlns:a="http://schemas.openxmlformats.org/drawingml/2006/main">
                  <a:graphicData uri="http://schemas.microsoft.com/office/word/2010/wordprocessingShape">
                    <wps:wsp>
                      <wps:cNvSpPr txBox="1"/>
                      <wps:spPr>
                        <a:xfrm>
                          <a:off x="0" y="0"/>
                          <a:ext cx="1731010" cy="647700"/>
                        </a:xfrm>
                        <a:prstGeom prst="rect">
                          <a:avLst/>
                        </a:prstGeom>
                        <a:solidFill>
                          <a:sysClr val="window" lastClr="FFFFFF">
                            <a:lumMod val="85000"/>
                          </a:sysClr>
                        </a:solidFill>
                        <a:ln w="6350">
                          <a:solidFill>
                            <a:sysClr val="windowText" lastClr="000000"/>
                          </a:solidFill>
                        </a:ln>
                      </wps:spPr>
                      <wps:txbx>
                        <w:txbxContent>
                          <w:p w14:paraId="3248C720" w14:textId="77777777" w:rsidR="00535C2F" w:rsidRPr="00ED2B1F" w:rsidRDefault="00535C2F" w:rsidP="00C916E6">
                            <w:pPr>
                              <w:jc w:val="center"/>
                            </w:pPr>
                            <w:r w:rsidRPr="00ED2B1F">
                              <w:t>Second period of assessment (section 13, up to 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4E62" id="Text Box 2099743075" o:spid="_x0000_s1028" type="#_x0000_t202" alt="Second period of assessment (section 13, up to 14 days)" style="position:absolute;margin-left:291.35pt;margin-top:340.65pt;width:136.3pt;height:51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" fillcolor="#d9d9d9" strokecolor="windowText" strokeweight=".5pt">
                <v:textbox>
                  <w:txbxContent>
                    <w:p w14:paraId="3248C720" w14:textId="77777777" w:rsidR="00535C2F" w:rsidRPr="00ED2B1F" w:rsidRDefault="00535C2F" w:rsidP="00C916E6">
                      <w:pPr>
                        <w:jc w:val="center"/>
                      </w:pPr>
                      <w:r w:rsidRPr="00ED2B1F">
                        <w:t>Second period of assessment (section 13, up to 14 days)</w:t>
                      </w:r>
                    </w:p>
                  </w:txbxContent>
                </v:textbox>
                <w10:wrap type="tight" anchory="page"/>
              </v:shape>
            </w:pict>
          </mc:Fallback>
        </mc:AlternateContent>
      </w:r>
      <w:r w:rsidR="00C916E6" w:rsidRPr="00ED2B1F">
        <w:t>Compulsory assessment can take place in either a community or a hospital setting. There are two periods of compulsory assessment, during which a person’s clinician may release them from assessment at any time.</w:t>
      </w:r>
    </w:p>
    <w:p w14:paraId="03B34437" w14:textId="77777777" w:rsidR="00C916E6" w:rsidRPr="00ED2B1F" w:rsidRDefault="00C916E6" w:rsidP="00C916E6">
      <w:pPr>
        <w:ind w:right="3742"/>
      </w:pPr>
    </w:p>
    <w:p w14:paraId="0F4CB33F" w14:textId="3DEAA717" w:rsidR="00C916E6" w:rsidRPr="00ED2B1F" w:rsidRDefault="00CD0B5B" w:rsidP="001A63ED">
      <w:pPr>
        <w:ind w:right="3119"/>
      </w:pPr>
      <w:r w:rsidRPr="00ED2B1F">
        <w:rPr>
          <w:noProof/>
        </w:rPr>
        <mc:AlternateContent>
          <mc:Choice Requires="wps">
            <w:drawing>
              <wp:anchor distT="0" distB="0" distL="114300" distR="114300" simplePos="0" relativeHeight="251658246" behindDoc="1" locked="0" layoutInCell="1" allowOverlap="1" wp14:anchorId="34C60AD6" wp14:editId="42A227BD">
                <wp:simplePos x="0" y="0"/>
                <wp:positionH relativeFrom="column">
                  <wp:posOffset>3697605</wp:posOffset>
                </wp:positionH>
                <wp:positionV relativeFrom="margin">
                  <wp:align>center</wp:align>
                </wp:positionV>
                <wp:extent cx="1731010" cy="647700"/>
                <wp:effectExtent l="0" t="0" r="21590" b="19050"/>
                <wp:wrapTight wrapText="bothSides">
                  <wp:wrapPolygon edited="0">
                    <wp:start x="0" y="0"/>
                    <wp:lineTo x="0" y="21600"/>
                    <wp:lineTo x="21632" y="21600"/>
                    <wp:lineTo x="21632" y="0"/>
                    <wp:lineTo x="0" y="0"/>
                  </wp:wrapPolygon>
                </wp:wrapTight>
                <wp:docPr id="2099743077" name="Text Box 2099743077" descr="Application to the court for a CTO (section 14(4), within second period)"/>
                <wp:cNvGraphicFramePr/>
                <a:graphic xmlns:a="http://schemas.openxmlformats.org/drawingml/2006/main">
                  <a:graphicData uri="http://schemas.microsoft.com/office/word/2010/wordprocessingShape">
                    <wps:wsp>
                      <wps:cNvSpPr txBox="1"/>
                      <wps:spPr>
                        <a:xfrm>
                          <a:off x="0" y="0"/>
                          <a:ext cx="1731010" cy="647700"/>
                        </a:xfrm>
                        <a:prstGeom prst="rect">
                          <a:avLst/>
                        </a:prstGeom>
                        <a:solidFill>
                          <a:sysClr val="window" lastClr="FFFFFF">
                            <a:lumMod val="85000"/>
                          </a:sysClr>
                        </a:solidFill>
                        <a:ln w="6350">
                          <a:solidFill>
                            <a:sysClr val="windowText" lastClr="000000"/>
                          </a:solidFill>
                        </a:ln>
                      </wps:spPr>
                      <wps:txbx>
                        <w:txbxContent>
                          <w:p w14:paraId="39CFB543" w14:textId="77777777" w:rsidR="00535C2F" w:rsidRPr="00ED2B1F" w:rsidRDefault="00535C2F" w:rsidP="00C916E6">
                            <w:pPr>
                              <w:jc w:val="center"/>
                            </w:pPr>
                            <w:r w:rsidRPr="00ED2B1F">
                              <w:t>Application to the court for a CTO (section 14(4), within second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0AD6" id="Text Box 2099743077" o:spid="_x0000_s1029" type="#_x0000_t202" alt="Application to the court for a CTO (section 14(4), within second period)" style="position:absolute;margin-left:291.15pt;margin-top:0;width:136.3pt;height:51pt;z-index:-25165823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" fillcolor="#d9d9d9" strokecolor="windowText" strokeweight=".5pt">
                <v:textbox>
                  <w:txbxContent>
                    <w:p w14:paraId="39CFB543" w14:textId="77777777" w:rsidR="00535C2F" w:rsidRPr="00ED2B1F" w:rsidRDefault="00535C2F" w:rsidP="00C916E6">
                      <w:pPr>
                        <w:jc w:val="center"/>
                      </w:pPr>
                      <w:r w:rsidRPr="00ED2B1F">
                        <w:t>Application to the court for a CTO (section 14(4), within second period)</w:t>
                      </w:r>
                    </w:p>
                  </w:txbxContent>
                </v:textbox>
                <w10:wrap type="tight" anchory="margin"/>
              </v:shape>
            </w:pict>
          </mc:Fallback>
        </mc:AlternateContent>
      </w:r>
      <w:r w:rsidRPr="00ED2B1F">
        <w:rPr>
          <w:noProof/>
        </w:rPr>
        <mc:AlternateContent>
          <mc:Choice Requires="wps">
            <w:drawing>
              <wp:anchor distT="0" distB="0" distL="114300" distR="114300" simplePos="0" relativeHeight="251658240" behindDoc="0" locked="0" layoutInCell="1" allowOverlap="1" wp14:anchorId="3DA6FC4A" wp14:editId="4F7E6699">
                <wp:simplePos x="0" y="0"/>
                <wp:positionH relativeFrom="column">
                  <wp:posOffset>5011476</wp:posOffset>
                </wp:positionH>
                <wp:positionV relativeFrom="paragraph">
                  <wp:posOffset>1016098</wp:posOffset>
                </wp:positionV>
                <wp:extent cx="0" cy="237012"/>
                <wp:effectExtent l="0" t="0" r="38100" b="29845"/>
                <wp:wrapNone/>
                <wp:docPr id="2099743078" name="Straight Connector 209974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70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032495" id="Straight Connector 2099743078"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94.6pt,80pt" to="394.6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"/>
            </w:pict>
          </mc:Fallback>
        </mc:AlternateContent>
      </w:r>
      <w:r w:rsidRPr="00ED2B1F">
        <w:rPr>
          <w:noProof/>
        </w:rPr>
        <mc:AlternateContent>
          <mc:Choice Requires="wps">
            <w:drawing>
              <wp:anchor distT="0" distB="0" distL="114300" distR="114300" simplePos="0" relativeHeight="251658241" behindDoc="0" locked="0" layoutInCell="1" allowOverlap="1" wp14:anchorId="31A5F948" wp14:editId="2F2AFDDC">
                <wp:simplePos x="0" y="0"/>
                <wp:positionH relativeFrom="column">
                  <wp:posOffset>4123055</wp:posOffset>
                </wp:positionH>
                <wp:positionV relativeFrom="paragraph">
                  <wp:posOffset>1015777</wp:posOffset>
                </wp:positionV>
                <wp:extent cx="0" cy="237012"/>
                <wp:effectExtent l="0" t="0" r="38100" b="29845"/>
                <wp:wrapNone/>
                <wp:docPr id="2099743079" name="Straight Connector 209974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70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32C2CA5" id="Straight Connector 2099743079"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24.65pt,80pt" to="324.6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"/>
            </w:pict>
          </mc:Fallback>
        </mc:AlternateContent>
      </w:r>
      <w:r w:rsidR="00C916E6" w:rsidRPr="00ED2B1F">
        <w:t>During the assessment period, a person is obliged to receive treatment that their responsible clinician prescribes. The first period (section 11 of the Mental Health Act) lasts for up to 5 days. The second period (section 13 of the Mental Health Act) can last up to 14 days.</w:t>
      </w:r>
    </w:p>
    <w:p w14:paraId="0C853362" w14:textId="0FBC7F92" w:rsidR="00C916E6" w:rsidRPr="00ED2B1F" w:rsidRDefault="00C916E6" w:rsidP="00C916E6">
      <w:pPr>
        <w:ind w:right="3742"/>
      </w:pPr>
    </w:p>
    <w:p w14:paraId="6D10F29E" w14:textId="30BF39F5" w:rsidR="00C916E6" w:rsidRPr="00ED2B1F" w:rsidRDefault="00CD0B5B" w:rsidP="001A63ED">
      <w:pPr>
        <w:ind w:right="3686"/>
      </w:pPr>
      <w:r w:rsidRPr="00ED2B1F">
        <w:rPr>
          <w:noProof/>
        </w:rPr>
        <mc:AlternateContent>
          <mc:Choice Requires="wps">
            <w:drawing>
              <wp:anchor distT="0" distB="0" distL="114300" distR="114300" simplePos="0" relativeHeight="251658248" behindDoc="0" locked="0" layoutInCell="1" allowOverlap="1" wp14:anchorId="01D8C32A" wp14:editId="1D8D43AD">
                <wp:simplePos x="0" y="0"/>
                <wp:positionH relativeFrom="column">
                  <wp:posOffset>4652010</wp:posOffset>
                </wp:positionH>
                <wp:positionV relativeFrom="page">
                  <wp:posOffset>5962650</wp:posOffset>
                </wp:positionV>
                <wp:extent cx="1389380" cy="647700"/>
                <wp:effectExtent l="0" t="0" r="20320" b="19050"/>
                <wp:wrapNone/>
                <wp:docPr id="2099743081" name="Text Box 2099743081" descr="No CTO issued by courts"/>
                <wp:cNvGraphicFramePr/>
                <a:graphic xmlns:a="http://schemas.openxmlformats.org/drawingml/2006/main">
                  <a:graphicData uri="http://schemas.microsoft.com/office/word/2010/wordprocessingShape">
                    <wps:wsp>
                      <wps:cNvSpPr txBox="1"/>
                      <wps:spPr>
                        <a:xfrm>
                          <a:off x="0" y="0"/>
                          <a:ext cx="1389380" cy="647700"/>
                        </a:xfrm>
                        <a:prstGeom prst="rect">
                          <a:avLst/>
                        </a:prstGeom>
                        <a:solidFill>
                          <a:sysClr val="window" lastClr="FFFFFF">
                            <a:lumMod val="85000"/>
                          </a:sysClr>
                        </a:solidFill>
                        <a:ln w="6350">
                          <a:solidFill>
                            <a:sysClr val="windowText" lastClr="000000"/>
                          </a:solidFill>
                        </a:ln>
                      </wps:spPr>
                      <wps:txbx>
                        <w:txbxContent>
                          <w:p w14:paraId="26F3425E" w14:textId="77777777" w:rsidR="00535C2F" w:rsidRPr="00ED2B1F" w:rsidRDefault="00535C2F" w:rsidP="00C916E6">
                            <w:pPr>
                              <w:jc w:val="center"/>
                            </w:pPr>
                            <w:r w:rsidRPr="00ED2B1F">
                              <w:t>No CTO issued by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C32A" id="Text Box 2099743081" o:spid="_x0000_s1030" type="#_x0000_t202" alt="No CTO issued by courts" style="position:absolute;margin-left:366.3pt;margin-top:469.5pt;width:109.4pt;height: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" fillcolor="#d9d9d9" strokecolor="windowText" strokeweight=".5pt">
                <v:textbox>
                  <w:txbxContent>
                    <w:p w14:paraId="26F3425E" w14:textId="77777777" w:rsidR="00535C2F" w:rsidRPr="00ED2B1F" w:rsidRDefault="00535C2F" w:rsidP="00C916E6">
                      <w:pPr>
                        <w:jc w:val="center"/>
                      </w:pPr>
                      <w:r w:rsidRPr="00ED2B1F">
                        <w:t>No CTO issued by courts</w:t>
                      </w:r>
                    </w:p>
                  </w:txbxContent>
                </v:textbox>
                <w10:wrap anchory="page"/>
              </v:shape>
            </w:pict>
          </mc:Fallback>
        </mc:AlternateContent>
      </w:r>
      <w:r w:rsidRPr="00ED2B1F">
        <w:rPr>
          <w:noProof/>
        </w:rPr>
        <mc:AlternateContent>
          <mc:Choice Requires="wps">
            <w:drawing>
              <wp:anchor distT="0" distB="0" distL="114300" distR="114300" simplePos="0" relativeHeight="251658247" behindDoc="1" locked="0" layoutInCell="1" allowOverlap="1" wp14:anchorId="3D9CDD47" wp14:editId="77935843">
                <wp:simplePos x="0" y="0"/>
                <wp:positionH relativeFrom="column">
                  <wp:posOffset>3154680</wp:posOffset>
                </wp:positionH>
                <wp:positionV relativeFrom="page">
                  <wp:posOffset>5962650</wp:posOffset>
                </wp:positionV>
                <wp:extent cx="1389380" cy="848995"/>
                <wp:effectExtent l="0" t="0" r="20320" b="27305"/>
                <wp:wrapTight wrapText="bothSides">
                  <wp:wrapPolygon edited="0">
                    <wp:start x="0" y="0"/>
                    <wp:lineTo x="0" y="21810"/>
                    <wp:lineTo x="21620" y="21810"/>
                    <wp:lineTo x="21620" y="0"/>
                    <wp:lineTo x="0" y="0"/>
                  </wp:wrapPolygon>
                </wp:wrapTight>
                <wp:docPr id="2099743080" name="Text Box 2099743080" descr="Community or inpatient CTO made (section 29 or 30)"/>
                <wp:cNvGraphicFramePr/>
                <a:graphic xmlns:a="http://schemas.openxmlformats.org/drawingml/2006/main">
                  <a:graphicData uri="http://schemas.microsoft.com/office/word/2010/wordprocessingShape">
                    <wps:wsp>
                      <wps:cNvSpPr txBox="1"/>
                      <wps:spPr>
                        <a:xfrm>
                          <a:off x="0" y="0"/>
                          <a:ext cx="1389380" cy="848995"/>
                        </a:xfrm>
                        <a:prstGeom prst="rect">
                          <a:avLst/>
                        </a:prstGeom>
                        <a:solidFill>
                          <a:sysClr val="window" lastClr="FFFFFF">
                            <a:lumMod val="85000"/>
                          </a:sysClr>
                        </a:solidFill>
                        <a:ln w="6350">
                          <a:solidFill>
                            <a:sysClr val="windowText" lastClr="000000"/>
                          </a:solidFill>
                        </a:ln>
                      </wps:spPr>
                      <wps:txbx>
                        <w:txbxContent>
                          <w:p w14:paraId="1E043DA1" w14:textId="77777777" w:rsidR="00535C2F" w:rsidRPr="00ED2B1F" w:rsidRDefault="00535C2F" w:rsidP="00C916E6">
                            <w:pPr>
                              <w:jc w:val="center"/>
                            </w:pPr>
                            <w:r w:rsidRPr="00ED2B1F">
                              <w:t>Community or inpatient treatment order made (section 29 or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DD47" id="Text Box 2099743080" o:spid="_x0000_s1031" type="#_x0000_t202" alt="Community or inpatient CTO made (section 29 or 30)" style="position:absolute;margin-left:248.4pt;margin-top:469.5pt;width:109.4pt;height:66.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" fillcolor="#d9d9d9" strokecolor="windowText" strokeweight=".5pt">
                <v:textbox>
                  <w:txbxContent>
                    <w:p w14:paraId="1E043DA1" w14:textId="77777777" w:rsidR="00535C2F" w:rsidRPr="00ED2B1F" w:rsidRDefault="00535C2F" w:rsidP="00C916E6">
                      <w:pPr>
                        <w:jc w:val="center"/>
                      </w:pPr>
                      <w:r w:rsidRPr="00ED2B1F">
                        <w:t>Community or inpatient treatment order made (section 29 or 30)</w:t>
                      </w:r>
                    </w:p>
                  </w:txbxContent>
                </v:textbox>
                <w10:wrap type="tight" anchory="page"/>
              </v:shape>
            </w:pict>
          </mc:Fallback>
        </mc:AlternateContent>
      </w:r>
      <w:r w:rsidR="00C916E6" w:rsidRPr="00ED2B1F">
        <w:t xml:space="preserve">Following the first two assessment periods, a person’s responsible clinician can make an application to the courts under section 14(4) of the Mental Health Act to place the person under a CTO. </w:t>
      </w:r>
    </w:p>
    <w:p w14:paraId="3E388432" w14:textId="77777777" w:rsidR="00C916E6" w:rsidRPr="00ED2B1F" w:rsidRDefault="00C916E6" w:rsidP="00C916E6">
      <w:pPr>
        <w:ind w:right="3742"/>
      </w:pPr>
    </w:p>
    <w:p w14:paraId="1934421E" w14:textId="11EA47C2" w:rsidR="00C916E6" w:rsidRPr="00ED2B1F" w:rsidRDefault="00C916E6" w:rsidP="00C916E6">
      <w:r w:rsidRPr="00ED2B1F">
        <w:t xml:space="preserve">At any time during the compulsory assessment process, the person (or someone on their behalf) can request </w:t>
      </w:r>
      <w:r w:rsidR="000823E2" w:rsidRPr="00ED2B1F">
        <w:t xml:space="preserve">that the courts </w:t>
      </w:r>
      <w:r w:rsidRPr="00ED2B1F">
        <w:t>review</w:t>
      </w:r>
      <w:r w:rsidRPr="00ED2B1F" w:rsidDel="000823E2">
        <w:t xml:space="preserve"> </w:t>
      </w:r>
      <w:r w:rsidRPr="00ED2B1F">
        <w:t>their condition to determine whether it is appropriate that they continue to be assessed. Based on information presented to them, a judge will decide whether the assessment should continue or not.</w:t>
      </w:r>
    </w:p>
    <w:p w14:paraId="04D9251C" w14:textId="3ADE2821" w:rsidR="00C916E6" w:rsidRPr="00ED2B1F" w:rsidRDefault="00C916E6" w:rsidP="007A34A3">
      <w:pPr>
        <w:pStyle w:val="Heading2"/>
      </w:pPr>
      <w:bookmarkStart w:id="671" w:name="_Toc189053938"/>
      <w:bookmarkStart w:id="672" w:name="_Toc224638122"/>
      <w:r w:rsidRPr="00ED2B1F">
        <w:t>Compulsory treatment</w:t>
      </w:r>
      <w:bookmarkEnd w:id="671"/>
      <w:bookmarkEnd w:id="672"/>
    </w:p>
    <w:p w14:paraId="19715D18" w14:textId="77777777" w:rsidR="00C916E6" w:rsidRPr="00ED2B1F" w:rsidRDefault="00C916E6" w:rsidP="00C916E6">
      <w:r w:rsidRPr="00ED2B1F">
        <w:t xml:space="preserve">There are two types of CTOs: community treatment orders (section 29 of the Mental Health Act) and inpatient treatment orders (section 30 of the Mental Health Act). A person’s responsible clinician can convert an inpatient treatment order to a community treatment order at any time. A responsible clinician can also grant leave in the community for up to three months to a person who is under an inpatient treatment order (section 31 of the Mental Health Act). </w:t>
      </w:r>
    </w:p>
    <w:p w14:paraId="2F8BA819" w14:textId="77777777" w:rsidR="00C916E6" w:rsidRPr="00ED2B1F" w:rsidRDefault="00C916E6" w:rsidP="00C916E6">
      <w:pPr>
        <w:pStyle w:val="Heading1"/>
        <w:spacing w:before="0"/>
      </w:pPr>
      <w:bookmarkStart w:id="673" w:name="_Toc145394263"/>
      <w:bookmarkStart w:id="674" w:name="_Toc189053939"/>
      <w:bookmarkStart w:id="675" w:name="_Toc224638123"/>
      <w:r w:rsidRPr="00ED2B1F">
        <w:lastRenderedPageBreak/>
        <w:t>Appendix 2: Additional statistics</w:t>
      </w:r>
      <w:bookmarkStart w:id="676" w:name="_Toc65141658"/>
      <w:bookmarkStart w:id="677" w:name="_Toc75176469"/>
      <w:bookmarkStart w:id="678" w:name="_Toc87429942"/>
      <w:bookmarkStart w:id="679" w:name="_Toc88826986"/>
      <w:r w:rsidRPr="00ED2B1F">
        <w:t xml:space="preserve"> – Ministry of Justice</w:t>
      </w:r>
      <w:bookmarkEnd w:id="673"/>
      <w:bookmarkEnd w:id="674"/>
      <w:bookmarkEnd w:id="675"/>
      <w:bookmarkEnd w:id="676"/>
      <w:bookmarkEnd w:id="677"/>
      <w:bookmarkEnd w:id="678"/>
      <w:bookmarkEnd w:id="679"/>
    </w:p>
    <w:p w14:paraId="1BBCA57F" w14:textId="3462D34B" w:rsidR="00C916E6" w:rsidRPr="00ED2B1F" w:rsidRDefault="00C916E6" w:rsidP="00C916E6">
      <w:r w:rsidRPr="00ED2B1F">
        <w:fldChar w:fldCharType="begin"/>
      </w:r>
      <w:r w:rsidRPr="00ED2B1F">
        <w:instrText xml:space="preserve"> REF _Ref141109601 \h </w:instrText>
      </w:r>
      <w:r w:rsidRPr="00ED2B1F">
        <w:fldChar w:fldCharType="separate"/>
      </w:r>
      <w:r w:rsidR="00484E57" w:rsidRPr="00ED2B1F">
        <w:t>Table A</w:t>
      </w:r>
      <w:r w:rsidR="00484E57">
        <w:rPr>
          <w:noProof/>
        </w:rPr>
        <w:t>1</w:t>
      </w:r>
      <w:r w:rsidRPr="00ED2B1F">
        <w:fldChar w:fldCharType="end"/>
      </w:r>
      <w:r w:rsidRPr="00ED2B1F">
        <w:t xml:space="preserve"> presents data on applications for a CTO from 200</w:t>
      </w:r>
      <w:r w:rsidR="00EA3F80" w:rsidRPr="00ED2B1F">
        <w:t>9</w:t>
      </w:r>
      <w:r w:rsidRPr="00ED2B1F">
        <w:t>/</w:t>
      </w:r>
      <w:r w:rsidR="00EA3F80" w:rsidRPr="00ED2B1F">
        <w:t>10</w:t>
      </w:r>
      <w:r w:rsidRPr="00ED2B1F">
        <w:t xml:space="preserve"> to </w:t>
      </w:r>
      <w:r w:rsidR="00211D17" w:rsidRPr="00ED2B1F">
        <w:t>2023/24</w:t>
      </w:r>
      <w:r w:rsidRPr="00ED2B1F">
        <w:t xml:space="preserve">. </w:t>
      </w:r>
      <w:r w:rsidRPr="00ED2B1F">
        <w:fldChar w:fldCharType="begin"/>
      </w:r>
      <w:r w:rsidRPr="00ED2B1F">
        <w:instrText xml:space="preserve"> REF _Ref141109610 \h </w:instrText>
      </w:r>
      <w:r w:rsidRPr="00ED2B1F">
        <w:fldChar w:fldCharType="separate"/>
      </w:r>
      <w:r w:rsidR="00484E57" w:rsidRPr="00ED2B1F">
        <w:t>Table A</w:t>
      </w:r>
      <w:r w:rsidR="00484E57">
        <w:rPr>
          <w:noProof/>
        </w:rPr>
        <w:t>2</w:t>
      </w:r>
      <w:r w:rsidRPr="00ED2B1F">
        <w:fldChar w:fldCharType="end"/>
      </w:r>
      <w:r w:rsidRPr="00ED2B1F">
        <w:t xml:space="preserve"> shows the types of orders granted over the same period.</w:t>
      </w:r>
    </w:p>
    <w:p w14:paraId="2F25A785" w14:textId="77777777" w:rsidR="00C916E6" w:rsidRPr="00ED2B1F" w:rsidRDefault="00C916E6" w:rsidP="00C916E6"/>
    <w:p w14:paraId="52985D80" w14:textId="29FE11FD" w:rsidR="00C916E6" w:rsidRPr="00ED2B1F" w:rsidRDefault="00C916E6" w:rsidP="00C103C7">
      <w:pPr>
        <w:pStyle w:val="Table"/>
      </w:pPr>
      <w:bookmarkStart w:id="680" w:name="_Ref141109601"/>
      <w:bookmarkStart w:id="681" w:name="_Toc63764687"/>
      <w:bookmarkStart w:id="682" w:name="_Toc75176540"/>
      <w:bookmarkStart w:id="683" w:name="_Toc87430019"/>
      <w:bookmarkStart w:id="684" w:name="_Toc88561376"/>
      <w:bookmarkStart w:id="685" w:name="_Toc115188911"/>
      <w:bookmarkStart w:id="686" w:name="_Toc142314770"/>
      <w:bookmarkStart w:id="687" w:name="_Toc145394333"/>
      <w:bookmarkStart w:id="688" w:name="_Toc188699115"/>
      <w:bookmarkStart w:id="689" w:name="_Toc224638240"/>
      <w:r w:rsidRPr="00ED2B1F">
        <w:t>Table A</w:t>
      </w:r>
      <w:r w:rsidRPr="00ED2B1F">
        <w:fldChar w:fldCharType="begin"/>
      </w:r>
      <w:r w:rsidRPr="00ED2B1F">
        <w:instrText>SEQ Table_A \* ARABIC</w:instrText>
      </w:r>
      <w:r w:rsidRPr="00ED2B1F">
        <w:fldChar w:fldCharType="separate"/>
      </w:r>
      <w:r w:rsidR="00484E57">
        <w:rPr>
          <w:noProof/>
        </w:rPr>
        <w:t>1</w:t>
      </w:r>
      <w:r w:rsidRPr="00ED2B1F">
        <w:fldChar w:fldCharType="end"/>
      </w:r>
      <w:bookmarkEnd w:id="680"/>
      <w:r w:rsidRPr="00ED2B1F">
        <w:t>: Applications for compulsory treatment orders or extensions, 200</w:t>
      </w:r>
      <w:r w:rsidR="00EA3F80" w:rsidRPr="00ED2B1F">
        <w:t>9</w:t>
      </w:r>
      <w:r w:rsidRPr="00ED2B1F">
        <w:t>/</w:t>
      </w:r>
      <w:r w:rsidR="00EA3F80" w:rsidRPr="00ED2B1F">
        <w:t>10</w:t>
      </w:r>
      <w:r w:rsidRPr="00ED2B1F">
        <w:t xml:space="preserve"> to </w:t>
      </w:r>
      <w:bookmarkEnd w:id="681"/>
      <w:bookmarkEnd w:id="682"/>
      <w:bookmarkEnd w:id="683"/>
      <w:bookmarkEnd w:id="684"/>
      <w:bookmarkEnd w:id="685"/>
      <w:bookmarkEnd w:id="686"/>
      <w:bookmarkEnd w:id="687"/>
      <w:bookmarkEnd w:id="688"/>
      <w:r w:rsidR="00211D17" w:rsidRPr="00ED2B1F">
        <w:t>2023/24</w:t>
      </w:r>
      <w:bookmarkEnd w:id="689"/>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36"/>
        <w:gridCol w:w="1406"/>
        <w:gridCol w:w="1406"/>
        <w:gridCol w:w="1407"/>
        <w:gridCol w:w="1406"/>
        <w:gridCol w:w="1407"/>
      </w:tblGrid>
      <w:tr w:rsidR="00C916E6" w:rsidRPr="00ED2B1F" w14:paraId="6E95112F" w14:textId="77777777" w:rsidTr="007F3ECC">
        <w:trPr>
          <w:cantSplit/>
        </w:trPr>
        <w:tc>
          <w:tcPr>
            <w:tcW w:w="587" w:type="pct"/>
            <w:tcBorders>
              <w:top w:val="nil"/>
              <w:bottom w:val="nil"/>
            </w:tcBorders>
            <w:shd w:val="clear" w:color="auto" w:fill="D9D9D9" w:themeFill="background1" w:themeFillShade="D9"/>
          </w:tcPr>
          <w:p w14:paraId="3A47DC94" w14:textId="77777777" w:rsidR="00C916E6" w:rsidRPr="00E63593" w:rsidRDefault="00C916E6" w:rsidP="00535C2F">
            <w:pPr>
              <w:spacing w:before="60" w:after="60"/>
              <w:rPr>
                <w:b/>
                <w:sz w:val="18"/>
              </w:rPr>
            </w:pPr>
            <w:r w:rsidRPr="00E63593">
              <w:rPr>
                <w:b/>
                <w:sz w:val="18"/>
              </w:rPr>
              <w:t>Financial year</w:t>
            </w:r>
          </w:p>
        </w:tc>
        <w:tc>
          <w:tcPr>
            <w:tcW w:w="882" w:type="pct"/>
            <w:tcBorders>
              <w:top w:val="nil"/>
              <w:bottom w:val="nil"/>
            </w:tcBorders>
            <w:shd w:val="clear" w:color="auto" w:fill="D9D9D9" w:themeFill="background1" w:themeFillShade="D9"/>
          </w:tcPr>
          <w:p w14:paraId="71E5F4E0" w14:textId="77777777" w:rsidR="00C916E6" w:rsidRPr="00E63593" w:rsidRDefault="00C916E6" w:rsidP="00E63593">
            <w:pPr>
              <w:spacing w:before="60" w:after="60"/>
              <w:rPr>
                <w:b/>
                <w:sz w:val="18"/>
              </w:rPr>
            </w:pPr>
            <w:r w:rsidRPr="00E63593">
              <w:rPr>
                <w:b/>
                <w:sz w:val="18"/>
              </w:rPr>
              <w:t>Number of applications for a CTO, or extension to a CTO</w:t>
            </w:r>
          </w:p>
        </w:tc>
        <w:tc>
          <w:tcPr>
            <w:tcW w:w="882" w:type="pct"/>
            <w:tcBorders>
              <w:top w:val="nil"/>
              <w:bottom w:val="nil"/>
            </w:tcBorders>
            <w:shd w:val="clear" w:color="auto" w:fill="D9D9D9" w:themeFill="background1" w:themeFillShade="D9"/>
          </w:tcPr>
          <w:p w14:paraId="1DF030C9" w14:textId="77777777" w:rsidR="00C916E6" w:rsidRPr="00E63593" w:rsidRDefault="00C916E6" w:rsidP="00E63593">
            <w:pPr>
              <w:spacing w:before="60" w:after="60"/>
              <w:rPr>
                <w:b/>
                <w:sz w:val="18"/>
              </w:rPr>
            </w:pPr>
            <w:r w:rsidRPr="00E63593">
              <w:rPr>
                <w:b/>
                <w:sz w:val="18"/>
              </w:rPr>
              <w:t>Number of applications granted or granted with consent</w:t>
            </w:r>
          </w:p>
        </w:tc>
        <w:tc>
          <w:tcPr>
            <w:tcW w:w="883" w:type="pct"/>
            <w:tcBorders>
              <w:top w:val="nil"/>
              <w:bottom w:val="nil"/>
            </w:tcBorders>
            <w:shd w:val="clear" w:color="auto" w:fill="D9D9D9" w:themeFill="background1" w:themeFillShade="D9"/>
          </w:tcPr>
          <w:p w14:paraId="228C48CB" w14:textId="77777777" w:rsidR="00C916E6" w:rsidRPr="00E63593" w:rsidRDefault="00C916E6" w:rsidP="00E63593">
            <w:pPr>
              <w:spacing w:before="60" w:after="60"/>
              <w:rPr>
                <w:b/>
                <w:sz w:val="18"/>
              </w:rPr>
            </w:pPr>
            <w:r w:rsidRPr="00E63593">
              <w:rPr>
                <w:b/>
                <w:sz w:val="18"/>
              </w:rPr>
              <w:t>Number of applications dismissed or struck out</w:t>
            </w:r>
          </w:p>
        </w:tc>
        <w:tc>
          <w:tcPr>
            <w:tcW w:w="882" w:type="pct"/>
            <w:tcBorders>
              <w:top w:val="nil"/>
              <w:bottom w:val="nil"/>
            </w:tcBorders>
            <w:shd w:val="clear" w:color="auto" w:fill="D9D9D9" w:themeFill="background1" w:themeFillShade="D9"/>
          </w:tcPr>
          <w:p w14:paraId="7AD148F1" w14:textId="77777777" w:rsidR="00C916E6" w:rsidRPr="00E63593" w:rsidRDefault="00C916E6" w:rsidP="00E63593">
            <w:pPr>
              <w:spacing w:before="60" w:after="60"/>
              <w:rPr>
                <w:b/>
                <w:sz w:val="18"/>
              </w:rPr>
            </w:pPr>
            <w:r w:rsidRPr="00E63593">
              <w:rPr>
                <w:b/>
                <w:sz w:val="18"/>
              </w:rPr>
              <w:t>Number of applications withdrawn, lapsed or discontinued</w:t>
            </w:r>
          </w:p>
        </w:tc>
        <w:tc>
          <w:tcPr>
            <w:tcW w:w="883" w:type="pct"/>
            <w:tcBorders>
              <w:top w:val="nil"/>
              <w:bottom w:val="nil"/>
            </w:tcBorders>
            <w:shd w:val="clear" w:color="auto" w:fill="D9D9D9" w:themeFill="background1" w:themeFillShade="D9"/>
          </w:tcPr>
          <w:p w14:paraId="49E84467" w14:textId="77777777" w:rsidR="00C916E6" w:rsidRPr="00E63593" w:rsidRDefault="00C916E6" w:rsidP="00E63593">
            <w:pPr>
              <w:spacing w:before="60" w:after="60"/>
              <w:rPr>
                <w:b/>
                <w:sz w:val="18"/>
              </w:rPr>
            </w:pPr>
            <w:r w:rsidRPr="00E63593">
              <w:rPr>
                <w:b/>
                <w:sz w:val="18"/>
              </w:rPr>
              <w:t>Number of applications transferred to the High Court</w:t>
            </w:r>
          </w:p>
        </w:tc>
      </w:tr>
      <w:tr w:rsidR="00EA3F80" w:rsidRPr="00ED2B1F" w14:paraId="1E329FC6" w14:textId="77777777" w:rsidTr="007F3ECC">
        <w:trPr>
          <w:cantSplit/>
          <w:trHeight w:val="300"/>
        </w:trPr>
        <w:tc>
          <w:tcPr>
            <w:tcW w:w="587" w:type="pct"/>
            <w:tcBorders>
              <w:top w:val="nil"/>
            </w:tcBorders>
          </w:tcPr>
          <w:p w14:paraId="67C13C3F" w14:textId="0B641401" w:rsidR="00EA3F80" w:rsidRPr="00ED2B1F" w:rsidRDefault="00EA3F80" w:rsidP="00EA3F80">
            <w:pPr>
              <w:spacing w:before="60" w:after="60"/>
              <w:rPr>
                <w:sz w:val="18"/>
                <w:szCs w:val="18"/>
              </w:rPr>
            </w:pPr>
            <w:r w:rsidRPr="00ED2B1F">
              <w:rPr>
                <w:sz w:val="18"/>
                <w:szCs w:val="18"/>
              </w:rPr>
              <w:t>2009/10</w:t>
            </w:r>
          </w:p>
        </w:tc>
        <w:tc>
          <w:tcPr>
            <w:tcW w:w="882" w:type="pct"/>
            <w:tcBorders>
              <w:top w:val="nil"/>
            </w:tcBorders>
          </w:tcPr>
          <w:p w14:paraId="7B31269B" w14:textId="181ED9D8" w:rsidR="00EA3F80" w:rsidRPr="00ED2B1F" w:rsidRDefault="00EA3F80" w:rsidP="007F3ECC">
            <w:pPr>
              <w:spacing w:before="60" w:after="60"/>
              <w:ind w:right="227"/>
              <w:jc w:val="right"/>
              <w:rPr>
                <w:rFonts w:cs="Segoe UI"/>
                <w:sz w:val="18"/>
                <w:szCs w:val="18"/>
              </w:rPr>
            </w:pPr>
            <w:r w:rsidRPr="00ED2B1F">
              <w:rPr>
                <w:rFonts w:cs="Segoe UI"/>
                <w:sz w:val="18"/>
                <w:szCs w:val="18"/>
              </w:rPr>
              <w:t>4,</w:t>
            </w:r>
            <w:r w:rsidR="00015C5F" w:rsidRPr="00ED2B1F">
              <w:rPr>
                <w:rFonts w:cs="Segoe UI"/>
                <w:sz w:val="18"/>
                <w:szCs w:val="18"/>
              </w:rPr>
              <w:t>679</w:t>
            </w:r>
          </w:p>
        </w:tc>
        <w:tc>
          <w:tcPr>
            <w:tcW w:w="882" w:type="pct"/>
            <w:tcBorders>
              <w:top w:val="nil"/>
            </w:tcBorders>
          </w:tcPr>
          <w:p w14:paraId="27A313D4" w14:textId="7EFC9430" w:rsidR="00EA3F80" w:rsidRPr="00ED2B1F" w:rsidRDefault="00EA3F80" w:rsidP="007F3ECC">
            <w:pPr>
              <w:spacing w:before="60" w:after="60"/>
              <w:ind w:right="227"/>
              <w:jc w:val="right"/>
              <w:rPr>
                <w:rFonts w:cs="Segoe UI"/>
                <w:sz w:val="18"/>
                <w:szCs w:val="18"/>
              </w:rPr>
            </w:pPr>
            <w:r w:rsidRPr="00ED2B1F">
              <w:rPr>
                <w:rFonts w:cs="Segoe UI"/>
                <w:sz w:val="18"/>
                <w:szCs w:val="18"/>
              </w:rPr>
              <w:t>4,100</w:t>
            </w:r>
          </w:p>
        </w:tc>
        <w:tc>
          <w:tcPr>
            <w:tcW w:w="883" w:type="pct"/>
            <w:tcBorders>
              <w:top w:val="nil"/>
            </w:tcBorders>
          </w:tcPr>
          <w:p w14:paraId="363C67E2" w14:textId="0A2D2824"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72</w:t>
            </w:r>
          </w:p>
        </w:tc>
        <w:tc>
          <w:tcPr>
            <w:tcW w:w="882" w:type="pct"/>
            <w:tcBorders>
              <w:top w:val="nil"/>
            </w:tcBorders>
          </w:tcPr>
          <w:p w14:paraId="466A27F6" w14:textId="4A612EDB" w:rsidR="00EA3F80" w:rsidRPr="00ED2B1F" w:rsidRDefault="00EA3F80" w:rsidP="007F3ECC">
            <w:pPr>
              <w:spacing w:before="60" w:after="60"/>
              <w:ind w:right="227"/>
              <w:jc w:val="right"/>
              <w:rPr>
                <w:rFonts w:cs="Segoe UI"/>
                <w:sz w:val="18"/>
                <w:szCs w:val="18"/>
              </w:rPr>
            </w:pPr>
            <w:r w:rsidRPr="00ED2B1F">
              <w:rPr>
                <w:rFonts w:cs="Segoe UI"/>
                <w:sz w:val="18"/>
                <w:szCs w:val="18"/>
              </w:rPr>
              <w:t>507</w:t>
            </w:r>
          </w:p>
        </w:tc>
        <w:tc>
          <w:tcPr>
            <w:tcW w:w="883" w:type="pct"/>
            <w:tcBorders>
              <w:top w:val="nil"/>
            </w:tcBorders>
          </w:tcPr>
          <w:p w14:paraId="718BE08E" w14:textId="38EE07FA"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589E5068" w14:textId="77777777" w:rsidTr="00EA3F80">
        <w:trPr>
          <w:cantSplit/>
          <w:trHeight w:val="300"/>
        </w:trPr>
        <w:tc>
          <w:tcPr>
            <w:tcW w:w="587" w:type="pct"/>
          </w:tcPr>
          <w:p w14:paraId="17282FE5" w14:textId="2A52245B" w:rsidR="00EA3F80" w:rsidRPr="00ED2B1F" w:rsidRDefault="00EA3F80" w:rsidP="00EA3F80">
            <w:pPr>
              <w:spacing w:before="60" w:after="60"/>
              <w:rPr>
                <w:sz w:val="18"/>
                <w:szCs w:val="18"/>
              </w:rPr>
            </w:pPr>
            <w:r w:rsidRPr="00ED2B1F">
              <w:rPr>
                <w:sz w:val="18"/>
                <w:szCs w:val="18"/>
              </w:rPr>
              <w:t>2010/11</w:t>
            </w:r>
          </w:p>
        </w:tc>
        <w:tc>
          <w:tcPr>
            <w:tcW w:w="882" w:type="pct"/>
          </w:tcPr>
          <w:p w14:paraId="7BC22A2C" w14:textId="4A7AACF4" w:rsidR="00EA3F80" w:rsidRPr="00ED2B1F" w:rsidRDefault="00EA3F80" w:rsidP="007F3ECC">
            <w:pPr>
              <w:spacing w:before="60" w:after="60"/>
              <w:ind w:right="227"/>
              <w:jc w:val="right"/>
              <w:rPr>
                <w:rFonts w:cs="Segoe UI"/>
                <w:sz w:val="18"/>
                <w:szCs w:val="18"/>
              </w:rPr>
            </w:pPr>
            <w:r w:rsidRPr="00ED2B1F">
              <w:rPr>
                <w:rFonts w:cs="Segoe UI"/>
                <w:sz w:val="18"/>
                <w:szCs w:val="18"/>
              </w:rPr>
              <w:t>4,</w:t>
            </w:r>
            <w:r w:rsidR="00015C5F" w:rsidRPr="00ED2B1F">
              <w:rPr>
                <w:rFonts w:cs="Segoe UI"/>
                <w:sz w:val="18"/>
                <w:szCs w:val="18"/>
              </w:rPr>
              <w:t>804</w:t>
            </w:r>
          </w:p>
        </w:tc>
        <w:tc>
          <w:tcPr>
            <w:tcW w:w="882" w:type="pct"/>
          </w:tcPr>
          <w:p w14:paraId="62D8CCD9" w14:textId="19F1845D" w:rsidR="00EA3F80" w:rsidRPr="00ED2B1F" w:rsidRDefault="00EA3F80" w:rsidP="007F3ECC">
            <w:pPr>
              <w:spacing w:before="60" w:after="60"/>
              <w:ind w:right="227"/>
              <w:jc w:val="right"/>
              <w:rPr>
                <w:rFonts w:cs="Segoe UI"/>
                <w:sz w:val="18"/>
                <w:szCs w:val="18"/>
              </w:rPr>
            </w:pPr>
            <w:r w:rsidRPr="00ED2B1F">
              <w:rPr>
                <w:rFonts w:cs="Segoe UI"/>
                <w:sz w:val="18"/>
                <w:szCs w:val="18"/>
              </w:rPr>
              <w:t>4,198</w:t>
            </w:r>
          </w:p>
        </w:tc>
        <w:tc>
          <w:tcPr>
            <w:tcW w:w="883" w:type="pct"/>
          </w:tcPr>
          <w:p w14:paraId="32378C35" w14:textId="140D145B"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63</w:t>
            </w:r>
          </w:p>
        </w:tc>
        <w:tc>
          <w:tcPr>
            <w:tcW w:w="882" w:type="pct"/>
          </w:tcPr>
          <w:p w14:paraId="180A8BE6" w14:textId="2FA47E40" w:rsidR="00EA3F80" w:rsidRPr="00ED2B1F" w:rsidRDefault="00EA3F80" w:rsidP="007F3ECC">
            <w:pPr>
              <w:spacing w:before="60" w:after="60"/>
              <w:ind w:right="227"/>
              <w:jc w:val="right"/>
              <w:rPr>
                <w:rFonts w:cs="Segoe UI"/>
                <w:sz w:val="18"/>
                <w:szCs w:val="18"/>
              </w:rPr>
            </w:pPr>
            <w:r w:rsidRPr="00ED2B1F">
              <w:rPr>
                <w:rFonts w:cs="Segoe UI"/>
                <w:sz w:val="18"/>
                <w:szCs w:val="18"/>
              </w:rPr>
              <w:t>542</w:t>
            </w:r>
          </w:p>
        </w:tc>
        <w:tc>
          <w:tcPr>
            <w:tcW w:w="883" w:type="pct"/>
          </w:tcPr>
          <w:p w14:paraId="67A5A455" w14:textId="22583CF6" w:rsidR="00EA3F80" w:rsidRPr="00ED2B1F" w:rsidRDefault="00EA3F80" w:rsidP="007F3ECC">
            <w:pPr>
              <w:spacing w:before="60" w:after="60"/>
              <w:ind w:right="227"/>
              <w:jc w:val="right"/>
              <w:rPr>
                <w:rFonts w:cs="Segoe UI"/>
                <w:sz w:val="18"/>
                <w:szCs w:val="18"/>
              </w:rPr>
            </w:pPr>
            <w:r w:rsidRPr="00ED2B1F">
              <w:rPr>
                <w:rFonts w:cs="Segoe UI"/>
                <w:sz w:val="18"/>
                <w:szCs w:val="18"/>
              </w:rPr>
              <w:t>1</w:t>
            </w:r>
          </w:p>
        </w:tc>
      </w:tr>
      <w:tr w:rsidR="00EA3F80" w:rsidRPr="00ED2B1F" w14:paraId="1A720E9B" w14:textId="77777777" w:rsidTr="00EA3F80">
        <w:trPr>
          <w:cantSplit/>
          <w:trHeight w:val="300"/>
        </w:trPr>
        <w:tc>
          <w:tcPr>
            <w:tcW w:w="587" w:type="pct"/>
          </w:tcPr>
          <w:p w14:paraId="4C7F8577" w14:textId="2FD29B4F" w:rsidR="00EA3F80" w:rsidRPr="00ED2B1F" w:rsidRDefault="00EA3F80" w:rsidP="00EA3F80">
            <w:pPr>
              <w:spacing w:before="60" w:after="60"/>
              <w:rPr>
                <w:sz w:val="18"/>
                <w:szCs w:val="18"/>
              </w:rPr>
            </w:pPr>
            <w:r w:rsidRPr="00ED2B1F">
              <w:rPr>
                <w:sz w:val="18"/>
                <w:szCs w:val="18"/>
              </w:rPr>
              <w:t>2011/12</w:t>
            </w:r>
          </w:p>
        </w:tc>
        <w:tc>
          <w:tcPr>
            <w:tcW w:w="882" w:type="pct"/>
          </w:tcPr>
          <w:p w14:paraId="532FFE58" w14:textId="323581AF" w:rsidR="00EA3F80" w:rsidRPr="00ED2B1F" w:rsidRDefault="00EA3F80" w:rsidP="007F3ECC">
            <w:pPr>
              <w:spacing w:before="60" w:after="60"/>
              <w:ind w:right="227"/>
              <w:jc w:val="right"/>
              <w:rPr>
                <w:rFonts w:cs="Segoe UI"/>
                <w:sz w:val="18"/>
                <w:szCs w:val="18"/>
              </w:rPr>
            </w:pPr>
            <w:r w:rsidRPr="00ED2B1F">
              <w:rPr>
                <w:rFonts w:cs="Segoe UI"/>
                <w:sz w:val="18"/>
                <w:szCs w:val="18"/>
              </w:rPr>
              <w:t>4,</w:t>
            </w:r>
            <w:r w:rsidR="00015C5F" w:rsidRPr="00ED2B1F">
              <w:rPr>
                <w:rFonts w:cs="Segoe UI"/>
                <w:sz w:val="18"/>
                <w:szCs w:val="18"/>
              </w:rPr>
              <w:t>816</w:t>
            </w:r>
          </w:p>
        </w:tc>
        <w:tc>
          <w:tcPr>
            <w:tcW w:w="882" w:type="pct"/>
          </w:tcPr>
          <w:p w14:paraId="733D672F" w14:textId="38AE4A4B" w:rsidR="00EA3F80" w:rsidRPr="00ED2B1F" w:rsidRDefault="00EA3F80" w:rsidP="007F3ECC">
            <w:pPr>
              <w:spacing w:before="60" w:after="60"/>
              <w:ind w:right="227"/>
              <w:jc w:val="right"/>
              <w:rPr>
                <w:rFonts w:cs="Segoe UI"/>
                <w:sz w:val="18"/>
                <w:szCs w:val="18"/>
              </w:rPr>
            </w:pPr>
            <w:r w:rsidRPr="00ED2B1F">
              <w:rPr>
                <w:rFonts w:cs="Segoe UI"/>
                <w:sz w:val="18"/>
                <w:szCs w:val="18"/>
              </w:rPr>
              <w:t>4,272</w:t>
            </w:r>
          </w:p>
        </w:tc>
        <w:tc>
          <w:tcPr>
            <w:tcW w:w="883" w:type="pct"/>
          </w:tcPr>
          <w:p w14:paraId="15AC6186" w14:textId="6AA607CC"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69</w:t>
            </w:r>
          </w:p>
        </w:tc>
        <w:tc>
          <w:tcPr>
            <w:tcW w:w="882" w:type="pct"/>
          </w:tcPr>
          <w:p w14:paraId="11261771" w14:textId="79EB9A0F" w:rsidR="00EA3F80" w:rsidRPr="00ED2B1F" w:rsidRDefault="00EA3F80" w:rsidP="007F3ECC">
            <w:pPr>
              <w:spacing w:before="60" w:after="60"/>
              <w:ind w:right="227"/>
              <w:jc w:val="right"/>
              <w:rPr>
                <w:rFonts w:cs="Segoe UI"/>
                <w:sz w:val="18"/>
                <w:szCs w:val="18"/>
              </w:rPr>
            </w:pPr>
            <w:r w:rsidRPr="00ED2B1F">
              <w:rPr>
                <w:rFonts w:cs="Segoe UI"/>
                <w:sz w:val="18"/>
                <w:szCs w:val="18"/>
              </w:rPr>
              <w:t>475</w:t>
            </w:r>
          </w:p>
        </w:tc>
        <w:tc>
          <w:tcPr>
            <w:tcW w:w="883" w:type="pct"/>
          </w:tcPr>
          <w:p w14:paraId="7D5E01A5" w14:textId="4344AA97"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480A3D5D" w14:textId="77777777" w:rsidTr="00EA3F80">
        <w:trPr>
          <w:cantSplit/>
          <w:trHeight w:val="300"/>
        </w:trPr>
        <w:tc>
          <w:tcPr>
            <w:tcW w:w="587" w:type="pct"/>
          </w:tcPr>
          <w:p w14:paraId="24A706EF" w14:textId="65C20C59" w:rsidR="00EA3F80" w:rsidRPr="00ED2B1F" w:rsidRDefault="00EA3F80" w:rsidP="00EA3F80">
            <w:pPr>
              <w:spacing w:before="60" w:after="60"/>
              <w:rPr>
                <w:sz w:val="18"/>
                <w:szCs w:val="18"/>
              </w:rPr>
            </w:pPr>
            <w:r w:rsidRPr="00ED2B1F">
              <w:rPr>
                <w:sz w:val="18"/>
                <w:szCs w:val="18"/>
              </w:rPr>
              <w:t>2012/13</w:t>
            </w:r>
          </w:p>
        </w:tc>
        <w:tc>
          <w:tcPr>
            <w:tcW w:w="882" w:type="pct"/>
          </w:tcPr>
          <w:p w14:paraId="36C1C243" w14:textId="6D4687DF" w:rsidR="00EA3F80" w:rsidRPr="00ED2B1F" w:rsidRDefault="00EA3F80" w:rsidP="007F3ECC">
            <w:pPr>
              <w:spacing w:before="60" w:after="60"/>
              <w:ind w:right="227"/>
              <w:jc w:val="right"/>
              <w:rPr>
                <w:rFonts w:cs="Segoe UI"/>
                <w:sz w:val="18"/>
                <w:szCs w:val="18"/>
              </w:rPr>
            </w:pPr>
            <w:r w:rsidRPr="00ED2B1F">
              <w:rPr>
                <w:rFonts w:cs="Segoe UI"/>
                <w:sz w:val="18"/>
                <w:szCs w:val="18"/>
              </w:rPr>
              <w:t>4,</w:t>
            </w:r>
            <w:r w:rsidR="00015C5F" w:rsidRPr="00ED2B1F">
              <w:rPr>
                <w:rFonts w:cs="Segoe UI"/>
                <w:sz w:val="18"/>
                <w:szCs w:val="18"/>
              </w:rPr>
              <w:t>952</w:t>
            </w:r>
          </w:p>
        </w:tc>
        <w:tc>
          <w:tcPr>
            <w:tcW w:w="882" w:type="pct"/>
          </w:tcPr>
          <w:p w14:paraId="42464A19" w14:textId="10818DA5" w:rsidR="00EA3F80" w:rsidRPr="00ED2B1F" w:rsidRDefault="00EA3F80" w:rsidP="007F3ECC">
            <w:pPr>
              <w:spacing w:before="60" w:after="60"/>
              <w:ind w:right="227"/>
              <w:jc w:val="right"/>
              <w:rPr>
                <w:rFonts w:cs="Segoe UI"/>
                <w:sz w:val="18"/>
                <w:szCs w:val="18"/>
              </w:rPr>
            </w:pPr>
            <w:r w:rsidRPr="00ED2B1F">
              <w:rPr>
                <w:rFonts w:cs="Segoe UI"/>
                <w:sz w:val="18"/>
                <w:szCs w:val="18"/>
              </w:rPr>
              <w:t>4,480</w:t>
            </w:r>
          </w:p>
        </w:tc>
        <w:tc>
          <w:tcPr>
            <w:tcW w:w="883" w:type="pct"/>
          </w:tcPr>
          <w:p w14:paraId="1D957F0B" w14:textId="5582F3B8"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75</w:t>
            </w:r>
          </w:p>
        </w:tc>
        <w:tc>
          <w:tcPr>
            <w:tcW w:w="882" w:type="pct"/>
          </w:tcPr>
          <w:p w14:paraId="0B379A4C" w14:textId="1B128457" w:rsidR="00EA3F80" w:rsidRPr="00ED2B1F" w:rsidRDefault="00EA3F80" w:rsidP="007F3ECC">
            <w:pPr>
              <w:spacing w:before="60" w:after="60"/>
              <w:ind w:right="227"/>
              <w:jc w:val="right"/>
              <w:rPr>
                <w:rFonts w:cs="Segoe UI"/>
                <w:sz w:val="18"/>
                <w:szCs w:val="18"/>
              </w:rPr>
            </w:pPr>
            <w:r w:rsidRPr="00ED2B1F">
              <w:rPr>
                <w:rFonts w:cs="Segoe UI"/>
                <w:sz w:val="18"/>
                <w:szCs w:val="18"/>
              </w:rPr>
              <w:t>397</w:t>
            </w:r>
          </w:p>
        </w:tc>
        <w:tc>
          <w:tcPr>
            <w:tcW w:w="883" w:type="pct"/>
          </w:tcPr>
          <w:p w14:paraId="6F270C28" w14:textId="2D9DAE00"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79DD991F" w14:textId="77777777" w:rsidTr="00EA3F80">
        <w:trPr>
          <w:cantSplit/>
          <w:trHeight w:val="300"/>
        </w:trPr>
        <w:tc>
          <w:tcPr>
            <w:tcW w:w="587" w:type="pct"/>
          </w:tcPr>
          <w:p w14:paraId="4BE0E2BD" w14:textId="64172410" w:rsidR="00EA3F80" w:rsidRPr="00ED2B1F" w:rsidRDefault="00EA3F80" w:rsidP="00EA3F80">
            <w:pPr>
              <w:spacing w:before="60" w:after="60"/>
              <w:rPr>
                <w:sz w:val="18"/>
                <w:szCs w:val="18"/>
              </w:rPr>
            </w:pPr>
            <w:r w:rsidRPr="00ED2B1F">
              <w:rPr>
                <w:sz w:val="18"/>
                <w:szCs w:val="18"/>
              </w:rPr>
              <w:t>2013/14</w:t>
            </w:r>
          </w:p>
        </w:tc>
        <w:tc>
          <w:tcPr>
            <w:tcW w:w="882" w:type="pct"/>
          </w:tcPr>
          <w:p w14:paraId="0D675138" w14:textId="73C845C7"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185</w:t>
            </w:r>
          </w:p>
        </w:tc>
        <w:tc>
          <w:tcPr>
            <w:tcW w:w="882" w:type="pct"/>
          </w:tcPr>
          <w:p w14:paraId="4FA37BAD" w14:textId="639399CD" w:rsidR="00EA3F80" w:rsidRPr="00ED2B1F" w:rsidRDefault="00EA3F80" w:rsidP="007F3ECC">
            <w:pPr>
              <w:spacing w:before="60" w:after="60"/>
              <w:ind w:right="227"/>
              <w:jc w:val="right"/>
              <w:rPr>
                <w:rFonts w:cs="Segoe UI"/>
                <w:sz w:val="18"/>
                <w:szCs w:val="18"/>
              </w:rPr>
            </w:pPr>
            <w:r w:rsidRPr="00ED2B1F">
              <w:rPr>
                <w:rFonts w:cs="Segoe UI"/>
                <w:sz w:val="18"/>
                <w:szCs w:val="18"/>
              </w:rPr>
              <w:t>4,610</w:t>
            </w:r>
          </w:p>
        </w:tc>
        <w:tc>
          <w:tcPr>
            <w:tcW w:w="883" w:type="pct"/>
          </w:tcPr>
          <w:p w14:paraId="4DCC8DBD" w14:textId="426AB777"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53</w:t>
            </w:r>
          </w:p>
        </w:tc>
        <w:tc>
          <w:tcPr>
            <w:tcW w:w="882" w:type="pct"/>
          </w:tcPr>
          <w:p w14:paraId="3B666919" w14:textId="785385E5" w:rsidR="00EA3F80" w:rsidRPr="00ED2B1F" w:rsidRDefault="00EA3F80" w:rsidP="007F3ECC">
            <w:pPr>
              <w:spacing w:before="60" w:after="60"/>
              <w:ind w:right="227"/>
              <w:jc w:val="right"/>
              <w:rPr>
                <w:rFonts w:cs="Segoe UI"/>
                <w:sz w:val="18"/>
                <w:szCs w:val="18"/>
              </w:rPr>
            </w:pPr>
            <w:r w:rsidRPr="00ED2B1F">
              <w:rPr>
                <w:rFonts w:cs="Segoe UI"/>
                <w:sz w:val="18"/>
                <w:szCs w:val="18"/>
              </w:rPr>
              <w:t>522</w:t>
            </w:r>
          </w:p>
        </w:tc>
        <w:tc>
          <w:tcPr>
            <w:tcW w:w="883" w:type="pct"/>
          </w:tcPr>
          <w:p w14:paraId="62DAAAF6" w14:textId="5B1A5C46"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37B69B25" w14:textId="77777777" w:rsidTr="00EA3F80">
        <w:trPr>
          <w:cantSplit/>
          <w:trHeight w:val="300"/>
        </w:trPr>
        <w:tc>
          <w:tcPr>
            <w:tcW w:w="587" w:type="pct"/>
          </w:tcPr>
          <w:p w14:paraId="454840D5" w14:textId="53E6E708" w:rsidR="00EA3F80" w:rsidRPr="00ED2B1F" w:rsidRDefault="00EA3F80" w:rsidP="00EA3F80">
            <w:pPr>
              <w:spacing w:before="60" w:after="60"/>
              <w:rPr>
                <w:w w:val="105"/>
                <w:sz w:val="18"/>
                <w:szCs w:val="18"/>
              </w:rPr>
            </w:pPr>
            <w:r w:rsidRPr="00ED2B1F">
              <w:rPr>
                <w:sz w:val="18"/>
                <w:szCs w:val="18"/>
              </w:rPr>
              <w:t>2014/15</w:t>
            </w:r>
          </w:p>
        </w:tc>
        <w:tc>
          <w:tcPr>
            <w:tcW w:w="882" w:type="pct"/>
          </w:tcPr>
          <w:p w14:paraId="7FEC0DE8" w14:textId="13E6A6DA"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210</w:t>
            </w:r>
          </w:p>
        </w:tc>
        <w:tc>
          <w:tcPr>
            <w:tcW w:w="882" w:type="pct"/>
          </w:tcPr>
          <w:p w14:paraId="1DDE7804" w14:textId="0BCF1798" w:rsidR="00EA3F80" w:rsidRPr="00ED2B1F" w:rsidRDefault="00EA3F80" w:rsidP="007F3ECC">
            <w:pPr>
              <w:spacing w:before="60" w:after="60"/>
              <w:ind w:right="227"/>
              <w:jc w:val="right"/>
              <w:rPr>
                <w:rFonts w:cs="Segoe UI"/>
                <w:sz w:val="18"/>
                <w:szCs w:val="18"/>
              </w:rPr>
            </w:pPr>
            <w:r w:rsidRPr="00ED2B1F">
              <w:rPr>
                <w:rFonts w:cs="Segoe UI"/>
                <w:sz w:val="18"/>
                <w:szCs w:val="18"/>
              </w:rPr>
              <w:t>4,629</w:t>
            </w:r>
          </w:p>
        </w:tc>
        <w:tc>
          <w:tcPr>
            <w:tcW w:w="883" w:type="pct"/>
          </w:tcPr>
          <w:p w14:paraId="7AAEF94E" w14:textId="0EFFB0BA"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55</w:t>
            </w:r>
          </w:p>
        </w:tc>
        <w:tc>
          <w:tcPr>
            <w:tcW w:w="882" w:type="pct"/>
          </w:tcPr>
          <w:p w14:paraId="259F2CF5" w14:textId="5971DEFD" w:rsidR="00EA3F80" w:rsidRPr="00ED2B1F" w:rsidRDefault="00EA3F80" w:rsidP="007F3ECC">
            <w:pPr>
              <w:spacing w:before="60" w:after="60"/>
              <w:ind w:right="227"/>
              <w:jc w:val="right"/>
              <w:rPr>
                <w:rFonts w:cs="Segoe UI"/>
                <w:sz w:val="18"/>
                <w:szCs w:val="18"/>
              </w:rPr>
            </w:pPr>
            <w:r w:rsidRPr="00ED2B1F">
              <w:rPr>
                <w:rFonts w:cs="Segoe UI"/>
                <w:sz w:val="18"/>
                <w:szCs w:val="18"/>
              </w:rPr>
              <w:t>526</w:t>
            </w:r>
          </w:p>
        </w:tc>
        <w:tc>
          <w:tcPr>
            <w:tcW w:w="883" w:type="pct"/>
          </w:tcPr>
          <w:p w14:paraId="668C8426" w14:textId="74582239"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184577B9" w14:textId="77777777" w:rsidTr="00EA3F80">
        <w:trPr>
          <w:cantSplit/>
          <w:trHeight w:val="300"/>
        </w:trPr>
        <w:tc>
          <w:tcPr>
            <w:tcW w:w="587" w:type="pct"/>
          </w:tcPr>
          <w:p w14:paraId="736A9F26" w14:textId="34C043A7" w:rsidR="00EA3F80" w:rsidRPr="00ED2B1F" w:rsidRDefault="00EA3F80" w:rsidP="00EA3F80">
            <w:pPr>
              <w:spacing w:before="60" w:after="60"/>
              <w:rPr>
                <w:w w:val="105"/>
                <w:sz w:val="18"/>
                <w:szCs w:val="18"/>
              </w:rPr>
            </w:pPr>
            <w:r w:rsidRPr="00ED2B1F">
              <w:rPr>
                <w:sz w:val="18"/>
                <w:szCs w:val="18"/>
              </w:rPr>
              <w:t>2015/16</w:t>
            </w:r>
          </w:p>
        </w:tc>
        <w:tc>
          <w:tcPr>
            <w:tcW w:w="882" w:type="pct"/>
          </w:tcPr>
          <w:p w14:paraId="5C68644C" w14:textId="7D5B04B1"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529</w:t>
            </w:r>
          </w:p>
        </w:tc>
        <w:tc>
          <w:tcPr>
            <w:tcW w:w="882" w:type="pct"/>
          </w:tcPr>
          <w:p w14:paraId="2BDC9C3D" w14:textId="69B7FF5D" w:rsidR="00EA3F80" w:rsidRPr="00ED2B1F" w:rsidRDefault="00EA3F80" w:rsidP="007F3ECC">
            <w:pPr>
              <w:spacing w:before="60" w:after="60"/>
              <w:ind w:right="227"/>
              <w:jc w:val="right"/>
              <w:rPr>
                <w:rFonts w:cs="Segoe UI"/>
                <w:sz w:val="18"/>
                <w:szCs w:val="18"/>
              </w:rPr>
            </w:pPr>
            <w:r w:rsidRPr="00ED2B1F">
              <w:rPr>
                <w:rFonts w:cs="Segoe UI"/>
                <w:sz w:val="18"/>
                <w:szCs w:val="18"/>
              </w:rPr>
              <w:t>4,918</w:t>
            </w:r>
          </w:p>
        </w:tc>
        <w:tc>
          <w:tcPr>
            <w:tcW w:w="883" w:type="pct"/>
          </w:tcPr>
          <w:p w14:paraId="4962A7D3" w14:textId="0AC2E185"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51</w:t>
            </w:r>
          </w:p>
        </w:tc>
        <w:tc>
          <w:tcPr>
            <w:tcW w:w="882" w:type="pct"/>
          </w:tcPr>
          <w:p w14:paraId="68CD376C" w14:textId="012516C0" w:rsidR="00EA3F80" w:rsidRPr="00ED2B1F" w:rsidRDefault="00EA3F80" w:rsidP="007F3ECC">
            <w:pPr>
              <w:spacing w:before="60" w:after="60"/>
              <w:ind w:right="227"/>
              <w:jc w:val="right"/>
              <w:rPr>
                <w:rFonts w:cs="Segoe UI"/>
                <w:sz w:val="18"/>
                <w:szCs w:val="18"/>
              </w:rPr>
            </w:pPr>
            <w:r w:rsidRPr="00ED2B1F">
              <w:rPr>
                <w:rFonts w:cs="Segoe UI"/>
                <w:sz w:val="18"/>
                <w:szCs w:val="18"/>
              </w:rPr>
              <w:t>560</w:t>
            </w:r>
          </w:p>
        </w:tc>
        <w:tc>
          <w:tcPr>
            <w:tcW w:w="883" w:type="pct"/>
          </w:tcPr>
          <w:p w14:paraId="23D4080C" w14:textId="4F5F6170"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1CA7EFA9" w14:textId="77777777" w:rsidTr="00EA3F80">
        <w:trPr>
          <w:cantSplit/>
          <w:trHeight w:val="300"/>
        </w:trPr>
        <w:tc>
          <w:tcPr>
            <w:tcW w:w="587" w:type="pct"/>
          </w:tcPr>
          <w:p w14:paraId="3C0EB2FF" w14:textId="05682CCD" w:rsidR="00EA3F80" w:rsidRPr="00ED2B1F" w:rsidRDefault="00EA3F80" w:rsidP="00EA3F80">
            <w:pPr>
              <w:spacing w:before="60" w:after="60"/>
              <w:rPr>
                <w:w w:val="105"/>
                <w:sz w:val="18"/>
                <w:szCs w:val="18"/>
              </w:rPr>
            </w:pPr>
            <w:r w:rsidRPr="00ED2B1F">
              <w:rPr>
                <w:sz w:val="18"/>
                <w:szCs w:val="18"/>
              </w:rPr>
              <w:t>2016/17</w:t>
            </w:r>
          </w:p>
        </w:tc>
        <w:tc>
          <w:tcPr>
            <w:tcW w:w="882" w:type="pct"/>
          </w:tcPr>
          <w:p w14:paraId="1AF5C2B8" w14:textId="6E48F55F"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563</w:t>
            </w:r>
          </w:p>
        </w:tc>
        <w:tc>
          <w:tcPr>
            <w:tcW w:w="882" w:type="pct"/>
          </w:tcPr>
          <w:p w14:paraId="613BDDC4" w14:textId="7613A3F4" w:rsidR="00EA3F80" w:rsidRPr="00ED2B1F" w:rsidRDefault="00EA3F80" w:rsidP="007F3ECC">
            <w:pPr>
              <w:spacing w:before="60" w:after="60"/>
              <w:ind w:right="227"/>
              <w:jc w:val="right"/>
              <w:rPr>
                <w:rFonts w:cs="Segoe UI"/>
                <w:sz w:val="18"/>
                <w:szCs w:val="18"/>
              </w:rPr>
            </w:pPr>
            <w:r w:rsidRPr="00ED2B1F">
              <w:rPr>
                <w:rFonts w:cs="Segoe UI"/>
                <w:sz w:val="18"/>
                <w:szCs w:val="18"/>
              </w:rPr>
              <w:t>4,927</w:t>
            </w:r>
          </w:p>
        </w:tc>
        <w:tc>
          <w:tcPr>
            <w:tcW w:w="883" w:type="pct"/>
          </w:tcPr>
          <w:p w14:paraId="50B788A3" w14:textId="26D817AB"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73</w:t>
            </w:r>
          </w:p>
        </w:tc>
        <w:tc>
          <w:tcPr>
            <w:tcW w:w="882" w:type="pct"/>
          </w:tcPr>
          <w:p w14:paraId="2C01A64A" w14:textId="5EA46019" w:rsidR="00EA3F80" w:rsidRPr="00ED2B1F" w:rsidRDefault="00EA3F80" w:rsidP="007F3ECC">
            <w:pPr>
              <w:spacing w:before="60" w:after="60"/>
              <w:ind w:right="227"/>
              <w:jc w:val="right"/>
              <w:rPr>
                <w:rFonts w:cs="Segoe UI"/>
                <w:sz w:val="18"/>
                <w:szCs w:val="18"/>
              </w:rPr>
            </w:pPr>
            <w:r w:rsidRPr="00ED2B1F">
              <w:rPr>
                <w:rFonts w:cs="Segoe UI"/>
                <w:sz w:val="18"/>
                <w:szCs w:val="18"/>
              </w:rPr>
              <w:t>563</w:t>
            </w:r>
          </w:p>
        </w:tc>
        <w:tc>
          <w:tcPr>
            <w:tcW w:w="883" w:type="pct"/>
          </w:tcPr>
          <w:p w14:paraId="56552CE3" w14:textId="3587EFED"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4614A9D4" w14:textId="77777777" w:rsidTr="00EA3F80">
        <w:trPr>
          <w:cantSplit/>
          <w:trHeight w:val="300"/>
        </w:trPr>
        <w:tc>
          <w:tcPr>
            <w:tcW w:w="587" w:type="pct"/>
          </w:tcPr>
          <w:p w14:paraId="71A1EF26" w14:textId="5F9A5BAA" w:rsidR="00EA3F80" w:rsidRPr="00ED2B1F" w:rsidRDefault="00EA3F80" w:rsidP="00EA3F80">
            <w:pPr>
              <w:spacing w:before="60" w:after="60"/>
              <w:rPr>
                <w:w w:val="105"/>
                <w:sz w:val="18"/>
                <w:szCs w:val="18"/>
              </w:rPr>
            </w:pPr>
            <w:r w:rsidRPr="00ED2B1F">
              <w:rPr>
                <w:sz w:val="18"/>
                <w:szCs w:val="18"/>
              </w:rPr>
              <w:t>2017/18</w:t>
            </w:r>
          </w:p>
        </w:tc>
        <w:tc>
          <w:tcPr>
            <w:tcW w:w="882" w:type="pct"/>
          </w:tcPr>
          <w:p w14:paraId="6C606CF4" w14:textId="3DCB0B0E"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599</w:t>
            </w:r>
          </w:p>
        </w:tc>
        <w:tc>
          <w:tcPr>
            <w:tcW w:w="882" w:type="pct"/>
          </w:tcPr>
          <w:p w14:paraId="4A40B910" w14:textId="5D315F32" w:rsidR="00EA3F80" w:rsidRPr="00ED2B1F" w:rsidRDefault="00EA3F80" w:rsidP="007F3ECC">
            <w:pPr>
              <w:spacing w:before="60" w:after="60"/>
              <w:ind w:right="227"/>
              <w:jc w:val="right"/>
              <w:rPr>
                <w:rFonts w:cs="Segoe UI"/>
                <w:sz w:val="18"/>
                <w:szCs w:val="18"/>
              </w:rPr>
            </w:pPr>
            <w:r w:rsidRPr="00ED2B1F">
              <w:rPr>
                <w:rFonts w:cs="Segoe UI"/>
                <w:sz w:val="18"/>
                <w:szCs w:val="18"/>
              </w:rPr>
              <w:t>4,959</w:t>
            </w:r>
          </w:p>
        </w:tc>
        <w:tc>
          <w:tcPr>
            <w:tcW w:w="883" w:type="pct"/>
          </w:tcPr>
          <w:p w14:paraId="30086E5C" w14:textId="77DA5659"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74</w:t>
            </w:r>
          </w:p>
        </w:tc>
        <w:tc>
          <w:tcPr>
            <w:tcW w:w="882" w:type="pct"/>
          </w:tcPr>
          <w:p w14:paraId="4E7E8734" w14:textId="5322B4ED" w:rsidR="00EA3F80" w:rsidRPr="00ED2B1F" w:rsidRDefault="00EA3F80" w:rsidP="007F3ECC">
            <w:pPr>
              <w:spacing w:before="60" w:after="60"/>
              <w:ind w:right="227"/>
              <w:jc w:val="right"/>
              <w:rPr>
                <w:rFonts w:cs="Segoe UI"/>
                <w:sz w:val="18"/>
                <w:szCs w:val="18"/>
              </w:rPr>
            </w:pPr>
            <w:r w:rsidRPr="00ED2B1F">
              <w:rPr>
                <w:rFonts w:cs="Segoe UI"/>
                <w:sz w:val="18"/>
                <w:szCs w:val="18"/>
              </w:rPr>
              <w:t>566</w:t>
            </w:r>
          </w:p>
        </w:tc>
        <w:tc>
          <w:tcPr>
            <w:tcW w:w="883" w:type="pct"/>
          </w:tcPr>
          <w:p w14:paraId="6715B02D" w14:textId="5B96FBA4"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6170C405" w14:textId="77777777" w:rsidTr="00EA3F80">
        <w:trPr>
          <w:cantSplit/>
          <w:trHeight w:val="300"/>
        </w:trPr>
        <w:tc>
          <w:tcPr>
            <w:tcW w:w="587" w:type="pct"/>
          </w:tcPr>
          <w:p w14:paraId="21C4110B" w14:textId="2E9EE052" w:rsidR="00EA3F80" w:rsidRPr="00ED2B1F" w:rsidRDefault="00EA3F80" w:rsidP="00EA3F80">
            <w:pPr>
              <w:spacing w:before="60" w:after="60"/>
              <w:rPr>
                <w:w w:val="105"/>
                <w:sz w:val="18"/>
                <w:szCs w:val="18"/>
              </w:rPr>
            </w:pPr>
            <w:r w:rsidRPr="00ED2B1F">
              <w:rPr>
                <w:sz w:val="18"/>
                <w:szCs w:val="18"/>
              </w:rPr>
              <w:t>2018/19</w:t>
            </w:r>
          </w:p>
        </w:tc>
        <w:tc>
          <w:tcPr>
            <w:tcW w:w="882" w:type="pct"/>
          </w:tcPr>
          <w:p w14:paraId="79CEA377" w14:textId="450705F2"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607</w:t>
            </w:r>
          </w:p>
        </w:tc>
        <w:tc>
          <w:tcPr>
            <w:tcW w:w="882" w:type="pct"/>
          </w:tcPr>
          <w:p w14:paraId="07620F95" w14:textId="2EA3252E" w:rsidR="00EA3F80" w:rsidRPr="00ED2B1F" w:rsidRDefault="00EA3F80" w:rsidP="007F3ECC">
            <w:pPr>
              <w:spacing w:before="60" w:after="60"/>
              <w:ind w:right="227"/>
              <w:jc w:val="right"/>
              <w:rPr>
                <w:rFonts w:cs="Segoe UI"/>
                <w:sz w:val="18"/>
                <w:szCs w:val="18"/>
              </w:rPr>
            </w:pPr>
            <w:r w:rsidRPr="00ED2B1F">
              <w:rPr>
                <w:rFonts w:cs="Segoe UI"/>
                <w:sz w:val="18"/>
                <w:szCs w:val="18"/>
              </w:rPr>
              <w:t>4,972</w:t>
            </w:r>
          </w:p>
        </w:tc>
        <w:tc>
          <w:tcPr>
            <w:tcW w:w="883" w:type="pct"/>
          </w:tcPr>
          <w:p w14:paraId="57FC8AA3" w14:textId="06BDB602"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64</w:t>
            </w:r>
          </w:p>
        </w:tc>
        <w:tc>
          <w:tcPr>
            <w:tcW w:w="882" w:type="pct"/>
          </w:tcPr>
          <w:p w14:paraId="0E5F824F" w14:textId="00D4C5EE" w:rsidR="00EA3F80" w:rsidRPr="00ED2B1F" w:rsidRDefault="00EA3F80" w:rsidP="007F3ECC">
            <w:pPr>
              <w:spacing w:before="60" w:after="60"/>
              <w:ind w:right="227"/>
              <w:jc w:val="right"/>
              <w:rPr>
                <w:rFonts w:cs="Segoe UI"/>
                <w:sz w:val="18"/>
                <w:szCs w:val="18"/>
              </w:rPr>
            </w:pPr>
            <w:r w:rsidRPr="00ED2B1F">
              <w:rPr>
                <w:rFonts w:cs="Segoe UI"/>
                <w:sz w:val="18"/>
                <w:szCs w:val="18"/>
              </w:rPr>
              <w:t>571</w:t>
            </w:r>
          </w:p>
        </w:tc>
        <w:tc>
          <w:tcPr>
            <w:tcW w:w="883" w:type="pct"/>
          </w:tcPr>
          <w:p w14:paraId="0116C42E" w14:textId="5FCE4D58"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421791B5" w14:textId="77777777" w:rsidTr="00EA3F80">
        <w:trPr>
          <w:cantSplit/>
          <w:trHeight w:val="300"/>
        </w:trPr>
        <w:tc>
          <w:tcPr>
            <w:tcW w:w="587" w:type="pct"/>
          </w:tcPr>
          <w:p w14:paraId="3E1CCD35" w14:textId="296F5C0E" w:rsidR="00EA3F80" w:rsidRPr="00ED2B1F" w:rsidRDefault="00EA3F80" w:rsidP="00EA3F80">
            <w:pPr>
              <w:spacing w:before="60" w:after="60"/>
              <w:rPr>
                <w:w w:val="105"/>
                <w:sz w:val="18"/>
                <w:szCs w:val="18"/>
              </w:rPr>
            </w:pPr>
            <w:r w:rsidRPr="00ED2B1F">
              <w:rPr>
                <w:sz w:val="18"/>
                <w:szCs w:val="18"/>
              </w:rPr>
              <w:t>2019/20</w:t>
            </w:r>
          </w:p>
        </w:tc>
        <w:tc>
          <w:tcPr>
            <w:tcW w:w="882" w:type="pct"/>
          </w:tcPr>
          <w:p w14:paraId="71F943F1" w14:textId="63B3E613"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695</w:t>
            </w:r>
          </w:p>
        </w:tc>
        <w:tc>
          <w:tcPr>
            <w:tcW w:w="882" w:type="pct"/>
          </w:tcPr>
          <w:p w14:paraId="02B05EA7" w14:textId="4DA1FBA9"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021</w:t>
            </w:r>
          </w:p>
        </w:tc>
        <w:tc>
          <w:tcPr>
            <w:tcW w:w="883" w:type="pct"/>
          </w:tcPr>
          <w:p w14:paraId="432BE7F0" w14:textId="744162E5"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52</w:t>
            </w:r>
          </w:p>
        </w:tc>
        <w:tc>
          <w:tcPr>
            <w:tcW w:w="882" w:type="pct"/>
          </w:tcPr>
          <w:p w14:paraId="066DAFAB" w14:textId="29956F60" w:rsidR="00EA3F80" w:rsidRPr="00ED2B1F" w:rsidRDefault="00EA3F80" w:rsidP="007F3ECC">
            <w:pPr>
              <w:spacing w:before="60" w:after="60"/>
              <w:ind w:right="227"/>
              <w:jc w:val="right"/>
              <w:rPr>
                <w:rFonts w:cs="Segoe UI"/>
                <w:sz w:val="18"/>
                <w:szCs w:val="18"/>
              </w:rPr>
            </w:pPr>
            <w:r w:rsidRPr="00ED2B1F">
              <w:rPr>
                <w:rFonts w:cs="Segoe UI"/>
                <w:sz w:val="18"/>
                <w:szCs w:val="18"/>
              </w:rPr>
              <w:t>622</w:t>
            </w:r>
          </w:p>
        </w:tc>
        <w:tc>
          <w:tcPr>
            <w:tcW w:w="883" w:type="pct"/>
          </w:tcPr>
          <w:p w14:paraId="38F8F68F" w14:textId="45A17AAA"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3CA11596" w14:textId="77777777" w:rsidTr="00EA3F80">
        <w:trPr>
          <w:cantSplit/>
          <w:trHeight w:val="300"/>
        </w:trPr>
        <w:tc>
          <w:tcPr>
            <w:tcW w:w="587" w:type="pct"/>
          </w:tcPr>
          <w:p w14:paraId="1D3DAAB7" w14:textId="775AAB5D" w:rsidR="00EA3F80" w:rsidRPr="00ED2B1F" w:rsidRDefault="00EA3F80" w:rsidP="00EA3F80">
            <w:pPr>
              <w:spacing w:before="60" w:after="60"/>
              <w:rPr>
                <w:w w:val="105"/>
                <w:sz w:val="18"/>
                <w:szCs w:val="18"/>
              </w:rPr>
            </w:pPr>
            <w:r w:rsidRPr="00ED2B1F">
              <w:rPr>
                <w:sz w:val="18"/>
                <w:szCs w:val="18"/>
              </w:rPr>
              <w:t>2020/21</w:t>
            </w:r>
          </w:p>
        </w:tc>
        <w:tc>
          <w:tcPr>
            <w:tcW w:w="882" w:type="pct"/>
          </w:tcPr>
          <w:p w14:paraId="61CAFFC7" w14:textId="7ACBE2DC"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932</w:t>
            </w:r>
          </w:p>
        </w:tc>
        <w:tc>
          <w:tcPr>
            <w:tcW w:w="882" w:type="pct"/>
          </w:tcPr>
          <w:p w14:paraId="43C35234" w14:textId="13F17117" w:rsidR="00EA3F80" w:rsidRPr="00ED2B1F" w:rsidRDefault="00EA3F80" w:rsidP="007F3ECC">
            <w:pPr>
              <w:spacing w:before="60" w:after="60"/>
              <w:ind w:right="227"/>
              <w:jc w:val="right"/>
              <w:rPr>
                <w:rFonts w:cs="Segoe UI"/>
                <w:sz w:val="18"/>
                <w:szCs w:val="18"/>
              </w:rPr>
            </w:pPr>
            <w:r w:rsidRPr="00ED2B1F">
              <w:rPr>
                <w:rFonts w:cs="Segoe UI"/>
                <w:sz w:val="18"/>
                <w:szCs w:val="18"/>
              </w:rPr>
              <w:t>5,</w:t>
            </w:r>
            <w:r w:rsidR="00015C5F" w:rsidRPr="00ED2B1F">
              <w:rPr>
                <w:rFonts w:cs="Segoe UI"/>
                <w:sz w:val="18"/>
                <w:szCs w:val="18"/>
              </w:rPr>
              <w:t>244</w:t>
            </w:r>
          </w:p>
        </w:tc>
        <w:tc>
          <w:tcPr>
            <w:tcW w:w="883" w:type="pct"/>
          </w:tcPr>
          <w:p w14:paraId="373577B9" w14:textId="0E198075"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62</w:t>
            </w:r>
          </w:p>
        </w:tc>
        <w:tc>
          <w:tcPr>
            <w:tcW w:w="882" w:type="pct"/>
          </w:tcPr>
          <w:p w14:paraId="193EBE17" w14:textId="5A639C1A" w:rsidR="00EA3F80" w:rsidRPr="00ED2B1F" w:rsidRDefault="00EA3F80" w:rsidP="007F3ECC">
            <w:pPr>
              <w:spacing w:before="60" w:after="60"/>
              <w:ind w:right="227"/>
              <w:jc w:val="right"/>
              <w:rPr>
                <w:rFonts w:cs="Segoe UI"/>
                <w:sz w:val="18"/>
                <w:szCs w:val="18"/>
              </w:rPr>
            </w:pPr>
            <w:r w:rsidRPr="00ED2B1F">
              <w:rPr>
                <w:rFonts w:cs="Segoe UI"/>
                <w:sz w:val="18"/>
                <w:szCs w:val="18"/>
              </w:rPr>
              <w:t>626</w:t>
            </w:r>
          </w:p>
        </w:tc>
        <w:tc>
          <w:tcPr>
            <w:tcW w:w="883" w:type="pct"/>
          </w:tcPr>
          <w:p w14:paraId="170F2F95" w14:textId="52A0C46C" w:rsidR="00EA3F80" w:rsidRPr="00ED2B1F" w:rsidRDefault="00EA3F80" w:rsidP="007F3ECC">
            <w:pPr>
              <w:spacing w:before="60" w:after="60"/>
              <w:ind w:right="227"/>
              <w:jc w:val="right"/>
              <w:rPr>
                <w:rFonts w:cs="Segoe UI"/>
                <w:sz w:val="18"/>
                <w:szCs w:val="18"/>
              </w:rPr>
            </w:pPr>
            <w:r w:rsidRPr="00ED2B1F">
              <w:rPr>
                <w:rFonts w:cs="Segoe UI"/>
                <w:sz w:val="18"/>
                <w:szCs w:val="18"/>
              </w:rPr>
              <w:t>0</w:t>
            </w:r>
          </w:p>
        </w:tc>
      </w:tr>
      <w:tr w:rsidR="00EA3F80" w:rsidRPr="00ED2B1F" w14:paraId="05C2EF47" w14:textId="77777777" w:rsidTr="00EA3F80">
        <w:trPr>
          <w:cantSplit/>
          <w:trHeight w:val="300"/>
        </w:trPr>
        <w:tc>
          <w:tcPr>
            <w:tcW w:w="587" w:type="pct"/>
          </w:tcPr>
          <w:p w14:paraId="0AC5E6A6" w14:textId="14672295" w:rsidR="00EA3F80" w:rsidRPr="00ED2B1F" w:rsidRDefault="00EA3F80" w:rsidP="00EA3F80">
            <w:pPr>
              <w:spacing w:before="60" w:after="60"/>
              <w:rPr>
                <w:w w:val="105"/>
                <w:sz w:val="18"/>
                <w:szCs w:val="18"/>
              </w:rPr>
            </w:pPr>
            <w:r w:rsidRPr="00ED2B1F">
              <w:rPr>
                <w:sz w:val="18"/>
                <w:szCs w:val="18"/>
              </w:rPr>
              <w:t>2021/22</w:t>
            </w:r>
          </w:p>
        </w:tc>
        <w:tc>
          <w:tcPr>
            <w:tcW w:w="882" w:type="pct"/>
          </w:tcPr>
          <w:p w14:paraId="652E28E6" w14:textId="5AF36DD6" w:rsidR="00EA3F80" w:rsidRPr="00ED2B1F" w:rsidRDefault="00EA3F80" w:rsidP="007F3ECC">
            <w:pPr>
              <w:spacing w:before="60" w:after="60"/>
              <w:ind w:right="227"/>
              <w:jc w:val="right"/>
              <w:rPr>
                <w:rFonts w:cs="Segoe UI"/>
                <w:sz w:val="18"/>
                <w:szCs w:val="18"/>
              </w:rPr>
            </w:pPr>
            <w:r w:rsidRPr="00ED2B1F">
              <w:rPr>
                <w:rFonts w:cs="Segoe UI"/>
                <w:sz w:val="18"/>
                <w:szCs w:val="18"/>
              </w:rPr>
              <w:t>6,</w:t>
            </w:r>
            <w:r w:rsidR="00015C5F" w:rsidRPr="00ED2B1F">
              <w:rPr>
                <w:rFonts w:cs="Segoe UI"/>
                <w:sz w:val="18"/>
                <w:szCs w:val="18"/>
              </w:rPr>
              <w:t>082</w:t>
            </w:r>
          </w:p>
        </w:tc>
        <w:tc>
          <w:tcPr>
            <w:tcW w:w="882" w:type="pct"/>
          </w:tcPr>
          <w:p w14:paraId="36E3DB0B" w14:textId="14BF86F6" w:rsidR="00EA3F80" w:rsidRPr="00ED2B1F" w:rsidRDefault="00EA3F80" w:rsidP="007F3ECC">
            <w:pPr>
              <w:spacing w:before="60" w:after="60"/>
              <w:ind w:right="227"/>
              <w:jc w:val="right"/>
              <w:rPr>
                <w:rFonts w:cs="Segoe UI"/>
                <w:sz w:val="18"/>
                <w:szCs w:val="18"/>
              </w:rPr>
            </w:pPr>
            <w:r w:rsidRPr="00ED2B1F">
              <w:rPr>
                <w:rFonts w:cs="Segoe UI"/>
                <w:sz w:val="18"/>
                <w:szCs w:val="18"/>
              </w:rPr>
              <w:t>5,376</w:t>
            </w:r>
          </w:p>
        </w:tc>
        <w:tc>
          <w:tcPr>
            <w:tcW w:w="883" w:type="pct"/>
          </w:tcPr>
          <w:p w14:paraId="5E570684" w14:textId="01753ACD"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75</w:t>
            </w:r>
          </w:p>
        </w:tc>
        <w:tc>
          <w:tcPr>
            <w:tcW w:w="882" w:type="pct"/>
          </w:tcPr>
          <w:p w14:paraId="4BA1E7C5" w14:textId="61E0EE85" w:rsidR="00EA3F80" w:rsidRPr="00ED2B1F" w:rsidRDefault="00EA3F80" w:rsidP="007F3ECC">
            <w:pPr>
              <w:spacing w:before="60" w:after="60"/>
              <w:ind w:right="227"/>
              <w:jc w:val="right"/>
              <w:rPr>
                <w:rFonts w:cs="Segoe UI"/>
                <w:sz w:val="18"/>
                <w:szCs w:val="18"/>
              </w:rPr>
            </w:pPr>
            <w:r w:rsidRPr="00ED2B1F">
              <w:rPr>
                <w:rFonts w:cs="Segoe UI"/>
                <w:sz w:val="18"/>
                <w:szCs w:val="18"/>
              </w:rPr>
              <w:t>631</w:t>
            </w:r>
          </w:p>
        </w:tc>
        <w:tc>
          <w:tcPr>
            <w:tcW w:w="883" w:type="pct"/>
          </w:tcPr>
          <w:p w14:paraId="1D454709" w14:textId="50599687" w:rsidR="00EA3F80" w:rsidRPr="00ED2B1F" w:rsidRDefault="00EA3F80" w:rsidP="007F3ECC">
            <w:pPr>
              <w:spacing w:before="60" w:after="60"/>
              <w:ind w:right="227"/>
              <w:jc w:val="right"/>
              <w:rPr>
                <w:rFonts w:cs="Segoe UI"/>
                <w:w w:val="102"/>
                <w:sz w:val="18"/>
                <w:szCs w:val="18"/>
              </w:rPr>
            </w:pPr>
            <w:r w:rsidRPr="00ED2B1F">
              <w:rPr>
                <w:rFonts w:cs="Segoe UI"/>
                <w:sz w:val="18"/>
                <w:szCs w:val="18"/>
              </w:rPr>
              <w:t>0</w:t>
            </w:r>
          </w:p>
        </w:tc>
      </w:tr>
      <w:tr w:rsidR="00EA3F80" w:rsidRPr="00ED2B1F" w14:paraId="698054D1" w14:textId="77777777" w:rsidTr="00EA3F80">
        <w:trPr>
          <w:cantSplit/>
          <w:trHeight w:val="300"/>
        </w:trPr>
        <w:tc>
          <w:tcPr>
            <w:tcW w:w="587" w:type="pct"/>
          </w:tcPr>
          <w:p w14:paraId="22622374" w14:textId="21D34773" w:rsidR="00EA3F80" w:rsidRPr="00ED2B1F" w:rsidRDefault="00EA3F80" w:rsidP="00EA3F80">
            <w:pPr>
              <w:spacing w:before="60" w:after="60"/>
              <w:rPr>
                <w:w w:val="105"/>
                <w:sz w:val="18"/>
                <w:szCs w:val="18"/>
              </w:rPr>
            </w:pPr>
            <w:r w:rsidRPr="00ED2B1F">
              <w:rPr>
                <w:sz w:val="18"/>
                <w:szCs w:val="18"/>
              </w:rPr>
              <w:t>2022/23</w:t>
            </w:r>
          </w:p>
        </w:tc>
        <w:tc>
          <w:tcPr>
            <w:tcW w:w="882" w:type="pct"/>
          </w:tcPr>
          <w:p w14:paraId="29F6D682" w14:textId="1C0F35DA" w:rsidR="00EA3F80" w:rsidRPr="00ED2B1F" w:rsidRDefault="00EA3F80" w:rsidP="007F3ECC">
            <w:pPr>
              <w:spacing w:before="60" w:after="60"/>
              <w:ind w:right="227"/>
              <w:jc w:val="right"/>
              <w:rPr>
                <w:rFonts w:cs="Segoe UI"/>
                <w:sz w:val="18"/>
                <w:szCs w:val="18"/>
              </w:rPr>
            </w:pPr>
            <w:r w:rsidRPr="00ED2B1F">
              <w:rPr>
                <w:rFonts w:cs="Segoe UI"/>
                <w:sz w:val="18"/>
                <w:szCs w:val="18"/>
              </w:rPr>
              <w:t>6,</w:t>
            </w:r>
            <w:r w:rsidR="00015C5F" w:rsidRPr="00ED2B1F">
              <w:rPr>
                <w:rFonts w:cs="Segoe UI"/>
                <w:sz w:val="18"/>
                <w:szCs w:val="18"/>
              </w:rPr>
              <w:t>332</w:t>
            </w:r>
          </w:p>
        </w:tc>
        <w:tc>
          <w:tcPr>
            <w:tcW w:w="882" w:type="pct"/>
          </w:tcPr>
          <w:p w14:paraId="7D9009FF" w14:textId="0367F7F8" w:rsidR="00EA3F80" w:rsidRPr="00ED2B1F" w:rsidRDefault="00EA3F80" w:rsidP="007F3ECC">
            <w:pPr>
              <w:spacing w:before="60" w:after="60"/>
              <w:ind w:right="227"/>
              <w:jc w:val="right"/>
              <w:rPr>
                <w:rFonts w:cs="Segoe UI"/>
                <w:sz w:val="18"/>
                <w:szCs w:val="18"/>
              </w:rPr>
            </w:pPr>
            <w:r w:rsidRPr="00ED2B1F">
              <w:rPr>
                <w:rFonts w:cs="Segoe UI"/>
                <w:sz w:val="18"/>
                <w:szCs w:val="18"/>
              </w:rPr>
              <w:t>5,606</w:t>
            </w:r>
          </w:p>
        </w:tc>
        <w:tc>
          <w:tcPr>
            <w:tcW w:w="883" w:type="pct"/>
          </w:tcPr>
          <w:p w14:paraId="19DC7480" w14:textId="17130CDB" w:rsidR="00EA3F80" w:rsidRPr="00ED2B1F" w:rsidRDefault="00EA3F80" w:rsidP="007F3ECC">
            <w:pPr>
              <w:tabs>
                <w:tab w:val="decimal" w:pos="788"/>
              </w:tabs>
              <w:spacing w:before="60" w:after="60"/>
              <w:ind w:right="227"/>
              <w:jc w:val="right"/>
              <w:rPr>
                <w:rFonts w:cs="Segoe UI"/>
                <w:sz w:val="18"/>
                <w:szCs w:val="18"/>
              </w:rPr>
            </w:pPr>
            <w:r w:rsidRPr="00ED2B1F">
              <w:rPr>
                <w:rFonts w:cs="Segoe UI"/>
                <w:sz w:val="18"/>
                <w:szCs w:val="18"/>
              </w:rPr>
              <w:t>105</w:t>
            </w:r>
          </w:p>
        </w:tc>
        <w:tc>
          <w:tcPr>
            <w:tcW w:w="882" w:type="pct"/>
          </w:tcPr>
          <w:p w14:paraId="396E0587" w14:textId="602590EB" w:rsidR="00EA3F80" w:rsidRPr="00ED2B1F" w:rsidRDefault="00EA3F80" w:rsidP="007F3ECC">
            <w:pPr>
              <w:spacing w:before="60" w:after="60"/>
              <w:ind w:right="227"/>
              <w:jc w:val="right"/>
              <w:rPr>
                <w:rFonts w:cs="Segoe UI"/>
                <w:sz w:val="18"/>
                <w:szCs w:val="18"/>
              </w:rPr>
            </w:pPr>
            <w:r w:rsidRPr="00ED2B1F">
              <w:rPr>
                <w:rFonts w:cs="Segoe UI"/>
                <w:sz w:val="18"/>
                <w:szCs w:val="18"/>
              </w:rPr>
              <w:t>621</w:t>
            </w:r>
          </w:p>
        </w:tc>
        <w:tc>
          <w:tcPr>
            <w:tcW w:w="883" w:type="pct"/>
          </w:tcPr>
          <w:p w14:paraId="4CD6DA45" w14:textId="4BDB6CDE" w:rsidR="00EA3F80" w:rsidRPr="00ED2B1F" w:rsidRDefault="00EA3F80" w:rsidP="007F3ECC">
            <w:pPr>
              <w:spacing w:before="60" w:after="60"/>
              <w:ind w:right="227"/>
              <w:jc w:val="right"/>
              <w:rPr>
                <w:rFonts w:cs="Segoe UI"/>
                <w:w w:val="102"/>
                <w:sz w:val="18"/>
                <w:szCs w:val="18"/>
              </w:rPr>
            </w:pPr>
            <w:r w:rsidRPr="00ED2B1F">
              <w:rPr>
                <w:rFonts w:cs="Segoe UI"/>
                <w:sz w:val="18"/>
                <w:szCs w:val="18"/>
              </w:rPr>
              <w:t>0</w:t>
            </w:r>
          </w:p>
        </w:tc>
      </w:tr>
      <w:tr w:rsidR="00EA3F80" w:rsidRPr="00ED2B1F" w14:paraId="231BBC44" w14:textId="77777777" w:rsidTr="00EA3F80">
        <w:trPr>
          <w:cantSplit/>
          <w:trHeight w:val="300"/>
        </w:trPr>
        <w:tc>
          <w:tcPr>
            <w:tcW w:w="587" w:type="pct"/>
          </w:tcPr>
          <w:p w14:paraId="7B42C843" w14:textId="347C5F3D" w:rsidR="00EA3F80" w:rsidRPr="00ED2B1F" w:rsidRDefault="00EA3F80" w:rsidP="00EA3F80">
            <w:pPr>
              <w:spacing w:before="60" w:after="60"/>
              <w:rPr>
                <w:w w:val="105"/>
                <w:sz w:val="18"/>
                <w:szCs w:val="18"/>
              </w:rPr>
            </w:pPr>
            <w:r w:rsidRPr="00ED2B1F">
              <w:rPr>
                <w:sz w:val="18"/>
                <w:szCs w:val="18"/>
              </w:rPr>
              <w:t>2023/24</w:t>
            </w:r>
          </w:p>
        </w:tc>
        <w:tc>
          <w:tcPr>
            <w:tcW w:w="882" w:type="pct"/>
          </w:tcPr>
          <w:p w14:paraId="4C09B996" w14:textId="045F52E2" w:rsidR="00EA3F80" w:rsidRPr="00ED2B1F" w:rsidRDefault="00015C5F" w:rsidP="007F3ECC">
            <w:pPr>
              <w:spacing w:before="60" w:after="60"/>
              <w:ind w:right="227"/>
              <w:jc w:val="right"/>
              <w:rPr>
                <w:rFonts w:cs="Segoe UI"/>
                <w:sz w:val="18"/>
                <w:szCs w:val="18"/>
              </w:rPr>
            </w:pPr>
            <w:r w:rsidRPr="00ED2B1F">
              <w:rPr>
                <w:rFonts w:cs="Segoe UI"/>
                <w:sz w:val="18"/>
                <w:szCs w:val="18"/>
              </w:rPr>
              <w:t>7,397</w:t>
            </w:r>
          </w:p>
        </w:tc>
        <w:tc>
          <w:tcPr>
            <w:tcW w:w="882" w:type="pct"/>
          </w:tcPr>
          <w:p w14:paraId="2C218416" w14:textId="77076BAE" w:rsidR="00EA3F80" w:rsidRPr="00ED2B1F" w:rsidRDefault="00015C5F" w:rsidP="007F3ECC">
            <w:pPr>
              <w:spacing w:before="60" w:after="60"/>
              <w:ind w:right="227"/>
              <w:jc w:val="right"/>
              <w:rPr>
                <w:rFonts w:cs="Segoe UI"/>
                <w:sz w:val="18"/>
                <w:szCs w:val="18"/>
              </w:rPr>
            </w:pPr>
            <w:r w:rsidRPr="00ED2B1F">
              <w:rPr>
                <w:rFonts w:cs="Segoe UI"/>
                <w:sz w:val="18"/>
                <w:szCs w:val="18"/>
              </w:rPr>
              <w:t>6,725</w:t>
            </w:r>
          </w:p>
        </w:tc>
        <w:tc>
          <w:tcPr>
            <w:tcW w:w="883" w:type="pct"/>
          </w:tcPr>
          <w:p w14:paraId="1CD51C9B" w14:textId="083AA689" w:rsidR="00EA3F80" w:rsidRPr="00ED2B1F" w:rsidRDefault="00015C5F" w:rsidP="007F3ECC">
            <w:pPr>
              <w:tabs>
                <w:tab w:val="decimal" w:pos="788"/>
              </w:tabs>
              <w:spacing w:before="60" w:after="60"/>
              <w:ind w:right="227"/>
              <w:jc w:val="right"/>
              <w:rPr>
                <w:rFonts w:cs="Segoe UI"/>
                <w:sz w:val="18"/>
                <w:szCs w:val="18"/>
              </w:rPr>
            </w:pPr>
            <w:r w:rsidRPr="00ED2B1F">
              <w:rPr>
                <w:rFonts w:cs="Segoe UI"/>
                <w:sz w:val="18"/>
                <w:szCs w:val="18"/>
              </w:rPr>
              <w:t>101</w:t>
            </w:r>
          </w:p>
        </w:tc>
        <w:tc>
          <w:tcPr>
            <w:tcW w:w="882" w:type="pct"/>
          </w:tcPr>
          <w:p w14:paraId="36B72D44" w14:textId="01CA0475" w:rsidR="00EA3F80" w:rsidRPr="00ED2B1F" w:rsidRDefault="00015C5F" w:rsidP="007F3ECC">
            <w:pPr>
              <w:spacing w:before="60" w:after="60"/>
              <w:ind w:right="227"/>
              <w:jc w:val="right"/>
              <w:rPr>
                <w:rFonts w:cs="Segoe UI"/>
                <w:sz w:val="18"/>
                <w:szCs w:val="18"/>
              </w:rPr>
            </w:pPr>
            <w:r w:rsidRPr="00ED2B1F">
              <w:rPr>
                <w:rFonts w:cs="Segoe UI"/>
                <w:sz w:val="18"/>
                <w:szCs w:val="18"/>
              </w:rPr>
              <w:t>571</w:t>
            </w:r>
          </w:p>
        </w:tc>
        <w:tc>
          <w:tcPr>
            <w:tcW w:w="883" w:type="pct"/>
          </w:tcPr>
          <w:p w14:paraId="2C506411" w14:textId="7CDCA6B2" w:rsidR="00EA3F80" w:rsidRPr="00ED2B1F" w:rsidRDefault="00EA3F80" w:rsidP="007F3ECC">
            <w:pPr>
              <w:spacing w:before="60" w:after="60"/>
              <w:ind w:right="227"/>
              <w:jc w:val="right"/>
              <w:rPr>
                <w:rFonts w:cs="Segoe UI"/>
                <w:w w:val="102"/>
                <w:sz w:val="18"/>
                <w:szCs w:val="18"/>
              </w:rPr>
            </w:pPr>
            <w:r w:rsidRPr="00ED2B1F">
              <w:rPr>
                <w:rFonts w:cs="Segoe UI"/>
                <w:sz w:val="18"/>
                <w:szCs w:val="18"/>
              </w:rPr>
              <w:t>0</w:t>
            </w:r>
          </w:p>
        </w:tc>
      </w:tr>
    </w:tbl>
    <w:p w14:paraId="7A12393E" w14:textId="2408903D" w:rsidR="00C916E6" w:rsidRPr="00ED2B1F" w:rsidRDefault="00C916E6" w:rsidP="007F3ECC">
      <w:pPr>
        <w:pStyle w:val="Note"/>
      </w:pPr>
      <w:r w:rsidRPr="00ED2B1F">
        <w:t xml:space="preserve">Notes: The table presents applications that had been processed at the time of data extraction on </w:t>
      </w:r>
      <w:r w:rsidR="009D2CD4" w:rsidRPr="00ED2B1F">
        <w:t>2 December</w:t>
      </w:r>
      <w:r w:rsidR="005B6519" w:rsidRPr="00ED2B1F">
        <w:t xml:space="preserve"> 2025</w:t>
      </w:r>
      <w:r w:rsidRPr="00ED2B1F">
        <w:t>. The year is determined by the final outcome date. The CMS is a live operational database, which means figures are subject to minor changes at any time.</w:t>
      </w:r>
    </w:p>
    <w:p w14:paraId="282AF6BC" w14:textId="40B91F57" w:rsidR="00C916E6" w:rsidRPr="00ED2B1F" w:rsidRDefault="00C916E6" w:rsidP="007F3ECC">
      <w:pPr>
        <w:pStyle w:val="Source"/>
      </w:pPr>
      <w:r w:rsidRPr="00ED2B1F">
        <w:t xml:space="preserve">Source: Ministry of Justice Integrated Sector Intelligence System, which uses data entered into the CMS (extracted </w:t>
      </w:r>
      <w:r w:rsidR="009D2CD4" w:rsidRPr="00ED2B1F">
        <w:t>2 December</w:t>
      </w:r>
      <w:r w:rsidR="005B6519" w:rsidRPr="00ED2B1F">
        <w:t xml:space="preserve"> 2025</w:t>
      </w:r>
      <w:r w:rsidRPr="00ED2B1F">
        <w:t>).</w:t>
      </w:r>
    </w:p>
    <w:p w14:paraId="134863D7" w14:textId="77777777" w:rsidR="00C916E6" w:rsidRPr="00ED2B1F" w:rsidRDefault="00C916E6" w:rsidP="00C916E6"/>
    <w:p w14:paraId="5B2AE4E7" w14:textId="73C1F43E" w:rsidR="00C916E6" w:rsidRPr="00ED2B1F" w:rsidRDefault="00C916E6" w:rsidP="00C103C7">
      <w:pPr>
        <w:pStyle w:val="Table"/>
      </w:pPr>
      <w:bookmarkStart w:id="690" w:name="_Ref141109610"/>
      <w:bookmarkStart w:id="691" w:name="_Toc63764688"/>
      <w:bookmarkStart w:id="692" w:name="_Toc75176541"/>
      <w:bookmarkStart w:id="693" w:name="_Toc87430020"/>
      <w:bookmarkStart w:id="694" w:name="_Toc88561377"/>
      <w:bookmarkStart w:id="695" w:name="_Toc115188912"/>
      <w:bookmarkStart w:id="696" w:name="_Toc142314771"/>
      <w:bookmarkStart w:id="697" w:name="_Toc145394334"/>
      <w:bookmarkStart w:id="698" w:name="_Toc188699116"/>
      <w:bookmarkStart w:id="699" w:name="_Toc224638241"/>
      <w:r w:rsidRPr="00ED2B1F">
        <w:lastRenderedPageBreak/>
        <w:t>Table A</w:t>
      </w:r>
      <w:r w:rsidRPr="00ED2B1F">
        <w:fldChar w:fldCharType="begin"/>
      </w:r>
      <w:r w:rsidRPr="00ED2B1F">
        <w:instrText>SEQ Table_A \* ARABIC</w:instrText>
      </w:r>
      <w:r w:rsidRPr="00ED2B1F">
        <w:fldChar w:fldCharType="separate"/>
      </w:r>
      <w:r w:rsidR="00484E57">
        <w:rPr>
          <w:noProof/>
        </w:rPr>
        <w:t>2</w:t>
      </w:r>
      <w:r w:rsidRPr="00ED2B1F">
        <w:fldChar w:fldCharType="end"/>
      </w:r>
      <w:bookmarkEnd w:id="690"/>
      <w:r w:rsidRPr="00ED2B1F">
        <w:t>: Types of compulsory treatment orders made on granted applications, 200</w:t>
      </w:r>
      <w:r w:rsidR="004D6F1A" w:rsidRPr="00ED2B1F">
        <w:t>9</w:t>
      </w:r>
      <w:r w:rsidRPr="00ED2B1F">
        <w:t>/</w:t>
      </w:r>
      <w:r w:rsidR="004D6F1A" w:rsidRPr="00ED2B1F">
        <w:t>10</w:t>
      </w:r>
      <w:r w:rsidRPr="00ED2B1F">
        <w:t xml:space="preserve"> to </w:t>
      </w:r>
      <w:bookmarkEnd w:id="691"/>
      <w:bookmarkEnd w:id="692"/>
      <w:bookmarkEnd w:id="693"/>
      <w:bookmarkEnd w:id="694"/>
      <w:bookmarkEnd w:id="695"/>
      <w:bookmarkEnd w:id="696"/>
      <w:bookmarkEnd w:id="697"/>
      <w:bookmarkEnd w:id="698"/>
      <w:r w:rsidR="00211D17" w:rsidRPr="00ED2B1F">
        <w:t>2023/24</w:t>
      </w:r>
      <w:bookmarkEnd w:id="699"/>
    </w:p>
    <w:tbl>
      <w:tblPr>
        <w:tblW w:w="5404"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879"/>
        <w:gridCol w:w="1197"/>
        <w:gridCol w:w="1134"/>
        <w:gridCol w:w="1133"/>
        <w:gridCol w:w="1463"/>
        <w:gridCol w:w="1463"/>
        <w:gridCol w:w="1463"/>
      </w:tblGrid>
      <w:tr w:rsidR="00F90EA8" w:rsidRPr="00ED2B1F" w14:paraId="4EC6AF3E" w14:textId="77777777" w:rsidTr="007F3ECC">
        <w:trPr>
          <w:cantSplit/>
          <w:trHeight w:val="1378"/>
        </w:trPr>
        <w:tc>
          <w:tcPr>
            <w:tcW w:w="503" w:type="pct"/>
            <w:tcBorders>
              <w:top w:val="nil"/>
              <w:bottom w:val="nil"/>
            </w:tcBorders>
            <w:shd w:val="clear" w:color="auto" w:fill="D9D9D9" w:themeFill="background1" w:themeFillShade="D9"/>
          </w:tcPr>
          <w:p w14:paraId="179C5BCB" w14:textId="77777777" w:rsidR="004D6F1A" w:rsidRPr="007F3ECC" w:rsidRDefault="004D6F1A" w:rsidP="00535C2F">
            <w:pPr>
              <w:spacing w:before="60" w:after="60"/>
              <w:rPr>
                <w:b/>
                <w:bCs/>
                <w:sz w:val="18"/>
                <w:szCs w:val="18"/>
              </w:rPr>
            </w:pPr>
            <w:r w:rsidRPr="007F3ECC">
              <w:rPr>
                <w:b/>
                <w:bCs/>
                <w:sz w:val="18"/>
                <w:szCs w:val="18"/>
              </w:rPr>
              <w:t>Financial year</w:t>
            </w:r>
          </w:p>
        </w:tc>
        <w:tc>
          <w:tcPr>
            <w:tcW w:w="685" w:type="pct"/>
            <w:tcBorders>
              <w:top w:val="nil"/>
              <w:bottom w:val="nil"/>
            </w:tcBorders>
            <w:shd w:val="clear" w:color="auto" w:fill="D9D9D9" w:themeFill="background1" w:themeFillShade="D9"/>
          </w:tcPr>
          <w:p w14:paraId="647A4779" w14:textId="77777777" w:rsidR="004D6F1A" w:rsidRPr="007F3ECC" w:rsidRDefault="004D6F1A" w:rsidP="007F3ECC">
            <w:pPr>
              <w:spacing w:before="60" w:after="60"/>
              <w:rPr>
                <w:b/>
                <w:sz w:val="18"/>
                <w:szCs w:val="18"/>
              </w:rPr>
            </w:pPr>
            <w:r w:rsidRPr="007F3ECC">
              <w:rPr>
                <w:b/>
                <w:sz w:val="18"/>
                <w:szCs w:val="18"/>
              </w:rPr>
              <w:t>Number of granted applications for orders</w:t>
            </w:r>
          </w:p>
        </w:tc>
        <w:tc>
          <w:tcPr>
            <w:tcW w:w="649" w:type="pct"/>
            <w:tcBorders>
              <w:top w:val="nil"/>
              <w:bottom w:val="nil"/>
            </w:tcBorders>
            <w:shd w:val="clear" w:color="auto" w:fill="D9D9D9" w:themeFill="background1" w:themeFillShade="D9"/>
          </w:tcPr>
          <w:p w14:paraId="4214C6CC" w14:textId="1616DB93" w:rsidR="004D6F1A" w:rsidRPr="007F3ECC" w:rsidRDefault="004D6F1A" w:rsidP="007F3ECC">
            <w:pPr>
              <w:spacing w:before="60" w:after="60"/>
              <w:rPr>
                <w:b/>
                <w:sz w:val="18"/>
                <w:szCs w:val="18"/>
              </w:rPr>
            </w:pPr>
            <w:r w:rsidRPr="007F3ECC">
              <w:rPr>
                <w:b/>
                <w:sz w:val="18"/>
                <w:szCs w:val="18"/>
              </w:rPr>
              <w:t xml:space="preserve">Number of community </w:t>
            </w:r>
            <w:r w:rsidR="000F03CA" w:rsidRPr="007F3ECC">
              <w:rPr>
                <w:b/>
                <w:sz w:val="18"/>
                <w:szCs w:val="18"/>
              </w:rPr>
              <w:t>CTOs</w:t>
            </w:r>
            <w:r w:rsidRPr="007F3ECC">
              <w:rPr>
                <w:b/>
                <w:sz w:val="18"/>
                <w:szCs w:val="18"/>
              </w:rPr>
              <w:t xml:space="preserve"> (or extension</w:t>
            </w:r>
            <w:r w:rsidR="000F03CA" w:rsidRPr="007F3ECC">
              <w:rPr>
                <w:b/>
                <w:sz w:val="18"/>
                <w:szCs w:val="18"/>
              </w:rPr>
              <w:t>s</w:t>
            </w:r>
            <w:r w:rsidRPr="007F3ECC">
              <w:rPr>
                <w:b/>
                <w:sz w:val="18"/>
                <w:szCs w:val="18"/>
              </w:rPr>
              <w:t>)</w:t>
            </w:r>
          </w:p>
        </w:tc>
        <w:tc>
          <w:tcPr>
            <w:tcW w:w="649" w:type="pct"/>
            <w:tcBorders>
              <w:top w:val="nil"/>
              <w:bottom w:val="nil"/>
            </w:tcBorders>
            <w:shd w:val="clear" w:color="auto" w:fill="D9D9D9" w:themeFill="background1" w:themeFillShade="D9"/>
          </w:tcPr>
          <w:p w14:paraId="321B51C8" w14:textId="5DA0863F" w:rsidR="004D6F1A" w:rsidRPr="007F3ECC" w:rsidRDefault="004D6F1A" w:rsidP="007F3ECC">
            <w:pPr>
              <w:spacing w:before="60" w:after="60"/>
              <w:rPr>
                <w:b/>
                <w:sz w:val="18"/>
                <w:szCs w:val="18"/>
              </w:rPr>
            </w:pPr>
            <w:r w:rsidRPr="007F3ECC">
              <w:rPr>
                <w:b/>
                <w:sz w:val="18"/>
                <w:szCs w:val="18"/>
              </w:rPr>
              <w:t xml:space="preserve">Number of inpatient </w:t>
            </w:r>
            <w:r w:rsidR="000F03CA" w:rsidRPr="007F3ECC">
              <w:rPr>
                <w:b/>
                <w:sz w:val="18"/>
                <w:szCs w:val="18"/>
              </w:rPr>
              <w:t>CTOs</w:t>
            </w:r>
            <w:r w:rsidRPr="007F3ECC">
              <w:rPr>
                <w:b/>
                <w:sz w:val="18"/>
                <w:szCs w:val="18"/>
              </w:rPr>
              <w:t xml:space="preserve"> (or extension</w:t>
            </w:r>
            <w:r w:rsidR="000F03CA" w:rsidRPr="007F3ECC">
              <w:rPr>
                <w:b/>
                <w:sz w:val="18"/>
                <w:szCs w:val="18"/>
              </w:rPr>
              <w:t>s</w:t>
            </w:r>
            <w:r w:rsidRPr="007F3ECC">
              <w:rPr>
                <w:b/>
                <w:sz w:val="18"/>
                <w:szCs w:val="18"/>
              </w:rPr>
              <w:t>)</w:t>
            </w:r>
          </w:p>
        </w:tc>
        <w:tc>
          <w:tcPr>
            <w:tcW w:w="838" w:type="pct"/>
            <w:tcBorders>
              <w:top w:val="nil"/>
              <w:bottom w:val="nil"/>
            </w:tcBorders>
            <w:shd w:val="clear" w:color="auto" w:fill="D9D9D9" w:themeFill="background1" w:themeFillShade="D9"/>
          </w:tcPr>
          <w:p w14:paraId="5D1D3F0B" w14:textId="4C1F5A47" w:rsidR="004D6F1A" w:rsidRPr="007F3ECC" w:rsidRDefault="004D6F1A" w:rsidP="007F3ECC">
            <w:pPr>
              <w:spacing w:before="60" w:after="60"/>
              <w:rPr>
                <w:b/>
                <w:sz w:val="18"/>
                <w:szCs w:val="18"/>
              </w:rPr>
            </w:pPr>
            <w:r w:rsidRPr="007F3ECC">
              <w:rPr>
                <w:b/>
                <w:sz w:val="18"/>
                <w:szCs w:val="18"/>
              </w:rPr>
              <w:t xml:space="preserve">Number of orders recorded as both community and inpatient </w:t>
            </w:r>
            <w:r w:rsidR="000F03CA" w:rsidRPr="007F3ECC">
              <w:rPr>
                <w:b/>
                <w:sz w:val="18"/>
                <w:szCs w:val="18"/>
              </w:rPr>
              <w:t>CTOs</w:t>
            </w:r>
            <w:r w:rsidRPr="007F3ECC">
              <w:rPr>
                <w:b/>
                <w:sz w:val="18"/>
                <w:szCs w:val="18"/>
              </w:rPr>
              <w:t xml:space="preserve"> (or extension</w:t>
            </w:r>
            <w:r w:rsidR="000F03CA" w:rsidRPr="007F3ECC">
              <w:rPr>
                <w:b/>
                <w:sz w:val="18"/>
                <w:szCs w:val="18"/>
              </w:rPr>
              <w:t>s</w:t>
            </w:r>
            <w:r w:rsidRPr="007F3ECC">
              <w:rPr>
                <w:b/>
                <w:sz w:val="18"/>
                <w:szCs w:val="18"/>
              </w:rPr>
              <w:t>)</w:t>
            </w:r>
          </w:p>
        </w:tc>
        <w:tc>
          <w:tcPr>
            <w:tcW w:w="838" w:type="pct"/>
            <w:tcBorders>
              <w:top w:val="nil"/>
              <w:bottom w:val="nil"/>
            </w:tcBorders>
            <w:shd w:val="clear" w:color="auto" w:fill="D9D9D9" w:themeFill="background1" w:themeFillShade="D9"/>
          </w:tcPr>
          <w:p w14:paraId="52D8CD3A" w14:textId="2933CB6F" w:rsidR="004D6F1A" w:rsidRPr="007F3ECC" w:rsidRDefault="004D6F1A" w:rsidP="007F3ECC">
            <w:pPr>
              <w:spacing w:before="60" w:after="60"/>
              <w:rPr>
                <w:b/>
                <w:sz w:val="18"/>
                <w:szCs w:val="18"/>
              </w:rPr>
            </w:pPr>
            <w:r w:rsidRPr="007F3ECC">
              <w:rPr>
                <w:b/>
                <w:sz w:val="18"/>
                <w:szCs w:val="18"/>
              </w:rPr>
              <w:t>Other order (not further defined in data set)</w:t>
            </w:r>
          </w:p>
        </w:tc>
        <w:tc>
          <w:tcPr>
            <w:tcW w:w="839" w:type="pct"/>
            <w:tcBorders>
              <w:top w:val="nil"/>
              <w:bottom w:val="nil"/>
            </w:tcBorders>
            <w:shd w:val="clear" w:color="auto" w:fill="D9D9D9" w:themeFill="background1" w:themeFillShade="D9"/>
          </w:tcPr>
          <w:p w14:paraId="46087D96" w14:textId="4CED9E25" w:rsidR="004D6F1A" w:rsidRPr="007F3ECC" w:rsidRDefault="004D6F1A" w:rsidP="007F3ECC">
            <w:pPr>
              <w:spacing w:before="60" w:after="60"/>
              <w:rPr>
                <w:b/>
                <w:sz w:val="18"/>
                <w:szCs w:val="18"/>
              </w:rPr>
            </w:pPr>
            <w:r w:rsidRPr="007F3ECC">
              <w:rPr>
                <w:b/>
                <w:sz w:val="18"/>
                <w:szCs w:val="18"/>
              </w:rPr>
              <w:t>Number of applications where type of order was not recorded</w:t>
            </w:r>
          </w:p>
        </w:tc>
      </w:tr>
      <w:tr w:rsidR="000F03CA" w:rsidRPr="00ED2B1F" w14:paraId="4CA7F2D6" w14:textId="77777777" w:rsidTr="007F3ECC">
        <w:trPr>
          <w:cantSplit/>
          <w:trHeight w:val="318"/>
        </w:trPr>
        <w:tc>
          <w:tcPr>
            <w:tcW w:w="503" w:type="pct"/>
            <w:tcBorders>
              <w:top w:val="nil"/>
            </w:tcBorders>
          </w:tcPr>
          <w:p w14:paraId="373DCFDD" w14:textId="7DBACCBC" w:rsidR="000F03CA" w:rsidRPr="00ED2B1F" w:rsidRDefault="000F03CA" w:rsidP="000F03CA">
            <w:pPr>
              <w:spacing w:before="60" w:after="60"/>
              <w:rPr>
                <w:sz w:val="18"/>
                <w:szCs w:val="18"/>
              </w:rPr>
            </w:pPr>
            <w:r w:rsidRPr="00ED2B1F">
              <w:rPr>
                <w:sz w:val="18"/>
                <w:szCs w:val="18"/>
              </w:rPr>
              <w:t>2009/10</w:t>
            </w:r>
          </w:p>
        </w:tc>
        <w:tc>
          <w:tcPr>
            <w:tcW w:w="685" w:type="pct"/>
            <w:tcBorders>
              <w:top w:val="nil"/>
            </w:tcBorders>
          </w:tcPr>
          <w:p w14:paraId="595C322B" w14:textId="670F18A8" w:rsidR="000F03CA" w:rsidRPr="00ED2B1F" w:rsidRDefault="000F03CA" w:rsidP="007F3ECC">
            <w:pPr>
              <w:spacing w:before="60" w:after="60"/>
              <w:ind w:right="170"/>
              <w:jc w:val="right"/>
              <w:rPr>
                <w:rFonts w:cs="Segoe UI"/>
                <w:sz w:val="18"/>
                <w:szCs w:val="18"/>
              </w:rPr>
            </w:pPr>
            <w:r w:rsidRPr="00ED2B1F">
              <w:rPr>
                <w:sz w:val="18"/>
                <w:szCs w:val="18"/>
              </w:rPr>
              <w:t>4,100</w:t>
            </w:r>
          </w:p>
        </w:tc>
        <w:tc>
          <w:tcPr>
            <w:tcW w:w="649" w:type="pct"/>
            <w:tcBorders>
              <w:top w:val="nil"/>
            </w:tcBorders>
          </w:tcPr>
          <w:p w14:paraId="40FD7024" w14:textId="173D229D" w:rsidR="000F03CA" w:rsidRPr="00ED2B1F" w:rsidRDefault="000F03CA" w:rsidP="007F3ECC">
            <w:pPr>
              <w:spacing w:before="60" w:after="60"/>
              <w:ind w:right="170"/>
              <w:jc w:val="right"/>
              <w:rPr>
                <w:rFonts w:cs="Segoe UI"/>
                <w:sz w:val="18"/>
                <w:szCs w:val="18"/>
              </w:rPr>
            </w:pPr>
            <w:r w:rsidRPr="00ED2B1F">
              <w:rPr>
                <w:sz w:val="18"/>
                <w:szCs w:val="18"/>
              </w:rPr>
              <w:t>2,147</w:t>
            </w:r>
          </w:p>
        </w:tc>
        <w:tc>
          <w:tcPr>
            <w:tcW w:w="649" w:type="pct"/>
            <w:tcBorders>
              <w:top w:val="nil"/>
            </w:tcBorders>
          </w:tcPr>
          <w:p w14:paraId="55C3EAB8" w14:textId="18FEE03F" w:rsidR="000F03CA" w:rsidRPr="00ED2B1F" w:rsidRDefault="000F03CA" w:rsidP="007F3ECC">
            <w:pPr>
              <w:spacing w:before="60" w:after="60"/>
              <w:ind w:right="170"/>
              <w:jc w:val="right"/>
              <w:rPr>
                <w:rFonts w:cs="Segoe UI"/>
                <w:sz w:val="18"/>
                <w:szCs w:val="18"/>
              </w:rPr>
            </w:pPr>
            <w:r w:rsidRPr="00ED2B1F">
              <w:rPr>
                <w:sz w:val="18"/>
                <w:szCs w:val="18"/>
              </w:rPr>
              <w:t>1,628</w:t>
            </w:r>
          </w:p>
        </w:tc>
        <w:tc>
          <w:tcPr>
            <w:tcW w:w="838" w:type="pct"/>
            <w:tcBorders>
              <w:top w:val="nil"/>
            </w:tcBorders>
          </w:tcPr>
          <w:p w14:paraId="58108649" w14:textId="26383E41" w:rsidR="000F03CA" w:rsidRPr="00ED2B1F" w:rsidRDefault="000F03CA" w:rsidP="007F3ECC">
            <w:pPr>
              <w:tabs>
                <w:tab w:val="decimal" w:pos="911"/>
              </w:tabs>
              <w:spacing w:before="60" w:after="60"/>
              <w:ind w:right="170"/>
              <w:jc w:val="right"/>
              <w:rPr>
                <w:rFonts w:cs="Segoe UI"/>
                <w:sz w:val="18"/>
                <w:szCs w:val="18"/>
              </w:rPr>
            </w:pPr>
            <w:r w:rsidRPr="00ED2B1F">
              <w:rPr>
                <w:sz w:val="18"/>
                <w:szCs w:val="18"/>
              </w:rPr>
              <w:t>116</w:t>
            </w:r>
          </w:p>
        </w:tc>
        <w:tc>
          <w:tcPr>
            <w:tcW w:w="838" w:type="pct"/>
            <w:tcBorders>
              <w:top w:val="nil"/>
            </w:tcBorders>
          </w:tcPr>
          <w:p w14:paraId="76721C12" w14:textId="129B2BA2"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6</w:t>
            </w:r>
          </w:p>
        </w:tc>
        <w:tc>
          <w:tcPr>
            <w:tcW w:w="839" w:type="pct"/>
            <w:tcBorders>
              <w:top w:val="nil"/>
            </w:tcBorders>
          </w:tcPr>
          <w:p w14:paraId="0CFC7883" w14:textId="33800577"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203</w:t>
            </w:r>
          </w:p>
        </w:tc>
      </w:tr>
      <w:tr w:rsidR="000F03CA" w:rsidRPr="00ED2B1F" w14:paraId="4B15E1E1" w14:textId="77777777" w:rsidTr="005F1395">
        <w:trPr>
          <w:cantSplit/>
          <w:trHeight w:val="304"/>
        </w:trPr>
        <w:tc>
          <w:tcPr>
            <w:tcW w:w="503" w:type="pct"/>
          </w:tcPr>
          <w:p w14:paraId="621BCCE3" w14:textId="4849181B" w:rsidR="000F03CA" w:rsidRPr="00ED2B1F" w:rsidRDefault="000F03CA" w:rsidP="000F03CA">
            <w:pPr>
              <w:spacing w:before="60" w:after="60"/>
              <w:rPr>
                <w:w w:val="105"/>
                <w:sz w:val="18"/>
                <w:szCs w:val="18"/>
              </w:rPr>
            </w:pPr>
            <w:r w:rsidRPr="00ED2B1F">
              <w:rPr>
                <w:sz w:val="18"/>
                <w:szCs w:val="18"/>
              </w:rPr>
              <w:t>2010/11</w:t>
            </w:r>
          </w:p>
        </w:tc>
        <w:tc>
          <w:tcPr>
            <w:tcW w:w="685" w:type="pct"/>
          </w:tcPr>
          <w:p w14:paraId="5F9015CD" w14:textId="309ACD44" w:rsidR="000F03CA" w:rsidRPr="00ED2B1F" w:rsidRDefault="000F03CA" w:rsidP="007F3ECC">
            <w:pPr>
              <w:spacing w:before="60" w:after="60"/>
              <w:ind w:right="170"/>
              <w:jc w:val="right"/>
              <w:rPr>
                <w:rFonts w:cs="Segoe UI"/>
                <w:sz w:val="18"/>
                <w:szCs w:val="18"/>
              </w:rPr>
            </w:pPr>
            <w:r w:rsidRPr="00ED2B1F">
              <w:rPr>
                <w:sz w:val="18"/>
                <w:szCs w:val="18"/>
              </w:rPr>
              <w:t>4,198</w:t>
            </w:r>
          </w:p>
        </w:tc>
        <w:tc>
          <w:tcPr>
            <w:tcW w:w="649" w:type="pct"/>
          </w:tcPr>
          <w:p w14:paraId="35A1448C" w14:textId="410BDDC2" w:rsidR="000F03CA" w:rsidRPr="00ED2B1F" w:rsidRDefault="000F03CA" w:rsidP="007F3ECC">
            <w:pPr>
              <w:spacing w:before="60" w:after="60"/>
              <w:ind w:right="170"/>
              <w:jc w:val="right"/>
              <w:rPr>
                <w:rFonts w:cs="Segoe UI"/>
                <w:sz w:val="18"/>
                <w:szCs w:val="18"/>
              </w:rPr>
            </w:pPr>
            <w:r w:rsidRPr="00ED2B1F">
              <w:rPr>
                <w:sz w:val="18"/>
                <w:szCs w:val="18"/>
              </w:rPr>
              <w:t>2,281</w:t>
            </w:r>
          </w:p>
        </w:tc>
        <w:tc>
          <w:tcPr>
            <w:tcW w:w="649" w:type="pct"/>
          </w:tcPr>
          <w:p w14:paraId="06CF77FE" w14:textId="6A2B7237" w:rsidR="000F03CA" w:rsidRPr="00ED2B1F" w:rsidRDefault="000F03CA" w:rsidP="007F3ECC">
            <w:pPr>
              <w:spacing w:before="60" w:after="60"/>
              <w:ind w:right="170"/>
              <w:jc w:val="right"/>
              <w:rPr>
                <w:rFonts w:cs="Segoe UI"/>
                <w:sz w:val="18"/>
                <w:szCs w:val="18"/>
              </w:rPr>
            </w:pPr>
            <w:r w:rsidRPr="00ED2B1F">
              <w:rPr>
                <w:sz w:val="18"/>
                <w:szCs w:val="18"/>
              </w:rPr>
              <w:t>1,668</w:t>
            </w:r>
          </w:p>
        </w:tc>
        <w:tc>
          <w:tcPr>
            <w:tcW w:w="838" w:type="pct"/>
          </w:tcPr>
          <w:p w14:paraId="603B098A" w14:textId="14ECF445" w:rsidR="000F03CA" w:rsidRPr="00ED2B1F" w:rsidRDefault="000F03CA" w:rsidP="007F3ECC">
            <w:pPr>
              <w:tabs>
                <w:tab w:val="decimal" w:pos="911"/>
              </w:tabs>
              <w:spacing w:before="60" w:after="60"/>
              <w:ind w:right="170"/>
              <w:jc w:val="right"/>
              <w:rPr>
                <w:rFonts w:cs="Segoe UI"/>
                <w:sz w:val="18"/>
                <w:szCs w:val="18"/>
              </w:rPr>
            </w:pPr>
            <w:r w:rsidRPr="00ED2B1F">
              <w:rPr>
                <w:sz w:val="18"/>
                <w:szCs w:val="18"/>
              </w:rPr>
              <w:t>97</w:t>
            </w:r>
          </w:p>
        </w:tc>
        <w:tc>
          <w:tcPr>
            <w:tcW w:w="838" w:type="pct"/>
          </w:tcPr>
          <w:p w14:paraId="515EB373" w14:textId="4779A430"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10</w:t>
            </w:r>
          </w:p>
        </w:tc>
        <w:tc>
          <w:tcPr>
            <w:tcW w:w="839" w:type="pct"/>
          </w:tcPr>
          <w:p w14:paraId="53E9CACC" w14:textId="3191CFBF"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142</w:t>
            </w:r>
          </w:p>
        </w:tc>
      </w:tr>
      <w:tr w:rsidR="000F03CA" w:rsidRPr="00ED2B1F" w14:paraId="2011BCE3" w14:textId="77777777" w:rsidTr="005F1395">
        <w:trPr>
          <w:cantSplit/>
          <w:trHeight w:val="318"/>
        </w:trPr>
        <w:tc>
          <w:tcPr>
            <w:tcW w:w="503" w:type="pct"/>
          </w:tcPr>
          <w:p w14:paraId="2187528D" w14:textId="562E1E69" w:rsidR="000F03CA" w:rsidRPr="00ED2B1F" w:rsidRDefault="000F03CA" w:rsidP="000F03CA">
            <w:pPr>
              <w:spacing w:before="60" w:after="60"/>
              <w:rPr>
                <w:w w:val="105"/>
                <w:sz w:val="18"/>
                <w:szCs w:val="18"/>
              </w:rPr>
            </w:pPr>
            <w:r w:rsidRPr="00ED2B1F">
              <w:rPr>
                <w:sz w:val="18"/>
                <w:szCs w:val="18"/>
              </w:rPr>
              <w:t>2011/12</w:t>
            </w:r>
          </w:p>
        </w:tc>
        <w:tc>
          <w:tcPr>
            <w:tcW w:w="685" w:type="pct"/>
          </w:tcPr>
          <w:p w14:paraId="5F76AE95" w14:textId="1F886B7E" w:rsidR="000F03CA" w:rsidRPr="00ED2B1F" w:rsidRDefault="000F03CA" w:rsidP="007F3ECC">
            <w:pPr>
              <w:spacing w:before="60" w:after="60"/>
              <w:ind w:right="170"/>
              <w:jc w:val="right"/>
              <w:rPr>
                <w:rFonts w:cs="Segoe UI"/>
                <w:sz w:val="18"/>
                <w:szCs w:val="18"/>
              </w:rPr>
            </w:pPr>
            <w:r w:rsidRPr="00ED2B1F">
              <w:rPr>
                <w:sz w:val="18"/>
                <w:szCs w:val="18"/>
              </w:rPr>
              <w:t>4,272</w:t>
            </w:r>
          </w:p>
        </w:tc>
        <w:tc>
          <w:tcPr>
            <w:tcW w:w="649" w:type="pct"/>
          </w:tcPr>
          <w:p w14:paraId="67146F48" w14:textId="74AE8293" w:rsidR="000F03CA" w:rsidRPr="00ED2B1F" w:rsidRDefault="000F03CA" w:rsidP="007F3ECC">
            <w:pPr>
              <w:spacing w:before="60" w:after="60"/>
              <w:ind w:right="170"/>
              <w:jc w:val="right"/>
              <w:rPr>
                <w:rFonts w:cs="Segoe UI"/>
                <w:sz w:val="18"/>
                <w:szCs w:val="18"/>
              </w:rPr>
            </w:pPr>
            <w:r w:rsidRPr="00ED2B1F">
              <w:rPr>
                <w:sz w:val="18"/>
                <w:szCs w:val="18"/>
              </w:rPr>
              <w:t>2,296</w:t>
            </w:r>
          </w:p>
        </w:tc>
        <w:tc>
          <w:tcPr>
            <w:tcW w:w="649" w:type="pct"/>
          </w:tcPr>
          <w:p w14:paraId="15FDFF3E" w14:textId="176A9126"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661</w:t>
            </w:r>
          </w:p>
        </w:tc>
        <w:tc>
          <w:tcPr>
            <w:tcW w:w="838" w:type="pct"/>
          </w:tcPr>
          <w:p w14:paraId="4C359815" w14:textId="6D31E6A8"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100</w:t>
            </w:r>
          </w:p>
        </w:tc>
        <w:tc>
          <w:tcPr>
            <w:tcW w:w="838" w:type="pct"/>
          </w:tcPr>
          <w:p w14:paraId="418C46D5" w14:textId="503337D1"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8</w:t>
            </w:r>
          </w:p>
        </w:tc>
        <w:tc>
          <w:tcPr>
            <w:tcW w:w="839" w:type="pct"/>
          </w:tcPr>
          <w:p w14:paraId="3F183E10" w14:textId="5CC47835"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207</w:t>
            </w:r>
          </w:p>
        </w:tc>
      </w:tr>
      <w:tr w:rsidR="000F03CA" w:rsidRPr="00ED2B1F" w14:paraId="3F06354E" w14:textId="77777777" w:rsidTr="005F1395">
        <w:trPr>
          <w:cantSplit/>
          <w:trHeight w:val="318"/>
        </w:trPr>
        <w:tc>
          <w:tcPr>
            <w:tcW w:w="503" w:type="pct"/>
          </w:tcPr>
          <w:p w14:paraId="63881878" w14:textId="47663EDB" w:rsidR="000F03CA" w:rsidRPr="00ED2B1F" w:rsidRDefault="000F03CA" w:rsidP="000F03CA">
            <w:pPr>
              <w:spacing w:before="60" w:after="60"/>
              <w:rPr>
                <w:w w:val="105"/>
                <w:sz w:val="18"/>
                <w:szCs w:val="18"/>
              </w:rPr>
            </w:pPr>
            <w:r w:rsidRPr="00ED2B1F">
              <w:rPr>
                <w:sz w:val="18"/>
                <w:szCs w:val="18"/>
              </w:rPr>
              <w:t>2012/13</w:t>
            </w:r>
          </w:p>
        </w:tc>
        <w:tc>
          <w:tcPr>
            <w:tcW w:w="685" w:type="pct"/>
          </w:tcPr>
          <w:p w14:paraId="771FA2C9" w14:textId="71D9CA0D" w:rsidR="000F03CA" w:rsidRPr="00ED2B1F" w:rsidRDefault="000F03CA" w:rsidP="007F3ECC">
            <w:pPr>
              <w:spacing w:before="60" w:after="60"/>
              <w:ind w:right="170"/>
              <w:jc w:val="right"/>
              <w:rPr>
                <w:rFonts w:cs="Segoe UI"/>
                <w:sz w:val="18"/>
                <w:szCs w:val="18"/>
              </w:rPr>
            </w:pPr>
            <w:r w:rsidRPr="00ED2B1F">
              <w:rPr>
                <w:sz w:val="18"/>
                <w:szCs w:val="18"/>
              </w:rPr>
              <w:t>4,480</w:t>
            </w:r>
          </w:p>
        </w:tc>
        <w:tc>
          <w:tcPr>
            <w:tcW w:w="649" w:type="pct"/>
          </w:tcPr>
          <w:p w14:paraId="13B4E824" w14:textId="0CBFCD6F" w:rsidR="000F03CA" w:rsidRPr="00ED2B1F" w:rsidRDefault="000F03CA" w:rsidP="007F3ECC">
            <w:pPr>
              <w:spacing w:before="60" w:after="60"/>
              <w:ind w:right="170"/>
              <w:jc w:val="right"/>
              <w:rPr>
                <w:rFonts w:cs="Segoe UI"/>
                <w:sz w:val="18"/>
                <w:szCs w:val="18"/>
              </w:rPr>
            </w:pPr>
            <w:r w:rsidRPr="00ED2B1F">
              <w:rPr>
                <w:sz w:val="18"/>
                <w:szCs w:val="18"/>
              </w:rPr>
              <w:t>2,591</w:t>
            </w:r>
          </w:p>
        </w:tc>
        <w:tc>
          <w:tcPr>
            <w:tcW w:w="649" w:type="pct"/>
          </w:tcPr>
          <w:p w14:paraId="1E3A6EF1" w14:textId="5E908995"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729</w:t>
            </w:r>
          </w:p>
        </w:tc>
        <w:tc>
          <w:tcPr>
            <w:tcW w:w="838" w:type="pct"/>
          </w:tcPr>
          <w:p w14:paraId="42BEE06D" w14:textId="600D8ECD"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64</w:t>
            </w:r>
          </w:p>
        </w:tc>
        <w:tc>
          <w:tcPr>
            <w:tcW w:w="838" w:type="pct"/>
          </w:tcPr>
          <w:p w14:paraId="38CCC308" w14:textId="51FEE09E"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0</w:t>
            </w:r>
          </w:p>
        </w:tc>
        <w:tc>
          <w:tcPr>
            <w:tcW w:w="839" w:type="pct"/>
          </w:tcPr>
          <w:p w14:paraId="2FB49D60" w14:textId="13722ED7"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96</w:t>
            </w:r>
          </w:p>
        </w:tc>
      </w:tr>
      <w:tr w:rsidR="000F03CA" w:rsidRPr="00ED2B1F" w14:paraId="76501EFE" w14:textId="77777777" w:rsidTr="005F1395">
        <w:trPr>
          <w:cantSplit/>
          <w:trHeight w:val="304"/>
        </w:trPr>
        <w:tc>
          <w:tcPr>
            <w:tcW w:w="503" w:type="pct"/>
          </w:tcPr>
          <w:p w14:paraId="6C37CB79" w14:textId="38D6BB8C" w:rsidR="000F03CA" w:rsidRPr="00ED2B1F" w:rsidRDefault="000F03CA" w:rsidP="000F03CA">
            <w:pPr>
              <w:spacing w:before="60" w:after="60"/>
              <w:rPr>
                <w:w w:val="105"/>
                <w:sz w:val="18"/>
                <w:szCs w:val="18"/>
              </w:rPr>
            </w:pPr>
            <w:r w:rsidRPr="00ED2B1F">
              <w:rPr>
                <w:sz w:val="18"/>
                <w:szCs w:val="18"/>
              </w:rPr>
              <w:t>2013/14</w:t>
            </w:r>
          </w:p>
        </w:tc>
        <w:tc>
          <w:tcPr>
            <w:tcW w:w="685" w:type="pct"/>
          </w:tcPr>
          <w:p w14:paraId="3385CE81" w14:textId="0BF7B481" w:rsidR="000F03CA" w:rsidRPr="00ED2B1F" w:rsidRDefault="000F03CA" w:rsidP="007F3ECC">
            <w:pPr>
              <w:spacing w:before="60" w:after="60"/>
              <w:ind w:right="170"/>
              <w:jc w:val="right"/>
              <w:rPr>
                <w:rFonts w:cs="Segoe UI"/>
                <w:sz w:val="18"/>
                <w:szCs w:val="18"/>
              </w:rPr>
            </w:pPr>
            <w:r w:rsidRPr="00ED2B1F">
              <w:rPr>
                <w:sz w:val="18"/>
                <w:szCs w:val="18"/>
              </w:rPr>
              <w:t>4,610</w:t>
            </w:r>
          </w:p>
        </w:tc>
        <w:tc>
          <w:tcPr>
            <w:tcW w:w="649" w:type="pct"/>
          </w:tcPr>
          <w:p w14:paraId="2F4FF3EB" w14:textId="4B5AF41A" w:rsidR="000F03CA" w:rsidRPr="00ED2B1F" w:rsidRDefault="000F03CA" w:rsidP="007F3ECC">
            <w:pPr>
              <w:spacing w:before="60" w:after="60"/>
              <w:ind w:right="170"/>
              <w:jc w:val="right"/>
              <w:rPr>
                <w:rFonts w:cs="Segoe UI"/>
                <w:sz w:val="18"/>
                <w:szCs w:val="18"/>
              </w:rPr>
            </w:pPr>
            <w:r w:rsidRPr="00ED2B1F">
              <w:rPr>
                <w:sz w:val="18"/>
                <w:szCs w:val="18"/>
              </w:rPr>
              <w:t>2,</w:t>
            </w:r>
            <w:r w:rsidR="005F1395" w:rsidRPr="00ED2B1F">
              <w:rPr>
                <w:sz w:val="18"/>
                <w:szCs w:val="18"/>
              </w:rPr>
              <w:t>615</w:t>
            </w:r>
          </w:p>
        </w:tc>
        <w:tc>
          <w:tcPr>
            <w:tcW w:w="649" w:type="pct"/>
          </w:tcPr>
          <w:p w14:paraId="294D5C08" w14:textId="47C18874"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753</w:t>
            </w:r>
          </w:p>
        </w:tc>
        <w:tc>
          <w:tcPr>
            <w:tcW w:w="838" w:type="pct"/>
          </w:tcPr>
          <w:p w14:paraId="17D07AB2" w14:textId="205D3C1A"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92</w:t>
            </w:r>
          </w:p>
        </w:tc>
        <w:tc>
          <w:tcPr>
            <w:tcW w:w="838" w:type="pct"/>
          </w:tcPr>
          <w:p w14:paraId="45A1B415" w14:textId="6BF3A4A0"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2</w:t>
            </w:r>
          </w:p>
        </w:tc>
        <w:tc>
          <w:tcPr>
            <w:tcW w:w="839" w:type="pct"/>
          </w:tcPr>
          <w:p w14:paraId="33FFC5B2" w14:textId="6FB1248A"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148</w:t>
            </w:r>
          </w:p>
        </w:tc>
      </w:tr>
      <w:tr w:rsidR="000F03CA" w:rsidRPr="00ED2B1F" w14:paraId="0A628D94" w14:textId="77777777" w:rsidTr="005F1395">
        <w:trPr>
          <w:cantSplit/>
          <w:trHeight w:val="318"/>
        </w:trPr>
        <w:tc>
          <w:tcPr>
            <w:tcW w:w="503" w:type="pct"/>
          </w:tcPr>
          <w:p w14:paraId="7AC1F499" w14:textId="289EC4B9" w:rsidR="000F03CA" w:rsidRPr="00ED2B1F" w:rsidRDefault="000F03CA" w:rsidP="000F03CA">
            <w:pPr>
              <w:spacing w:before="60" w:after="60"/>
              <w:rPr>
                <w:w w:val="105"/>
                <w:sz w:val="18"/>
                <w:szCs w:val="18"/>
              </w:rPr>
            </w:pPr>
            <w:r w:rsidRPr="00ED2B1F">
              <w:rPr>
                <w:sz w:val="18"/>
                <w:szCs w:val="18"/>
              </w:rPr>
              <w:t>2014/15</w:t>
            </w:r>
          </w:p>
        </w:tc>
        <w:tc>
          <w:tcPr>
            <w:tcW w:w="685" w:type="pct"/>
          </w:tcPr>
          <w:p w14:paraId="7DD19B5F" w14:textId="4BA5310F" w:rsidR="000F03CA" w:rsidRPr="00ED2B1F" w:rsidRDefault="000F03CA" w:rsidP="007F3ECC">
            <w:pPr>
              <w:spacing w:before="60" w:after="60"/>
              <w:ind w:right="170"/>
              <w:jc w:val="right"/>
              <w:rPr>
                <w:rFonts w:cs="Segoe UI"/>
                <w:sz w:val="18"/>
                <w:szCs w:val="18"/>
              </w:rPr>
            </w:pPr>
            <w:r w:rsidRPr="00ED2B1F">
              <w:rPr>
                <w:sz w:val="18"/>
                <w:szCs w:val="18"/>
              </w:rPr>
              <w:t>4,629</w:t>
            </w:r>
          </w:p>
        </w:tc>
        <w:tc>
          <w:tcPr>
            <w:tcW w:w="649" w:type="pct"/>
          </w:tcPr>
          <w:p w14:paraId="6D428D36" w14:textId="15897DCD" w:rsidR="000F03CA" w:rsidRPr="00ED2B1F" w:rsidRDefault="000F03CA" w:rsidP="007F3ECC">
            <w:pPr>
              <w:spacing w:before="60" w:after="60"/>
              <w:ind w:right="170"/>
              <w:jc w:val="right"/>
              <w:rPr>
                <w:rFonts w:cs="Segoe UI"/>
                <w:sz w:val="18"/>
                <w:szCs w:val="18"/>
              </w:rPr>
            </w:pPr>
            <w:r w:rsidRPr="00ED2B1F">
              <w:rPr>
                <w:sz w:val="18"/>
                <w:szCs w:val="18"/>
              </w:rPr>
              <w:t>2,687</w:t>
            </w:r>
          </w:p>
        </w:tc>
        <w:tc>
          <w:tcPr>
            <w:tcW w:w="649" w:type="pct"/>
          </w:tcPr>
          <w:p w14:paraId="2D303AA4" w14:textId="191AFFB1"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779</w:t>
            </w:r>
          </w:p>
        </w:tc>
        <w:tc>
          <w:tcPr>
            <w:tcW w:w="838" w:type="pct"/>
          </w:tcPr>
          <w:p w14:paraId="2E468051" w14:textId="34C7DCC1"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88</w:t>
            </w:r>
          </w:p>
        </w:tc>
        <w:tc>
          <w:tcPr>
            <w:tcW w:w="838" w:type="pct"/>
          </w:tcPr>
          <w:p w14:paraId="435201FF" w14:textId="4BC913C8"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0</w:t>
            </w:r>
          </w:p>
        </w:tc>
        <w:tc>
          <w:tcPr>
            <w:tcW w:w="839" w:type="pct"/>
          </w:tcPr>
          <w:p w14:paraId="61B57BFD" w14:textId="775EFC2F"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75</w:t>
            </w:r>
          </w:p>
        </w:tc>
      </w:tr>
      <w:tr w:rsidR="000F03CA" w:rsidRPr="00ED2B1F" w14:paraId="21DCD7E1" w14:textId="77777777" w:rsidTr="005F1395">
        <w:trPr>
          <w:cantSplit/>
          <w:trHeight w:val="304"/>
        </w:trPr>
        <w:tc>
          <w:tcPr>
            <w:tcW w:w="503" w:type="pct"/>
          </w:tcPr>
          <w:p w14:paraId="01DE1321" w14:textId="7AE14B7A" w:rsidR="000F03CA" w:rsidRPr="00ED2B1F" w:rsidRDefault="000F03CA" w:rsidP="000F03CA">
            <w:pPr>
              <w:spacing w:before="60" w:after="60"/>
              <w:rPr>
                <w:w w:val="105"/>
                <w:sz w:val="18"/>
                <w:szCs w:val="18"/>
              </w:rPr>
            </w:pPr>
            <w:r w:rsidRPr="00ED2B1F">
              <w:rPr>
                <w:sz w:val="18"/>
                <w:szCs w:val="18"/>
              </w:rPr>
              <w:t>2015/16</w:t>
            </w:r>
          </w:p>
        </w:tc>
        <w:tc>
          <w:tcPr>
            <w:tcW w:w="685" w:type="pct"/>
          </w:tcPr>
          <w:p w14:paraId="3F907A7B" w14:textId="45E3F018" w:rsidR="000F03CA" w:rsidRPr="00ED2B1F" w:rsidRDefault="000F03CA" w:rsidP="007F3ECC">
            <w:pPr>
              <w:spacing w:before="60" w:after="60"/>
              <w:ind w:right="170"/>
              <w:jc w:val="right"/>
              <w:rPr>
                <w:rFonts w:cs="Segoe UI"/>
                <w:sz w:val="18"/>
                <w:szCs w:val="18"/>
              </w:rPr>
            </w:pPr>
            <w:r w:rsidRPr="00ED2B1F">
              <w:rPr>
                <w:sz w:val="18"/>
                <w:szCs w:val="18"/>
              </w:rPr>
              <w:t>4,918</w:t>
            </w:r>
          </w:p>
        </w:tc>
        <w:tc>
          <w:tcPr>
            <w:tcW w:w="649" w:type="pct"/>
          </w:tcPr>
          <w:p w14:paraId="24B7A1F2" w14:textId="1B5FA068" w:rsidR="000F03CA" w:rsidRPr="00ED2B1F" w:rsidRDefault="000F03CA" w:rsidP="007F3ECC">
            <w:pPr>
              <w:spacing w:before="60" w:after="60"/>
              <w:ind w:right="170"/>
              <w:jc w:val="right"/>
              <w:rPr>
                <w:rFonts w:cs="Segoe UI"/>
                <w:sz w:val="18"/>
                <w:szCs w:val="18"/>
              </w:rPr>
            </w:pPr>
            <w:r w:rsidRPr="00ED2B1F">
              <w:rPr>
                <w:sz w:val="18"/>
                <w:szCs w:val="18"/>
              </w:rPr>
              <w:t>2,</w:t>
            </w:r>
            <w:r w:rsidR="005F1395" w:rsidRPr="00ED2B1F">
              <w:rPr>
                <w:sz w:val="18"/>
                <w:szCs w:val="18"/>
              </w:rPr>
              <w:t>895</w:t>
            </w:r>
          </w:p>
        </w:tc>
        <w:tc>
          <w:tcPr>
            <w:tcW w:w="649" w:type="pct"/>
          </w:tcPr>
          <w:p w14:paraId="33CC828D" w14:textId="1EA437EF"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817</w:t>
            </w:r>
          </w:p>
        </w:tc>
        <w:tc>
          <w:tcPr>
            <w:tcW w:w="838" w:type="pct"/>
          </w:tcPr>
          <w:p w14:paraId="47B9398F" w14:textId="08106E27"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66</w:t>
            </w:r>
          </w:p>
        </w:tc>
        <w:tc>
          <w:tcPr>
            <w:tcW w:w="838" w:type="pct"/>
          </w:tcPr>
          <w:p w14:paraId="6F59E466" w14:textId="37EE5C24"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4</w:t>
            </w:r>
          </w:p>
        </w:tc>
        <w:tc>
          <w:tcPr>
            <w:tcW w:w="839" w:type="pct"/>
          </w:tcPr>
          <w:p w14:paraId="27E1F0BA" w14:textId="2F4D3D14"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136</w:t>
            </w:r>
          </w:p>
        </w:tc>
      </w:tr>
      <w:tr w:rsidR="000F03CA" w:rsidRPr="00ED2B1F" w14:paraId="3642AA04" w14:textId="77777777" w:rsidTr="005F1395">
        <w:trPr>
          <w:cantSplit/>
          <w:trHeight w:val="318"/>
        </w:trPr>
        <w:tc>
          <w:tcPr>
            <w:tcW w:w="503" w:type="pct"/>
          </w:tcPr>
          <w:p w14:paraId="30529114" w14:textId="56B65862" w:rsidR="000F03CA" w:rsidRPr="00ED2B1F" w:rsidRDefault="000F03CA" w:rsidP="000F03CA">
            <w:pPr>
              <w:spacing w:before="60" w:after="60"/>
              <w:rPr>
                <w:w w:val="105"/>
                <w:sz w:val="18"/>
                <w:szCs w:val="18"/>
              </w:rPr>
            </w:pPr>
            <w:r w:rsidRPr="00ED2B1F">
              <w:rPr>
                <w:sz w:val="18"/>
                <w:szCs w:val="18"/>
              </w:rPr>
              <w:t>2016/17</w:t>
            </w:r>
          </w:p>
        </w:tc>
        <w:tc>
          <w:tcPr>
            <w:tcW w:w="685" w:type="pct"/>
          </w:tcPr>
          <w:p w14:paraId="6A948AE6" w14:textId="73300016" w:rsidR="000F03CA" w:rsidRPr="00ED2B1F" w:rsidRDefault="000F03CA" w:rsidP="007F3ECC">
            <w:pPr>
              <w:spacing w:before="60" w:after="60"/>
              <w:ind w:right="170"/>
              <w:jc w:val="right"/>
              <w:rPr>
                <w:rFonts w:cs="Segoe UI"/>
                <w:sz w:val="18"/>
                <w:szCs w:val="18"/>
              </w:rPr>
            </w:pPr>
            <w:r w:rsidRPr="00ED2B1F">
              <w:rPr>
                <w:sz w:val="18"/>
                <w:szCs w:val="18"/>
              </w:rPr>
              <w:t>4,927</w:t>
            </w:r>
          </w:p>
        </w:tc>
        <w:tc>
          <w:tcPr>
            <w:tcW w:w="649" w:type="pct"/>
          </w:tcPr>
          <w:p w14:paraId="5FA18334" w14:textId="3A59FE89" w:rsidR="000F03CA" w:rsidRPr="00ED2B1F" w:rsidRDefault="000F03CA" w:rsidP="007F3ECC">
            <w:pPr>
              <w:spacing w:before="60" w:after="60"/>
              <w:ind w:right="170"/>
              <w:jc w:val="right"/>
              <w:rPr>
                <w:rFonts w:cs="Segoe UI"/>
                <w:sz w:val="18"/>
                <w:szCs w:val="18"/>
              </w:rPr>
            </w:pPr>
            <w:r w:rsidRPr="00ED2B1F">
              <w:rPr>
                <w:sz w:val="18"/>
                <w:szCs w:val="18"/>
              </w:rPr>
              <w:t>2,</w:t>
            </w:r>
            <w:r w:rsidR="005F1395" w:rsidRPr="00ED2B1F">
              <w:rPr>
                <w:sz w:val="18"/>
                <w:szCs w:val="18"/>
              </w:rPr>
              <w:t>721</w:t>
            </w:r>
          </w:p>
        </w:tc>
        <w:tc>
          <w:tcPr>
            <w:tcW w:w="649" w:type="pct"/>
          </w:tcPr>
          <w:p w14:paraId="52334013" w14:textId="2BC51545" w:rsidR="000F03CA" w:rsidRPr="00ED2B1F" w:rsidRDefault="000F03CA" w:rsidP="007F3ECC">
            <w:pPr>
              <w:spacing w:before="60" w:after="60"/>
              <w:ind w:right="170"/>
              <w:jc w:val="right"/>
              <w:rPr>
                <w:rFonts w:cs="Segoe UI"/>
                <w:sz w:val="18"/>
                <w:szCs w:val="18"/>
              </w:rPr>
            </w:pPr>
            <w:r w:rsidRPr="00ED2B1F">
              <w:rPr>
                <w:sz w:val="18"/>
                <w:szCs w:val="18"/>
              </w:rPr>
              <w:t>1,654</w:t>
            </w:r>
          </w:p>
        </w:tc>
        <w:tc>
          <w:tcPr>
            <w:tcW w:w="838" w:type="pct"/>
          </w:tcPr>
          <w:p w14:paraId="132DFF1C" w14:textId="6C2E6C22"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82</w:t>
            </w:r>
          </w:p>
        </w:tc>
        <w:tc>
          <w:tcPr>
            <w:tcW w:w="838" w:type="pct"/>
          </w:tcPr>
          <w:p w14:paraId="5A0B5E74" w14:textId="683D56E2"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2</w:t>
            </w:r>
          </w:p>
        </w:tc>
        <w:tc>
          <w:tcPr>
            <w:tcW w:w="839" w:type="pct"/>
          </w:tcPr>
          <w:p w14:paraId="66A07F5B" w14:textId="37EDEE36"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468</w:t>
            </w:r>
          </w:p>
        </w:tc>
      </w:tr>
      <w:tr w:rsidR="000F03CA" w:rsidRPr="00ED2B1F" w14:paraId="3B0375E5" w14:textId="77777777" w:rsidTr="005F1395">
        <w:trPr>
          <w:cantSplit/>
          <w:trHeight w:val="318"/>
        </w:trPr>
        <w:tc>
          <w:tcPr>
            <w:tcW w:w="503" w:type="pct"/>
          </w:tcPr>
          <w:p w14:paraId="36811AC5" w14:textId="049B85FF" w:rsidR="000F03CA" w:rsidRPr="00ED2B1F" w:rsidRDefault="000F03CA" w:rsidP="000F03CA">
            <w:pPr>
              <w:spacing w:before="60" w:after="60"/>
              <w:rPr>
                <w:w w:val="105"/>
                <w:sz w:val="18"/>
                <w:szCs w:val="18"/>
              </w:rPr>
            </w:pPr>
            <w:r w:rsidRPr="00ED2B1F">
              <w:rPr>
                <w:sz w:val="18"/>
                <w:szCs w:val="18"/>
              </w:rPr>
              <w:t>2017/18</w:t>
            </w:r>
          </w:p>
        </w:tc>
        <w:tc>
          <w:tcPr>
            <w:tcW w:w="685" w:type="pct"/>
          </w:tcPr>
          <w:p w14:paraId="11ECBDB4" w14:textId="3081B6A3" w:rsidR="000F03CA" w:rsidRPr="00ED2B1F" w:rsidRDefault="000F03CA" w:rsidP="007F3ECC">
            <w:pPr>
              <w:spacing w:before="60" w:after="60"/>
              <w:ind w:right="170"/>
              <w:jc w:val="right"/>
              <w:rPr>
                <w:rFonts w:cs="Segoe UI"/>
                <w:sz w:val="18"/>
                <w:szCs w:val="18"/>
              </w:rPr>
            </w:pPr>
            <w:r w:rsidRPr="00ED2B1F">
              <w:rPr>
                <w:sz w:val="18"/>
                <w:szCs w:val="18"/>
              </w:rPr>
              <w:t>4,959</w:t>
            </w:r>
          </w:p>
        </w:tc>
        <w:tc>
          <w:tcPr>
            <w:tcW w:w="649" w:type="pct"/>
          </w:tcPr>
          <w:p w14:paraId="42365677" w14:textId="206B5D84" w:rsidR="000F03CA" w:rsidRPr="00ED2B1F" w:rsidRDefault="000F03CA" w:rsidP="007F3ECC">
            <w:pPr>
              <w:spacing w:before="60" w:after="60"/>
              <w:ind w:right="170"/>
              <w:jc w:val="right"/>
              <w:rPr>
                <w:rFonts w:cs="Segoe UI"/>
                <w:sz w:val="18"/>
                <w:szCs w:val="18"/>
              </w:rPr>
            </w:pPr>
            <w:r w:rsidRPr="00ED2B1F">
              <w:rPr>
                <w:sz w:val="18"/>
                <w:szCs w:val="18"/>
              </w:rPr>
              <w:t>2,591</w:t>
            </w:r>
          </w:p>
        </w:tc>
        <w:tc>
          <w:tcPr>
            <w:tcW w:w="649" w:type="pct"/>
          </w:tcPr>
          <w:p w14:paraId="399FF649" w14:textId="63493FD2"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708</w:t>
            </w:r>
          </w:p>
        </w:tc>
        <w:tc>
          <w:tcPr>
            <w:tcW w:w="838" w:type="pct"/>
          </w:tcPr>
          <w:p w14:paraId="48B82D4E" w14:textId="1A25E497"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54</w:t>
            </w:r>
          </w:p>
        </w:tc>
        <w:tc>
          <w:tcPr>
            <w:tcW w:w="838" w:type="pct"/>
          </w:tcPr>
          <w:p w14:paraId="2655FB38" w14:textId="547ABF88"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4</w:t>
            </w:r>
          </w:p>
        </w:tc>
        <w:tc>
          <w:tcPr>
            <w:tcW w:w="839" w:type="pct"/>
          </w:tcPr>
          <w:p w14:paraId="5CAEDA8F" w14:textId="588A315A"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602</w:t>
            </w:r>
          </w:p>
        </w:tc>
      </w:tr>
      <w:tr w:rsidR="000F03CA" w:rsidRPr="00ED2B1F" w14:paraId="439F60FA" w14:textId="77777777" w:rsidTr="005F1395">
        <w:trPr>
          <w:cantSplit/>
          <w:trHeight w:val="304"/>
        </w:trPr>
        <w:tc>
          <w:tcPr>
            <w:tcW w:w="503" w:type="pct"/>
          </w:tcPr>
          <w:p w14:paraId="0ECE92C8" w14:textId="4EB9AEEF" w:rsidR="000F03CA" w:rsidRPr="00ED2B1F" w:rsidRDefault="000F03CA" w:rsidP="000F03CA">
            <w:pPr>
              <w:spacing w:before="60" w:after="60"/>
              <w:rPr>
                <w:w w:val="105"/>
                <w:sz w:val="18"/>
                <w:szCs w:val="18"/>
              </w:rPr>
            </w:pPr>
            <w:r w:rsidRPr="00ED2B1F">
              <w:rPr>
                <w:sz w:val="18"/>
                <w:szCs w:val="18"/>
              </w:rPr>
              <w:t>2018/19</w:t>
            </w:r>
          </w:p>
        </w:tc>
        <w:tc>
          <w:tcPr>
            <w:tcW w:w="685" w:type="pct"/>
          </w:tcPr>
          <w:p w14:paraId="25E1CC2A" w14:textId="77D33D0A" w:rsidR="000F03CA" w:rsidRPr="00ED2B1F" w:rsidRDefault="000F03CA" w:rsidP="007F3ECC">
            <w:pPr>
              <w:spacing w:before="60" w:after="60"/>
              <w:ind w:right="170"/>
              <w:jc w:val="right"/>
              <w:rPr>
                <w:rFonts w:cs="Segoe UI"/>
                <w:sz w:val="18"/>
                <w:szCs w:val="18"/>
              </w:rPr>
            </w:pPr>
            <w:r w:rsidRPr="00ED2B1F">
              <w:rPr>
                <w:sz w:val="18"/>
                <w:szCs w:val="18"/>
              </w:rPr>
              <w:t>4,972</w:t>
            </w:r>
          </w:p>
        </w:tc>
        <w:tc>
          <w:tcPr>
            <w:tcW w:w="649" w:type="pct"/>
          </w:tcPr>
          <w:p w14:paraId="62622200" w14:textId="2176F3C5" w:rsidR="000F03CA" w:rsidRPr="00ED2B1F" w:rsidRDefault="000F03CA" w:rsidP="007F3ECC">
            <w:pPr>
              <w:spacing w:before="60" w:after="60"/>
              <w:ind w:right="170"/>
              <w:jc w:val="right"/>
              <w:rPr>
                <w:rFonts w:cs="Segoe UI"/>
                <w:sz w:val="18"/>
                <w:szCs w:val="18"/>
              </w:rPr>
            </w:pPr>
            <w:r w:rsidRPr="00ED2B1F">
              <w:rPr>
                <w:sz w:val="18"/>
                <w:szCs w:val="18"/>
              </w:rPr>
              <w:t>2,</w:t>
            </w:r>
            <w:r w:rsidR="005F1395" w:rsidRPr="00ED2B1F">
              <w:rPr>
                <w:sz w:val="18"/>
                <w:szCs w:val="18"/>
              </w:rPr>
              <w:t>743</w:t>
            </w:r>
          </w:p>
        </w:tc>
        <w:tc>
          <w:tcPr>
            <w:tcW w:w="649" w:type="pct"/>
          </w:tcPr>
          <w:p w14:paraId="69BF436C" w14:textId="22EBF491"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813</w:t>
            </w:r>
          </w:p>
        </w:tc>
        <w:tc>
          <w:tcPr>
            <w:tcW w:w="838" w:type="pct"/>
          </w:tcPr>
          <w:p w14:paraId="698A75E0" w14:textId="3FB0986C"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52</w:t>
            </w:r>
          </w:p>
        </w:tc>
        <w:tc>
          <w:tcPr>
            <w:tcW w:w="838" w:type="pct"/>
          </w:tcPr>
          <w:p w14:paraId="49D1088B" w14:textId="0F0D795A"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1</w:t>
            </w:r>
          </w:p>
        </w:tc>
        <w:tc>
          <w:tcPr>
            <w:tcW w:w="839" w:type="pct"/>
          </w:tcPr>
          <w:p w14:paraId="7FD904F0" w14:textId="629CCF46"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363</w:t>
            </w:r>
          </w:p>
        </w:tc>
      </w:tr>
      <w:tr w:rsidR="000F03CA" w:rsidRPr="00ED2B1F" w14:paraId="0CA4F44D" w14:textId="77777777" w:rsidTr="005F1395">
        <w:trPr>
          <w:cantSplit/>
          <w:trHeight w:val="318"/>
        </w:trPr>
        <w:tc>
          <w:tcPr>
            <w:tcW w:w="503" w:type="pct"/>
          </w:tcPr>
          <w:p w14:paraId="54581EFA" w14:textId="6E75D8E4" w:rsidR="000F03CA" w:rsidRPr="00ED2B1F" w:rsidRDefault="000F03CA" w:rsidP="000F03CA">
            <w:pPr>
              <w:spacing w:before="60" w:after="60"/>
              <w:rPr>
                <w:w w:val="105"/>
                <w:sz w:val="18"/>
                <w:szCs w:val="18"/>
              </w:rPr>
            </w:pPr>
            <w:r w:rsidRPr="00ED2B1F">
              <w:rPr>
                <w:sz w:val="18"/>
                <w:szCs w:val="18"/>
              </w:rPr>
              <w:t>2019/20</w:t>
            </w:r>
          </w:p>
        </w:tc>
        <w:tc>
          <w:tcPr>
            <w:tcW w:w="685" w:type="pct"/>
          </w:tcPr>
          <w:p w14:paraId="53A93396" w14:textId="0F80E74E" w:rsidR="000F03CA" w:rsidRPr="00ED2B1F" w:rsidRDefault="000F03CA" w:rsidP="007F3ECC">
            <w:pPr>
              <w:spacing w:before="60" w:after="60"/>
              <w:ind w:right="170"/>
              <w:jc w:val="right"/>
              <w:rPr>
                <w:rFonts w:cs="Segoe UI"/>
                <w:sz w:val="18"/>
                <w:szCs w:val="18"/>
              </w:rPr>
            </w:pPr>
            <w:r w:rsidRPr="00ED2B1F">
              <w:rPr>
                <w:sz w:val="18"/>
                <w:szCs w:val="18"/>
              </w:rPr>
              <w:t>5,</w:t>
            </w:r>
            <w:r w:rsidR="005F1395" w:rsidRPr="00ED2B1F">
              <w:rPr>
                <w:sz w:val="18"/>
                <w:szCs w:val="18"/>
              </w:rPr>
              <w:t>021</w:t>
            </w:r>
          </w:p>
        </w:tc>
        <w:tc>
          <w:tcPr>
            <w:tcW w:w="649" w:type="pct"/>
          </w:tcPr>
          <w:p w14:paraId="1D2CE85F" w14:textId="44AAAE81" w:rsidR="000F03CA" w:rsidRPr="00ED2B1F" w:rsidRDefault="000F03CA" w:rsidP="007F3ECC">
            <w:pPr>
              <w:spacing w:before="60" w:after="60"/>
              <w:ind w:right="170"/>
              <w:jc w:val="right"/>
              <w:rPr>
                <w:rFonts w:cs="Segoe UI"/>
                <w:sz w:val="18"/>
                <w:szCs w:val="18"/>
              </w:rPr>
            </w:pPr>
            <w:r w:rsidRPr="00ED2B1F">
              <w:rPr>
                <w:sz w:val="18"/>
                <w:szCs w:val="18"/>
              </w:rPr>
              <w:t>2,892</w:t>
            </w:r>
          </w:p>
        </w:tc>
        <w:tc>
          <w:tcPr>
            <w:tcW w:w="649" w:type="pct"/>
          </w:tcPr>
          <w:p w14:paraId="5EDB470C" w14:textId="7DE83F3F"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739</w:t>
            </w:r>
          </w:p>
        </w:tc>
        <w:tc>
          <w:tcPr>
            <w:tcW w:w="838" w:type="pct"/>
          </w:tcPr>
          <w:p w14:paraId="1D417C97" w14:textId="1755E513"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77</w:t>
            </w:r>
          </w:p>
        </w:tc>
        <w:tc>
          <w:tcPr>
            <w:tcW w:w="838" w:type="pct"/>
          </w:tcPr>
          <w:p w14:paraId="4598ABB9" w14:textId="57611485"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0</w:t>
            </w:r>
          </w:p>
        </w:tc>
        <w:tc>
          <w:tcPr>
            <w:tcW w:w="839" w:type="pct"/>
          </w:tcPr>
          <w:p w14:paraId="74556F8A" w14:textId="07D5FEA1"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313</w:t>
            </w:r>
          </w:p>
        </w:tc>
      </w:tr>
      <w:tr w:rsidR="000F03CA" w:rsidRPr="00ED2B1F" w14:paraId="36500AFF" w14:textId="77777777" w:rsidTr="005F1395">
        <w:trPr>
          <w:cantSplit/>
          <w:trHeight w:val="318"/>
        </w:trPr>
        <w:tc>
          <w:tcPr>
            <w:tcW w:w="503" w:type="pct"/>
          </w:tcPr>
          <w:p w14:paraId="2F3CE87E" w14:textId="1AEB1035" w:rsidR="000F03CA" w:rsidRPr="00ED2B1F" w:rsidRDefault="000F03CA" w:rsidP="000F03CA">
            <w:pPr>
              <w:spacing w:before="60" w:after="60"/>
              <w:rPr>
                <w:w w:val="105"/>
                <w:sz w:val="18"/>
                <w:szCs w:val="18"/>
              </w:rPr>
            </w:pPr>
            <w:r w:rsidRPr="00ED2B1F">
              <w:rPr>
                <w:sz w:val="18"/>
                <w:szCs w:val="18"/>
              </w:rPr>
              <w:t>2020/21</w:t>
            </w:r>
          </w:p>
        </w:tc>
        <w:tc>
          <w:tcPr>
            <w:tcW w:w="685" w:type="pct"/>
          </w:tcPr>
          <w:p w14:paraId="4EAFFE4B" w14:textId="12C29DAD" w:rsidR="000F03CA" w:rsidRPr="00ED2B1F" w:rsidRDefault="000F03CA" w:rsidP="007F3ECC">
            <w:pPr>
              <w:spacing w:before="60" w:after="60"/>
              <w:ind w:right="170"/>
              <w:jc w:val="right"/>
              <w:rPr>
                <w:rFonts w:cs="Segoe UI"/>
                <w:sz w:val="18"/>
                <w:szCs w:val="18"/>
              </w:rPr>
            </w:pPr>
            <w:r w:rsidRPr="00ED2B1F">
              <w:rPr>
                <w:sz w:val="18"/>
                <w:szCs w:val="18"/>
              </w:rPr>
              <w:t>5,</w:t>
            </w:r>
            <w:r w:rsidR="005F1395" w:rsidRPr="00ED2B1F">
              <w:rPr>
                <w:sz w:val="18"/>
                <w:szCs w:val="18"/>
              </w:rPr>
              <w:t>244</w:t>
            </w:r>
          </w:p>
        </w:tc>
        <w:tc>
          <w:tcPr>
            <w:tcW w:w="649" w:type="pct"/>
          </w:tcPr>
          <w:p w14:paraId="50BB58E3" w14:textId="3F8F0736" w:rsidR="000F03CA" w:rsidRPr="00ED2B1F" w:rsidRDefault="000F03CA" w:rsidP="007F3ECC">
            <w:pPr>
              <w:spacing w:before="60" w:after="60"/>
              <w:ind w:right="170"/>
              <w:jc w:val="right"/>
              <w:rPr>
                <w:rFonts w:cs="Segoe UI"/>
                <w:sz w:val="18"/>
                <w:szCs w:val="18"/>
              </w:rPr>
            </w:pPr>
            <w:r w:rsidRPr="00ED2B1F">
              <w:rPr>
                <w:sz w:val="18"/>
                <w:szCs w:val="18"/>
              </w:rPr>
              <w:t>3,</w:t>
            </w:r>
            <w:r w:rsidR="005F1395" w:rsidRPr="00ED2B1F">
              <w:rPr>
                <w:sz w:val="18"/>
                <w:szCs w:val="18"/>
              </w:rPr>
              <w:t>033</w:t>
            </w:r>
          </w:p>
        </w:tc>
        <w:tc>
          <w:tcPr>
            <w:tcW w:w="649" w:type="pct"/>
          </w:tcPr>
          <w:p w14:paraId="3E4DEDE8" w14:textId="47C0719D"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932</w:t>
            </w:r>
          </w:p>
        </w:tc>
        <w:tc>
          <w:tcPr>
            <w:tcW w:w="838" w:type="pct"/>
          </w:tcPr>
          <w:p w14:paraId="4EACB745" w14:textId="15A6C200"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54</w:t>
            </w:r>
          </w:p>
        </w:tc>
        <w:tc>
          <w:tcPr>
            <w:tcW w:w="838" w:type="pct"/>
          </w:tcPr>
          <w:p w14:paraId="529E9C5C" w14:textId="2C0EF7A6"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3</w:t>
            </w:r>
          </w:p>
        </w:tc>
        <w:tc>
          <w:tcPr>
            <w:tcW w:w="839" w:type="pct"/>
          </w:tcPr>
          <w:p w14:paraId="52FFB1AD" w14:textId="7DA927AE"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222</w:t>
            </w:r>
          </w:p>
        </w:tc>
      </w:tr>
      <w:tr w:rsidR="000F03CA" w:rsidRPr="00ED2B1F" w14:paraId="77C40986" w14:textId="77777777" w:rsidTr="005F1395">
        <w:trPr>
          <w:cantSplit/>
          <w:trHeight w:val="304"/>
        </w:trPr>
        <w:tc>
          <w:tcPr>
            <w:tcW w:w="503" w:type="pct"/>
          </w:tcPr>
          <w:p w14:paraId="37C2A79D" w14:textId="4BDD2CE2" w:rsidR="000F03CA" w:rsidRPr="00ED2B1F" w:rsidRDefault="000F03CA" w:rsidP="000F03CA">
            <w:pPr>
              <w:spacing w:before="60" w:after="60"/>
              <w:rPr>
                <w:w w:val="105"/>
                <w:sz w:val="18"/>
                <w:szCs w:val="18"/>
              </w:rPr>
            </w:pPr>
            <w:r w:rsidRPr="00ED2B1F">
              <w:rPr>
                <w:sz w:val="18"/>
                <w:szCs w:val="18"/>
              </w:rPr>
              <w:t>2021/22</w:t>
            </w:r>
          </w:p>
        </w:tc>
        <w:tc>
          <w:tcPr>
            <w:tcW w:w="685" w:type="pct"/>
          </w:tcPr>
          <w:p w14:paraId="41A4F6BF" w14:textId="695F3E64" w:rsidR="000F03CA" w:rsidRPr="00ED2B1F" w:rsidRDefault="000F03CA" w:rsidP="007F3ECC">
            <w:pPr>
              <w:spacing w:before="60" w:after="60"/>
              <w:ind w:right="170"/>
              <w:jc w:val="right"/>
              <w:rPr>
                <w:rFonts w:cs="Segoe UI"/>
                <w:sz w:val="18"/>
                <w:szCs w:val="18"/>
              </w:rPr>
            </w:pPr>
            <w:r w:rsidRPr="00ED2B1F">
              <w:rPr>
                <w:sz w:val="18"/>
                <w:szCs w:val="18"/>
              </w:rPr>
              <w:t>5,376</w:t>
            </w:r>
          </w:p>
        </w:tc>
        <w:tc>
          <w:tcPr>
            <w:tcW w:w="649" w:type="pct"/>
          </w:tcPr>
          <w:p w14:paraId="709AC684" w14:textId="67FFA712" w:rsidR="000F03CA" w:rsidRPr="00ED2B1F" w:rsidRDefault="000F03CA" w:rsidP="007F3ECC">
            <w:pPr>
              <w:spacing w:before="60" w:after="60"/>
              <w:ind w:right="170"/>
              <w:jc w:val="right"/>
              <w:rPr>
                <w:rFonts w:cs="Segoe UI"/>
                <w:sz w:val="18"/>
                <w:szCs w:val="18"/>
              </w:rPr>
            </w:pPr>
            <w:r w:rsidRPr="00ED2B1F">
              <w:rPr>
                <w:sz w:val="18"/>
                <w:szCs w:val="18"/>
              </w:rPr>
              <w:t>3,</w:t>
            </w:r>
            <w:r w:rsidR="005F1395" w:rsidRPr="00ED2B1F">
              <w:rPr>
                <w:sz w:val="18"/>
                <w:szCs w:val="18"/>
              </w:rPr>
              <w:t>028</w:t>
            </w:r>
          </w:p>
        </w:tc>
        <w:tc>
          <w:tcPr>
            <w:tcW w:w="649" w:type="pct"/>
          </w:tcPr>
          <w:p w14:paraId="7CBE9A94" w14:textId="40E40F80"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932</w:t>
            </w:r>
          </w:p>
        </w:tc>
        <w:tc>
          <w:tcPr>
            <w:tcW w:w="838" w:type="pct"/>
          </w:tcPr>
          <w:p w14:paraId="373D1DDF" w14:textId="3A8B24B8"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92</w:t>
            </w:r>
          </w:p>
        </w:tc>
        <w:tc>
          <w:tcPr>
            <w:tcW w:w="838" w:type="pct"/>
          </w:tcPr>
          <w:p w14:paraId="28DA3773" w14:textId="02111506"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2</w:t>
            </w:r>
          </w:p>
        </w:tc>
        <w:tc>
          <w:tcPr>
            <w:tcW w:w="839" w:type="pct"/>
          </w:tcPr>
          <w:p w14:paraId="3EAFC276" w14:textId="58E84587"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322</w:t>
            </w:r>
          </w:p>
        </w:tc>
      </w:tr>
      <w:tr w:rsidR="000F03CA" w:rsidRPr="00ED2B1F" w14:paraId="7852FC29" w14:textId="77777777" w:rsidTr="007F3ECC">
        <w:trPr>
          <w:cantSplit/>
          <w:trHeight w:val="58"/>
        </w:trPr>
        <w:tc>
          <w:tcPr>
            <w:tcW w:w="503" w:type="pct"/>
          </w:tcPr>
          <w:p w14:paraId="36AE3FA8" w14:textId="65F1583A" w:rsidR="000F03CA" w:rsidRPr="00ED2B1F" w:rsidRDefault="000F03CA" w:rsidP="000F03CA">
            <w:pPr>
              <w:spacing w:before="60" w:after="60"/>
              <w:rPr>
                <w:w w:val="105"/>
                <w:sz w:val="18"/>
                <w:szCs w:val="18"/>
              </w:rPr>
            </w:pPr>
            <w:r w:rsidRPr="00ED2B1F">
              <w:rPr>
                <w:sz w:val="18"/>
                <w:szCs w:val="18"/>
              </w:rPr>
              <w:t>2022/23</w:t>
            </w:r>
          </w:p>
        </w:tc>
        <w:tc>
          <w:tcPr>
            <w:tcW w:w="685" w:type="pct"/>
          </w:tcPr>
          <w:p w14:paraId="55CCF21D" w14:textId="22CDA889" w:rsidR="000F03CA" w:rsidRPr="00ED2B1F" w:rsidRDefault="000F03CA" w:rsidP="007F3ECC">
            <w:pPr>
              <w:spacing w:before="60" w:after="60"/>
              <w:ind w:right="170"/>
              <w:jc w:val="right"/>
              <w:rPr>
                <w:rFonts w:cs="Segoe UI"/>
                <w:sz w:val="18"/>
                <w:szCs w:val="18"/>
              </w:rPr>
            </w:pPr>
            <w:r w:rsidRPr="00ED2B1F">
              <w:rPr>
                <w:sz w:val="18"/>
                <w:szCs w:val="18"/>
              </w:rPr>
              <w:t>5,606</w:t>
            </w:r>
          </w:p>
        </w:tc>
        <w:tc>
          <w:tcPr>
            <w:tcW w:w="649" w:type="pct"/>
          </w:tcPr>
          <w:p w14:paraId="32711375" w14:textId="67E9BCD9" w:rsidR="000F03CA" w:rsidRPr="00ED2B1F" w:rsidRDefault="000F03CA" w:rsidP="007F3ECC">
            <w:pPr>
              <w:spacing w:before="60" w:after="60"/>
              <w:ind w:right="170"/>
              <w:jc w:val="right"/>
              <w:rPr>
                <w:rFonts w:cs="Segoe UI"/>
                <w:sz w:val="18"/>
                <w:szCs w:val="18"/>
              </w:rPr>
            </w:pPr>
            <w:r w:rsidRPr="00ED2B1F">
              <w:rPr>
                <w:sz w:val="18"/>
                <w:szCs w:val="18"/>
              </w:rPr>
              <w:t>3,</w:t>
            </w:r>
            <w:r w:rsidR="005F1395" w:rsidRPr="00ED2B1F">
              <w:rPr>
                <w:sz w:val="18"/>
                <w:szCs w:val="18"/>
              </w:rPr>
              <w:t>063</w:t>
            </w:r>
          </w:p>
        </w:tc>
        <w:tc>
          <w:tcPr>
            <w:tcW w:w="649" w:type="pct"/>
          </w:tcPr>
          <w:p w14:paraId="37044FF0" w14:textId="21B550D9" w:rsidR="000F03CA" w:rsidRPr="00ED2B1F" w:rsidRDefault="000F03CA" w:rsidP="007F3ECC">
            <w:pPr>
              <w:spacing w:before="60" w:after="60"/>
              <w:ind w:right="170"/>
              <w:jc w:val="right"/>
              <w:rPr>
                <w:rFonts w:cs="Segoe UI"/>
                <w:sz w:val="18"/>
                <w:szCs w:val="18"/>
              </w:rPr>
            </w:pPr>
            <w:r w:rsidRPr="00ED2B1F">
              <w:rPr>
                <w:sz w:val="18"/>
                <w:szCs w:val="18"/>
              </w:rPr>
              <w:t>1,</w:t>
            </w:r>
            <w:r w:rsidR="005F1395" w:rsidRPr="00ED2B1F">
              <w:rPr>
                <w:sz w:val="18"/>
                <w:szCs w:val="18"/>
              </w:rPr>
              <w:t>899</w:t>
            </w:r>
          </w:p>
        </w:tc>
        <w:tc>
          <w:tcPr>
            <w:tcW w:w="838" w:type="pct"/>
          </w:tcPr>
          <w:p w14:paraId="3B7B7B43" w14:textId="35B77F8F"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59</w:t>
            </w:r>
          </w:p>
        </w:tc>
        <w:tc>
          <w:tcPr>
            <w:tcW w:w="838" w:type="pct"/>
          </w:tcPr>
          <w:p w14:paraId="798C010E" w14:textId="74211780"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1</w:t>
            </w:r>
          </w:p>
        </w:tc>
        <w:tc>
          <w:tcPr>
            <w:tcW w:w="839" w:type="pct"/>
          </w:tcPr>
          <w:p w14:paraId="0B348159" w14:textId="7FE7E40D" w:rsidR="000F03CA" w:rsidRPr="00ED2B1F" w:rsidRDefault="000F03CA" w:rsidP="007F3ECC">
            <w:pPr>
              <w:tabs>
                <w:tab w:val="decimal" w:pos="706"/>
              </w:tabs>
              <w:spacing w:before="60" w:after="60"/>
              <w:ind w:right="170"/>
              <w:jc w:val="right"/>
              <w:rPr>
                <w:rFonts w:cs="Segoe UI"/>
                <w:sz w:val="18"/>
                <w:szCs w:val="18"/>
              </w:rPr>
            </w:pPr>
            <w:r w:rsidRPr="00ED2B1F">
              <w:rPr>
                <w:sz w:val="18"/>
                <w:szCs w:val="18"/>
              </w:rPr>
              <w:t>584</w:t>
            </w:r>
          </w:p>
        </w:tc>
      </w:tr>
      <w:tr w:rsidR="000F03CA" w:rsidRPr="00ED2B1F" w14:paraId="3550C361" w14:textId="77777777" w:rsidTr="005F1395">
        <w:trPr>
          <w:cantSplit/>
          <w:trHeight w:val="70"/>
        </w:trPr>
        <w:tc>
          <w:tcPr>
            <w:tcW w:w="503" w:type="pct"/>
          </w:tcPr>
          <w:p w14:paraId="22A0A004" w14:textId="218E705F" w:rsidR="000F03CA" w:rsidRPr="00ED2B1F" w:rsidRDefault="000F03CA" w:rsidP="000F03CA">
            <w:pPr>
              <w:spacing w:before="60" w:after="60"/>
              <w:rPr>
                <w:w w:val="105"/>
                <w:sz w:val="18"/>
                <w:szCs w:val="18"/>
              </w:rPr>
            </w:pPr>
            <w:r w:rsidRPr="00ED2B1F">
              <w:rPr>
                <w:sz w:val="18"/>
                <w:szCs w:val="18"/>
              </w:rPr>
              <w:t>2023/24</w:t>
            </w:r>
          </w:p>
        </w:tc>
        <w:tc>
          <w:tcPr>
            <w:tcW w:w="685" w:type="pct"/>
          </w:tcPr>
          <w:p w14:paraId="07277B52" w14:textId="6249B6C7" w:rsidR="000F03CA" w:rsidRPr="00ED2B1F" w:rsidRDefault="005F1395" w:rsidP="007F3ECC">
            <w:pPr>
              <w:spacing w:before="60" w:after="60"/>
              <w:ind w:right="170"/>
              <w:jc w:val="right"/>
              <w:rPr>
                <w:rFonts w:cs="Segoe UI"/>
                <w:sz w:val="18"/>
                <w:szCs w:val="18"/>
              </w:rPr>
            </w:pPr>
            <w:r w:rsidRPr="00ED2B1F">
              <w:rPr>
                <w:sz w:val="18"/>
                <w:szCs w:val="18"/>
              </w:rPr>
              <w:t>6,725</w:t>
            </w:r>
          </w:p>
        </w:tc>
        <w:tc>
          <w:tcPr>
            <w:tcW w:w="649" w:type="pct"/>
          </w:tcPr>
          <w:p w14:paraId="10B29F4E" w14:textId="34D6184B" w:rsidR="000F03CA" w:rsidRPr="00ED2B1F" w:rsidRDefault="005F1395" w:rsidP="007F3ECC">
            <w:pPr>
              <w:spacing w:before="60" w:after="60"/>
              <w:ind w:right="170"/>
              <w:jc w:val="right"/>
              <w:rPr>
                <w:rFonts w:cs="Segoe UI"/>
                <w:sz w:val="18"/>
                <w:szCs w:val="18"/>
              </w:rPr>
            </w:pPr>
            <w:r w:rsidRPr="00ED2B1F">
              <w:rPr>
                <w:sz w:val="18"/>
                <w:szCs w:val="18"/>
              </w:rPr>
              <w:t>4,164</w:t>
            </w:r>
          </w:p>
        </w:tc>
        <w:tc>
          <w:tcPr>
            <w:tcW w:w="649" w:type="pct"/>
          </w:tcPr>
          <w:p w14:paraId="2F9634C0" w14:textId="7A280F5E" w:rsidR="000F03CA" w:rsidRPr="00ED2B1F" w:rsidRDefault="005F1395" w:rsidP="007F3ECC">
            <w:pPr>
              <w:spacing w:before="60" w:after="60"/>
              <w:ind w:right="170"/>
              <w:jc w:val="right"/>
              <w:rPr>
                <w:rFonts w:cs="Segoe UI"/>
                <w:sz w:val="18"/>
                <w:szCs w:val="18"/>
              </w:rPr>
            </w:pPr>
            <w:r w:rsidRPr="00ED2B1F">
              <w:rPr>
                <w:sz w:val="18"/>
                <w:szCs w:val="18"/>
              </w:rPr>
              <w:t>2,141</w:t>
            </w:r>
          </w:p>
        </w:tc>
        <w:tc>
          <w:tcPr>
            <w:tcW w:w="838" w:type="pct"/>
          </w:tcPr>
          <w:p w14:paraId="3072732E" w14:textId="263D9922" w:rsidR="000F03CA" w:rsidRPr="00ED2B1F" w:rsidRDefault="005F1395" w:rsidP="007F3ECC">
            <w:pPr>
              <w:tabs>
                <w:tab w:val="decimal" w:pos="911"/>
              </w:tabs>
              <w:spacing w:before="60" w:after="60"/>
              <w:ind w:right="170"/>
              <w:jc w:val="right"/>
              <w:rPr>
                <w:rFonts w:cs="Segoe UI"/>
                <w:sz w:val="18"/>
                <w:szCs w:val="18"/>
              </w:rPr>
            </w:pPr>
            <w:r w:rsidRPr="00ED2B1F">
              <w:rPr>
                <w:sz w:val="18"/>
                <w:szCs w:val="18"/>
              </w:rPr>
              <w:t>87</w:t>
            </w:r>
          </w:p>
        </w:tc>
        <w:tc>
          <w:tcPr>
            <w:tcW w:w="838" w:type="pct"/>
          </w:tcPr>
          <w:p w14:paraId="0A05EED9" w14:textId="4141BB33"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1</w:t>
            </w:r>
          </w:p>
        </w:tc>
        <w:tc>
          <w:tcPr>
            <w:tcW w:w="839" w:type="pct"/>
          </w:tcPr>
          <w:p w14:paraId="31B985DA" w14:textId="4278DD03" w:rsidR="000F03CA" w:rsidRPr="00ED2B1F" w:rsidRDefault="005F1395" w:rsidP="007F3ECC">
            <w:pPr>
              <w:tabs>
                <w:tab w:val="decimal" w:pos="706"/>
              </w:tabs>
              <w:spacing w:before="60" w:after="60"/>
              <w:ind w:right="170"/>
              <w:jc w:val="right"/>
              <w:rPr>
                <w:rFonts w:cs="Segoe UI"/>
                <w:sz w:val="18"/>
                <w:szCs w:val="18"/>
              </w:rPr>
            </w:pPr>
            <w:r w:rsidRPr="00ED2B1F">
              <w:rPr>
                <w:sz w:val="18"/>
                <w:szCs w:val="18"/>
              </w:rPr>
              <w:t>332</w:t>
            </w:r>
          </w:p>
        </w:tc>
      </w:tr>
    </w:tbl>
    <w:p w14:paraId="76642924" w14:textId="676E4C5D" w:rsidR="00C916E6" w:rsidRPr="00ED2B1F" w:rsidRDefault="00C916E6" w:rsidP="007F3ECC">
      <w:pPr>
        <w:pStyle w:val="Note"/>
      </w:pPr>
      <w:r w:rsidRPr="00ED2B1F">
        <w:t xml:space="preserve">Notes: The table presents applications that had been processed at the time of data extraction on </w:t>
      </w:r>
      <w:r w:rsidR="009D2CD4" w:rsidRPr="00ED2B1F">
        <w:t>2 December</w:t>
      </w:r>
      <w:r w:rsidR="005B6519" w:rsidRPr="00ED2B1F">
        <w:t xml:space="preserve"> 2025</w:t>
      </w:r>
      <w:r w:rsidRPr="00ED2B1F">
        <w:t xml:space="preserve">. The year is determined by the date the application was granted. When more than </w:t>
      </w:r>
      <w:r w:rsidRPr="00ED2B1F">
        <w:rPr>
          <w:szCs w:val="17"/>
        </w:rPr>
        <w:t>one</w:t>
      </w:r>
      <w:r w:rsidRPr="00ED2B1F">
        <w:t xml:space="preserve"> type of order is shown, it is likely to be because new orders are linked to a previous application in the CMS. The CMS is a live operational database, which means figures are subject to minor changes at any time.</w:t>
      </w:r>
    </w:p>
    <w:p w14:paraId="7B8B4029" w14:textId="4748A754" w:rsidR="00C916E6" w:rsidRPr="00ED2B1F" w:rsidRDefault="00C916E6" w:rsidP="007F3ECC">
      <w:pPr>
        <w:pStyle w:val="Source"/>
      </w:pPr>
      <w:r w:rsidRPr="00ED2B1F">
        <w:t xml:space="preserve">Source: Ministry of Justice Integrated Sector Intelligence System, which uses data entered into the CMS (extracted </w:t>
      </w:r>
      <w:bookmarkStart w:id="700" w:name="_Hlk63161974"/>
      <w:r w:rsidR="009D2CD4" w:rsidRPr="00ED2B1F">
        <w:t>2 December</w:t>
      </w:r>
      <w:r w:rsidR="005B6519" w:rsidRPr="00ED2B1F">
        <w:t xml:space="preserve"> 2025</w:t>
      </w:r>
      <w:r w:rsidRPr="00ED2B1F">
        <w:t>).</w:t>
      </w:r>
      <w:bookmarkEnd w:id="700"/>
    </w:p>
    <w:p w14:paraId="28235804" w14:textId="40C98C8F" w:rsidR="00104B1A" w:rsidRPr="00ED2B1F" w:rsidRDefault="00104B1A" w:rsidP="007F3ECC">
      <w:pPr>
        <w:pStyle w:val="Source"/>
      </w:pPr>
      <w:r w:rsidRPr="00ED2B1F">
        <w:br w:type="page"/>
      </w:r>
    </w:p>
    <w:p w14:paraId="587567DA" w14:textId="2E79F8D6" w:rsidR="00104B1A" w:rsidRPr="00ED2B1F" w:rsidRDefault="00104B1A" w:rsidP="00104B1A">
      <w:pPr>
        <w:pStyle w:val="Heading1"/>
        <w:spacing w:before="0"/>
      </w:pPr>
      <w:bookmarkStart w:id="701" w:name="_Toc224638124"/>
      <w:r w:rsidRPr="00ED2B1F">
        <w:lastRenderedPageBreak/>
        <w:t xml:space="preserve">Appendix 3: Individuals </w:t>
      </w:r>
      <w:r w:rsidRPr="00ED2B1F" w:rsidDel="000A654F">
        <w:t xml:space="preserve">who </w:t>
      </w:r>
      <w:r w:rsidRPr="00ED2B1F">
        <w:t xml:space="preserve">experienced prolonged </w:t>
      </w:r>
      <w:r w:rsidR="009A5950" w:rsidRPr="00ED2B1F">
        <w:t xml:space="preserve">and/or frequent </w:t>
      </w:r>
      <w:r w:rsidR="00575780" w:rsidRPr="00ED2B1F">
        <w:t xml:space="preserve">periods of </w:t>
      </w:r>
      <w:r w:rsidRPr="00ED2B1F">
        <w:t>seclusion</w:t>
      </w:r>
      <w:bookmarkEnd w:id="701"/>
    </w:p>
    <w:p w14:paraId="2B1E0970" w14:textId="3220D23C" w:rsidR="00104B1A" w:rsidRPr="00ED2B1F" w:rsidRDefault="00104B1A" w:rsidP="00104B1A">
      <w:pPr>
        <w:rPr>
          <w:rFonts w:cs="Segoe UI"/>
        </w:rPr>
      </w:pPr>
      <w:r w:rsidRPr="00ED2B1F">
        <w:rPr>
          <w:rFonts w:cs="Segoe UI"/>
        </w:rPr>
        <w:t xml:space="preserve">The Office of the Director of Mental Health and Addiction Services has commissioned a specific </w:t>
      </w:r>
      <w:r w:rsidR="006628F4" w:rsidRPr="00ED2B1F">
        <w:rPr>
          <w:rFonts w:cs="Segoe UI"/>
        </w:rPr>
        <w:t xml:space="preserve">piece </w:t>
      </w:r>
      <w:r w:rsidRPr="00ED2B1F">
        <w:rPr>
          <w:rFonts w:cs="Segoe UI"/>
        </w:rPr>
        <w:t>of work to examine the factors surrounding the eight individuals who</w:t>
      </w:r>
      <w:r w:rsidR="009A5950" w:rsidRPr="00ED2B1F">
        <w:rPr>
          <w:rFonts w:cs="Segoe UI"/>
        </w:rPr>
        <w:t xml:space="preserve"> </w:t>
      </w:r>
      <w:r w:rsidRPr="00ED2B1F">
        <w:rPr>
          <w:rFonts w:cs="Segoe UI"/>
        </w:rPr>
        <w:t>experienced prolonged</w:t>
      </w:r>
      <w:r w:rsidR="00186869" w:rsidRPr="00ED2B1F">
        <w:rPr>
          <w:rFonts w:cs="Segoe UI"/>
        </w:rPr>
        <w:t xml:space="preserve"> and/or frequent</w:t>
      </w:r>
      <w:r w:rsidRPr="00ED2B1F">
        <w:rPr>
          <w:rFonts w:cs="Segoe UI"/>
        </w:rPr>
        <w:t xml:space="preserve"> </w:t>
      </w:r>
      <w:r w:rsidR="00575780" w:rsidRPr="00ED2B1F">
        <w:rPr>
          <w:rFonts w:cs="Segoe UI"/>
        </w:rPr>
        <w:t xml:space="preserve">periods </w:t>
      </w:r>
      <w:r w:rsidR="00B52C40" w:rsidRPr="00ED2B1F">
        <w:rPr>
          <w:rFonts w:cs="Segoe UI"/>
        </w:rPr>
        <w:t xml:space="preserve">of </w:t>
      </w:r>
      <w:r w:rsidRPr="00ED2B1F">
        <w:rPr>
          <w:rFonts w:cs="Segoe UI"/>
        </w:rPr>
        <w:t>seclusion.</w:t>
      </w:r>
    </w:p>
    <w:p w14:paraId="3A5CCF1A" w14:textId="77777777" w:rsidR="00104B1A" w:rsidRPr="00ED2B1F" w:rsidRDefault="00104B1A" w:rsidP="00104B1A">
      <w:pPr>
        <w:rPr>
          <w:rFonts w:cs="Segoe UI"/>
        </w:rPr>
      </w:pPr>
    </w:p>
    <w:p w14:paraId="1581E1E1" w14:textId="103471F8" w:rsidR="00104B1A" w:rsidRPr="00ED2B1F" w:rsidRDefault="00104B1A" w:rsidP="00104B1A">
      <w:pPr>
        <w:rPr>
          <w:rFonts w:cs="Segoe UI"/>
        </w:rPr>
      </w:pPr>
      <w:r w:rsidRPr="00ED2B1F">
        <w:rPr>
          <w:rFonts w:cs="Segoe UI"/>
        </w:rPr>
        <w:t>The eight individuals are at three Health New Zealand regional facilities. The facilities are in the categories of regional intellectual disability or regional forensic units. The eight individuals are</w:t>
      </w:r>
      <w:r w:rsidR="003559B5" w:rsidRPr="00ED2B1F">
        <w:rPr>
          <w:rFonts w:cs="Segoe UI"/>
        </w:rPr>
        <w:t xml:space="preserve"> each</w:t>
      </w:r>
      <w:r w:rsidRPr="00ED2B1F">
        <w:rPr>
          <w:rFonts w:cs="Segoe UI"/>
        </w:rPr>
        <w:t xml:space="preserve"> subject to </w:t>
      </w:r>
      <w:r w:rsidR="003559B5" w:rsidRPr="00ED2B1F">
        <w:rPr>
          <w:rFonts w:cs="Segoe UI"/>
        </w:rPr>
        <w:t xml:space="preserve">one of three Acts: </w:t>
      </w:r>
      <w:r w:rsidRPr="00ED2B1F">
        <w:rPr>
          <w:rFonts w:cs="Segoe UI"/>
        </w:rPr>
        <w:t xml:space="preserve">the Mental Health Act, </w:t>
      </w:r>
      <w:r w:rsidR="001F2D65" w:rsidRPr="00ED2B1F">
        <w:rPr>
          <w:rFonts w:cs="Segoe UI"/>
        </w:rPr>
        <w:t xml:space="preserve">the </w:t>
      </w:r>
      <w:r w:rsidRPr="00ED2B1F">
        <w:rPr>
          <w:rFonts w:cs="Segoe UI"/>
        </w:rPr>
        <w:t>IDCCR Act or the Criminal Procedure (Mentally Impaired Persons) Act 2003.</w:t>
      </w:r>
    </w:p>
    <w:p w14:paraId="32C32884" w14:textId="77777777" w:rsidR="00104B1A" w:rsidRPr="00ED2B1F" w:rsidRDefault="00104B1A" w:rsidP="00104B1A">
      <w:pPr>
        <w:rPr>
          <w:rFonts w:cs="Segoe UI"/>
        </w:rPr>
      </w:pPr>
    </w:p>
    <w:p w14:paraId="03F61724" w14:textId="4704EB52" w:rsidR="00104B1A" w:rsidRPr="00ED2B1F" w:rsidRDefault="00104B1A" w:rsidP="00104B1A">
      <w:pPr>
        <w:rPr>
          <w:rFonts w:cs="Segoe UI"/>
        </w:rPr>
      </w:pPr>
      <w:r w:rsidRPr="00ED2B1F">
        <w:rPr>
          <w:rFonts w:cs="Segoe UI"/>
        </w:rPr>
        <w:t>Further information</w:t>
      </w:r>
      <w:r w:rsidR="003559B5" w:rsidRPr="00ED2B1F">
        <w:rPr>
          <w:rFonts w:cs="Segoe UI"/>
        </w:rPr>
        <w:t>, including on individual treatment plans,</w:t>
      </w:r>
      <w:r w:rsidRPr="00ED2B1F">
        <w:rPr>
          <w:rFonts w:cs="Segoe UI"/>
        </w:rPr>
        <w:t xml:space="preserve"> will be sought from the relevant service providers to explore and review each case. In particular, this</w:t>
      </w:r>
      <w:r w:rsidR="003559B5" w:rsidRPr="00ED2B1F">
        <w:rPr>
          <w:rFonts w:cs="Segoe UI"/>
        </w:rPr>
        <w:t xml:space="preserve"> work</w:t>
      </w:r>
      <w:r w:rsidRPr="00ED2B1F">
        <w:rPr>
          <w:rFonts w:cs="Segoe UI"/>
        </w:rPr>
        <w:t xml:space="preserve"> will focus on gaining:</w:t>
      </w:r>
    </w:p>
    <w:p w14:paraId="12E262A0" w14:textId="77777777" w:rsidR="00104B1A" w:rsidRPr="00ED2B1F" w:rsidRDefault="00104B1A" w:rsidP="00332CF2">
      <w:pPr>
        <w:pStyle w:val="Bullet"/>
      </w:pPr>
      <w:r w:rsidRPr="00ED2B1F">
        <w:t>confirmation of the accuracy of reported seclusion data</w:t>
      </w:r>
    </w:p>
    <w:p w14:paraId="11EE3D7D" w14:textId="77777777" w:rsidR="00104B1A" w:rsidRPr="00ED2B1F" w:rsidRDefault="00104B1A" w:rsidP="00332CF2">
      <w:pPr>
        <w:pStyle w:val="Bullet"/>
      </w:pPr>
      <w:r w:rsidRPr="00ED2B1F">
        <w:t xml:space="preserve">assurance that these individuals have safeguards in place to protect their rights </w:t>
      </w:r>
    </w:p>
    <w:p w14:paraId="7BB9A213" w14:textId="77777777" w:rsidR="00104B1A" w:rsidRPr="00ED2B1F" w:rsidRDefault="00104B1A" w:rsidP="00332CF2">
      <w:pPr>
        <w:pStyle w:val="Bullet"/>
      </w:pPr>
      <w:r w:rsidRPr="00ED2B1F">
        <w:t xml:space="preserve">assurance that services are meeting the expected standards for seclusion </w:t>
      </w:r>
    </w:p>
    <w:p w14:paraId="1B8B9F8D" w14:textId="77777777" w:rsidR="00104B1A" w:rsidRPr="00ED2B1F" w:rsidRDefault="00104B1A" w:rsidP="00332CF2">
      <w:pPr>
        <w:pStyle w:val="Bullet"/>
      </w:pPr>
      <w:r w:rsidRPr="00ED2B1F">
        <w:t>assurance that services are taking active measures to reduce and eliminate seclusion, both on an individual and a service basis</w:t>
      </w:r>
    </w:p>
    <w:p w14:paraId="5674A662" w14:textId="77777777" w:rsidR="00104B1A" w:rsidRPr="00ED2B1F" w:rsidRDefault="00104B1A" w:rsidP="00332CF2">
      <w:pPr>
        <w:pStyle w:val="Bullet"/>
      </w:pPr>
      <w:r w:rsidRPr="00ED2B1F">
        <w:t>the reasons for the extended seclusion hours</w:t>
      </w:r>
    </w:p>
    <w:p w14:paraId="541FE65A" w14:textId="5FD9027A" w:rsidR="00104B1A" w:rsidRPr="00ED2B1F" w:rsidRDefault="00104B1A" w:rsidP="00332CF2">
      <w:pPr>
        <w:pStyle w:val="Bullet"/>
      </w:pPr>
      <w:r w:rsidRPr="00ED2B1F">
        <w:t>details of service and organisational barriers to reduc</w:t>
      </w:r>
      <w:r w:rsidR="001F2D65" w:rsidRPr="00ED2B1F">
        <w:t>ing</w:t>
      </w:r>
      <w:r w:rsidRPr="00ED2B1F">
        <w:t xml:space="preserve"> and eliminati</w:t>
      </w:r>
      <w:r w:rsidR="001F2D65" w:rsidRPr="00ED2B1F">
        <w:t>ng seclusion</w:t>
      </w:r>
      <w:r w:rsidRPr="00ED2B1F">
        <w:t>.</w:t>
      </w:r>
    </w:p>
    <w:p w14:paraId="66D4E1FC" w14:textId="77777777" w:rsidR="00104B1A" w:rsidRPr="00ED2B1F" w:rsidRDefault="00104B1A" w:rsidP="00104B1A">
      <w:pPr>
        <w:rPr>
          <w:rFonts w:cs="Segoe UI"/>
        </w:rPr>
      </w:pPr>
    </w:p>
    <w:p w14:paraId="0FEE71D7" w14:textId="1E8E120D" w:rsidR="00104B1A" w:rsidRDefault="003559B5" w:rsidP="00104B1A">
      <w:pPr>
        <w:rPr>
          <w:rFonts w:cs="Segoe UI"/>
        </w:rPr>
      </w:pPr>
      <w:r w:rsidRPr="00ED2B1F">
        <w:rPr>
          <w:rFonts w:cs="Segoe UI"/>
        </w:rPr>
        <w:t xml:space="preserve">After </w:t>
      </w:r>
      <w:r w:rsidR="00104B1A" w:rsidRPr="00ED2B1F">
        <w:rPr>
          <w:rFonts w:cs="Segoe UI"/>
        </w:rPr>
        <w:t>receiv</w:t>
      </w:r>
      <w:r w:rsidRPr="00ED2B1F">
        <w:rPr>
          <w:rFonts w:cs="Segoe UI"/>
        </w:rPr>
        <w:t>ing the information</w:t>
      </w:r>
      <w:r w:rsidR="00104B1A" w:rsidRPr="00ED2B1F">
        <w:rPr>
          <w:rFonts w:cs="Segoe UI"/>
        </w:rPr>
        <w:t xml:space="preserve">, the Director will ensure </w:t>
      </w:r>
      <w:r w:rsidRPr="00ED2B1F">
        <w:rPr>
          <w:rFonts w:cs="Segoe UI"/>
        </w:rPr>
        <w:t xml:space="preserve">it </w:t>
      </w:r>
      <w:r w:rsidR="00104B1A" w:rsidRPr="00ED2B1F">
        <w:rPr>
          <w:rFonts w:cs="Segoe UI"/>
        </w:rPr>
        <w:t>is reviewed and will consider recommendations for action by the service providers and any areas that require escalation to other agencies.</w:t>
      </w:r>
    </w:p>
    <w:p w14:paraId="2C25B0DF" w14:textId="77777777" w:rsidR="00BB5318" w:rsidRDefault="00BB5318" w:rsidP="00104B1A">
      <w:pPr>
        <w:rPr>
          <w:rFonts w:cs="Segoe UI"/>
        </w:rPr>
      </w:pPr>
    </w:p>
    <w:p w14:paraId="03A91363" w14:textId="20264393" w:rsidR="00104B1A" w:rsidRPr="00ED2B1F" w:rsidRDefault="00BB5318" w:rsidP="00104B1A">
      <w:pPr>
        <w:rPr>
          <w:rFonts w:cs="Segoe UI"/>
        </w:rPr>
      </w:pPr>
      <w:r>
        <w:rPr>
          <w:rFonts w:cs="Segoe UI"/>
        </w:rPr>
        <w:fldChar w:fldCharType="begin"/>
      </w:r>
      <w:r>
        <w:rPr>
          <w:rFonts w:cs="Segoe UI"/>
        </w:rPr>
        <w:instrText xml:space="preserve"> REF TableA3 \h </w:instrText>
      </w:r>
      <w:r>
        <w:rPr>
          <w:rFonts w:cs="Segoe UI"/>
        </w:rPr>
      </w:r>
      <w:r>
        <w:rPr>
          <w:rFonts w:cs="Segoe UI"/>
        </w:rPr>
        <w:fldChar w:fldCharType="separate"/>
      </w:r>
      <w:r w:rsidR="00484E57" w:rsidRPr="00ED2B1F">
        <w:t>Table A3</w:t>
      </w:r>
      <w:r>
        <w:rPr>
          <w:rFonts w:cs="Segoe UI"/>
        </w:rPr>
        <w:fldChar w:fldCharType="end"/>
      </w:r>
      <w:r>
        <w:rPr>
          <w:rFonts w:cs="Segoe UI"/>
        </w:rPr>
        <w:t xml:space="preserve"> </w:t>
      </w:r>
      <w:r w:rsidR="00104B1A" w:rsidRPr="00ED2B1F">
        <w:rPr>
          <w:rFonts w:cs="Segoe UI"/>
        </w:rPr>
        <w:t xml:space="preserve">presents some of the seclusion data both with and without the individuals who experienced </w:t>
      </w:r>
      <w:r w:rsidR="00222C90" w:rsidRPr="00ED2B1F">
        <w:rPr>
          <w:rFonts w:cs="Segoe UI"/>
        </w:rPr>
        <w:t>prolonged periods</w:t>
      </w:r>
      <w:r w:rsidR="00222C90" w:rsidRPr="00ED2B1F" w:rsidDel="003559B5">
        <w:rPr>
          <w:rFonts w:cs="Segoe UI"/>
        </w:rPr>
        <w:t xml:space="preserve"> </w:t>
      </w:r>
      <w:r w:rsidR="00104B1A" w:rsidRPr="00ED2B1F">
        <w:rPr>
          <w:rFonts w:cs="Segoe UI"/>
        </w:rPr>
        <w:t>of seclusion.</w:t>
      </w:r>
    </w:p>
    <w:p w14:paraId="08596701" w14:textId="77777777" w:rsidR="00104B1A" w:rsidRPr="00ED2B1F" w:rsidRDefault="00104B1A" w:rsidP="00104B1A">
      <w:pPr>
        <w:rPr>
          <w:rFonts w:cs="Segoe UI"/>
        </w:rPr>
      </w:pPr>
    </w:p>
    <w:p w14:paraId="68D14104" w14:textId="77777777" w:rsidR="00104B1A" w:rsidRPr="00ED2B1F" w:rsidRDefault="00104B1A" w:rsidP="00104B1A">
      <w:pPr>
        <w:rPr>
          <w:b/>
          <w:sz w:val="20"/>
        </w:rPr>
      </w:pPr>
      <w:bookmarkStart w:id="702" w:name="_Ref214878176"/>
      <w:r w:rsidRPr="00ED2B1F">
        <w:rPr>
          <w:b/>
          <w:sz w:val="20"/>
        </w:rPr>
        <w:br w:type="page"/>
      </w:r>
    </w:p>
    <w:p w14:paraId="3EB82460" w14:textId="46299179" w:rsidR="00104B1A" w:rsidRPr="00ED2B1F" w:rsidRDefault="00104B1A" w:rsidP="00C103C7">
      <w:pPr>
        <w:pStyle w:val="Table"/>
      </w:pPr>
      <w:bookmarkStart w:id="703" w:name="TableA3"/>
      <w:bookmarkStart w:id="704" w:name="_Toc224638242"/>
      <w:r w:rsidRPr="00ED2B1F">
        <w:lastRenderedPageBreak/>
        <w:t>Table</w:t>
      </w:r>
      <w:r w:rsidR="009A5950" w:rsidRPr="00ED2B1F">
        <w:t xml:space="preserve"> </w:t>
      </w:r>
      <w:r w:rsidR="00C84C3D" w:rsidRPr="00ED2B1F">
        <w:t>A3</w:t>
      </w:r>
      <w:bookmarkEnd w:id="702"/>
      <w:bookmarkEnd w:id="703"/>
      <w:r w:rsidRPr="00ED2B1F">
        <w:t xml:space="preserve">: Seclusion indicators </w:t>
      </w:r>
      <w:r w:rsidR="003559B5" w:rsidRPr="00ED2B1F">
        <w:t xml:space="preserve">excluding and </w:t>
      </w:r>
      <w:r w:rsidRPr="00ED2B1F">
        <w:t xml:space="preserve">including individuals who experienced </w:t>
      </w:r>
      <w:r w:rsidR="00575780" w:rsidRPr="00ED2B1F">
        <w:t>prolonged periods of seclusion</w:t>
      </w:r>
      <w:r w:rsidRPr="00ED2B1F">
        <w:t>, 1 July 2023 to 30 June 2024</w:t>
      </w:r>
      <w:bookmarkEnd w:id="704"/>
    </w:p>
    <w:tbl>
      <w:tblPr>
        <w:tblW w:w="8364" w:type="dxa"/>
        <w:tblLook w:val="04A0" w:firstRow="1" w:lastRow="0" w:firstColumn="1" w:lastColumn="0" w:noHBand="0" w:noVBand="1"/>
      </w:tblPr>
      <w:tblGrid>
        <w:gridCol w:w="4536"/>
        <w:gridCol w:w="1842"/>
        <w:gridCol w:w="1986"/>
      </w:tblGrid>
      <w:tr w:rsidR="00104B1A" w:rsidRPr="00ED2B1F" w14:paraId="0A693FD3" w14:textId="77777777" w:rsidTr="007F3ECC">
        <w:trPr>
          <w:trHeight w:val="255"/>
        </w:trPr>
        <w:tc>
          <w:tcPr>
            <w:tcW w:w="4536" w:type="dxa"/>
            <w:tcBorders>
              <w:left w:val="nil"/>
            </w:tcBorders>
            <w:shd w:val="clear" w:color="auto" w:fill="D9D9D9" w:themeFill="background1" w:themeFillShade="D9"/>
            <w:vAlign w:val="bottom"/>
            <w:hideMark/>
          </w:tcPr>
          <w:p w14:paraId="39583C42" w14:textId="77777777" w:rsidR="00104B1A" w:rsidRPr="007F3ECC" w:rsidRDefault="00104B1A">
            <w:pPr>
              <w:spacing w:before="60" w:after="60"/>
              <w:rPr>
                <w:b/>
                <w:bCs/>
                <w:sz w:val="18"/>
                <w:szCs w:val="18"/>
              </w:rPr>
            </w:pPr>
            <w:r w:rsidRPr="007F3ECC">
              <w:rPr>
                <w:b/>
                <w:bCs/>
                <w:sz w:val="18"/>
                <w:szCs w:val="18"/>
              </w:rPr>
              <w:t> Seclusion measure</w:t>
            </w:r>
          </w:p>
        </w:tc>
        <w:tc>
          <w:tcPr>
            <w:tcW w:w="1842" w:type="dxa"/>
            <w:shd w:val="clear" w:color="auto" w:fill="D9D9D9" w:themeFill="background1" w:themeFillShade="D9"/>
            <w:vAlign w:val="bottom"/>
            <w:hideMark/>
          </w:tcPr>
          <w:p w14:paraId="090C9176" w14:textId="569B8013" w:rsidR="00104B1A" w:rsidRPr="007F3ECC" w:rsidRDefault="00104B1A">
            <w:pPr>
              <w:spacing w:before="60" w:after="60"/>
              <w:rPr>
                <w:b/>
                <w:bCs/>
                <w:sz w:val="18"/>
                <w:szCs w:val="18"/>
              </w:rPr>
            </w:pPr>
            <w:r w:rsidRPr="007F3ECC">
              <w:rPr>
                <w:b/>
                <w:bCs/>
                <w:sz w:val="18"/>
                <w:szCs w:val="18"/>
              </w:rPr>
              <w:t xml:space="preserve">Excluding 8 individuals who experienced </w:t>
            </w:r>
            <w:r w:rsidR="00575780" w:rsidRPr="007F3ECC">
              <w:rPr>
                <w:b/>
                <w:bCs/>
                <w:sz w:val="18"/>
                <w:szCs w:val="18"/>
              </w:rPr>
              <w:t>prolonged periods</w:t>
            </w:r>
            <w:r w:rsidRPr="007F3ECC">
              <w:rPr>
                <w:b/>
                <w:bCs/>
                <w:sz w:val="18"/>
                <w:szCs w:val="18"/>
              </w:rPr>
              <w:t xml:space="preserve"> of seclusion</w:t>
            </w:r>
          </w:p>
        </w:tc>
        <w:tc>
          <w:tcPr>
            <w:tcW w:w="1986" w:type="dxa"/>
            <w:shd w:val="clear" w:color="auto" w:fill="D9D9D9" w:themeFill="background1" w:themeFillShade="D9"/>
            <w:vAlign w:val="bottom"/>
            <w:hideMark/>
          </w:tcPr>
          <w:p w14:paraId="42351B68" w14:textId="0B3755FE" w:rsidR="00104B1A" w:rsidRPr="007F3ECC" w:rsidRDefault="00104B1A" w:rsidP="003559B5">
            <w:pPr>
              <w:spacing w:before="60" w:after="60"/>
              <w:rPr>
                <w:b/>
                <w:bCs/>
                <w:sz w:val="18"/>
                <w:szCs w:val="18"/>
              </w:rPr>
            </w:pPr>
            <w:r w:rsidRPr="007F3ECC">
              <w:rPr>
                <w:b/>
                <w:bCs/>
                <w:sz w:val="18"/>
                <w:szCs w:val="18"/>
              </w:rPr>
              <w:t xml:space="preserve">Including 8 individuals who experienced </w:t>
            </w:r>
            <w:r w:rsidR="00575780" w:rsidRPr="007F3ECC">
              <w:rPr>
                <w:b/>
                <w:bCs/>
                <w:sz w:val="18"/>
                <w:szCs w:val="18"/>
              </w:rPr>
              <w:t>prolonged periods</w:t>
            </w:r>
            <w:r w:rsidRPr="007F3ECC">
              <w:rPr>
                <w:b/>
                <w:bCs/>
                <w:sz w:val="18"/>
                <w:szCs w:val="18"/>
              </w:rPr>
              <w:t xml:space="preserve"> of seclusion</w:t>
            </w:r>
          </w:p>
        </w:tc>
      </w:tr>
      <w:tr w:rsidR="00104B1A" w:rsidRPr="00ED2B1F" w14:paraId="6DB9B8F6" w14:textId="77777777">
        <w:trPr>
          <w:trHeight w:val="306"/>
        </w:trPr>
        <w:tc>
          <w:tcPr>
            <w:tcW w:w="8364" w:type="dxa"/>
            <w:gridSpan w:val="3"/>
            <w:tcBorders>
              <w:bottom w:val="single" w:sz="4" w:space="0" w:color="A6A6A6"/>
            </w:tcBorders>
            <w:shd w:val="clear" w:color="000000" w:fill="FFFFFF"/>
            <w:vAlign w:val="center"/>
          </w:tcPr>
          <w:p w14:paraId="02C2295E" w14:textId="77777777" w:rsidR="00104B1A" w:rsidRPr="00ED2B1F" w:rsidRDefault="00104B1A">
            <w:pPr>
              <w:spacing w:before="60" w:after="60"/>
              <w:rPr>
                <w:rFonts w:cs="Segoe UI"/>
                <w:b/>
                <w:bCs/>
                <w:color w:val="000000"/>
                <w:sz w:val="18"/>
                <w:szCs w:val="18"/>
                <w:lang w:eastAsia="en-NZ"/>
              </w:rPr>
            </w:pPr>
            <w:r w:rsidRPr="00ED2B1F">
              <w:rPr>
                <w:rFonts w:cs="Segoe UI"/>
                <w:b/>
                <w:bCs/>
                <w:color w:val="000000"/>
                <w:sz w:val="18"/>
                <w:szCs w:val="18"/>
                <w:lang w:eastAsia="en-NZ"/>
              </w:rPr>
              <w:t>Overall mental health inpatient services (adult, forensic, intellectual disability and youth)</w:t>
            </w:r>
          </w:p>
        </w:tc>
      </w:tr>
      <w:tr w:rsidR="00104B1A" w:rsidRPr="00ED2B1F" w14:paraId="4D99BEB8" w14:textId="77777777">
        <w:trPr>
          <w:trHeight w:val="306"/>
        </w:trPr>
        <w:tc>
          <w:tcPr>
            <w:tcW w:w="4536" w:type="dxa"/>
            <w:tcBorders>
              <w:top w:val="single" w:sz="4" w:space="0" w:color="A6A6A6"/>
              <w:bottom w:val="single" w:sz="4" w:space="0" w:color="A6A6A6"/>
            </w:tcBorders>
            <w:shd w:val="clear" w:color="000000" w:fill="FFFFFF"/>
            <w:vAlign w:val="center"/>
          </w:tcPr>
          <w:p w14:paraId="08F9AFF5"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people secluded in all services</w:t>
            </w:r>
          </w:p>
        </w:tc>
        <w:tc>
          <w:tcPr>
            <w:tcW w:w="1842" w:type="dxa"/>
            <w:tcBorders>
              <w:top w:val="single" w:sz="4" w:space="0" w:color="A6A6A6"/>
              <w:bottom w:val="single" w:sz="4" w:space="0" w:color="A6A6A6"/>
            </w:tcBorders>
            <w:shd w:val="clear" w:color="000000" w:fill="FFFFFF"/>
            <w:vAlign w:val="bottom"/>
          </w:tcPr>
          <w:p w14:paraId="6DDFF47C"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755</w:t>
            </w:r>
          </w:p>
        </w:tc>
        <w:tc>
          <w:tcPr>
            <w:tcW w:w="1986" w:type="dxa"/>
            <w:tcBorders>
              <w:top w:val="single" w:sz="4" w:space="0" w:color="A6A6A6"/>
              <w:bottom w:val="single" w:sz="4" w:space="0" w:color="A6A6A6"/>
            </w:tcBorders>
            <w:shd w:val="clear" w:color="000000" w:fill="FFFFFF"/>
            <w:vAlign w:val="bottom"/>
          </w:tcPr>
          <w:p w14:paraId="43B338E0"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763</w:t>
            </w:r>
          </w:p>
        </w:tc>
      </w:tr>
      <w:tr w:rsidR="00104B1A" w:rsidRPr="00ED2B1F" w14:paraId="75155575" w14:textId="77777777">
        <w:trPr>
          <w:trHeight w:val="306"/>
        </w:trPr>
        <w:tc>
          <w:tcPr>
            <w:tcW w:w="4536" w:type="dxa"/>
            <w:tcBorders>
              <w:top w:val="single" w:sz="4" w:space="0" w:color="A6A6A6"/>
              <w:bottom w:val="single" w:sz="4" w:space="0" w:color="A6A6A6"/>
            </w:tcBorders>
            <w:shd w:val="clear" w:color="000000" w:fill="FFFFFF"/>
            <w:vAlign w:val="center"/>
          </w:tcPr>
          <w:p w14:paraId="1E366E6A"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hours of seclusion in all services</w:t>
            </w:r>
          </w:p>
        </w:tc>
        <w:tc>
          <w:tcPr>
            <w:tcW w:w="1842" w:type="dxa"/>
            <w:tcBorders>
              <w:top w:val="single" w:sz="4" w:space="0" w:color="A6A6A6"/>
              <w:bottom w:val="single" w:sz="4" w:space="0" w:color="A6A6A6"/>
            </w:tcBorders>
            <w:shd w:val="clear" w:color="000000" w:fill="FFFFFF"/>
            <w:vAlign w:val="bottom"/>
          </w:tcPr>
          <w:p w14:paraId="29369C9F"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59,876</w:t>
            </w:r>
          </w:p>
        </w:tc>
        <w:tc>
          <w:tcPr>
            <w:tcW w:w="1986" w:type="dxa"/>
            <w:tcBorders>
              <w:top w:val="single" w:sz="4" w:space="0" w:color="A6A6A6"/>
              <w:bottom w:val="single" w:sz="4" w:space="0" w:color="A6A6A6"/>
            </w:tcBorders>
            <w:shd w:val="clear" w:color="000000" w:fill="FFFFFF"/>
            <w:vAlign w:val="bottom"/>
          </w:tcPr>
          <w:p w14:paraId="2F233782"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105,407</w:t>
            </w:r>
          </w:p>
        </w:tc>
      </w:tr>
      <w:tr w:rsidR="00104B1A" w:rsidRPr="00ED2B1F" w14:paraId="265AE9ED" w14:textId="77777777">
        <w:trPr>
          <w:trHeight w:val="306"/>
        </w:trPr>
        <w:tc>
          <w:tcPr>
            <w:tcW w:w="4536" w:type="dxa"/>
            <w:tcBorders>
              <w:top w:val="single" w:sz="4" w:space="0" w:color="A6A6A6"/>
              <w:bottom w:val="single" w:sz="4" w:space="0" w:color="A6A6A6"/>
            </w:tcBorders>
            <w:shd w:val="clear" w:color="000000" w:fill="FFFFFF"/>
            <w:vAlign w:val="center"/>
          </w:tcPr>
          <w:p w14:paraId="4E7C6489"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 in all services</w:t>
            </w:r>
          </w:p>
        </w:tc>
        <w:tc>
          <w:tcPr>
            <w:tcW w:w="1842" w:type="dxa"/>
            <w:tcBorders>
              <w:top w:val="single" w:sz="4" w:space="0" w:color="A6A6A6"/>
              <w:bottom w:val="single" w:sz="4" w:space="0" w:color="A6A6A6"/>
            </w:tcBorders>
            <w:shd w:val="clear" w:color="000000" w:fill="FFFFFF"/>
            <w:vAlign w:val="bottom"/>
          </w:tcPr>
          <w:p w14:paraId="1529BF81"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1,787</w:t>
            </w:r>
          </w:p>
        </w:tc>
        <w:tc>
          <w:tcPr>
            <w:tcW w:w="1986" w:type="dxa"/>
            <w:tcBorders>
              <w:top w:val="single" w:sz="4" w:space="0" w:color="A6A6A6"/>
              <w:bottom w:val="single" w:sz="4" w:space="0" w:color="A6A6A6"/>
            </w:tcBorders>
            <w:shd w:val="clear" w:color="000000" w:fill="FFFFFF"/>
            <w:vAlign w:val="bottom"/>
          </w:tcPr>
          <w:p w14:paraId="7DA46245"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2,772</w:t>
            </w:r>
          </w:p>
        </w:tc>
      </w:tr>
      <w:tr w:rsidR="00104B1A" w:rsidRPr="00ED2B1F" w14:paraId="447FE912" w14:textId="77777777">
        <w:trPr>
          <w:trHeight w:val="306"/>
        </w:trPr>
        <w:tc>
          <w:tcPr>
            <w:tcW w:w="4536" w:type="dxa"/>
            <w:tcBorders>
              <w:top w:val="single" w:sz="4" w:space="0" w:color="A6A6A6"/>
              <w:bottom w:val="single" w:sz="4" w:space="0" w:color="A6A6A6"/>
            </w:tcBorders>
            <w:shd w:val="clear" w:color="000000" w:fill="FFFFFF"/>
            <w:vAlign w:val="center"/>
          </w:tcPr>
          <w:p w14:paraId="08CD027E"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Percentage of seclusion events lasting under 24 hours</w:t>
            </w:r>
          </w:p>
        </w:tc>
        <w:tc>
          <w:tcPr>
            <w:tcW w:w="1842" w:type="dxa"/>
            <w:tcBorders>
              <w:top w:val="single" w:sz="4" w:space="0" w:color="A6A6A6"/>
              <w:bottom w:val="single" w:sz="4" w:space="0" w:color="A6A6A6"/>
            </w:tcBorders>
            <w:shd w:val="clear" w:color="000000" w:fill="FFFFFF"/>
            <w:vAlign w:val="bottom"/>
          </w:tcPr>
          <w:p w14:paraId="3BE543A3"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70%</w:t>
            </w:r>
          </w:p>
        </w:tc>
        <w:tc>
          <w:tcPr>
            <w:tcW w:w="1986" w:type="dxa"/>
            <w:tcBorders>
              <w:top w:val="single" w:sz="4" w:space="0" w:color="A6A6A6"/>
              <w:bottom w:val="single" w:sz="4" w:space="0" w:color="A6A6A6"/>
            </w:tcBorders>
            <w:shd w:val="clear" w:color="000000" w:fill="FFFFFF"/>
            <w:vAlign w:val="bottom"/>
          </w:tcPr>
          <w:p w14:paraId="65608FF7"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73%</w:t>
            </w:r>
          </w:p>
        </w:tc>
      </w:tr>
      <w:tr w:rsidR="00104B1A" w:rsidRPr="00ED2B1F" w14:paraId="7C4B6D8D" w14:textId="77777777">
        <w:trPr>
          <w:trHeight w:val="306"/>
        </w:trPr>
        <w:tc>
          <w:tcPr>
            <w:tcW w:w="4536" w:type="dxa"/>
            <w:tcBorders>
              <w:top w:val="single" w:sz="4" w:space="0" w:color="A6A6A6"/>
              <w:bottom w:val="single" w:sz="4" w:space="0" w:color="A6A6A6"/>
            </w:tcBorders>
            <w:shd w:val="clear" w:color="000000" w:fill="FFFFFF"/>
            <w:vAlign w:val="center"/>
          </w:tcPr>
          <w:p w14:paraId="7A1D386B"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Percentage of seclusion events lasting over 48 hours</w:t>
            </w:r>
          </w:p>
        </w:tc>
        <w:tc>
          <w:tcPr>
            <w:tcW w:w="1842" w:type="dxa"/>
            <w:tcBorders>
              <w:top w:val="single" w:sz="4" w:space="0" w:color="A6A6A6"/>
              <w:bottom w:val="single" w:sz="4" w:space="0" w:color="A6A6A6"/>
            </w:tcBorders>
            <w:shd w:val="clear" w:color="000000" w:fill="FFFFFF"/>
            <w:vAlign w:val="bottom"/>
          </w:tcPr>
          <w:p w14:paraId="4E0A5BC1"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16%</w:t>
            </w:r>
          </w:p>
        </w:tc>
        <w:tc>
          <w:tcPr>
            <w:tcW w:w="1986" w:type="dxa"/>
            <w:tcBorders>
              <w:top w:val="single" w:sz="4" w:space="0" w:color="A6A6A6"/>
              <w:bottom w:val="single" w:sz="4" w:space="0" w:color="A6A6A6"/>
            </w:tcBorders>
            <w:shd w:val="clear" w:color="000000" w:fill="FFFFFF"/>
            <w:vAlign w:val="bottom"/>
          </w:tcPr>
          <w:p w14:paraId="7E6ED0C1"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16%</w:t>
            </w:r>
          </w:p>
        </w:tc>
      </w:tr>
      <w:tr w:rsidR="00104B1A" w:rsidRPr="00ED2B1F" w14:paraId="212638D4" w14:textId="77777777">
        <w:trPr>
          <w:trHeight w:val="306"/>
        </w:trPr>
        <w:tc>
          <w:tcPr>
            <w:tcW w:w="8364" w:type="dxa"/>
            <w:gridSpan w:val="3"/>
            <w:tcBorders>
              <w:top w:val="single" w:sz="4" w:space="0" w:color="A6A6A6"/>
              <w:bottom w:val="single" w:sz="4" w:space="0" w:color="A6A6A6"/>
            </w:tcBorders>
            <w:shd w:val="clear" w:color="000000" w:fill="FFFFFF"/>
            <w:vAlign w:val="center"/>
          </w:tcPr>
          <w:p w14:paraId="74B6BAB9" w14:textId="77777777" w:rsidR="00104B1A" w:rsidRPr="00ED2B1F" w:rsidRDefault="00104B1A">
            <w:pPr>
              <w:spacing w:before="60" w:after="60"/>
              <w:rPr>
                <w:rFonts w:cs="Segoe UI"/>
                <w:color w:val="000000"/>
                <w:sz w:val="18"/>
                <w:szCs w:val="18"/>
                <w:lang w:eastAsia="en-NZ"/>
              </w:rPr>
            </w:pPr>
            <w:r w:rsidRPr="00ED2B1F">
              <w:rPr>
                <w:rFonts w:cs="Segoe UI"/>
                <w:b/>
                <w:bCs/>
                <w:color w:val="000000"/>
                <w:sz w:val="18"/>
                <w:szCs w:val="18"/>
                <w:lang w:eastAsia="en-NZ"/>
              </w:rPr>
              <w:t>Adult inpatient services</w:t>
            </w:r>
          </w:p>
        </w:tc>
      </w:tr>
      <w:tr w:rsidR="00104B1A" w:rsidRPr="00ED2B1F" w14:paraId="2A0ACB1D" w14:textId="77777777">
        <w:trPr>
          <w:trHeight w:val="306"/>
        </w:trPr>
        <w:tc>
          <w:tcPr>
            <w:tcW w:w="4536" w:type="dxa"/>
            <w:tcBorders>
              <w:top w:val="single" w:sz="4" w:space="0" w:color="A6A6A6"/>
              <w:bottom w:val="single" w:sz="4" w:space="0" w:color="A6A6A6"/>
            </w:tcBorders>
            <w:shd w:val="clear" w:color="000000" w:fill="FFFFFF"/>
            <w:vAlign w:val="center"/>
          </w:tcPr>
          <w:p w14:paraId="525EECF7"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bottom"/>
          </w:tcPr>
          <w:p w14:paraId="1EB5924E"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561</w:t>
            </w:r>
          </w:p>
        </w:tc>
        <w:tc>
          <w:tcPr>
            <w:tcW w:w="1986" w:type="dxa"/>
            <w:tcBorders>
              <w:top w:val="single" w:sz="4" w:space="0" w:color="A6A6A6"/>
              <w:bottom w:val="single" w:sz="4" w:space="0" w:color="A6A6A6"/>
            </w:tcBorders>
            <w:shd w:val="clear" w:color="000000" w:fill="FFFFFF"/>
            <w:vAlign w:val="bottom"/>
          </w:tcPr>
          <w:p w14:paraId="36BA7442"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561</w:t>
            </w:r>
          </w:p>
        </w:tc>
      </w:tr>
      <w:tr w:rsidR="00104B1A" w:rsidRPr="00ED2B1F" w14:paraId="36589857" w14:textId="77777777">
        <w:trPr>
          <w:trHeight w:val="306"/>
        </w:trPr>
        <w:tc>
          <w:tcPr>
            <w:tcW w:w="4536" w:type="dxa"/>
            <w:tcBorders>
              <w:top w:val="single" w:sz="4" w:space="0" w:color="A6A6A6"/>
              <w:bottom w:val="single" w:sz="4" w:space="0" w:color="A6A6A6"/>
            </w:tcBorders>
            <w:shd w:val="clear" w:color="000000" w:fill="FFFFFF"/>
            <w:vAlign w:val="center"/>
          </w:tcPr>
          <w:p w14:paraId="7B1EE7C8"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bottom"/>
          </w:tcPr>
          <w:p w14:paraId="6BAED219"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24,610</w:t>
            </w:r>
          </w:p>
        </w:tc>
        <w:tc>
          <w:tcPr>
            <w:tcW w:w="1986" w:type="dxa"/>
            <w:tcBorders>
              <w:top w:val="single" w:sz="4" w:space="0" w:color="A6A6A6"/>
              <w:bottom w:val="single" w:sz="4" w:space="0" w:color="A6A6A6"/>
            </w:tcBorders>
            <w:shd w:val="clear" w:color="000000" w:fill="FFFFFF"/>
            <w:vAlign w:val="bottom"/>
          </w:tcPr>
          <w:p w14:paraId="2CBEFF65"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24,610</w:t>
            </w:r>
          </w:p>
        </w:tc>
      </w:tr>
      <w:tr w:rsidR="00104B1A" w:rsidRPr="00ED2B1F" w14:paraId="1F90612E" w14:textId="77777777">
        <w:trPr>
          <w:trHeight w:val="306"/>
        </w:trPr>
        <w:tc>
          <w:tcPr>
            <w:tcW w:w="4536" w:type="dxa"/>
            <w:tcBorders>
              <w:top w:val="single" w:sz="4" w:space="0" w:color="A6A6A6"/>
              <w:bottom w:val="single" w:sz="4" w:space="0" w:color="A6A6A6"/>
            </w:tcBorders>
            <w:shd w:val="clear" w:color="000000" w:fill="FFFFFF"/>
            <w:vAlign w:val="center"/>
          </w:tcPr>
          <w:p w14:paraId="7FD9027D"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bottom"/>
          </w:tcPr>
          <w:p w14:paraId="43418127"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1,050</w:t>
            </w:r>
          </w:p>
        </w:tc>
        <w:tc>
          <w:tcPr>
            <w:tcW w:w="1986" w:type="dxa"/>
            <w:tcBorders>
              <w:top w:val="single" w:sz="4" w:space="0" w:color="A6A6A6"/>
              <w:bottom w:val="single" w:sz="4" w:space="0" w:color="A6A6A6"/>
            </w:tcBorders>
            <w:shd w:val="clear" w:color="000000" w:fill="FFFFFF"/>
            <w:vAlign w:val="bottom"/>
          </w:tcPr>
          <w:p w14:paraId="430485DE"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1,050</w:t>
            </w:r>
          </w:p>
        </w:tc>
      </w:tr>
      <w:tr w:rsidR="00104B1A" w:rsidRPr="00ED2B1F" w14:paraId="7639FAC5" w14:textId="77777777">
        <w:trPr>
          <w:trHeight w:val="306"/>
        </w:trPr>
        <w:tc>
          <w:tcPr>
            <w:tcW w:w="4536" w:type="dxa"/>
            <w:tcBorders>
              <w:top w:val="single" w:sz="4" w:space="0" w:color="A6A6A6"/>
              <w:bottom w:val="single" w:sz="4" w:space="0" w:color="A6A6A6"/>
            </w:tcBorders>
            <w:shd w:val="clear" w:color="000000" w:fill="FFFFFF"/>
            <w:vAlign w:val="center"/>
          </w:tcPr>
          <w:p w14:paraId="00ECD8CA"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 per person</w:t>
            </w:r>
          </w:p>
        </w:tc>
        <w:tc>
          <w:tcPr>
            <w:tcW w:w="1842" w:type="dxa"/>
            <w:tcBorders>
              <w:top w:val="single" w:sz="4" w:space="0" w:color="A6A6A6"/>
              <w:bottom w:val="single" w:sz="4" w:space="0" w:color="A6A6A6"/>
            </w:tcBorders>
            <w:shd w:val="clear" w:color="000000" w:fill="FFFFFF"/>
            <w:vAlign w:val="bottom"/>
          </w:tcPr>
          <w:p w14:paraId="19455DE8"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1.9</w:t>
            </w:r>
          </w:p>
        </w:tc>
        <w:tc>
          <w:tcPr>
            <w:tcW w:w="1986" w:type="dxa"/>
            <w:tcBorders>
              <w:top w:val="single" w:sz="4" w:space="0" w:color="A6A6A6"/>
              <w:bottom w:val="single" w:sz="4" w:space="0" w:color="A6A6A6"/>
            </w:tcBorders>
            <w:shd w:val="clear" w:color="000000" w:fill="FFFFFF"/>
            <w:vAlign w:val="bottom"/>
          </w:tcPr>
          <w:p w14:paraId="15303A51"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1.9</w:t>
            </w:r>
          </w:p>
        </w:tc>
      </w:tr>
      <w:tr w:rsidR="00104B1A" w:rsidRPr="00ED2B1F" w14:paraId="7CF2A8A0" w14:textId="77777777">
        <w:trPr>
          <w:trHeight w:val="306"/>
        </w:trPr>
        <w:tc>
          <w:tcPr>
            <w:tcW w:w="4536" w:type="dxa"/>
            <w:tcBorders>
              <w:top w:val="single" w:sz="4" w:space="0" w:color="A6A6A6"/>
              <w:bottom w:val="single" w:sz="4" w:space="0" w:color="A6A6A6"/>
            </w:tcBorders>
            <w:shd w:val="clear" w:color="000000" w:fill="FFFFFF"/>
            <w:vAlign w:val="center"/>
          </w:tcPr>
          <w:p w14:paraId="295648BF"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 per 1,000 bed nights</w:t>
            </w:r>
          </w:p>
        </w:tc>
        <w:tc>
          <w:tcPr>
            <w:tcW w:w="1842" w:type="dxa"/>
            <w:tcBorders>
              <w:top w:val="single" w:sz="4" w:space="0" w:color="A6A6A6"/>
              <w:bottom w:val="single" w:sz="4" w:space="0" w:color="A6A6A6"/>
            </w:tcBorders>
            <w:shd w:val="clear" w:color="000000" w:fill="FFFFFF"/>
            <w:vAlign w:val="bottom"/>
          </w:tcPr>
          <w:p w14:paraId="6E319C47"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4.8</w:t>
            </w:r>
          </w:p>
        </w:tc>
        <w:tc>
          <w:tcPr>
            <w:tcW w:w="1986" w:type="dxa"/>
            <w:tcBorders>
              <w:top w:val="single" w:sz="4" w:space="0" w:color="A6A6A6"/>
              <w:bottom w:val="single" w:sz="4" w:space="0" w:color="A6A6A6"/>
            </w:tcBorders>
            <w:shd w:val="clear" w:color="000000" w:fill="FFFFFF"/>
            <w:vAlign w:val="bottom"/>
          </w:tcPr>
          <w:p w14:paraId="00454848"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4.8</w:t>
            </w:r>
          </w:p>
        </w:tc>
      </w:tr>
      <w:tr w:rsidR="00104B1A" w:rsidRPr="00ED2B1F" w14:paraId="3642C7B9" w14:textId="77777777">
        <w:trPr>
          <w:trHeight w:val="306"/>
        </w:trPr>
        <w:tc>
          <w:tcPr>
            <w:tcW w:w="4536" w:type="dxa"/>
            <w:tcBorders>
              <w:top w:val="single" w:sz="4" w:space="0" w:color="A6A6A6"/>
              <w:bottom w:val="single" w:sz="4" w:space="0" w:color="A6A6A6"/>
            </w:tcBorders>
            <w:shd w:val="clear" w:color="000000" w:fill="FFFFFF"/>
            <w:vAlign w:val="center"/>
          </w:tcPr>
          <w:p w14:paraId="043C045B"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people secluded per 100,000 population</w:t>
            </w:r>
          </w:p>
        </w:tc>
        <w:tc>
          <w:tcPr>
            <w:tcW w:w="1842" w:type="dxa"/>
            <w:tcBorders>
              <w:top w:val="single" w:sz="4" w:space="0" w:color="A6A6A6"/>
              <w:bottom w:val="single" w:sz="4" w:space="0" w:color="A6A6A6"/>
            </w:tcBorders>
            <w:shd w:val="clear" w:color="000000" w:fill="FFFFFF"/>
            <w:vAlign w:val="bottom"/>
          </w:tcPr>
          <w:p w14:paraId="0D7FCD16"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17.9</w:t>
            </w:r>
          </w:p>
        </w:tc>
        <w:tc>
          <w:tcPr>
            <w:tcW w:w="1986" w:type="dxa"/>
            <w:tcBorders>
              <w:top w:val="single" w:sz="4" w:space="0" w:color="A6A6A6"/>
              <w:bottom w:val="single" w:sz="4" w:space="0" w:color="A6A6A6"/>
            </w:tcBorders>
            <w:shd w:val="clear" w:color="000000" w:fill="FFFFFF"/>
            <w:vAlign w:val="bottom"/>
          </w:tcPr>
          <w:p w14:paraId="7AEB770B"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17.9</w:t>
            </w:r>
          </w:p>
        </w:tc>
      </w:tr>
      <w:tr w:rsidR="00104B1A" w:rsidRPr="00ED2B1F" w14:paraId="1317F515" w14:textId="77777777">
        <w:trPr>
          <w:trHeight w:val="306"/>
        </w:trPr>
        <w:tc>
          <w:tcPr>
            <w:tcW w:w="4536" w:type="dxa"/>
            <w:tcBorders>
              <w:top w:val="single" w:sz="4" w:space="0" w:color="A6A6A6"/>
              <w:bottom w:val="single" w:sz="4" w:space="0" w:color="A6A6A6"/>
            </w:tcBorders>
            <w:shd w:val="clear" w:color="000000" w:fill="FFFFFF"/>
            <w:vAlign w:val="center"/>
          </w:tcPr>
          <w:p w14:paraId="3AF4DF3F"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 per 100,000 population</w:t>
            </w:r>
          </w:p>
        </w:tc>
        <w:tc>
          <w:tcPr>
            <w:tcW w:w="1842" w:type="dxa"/>
            <w:tcBorders>
              <w:top w:val="single" w:sz="4" w:space="0" w:color="A6A6A6"/>
              <w:bottom w:val="single" w:sz="4" w:space="0" w:color="A6A6A6"/>
            </w:tcBorders>
            <w:shd w:val="clear" w:color="000000" w:fill="FFFFFF"/>
            <w:vAlign w:val="bottom"/>
          </w:tcPr>
          <w:p w14:paraId="5F2541F6"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33.6</w:t>
            </w:r>
          </w:p>
        </w:tc>
        <w:tc>
          <w:tcPr>
            <w:tcW w:w="1986" w:type="dxa"/>
            <w:tcBorders>
              <w:top w:val="single" w:sz="4" w:space="0" w:color="A6A6A6"/>
              <w:bottom w:val="single" w:sz="4" w:space="0" w:color="A6A6A6"/>
            </w:tcBorders>
            <w:shd w:val="clear" w:color="000000" w:fill="FFFFFF"/>
            <w:vAlign w:val="bottom"/>
          </w:tcPr>
          <w:p w14:paraId="33605E8C"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33.6</w:t>
            </w:r>
          </w:p>
        </w:tc>
      </w:tr>
      <w:tr w:rsidR="00104B1A" w:rsidRPr="00ED2B1F" w14:paraId="6386E728" w14:textId="77777777">
        <w:trPr>
          <w:trHeight w:val="306"/>
        </w:trPr>
        <w:tc>
          <w:tcPr>
            <w:tcW w:w="4536" w:type="dxa"/>
            <w:tcBorders>
              <w:top w:val="single" w:sz="4" w:space="0" w:color="A6A6A6"/>
              <w:bottom w:val="single" w:sz="4" w:space="0" w:color="A6A6A6"/>
            </w:tcBorders>
            <w:shd w:val="clear" w:color="000000" w:fill="FFFFFF"/>
            <w:vAlign w:val="center"/>
          </w:tcPr>
          <w:p w14:paraId="1921E067"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Average duration per seclusion event</w:t>
            </w:r>
          </w:p>
        </w:tc>
        <w:tc>
          <w:tcPr>
            <w:tcW w:w="1842" w:type="dxa"/>
            <w:tcBorders>
              <w:top w:val="single" w:sz="4" w:space="0" w:color="A6A6A6"/>
              <w:bottom w:val="single" w:sz="4" w:space="0" w:color="A6A6A6"/>
            </w:tcBorders>
            <w:shd w:val="clear" w:color="000000" w:fill="FFFFFF"/>
            <w:vAlign w:val="center"/>
          </w:tcPr>
          <w:p w14:paraId="43AA849E"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lang w:eastAsia="en-NZ"/>
              </w:rPr>
              <w:t>23.4 hours</w:t>
            </w:r>
          </w:p>
        </w:tc>
        <w:tc>
          <w:tcPr>
            <w:tcW w:w="1986" w:type="dxa"/>
            <w:tcBorders>
              <w:top w:val="single" w:sz="4" w:space="0" w:color="A6A6A6"/>
              <w:bottom w:val="single" w:sz="4" w:space="0" w:color="A6A6A6"/>
            </w:tcBorders>
            <w:shd w:val="clear" w:color="000000" w:fill="FFFFFF"/>
            <w:vAlign w:val="center"/>
          </w:tcPr>
          <w:p w14:paraId="7FAE79E3"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lang w:eastAsia="en-NZ"/>
              </w:rPr>
              <w:t>23.4 hours</w:t>
            </w:r>
          </w:p>
        </w:tc>
      </w:tr>
      <w:tr w:rsidR="00104B1A" w:rsidRPr="00ED2B1F" w14:paraId="5DAA2429" w14:textId="77777777">
        <w:trPr>
          <w:trHeight w:val="306"/>
        </w:trPr>
        <w:tc>
          <w:tcPr>
            <w:tcW w:w="4536" w:type="dxa"/>
            <w:tcBorders>
              <w:top w:val="single" w:sz="4" w:space="0" w:color="A6A6A6"/>
              <w:bottom w:val="single" w:sz="4" w:space="0" w:color="A6A6A6"/>
            </w:tcBorders>
            <w:shd w:val="clear" w:color="000000" w:fill="FFFFFF"/>
            <w:vAlign w:val="center"/>
          </w:tcPr>
          <w:p w14:paraId="495EE6BC"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Decrease in people secluded since 2009</w:t>
            </w:r>
          </w:p>
        </w:tc>
        <w:tc>
          <w:tcPr>
            <w:tcW w:w="1842" w:type="dxa"/>
            <w:tcBorders>
              <w:top w:val="single" w:sz="4" w:space="0" w:color="A6A6A6"/>
              <w:bottom w:val="single" w:sz="4" w:space="0" w:color="A6A6A6"/>
            </w:tcBorders>
            <w:shd w:val="clear" w:color="000000" w:fill="FFFFFF"/>
            <w:vAlign w:val="bottom"/>
          </w:tcPr>
          <w:p w14:paraId="58C6A824"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48%</w:t>
            </w:r>
          </w:p>
        </w:tc>
        <w:tc>
          <w:tcPr>
            <w:tcW w:w="1986" w:type="dxa"/>
            <w:tcBorders>
              <w:top w:val="single" w:sz="4" w:space="0" w:color="A6A6A6"/>
              <w:bottom w:val="single" w:sz="4" w:space="0" w:color="A6A6A6"/>
            </w:tcBorders>
            <w:shd w:val="clear" w:color="000000" w:fill="FFFFFF"/>
            <w:vAlign w:val="bottom"/>
          </w:tcPr>
          <w:p w14:paraId="582D51DB"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48%</w:t>
            </w:r>
          </w:p>
        </w:tc>
      </w:tr>
      <w:tr w:rsidR="00104B1A" w:rsidRPr="00ED2B1F" w14:paraId="686758E7" w14:textId="77777777">
        <w:trPr>
          <w:trHeight w:val="306"/>
        </w:trPr>
        <w:tc>
          <w:tcPr>
            <w:tcW w:w="4536" w:type="dxa"/>
            <w:tcBorders>
              <w:top w:val="single" w:sz="4" w:space="0" w:color="A6A6A6"/>
              <w:bottom w:val="single" w:sz="4" w:space="0" w:color="A6A6A6"/>
            </w:tcBorders>
            <w:shd w:val="clear" w:color="000000" w:fill="FFFFFF"/>
            <w:vAlign w:val="center"/>
          </w:tcPr>
          <w:p w14:paraId="633A1E6C"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Decrease in hours spent in seclusion since 2009</w:t>
            </w:r>
          </w:p>
        </w:tc>
        <w:tc>
          <w:tcPr>
            <w:tcW w:w="1842" w:type="dxa"/>
            <w:tcBorders>
              <w:top w:val="single" w:sz="4" w:space="0" w:color="A6A6A6"/>
              <w:bottom w:val="single" w:sz="4" w:space="0" w:color="A6A6A6"/>
            </w:tcBorders>
            <w:shd w:val="clear" w:color="000000" w:fill="FFFFFF"/>
            <w:vAlign w:val="bottom"/>
          </w:tcPr>
          <w:p w14:paraId="47ADF3CB"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73%</w:t>
            </w:r>
          </w:p>
        </w:tc>
        <w:tc>
          <w:tcPr>
            <w:tcW w:w="1986" w:type="dxa"/>
            <w:tcBorders>
              <w:top w:val="single" w:sz="4" w:space="0" w:color="A6A6A6"/>
              <w:bottom w:val="single" w:sz="4" w:space="0" w:color="A6A6A6"/>
            </w:tcBorders>
            <w:shd w:val="clear" w:color="000000" w:fill="FFFFFF"/>
            <w:vAlign w:val="bottom"/>
          </w:tcPr>
          <w:p w14:paraId="776E956C"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73%</w:t>
            </w:r>
          </w:p>
        </w:tc>
      </w:tr>
      <w:tr w:rsidR="00104B1A" w:rsidRPr="00ED2B1F" w14:paraId="21091AE9" w14:textId="77777777">
        <w:trPr>
          <w:trHeight w:val="306"/>
        </w:trPr>
        <w:tc>
          <w:tcPr>
            <w:tcW w:w="4536" w:type="dxa"/>
            <w:tcBorders>
              <w:top w:val="single" w:sz="4" w:space="0" w:color="A6A6A6"/>
              <w:bottom w:val="single" w:sz="4" w:space="0" w:color="A6A6A6"/>
            </w:tcBorders>
            <w:shd w:val="clear" w:color="000000" w:fill="FFFFFF"/>
            <w:vAlign w:val="center"/>
          </w:tcPr>
          <w:p w14:paraId="5FCA7BBE" w14:textId="5220BE83"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Decrease in hours spent in seclusion since 202</w:t>
            </w:r>
            <w:r w:rsidR="00A56F4B">
              <w:rPr>
                <w:rFonts w:cs="Segoe UI"/>
                <w:color w:val="000000"/>
                <w:sz w:val="18"/>
                <w:szCs w:val="18"/>
                <w:lang w:eastAsia="en-NZ"/>
              </w:rPr>
              <w:t>2</w:t>
            </w:r>
            <w:r w:rsidRPr="00ED2B1F">
              <w:rPr>
                <w:rFonts w:cs="Segoe UI"/>
                <w:color w:val="000000"/>
                <w:sz w:val="18"/>
                <w:szCs w:val="18"/>
                <w:lang w:eastAsia="en-NZ"/>
              </w:rPr>
              <w:t>/2</w:t>
            </w:r>
            <w:r w:rsidR="00A56F4B">
              <w:rPr>
                <w:rFonts w:cs="Segoe UI"/>
                <w:color w:val="000000"/>
                <w:sz w:val="18"/>
                <w:szCs w:val="18"/>
                <w:lang w:eastAsia="en-NZ"/>
              </w:rPr>
              <w:t>3</w:t>
            </w:r>
          </w:p>
        </w:tc>
        <w:tc>
          <w:tcPr>
            <w:tcW w:w="1842" w:type="dxa"/>
            <w:tcBorders>
              <w:top w:val="single" w:sz="4" w:space="0" w:color="A6A6A6"/>
              <w:bottom w:val="single" w:sz="4" w:space="0" w:color="A6A6A6"/>
            </w:tcBorders>
            <w:shd w:val="clear" w:color="000000" w:fill="FFFFFF"/>
            <w:vAlign w:val="bottom"/>
          </w:tcPr>
          <w:p w14:paraId="75FA2274"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24%</w:t>
            </w:r>
          </w:p>
        </w:tc>
        <w:tc>
          <w:tcPr>
            <w:tcW w:w="1986" w:type="dxa"/>
            <w:tcBorders>
              <w:top w:val="single" w:sz="4" w:space="0" w:color="A6A6A6"/>
              <w:bottom w:val="single" w:sz="4" w:space="0" w:color="A6A6A6"/>
            </w:tcBorders>
            <w:shd w:val="clear" w:color="000000" w:fill="FFFFFF"/>
            <w:vAlign w:val="bottom"/>
          </w:tcPr>
          <w:p w14:paraId="1808B4B4"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24%</w:t>
            </w:r>
          </w:p>
        </w:tc>
      </w:tr>
      <w:tr w:rsidR="00104B1A" w:rsidRPr="00ED2B1F" w14:paraId="1BE41E88" w14:textId="77777777">
        <w:trPr>
          <w:trHeight w:val="306"/>
        </w:trPr>
        <w:tc>
          <w:tcPr>
            <w:tcW w:w="8364" w:type="dxa"/>
            <w:gridSpan w:val="3"/>
            <w:tcBorders>
              <w:top w:val="single" w:sz="4" w:space="0" w:color="A6A6A6"/>
              <w:bottom w:val="single" w:sz="4" w:space="0" w:color="A6A6A6"/>
            </w:tcBorders>
            <w:shd w:val="clear" w:color="000000" w:fill="FFFFFF"/>
            <w:vAlign w:val="center"/>
          </w:tcPr>
          <w:p w14:paraId="755A14FD" w14:textId="77777777" w:rsidR="00104B1A" w:rsidRPr="00ED2B1F" w:rsidRDefault="00104B1A">
            <w:pPr>
              <w:spacing w:before="60" w:after="60"/>
              <w:rPr>
                <w:rFonts w:cs="Segoe UI"/>
                <w:color w:val="000000"/>
                <w:sz w:val="18"/>
                <w:szCs w:val="18"/>
                <w:lang w:eastAsia="en-NZ"/>
              </w:rPr>
            </w:pPr>
            <w:r w:rsidRPr="00ED2B1F">
              <w:rPr>
                <w:rFonts w:cs="Segoe UI"/>
                <w:b/>
                <w:bCs/>
                <w:color w:val="000000"/>
                <w:sz w:val="18"/>
                <w:szCs w:val="18"/>
                <w:lang w:eastAsia="en-NZ"/>
              </w:rPr>
              <w:t>Forensic services</w:t>
            </w:r>
          </w:p>
        </w:tc>
      </w:tr>
      <w:tr w:rsidR="00104B1A" w:rsidRPr="00ED2B1F" w14:paraId="5EE8F2D3" w14:textId="77777777">
        <w:trPr>
          <w:trHeight w:val="306"/>
        </w:trPr>
        <w:tc>
          <w:tcPr>
            <w:tcW w:w="4536" w:type="dxa"/>
            <w:tcBorders>
              <w:top w:val="single" w:sz="4" w:space="0" w:color="A6A6A6"/>
              <w:bottom w:val="single" w:sz="4" w:space="0" w:color="A6A6A6"/>
            </w:tcBorders>
            <w:shd w:val="clear" w:color="000000" w:fill="FFFFFF"/>
            <w:vAlign w:val="center"/>
          </w:tcPr>
          <w:p w14:paraId="1973FB2F"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bottom"/>
          </w:tcPr>
          <w:p w14:paraId="11780142"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114</w:t>
            </w:r>
          </w:p>
        </w:tc>
        <w:tc>
          <w:tcPr>
            <w:tcW w:w="1986" w:type="dxa"/>
            <w:tcBorders>
              <w:top w:val="single" w:sz="4" w:space="0" w:color="A6A6A6"/>
              <w:bottom w:val="single" w:sz="4" w:space="0" w:color="A6A6A6"/>
            </w:tcBorders>
            <w:shd w:val="clear" w:color="000000" w:fill="FFFFFF"/>
            <w:vAlign w:val="bottom"/>
          </w:tcPr>
          <w:p w14:paraId="43D509E2"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117</w:t>
            </w:r>
          </w:p>
        </w:tc>
      </w:tr>
      <w:tr w:rsidR="00104B1A" w:rsidRPr="00ED2B1F" w14:paraId="0A1E33A4" w14:textId="77777777">
        <w:trPr>
          <w:trHeight w:val="306"/>
        </w:trPr>
        <w:tc>
          <w:tcPr>
            <w:tcW w:w="4536" w:type="dxa"/>
            <w:tcBorders>
              <w:top w:val="single" w:sz="4" w:space="0" w:color="A6A6A6"/>
              <w:bottom w:val="single" w:sz="4" w:space="0" w:color="A6A6A6"/>
            </w:tcBorders>
            <w:shd w:val="clear" w:color="000000" w:fill="FFFFFF"/>
            <w:vAlign w:val="center"/>
          </w:tcPr>
          <w:p w14:paraId="29B86CAF"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bottom"/>
          </w:tcPr>
          <w:p w14:paraId="232E3BDC"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16,878</w:t>
            </w:r>
          </w:p>
        </w:tc>
        <w:tc>
          <w:tcPr>
            <w:tcW w:w="1986" w:type="dxa"/>
            <w:tcBorders>
              <w:top w:val="single" w:sz="4" w:space="0" w:color="A6A6A6"/>
              <w:bottom w:val="single" w:sz="4" w:space="0" w:color="A6A6A6"/>
            </w:tcBorders>
            <w:shd w:val="clear" w:color="000000" w:fill="FFFFFF"/>
            <w:vAlign w:val="bottom"/>
          </w:tcPr>
          <w:p w14:paraId="3FBB28EF"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28,387</w:t>
            </w:r>
          </w:p>
        </w:tc>
      </w:tr>
      <w:tr w:rsidR="00104B1A" w:rsidRPr="00ED2B1F" w14:paraId="79C90148" w14:textId="77777777">
        <w:trPr>
          <w:trHeight w:val="306"/>
        </w:trPr>
        <w:tc>
          <w:tcPr>
            <w:tcW w:w="4536" w:type="dxa"/>
            <w:tcBorders>
              <w:top w:val="single" w:sz="4" w:space="0" w:color="A6A6A6"/>
              <w:bottom w:val="single" w:sz="4" w:space="0" w:color="A6A6A6"/>
            </w:tcBorders>
            <w:shd w:val="clear" w:color="000000" w:fill="FFFFFF"/>
            <w:vAlign w:val="center"/>
          </w:tcPr>
          <w:p w14:paraId="43AFD3C0"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bottom"/>
          </w:tcPr>
          <w:p w14:paraId="4B5B36EE"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315</w:t>
            </w:r>
          </w:p>
        </w:tc>
        <w:tc>
          <w:tcPr>
            <w:tcW w:w="1986" w:type="dxa"/>
            <w:tcBorders>
              <w:top w:val="single" w:sz="4" w:space="0" w:color="A6A6A6"/>
              <w:bottom w:val="single" w:sz="4" w:space="0" w:color="A6A6A6"/>
            </w:tcBorders>
            <w:shd w:val="clear" w:color="000000" w:fill="FFFFFF"/>
            <w:vAlign w:val="bottom"/>
          </w:tcPr>
          <w:p w14:paraId="05571B8F"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386</w:t>
            </w:r>
          </w:p>
        </w:tc>
      </w:tr>
      <w:tr w:rsidR="00104B1A" w:rsidRPr="00ED2B1F" w14:paraId="3C4FDCEE" w14:textId="77777777">
        <w:trPr>
          <w:trHeight w:val="306"/>
        </w:trPr>
        <w:tc>
          <w:tcPr>
            <w:tcW w:w="8364" w:type="dxa"/>
            <w:gridSpan w:val="3"/>
            <w:tcBorders>
              <w:top w:val="single" w:sz="4" w:space="0" w:color="A6A6A6"/>
              <w:bottom w:val="single" w:sz="4" w:space="0" w:color="A6A6A6"/>
            </w:tcBorders>
            <w:shd w:val="clear" w:color="000000" w:fill="FFFFFF"/>
            <w:vAlign w:val="center"/>
          </w:tcPr>
          <w:p w14:paraId="2F431A2C" w14:textId="77777777" w:rsidR="00104B1A" w:rsidRPr="00ED2B1F" w:rsidRDefault="00104B1A">
            <w:pPr>
              <w:spacing w:before="60" w:after="60"/>
              <w:rPr>
                <w:rFonts w:cs="Segoe UI"/>
                <w:color w:val="000000"/>
                <w:sz w:val="18"/>
                <w:szCs w:val="18"/>
                <w:lang w:eastAsia="en-NZ"/>
              </w:rPr>
            </w:pPr>
            <w:r w:rsidRPr="00ED2B1F">
              <w:rPr>
                <w:rFonts w:cs="Segoe UI"/>
                <w:b/>
                <w:bCs/>
                <w:color w:val="000000"/>
                <w:sz w:val="18"/>
                <w:szCs w:val="18"/>
                <w:lang w:eastAsia="en-NZ"/>
              </w:rPr>
              <w:t>Intellectual disability services</w:t>
            </w:r>
          </w:p>
        </w:tc>
      </w:tr>
      <w:tr w:rsidR="00104B1A" w:rsidRPr="00ED2B1F" w14:paraId="4C49CD03" w14:textId="77777777">
        <w:trPr>
          <w:trHeight w:val="306"/>
        </w:trPr>
        <w:tc>
          <w:tcPr>
            <w:tcW w:w="4536" w:type="dxa"/>
            <w:tcBorders>
              <w:top w:val="single" w:sz="4" w:space="0" w:color="A6A6A6"/>
              <w:bottom w:val="single" w:sz="4" w:space="0" w:color="A6A6A6"/>
            </w:tcBorders>
            <w:shd w:val="clear" w:color="000000" w:fill="FFFFFF"/>
            <w:vAlign w:val="center"/>
          </w:tcPr>
          <w:p w14:paraId="5EDB7338"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people secluded</w:t>
            </w:r>
          </w:p>
        </w:tc>
        <w:tc>
          <w:tcPr>
            <w:tcW w:w="1842" w:type="dxa"/>
            <w:tcBorders>
              <w:top w:val="single" w:sz="4" w:space="0" w:color="A6A6A6"/>
              <w:bottom w:val="single" w:sz="4" w:space="0" w:color="A6A6A6"/>
            </w:tcBorders>
            <w:shd w:val="clear" w:color="000000" w:fill="FFFFFF"/>
            <w:vAlign w:val="bottom"/>
          </w:tcPr>
          <w:p w14:paraId="23E0269A"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22</w:t>
            </w:r>
          </w:p>
        </w:tc>
        <w:tc>
          <w:tcPr>
            <w:tcW w:w="1986" w:type="dxa"/>
            <w:tcBorders>
              <w:top w:val="single" w:sz="4" w:space="0" w:color="A6A6A6"/>
              <w:bottom w:val="single" w:sz="4" w:space="0" w:color="A6A6A6"/>
            </w:tcBorders>
            <w:shd w:val="clear" w:color="000000" w:fill="FFFFFF"/>
            <w:vAlign w:val="bottom"/>
          </w:tcPr>
          <w:p w14:paraId="6935B411"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27</w:t>
            </w:r>
          </w:p>
        </w:tc>
      </w:tr>
      <w:tr w:rsidR="00104B1A" w:rsidRPr="00ED2B1F" w14:paraId="447B7EB9" w14:textId="77777777">
        <w:trPr>
          <w:trHeight w:val="306"/>
        </w:trPr>
        <w:tc>
          <w:tcPr>
            <w:tcW w:w="4536" w:type="dxa"/>
            <w:tcBorders>
              <w:top w:val="single" w:sz="4" w:space="0" w:color="A6A6A6"/>
              <w:bottom w:val="single" w:sz="4" w:space="0" w:color="A6A6A6"/>
            </w:tcBorders>
            <w:shd w:val="clear" w:color="000000" w:fill="FFFFFF"/>
            <w:vAlign w:val="center"/>
          </w:tcPr>
          <w:p w14:paraId="464AC7F4"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hours of seclusion</w:t>
            </w:r>
          </w:p>
        </w:tc>
        <w:tc>
          <w:tcPr>
            <w:tcW w:w="1842" w:type="dxa"/>
            <w:tcBorders>
              <w:top w:val="single" w:sz="4" w:space="0" w:color="A6A6A6"/>
              <w:bottom w:val="single" w:sz="4" w:space="0" w:color="A6A6A6"/>
            </w:tcBorders>
            <w:shd w:val="clear" w:color="000000" w:fill="FFFFFF"/>
            <w:vAlign w:val="bottom"/>
          </w:tcPr>
          <w:p w14:paraId="3DE5A9A4"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15,652</w:t>
            </w:r>
          </w:p>
        </w:tc>
        <w:tc>
          <w:tcPr>
            <w:tcW w:w="1986" w:type="dxa"/>
            <w:tcBorders>
              <w:top w:val="single" w:sz="4" w:space="0" w:color="A6A6A6"/>
              <w:bottom w:val="single" w:sz="4" w:space="0" w:color="A6A6A6"/>
            </w:tcBorders>
            <w:shd w:val="clear" w:color="000000" w:fill="FFFFFF"/>
            <w:vAlign w:val="bottom"/>
          </w:tcPr>
          <w:p w14:paraId="2EA9D5CA"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49,674</w:t>
            </w:r>
          </w:p>
        </w:tc>
      </w:tr>
      <w:tr w:rsidR="00104B1A" w:rsidRPr="00ED2B1F" w14:paraId="30CE18DB" w14:textId="77777777">
        <w:trPr>
          <w:trHeight w:val="306"/>
        </w:trPr>
        <w:tc>
          <w:tcPr>
            <w:tcW w:w="4536" w:type="dxa"/>
            <w:tcBorders>
              <w:top w:val="single" w:sz="4" w:space="0" w:color="A6A6A6"/>
              <w:bottom w:val="single" w:sz="4" w:space="0" w:color="A6A6A6"/>
            </w:tcBorders>
            <w:shd w:val="clear" w:color="000000" w:fill="FFFFFF"/>
            <w:vAlign w:val="center"/>
          </w:tcPr>
          <w:p w14:paraId="50B95EF7" w14:textId="77777777" w:rsidR="00104B1A" w:rsidRPr="00ED2B1F" w:rsidRDefault="00104B1A">
            <w:pPr>
              <w:spacing w:before="60" w:after="60"/>
              <w:rPr>
                <w:rFonts w:cs="Segoe UI"/>
                <w:color w:val="000000"/>
                <w:sz w:val="18"/>
                <w:szCs w:val="18"/>
                <w:lang w:eastAsia="en-NZ"/>
              </w:rPr>
            </w:pPr>
            <w:r w:rsidRPr="00ED2B1F">
              <w:rPr>
                <w:rFonts w:cs="Segoe UI"/>
                <w:color w:val="000000"/>
                <w:sz w:val="18"/>
                <w:szCs w:val="18"/>
                <w:lang w:eastAsia="en-NZ"/>
              </w:rPr>
              <w:t>Number of seclusion events</w:t>
            </w:r>
          </w:p>
        </w:tc>
        <w:tc>
          <w:tcPr>
            <w:tcW w:w="1842" w:type="dxa"/>
            <w:tcBorders>
              <w:top w:val="single" w:sz="4" w:space="0" w:color="A6A6A6"/>
              <w:bottom w:val="single" w:sz="4" w:space="0" w:color="A6A6A6"/>
            </w:tcBorders>
            <w:shd w:val="clear" w:color="000000" w:fill="FFFFFF"/>
            <w:vAlign w:val="bottom"/>
          </w:tcPr>
          <w:p w14:paraId="727D08D0" w14:textId="77777777"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229</w:t>
            </w:r>
          </w:p>
        </w:tc>
        <w:tc>
          <w:tcPr>
            <w:tcW w:w="1986" w:type="dxa"/>
            <w:tcBorders>
              <w:top w:val="single" w:sz="4" w:space="0" w:color="A6A6A6"/>
              <w:bottom w:val="single" w:sz="4" w:space="0" w:color="A6A6A6"/>
            </w:tcBorders>
            <w:shd w:val="clear" w:color="000000" w:fill="FFFFFF"/>
            <w:vAlign w:val="bottom"/>
          </w:tcPr>
          <w:p w14:paraId="41C800A9" w14:textId="46DDA6BC" w:rsidR="00104B1A" w:rsidRPr="00ED2B1F" w:rsidRDefault="00104B1A">
            <w:pPr>
              <w:spacing w:before="60" w:after="60"/>
              <w:jc w:val="center"/>
              <w:rPr>
                <w:rFonts w:cs="Segoe UI"/>
                <w:color w:val="000000"/>
                <w:sz w:val="18"/>
                <w:szCs w:val="18"/>
                <w:lang w:eastAsia="en-NZ"/>
              </w:rPr>
            </w:pPr>
            <w:r w:rsidRPr="00ED2B1F">
              <w:rPr>
                <w:rFonts w:cs="Segoe UI"/>
                <w:color w:val="000000"/>
                <w:sz w:val="18"/>
                <w:szCs w:val="18"/>
              </w:rPr>
              <w:t>1</w:t>
            </w:r>
            <w:r w:rsidR="001F2D65" w:rsidRPr="00ED2B1F">
              <w:rPr>
                <w:rFonts w:cs="Segoe UI"/>
                <w:color w:val="000000"/>
                <w:sz w:val="18"/>
                <w:szCs w:val="18"/>
              </w:rPr>
              <w:t>,</w:t>
            </w:r>
            <w:r w:rsidRPr="00ED2B1F">
              <w:rPr>
                <w:rFonts w:cs="Segoe UI"/>
                <w:color w:val="000000"/>
                <w:sz w:val="18"/>
                <w:szCs w:val="18"/>
              </w:rPr>
              <w:t>143</w:t>
            </w:r>
          </w:p>
        </w:tc>
      </w:tr>
    </w:tbl>
    <w:p w14:paraId="6D9C4BA5" w14:textId="77777777" w:rsidR="00104B1A" w:rsidRPr="00ED2B1F" w:rsidRDefault="00104B1A" w:rsidP="007F3ECC">
      <w:pPr>
        <w:pStyle w:val="Source"/>
      </w:pPr>
      <w:r w:rsidRPr="00ED2B1F">
        <w:t>Sources: PRIMHD data (extracted 10 June 2025) and manual data for Health New Zealand Canterbury, Southern, Waikato and Waitematā.</w:t>
      </w:r>
    </w:p>
    <w:p w14:paraId="0F222152" w14:textId="77777777" w:rsidR="009A42D5" w:rsidRPr="00525DE2" w:rsidRDefault="009A42D5" w:rsidP="00B00F36"/>
    <w:sectPr w:rsidR="009A42D5" w:rsidRPr="00525DE2" w:rsidSect="00753A1F">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B4E1" w14:textId="77777777" w:rsidR="0062440A" w:rsidRPr="00ED2B1F" w:rsidRDefault="0062440A">
      <w:r w:rsidRPr="00ED2B1F">
        <w:separator/>
      </w:r>
    </w:p>
    <w:p w14:paraId="2F2706D0" w14:textId="77777777" w:rsidR="0062440A" w:rsidRPr="00ED2B1F" w:rsidRDefault="0062440A"/>
  </w:endnote>
  <w:endnote w:type="continuationSeparator" w:id="0">
    <w:p w14:paraId="4F6BA4CD" w14:textId="77777777" w:rsidR="0062440A" w:rsidRPr="00ED2B1F" w:rsidRDefault="0062440A">
      <w:r w:rsidRPr="00ED2B1F">
        <w:continuationSeparator/>
      </w:r>
    </w:p>
    <w:p w14:paraId="6F9E2004" w14:textId="77777777" w:rsidR="0062440A" w:rsidRPr="00ED2B1F" w:rsidRDefault="0062440A"/>
  </w:endnote>
  <w:endnote w:type="continuationNotice" w:id="1">
    <w:p w14:paraId="31DEF306" w14:textId="77777777" w:rsidR="0062440A" w:rsidRPr="00ED2B1F" w:rsidRDefault="00624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328CB92C" w:rsidR="00535C2F" w:rsidRPr="00ED2B1F" w:rsidRDefault="00535C2F" w:rsidP="005A79E5">
    <w:pPr>
      <w:pStyle w:val="Footer"/>
      <w:pBdr>
        <w:bottom w:val="single" w:sz="4" w:space="1" w:color="auto"/>
      </w:pBdr>
      <w:tabs>
        <w:tab w:val="right" w:pos="9639"/>
      </w:tabs>
      <w:rPr>
        <w:b/>
      </w:rPr>
    </w:pPr>
    <w:r w:rsidRPr="00ED2B1F">
      <w:rPr>
        <w:b/>
      </w:rPr>
      <w:t>Released 202</w:t>
    </w:r>
    <w:r w:rsidR="00A82004">
      <w:rPr>
        <w:b/>
      </w:rPr>
      <w:t>6</w:t>
    </w:r>
    <w:r w:rsidRPr="00ED2B1F">
      <w:rPr>
        <w:b/>
      </w:rPr>
      <w:tab/>
      <w:t>health.govt.nz</w:t>
    </w:r>
  </w:p>
  <w:p w14:paraId="524869F6" w14:textId="77777777" w:rsidR="00535C2F" w:rsidRPr="00ED2B1F" w:rsidRDefault="00535C2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535C2F" w:rsidRPr="00ED2B1F" w:rsidRDefault="00535C2F"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535C2F" w:rsidRPr="00ED2B1F" w:rsidRDefault="00535C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535C2F" w:rsidRPr="00ED2B1F" w14:paraId="4C3A3BF7" w14:textId="77777777" w:rsidTr="00D662F8">
      <w:trPr>
        <w:cantSplit/>
      </w:trPr>
      <w:tc>
        <w:tcPr>
          <w:tcW w:w="709" w:type="dxa"/>
          <w:vAlign w:val="center"/>
        </w:tcPr>
        <w:p w14:paraId="28F87ED7" w14:textId="77777777" w:rsidR="00535C2F" w:rsidRPr="00ED2B1F" w:rsidRDefault="00535C2F" w:rsidP="0043478F">
          <w:pPr>
            <w:pStyle w:val="Footer"/>
            <w:rPr>
              <w:rStyle w:val="PageNumber"/>
            </w:rPr>
          </w:pPr>
          <w:r w:rsidRPr="00ED2B1F">
            <w:rPr>
              <w:rStyle w:val="PageNumber"/>
            </w:rPr>
            <w:fldChar w:fldCharType="begin"/>
          </w:r>
          <w:r w:rsidRPr="00ED2B1F">
            <w:rPr>
              <w:rStyle w:val="PageNumber"/>
            </w:rPr>
            <w:instrText xml:space="preserve"> PAGE   \* MERGEFORMAT </w:instrText>
          </w:r>
          <w:r w:rsidRPr="00ED2B1F">
            <w:rPr>
              <w:rStyle w:val="PageNumber"/>
            </w:rPr>
            <w:fldChar w:fldCharType="separate"/>
          </w:r>
          <w:r w:rsidRPr="00ED2B1F">
            <w:rPr>
              <w:rStyle w:val="PageNumber"/>
            </w:rPr>
            <w:t>vi</w:t>
          </w:r>
          <w:r w:rsidRPr="00ED2B1F">
            <w:rPr>
              <w:rStyle w:val="PageNumber"/>
            </w:rPr>
            <w:fldChar w:fldCharType="end"/>
          </w:r>
        </w:p>
      </w:tc>
      <w:tc>
        <w:tcPr>
          <w:tcW w:w="8080" w:type="dxa"/>
          <w:vAlign w:val="center"/>
        </w:tcPr>
        <w:p w14:paraId="6026D159" w14:textId="6F124AF3" w:rsidR="00535C2F" w:rsidRPr="00ED2B1F" w:rsidRDefault="00535C2F" w:rsidP="00926083">
          <w:pPr>
            <w:pStyle w:val="RectoFooter"/>
            <w:jc w:val="left"/>
          </w:pPr>
          <w:r w:rsidRPr="00ED2B1F">
            <w:t xml:space="preserve">Office of the Director of Mental Health and Addiction Services: </w:t>
          </w:r>
          <w:r w:rsidRPr="00ED2B1F">
            <w:br/>
            <w:t xml:space="preserve">Regulatory Report </w:t>
          </w:r>
          <w:r w:rsidR="00211D17" w:rsidRPr="00ED2B1F">
            <w:t>1 July 2023 to 30 June 2024</w:t>
          </w:r>
        </w:p>
      </w:tc>
    </w:tr>
  </w:tbl>
  <w:p w14:paraId="711B5D80" w14:textId="77777777" w:rsidR="00535C2F" w:rsidRPr="00ED2B1F" w:rsidRDefault="00535C2F"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35C2F" w:rsidRPr="00ED2B1F" w14:paraId="00C01A13" w14:textId="77777777" w:rsidTr="00497F1D">
      <w:trPr>
        <w:cantSplit/>
      </w:trPr>
      <w:tc>
        <w:tcPr>
          <w:tcW w:w="8080" w:type="dxa"/>
          <w:vAlign w:val="center"/>
        </w:tcPr>
        <w:p w14:paraId="774CAAB4" w14:textId="2BD24B95" w:rsidR="00535C2F" w:rsidRPr="00ED2B1F" w:rsidRDefault="00535C2F" w:rsidP="00753A1F">
          <w:pPr>
            <w:pStyle w:val="RectoFooter"/>
          </w:pPr>
          <w:r w:rsidRPr="00ED2B1F">
            <w:t xml:space="preserve">Office of the Director of Mental Health and Addiction Services: </w:t>
          </w:r>
          <w:r w:rsidRPr="00ED2B1F">
            <w:br/>
            <w:t xml:space="preserve">Regulatory Report </w:t>
          </w:r>
          <w:r w:rsidR="00211D17" w:rsidRPr="00ED2B1F">
            <w:t>1 July 2023 to 30 June 2024</w:t>
          </w:r>
        </w:p>
      </w:tc>
      <w:tc>
        <w:tcPr>
          <w:tcW w:w="709" w:type="dxa"/>
          <w:vAlign w:val="center"/>
        </w:tcPr>
        <w:p w14:paraId="533DB11A" w14:textId="77777777" w:rsidR="00535C2F" w:rsidRPr="00ED2B1F" w:rsidRDefault="00535C2F" w:rsidP="00753A1F">
          <w:pPr>
            <w:pStyle w:val="Footer"/>
            <w:jc w:val="right"/>
            <w:rPr>
              <w:rStyle w:val="PageNumber"/>
            </w:rPr>
          </w:pPr>
          <w:r w:rsidRPr="00ED2B1F">
            <w:rPr>
              <w:rStyle w:val="PageNumber"/>
            </w:rPr>
            <w:fldChar w:fldCharType="begin"/>
          </w:r>
          <w:r w:rsidRPr="00ED2B1F">
            <w:rPr>
              <w:rStyle w:val="PageNumber"/>
            </w:rPr>
            <w:instrText xml:space="preserve"> PAGE   \* MERGEFORMAT </w:instrText>
          </w:r>
          <w:r w:rsidRPr="00ED2B1F">
            <w:rPr>
              <w:rStyle w:val="PageNumber"/>
            </w:rPr>
            <w:fldChar w:fldCharType="separate"/>
          </w:r>
          <w:r w:rsidRPr="00ED2B1F">
            <w:rPr>
              <w:rStyle w:val="PageNumber"/>
            </w:rPr>
            <w:t>iii</w:t>
          </w:r>
          <w:r w:rsidRPr="00ED2B1F">
            <w:rPr>
              <w:rStyle w:val="PageNumber"/>
            </w:rPr>
            <w:fldChar w:fldCharType="end"/>
          </w:r>
        </w:p>
      </w:tc>
    </w:tr>
  </w:tbl>
  <w:p w14:paraId="27602107" w14:textId="77777777" w:rsidR="00535C2F" w:rsidRPr="00ED2B1F" w:rsidRDefault="00535C2F"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535C2F" w:rsidRPr="00ED2B1F" w14:paraId="7E34FA6B" w14:textId="77777777" w:rsidTr="00D662F8">
      <w:trPr>
        <w:cantSplit/>
      </w:trPr>
      <w:tc>
        <w:tcPr>
          <w:tcW w:w="675" w:type="dxa"/>
          <w:vAlign w:val="center"/>
        </w:tcPr>
        <w:p w14:paraId="6281C317" w14:textId="77777777" w:rsidR="00535C2F" w:rsidRPr="00ED2B1F" w:rsidRDefault="00535C2F" w:rsidP="0043478F">
          <w:pPr>
            <w:pStyle w:val="Footer"/>
            <w:rPr>
              <w:rStyle w:val="PageNumber"/>
            </w:rPr>
          </w:pPr>
          <w:r w:rsidRPr="00ED2B1F">
            <w:rPr>
              <w:rStyle w:val="PageNumber"/>
            </w:rPr>
            <w:fldChar w:fldCharType="begin"/>
          </w:r>
          <w:r w:rsidRPr="00ED2B1F">
            <w:rPr>
              <w:rStyle w:val="PageNumber"/>
            </w:rPr>
            <w:instrText xml:space="preserve"> PAGE   \* MERGEFORMAT </w:instrText>
          </w:r>
          <w:r w:rsidRPr="00ED2B1F">
            <w:rPr>
              <w:rStyle w:val="PageNumber"/>
            </w:rPr>
            <w:fldChar w:fldCharType="separate"/>
          </w:r>
          <w:r w:rsidRPr="00ED2B1F">
            <w:rPr>
              <w:rStyle w:val="PageNumber"/>
            </w:rPr>
            <w:t>2</w:t>
          </w:r>
          <w:r w:rsidRPr="00ED2B1F">
            <w:rPr>
              <w:rStyle w:val="PageNumber"/>
            </w:rPr>
            <w:fldChar w:fldCharType="end"/>
          </w:r>
        </w:p>
      </w:tc>
      <w:tc>
        <w:tcPr>
          <w:tcW w:w="9072" w:type="dxa"/>
          <w:vAlign w:val="center"/>
        </w:tcPr>
        <w:p w14:paraId="27262A64" w14:textId="3DAA5DFC" w:rsidR="00535C2F" w:rsidRPr="00ED2B1F" w:rsidRDefault="00535C2F" w:rsidP="000D58DD">
          <w:pPr>
            <w:pStyle w:val="RectoFooter"/>
            <w:jc w:val="left"/>
          </w:pPr>
          <w:r w:rsidRPr="00ED2B1F">
            <w:t xml:space="preserve">Office of the Director of Mental Health and Addiction Services: </w:t>
          </w:r>
          <w:r w:rsidRPr="00ED2B1F">
            <w:br/>
            <w:t xml:space="preserve">Regulatory Report </w:t>
          </w:r>
          <w:r w:rsidR="00211D17" w:rsidRPr="00ED2B1F">
            <w:t>1 July 2023 to 30 June 2024</w:t>
          </w:r>
        </w:p>
      </w:tc>
    </w:tr>
  </w:tbl>
  <w:p w14:paraId="5177CEA2" w14:textId="77777777" w:rsidR="00535C2F" w:rsidRPr="00ED2B1F" w:rsidRDefault="00535C2F"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535C2F" w:rsidRPr="00ED2B1F" w14:paraId="47337729" w14:textId="77777777" w:rsidTr="00D662F8">
      <w:trPr>
        <w:cantSplit/>
      </w:trPr>
      <w:tc>
        <w:tcPr>
          <w:tcW w:w="8080" w:type="dxa"/>
          <w:vAlign w:val="center"/>
        </w:tcPr>
        <w:p w14:paraId="1A33CBD1" w14:textId="4BE451A1" w:rsidR="00535C2F" w:rsidRPr="00ED2B1F" w:rsidRDefault="00535C2F" w:rsidP="00931466">
          <w:pPr>
            <w:pStyle w:val="RectoFooter"/>
          </w:pPr>
          <w:r w:rsidRPr="00ED2B1F">
            <w:t xml:space="preserve">Office of the Director of Mental Health and Addiction Services: </w:t>
          </w:r>
          <w:r w:rsidRPr="00ED2B1F">
            <w:br/>
            <w:t xml:space="preserve">Regulatory Report </w:t>
          </w:r>
          <w:r w:rsidR="00211D17" w:rsidRPr="00ED2B1F">
            <w:t>1 July 2023 to 30 June 2024</w:t>
          </w:r>
        </w:p>
      </w:tc>
      <w:tc>
        <w:tcPr>
          <w:tcW w:w="709" w:type="dxa"/>
          <w:vAlign w:val="center"/>
        </w:tcPr>
        <w:p w14:paraId="501EC334" w14:textId="77777777" w:rsidR="00535C2F" w:rsidRPr="00ED2B1F" w:rsidRDefault="00535C2F" w:rsidP="00931466">
          <w:pPr>
            <w:pStyle w:val="Footer"/>
            <w:jc w:val="right"/>
            <w:rPr>
              <w:rStyle w:val="PageNumber"/>
            </w:rPr>
          </w:pPr>
          <w:r w:rsidRPr="00ED2B1F">
            <w:rPr>
              <w:rStyle w:val="PageNumber"/>
            </w:rPr>
            <w:fldChar w:fldCharType="begin"/>
          </w:r>
          <w:r w:rsidRPr="00ED2B1F">
            <w:rPr>
              <w:rStyle w:val="PageNumber"/>
            </w:rPr>
            <w:instrText xml:space="preserve"> PAGE   \* MERGEFORMAT </w:instrText>
          </w:r>
          <w:r w:rsidRPr="00ED2B1F">
            <w:rPr>
              <w:rStyle w:val="PageNumber"/>
            </w:rPr>
            <w:fldChar w:fldCharType="separate"/>
          </w:r>
          <w:r w:rsidRPr="00ED2B1F">
            <w:rPr>
              <w:rStyle w:val="PageNumber"/>
            </w:rPr>
            <w:t>1</w:t>
          </w:r>
          <w:r w:rsidRPr="00ED2B1F">
            <w:rPr>
              <w:rStyle w:val="PageNumber"/>
            </w:rPr>
            <w:fldChar w:fldCharType="end"/>
          </w:r>
        </w:p>
      </w:tc>
    </w:tr>
  </w:tbl>
  <w:p w14:paraId="1C6F2E7F" w14:textId="77777777" w:rsidR="00535C2F" w:rsidRPr="00ED2B1F" w:rsidRDefault="00535C2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7D810" w14:textId="77777777" w:rsidR="0062440A" w:rsidRPr="00ED2B1F" w:rsidRDefault="0062440A" w:rsidP="00A26E6B"/>
  </w:footnote>
  <w:footnote w:type="continuationSeparator" w:id="0">
    <w:p w14:paraId="10FD379D" w14:textId="77777777" w:rsidR="0062440A" w:rsidRPr="00ED2B1F" w:rsidRDefault="0062440A">
      <w:r w:rsidRPr="00ED2B1F">
        <w:continuationSeparator/>
      </w:r>
    </w:p>
    <w:p w14:paraId="5D4B4D1D" w14:textId="77777777" w:rsidR="0062440A" w:rsidRPr="00ED2B1F" w:rsidRDefault="0062440A"/>
  </w:footnote>
  <w:footnote w:type="continuationNotice" w:id="1">
    <w:p w14:paraId="48C4934A" w14:textId="77777777" w:rsidR="0062440A" w:rsidRPr="00ED2B1F" w:rsidRDefault="0062440A"/>
  </w:footnote>
  <w:footnote w:id="2">
    <w:p w14:paraId="39919E4F" w14:textId="6584FF9C" w:rsidR="005D25EF" w:rsidRPr="00ED2B1F" w:rsidRDefault="005D25EF">
      <w:pPr>
        <w:pStyle w:val="FootnoteText"/>
      </w:pPr>
      <w:r w:rsidRPr="00ED2B1F">
        <w:rPr>
          <w:rStyle w:val="FootnoteReference"/>
        </w:rPr>
        <w:footnoteRef/>
      </w:r>
      <w:r w:rsidRPr="00ED2B1F">
        <w:t xml:space="preserve"> Royal Commission of Inquiry into Abuse in Care. 2024. </w:t>
      </w:r>
      <w:r w:rsidRPr="00ED2B1F">
        <w:rPr>
          <w:i/>
          <w:iCs/>
        </w:rPr>
        <w:t>Whanaketia: Through pain and trauma, from darkness to light.</w:t>
      </w:r>
      <w:r w:rsidRPr="00ED2B1F">
        <w:t xml:space="preserve"> URL: </w:t>
      </w:r>
      <w:hyperlink r:id="rId1" w:history="1">
        <w:r w:rsidRPr="00ED2B1F">
          <w:rPr>
            <w:rStyle w:val="Hyperlink"/>
          </w:rPr>
          <w:t>abuseincare.org.nz/reports/whanaketia</w:t>
        </w:r>
      </w:hyperlink>
      <w:r w:rsidRPr="00ED2B1F">
        <w:t xml:space="preserve"> (accessed 9 February 202</w:t>
      </w:r>
      <w:r w:rsidR="00324B32" w:rsidRPr="00ED2B1F">
        <w:t>6</w:t>
      </w:r>
      <w:r w:rsidRPr="00ED2B1F">
        <w:t>).</w:t>
      </w:r>
    </w:p>
  </w:footnote>
  <w:footnote w:id="3">
    <w:p w14:paraId="0F0BE48D" w14:textId="0B381C8C" w:rsidR="00535C2F" w:rsidRPr="00ED2B1F" w:rsidRDefault="00535C2F" w:rsidP="00753A1F">
      <w:pPr>
        <w:pStyle w:val="FootnoteText"/>
      </w:pPr>
      <w:r w:rsidRPr="00ED2B1F">
        <w:rPr>
          <w:rStyle w:val="FootnoteReference"/>
        </w:rPr>
        <w:footnoteRef/>
      </w:r>
      <w:r w:rsidRPr="00ED2B1F">
        <w:t xml:space="preserve"> Ministry of Health. 2023. </w:t>
      </w:r>
      <w:r w:rsidRPr="00ED2B1F">
        <w:rPr>
          <w:i/>
          <w:iCs/>
        </w:rPr>
        <w:t xml:space="preserve">Guidelines for Reducing and Eliminating Seclusion and Restraint </w:t>
      </w:r>
      <w:r w:rsidR="004C0C4C" w:rsidRPr="00ED2B1F">
        <w:rPr>
          <w:i/>
          <w:iCs/>
        </w:rPr>
        <w:t>u</w:t>
      </w:r>
      <w:r w:rsidRPr="00ED2B1F">
        <w:rPr>
          <w:i/>
          <w:iCs/>
        </w:rPr>
        <w:t>nder the Mental Health (Compulsory Assessment and Treatment) Act 1992</w:t>
      </w:r>
      <w:r w:rsidRPr="00ED2B1F">
        <w:t>. Wellington: Ministry of Health.</w:t>
      </w:r>
    </w:p>
  </w:footnote>
  <w:footnote w:id="4">
    <w:p w14:paraId="564BAE2B" w14:textId="21D095A2" w:rsidR="00535C2F" w:rsidRPr="00ED2B1F" w:rsidRDefault="00535C2F" w:rsidP="00753A1F">
      <w:pPr>
        <w:pStyle w:val="FootnoteText"/>
      </w:pPr>
      <w:r w:rsidRPr="00ED2B1F">
        <w:rPr>
          <w:rStyle w:val="FootnoteReference"/>
        </w:rPr>
        <w:footnoteRef/>
      </w:r>
      <w:r w:rsidRPr="00ED2B1F">
        <w:t xml:space="preserve"> Government Inquiry into Mental Health and Addiction. 2018. </w:t>
      </w:r>
      <w:r w:rsidRPr="00ED2B1F">
        <w:rPr>
          <w:i/>
          <w:iCs/>
        </w:rPr>
        <w:t>He Ara Oranga: Report of the</w:t>
      </w:r>
      <w:r w:rsidRPr="00ED2B1F">
        <w:t xml:space="preserve"> </w:t>
      </w:r>
      <w:r w:rsidRPr="00ED2B1F">
        <w:rPr>
          <w:i/>
          <w:iCs/>
        </w:rPr>
        <w:t>Government Inquiry into Mental Health and Addiction.</w:t>
      </w:r>
      <w:r w:rsidRPr="00ED2B1F">
        <w:t xml:space="preserve"> URL: </w:t>
      </w:r>
      <w:hyperlink r:id="rId2" w:history="1">
        <w:r w:rsidRPr="00ED2B1F">
          <w:rPr>
            <w:rStyle w:val="Hyperlink"/>
          </w:rPr>
          <w:t>mentalhealth.inquiry.govt.nz/inquiry-report/he-ara-oranga</w:t>
        </w:r>
      </w:hyperlink>
      <w:r w:rsidRPr="00ED2B1F">
        <w:t xml:space="preserve"> (accessed </w:t>
      </w:r>
      <w:r w:rsidR="00505765" w:rsidRPr="00ED2B1F">
        <w:t>14</w:t>
      </w:r>
      <w:r w:rsidRPr="00ED2B1F">
        <w:t xml:space="preserve"> January 202</w:t>
      </w:r>
      <w:r w:rsidR="00505765" w:rsidRPr="00ED2B1F">
        <w:t>6</w:t>
      </w:r>
      <w:r w:rsidRPr="00ED2B1F">
        <w:t>).</w:t>
      </w:r>
    </w:p>
  </w:footnote>
  <w:footnote w:id="5">
    <w:p w14:paraId="2CF8BA76" w14:textId="4FAA0913" w:rsidR="00ED2813" w:rsidRPr="00ED2B1F" w:rsidRDefault="00ED2813">
      <w:pPr>
        <w:pStyle w:val="FootnoteText"/>
      </w:pPr>
      <w:r w:rsidRPr="00ED2B1F">
        <w:rPr>
          <w:rStyle w:val="FootnoteReference"/>
        </w:rPr>
        <w:footnoteRef/>
      </w:r>
      <w:r w:rsidRPr="00ED2B1F">
        <w:t xml:space="preserve"> Health Committee </w:t>
      </w:r>
      <w:r w:rsidR="0061335B" w:rsidRPr="00ED2B1F">
        <w:t xml:space="preserve">Mental Health Bill Final Report. </w:t>
      </w:r>
      <w:r w:rsidR="00B3261C" w:rsidRPr="00ED2B1F">
        <w:t xml:space="preserve">2025. </w:t>
      </w:r>
      <w:r w:rsidR="0061335B" w:rsidRPr="00ED2B1F">
        <w:t xml:space="preserve">URL: </w:t>
      </w:r>
      <w:hyperlink r:id="rId3" w:history="1">
        <w:r w:rsidR="0061335B" w:rsidRPr="00ED2B1F">
          <w:rPr>
            <w:rStyle w:val="Hyperlink"/>
          </w:rPr>
          <w:t>selectcommittees.parliament.nz/v/SelectCommitteeReport/87973bb4-1764-44d5-775e-08dd7d2d2e15?lang=en</w:t>
        </w:r>
      </w:hyperlink>
      <w:r w:rsidR="0061335B" w:rsidRPr="00ED2B1F">
        <w:t xml:space="preserve"> </w:t>
      </w:r>
      <w:r w:rsidR="00505765" w:rsidRPr="00ED2B1F">
        <w:t>(accessed 14 January 2026).</w:t>
      </w:r>
    </w:p>
  </w:footnote>
  <w:footnote w:id="6">
    <w:p w14:paraId="35FEDAF5" w14:textId="2B5CA5DF" w:rsidR="00535C2F" w:rsidRPr="00ED2B1F" w:rsidRDefault="00535C2F" w:rsidP="00753A1F">
      <w:pPr>
        <w:pStyle w:val="FootnoteText"/>
      </w:pPr>
      <w:r w:rsidRPr="00ED2B1F">
        <w:rPr>
          <w:rStyle w:val="FootnoteReference"/>
        </w:rPr>
        <w:footnoteRef/>
      </w:r>
      <w:r w:rsidRPr="00ED2B1F">
        <w:t xml:space="preserve"> Source</w:t>
      </w:r>
      <w:r w:rsidR="00A42D21" w:rsidRPr="00ED2B1F">
        <w:t>s</w:t>
      </w:r>
      <w:r w:rsidRPr="00ED2B1F">
        <w:t xml:space="preserve">: Programme for the Integration of Mental Health Data (PRIMHD) data (extracted </w:t>
      </w:r>
      <w:r w:rsidR="00955846" w:rsidRPr="00ED2B1F">
        <w:t>10 June 2025</w:t>
      </w:r>
      <w:r w:rsidRPr="00ED2B1F">
        <w:t>)</w:t>
      </w:r>
      <w:r w:rsidR="00A42D21" w:rsidRPr="00ED2B1F">
        <w:t xml:space="preserve"> and manual data for Health New Zealand Bay of Plenty, Capital &amp; Coast, Counties Manukau, Hawke’s Bay, MidCentral, Southern, Tairāwhiti, Waikato and Waitematā</w:t>
      </w:r>
      <w:r w:rsidRPr="00ED2B1F">
        <w:t>.</w:t>
      </w:r>
    </w:p>
  </w:footnote>
  <w:footnote w:id="7">
    <w:p w14:paraId="0D22B55C" w14:textId="77777777" w:rsidR="00535C2F" w:rsidRPr="00ED2B1F" w:rsidRDefault="00535C2F" w:rsidP="00753A1F">
      <w:pPr>
        <w:pStyle w:val="FootnoteText"/>
      </w:pPr>
      <w:r w:rsidRPr="00ED2B1F">
        <w:rPr>
          <w:rStyle w:val="FootnoteReference"/>
        </w:rPr>
        <w:footnoteRef/>
      </w:r>
      <w:r w:rsidRPr="00ED2B1F">
        <w:t xml:space="preserve"> Mental Health Act, sections 11, 13, 15(1), 15(2), 29, 30 and 31.</w:t>
      </w:r>
    </w:p>
  </w:footnote>
  <w:footnote w:id="8">
    <w:p w14:paraId="0794416C" w14:textId="77777777" w:rsidR="00535C2F" w:rsidRPr="00ED2B1F" w:rsidRDefault="00535C2F" w:rsidP="00753A1F">
      <w:pPr>
        <w:pStyle w:val="FootnoteText"/>
        <w:ind w:left="0" w:firstLine="0"/>
      </w:pPr>
      <w:r w:rsidRPr="00ED2B1F">
        <w:rPr>
          <w:rStyle w:val="FootnoteReference"/>
        </w:rPr>
        <w:footnoteRef/>
      </w:r>
      <w:r w:rsidRPr="00ED2B1F">
        <w:t xml:space="preserve"> ‘Other ethnicities’ includes all ethnicities except for Māori and Pacific peoples.</w:t>
      </w:r>
    </w:p>
  </w:footnote>
  <w:footnote w:id="9">
    <w:p w14:paraId="09B6FB38" w14:textId="452C0038" w:rsidR="005E6BAC" w:rsidRDefault="005E6BAC">
      <w:pPr>
        <w:pStyle w:val="FootnoteText"/>
      </w:pPr>
      <w:r>
        <w:rPr>
          <w:rStyle w:val="FootnoteReference"/>
        </w:rPr>
        <w:footnoteRef/>
      </w:r>
      <w:r>
        <w:t xml:space="preserve"> </w:t>
      </w:r>
      <w:r w:rsidR="003A5B3C">
        <w:t>This is calculated differently from the last report</w:t>
      </w:r>
      <w:r w:rsidR="009D16DE">
        <w:t>. This figure uses raw</w:t>
      </w:r>
      <w:r w:rsidR="00DB073C">
        <w:t xml:space="preserve"> figures and is a calculation of </w:t>
      </w:r>
      <w:r w:rsidR="00346F18">
        <w:t xml:space="preserve">the number of </w:t>
      </w:r>
      <w:r w:rsidR="008F4274">
        <w:t xml:space="preserve">people under </w:t>
      </w:r>
      <w:r w:rsidR="00346F18">
        <w:t>section 29 over the total number of people under section 29 and 30.</w:t>
      </w:r>
      <w:r w:rsidR="000B442B">
        <w:t xml:space="preserve"> The last report calculated this using </w:t>
      </w:r>
      <w:r w:rsidR="00811D31">
        <w:t>the average per month.</w:t>
      </w:r>
    </w:p>
  </w:footnote>
  <w:footnote w:id="10">
    <w:p w14:paraId="2AFAAA67" w14:textId="2F576321" w:rsidR="00C61E10" w:rsidRPr="00ED2B1F" w:rsidRDefault="00C61E10">
      <w:pPr>
        <w:pStyle w:val="FootnoteText"/>
      </w:pPr>
      <w:r w:rsidRPr="00ED2B1F">
        <w:rPr>
          <w:rStyle w:val="FootnoteReference"/>
        </w:rPr>
        <w:footnoteRef/>
      </w:r>
      <w:r w:rsidRPr="00ED2B1F">
        <w:t xml:space="preserve"> </w:t>
      </w:r>
      <w:r w:rsidR="00775A71" w:rsidRPr="00ED2B1F">
        <w:t xml:space="preserve">Other </w:t>
      </w:r>
      <w:r w:rsidRPr="00ED2B1F">
        <w:t>outcomes include</w:t>
      </w:r>
      <w:r w:rsidR="00775A71" w:rsidRPr="00ED2B1F">
        <w:t xml:space="preserve"> that</w:t>
      </w:r>
      <w:r w:rsidRPr="00ED2B1F">
        <w:t xml:space="preserve"> the application </w:t>
      </w:r>
      <w:r w:rsidR="00775A71" w:rsidRPr="00ED2B1F">
        <w:t xml:space="preserve">was </w:t>
      </w:r>
      <w:r w:rsidRPr="00ED2B1F">
        <w:t>struck out, lapsed, discontinued or stayed.</w:t>
      </w:r>
    </w:p>
  </w:footnote>
  <w:footnote w:id="11">
    <w:p w14:paraId="60F504B4" w14:textId="77777777" w:rsidR="00535C2F" w:rsidRPr="00ED2B1F" w:rsidRDefault="00535C2F" w:rsidP="00753A1F">
      <w:pPr>
        <w:pStyle w:val="FootnoteText"/>
      </w:pPr>
      <w:r w:rsidRPr="00ED2B1F">
        <w:rPr>
          <w:rStyle w:val="FootnoteReference"/>
        </w:rPr>
        <w:footnoteRef/>
      </w:r>
      <w:r w:rsidR="00C61E10" w:rsidRPr="00ED2B1F">
        <w:t xml:space="preserve"> Source: Ministry of Justice’s case management system (CMS) data (extracted 2 December 2025).</w:t>
      </w:r>
    </w:p>
  </w:footnote>
  <w:footnote w:id="12">
    <w:p w14:paraId="27A91DE2" w14:textId="4682A9BA" w:rsidR="00535C2F" w:rsidRPr="00ED2B1F" w:rsidRDefault="00535C2F" w:rsidP="00753A1F">
      <w:pPr>
        <w:pStyle w:val="FootnoteText"/>
      </w:pPr>
      <w:r w:rsidRPr="00ED2B1F">
        <w:rPr>
          <w:rStyle w:val="FootnoteReference"/>
        </w:rPr>
        <w:footnoteRef/>
      </w:r>
      <w:r w:rsidRPr="00ED2B1F">
        <w:t xml:space="preserve"> Sources: PRIMHD </w:t>
      </w:r>
      <w:r w:rsidR="007C53F6" w:rsidRPr="00ED2B1F">
        <w:t>data (extracted 10 June 2025) and manual data for Health New Zealand Bay of Plenty, Capital &amp; Coast, Counties Manukau, Hawke’s Bay, MidCentral, Southern, Tairāwhiti, Waikato and Waitematā.</w:t>
      </w:r>
    </w:p>
  </w:footnote>
  <w:footnote w:id="13">
    <w:p w14:paraId="1DEC2691" w14:textId="77777777" w:rsidR="00535C2F" w:rsidRPr="00ED2B1F" w:rsidRDefault="00535C2F" w:rsidP="00753A1F">
      <w:pPr>
        <w:pStyle w:val="FootnoteText"/>
      </w:pPr>
      <w:r w:rsidRPr="00ED2B1F">
        <w:rPr>
          <w:rStyle w:val="FootnoteReference"/>
        </w:rPr>
        <w:footnoteRef/>
      </w:r>
      <w:r w:rsidRPr="00ED2B1F">
        <w:t xml:space="preserve"> ‘</w:t>
      </w:r>
      <w:r w:rsidRPr="00ED2B1F">
        <w:rPr>
          <w:rFonts w:eastAsia="Arial Unicode MS"/>
        </w:rPr>
        <w:t>On an average day’ is the average of the last day of each month.</w:t>
      </w:r>
    </w:p>
  </w:footnote>
  <w:footnote w:id="14">
    <w:p w14:paraId="5D9382BD" w14:textId="076CE2E0" w:rsidR="00535C2F" w:rsidRPr="00490C8C" w:rsidRDefault="00535C2F" w:rsidP="00490C8C">
      <w:pPr>
        <w:pStyle w:val="FootnoteText"/>
        <w:ind w:left="0" w:firstLine="0"/>
        <w:rPr>
          <w:sz w:val="16"/>
          <w:szCs w:val="16"/>
        </w:rPr>
      </w:pPr>
      <w:r w:rsidRPr="00490C8C">
        <w:rPr>
          <w:rStyle w:val="FootnoteReference"/>
          <w:sz w:val="16"/>
          <w:szCs w:val="16"/>
        </w:rPr>
        <w:footnoteRef/>
      </w:r>
      <w:r w:rsidRPr="00490C8C">
        <w:rPr>
          <w:sz w:val="16"/>
          <w:szCs w:val="16"/>
        </w:rPr>
        <w:t xml:space="preserve"> Source</w:t>
      </w:r>
      <w:r w:rsidR="003B0C37" w:rsidRPr="00490C8C">
        <w:rPr>
          <w:sz w:val="16"/>
          <w:szCs w:val="16"/>
        </w:rPr>
        <w:t>s</w:t>
      </w:r>
      <w:r w:rsidRPr="00490C8C">
        <w:rPr>
          <w:sz w:val="16"/>
          <w:szCs w:val="16"/>
        </w:rPr>
        <w:t xml:space="preserve">: PRIMHD data (extracted </w:t>
      </w:r>
      <w:r w:rsidR="00955846" w:rsidRPr="00490C8C">
        <w:rPr>
          <w:sz w:val="16"/>
          <w:szCs w:val="16"/>
        </w:rPr>
        <w:t>10 June 2025</w:t>
      </w:r>
      <w:r w:rsidRPr="00490C8C">
        <w:rPr>
          <w:sz w:val="16"/>
          <w:szCs w:val="16"/>
        </w:rPr>
        <w:t>)</w:t>
      </w:r>
      <w:r w:rsidR="003B0C37" w:rsidRPr="00490C8C">
        <w:rPr>
          <w:sz w:val="16"/>
          <w:szCs w:val="16"/>
        </w:rPr>
        <w:t xml:space="preserve"> and manual data from Health New Zealand Bay of Plenty, Capital &amp; Coast, Counties Manukau, Hawke’s Bay, MidCentral, Southern, Tairāwhiti, Waikato and Waitematā</w:t>
      </w:r>
      <w:r w:rsidRPr="00490C8C">
        <w:rPr>
          <w:sz w:val="16"/>
          <w:szCs w:val="16"/>
        </w:rPr>
        <w:t>.</w:t>
      </w:r>
    </w:p>
  </w:footnote>
  <w:footnote w:id="15">
    <w:p w14:paraId="7F0B8358" w14:textId="77486FDB" w:rsidR="00535C2F" w:rsidRPr="00490C8C" w:rsidRDefault="00535C2F" w:rsidP="00490C8C">
      <w:pPr>
        <w:pStyle w:val="FootnoteText"/>
        <w:ind w:left="0" w:firstLine="0"/>
        <w:rPr>
          <w:sz w:val="16"/>
          <w:szCs w:val="16"/>
        </w:rPr>
      </w:pPr>
      <w:r w:rsidRPr="00490C8C">
        <w:rPr>
          <w:rStyle w:val="FootnoteReference"/>
          <w:sz w:val="16"/>
          <w:szCs w:val="16"/>
        </w:rPr>
        <w:footnoteRef/>
      </w:r>
      <w:r w:rsidRPr="00490C8C">
        <w:rPr>
          <w:sz w:val="16"/>
          <w:szCs w:val="16"/>
        </w:rPr>
        <w:t xml:space="preserve"> </w:t>
      </w:r>
      <w:r w:rsidRPr="00490C8C">
        <w:rPr>
          <w:spacing w:val="-2"/>
          <w:sz w:val="16"/>
          <w:szCs w:val="16"/>
        </w:rPr>
        <w:t xml:space="preserve">These ratios are based on the age-standardised rates of the Māori, Pacific peoples and other </w:t>
      </w:r>
      <w:r w:rsidR="00DA5C30" w:rsidRPr="00490C8C">
        <w:rPr>
          <w:spacing w:val="-2"/>
          <w:sz w:val="16"/>
          <w:szCs w:val="16"/>
        </w:rPr>
        <w:t>ethnic groups</w:t>
      </w:r>
      <w:r w:rsidRPr="00490C8C">
        <w:rPr>
          <w:spacing w:val="-2"/>
          <w:sz w:val="16"/>
          <w:szCs w:val="16"/>
        </w:rPr>
        <w:t xml:space="preserve">. </w:t>
      </w:r>
    </w:p>
  </w:footnote>
  <w:footnote w:id="16">
    <w:p w14:paraId="77BABC61" w14:textId="1F783E91" w:rsidR="00535C2F" w:rsidRPr="00490C8C" w:rsidRDefault="00535C2F" w:rsidP="00490C8C">
      <w:pPr>
        <w:pStyle w:val="FootnoteText"/>
        <w:ind w:left="0" w:firstLine="0"/>
        <w:rPr>
          <w:sz w:val="16"/>
          <w:szCs w:val="16"/>
        </w:rPr>
      </w:pPr>
      <w:r w:rsidRPr="00490C8C">
        <w:rPr>
          <w:rStyle w:val="FootnoteReference"/>
          <w:sz w:val="16"/>
          <w:szCs w:val="16"/>
        </w:rPr>
        <w:footnoteRef/>
      </w:r>
      <w:r w:rsidRPr="00490C8C">
        <w:rPr>
          <w:sz w:val="16"/>
          <w:szCs w:val="16"/>
        </w:rPr>
        <w:t xml:space="preserve"> Deprivation quintiles are ranked 1 to 5, where 1 represents areas with the least deprived scores and 5 the areas with the most deprived scores.</w:t>
      </w:r>
    </w:p>
  </w:footnote>
  <w:footnote w:id="17">
    <w:p w14:paraId="637F90E6" w14:textId="77777777" w:rsidR="00FA0C12" w:rsidRPr="00490C8C" w:rsidRDefault="00FA0C12" w:rsidP="00FA0C12">
      <w:pPr>
        <w:ind w:left="142" w:hanging="142"/>
        <w:rPr>
          <w:sz w:val="16"/>
          <w:szCs w:val="16"/>
        </w:rPr>
      </w:pPr>
      <w:r w:rsidRPr="00490C8C">
        <w:rPr>
          <w:rStyle w:val="FootnoteReference"/>
          <w:sz w:val="16"/>
          <w:szCs w:val="16"/>
        </w:rPr>
        <w:footnoteRef/>
      </w:r>
      <w:r w:rsidRPr="00490C8C">
        <w:rPr>
          <w:sz w:val="16"/>
          <w:szCs w:val="16"/>
        </w:rPr>
        <w:t xml:space="preserve"> In this report, we are now identifying data relating to Asian ethnic groups where it is possible to separate it from within the ‘Other’ category. However, this information is not available for all data tables and figures. </w:t>
      </w:r>
    </w:p>
    <w:p w14:paraId="2FE6A464" w14:textId="77777777" w:rsidR="00FA0C12" w:rsidRDefault="00FA0C12" w:rsidP="00FA0C12">
      <w:pPr>
        <w:pStyle w:val="FootnoteText"/>
      </w:pPr>
    </w:p>
  </w:footnote>
  <w:footnote w:id="18">
    <w:p w14:paraId="49095983" w14:textId="77777777" w:rsidR="00463C26" w:rsidRPr="00ED2B1F" w:rsidRDefault="00463C26" w:rsidP="00E7037A">
      <w:pPr>
        <w:pStyle w:val="FootnoteText"/>
        <w:spacing w:before="40"/>
      </w:pPr>
      <w:r w:rsidRPr="00ED2B1F">
        <w:rPr>
          <w:rStyle w:val="FootnoteReference"/>
        </w:rPr>
        <w:footnoteRef/>
      </w:r>
      <w:r w:rsidRPr="00ED2B1F">
        <w:t xml:space="preserve"> Standards New Zealand. 2021. </w:t>
      </w:r>
      <w:r w:rsidRPr="00ED2B1F">
        <w:rPr>
          <w:i/>
          <w:iCs/>
        </w:rPr>
        <w:t>Ngā Paerewa</w:t>
      </w:r>
      <w:r w:rsidRPr="00ED2B1F">
        <w:t xml:space="preserve"> </w:t>
      </w:r>
      <w:r w:rsidRPr="00ED2B1F">
        <w:rPr>
          <w:i/>
          <w:iCs/>
        </w:rPr>
        <w:t>Health and Disability Services Standard</w:t>
      </w:r>
      <w:r w:rsidRPr="00ED2B1F">
        <w:t>. Wellington: Standards New Zealand.</w:t>
      </w:r>
    </w:p>
  </w:footnote>
  <w:footnote w:id="19">
    <w:p w14:paraId="06BBCF29" w14:textId="227FD821" w:rsidR="00463C26" w:rsidRPr="00ED2B1F" w:rsidRDefault="00463C26" w:rsidP="00E7037A">
      <w:pPr>
        <w:pStyle w:val="FootnoteText"/>
        <w:spacing w:before="40"/>
      </w:pPr>
      <w:r w:rsidRPr="00ED2B1F">
        <w:rPr>
          <w:rStyle w:val="FootnoteReference"/>
        </w:rPr>
        <w:footnoteRef/>
      </w:r>
      <w:r w:rsidRPr="00ED2B1F">
        <w:t xml:space="preserve"> ‘Adult inpatient service’ means an inpatient mental health service for those aged 18 years and older. It does not include those in older people’s mental health services.</w:t>
      </w:r>
    </w:p>
  </w:footnote>
  <w:footnote w:id="20">
    <w:p w14:paraId="6E06FFD4" w14:textId="3367A72A" w:rsidR="00463C26" w:rsidRPr="00ED2B1F" w:rsidRDefault="00463C26" w:rsidP="00E7037A">
      <w:pPr>
        <w:pStyle w:val="FootnoteText"/>
        <w:spacing w:before="40"/>
      </w:pPr>
      <w:r w:rsidRPr="00ED2B1F">
        <w:rPr>
          <w:rStyle w:val="FootnoteReference"/>
        </w:rPr>
        <w:footnoteRef/>
      </w:r>
      <w:r w:rsidRPr="00ED2B1F">
        <w:t xml:space="preserve"> Sources: PRIMHD data (extracted 10 June 2025) and manual data from Health New Zealand Canterbury, Southern, Waikato and Waitematā.</w:t>
      </w:r>
    </w:p>
  </w:footnote>
  <w:footnote w:id="21">
    <w:p w14:paraId="4D21BCC8" w14:textId="77777777" w:rsidR="00E7037A" w:rsidRPr="00ED2B1F" w:rsidRDefault="00E7037A" w:rsidP="00E7037A">
      <w:pPr>
        <w:pStyle w:val="FootnoteText"/>
        <w:spacing w:before="40"/>
      </w:pPr>
      <w:r w:rsidRPr="00ED2B1F">
        <w:rPr>
          <w:rStyle w:val="FootnoteReference"/>
        </w:rPr>
        <w:footnoteRef/>
      </w:r>
      <w:r w:rsidRPr="00ED2B1F">
        <w:t xml:space="preserve"> We compare with 2009 because in that year, seclusion reduction policies were introduced in New Zealand as part of the Health and Disability Services Standard 2008.</w:t>
      </w:r>
    </w:p>
  </w:footnote>
  <w:footnote w:id="22">
    <w:p w14:paraId="442D8FA7" w14:textId="77777777" w:rsidR="00992464" w:rsidRPr="00ED2B1F" w:rsidRDefault="00992464" w:rsidP="00992464">
      <w:pPr>
        <w:pStyle w:val="Source"/>
        <w:ind w:left="284" w:hanging="284"/>
      </w:pPr>
      <w:r w:rsidRPr="00ED2B1F">
        <w:rPr>
          <w:rStyle w:val="FootnoteReference"/>
        </w:rPr>
        <w:footnoteRef/>
      </w:r>
      <w:r w:rsidRPr="00ED2B1F">
        <w:t xml:space="preserve"> Data in this section excludes forensic, intellectual disability and youth services unless specified otherwise. Bed nights are measured by team types that use seclusion. This may differ from denominator figures used in other entities’ seclusion reporting. This data cannot be compared with years before 2017, when bed nights were measured by acute and sub-acute bed nights. Sources: PRIMHD data (extracted 10 June 2025) and manual data from Health New Zealand Canterbury, Southern, Waikato and Waitematā.</w:t>
      </w:r>
    </w:p>
  </w:footnote>
  <w:footnote w:id="23">
    <w:p w14:paraId="54976D3B" w14:textId="77777777" w:rsidR="00463C26" w:rsidRPr="00ED2B1F" w:rsidRDefault="00463C26" w:rsidP="00463C26">
      <w:pPr>
        <w:pStyle w:val="FootnoteText"/>
      </w:pPr>
      <w:r w:rsidRPr="00ED2B1F">
        <w:rPr>
          <w:rStyle w:val="FootnoteReference"/>
        </w:rPr>
        <w:footnoteRef/>
      </w:r>
      <w:r w:rsidRPr="00ED2B1F">
        <w:tab/>
        <w:t>If people in Wairarapa required admission to mental health inpatient services, they were transported to either Health New Zealand Hutt Valley or MidCentral. Any seclusion statistics for them are included in the service where they received treatment.</w:t>
      </w:r>
    </w:p>
  </w:footnote>
  <w:footnote w:id="24">
    <w:p w14:paraId="4D12067E" w14:textId="4BC88BC7" w:rsidR="00535C2F" w:rsidRPr="00ED2B1F" w:rsidRDefault="00535C2F" w:rsidP="00BB7D17">
      <w:pPr>
        <w:pStyle w:val="FootnoteText"/>
      </w:pPr>
      <w:r w:rsidRPr="00ED2B1F">
        <w:rPr>
          <w:rStyle w:val="FootnoteReference"/>
        </w:rPr>
        <w:footnoteRef/>
      </w:r>
      <w:r w:rsidRPr="00ED2B1F">
        <w:t xml:space="preserve"> ‘Act proven but not criminally responsible on account of insanity’ is a finding that was introduced by the Rights for Victims of Insane Offenders Act 2021 to replace ‘not guilty by reason of insanity’.</w:t>
      </w:r>
    </w:p>
  </w:footnote>
  <w:footnote w:id="25">
    <w:p w14:paraId="102BB92B" w14:textId="71580C7F" w:rsidR="00535C2F" w:rsidRPr="00ED2B1F" w:rsidRDefault="00535C2F" w:rsidP="00BB7D17">
      <w:pPr>
        <w:pStyle w:val="FootnoteText"/>
      </w:pPr>
      <w:r w:rsidRPr="00ED2B1F">
        <w:rPr>
          <w:rStyle w:val="FootnoteReference"/>
        </w:rPr>
        <w:footnoteRef/>
      </w:r>
      <w:r w:rsidRPr="00ED2B1F">
        <w:t xml:space="preserve"> </w:t>
      </w:r>
      <w:r w:rsidR="002C05FA" w:rsidRPr="00ED2B1F">
        <w:t xml:space="preserve">The </w:t>
      </w:r>
      <w:r w:rsidR="00107B36" w:rsidRPr="00ED2B1F">
        <w:t>Health Quality &amp; Safety Commission</w:t>
      </w:r>
      <w:r w:rsidRPr="00ED2B1F">
        <w:t xml:space="preserve"> defines an adverse event as an event that results in harm or has the potential to result in harm to a consumer.</w:t>
      </w:r>
    </w:p>
  </w:footnote>
  <w:footnote w:id="26">
    <w:p w14:paraId="786B535A" w14:textId="77777777" w:rsidR="00535C2F" w:rsidRPr="00ED2B1F" w:rsidRDefault="00535C2F" w:rsidP="00BB7D17">
      <w:pPr>
        <w:pStyle w:val="FootnoteText"/>
      </w:pPr>
      <w:r w:rsidRPr="00ED2B1F">
        <w:rPr>
          <w:rStyle w:val="FootnoteReference"/>
        </w:rPr>
        <w:footnoteRef/>
      </w:r>
      <w:r w:rsidRPr="00ED2B1F">
        <w:t xml:space="preserve"> A Severity Assessment Code is a numerical rating of how severe an adverse event is, which in turn indicates what level of reporting and investigation is needed for that event.</w:t>
      </w:r>
    </w:p>
  </w:footnote>
  <w:footnote w:id="27">
    <w:p w14:paraId="48698E65" w14:textId="33A9A6A3" w:rsidR="00535C2F" w:rsidRPr="00ED2B1F" w:rsidRDefault="00535C2F" w:rsidP="00BB7D17">
      <w:pPr>
        <w:pStyle w:val="FootnoteText"/>
      </w:pPr>
      <w:r w:rsidRPr="00ED2B1F">
        <w:rPr>
          <w:rStyle w:val="FootnoteReference"/>
        </w:rPr>
        <w:footnoteRef/>
      </w:r>
      <w:r w:rsidRPr="00ED2B1F">
        <w:t xml:space="preserve"> See the National Adverse Events Reporting Policy on the</w:t>
      </w:r>
      <w:r w:rsidR="003D74E7" w:rsidRPr="00ED2B1F">
        <w:t xml:space="preserve"> Health Quality &amp; Safety Commission’s</w:t>
      </w:r>
      <w:r w:rsidRPr="00ED2B1F">
        <w:t xml:space="preserve"> website at: </w:t>
      </w:r>
      <w:hyperlink r:id="rId4" w:history="1">
        <w:r w:rsidR="001100FA" w:rsidRPr="00512A6D">
          <w:rPr>
            <w:rStyle w:val="Hyperlink"/>
          </w:rPr>
          <w:t>https://www.hqsc.govt.nz/resources/resource-library/national-adverse-event-policy-2023/</w:t>
        </w:r>
      </w:hyperlink>
      <w:r w:rsidR="00AA0A17">
        <w:t>.</w:t>
      </w:r>
      <w:r w:rsidR="001100FA">
        <w:t xml:space="preserve"> </w:t>
      </w:r>
    </w:p>
  </w:footnote>
  <w:footnote w:id="28">
    <w:p w14:paraId="4297D824" w14:textId="7BA10400" w:rsidR="00ED29C4" w:rsidRDefault="00ED29C4">
      <w:pPr>
        <w:pStyle w:val="FootnoteText"/>
      </w:pPr>
      <w:r>
        <w:rPr>
          <w:rStyle w:val="FootnoteReference"/>
        </w:rPr>
        <w:footnoteRef/>
      </w:r>
      <w:r>
        <w:t xml:space="preserve"> </w:t>
      </w:r>
      <w:r w:rsidRPr="00ED29C4">
        <w:rPr>
          <w:szCs w:val="17"/>
        </w:rPr>
        <w:t xml:space="preserve">The report was published on 12 August 2025. See </w:t>
      </w:r>
      <w:hyperlink r:id="rId5">
        <w:r w:rsidRPr="00ED29C4">
          <w:rPr>
            <w:rStyle w:val="Hyperlink"/>
            <w:szCs w:val="17"/>
            <w:lang w:eastAsia="en-NZ"/>
          </w:rPr>
          <w:t>Section 99 inspection of Canterbury Mental Health Services</w:t>
        </w:r>
      </w:hyperlink>
      <w:r w:rsidRPr="00ED29C4">
        <w:rPr>
          <w:szCs w:val="17"/>
          <w:lang w:eastAsia="en-NZ"/>
        </w:rPr>
        <w:t xml:space="preserve"> on</w:t>
      </w:r>
      <w:r w:rsidRPr="00ED29C4">
        <w:rPr>
          <w:szCs w:val="17"/>
        </w:rPr>
        <w:t xml:space="preserve"> the Ministry’s website for further information. This will be included in the </w:t>
      </w:r>
      <w:r w:rsidR="00477BD2">
        <w:rPr>
          <w:szCs w:val="17"/>
        </w:rPr>
        <w:t xml:space="preserve">annual report for the </w:t>
      </w:r>
      <w:r w:rsidRPr="00ED29C4">
        <w:rPr>
          <w:szCs w:val="17"/>
        </w:rPr>
        <w:t>financial year 2025/26.</w:t>
      </w:r>
    </w:p>
  </w:footnote>
  <w:footnote w:id="29">
    <w:p w14:paraId="0DC6EA1F" w14:textId="33793725" w:rsidR="001517D6" w:rsidRPr="001517D6" w:rsidRDefault="001517D6" w:rsidP="001517D6">
      <w:pPr>
        <w:ind w:left="284" w:hanging="284"/>
        <w:rPr>
          <w:sz w:val="17"/>
          <w:szCs w:val="17"/>
        </w:rPr>
      </w:pPr>
      <w:r w:rsidRPr="00E56ED0">
        <w:rPr>
          <w:rStyle w:val="FootnoteReference"/>
          <w:sz w:val="17"/>
          <w:szCs w:val="17"/>
        </w:rPr>
        <w:footnoteRef/>
      </w:r>
      <w:r w:rsidRPr="00E56ED0">
        <w:rPr>
          <w:sz w:val="17"/>
          <w:szCs w:val="17"/>
        </w:rPr>
        <w:t xml:space="preserve"> </w:t>
      </w:r>
      <w:r w:rsidRPr="001517D6">
        <w:rPr>
          <w:sz w:val="17"/>
          <w:szCs w:val="17"/>
        </w:rPr>
        <w:t>In addition, in April 2025, the Director requested a district inspector begin a section 95 inquiry in relation to the misidentification of a patient in Waikato. For more information, see</w:t>
      </w:r>
      <w:r w:rsidRPr="001517D6">
        <w:rPr>
          <w:sz w:val="17"/>
          <w:szCs w:val="17"/>
          <w:lang w:eastAsia="en-NZ"/>
        </w:rPr>
        <w:t xml:space="preserve"> </w:t>
      </w:r>
      <w:hyperlink r:id="rId6" w:history="1">
        <w:r w:rsidRPr="001517D6">
          <w:rPr>
            <w:rStyle w:val="Hyperlink"/>
            <w:sz w:val="17"/>
            <w:szCs w:val="17"/>
            <w:lang w:eastAsia="en-NZ"/>
          </w:rPr>
          <w:t>Section 95 inquiry into the treatment of a patient at Waikato Hospital</w:t>
        </w:r>
      </w:hyperlink>
      <w:r w:rsidRPr="001517D6">
        <w:rPr>
          <w:sz w:val="17"/>
          <w:szCs w:val="17"/>
        </w:rPr>
        <w:t xml:space="preserve"> on the Ministry’s website. </w:t>
      </w:r>
    </w:p>
    <w:p w14:paraId="6330E036" w14:textId="231051F9" w:rsidR="001517D6" w:rsidRDefault="001517D6">
      <w:pPr>
        <w:pStyle w:val="FootnoteText"/>
      </w:pPr>
    </w:p>
  </w:footnote>
  <w:footnote w:id="30">
    <w:p w14:paraId="03CA300F" w14:textId="3C5436A9" w:rsidR="00535C2F" w:rsidRPr="00ED2B1F" w:rsidRDefault="00535C2F" w:rsidP="00BB7D17">
      <w:pPr>
        <w:pStyle w:val="FootnoteText"/>
      </w:pPr>
      <w:r w:rsidRPr="00ED2B1F">
        <w:rPr>
          <w:rStyle w:val="FootnoteReference"/>
        </w:rPr>
        <w:footnoteRef/>
      </w:r>
      <w:r w:rsidRPr="00ED2B1F">
        <w:t xml:space="preserve"> Sources: PRIMHD data (extracted </w:t>
      </w:r>
      <w:r w:rsidR="00955846" w:rsidRPr="00ED2B1F">
        <w:t>10 June 2025</w:t>
      </w:r>
      <w:r w:rsidRPr="00ED2B1F">
        <w:t xml:space="preserve">) and manual data for </w:t>
      </w:r>
      <w:r w:rsidR="0057268E" w:rsidRPr="00ED2B1F">
        <w:t xml:space="preserve">Health New Zealand Capital </w:t>
      </w:r>
      <w:r w:rsidR="000C673F" w:rsidRPr="00ED2B1F">
        <w:t xml:space="preserve">&amp; </w:t>
      </w:r>
      <w:r w:rsidR="0057268E" w:rsidRPr="00ED2B1F">
        <w:t>Coast, Hawke’s Bay, Southern and Waikato</w:t>
      </w:r>
      <w:r w:rsidRPr="00ED2B1F">
        <w:t>.</w:t>
      </w:r>
    </w:p>
  </w:footnote>
  <w:footnote w:id="31">
    <w:p w14:paraId="3D572117" w14:textId="549B8FB4" w:rsidR="00535C2F" w:rsidRPr="00ED2B1F" w:rsidRDefault="00535C2F" w:rsidP="00E96DD0">
      <w:pPr>
        <w:pStyle w:val="FootnoteText"/>
      </w:pPr>
      <w:r w:rsidRPr="00ED2B1F">
        <w:rPr>
          <w:rStyle w:val="FootnoteReference"/>
        </w:rPr>
        <w:footnoteRef/>
      </w:r>
      <w:r w:rsidRPr="00ED2B1F">
        <w:t xml:space="preserve"> The Mental Health Review Tribunal is an independent body that the Minister of Health appoints under the Mental Health Act. For more information, see the Mental Health Review Tribunal webpage on the Ministry’s website at: </w:t>
      </w:r>
      <w:hyperlink r:id="rId7" w:history="1">
        <w:r w:rsidRPr="00ED2B1F">
          <w:rPr>
            <w:rStyle w:val="Hyperlink"/>
          </w:rPr>
          <w:t>health.govt.nz/about-us/new-zealands-health-system/health-system-roles-and-organisations/health-committees-and-boards/mental-health-review-tribunal</w:t>
        </w:r>
      </w:hyperlink>
      <w:r w:rsidRPr="00ED2B1F">
        <w:t xml:space="preserve"> (accessed </w:t>
      </w:r>
      <w:r w:rsidR="00487468" w:rsidRPr="00ED2B1F">
        <w:t>14 January 2026</w:t>
      </w:r>
      <w:r w:rsidRPr="00ED2B1F">
        <w:t>).</w:t>
      </w:r>
    </w:p>
  </w:footnote>
  <w:footnote w:id="32">
    <w:p w14:paraId="24BEC628" w14:textId="547518F7" w:rsidR="00535C2F" w:rsidRPr="00ED2B1F" w:rsidRDefault="00535C2F" w:rsidP="00E96DD0">
      <w:pPr>
        <w:pStyle w:val="FootnoteText"/>
        <w:rPr>
          <w:i/>
          <w:iCs/>
        </w:rPr>
      </w:pPr>
      <w:r w:rsidRPr="00ED2B1F">
        <w:rPr>
          <w:rStyle w:val="FootnoteReference"/>
        </w:rPr>
        <w:footnoteRef/>
      </w:r>
      <w:r w:rsidRPr="00ED2B1F">
        <w:t xml:space="preserve"> For more information, see Ministry of Health. 2014. </w:t>
      </w:r>
      <w:r w:rsidRPr="00ED2B1F">
        <w:rPr>
          <w:i/>
          <w:iCs/>
        </w:rPr>
        <w:t>Specialist Opioid Substitution Treatment (OST) Service Audit and Review Tool</w:t>
      </w:r>
      <w:r w:rsidRPr="00ED2B1F">
        <w:t xml:space="preserve">. URL: </w:t>
      </w:r>
      <w:hyperlink r:id="rId8" w:history="1">
        <w:r w:rsidRPr="00ED2B1F">
          <w:rPr>
            <w:rStyle w:val="Hyperlink"/>
          </w:rPr>
          <w:t>health.govt.nz/publications/specialist-opioid-substitution-treatment-ost-service-audit-and-review-tool</w:t>
        </w:r>
      </w:hyperlink>
      <w:r w:rsidRPr="00ED2B1F">
        <w:t xml:space="preserve"> (accessed </w:t>
      </w:r>
      <w:r w:rsidR="006D3368" w:rsidRPr="00ED2B1F">
        <w:t>21 November 2025</w:t>
      </w:r>
      <w:r w:rsidRPr="00ED2B1F">
        <w:t>).</w:t>
      </w:r>
    </w:p>
  </w:footnote>
  <w:footnote w:id="33">
    <w:p w14:paraId="45C4A09B" w14:textId="2CA5D751" w:rsidR="00535C2F" w:rsidRPr="00ED2B1F" w:rsidRDefault="00535C2F" w:rsidP="00E96DD0">
      <w:pPr>
        <w:pStyle w:val="FootnoteText"/>
      </w:pPr>
      <w:r w:rsidRPr="00ED2B1F">
        <w:rPr>
          <w:rStyle w:val="FootnoteReference"/>
        </w:rPr>
        <w:footnoteRef/>
      </w:r>
      <w:r w:rsidRPr="00ED2B1F">
        <w:t xml:space="preserve"> Ministry of Health. 20</w:t>
      </w:r>
      <w:r w:rsidR="00636CF3" w:rsidRPr="00ED2B1F">
        <w:t>25</w:t>
      </w:r>
      <w:r w:rsidRPr="00ED2B1F">
        <w:t xml:space="preserve">. </w:t>
      </w:r>
      <w:r w:rsidRPr="00ED2B1F">
        <w:rPr>
          <w:i/>
          <w:iCs/>
        </w:rPr>
        <w:t>New Zealand Practice Guidelines for Opioid Substitution Treatment</w:t>
      </w:r>
      <w:r w:rsidR="00636CF3" w:rsidRPr="00ED2B1F">
        <w:rPr>
          <w:i/>
          <w:iCs/>
        </w:rPr>
        <w:t xml:space="preserve"> 2025</w:t>
      </w:r>
      <w:r w:rsidRPr="00ED2B1F">
        <w:rPr>
          <w:i/>
          <w:iCs/>
        </w:rPr>
        <w:t xml:space="preserve">. </w:t>
      </w:r>
      <w:r w:rsidRPr="00ED2B1F">
        <w:t>URL:</w:t>
      </w:r>
      <w:r w:rsidR="001E260C" w:rsidRPr="00ED2B1F">
        <w:t xml:space="preserve"> </w:t>
      </w:r>
      <w:hyperlink r:id="rId9" w:history="1">
        <w:r w:rsidR="001E260C" w:rsidRPr="00ED2B1F">
          <w:rPr>
            <w:rStyle w:val="Hyperlink"/>
          </w:rPr>
          <w:t>health.govt.nz/publications/new-zealand-practice-guidelines-for-opioid-substitution-treatment-2025</w:t>
        </w:r>
      </w:hyperlink>
      <w:r w:rsidR="001E260C" w:rsidRPr="00ED2B1F">
        <w:t xml:space="preserve"> </w:t>
      </w:r>
      <w:r w:rsidRPr="00ED2B1F">
        <w:t xml:space="preserve">(accessed </w:t>
      </w:r>
      <w:r w:rsidR="001E260C" w:rsidRPr="00ED2B1F">
        <w:t>21 November 2025).</w:t>
      </w:r>
    </w:p>
  </w:footnote>
  <w:footnote w:id="34">
    <w:p w14:paraId="23523D5E" w14:textId="6D86B2CD" w:rsidR="00535C2F" w:rsidRDefault="00535C2F" w:rsidP="00E96DD0">
      <w:pPr>
        <w:pStyle w:val="FootnoteText"/>
      </w:pPr>
      <w:r w:rsidRPr="00ED2B1F">
        <w:rPr>
          <w:rStyle w:val="FootnoteReference"/>
        </w:rPr>
        <w:footnoteRef/>
      </w:r>
      <w:r w:rsidRPr="00ED2B1F">
        <w:t xml:space="preserve"> Source: Data provided by OST services in six-monthly reports. These six-monthly reports do not collect data by National Health Index numbers. Instead, the national total is a sum of the district figures, so it may double-count people who received services from more than one district.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35C2F" w:rsidRPr="00ED2B1F" w14:paraId="11530A0D" w14:textId="77777777" w:rsidTr="008F2B72">
      <w:trPr>
        <w:cantSplit/>
      </w:trPr>
      <w:tc>
        <w:tcPr>
          <w:tcW w:w="5210" w:type="dxa"/>
          <w:vAlign w:val="center"/>
        </w:tcPr>
        <w:p w14:paraId="2BDE3162" w14:textId="4E67EED4" w:rsidR="00535C2F" w:rsidRPr="00ED2B1F" w:rsidRDefault="00535C2F" w:rsidP="00B26F0F">
          <w:pPr>
            <w:pStyle w:val="Header"/>
          </w:pPr>
          <w:r w:rsidRPr="00ED2B1F">
            <w:rPr>
              <w:noProof/>
              <w:lang w:eastAsia="en-NZ"/>
            </w:rPr>
            <w:drawing>
              <wp:inline distT="0" distB="0" distL="0" distR="0" wp14:anchorId="04421456" wp14:editId="69D58FFF">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35C2F" w:rsidRPr="00ED2B1F" w:rsidRDefault="00535C2F" w:rsidP="00497F1D">
          <w:pPr>
            <w:pStyle w:val="Header"/>
            <w:jc w:val="right"/>
          </w:pPr>
          <w:r w:rsidRPr="00ED2B1F">
            <w:rPr>
              <w:noProof/>
            </w:rPr>
            <w:drawing>
              <wp:anchor distT="0" distB="0" distL="114300" distR="114300" simplePos="0" relativeHeight="251658240" behindDoc="0" locked="0" layoutInCell="1" allowOverlap="1" wp14:anchorId="1D75C094" wp14:editId="038DECAD">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35C2F" w:rsidRPr="00ED2B1F" w:rsidRDefault="00535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E4F" w14:textId="77777777" w:rsidR="00535C2F" w:rsidRPr="00ED2B1F" w:rsidRDefault="00535C2F"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7B0" w14:textId="77777777" w:rsidR="00535C2F" w:rsidRPr="00ED2B1F" w:rsidRDefault="00535C2F"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535C2F" w:rsidRPr="00ED2B1F" w:rsidRDefault="00535C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5C2F" w:rsidRPr="00ED2B1F" w14:paraId="10D879D6" w14:textId="77777777" w:rsidTr="00497F1D">
      <w:trPr>
        <w:trHeight w:val="300"/>
      </w:trPr>
      <w:tc>
        <w:tcPr>
          <w:tcW w:w="3005" w:type="dxa"/>
        </w:tcPr>
        <w:p w14:paraId="2E9F3F9F" w14:textId="77777777" w:rsidR="00535C2F" w:rsidRPr="00ED2B1F" w:rsidRDefault="00535C2F" w:rsidP="00497F1D">
          <w:pPr>
            <w:pStyle w:val="Header"/>
            <w:ind w:left="-115"/>
          </w:pPr>
        </w:p>
      </w:tc>
      <w:tc>
        <w:tcPr>
          <w:tcW w:w="3005" w:type="dxa"/>
        </w:tcPr>
        <w:p w14:paraId="2E588DD4" w14:textId="77777777" w:rsidR="00535C2F" w:rsidRPr="00ED2B1F" w:rsidRDefault="00535C2F" w:rsidP="00497F1D">
          <w:pPr>
            <w:pStyle w:val="Header"/>
            <w:jc w:val="center"/>
          </w:pPr>
        </w:p>
      </w:tc>
      <w:tc>
        <w:tcPr>
          <w:tcW w:w="3005" w:type="dxa"/>
        </w:tcPr>
        <w:p w14:paraId="1645DA68" w14:textId="77777777" w:rsidR="00535C2F" w:rsidRPr="00ED2B1F" w:rsidRDefault="00535C2F" w:rsidP="00497F1D">
          <w:pPr>
            <w:pStyle w:val="Header"/>
            <w:ind w:right="-115"/>
            <w:jc w:val="right"/>
          </w:pPr>
        </w:p>
      </w:tc>
    </w:tr>
  </w:tbl>
  <w:p w14:paraId="5BC6C71B" w14:textId="77777777" w:rsidR="00535C2F" w:rsidRPr="00ED2B1F" w:rsidRDefault="00535C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5C2F" w:rsidRPr="00ED2B1F" w14:paraId="2222D8A6" w14:textId="77777777" w:rsidTr="00497F1D">
      <w:trPr>
        <w:trHeight w:val="300"/>
      </w:trPr>
      <w:tc>
        <w:tcPr>
          <w:tcW w:w="3005" w:type="dxa"/>
        </w:tcPr>
        <w:p w14:paraId="3B6F400A" w14:textId="77777777" w:rsidR="00535C2F" w:rsidRPr="00ED2B1F" w:rsidRDefault="00535C2F" w:rsidP="00497F1D">
          <w:pPr>
            <w:pStyle w:val="Header"/>
            <w:ind w:left="-115"/>
          </w:pPr>
        </w:p>
      </w:tc>
      <w:tc>
        <w:tcPr>
          <w:tcW w:w="3005" w:type="dxa"/>
        </w:tcPr>
        <w:p w14:paraId="35F881A5" w14:textId="77777777" w:rsidR="00535C2F" w:rsidRPr="00ED2B1F" w:rsidRDefault="00535C2F" w:rsidP="00497F1D">
          <w:pPr>
            <w:pStyle w:val="Header"/>
            <w:jc w:val="center"/>
          </w:pPr>
        </w:p>
      </w:tc>
      <w:tc>
        <w:tcPr>
          <w:tcW w:w="3005" w:type="dxa"/>
        </w:tcPr>
        <w:p w14:paraId="199271C2" w14:textId="77777777" w:rsidR="00535C2F" w:rsidRPr="00ED2B1F" w:rsidRDefault="00535C2F" w:rsidP="00497F1D">
          <w:pPr>
            <w:pStyle w:val="Header"/>
            <w:ind w:right="-115"/>
            <w:jc w:val="right"/>
          </w:pPr>
        </w:p>
      </w:tc>
    </w:tr>
  </w:tbl>
  <w:p w14:paraId="2DDE227C" w14:textId="77777777" w:rsidR="00535C2F" w:rsidRPr="00ED2B1F" w:rsidRDefault="00535C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5C2F" w:rsidRPr="00ED2B1F" w14:paraId="61CAA6B2" w14:textId="77777777" w:rsidTr="00497F1D">
      <w:trPr>
        <w:trHeight w:val="300"/>
      </w:trPr>
      <w:tc>
        <w:tcPr>
          <w:tcW w:w="3005" w:type="dxa"/>
        </w:tcPr>
        <w:p w14:paraId="0B6854F0" w14:textId="77777777" w:rsidR="00535C2F" w:rsidRPr="00ED2B1F" w:rsidRDefault="00535C2F" w:rsidP="00497F1D">
          <w:pPr>
            <w:pStyle w:val="Header"/>
            <w:ind w:left="-115"/>
          </w:pPr>
        </w:p>
      </w:tc>
      <w:tc>
        <w:tcPr>
          <w:tcW w:w="3005" w:type="dxa"/>
        </w:tcPr>
        <w:p w14:paraId="3C8F33E9" w14:textId="77777777" w:rsidR="00535C2F" w:rsidRPr="00ED2B1F" w:rsidRDefault="00535C2F" w:rsidP="00497F1D">
          <w:pPr>
            <w:pStyle w:val="Header"/>
            <w:jc w:val="center"/>
          </w:pPr>
        </w:p>
      </w:tc>
      <w:tc>
        <w:tcPr>
          <w:tcW w:w="3005" w:type="dxa"/>
        </w:tcPr>
        <w:p w14:paraId="5CC73860" w14:textId="77777777" w:rsidR="00535C2F" w:rsidRPr="00ED2B1F" w:rsidRDefault="00535C2F" w:rsidP="00497F1D">
          <w:pPr>
            <w:pStyle w:val="Header"/>
            <w:ind w:right="-115"/>
            <w:jc w:val="right"/>
          </w:pPr>
        </w:p>
      </w:tc>
    </w:tr>
  </w:tbl>
  <w:p w14:paraId="3669E31D" w14:textId="77777777" w:rsidR="00535C2F" w:rsidRPr="00ED2B1F" w:rsidRDefault="00535C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35C2F" w:rsidRPr="00ED2B1F" w14:paraId="4BF76330" w14:textId="77777777" w:rsidTr="00497F1D">
      <w:trPr>
        <w:trHeight w:val="300"/>
      </w:trPr>
      <w:tc>
        <w:tcPr>
          <w:tcW w:w="3005" w:type="dxa"/>
        </w:tcPr>
        <w:p w14:paraId="41B14BD7" w14:textId="77777777" w:rsidR="00535C2F" w:rsidRPr="00ED2B1F" w:rsidRDefault="00535C2F" w:rsidP="00497F1D">
          <w:pPr>
            <w:pStyle w:val="Header"/>
            <w:ind w:left="-115"/>
          </w:pPr>
        </w:p>
      </w:tc>
      <w:tc>
        <w:tcPr>
          <w:tcW w:w="3005" w:type="dxa"/>
        </w:tcPr>
        <w:p w14:paraId="49B741A9" w14:textId="77777777" w:rsidR="00535C2F" w:rsidRPr="00ED2B1F" w:rsidRDefault="00535C2F" w:rsidP="00497F1D">
          <w:pPr>
            <w:pStyle w:val="Header"/>
            <w:jc w:val="center"/>
          </w:pPr>
        </w:p>
      </w:tc>
      <w:tc>
        <w:tcPr>
          <w:tcW w:w="3005" w:type="dxa"/>
        </w:tcPr>
        <w:p w14:paraId="165EBFF9" w14:textId="77777777" w:rsidR="00535C2F" w:rsidRPr="00ED2B1F" w:rsidRDefault="00535C2F" w:rsidP="00497F1D">
          <w:pPr>
            <w:pStyle w:val="Header"/>
            <w:ind w:right="-115"/>
            <w:jc w:val="right"/>
          </w:pPr>
        </w:p>
      </w:tc>
    </w:tr>
  </w:tbl>
  <w:p w14:paraId="6CA4F6F6" w14:textId="77777777" w:rsidR="00535C2F" w:rsidRPr="00ED2B1F" w:rsidRDefault="00535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DE9E22"/>
    <w:lvl w:ilvl="0">
      <w:start w:val="1"/>
      <w:numFmt w:val="decimal"/>
      <w:pStyle w:val="ListNumber"/>
      <w:lvlText w:val="%1."/>
      <w:lvlJc w:val="left"/>
      <w:pPr>
        <w:tabs>
          <w:tab w:val="num" w:pos="360"/>
        </w:tabs>
        <w:ind w:left="360" w:hanging="360"/>
      </w:p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9158DC"/>
    <w:multiLevelType w:val="hybridMultilevel"/>
    <w:tmpl w:val="65363454"/>
    <w:lvl w:ilvl="0" w:tplc="7B6EC8E2">
      <w:numFmt w:val="bullet"/>
      <w:lvlText w:val="•"/>
      <w:lvlJc w:val="left"/>
      <w:pPr>
        <w:ind w:left="780" w:hanging="78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5"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8"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10"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5"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6" w15:restartNumberingAfterBreak="0">
    <w:nsid w:val="29317815"/>
    <w:multiLevelType w:val="hybridMultilevel"/>
    <w:tmpl w:val="26E6A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8"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9" w15:restartNumberingAfterBreak="0">
    <w:nsid w:val="318C1677"/>
    <w:multiLevelType w:val="hybridMultilevel"/>
    <w:tmpl w:val="31A267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C460E19"/>
    <w:multiLevelType w:val="hybridMultilevel"/>
    <w:tmpl w:val="90546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FC3B6A"/>
    <w:multiLevelType w:val="hybridMultilevel"/>
    <w:tmpl w:val="2D14E098"/>
    <w:lvl w:ilvl="0" w:tplc="7B6EC8E2">
      <w:numFmt w:val="bullet"/>
      <w:lvlText w:val="•"/>
      <w:lvlJc w:val="left"/>
      <w:pPr>
        <w:ind w:left="1140" w:hanging="78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5"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6" w15:restartNumberingAfterBreak="0">
    <w:nsid w:val="4F693680"/>
    <w:multiLevelType w:val="hybridMultilevel"/>
    <w:tmpl w:val="0906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5F1C0687"/>
    <w:multiLevelType w:val="hybridMultilevel"/>
    <w:tmpl w:val="13AC1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4683B06"/>
    <w:multiLevelType w:val="hybridMultilevel"/>
    <w:tmpl w:val="36944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7C22D33"/>
    <w:multiLevelType w:val="hybridMultilevel"/>
    <w:tmpl w:val="8A00A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091048799">
    <w:abstractNumId w:val="40"/>
  </w:num>
  <w:num w:numId="2" w16cid:durableId="328215418">
    <w:abstractNumId w:val="32"/>
  </w:num>
  <w:num w:numId="3" w16cid:durableId="1543439260">
    <w:abstractNumId w:val="21"/>
  </w:num>
  <w:num w:numId="4" w16cid:durableId="50546588">
    <w:abstractNumId w:val="22"/>
  </w:num>
  <w:num w:numId="5" w16cid:durableId="442191728">
    <w:abstractNumId w:val="2"/>
  </w:num>
  <w:num w:numId="6" w16cid:durableId="2140107170">
    <w:abstractNumId w:val="42"/>
  </w:num>
  <w:num w:numId="7" w16cid:durableId="1936477723">
    <w:abstractNumId w:val="15"/>
  </w:num>
  <w:num w:numId="8" w16cid:durableId="1583562581">
    <w:abstractNumId w:val="5"/>
  </w:num>
  <w:num w:numId="9" w16cid:durableId="1430737121">
    <w:abstractNumId w:val="39"/>
  </w:num>
  <w:num w:numId="10" w16cid:durableId="334500591">
    <w:abstractNumId w:val="4"/>
  </w:num>
  <w:num w:numId="11" w16cid:durableId="1198739022">
    <w:abstractNumId w:val="36"/>
  </w:num>
  <w:num w:numId="12" w16cid:durableId="776364099">
    <w:abstractNumId w:val="6"/>
  </w:num>
  <w:num w:numId="13" w16cid:durableId="1574775098">
    <w:abstractNumId w:val="10"/>
  </w:num>
  <w:num w:numId="14" w16cid:durableId="966394992">
    <w:abstractNumId w:val="8"/>
  </w:num>
  <w:num w:numId="15" w16cid:durableId="1640576176">
    <w:abstractNumId w:val="11"/>
  </w:num>
  <w:num w:numId="16" w16cid:durableId="851146891">
    <w:abstractNumId w:val="27"/>
  </w:num>
  <w:num w:numId="17" w16cid:durableId="815295768">
    <w:abstractNumId w:val="13"/>
  </w:num>
  <w:num w:numId="18" w16cid:durableId="1238056866">
    <w:abstractNumId w:val="34"/>
  </w:num>
  <w:num w:numId="19" w16cid:durableId="1228417670">
    <w:abstractNumId w:val="14"/>
  </w:num>
  <w:num w:numId="20" w16cid:durableId="130024203">
    <w:abstractNumId w:val="25"/>
  </w:num>
  <w:num w:numId="21" w16cid:durableId="1485121534">
    <w:abstractNumId w:val="9"/>
  </w:num>
  <w:num w:numId="22" w16cid:durableId="70664626">
    <w:abstractNumId w:val="7"/>
  </w:num>
  <w:num w:numId="23" w16cid:durableId="1676422666">
    <w:abstractNumId w:val="29"/>
  </w:num>
  <w:num w:numId="24" w16cid:durableId="984315936">
    <w:abstractNumId w:val="28"/>
  </w:num>
  <w:num w:numId="25" w16cid:durableId="762065321">
    <w:abstractNumId w:val="41"/>
  </w:num>
  <w:num w:numId="26" w16cid:durableId="1763145202">
    <w:abstractNumId w:val="17"/>
  </w:num>
  <w:num w:numId="27" w16cid:durableId="2034377048">
    <w:abstractNumId w:val="35"/>
  </w:num>
  <w:num w:numId="28" w16cid:durableId="1180435832">
    <w:abstractNumId w:val="33"/>
  </w:num>
  <w:num w:numId="29" w16cid:durableId="1846551317">
    <w:abstractNumId w:val="24"/>
  </w:num>
  <w:num w:numId="30" w16cid:durableId="804738864">
    <w:abstractNumId w:val="12"/>
  </w:num>
  <w:num w:numId="31" w16cid:durableId="100496334">
    <w:abstractNumId w:val="38"/>
  </w:num>
  <w:num w:numId="32" w16cid:durableId="1237204407">
    <w:abstractNumId w:val="18"/>
  </w:num>
  <w:num w:numId="33" w16cid:durableId="1457875100">
    <w:abstractNumId w:val="37"/>
  </w:num>
  <w:num w:numId="34" w16cid:durableId="1272473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025742">
    <w:abstractNumId w:val="16"/>
  </w:num>
  <w:num w:numId="36" w16cid:durableId="769131573">
    <w:abstractNumId w:val="20"/>
  </w:num>
  <w:num w:numId="37" w16cid:durableId="1309164077">
    <w:abstractNumId w:val="31"/>
  </w:num>
  <w:num w:numId="38" w16cid:durableId="1850291307">
    <w:abstractNumId w:val="0"/>
  </w:num>
  <w:num w:numId="39" w16cid:durableId="1631083897">
    <w:abstractNumId w:val="19"/>
  </w:num>
  <w:num w:numId="40" w16cid:durableId="793522584">
    <w:abstractNumId w:val="26"/>
  </w:num>
  <w:num w:numId="41" w16cid:durableId="1444887842">
    <w:abstractNumId w:val="40"/>
  </w:num>
  <w:num w:numId="42" w16cid:durableId="1098909184">
    <w:abstractNumId w:val="40"/>
  </w:num>
  <w:num w:numId="43" w16cid:durableId="20664424">
    <w:abstractNumId w:val="30"/>
  </w:num>
  <w:num w:numId="44" w16cid:durableId="478350194">
    <w:abstractNumId w:val="23"/>
  </w:num>
  <w:num w:numId="45" w16cid:durableId="17061187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425"/>
    <w:rsid w:val="000014A9"/>
    <w:rsid w:val="000017B6"/>
    <w:rsid w:val="000025B8"/>
    <w:rsid w:val="00003066"/>
    <w:rsid w:val="000036A2"/>
    <w:rsid w:val="00003B51"/>
    <w:rsid w:val="00003B5A"/>
    <w:rsid w:val="000040F3"/>
    <w:rsid w:val="000048BD"/>
    <w:rsid w:val="00005291"/>
    <w:rsid w:val="00005356"/>
    <w:rsid w:val="00005378"/>
    <w:rsid w:val="000056B6"/>
    <w:rsid w:val="0000598C"/>
    <w:rsid w:val="00005A71"/>
    <w:rsid w:val="00005BB5"/>
    <w:rsid w:val="00005E1E"/>
    <w:rsid w:val="00005E40"/>
    <w:rsid w:val="000065FD"/>
    <w:rsid w:val="00006628"/>
    <w:rsid w:val="00006EEB"/>
    <w:rsid w:val="000073F8"/>
    <w:rsid w:val="00010479"/>
    <w:rsid w:val="00010984"/>
    <w:rsid w:val="00010DE1"/>
    <w:rsid w:val="00011AAE"/>
    <w:rsid w:val="000129B6"/>
    <w:rsid w:val="00013005"/>
    <w:rsid w:val="00013ABB"/>
    <w:rsid w:val="00014121"/>
    <w:rsid w:val="00014331"/>
    <w:rsid w:val="00015351"/>
    <w:rsid w:val="00015C5F"/>
    <w:rsid w:val="00015F8C"/>
    <w:rsid w:val="000168DB"/>
    <w:rsid w:val="00016A15"/>
    <w:rsid w:val="00017006"/>
    <w:rsid w:val="00017E41"/>
    <w:rsid w:val="000201FF"/>
    <w:rsid w:val="0002087C"/>
    <w:rsid w:val="00020F7E"/>
    <w:rsid w:val="00020FBE"/>
    <w:rsid w:val="000210D1"/>
    <w:rsid w:val="000216EC"/>
    <w:rsid w:val="00023706"/>
    <w:rsid w:val="00023919"/>
    <w:rsid w:val="000239CA"/>
    <w:rsid w:val="0002532F"/>
    <w:rsid w:val="0002537A"/>
    <w:rsid w:val="00025544"/>
    <w:rsid w:val="00025A6F"/>
    <w:rsid w:val="0002618D"/>
    <w:rsid w:val="00026474"/>
    <w:rsid w:val="000268F3"/>
    <w:rsid w:val="00026AD4"/>
    <w:rsid w:val="00026CD6"/>
    <w:rsid w:val="00027254"/>
    <w:rsid w:val="00027256"/>
    <w:rsid w:val="00027DE5"/>
    <w:rsid w:val="00030114"/>
    <w:rsid w:val="000306D0"/>
    <w:rsid w:val="00030B26"/>
    <w:rsid w:val="00030E84"/>
    <w:rsid w:val="00031223"/>
    <w:rsid w:val="000319E2"/>
    <w:rsid w:val="00031A6D"/>
    <w:rsid w:val="00031B7E"/>
    <w:rsid w:val="0003222A"/>
    <w:rsid w:val="0003229A"/>
    <w:rsid w:val="0003287E"/>
    <w:rsid w:val="00032A4D"/>
    <w:rsid w:val="00032C0A"/>
    <w:rsid w:val="00032E86"/>
    <w:rsid w:val="0003316C"/>
    <w:rsid w:val="0003325A"/>
    <w:rsid w:val="0003458E"/>
    <w:rsid w:val="00034E3F"/>
    <w:rsid w:val="00034F8F"/>
    <w:rsid w:val="00035257"/>
    <w:rsid w:val="00035D68"/>
    <w:rsid w:val="000362C5"/>
    <w:rsid w:val="00037315"/>
    <w:rsid w:val="00037F41"/>
    <w:rsid w:val="0004050B"/>
    <w:rsid w:val="000407A3"/>
    <w:rsid w:val="00041913"/>
    <w:rsid w:val="000420E5"/>
    <w:rsid w:val="00044CA7"/>
    <w:rsid w:val="0004526F"/>
    <w:rsid w:val="000453F5"/>
    <w:rsid w:val="000455F2"/>
    <w:rsid w:val="00045723"/>
    <w:rsid w:val="00047F14"/>
    <w:rsid w:val="00047FFE"/>
    <w:rsid w:val="00051048"/>
    <w:rsid w:val="0005164F"/>
    <w:rsid w:val="000529AE"/>
    <w:rsid w:val="0005345E"/>
    <w:rsid w:val="00054B44"/>
    <w:rsid w:val="00055FEF"/>
    <w:rsid w:val="00057DE6"/>
    <w:rsid w:val="0006228D"/>
    <w:rsid w:val="000636A4"/>
    <w:rsid w:val="00063D95"/>
    <w:rsid w:val="00063F74"/>
    <w:rsid w:val="000645CB"/>
    <w:rsid w:val="00064D89"/>
    <w:rsid w:val="00064F36"/>
    <w:rsid w:val="00064FD3"/>
    <w:rsid w:val="00065389"/>
    <w:rsid w:val="000657A0"/>
    <w:rsid w:val="0006658D"/>
    <w:rsid w:val="000666C4"/>
    <w:rsid w:val="000668F1"/>
    <w:rsid w:val="00066A8C"/>
    <w:rsid w:val="00066B9E"/>
    <w:rsid w:val="00067FD7"/>
    <w:rsid w:val="00070BA3"/>
    <w:rsid w:val="00072515"/>
    <w:rsid w:val="000727CE"/>
    <w:rsid w:val="00072BD6"/>
    <w:rsid w:val="00073586"/>
    <w:rsid w:val="000736D1"/>
    <w:rsid w:val="00073D4B"/>
    <w:rsid w:val="00073E13"/>
    <w:rsid w:val="00074225"/>
    <w:rsid w:val="000744C9"/>
    <w:rsid w:val="00074FE6"/>
    <w:rsid w:val="000754CF"/>
    <w:rsid w:val="000755AE"/>
    <w:rsid w:val="00075B78"/>
    <w:rsid w:val="00075CBB"/>
    <w:rsid w:val="0007627B"/>
    <w:rsid w:val="000763E9"/>
    <w:rsid w:val="00076415"/>
    <w:rsid w:val="00076F75"/>
    <w:rsid w:val="0007747D"/>
    <w:rsid w:val="00077EED"/>
    <w:rsid w:val="00077F47"/>
    <w:rsid w:val="000803C3"/>
    <w:rsid w:val="000806D6"/>
    <w:rsid w:val="00080E47"/>
    <w:rsid w:val="00081303"/>
    <w:rsid w:val="000823E2"/>
    <w:rsid w:val="00082CD6"/>
    <w:rsid w:val="0008429A"/>
    <w:rsid w:val="0008437D"/>
    <w:rsid w:val="00085368"/>
    <w:rsid w:val="00085A0D"/>
    <w:rsid w:val="00085AFE"/>
    <w:rsid w:val="0008629D"/>
    <w:rsid w:val="000869F8"/>
    <w:rsid w:val="00086FB2"/>
    <w:rsid w:val="00086FF7"/>
    <w:rsid w:val="000874A8"/>
    <w:rsid w:val="00087579"/>
    <w:rsid w:val="000879F4"/>
    <w:rsid w:val="00087C13"/>
    <w:rsid w:val="00087FA5"/>
    <w:rsid w:val="00090527"/>
    <w:rsid w:val="0009127E"/>
    <w:rsid w:val="000923D7"/>
    <w:rsid w:val="000925DB"/>
    <w:rsid w:val="00092F20"/>
    <w:rsid w:val="00093D61"/>
    <w:rsid w:val="00093DA4"/>
    <w:rsid w:val="00094212"/>
    <w:rsid w:val="0009466B"/>
    <w:rsid w:val="00094800"/>
    <w:rsid w:val="0009548B"/>
    <w:rsid w:val="0009743D"/>
    <w:rsid w:val="000975A7"/>
    <w:rsid w:val="000979AA"/>
    <w:rsid w:val="000A029D"/>
    <w:rsid w:val="000A0304"/>
    <w:rsid w:val="000A0432"/>
    <w:rsid w:val="000A09EC"/>
    <w:rsid w:val="000A1EEE"/>
    <w:rsid w:val="000A2615"/>
    <w:rsid w:val="000A357C"/>
    <w:rsid w:val="000A398E"/>
    <w:rsid w:val="000A3B94"/>
    <w:rsid w:val="000A41ED"/>
    <w:rsid w:val="000A4235"/>
    <w:rsid w:val="000A4543"/>
    <w:rsid w:val="000A50C5"/>
    <w:rsid w:val="000A54D6"/>
    <w:rsid w:val="000A54E2"/>
    <w:rsid w:val="000A59DC"/>
    <w:rsid w:val="000A5BA1"/>
    <w:rsid w:val="000A654F"/>
    <w:rsid w:val="000A68F8"/>
    <w:rsid w:val="000B0117"/>
    <w:rsid w:val="000B0730"/>
    <w:rsid w:val="000B0CEE"/>
    <w:rsid w:val="000B0D16"/>
    <w:rsid w:val="000B0D2D"/>
    <w:rsid w:val="000B26A9"/>
    <w:rsid w:val="000B442B"/>
    <w:rsid w:val="000B4D05"/>
    <w:rsid w:val="000B51A2"/>
    <w:rsid w:val="000B51DA"/>
    <w:rsid w:val="000B5D68"/>
    <w:rsid w:val="000B5F90"/>
    <w:rsid w:val="000B61F9"/>
    <w:rsid w:val="000B6EA9"/>
    <w:rsid w:val="000B7077"/>
    <w:rsid w:val="000C0004"/>
    <w:rsid w:val="000C04D0"/>
    <w:rsid w:val="000C20CC"/>
    <w:rsid w:val="000C2761"/>
    <w:rsid w:val="000C5336"/>
    <w:rsid w:val="000C5FDA"/>
    <w:rsid w:val="000C6360"/>
    <w:rsid w:val="000C673F"/>
    <w:rsid w:val="000D04C5"/>
    <w:rsid w:val="000D0675"/>
    <w:rsid w:val="000D13A7"/>
    <w:rsid w:val="000D19F4"/>
    <w:rsid w:val="000D1C32"/>
    <w:rsid w:val="000D30E4"/>
    <w:rsid w:val="000D3CD4"/>
    <w:rsid w:val="000D3E83"/>
    <w:rsid w:val="000D407A"/>
    <w:rsid w:val="000D5308"/>
    <w:rsid w:val="000D58DD"/>
    <w:rsid w:val="000D6534"/>
    <w:rsid w:val="000D66A5"/>
    <w:rsid w:val="000D67E6"/>
    <w:rsid w:val="000D7292"/>
    <w:rsid w:val="000E1B81"/>
    <w:rsid w:val="000E1C46"/>
    <w:rsid w:val="000E2794"/>
    <w:rsid w:val="000E3020"/>
    <w:rsid w:val="000E360E"/>
    <w:rsid w:val="000E48B5"/>
    <w:rsid w:val="000E6321"/>
    <w:rsid w:val="000E6758"/>
    <w:rsid w:val="000E6CC4"/>
    <w:rsid w:val="000E7F75"/>
    <w:rsid w:val="000F03CA"/>
    <w:rsid w:val="000F0AF5"/>
    <w:rsid w:val="000F0F5E"/>
    <w:rsid w:val="000F16AF"/>
    <w:rsid w:val="000F2AE2"/>
    <w:rsid w:val="000F2BFF"/>
    <w:rsid w:val="000F4493"/>
    <w:rsid w:val="000F5627"/>
    <w:rsid w:val="000F589B"/>
    <w:rsid w:val="000F5DD4"/>
    <w:rsid w:val="000F6251"/>
    <w:rsid w:val="000F70BB"/>
    <w:rsid w:val="00100163"/>
    <w:rsid w:val="00100E0F"/>
    <w:rsid w:val="001014F3"/>
    <w:rsid w:val="00101AAD"/>
    <w:rsid w:val="00101C4D"/>
    <w:rsid w:val="00101D2B"/>
    <w:rsid w:val="00102063"/>
    <w:rsid w:val="001023E0"/>
    <w:rsid w:val="001028BB"/>
    <w:rsid w:val="0010352A"/>
    <w:rsid w:val="0010398E"/>
    <w:rsid w:val="00104496"/>
    <w:rsid w:val="00104B1A"/>
    <w:rsid w:val="0010541C"/>
    <w:rsid w:val="001054EA"/>
    <w:rsid w:val="001055D6"/>
    <w:rsid w:val="00105709"/>
    <w:rsid w:val="00106010"/>
    <w:rsid w:val="00106AD8"/>
    <w:rsid w:val="00106BC6"/>
    <w:rsid w:val="00106F93"/>
    <w:rsid w:val="0010708F"/>
    <w:rsid w:val="00107B36"/>
    <w:rsid w:val="00107B91"/>
    <w:rsid w:val="00107C82"/>
    <w:rsid w:val="001100FA"/>
    <w:rsid w:val="0011113E"/>
    <w:rsid w:val="00111370"/>
    <w:rsid w:val="00111405"/>
    <w:rsid w:val="0011153B"/>
    <w:rsid w:val="00111558"/>
    <w:rsid w:val="00111D50"/>
    <w:rsid w:val="00112043"/>
    <w:rsid w:val="00112550"/>
    <w:rsid w:val="001126C8"/>
    <w:rsid w:val="00112CBE"/>
    <w:rsid w:val="00112E52"/>
    <w:rsid w:val="00113567"/>
    <w:rsid w:val="00113B8E"/>
    <w:rsid w:val="00114D69"/>
    <w:rsid w:val="0011584E"/>
    <w:rsid w:val="00115C98"/>
    <w:rsid w:val="00116773"/>
    <w:rsid w:val="0011680E"/>
    <w:rsid w:val="00116EAD"/>
    <w:rsid w:val="0011736D"/>
    <w:rsid w:val="0012030D"/>
    <w:rsid w:val="0012041E"/>
    <w:rsid w:val="0012053C"/>
    <w:rsid w:val="00120F77"/>
    <w:rsid w:val="00121199"/>
    <w:rsid w:val="0012147C"/>
    <w:rsid w:val="001216F8"/>
    <w:rsid w:val="00122363"/>
    <w:rsid w:val="00122476"/>
    <w:rsid w:val="00122512"/>
    <w:rsid w:val="00124ACE"/>
    <w:rsid w:val="00126667"/>
    <w:rsid w:val="00127E24"/>
    <w:rsid w:val="0013012F"/>
    <w:rsid w:val="00131009"/>
    <w:rsid w:val="00131951"/>
    <w:rsid w:val="00132EAF"/>
    <w:rsid w:val="00133B73"/>
    <w:rsid w:val="00134013"/>
    <w:rsid w:val="001342C7"/>
    <w:rsid w:val="0013585C"/>
    <w:rsid w:val="00136022"/>
    <w:rsid w:val="00136460"/>
    <w:rsid w:val="00136AD5"/>
    <w:rsid w:val="001374FB"/>
    <w:rsid w:val="00140C1A"/>
    <w:rsid w:val="00141C38"/>
    <w:rsid w:val="001420DF"/>
    <w:rsid w:val="00142261"/>
    <w:rsid w:val="00142954"/>
    <w:rsid w:val="00142AA7"/>
    <w:rsid w:val="00143CF9"/>
    <w:rsid w:val="001441CA"/>
    <w:rsid w:val="001444DA"/>
    <w:rsid w:val="001453E7"/>
    <w:rsid w:val="00145A0D"/>
    <w:rsid w:val="00145F64"/>
    <w:rsid w:val="00145FDC"/>
    <w:rsid w:val="001460E0"/>
    <w:rsid w:val="001461DA"/>
    <w:rsid w:val="001463E1"/>
    <w:rsid w:val="00146B0B"/>
    <w:rsid w:val="001472F0"/>
    <w:rsid w:val="00147F71"/>
    <w:rsid w:val="001506DE"/>
    <w:rsid w:val="00150A6E"/>
    <w:rsid w:val="0015124C"/>
    <w:rsid w:val="001517D6"/>
    <w:rsid w:val="001518DD"/>
    <w:rsid w:val="0015205F"/>
    <w:rsid w:val="0015228F"/>
    <w:rsid w:val="00152BF8"/>
    <w:rsid w:val="001535F3"/>
    <w:rsid w:val="00153C16"/>
    <w:rsid w:val="0015426A"/>
    <w:rsid w:val="0015625D"/>
    <w:rsid w:val="001573BF"/>
    <w:rsid w:val="0015765E"/>
    <w:rsid w:val="00160564"/>
    <w:rsid w:val="00161641"/>
    <w:rsid w:val="001617E4"/>
    <w:rsid w:val="00162659"/>
    <w:rsid w:val="0016304B"/>
    <w:rsid w:val="0016359F"/>
    <w:rsid w:val="00163CC2"/>
    <w:rsid w:val="0016458D"/>
    <w:rsid w:val="00164661"/>
    <w:rsid w:val="0016468A"/>
    <w:rsid w:val="001648E2"/>
    <w:rsid w:val="00164B8E"/>
    <w:rsid w:val="00164EDD"/>
    <w:rsid w:val="001653B9"/>
    <w:rsid w:val="001657C9"/>
    <w:rsid w:val="001664DE"/>
    <w:rsid w:val="00166DA9"/>
    <w:rsid w:val="00167509"/>
    <w:rsid w:val="001705A9"/>
    <w:rsid w:val="001709D4"/>
    <w:rsid w:val="00171A9C"/>
    <w:rsid w:val="00172B6F"/>
    <w:rsid w:val="00172B9D"/>
    <w:rsid w:val="00172F34"/>
    <w:rsid w:val="001733CE"/>
    <w:rsid w:val="00173A40"/>
    <w:rsid w:val="001754CF"/>
    <w:rsid w:val="001760C4"/>
    <w:rsid w:val="001760DB"/>
    <w:rsid w:val="00176ECB"/>
    <w:rsid w:val="00181006"/>
    <w:rsid w:val="00181052"/>
    <w:rsid w:val="001812A1"/>
    <w:rsid w:val="001813A1"/>
    <w:rsid w:val="0018156E"/>
    <w:rsid w:val="00181C63"/>
    <w:rsid w:val="00182175"/>
    <w:rsid w:val="00182AD7"/>
    <w:rsid w:val="00182EF0"/>
    <w:rsid w:val="001839ED"/>
    <w:rsid w:val="00185108"/>
    <w:rsid w:val="00185683"/>
    <w:rsid w:val="00185877"/>
    <w:rsid w:val="0018662D"/>
    <w:rsid w:val="0018664F"/>
    <w:rsid w:val="00186869"/>
    <w:rsid w:val="00187C14"/>
    <w:rsid w:val="0019012C"/>
    <w:rsid w:val="001919C7"/>
    <w:rsid w:val="0019216B"/>
    <w:rsid w:val="00192A6E"/>
    <w:rsid w:val="0019350B"/>
    <w:rsid w:val="00193EB8"/>
    <w:rsid w:val="00193FEF"/>
    <w:rsid w:val="00194645"/>
    <w:rsid w:val="00195759"/>
    <w:rsid w:val="00195AE4"/>
    <w:rsid w:val="00196A46"/>
    <w:rsid w:val="00196FE1"/>
    <w:rsid w:val="00197162"/>
    <w:rsid w:val="0019741B"/>
    <w:rsid w:val="00197427"/>
    <w:rsid w:val="0019767A"/>
    <w:rsid w:val="0019780E"/>
    <w:rsid w:val="001A0121"/>
    <w:rsid w:val="001A0F8F"/>
    <w:rsid w:val="001A14F1"/>
    <w:rsid w:val="001A1B92"/>
    <w:rsid w:val="001A21B4"/>
    <w:rsid w:val="001A2355"/>
    <w:rsid w:val="001A3231"/>
    <w:rsid w:val="001A38A3"/>
    <w:rsid w:val="001A3C92"/>
    <w:rsid w:val="001A3E21"/>
    <w:rsid w:val="001A4747"/>
    <w:rsid w:val="001A5092"/>
    <w:rsid w:val="001A5390"/>
    <w:rsid w:val="001A5446"/>
    <w:rsid w:val="001A54B6"/>
    <w:rsid w:val="001A5CF5"/>
    <w:rsid w:val="001A5E6A"/>
    <w:rsid w:val="001A63ED"/>
    <w:rsid w:val="001A653A"/>
    <w:rsid w:val="001B0188"/>
    <w:rsid w:val="001B0822"/>
    <w:rsid w:val="001B1332"/>
    <w:rsid w:val="001B1946"/>
    <w:rsid w:val="001B1BE8"/>
    <w:rsid w:val="001B3608"/>
    <w:rsid w:val="001B389B"/>
    <w:rsid w:val="001B39D2"/>
    <w:rsid w:val="001B3AEB"/>
    <w:rsid w:val="001B3D77"/>
    <w:rsid w:val="001B481F"/>
    <w:rsid w:val="001B4BF8"/>
    <w:rsid w:val="001B517B"/>
    <w:rsid w:val="001B5185"/>
    <w:rsid w:val="001B5341"/>
    <w:rsid w:val="001B718B"/>
    <w:rsid w:val="001C0088"/>
    <w:rsid w:val="001C0F21"/>
    <w:rsid w:val="001C183B"/>
    <w:rsid w:val="001C1AB2"/>
    <w:rsid w:val="001C25D9"/>
    <w:rsid w:val="001C2A3C"/>
    <w:rsid w:val="001C2F02"/>
    <w:rsid w:val="001C33BB"/>
    <w:rsid w:val="001C36C1"/>
    <w:rsid w:val="001C3DD7"/>
    <w:rsid w:val="001C4326"/>
    <w:rsid w:val="001C4A56"/>
    <w:rsid w:val="001C4D33"/>
    <w:rsid w:val="001C50D8"/>
    <w:rsid w:val="001C59EE"/>
    <w:rsid w:val="001C5B36"/>
    <w:rsid w:val="001C5C79"/>
    <w:rsid w:val="001C5D9D"/>
    <w:rsid w:val="001C665E"/>
    <w:rsid w:val="001C6672"/>
    <w:rsid w:val="001C71CE"/>
    <w:rsid w:val="001C7494"/>
    <w:rsid w:val="001C76F9"/>
    <w:rsid w:val="001C791F"/>
    <w:rsid w:val="001D1162"/>
    <w:rsid w:val="001D1C65"/>
    <w:rsid w:val="001D1D49"/>
    <w:rsid w:val="001D3143"/>
    <w:rsid w:val="001D3541"/>
    <w:rsid w:val="001D3E4E"/>
    <w:rsid w:val="001D4C51"/>
    <w:rsid w:val="001D4D23"/>
    <w:rsid w:val="001D4E84"/>
    <w:rsid w:val="001D618C"/>
    <w:rsid w:val="001D618D"/>
    <w:rsid w:val="001D6247"/>
    <w:rsid w:val="001D650A"/>
    <w:rsid w:val="001D78ED"/>
    <w:rsid w:val="001E05AB"/>
    <w:rsid w:val="001E05B6"/>
    <w:rsid w:val="001E1424"/>
    <w:rsid w:val="001E254A"/>
    <w:rsid w:val="001E260C"/>
    <w:rsid w:val="001E3A70"/>
    <w:rsid w:val="001E4834"/>
    <w:rsid w:val="001E7386"/>
    <w:rsid w:val="001E7B5A"/>
    <w:rsid w:val="001F0CA2"/>
    <w:rsid w:val="001F0CAA"/>
    <w:rsid w:val="001F13E0"/>
    <w:rsid w:val="001F1677"/>
    <w:rsid w:val="001F1B5A"/>
    <w:rsid w:val="001F20CC"/>
    <w:rsid w:val="001F2345"/>
    <w:rsid w:val="001F27E3"/>
    <w:rsid w:val="001F2D65"/>
    <w:rsid w:val="001F2F35"/>
    <w:rsid w:val="001F3A8F"/>
    <w:rsid w:val="001F44ED"/>
    <w:rsid w:val="001F45A7"/>
    <w:rsid w:val="001F532A"/>
    <w:rsid w:val="001F5D2B"/>
    <w:rsid w:val="001F63AD"/>
    <w:rsid w:val="001F69BF"/>
    <w:rsid w:val="001F7529"/>
    <w:rsid w:val="001F7593"/>
    <w:rsid w:val="001F76B5"/>
    <w:rsid w:val="00200299"/>
    <w:rsid w:val="00200599"/>
    <w:rsid w:val="00200A77"/>
    <w:rsid w:val="0020129A"/>
    <w:rsid w:val="00201A01"/>
    <w:rsid w:val="0020306E"/>
    <w:rsid w:val="00203278"/>
    <w:rsid w:val="00204E87"/>
    <w:rsid w:val="00205AB3"/>
    <w:rsid w:val="00207293"/>
    <w:rsid w:val="0020754B"/>
    <w:rsid w:val="00207B86"/>
    <w:rsid w:val="00207B89"/>
    <w:rsid w:val="002104D3"/>
    <w:rsid w:val="00210576"/>
    <w:rsid w:val="00210D40"/>
    <w:rsid w:val="0021183C"/>
    <w:rsid w:val="00211D17"/>
    <w:rsid w:val="00212207"/>
    <w:rsid w:val="002133D3"/>
    <w:rsid w:val="00213493"/>
    <w:rsid w:val="0021350F"/>
    <w:rsid w:val="00213562"/>
    <w:rsid w:val="00213A33"/>
    <w:rsid w:val="00213C36"/>
    <w:rsid w:val="00214421"/>
    <w:rsid w:val="0021468C"/>
    <w:rsid w:val="002146BE"/>
    <w:rsid w:val="00214ABB"/>
    <w:rsid w:val="00214BC4"/>
    <w:rsid w:val="00214D9E"/>
    <w:rsid w:val="00215CCF"/>
    <w:rsid w:val="00216A8C"/>
    <w:rsid w:val="00216FB4"/>
    <w:rsid w:val="0021763B"/>
    <w:rsid w:val="00217BC8"/>
    <w:rsid w:val="002214F6"/>
    <w:rsid w:val="002222EB"/>
    <w:rsid w:val="00222C90"/>
    <w:rsid w:val="00222E07"/>
    <w:rsid w:val="00222E42"/>
    <w:rsid w:val="00223256"/>
    <w:rsid w:val="002241AA"/>
    <w:rsid w:val="00224DE5"/>
    <w:rsid w:val="00225BF8"/>
    <w:rsid w:val="00225CD8"/>
    <w:rsid w:val="00225E1E"/>
    <w:rsid w:val="00225F65"/>
    <w:rsid w:val="0022668C"/>
    <w:rsid w:val="00230659"/>
    <w:rsid w:val="00230FEA"/>
    <w:rsid w:val="00231212"/>
    <w:rsid w:val="002313FE"/>
    <w:rsid w:val="002319FA"/>
    <w:rsid w:val="00232404"/>
    <w:rsid w:val="002325E0"/>
    <w:rsid w:val="00232A5F"/>
    <w:rsid w:val="00234EC3"/>
    <w:rsid w:val="002362F0"/>
    <w:rsid w:val="002367FA"/>
    <w:rsid w:val="0023683C"/>
    <w:rsid w:val="00237C15"/>
    <w:rsid w:val="00237F37"/>
    <w:rsid w:val="00240621"/>
    <w:rsid w:val="002420B3"/>
    <w:rsid w:val="0024349C"/>
    <w:rsid w:val="0024354A"/>
    <w:rsid w:val="00244365"/>
    <w:rsid w:val="002454FA"/>
    <w:rsid w:val="00245684"/>
    <w:rsid w:val="00246070"/>
    <w:rsid w:val="002464EE"/>
    <w:rsid w:val="00246DB1"/>
    <w:rsid w:val="00246E9D"/>
    <w:rsid w:val="002476B5"/>
    <w:rsid w:val="00247C2D"/>
    <w:rsid w:val="002502CD"/>
    <w:rsid w:val="00250D1E"/>
    <w:rsid w:val="00251111"/>
    <w:rsid w:val="0025134A"/>
    <w:rsid w:val="00251356"/>
    <w:rsid w:val="002517BD"/>
    <w:rsid w:val="00251EA4"/>
    <w:rsid w:val="002520C9"/>
    <w:rsid w:val="002520CC"/>
    <w:rsid w:val="00252B01"/>
    <w:rsid w:val="00252BFD"/>
    <w:rsid w:val="00253AF1"/>
    <w:rsid w:val="00253ECF"/>
    <w:rsid w:val="00253EE8"/>
    <w:rsid w:val="002541F7"/>
    <w:rsid w:val="002546A1"/>
    <w:rsid w:val="00254712"/>
    <w:rsid w:val="0025530D"/>
    <w:rsid w:val="00257310"/>
    <w:rsid w:val="002604C3"/>
    <w:rsid w:val="00260C0F"/>
    <w:rsid w:val="002628F4"/>
    <w:rsid w:val="00263D4B"/>
    <w:rsid w:val="0026520B"/>
    <w:rsid w:val="00265271"/>
    <w:rsid w:val="00265848"/>
    <w:rsid w:val="00265979"/>
    <w:rsid w:val="00271DE0"/>
    <w:rsid w:val="00272A81"/>
    <w:rsid w:val="00272B1F"/>
    <w:rsid w:val="00272D8B"/>
    <w:rsid w:val="0027429F"/>
    <w:rsid w:val="00274692"/>
    <w:rsid w:val="00274A0A"/>
    <w:rsid w:val="002750AE"/>
    <w:rsid w:val="0027527C"/>
    <w:rsid w:val="00275D08"/>
    <w:rsid w:val="00276BB3"/>
    <w:rsid w:val="0027782A"/>
    <w:rsid w:val="002800AC"/>
    <w:rsid w:val="002810B6"/>
    <w:rsid w:val="002815B3"/>
    <w:rsid w:val="00281B59"/>
    <w:rsid w:val="00281C7F"/>
    <w:rsid w:val="00281F92"/>
    <w:rsid w:val="00282FF5"/>
    <w:rsid w:val="0028343D"/>
    <w:rsid w:val="002850B0"/>
    <w:rsid w:val="002858E3"/>
    <w:rsid w:val="0028664F"/>
    <w:rsid w:val="00286A2A"/>
    <w:rsid w:val="002876C7"/>
    <w:rsid w:val="00290427"/>
    <w:rsid w:val="002915A5"/>
    <w:rsid w:val="0029190A"/>
    <w:rsid w:val="00291C5B"/>
    <w:rsid w:val="00292C5A"/>
    <w:rsid w:val="00292C9C"/>
    <w:rsid w:val="00292ED8"/>
    <w:rsid w:val="0029481B"/>
    <w:rsid w:val="00294A55"/>
    <w:rsid w:val="00294F0B"/>
    <w:rsid w:val="00295241"/>
    <w:rsid w:val="00295A97"/>
    <w:rsid w:val="002961D3"/>
    <w:rsid w:val="00296353"/>
    <w:rsid w:val="00297458"/>
    <w:rsid w:val="002A0BD0"/>
    <w:rsid w:val="002A21A6"/>
    <w:rsid w:val="002A2C47"/>
    <w:rsid w:val="002A4918"/>
    <w:rsid w:val="002A4DFC"/>
    <w:rsid w:val="002A4EB6"/>
    <w:rsid w:val="002A772B"/>
    <w:rsid w:val="002A78D6"/>
    <w:rsid w:val="002A7C65"/>
    <w:rsid w:val="002B0088"/>
    <w:rsid w:val="002B047D"/>
    <w:rsid w:val="002B063B"/>
    <w:rsid w:val="002B06F3"/>
    <w:rsid w:val="002B152E"/>
    <w:rsid w:val="002B1A62"/>
    <w:rsid w:val="002B2408"/>
    <w:rsid w:val="002B3DC0"/>
    <w:rsid w:val="002B4125"/>
    <w:rsid w:val="002B42E8"/>
    <w:rsid w:val="002B4DED"/>
    <w:rsid w:val="002B5A8A"/>
    <w:rsid w:val="002B6F21"/>
    <w:rsid w:val="002B70AB"/>
    <w:rsid w:val="002B732B"/>
    <w:rsid w:val="002B75C3"/>
    <w:rsid w:val="002B76A7"/>
    <w:rsid w:val="002C0329"/>
    <w:rsid w:val="002C05FA"/>
    <w:rsid w:val="002C0841"/>
    <w:rsid w:val="002C1532"/>
    <w:rsid w:val="002C2219"/>
    <w:rsid w:val="002C2552"/>
    <w:rsid w:val="002C3027"/>
    <w:rsid w:val="002C3401"/>
    <w:rsid w:val="002C380A"/>
    <w:rsid w:val="002C3956"/>
    <w:rsid w:val="002C3F5A"/>
    <w:rsid w:val="002C4633"/>
    <w:rsid w:val="002C58D8"/>
    <w:rsid w:val="002C63EE"/>
    <w:rsid w:val="002C700A"/>
    <w:rsid w:val="002C707D"/>
    <w:rsid w:val="002C72F0"/>
    <w:rsid w:val="002C783C"/>
    <w:rsid w:val="002D0353"/>
    <w:rsid w:val="002D0594"/>
    <w:rsid w:val="002D0DF2"/>
    <w:rsid w:val="002D1050"/>
    <w:rsid w:val="002D14B1"/>
    <w:rsid w:val="002D23BD"/>
    <w:rsid w:val="002D264F"/>
    <w:rsid w:val="002D36AF"/>
    <w:rsid w:val="002D3C3B"/>
    <w:rsid w:val="002D3CC2"/>
    <w:rsid w:val="002D4DB7"/>
    <w:rsid w:val="002D500C"/>
    <w:rsid w:val="002D5153"/>
    <w:rsid w:val="002D60DC"/>
    <w:rsid w:val="002E0B47"/>
    <w:rsid w:val="002E0BEC"/>
    <w:rsid w:val="002E1400"/>
    <w:rsid w:val="002E3A53"/>
    <w:rsid w:val="002E43B2"/>
    <w:rsid w:val="002E471A"/>
    <w:rsid w:val="002E5349"/>
    <w:rsid w:val="002E65F7"/>
    <w:rsid w:val="002E6B85"/>
    <w:rsid w:val="002E71EA"/>
    <w:rsid w:val="002E7C27"/>
    <w:rsid w:val="002F0250"/>
    <w:rsid w:val="002F0681"/>
    <w:rsid w:val="002F0D21"/>
    <w:rsid w:val="002F1445"/>
    <w:rsid w:val="002F1525"/>
    <w:rsid w:val="002F1CE7"/>
    <w:rsid w:val="002F34EF"/>
    <w:rsid w:val="002F363C"/>
    <w:rsid w:val="002F3B42"/>
    <w:rsid w:val="002F3E2D"/>
    <w:rsid w:val="002F4685"/>
    <w:rsid w:val="002F52E1"/>
    <w:rsid w:val="002F6A0E"/>
    <w:rsid w:val="002F715C"/>
    <w:rsid w:val="002F7213"/>
    <w:rsid w:val="002F748A"/>
    <w:rsid w:val="00300246"/>
    <w:rsid w:val="003004EA"/>
    <w:rsid w:val="003015F8"/>
    <w:rsid w:val="003024A0"/>
    <w:rsid w:val="0030256D"/>
    <w:rsid w:val="0030382F"/>
    <w:rsid w:val="00303C25"/>
    <w:rsid w:val="00303F73"/>
    <w:rsid w:val="0030408D"/>
    <w:rsid w:val="003051CB"/>
    <w:rsid w:val="003058F8"/>
    <w:rsid w:val="00305B24"/>
    <w:rsid w:val="00305D14"/>
    <w:rsid w:val="003060E4"/>
    <w:rsid w:val="00306AD9"/>
    <w:rsid w:val="00306BA5"/>
    <w:rsid w:val="00306C35"/>
    <w:rsid w:val="00306EB6"/>
    <w:rsid w:val="003073EC"/>
    <w:rsid w:val="0031035B"/>
    <w:rsid w:val="0031058F"/>
    <w:rsid w:val="0031264D"/>
    <w:rsid w:val="00313C77"/>
    <w:rsid w:val="00313D8C"/>
    <w:rsid w:val="003152F2"/>
    <w:rsid w:val="00315635"/>
    <w:rsid w:val="00315C29"/>
    <w:rsid w:val="003160E7"/>
    <w:rsid w:val="0031739E"/>
    <w:rsid w:val="00320E38"/>
    <w:rsid w:val="00320EC8"/>
    <w:rsid w:val="00322300"/>
    <w:rsid w:val="0032245A"/>
    <w:rsid w:val="00322C2C"/>
    <w:rsid w:val="00322E15"/>
    <w:rsid w:val="00324426"/>
    <w:rsid w:val="00324B32"/>
    <w:rsid w:val="00324B7A"/>
    <w:rsid w:val="00326CA7"/>
    <w:rsid w:val="003271BB"/>
    <w:rsid w:val="003277D7"/>
    <w:rsid w:val="003309CA"/>
    <w:rsid w:val="00330C22"/>
    <w:rsid w:val="00330CFB"/>
    <w:rsid w:val="00331ADF"/>
    <w:rsid w:val="00331D8D"/>
    <w:rsid w:val="00331F2C"/>
    <w:rsid w:val="00331F4E"/>
    <w:rsid w:val="0033221D"/>
    <w:rsid w:val="003325AB"/>
    <w:rsid w:val="00332A72"/>
    <w:rsid w:val="00332CF2"/>
    <w:rsid w:val="003332D1"/>
    <w:rsid w:val="003337C5"/>
    <w:rsid w:val="00333F3B"/>
    <w:rsid w:val="0033412B"/>
    <w:rsid w:val="00335D72"/>
    <w:rsid w:val="003365BD"/>
    <w:rsid w:val="00336A26"/>
    <w:rsid w:val="00336F75"/>
    <w:rsid w:val="00340500"/>
    <w:rsid w:val="003406FF"/>
    <w:rsid w:val="00340A07"/>
    <w:rsid w:val="00341161"/>
    <w:rsid w:val="00341AE2"/>
    <w:rsid w:val="00341CAC"/>
    <w:rsid w:val="00342E4E"/>
    <w:rsid w:val="00343365"/>
    <w:rsid w:val="00343796"/>
    <w:rsid w:val="00343C47"/>
    <w:rsid w:val="003445F4"/>
    <w:rsid w:val="00344F26"/>
    <w:rsid w:val="00346F18"/>
    <w:rsid w:val="00347DC8"/>
    <w:rsid w:val="0035059A"/>
    <w:rsid w:val="003505CC"/>
    <w:rsid w:val="00351D9D"/>
    <w:rsid w:val="0035215A"/>
    <w:rsid w:val="00353501"/>
    <w:rsid w:val="003535A9"/>
    <w:rsid w:val="00353734"/>
    <w:rsid w:val="003543F3"/>
    <w:rsid w:val="00354819"/>
    <w:rsid w:val="003549D5"/>
    <w:rsid w:val="00354FAC"/>
    <w:rsid w:val="00355485"/>
    <w:rsid w:val="0035579C"/>
    <w:rsid w:val="003559B5"/>
    <w:rsid w:val="00355BF6"/>
    <w:rsid w:val="00355FD0"/>
    <w:rsid w:val="003564FB"/>
    <w:rsid w:val="00356F05"/>
    <w:rsid w:val="0035727E"/>
    <w:rsid w:val="003573C0"/>
    <w:rsid w:val="0035782A"/>
    <w:rsid w:val="00357D6D"/>
    <w:rsid w:val="003606F8"/>
    <w:rsid w:val="00360A25"/>
    <w:rsid w:val="00360A41"/>
    <w:rsid w:val="00360E6E"/>
    <w:rsid w:val="00361604"/>
    <w:rsid w:val="00362431"/>
    <w:rsid w:val="0036375D"/>
    <w:rsid w:val="00363F45"/>
    <w:rsid w:val="003641F2"/>
    <w:rsid w:val="003646A9"/>
    <w:rsid w:val="00364822"/>
    <w:rsid w:val="003648EF"/>
    <w:rsid w:val="00364E0B"/>
    <w:rsid w:val="003659DC"/>
    <w:rsid w:val="003662D2"/>
    <w:rsid w:val="00366925"/>
    <w:rsid w:val="00366AE3"/>
    <w:rsid w:val="00366CD8"/>
    <w:rsid w:val="00366D36"/>
    <w:rsid w:val="003673E6"/>
    <w:rsid w:val="00367B22"/>
    <w:rsid w:val="00367BE1"/>
    <w:rsid w:val="0037049E"/>
    <w:rsid w:val="00370D40"/>
    <w:rsid w:val="003712C2"/>
    <w:rsid w:val="003719A3"/>
    <w:rsid w:val="00372520"/>
    <w:rsid w:val="003738F3"/>
    <w:rsid w:val="00373D03"/>
    <w:rsid w:val="003742DE"/>
    <w:rsid w:val="00374890"/>
    <w:rsid w:val="00375026"/>
    <w:rsid w:val="0037556A"/>
    <w:rsid w:val="00377264"/>
    <w:rsid w:val="00377967"/>
    <w:rsid w:val="003779D2"/>
    <w:rsid w:val="00377A0C"/>
    <w:rsid w:val="003805F5"/>
    <w:rsid w:val="003810D9"/>
    <w:rsid w:val="00381171"/>
    <w:rsid w:val="003813F8"/>
    <w:rsid w:val="00381680"/>
    <w:rsid w:val="00381832"/>
    <w:rsid w:val="00381FD0"/>
    <w:rsid w:val="003834BE"/>
    <w:rsid w:val="00384215"/>
    <w:rsid w:val="00385E38"/>
    <w:rsid w:val="00386072"/>
    <w:rsid w:val="00386D72"/>
    <w:rsid w:val="00386E53"/>
    <w:rsid w:val="00387867"/>
    <w:rsid w:val="00387C1B"/>
    <w:rsid w:val="00387C30"/>
    <w:rsid w:val="00390E2E"/>
    <w:rsid w:val="00390FA5"/>
    <w:rsid w:val="00392210"/>
    <w:rsid w:val="00392EBF"/>
    <w:rsid w:val="00393B18"/>
    <w:rsid w:val="003940C4"/>
    <w:rsid w:val="003946AA"/>
    <w:rsid w:val="00395373"/>
    <w:rsid w:val="0039653A"/>
    <w:rsid w:val="00396993"/>
    <w:rsid w:val="0039718E"/>
    <w:rsid w:val="00397467"/>
    <w:rsid w:val="003A0E1B"/>
    <w:rsid w:val="003A105D"/>
    <w:rsid w:val="003A12E3"/>
    <w:rsid w:val="003A134E"/>
    <w:rsid w:val="003A165F"/>
    <w:rsid w:val="003A1E3D"/>
    <w:rsid w:val="003A23A5"/>
    <w:rsid w:val="003A26A5"/>
    <w:rsid w:val="003A2B99"/>
    <w:rsid w:val="003A3761"/>
    <w:rsid w:val="003A3E7C"/>
    <w:rsid w:val="003A4B11"/>
    <w:rsid w:val="003A4E84"/>
    <w:rsid w:val="003A512D"/>
    <w:rsid w:val="003A5591"/>
    <w:rsid w:val="003A55F2"/>
    <w:rsid w:val="003A5B3C"/>
    <w:rsid w:val="003A5CAE"/>
    <w:rsid w:val="003A5FEA"/>
    <w:rsid w:val="003B0C37"/>
    <w:rsid w:val="003B1D10"/>
    <w:rsid w:val="003B295C"/>
    <w:rsid w:val="003B3CBC"/>
    <w:rsid w:val="003B42EC"/>
    <w:rsid w:val="003B47F6"/>
    <w:rsid w:val="003B4896"/>
    <w:rsid w:val="003B4EAA"/>
    <w:rsid w:val="003B51F0"/>
    <w:rsid w:val="003B6D19"/>
    <w:rsid w:val="003B784B"/>
    <w:rsid w:val="003B7FE3"/>
    <w:rsid w:val="003C0399"/>
    <w:rsid w:val="003C0582"/>
    <w:rsid w:val="003C0586"/>
    <w:rsid w:val="003C0B97"/>
    <w:rsid w:val="003C1209"/>
    <w:rsid w:val="003C1959"/>
    <w:rsid w:val="003C1E21"/>
    <w:rsid w:val="003C224B"/>
    <w:rsid w:val="003C318D"/>
    <w:rsid w:val="003C34F1"/>
    <w:rsid w:val="003C3E51"/>
    <w:rsid w:val="003C4BA2"/>
    <w:rsid w:val="003C4CE4"/>
    <w:rsid w:val="003C5A18"/>
    <w:rsid w:val="003C5FA4"/>
    <w:rsid w:val="003C6620"/>
    <w:rsid w:val="003C750D"/>
    <w:rsid w:val="003C76D4"/>
    <w:rsid w:val="003D0099"/>
    <w:rsid w:val="003D06F6"/>
    <w:rsid w:val="003D07D8"/>
    <w:rsid w:val="003D137D"/>
    <w:rsid w:val="003D1397"/>
    <w:rsid w:val="003D13D5"/>
    <w:rsid w:val="003D1FBC"/>
    <w:rsid w:val="003D29F6"/>
    <w:rsid w:val="003D2CC5"/>
    <w:rsid w:val="003D2EFE"/>
    <w:rsid w:val="003D440E"/>
    <w:rsid w:val="003D484A"/>
    <w:rsid w:val="003D4866"/>
    <w:rsid w:val="003D5383"/>
    <w:rsid w:val="003D58DB"/>
    <w:rsid w:val="003D6002"/>
    <w:rsid w:val="003D6185"/>
    <w:rsid w:val="003D6E49"/>
    <w:rsid w:val="003D7090"/>
    <w:rsid w:val="003D72AF"/>
    <w:rsid w:val="003D74E7"/>
    <w:rsid w:val="003D7765"/>
    <w:rsid w:val="003E04C1"/>
    <w:rsid w:val="003E0795"/>
    <w:rsid w:val="003E0887"/>
    <w:rsid w:val="003E1F1F"/>
    <w:rsid w:val="003E3474"/>
    <w:rsid w:val="003E3C20"/>
    <w:rsid w:val="003E3E94"/>
    <w:rsid w:val="003E43B3"/>
    <w:rsid w:val="003E54CC"/>
    <w:rsid w:val="003E6A62"/>
    <w:rsid w:val="003E74C8"/>
    <w:rsid w:val="003E7C46"/>
    <w:rsid w:val="003F1225"/>
    <w:rsid w:val="003F15B2"/>
    <w:rsid w:val="003F16D3"/>
    <w:rsid w:val="003F2106"/>
    <w:rsid w:val="003F2E59"/>
    <w:rsid w:val="003F30DB"/>
    <w:rsid w:val="003F493E"/>
    <w:rsid w:val="003F4FDA"/>
    <w:rsid w:val="003F52A7"/>
    <w:rsid w:val="003F56ED"/>
    <w:rsid w:val="003F7013"/>
    <w:rsid w:val="003F70E3"/>
    <w:rsid w:val="003F79AB"/>
    <w:rsid w:val="003F7BC3"/>
    <w:rsid w:val="003F7FDE"/>
    <w:rsid w:val="004001E2"/>
    <w:rsid w:val="00400238"/>
    <w:rsid w:val="00400A73"/>
    <w:rsid w:val="0040240C"/>
    <w:rsid w:val="0040395E"/>
    <w:rsid w:val="00403A9C"/>
    <w:rsid w:val="00403AB2"/>
    <w:rsid w:val="00404C9F"/>
    <w:rsid w:val="00404CD2"/>
    <w:rsid w:val="00404F0C"/>
    <w:rsid w:val="00405448"/>
    <w:rsid w:val="0040568F"/>
    <w:rsid w:val="00405C57"/>
    <w:rsid w:val="00406B46"/>
    <w:rsid w:val="004071B3"/>
    <w:rsid w:val="00407452"/>
    <w:rsid w:val="00407772"/>
    <w:rsid w:val="00410B4F"/>
    <w:rsid w:val="00411376"/>
    <w:rsid w:val="00412B93"/>
    <w:rsid w:val="00413021"/>
    <w:rsid w:val="0041432D"/>
    <w:rsid w:val="00414E51"/>
    <w:rsid w:val="00415163"/>
    <w:rsid w:val="004152C5"/>
    <w:rsid w:val="00415D07"/>
    <w:rsid w:val="00416090"/>
    <w:rsid w:val="0041650A"/>
    <w:rsid w:val="004200EB"/>
    <w:rsid w:val="00421081"/>
    <w:rsid w:val="0042112E"/>
    <w:rsid w:val="004213EB"/>
    <w:rsid w:val="00421ACA"/>
    <w:rsid w:val="00421BA1"/>
    <w:rsid w:val="00421D7F"/>
    <w:rsid w:val="004229A3"/>
    <w:rsid w:val="00422CDF"/>
    <w:rsid w:val="00423145"/>
    <w:rsid w:val="00423325"/>
    <w:rsid w:val="00423724"/>
    <w:rsid w:val="0042407F"/>
    <w:rsid w:val="00427503"/>
    <w:rsid w:val="00427CF0"/>
    <w:rsid w:val="0043011F"/>
    <w:rsid w:val="004301C6"/>
    <w:rsid w:val="00430699"/>
    <w:rsid w:val="00431BDE"/>
    <w:rsid w:val="0043239D"/>
    <w:rsid w:val="00432B27"/>
    <w:rsid w:val="0043305F"/>
    <w:rsid w:val="0043354E"/>
    <w:rsid w:val="00434027"/>
    <w:rsid w:val="0043405C"/>
    <w:rsid w:val="004342E5"/>
    <w:rsid w:val="0043478F"/>
    <w:rsid w:val="00435FEE"/>
    <w:rsid w:val="0043602B"/>
    <w:rsid w:val="004362ED"/>
    <w:rsid w:val="00436302"/>
    <w:rsid w:val="0043657C"/>
    <w:rsid w:val="0043740B"/>
    <w:rsid w:val="004404FA"/>
    <w:rsid w:val="00440AE2"/>
    <w:rsid w:val="00440BE0"/>
    <w:rsid w:val="0044123B"/>
    <w:rsid w:val="004417E2"/>
    <w:rsid w:val="00442C1C"/>
    <w:rsid w:val="004433AE"/>
    <w:rsid w:val="004442D3"/>
    <w:rsid w:val="0044448A"/>
    <w:rsid w:val="0044584B"/>
    <w:rsid w:val="004477AE"/>
    <w:rsid w:val="00447CB7"/>
    <w:rsid w:val="00450968"/>
    <w:rsid w:val="0045109B"/>
    <w:rsid w:val="00451F66"/>
    <w:rsid w:val="00452045"/>
    <w:rsid w:val="00452D82"/>
    <w:rsid w:val="00452DFC"/>
    <w:rsid w:val="0045548B"/>
    <w:rsid w:val="00455955"/>
    <w:rsid w:val="00455CC9"/>
    <w:rsid w:val="00455FA6"/>
    <w:rsid w:val="00456902"/>
    <w:rsid w:val="00456BAE"/>
    <w:rsid w:val="0045700F"/>
    <w:rsid w:val="00457339"/>
    <w:rsid w:val="0046050E"/>
    <w:rsid w:val="00460826"/>
    <w:rsid w:val="00460D36"/>
    <w:rsid w:val="00460EA7"/>
    <w:rsid w:val="00461318"/>
    <w:rsid w:val="004616B7"/>
    <w:rsid w:val="004617C4"/>
    <w:rsid w:val="0046195B"/>
    <w:rsid w:val="00461A32"/>
    <w:rsid w:val="00461E43"/>
    <w:rsid w:val="004628B9"/>
    <w:rsid w:val="0046362D"/>
    <w:rsid w:val="00463C26"/>
    <w:rsid w:val="004643A2"/>
    <w:rsid w:val="004646C8"/>
    <w:rsid w:val="0046488C"/>
    <w:rsid w:val="0046583A"/>
    <w:rsid w:val="0046596D"/>
    <w:rsid w:val="00465D23"/>
    <w:rsid w:val="00465DF9"/>
    <w:rsid w:val="00466A8C"/>
    <w:rsid w:val="00467134"/>
    <w:rsid w:val="00470303"/>
    <w:rsid w:val="004703D6"/>
    <w:rsid w:val="00471A86"/>
    <w:rsid w:val="00471F95"/>
    <w:rsid w:val="004729A3"/>
    <w:rsid w:val="00472AB9"/>
    <w:rsid w:val="00472D82"/>
    <w:rsid w:val="0047461E"/>
    <w:rsid w:val="00474D30"/>
    <w:rsid w:val="00475102"/>
    <w:rsid w:val="00475161"/>
    <w:rsid w:val="00475931"/>
    <w:rsid w:val="00477163"/>
    <w:rsid w:val="004772AD"/>
    <w:rsid w:val="004773EE"/>
    <w:rsid w:val="00477973"/>
    <w:rsid w:val="00477BD2"/>
    <w:rsid w:val="0048029A"/>
    <w:rsid w:val="00481265"/>
    <w:rsid w:val="00481B34"/>
    <w:rsid w:val="00481DBB"/>
    <w:rsid w:val="004828B0"/>
    <w:rsid w:val="004828C8"/>
    <w:rsid w:val="004831B1"/>
    <w:rsid w:val="00483C0E"/>
    <w:rsid w:val="00484D78"/>
    <w:rsid w:val="00484E57"/>
    <w:rsid w:val="004858EA"/>
    <w:rsid w:val="00485B6A"/>
    <w:rsid w:val="0048625C"/>
    <w:rsid w:val="00486D26"/>
    <w:rsid w:val="00487007"/>
    <w:rsid w:val="00487468"/>
    <w:rsid w:val="00487C04"/>
    <w:rsid w:val="00487FBC"/>
    <w:rsid w:val="00490290"/>
    <w:rsid w:val="004907E1"/>
    <w:rsid w:val="00490C8C"/>
    <w:rsid w:val="004910D6"/>
    <w:rsid w:val="0049142A"/>
    <w:rsid w:val="004919B6"/>
    <w:rsid w:val="00492FCA"/>
    <w:rsid w:val="004934CE"/>
    <w:rsid w:val="0049388B"/>
    <w:rsid w:val="0049440B"/>
    <w:rsid w:val="00494A5E"/>
    <w:rsid w:val="004953D6"/>
    <w:rsid w:val="00496255"/>
    <w:rsid w:val="00497443"/>
    <w:rsid w:val="00497F1D"/>
    <w:rsid w:val="004A035B"/>
    <w:rsid w:val="004A08C2"/>
    <w:rsid w:val="004A1E9D"/>
    <w:rsid w:val="004A1F12"/>
    <w:rsid w:val="004A2108"/>
    <w:rsid w:val="004A2256"/>
    <w:rsid w:val="004A2372"/>
    <w:rsid w:val="004A2AE9"/>
    <w:rsid w:val="004A3183"/>
    <w:rsid w:val="004A38D7"/>
    <w:rsid w:val="004A4072"/>
    <w:rsid w:val="004A40D4"/>
    <w:rsid w:val="004A5B24"/>
    <w:rsid w:val="004A5E44"/>
    <w:rsid w:val="004A6E30"/>
    <w:rsid w:val="004A6FF2"/>
    <w:rsid w:val="004A70AC"/>
    <w:rsid w:val="004A71DD"/>
    <w:rsid w:val="004A72C6"/>
    <w:rsid w:val="004A778C"/>
    <w:rsid w:val="004A7C90"/>
    <w:rsid w:val="004B01B0"/>
    <w:rsid w:val="004B127A"/>
    <w:rsid w:val="004B18C3"/>
    <w:rsid w:val="004B2A3B"/>
    <w:rsid w:val="004B3405"/>
    <w:rsid w:val="004B34B8"/>
    <w:rsid w:val="004B36A4"/>
    <w:rsid w:val="004B43AB"/>
    <w:rsid w:val="004B48C7"/>
    <w:rsid w:val="004B60EC"/>
    <w:rsid w:val="004B6419"/>
    <w:rsid w:val="004B6C45"/>
    <w:rsid w:val="004B7C0B"/>
    <w:rsid w:val="004C01FF"/>
    <w:rsid w:val="004C0C4C"/>
    <w:rsid w:val="004C0CBA"/>
    <w:rsid w:val="004C0E3E"/>
    <w:rsid w:val="004C17BC"/>
    <w:rsid w:val="004C2614"/>
    <w:rsid w:val="004C29BC"/>
    <w:rsid w:val="004C2A86"/>
    <w:rsid w:val="004C2E6A"/>
    <w:rsid w:val="004C311A"/>
    <w:rsid w:val="004C3C64"/>
    <w:rsid w:val="004C4147"/>
    <w:rsid w:val="004C4177"/>
    <w:rsid w:val="004C434C"/>
    <w:rsid w:val="004C4516"/>
    <w:rsid w:val="004C4F47"/>
    <w:rsid w:val="004C5ACE"/>
    <w:rsid w:val="004C6137"/>
    <w:rsid w:val="004C64B8"/>
    <w:rsid w:val="004C71A6"/>
    <w:rsid w:val="004D00BC"/>
    <w:rsid w:val="004D0B7D"/>
    <w:rsid w:val="004D1300"/>
    <w:rsid w:val="004D13B1"/>
    <w:rsid w:val="004D1736"/>
    <w:rsid w:val="004D1AD5"/>
    <w:rsid w:val="004D1CC0"/>
    <w:rsid w:val="004D2494"/>
    <w:rsid w:val="004D2A2D"/>
    <w:rsid w:val="004D2A70"/>
    <w:rsid w:val="004D30BA"/>
    <w:rsid w:val="004D371E"/>
    <w:rsid w:val="004D3932"/>
    <w:rsid w:val="004D3F48"/>
    <w:rsid w:val="004D478D"/>
    <w:rsid w:val="004D479F"/>
    <w:rsid w:val="004D4935"/>
    <w:rsid w:val="004D4B19"/>
    <w:rsid w:val="004D54DF"/>
    <w:rsid w:val="004D6689"/>
    <w:rsid w:val="004D6D48"/>
    <w:rsid w:val="004D6F1A"/>
    <w:rsid w:val="004D7A0D"/>
    <w:rsid w:val="004E0157"/>
    <w:rsid w:val="004E139B"/>
    <w:rsid w:val="004E1D1D"/>
    <w:rsid w:val="004E3AB1"/>
    <w:rsid w:val="004E43E8"/>
    <w:rsid w:val="004E45EB"/>
    <w:rsid w:val="004E54F6"/>
    <w:rsid w:val="004E5703"/>
    <w:rsid w:val="004E5935"/>
    <w:rsid w:val="004E6F2F"/>
    <w:rsid w:val="004E733E"/>
    <w:rsid w:val="004E7A1D"/>
    <w:rsid w:val="004E7AC8"/>
    <w:rsid w:val="004E7B1F"/>
    <w:rsid w:val="004E7D3D"/>
    <w:rsid w:val="004F0C94"/>
    <w:rsid w:val="004F1206"/>
    <w:rsid w:val="004F1FFB"/>
    <w:rsid w:val="004F24BC"/>
    <w:rsid w:val="004F43B8"/>
    <w:rsid w:val="004F5649"/>
    <w:rsid w:val="004F6B45"/>
    <w:rsid w:val="004F7136"/>
    <w:rsid w:val="0050135D"/>
    <w:rsid w:val="005019AE"/>
    <w:rsid w:val="005023A0"/>
    <w:rsid w:val="00502796"/>
    <w:rsid w:val="0050300E"/>
    <w:rsid w:val="00503590"/>
    <w:rsid w:val="00503749"/>
    <w:rsid w:val="00503CBF"/>
    <w:rsid w:val="00503E8A"/>
    <w:rsid w:val="00504253"/>
    <w:rsid w:val="00504404"/>
    <w:rsid w:val="00504CF4"/>
    <w:rsid w:val="00504E17"/>
    <w:rsid w:val="00505093"/>
    <w:rsid w:val="00505765"/>
    <w:rsid w:val="005060FB"/>
    <w:rsid w:val="0050635B"/>
    <w:rsid w:val="00506D26"/>
    <w:rsid w:val="00510580"/>
    <w:rsid w:val="00510B87"/>
    <w:rsid w:val="00510C52"/>
    <w:rsid w:val="00510ED9"/>
    <w:rsid w:val="00512ECC"/>
    <w:rsid w:val="00514494"/>
    <w:rsid w:val="00515116"/>
    <w:rsid w:val="005151C2"/>
    <w:rsid w:val="0051575A"/>
    <w:rsid w:val="00515E27"/>
    <w:rsid w:val="005164C2"/>
    <w:rsid w:val="00516DF8"/>
    <w:rsid w:val="00516E06"/>
    <w:rsid w:val="00516F8B"/>
    <w:rsid w:val="00517592"/>
    <w:rsid w:val="00517A31"/>
    <w:rsid w:val="00520884"/>
    <w:rsid w:val="00521CD8"/>
    <w:rsid w:val="0052403C"/>
    <w:rsid w:val="00525DE2"/>
    <w:rsid w:val="00526393"/>
    <w:rsid w:val="00527C87"/>
    <w:rsid w:val="0053086E"/>
    <w:rsid w:val="00530CA8"/>
    <w:rsid w:val="0053124A"/>
    <w:rsid w:val="0053199F"/>
    <w:rsid w:val="00531E12"/>
    <w:rsid w:val="0053205E"/>
    <w:rsid w:val="00532581"/>
    <w:rsid w:val="0053293C"/>
    <w:rsid w:val="00532BA1"/>
    <w:rsid w:val="00533604"/>
    <w:rsid w:val="00533B90"/>
    <w:rsid w:val="00533FE3"/>
    <w:rsid w:val="0053482C"/>
    <w:rsid w:val="00534CEA"/>
    <w:rsid w:val="00535C2F"/>
    <w:rsid w:val="00535ECE"/>
    <w:rsid w:val="005364CC"/>
    <w:rsid w:val="005369E7"/>
    <w:rsid w:val="0053764B"/>
    <w:rsid w:val="0053785C"/>
    <w:rsid w:val="00537D4E"/>
    <w:rsid w:val="00540346"/>
    <w:rsid w:val="005404EF"/>
    <w:rsid w:val="005408DD"/>
    <w:rsid w:val="005409E0"/>
    <w:rsid w:val="00540C1C"/>
    <w:rsid w:val="005410F8"/>
    <w:rsid w:val="005413B2"/>
    <w:rsid w:val="00541EC1"/>
    <w:rsid w:val="00542527"/>
    <w:rsid w:val="00542A69"/>
    <w:rsid w:val="00542EBD"/>
    <w:rsid w:val="00543813"/>
    <w:rsid w:val="005448EC"/>
    <w:rsid w:val="00544E33"/>
    <w:rsid w:val="0054503A"/>
    <w:rsid w:val="00545405"/>
    <w:rsid w:val="00545832"/>
    <w:rsid w:val="00545963"/>
    <w:rsid w:val="005459F9"/>
    <w:rsid w:val="0054602A"/>
    <w:rsid w:val="00546C69"/>
    <w:rsid w:val="00550256"/>
    <w:rsid w:val="00550686"/>
    <w:rsid w:val="00550825"/>
    <w:rsid w:val="0055202E"/>
    <w:rsid w:val="00552709"/>
    <w:rsid w:val="00553165"/>
    <w:rsid w:val="005533F3"/>
    <w:rsid w:val="005537CD"/>
    <w:rsid w:val="00553958"/>
    <w:rsid w:val="00554F6B"/>
    <w:rsid w:val="00555520"/>
    <w:rsid w:val="00556A1A"/>
    <w:rsid w:val="00556BB7"/>
    <w:rsid w:val="00556E6F"/>
    <w:rsid w:val="0055763D"/>
    <w:rsid w:val="00560879"/>
    <w:rsid w:val="00561516"/>
    <w:rsid w:val="00561629"/>
    <w:rsid w:val="0056215F"/>
    <w:rsid w:val="005621F2"/>
    <w:rsid w:val="005623BC"/>
    <w:rsid w:val="00562894"/>
    <w:rsid w:val="00562AFE"/>
    <w:rsid w:val="005632B7"/>
    <w:rsid w:val="00563EAD"/>
    <w:rsid w:val="0056495B"/>
    <w:rsid w:val="00564A46"/>
    <w:rsid w:val="005651C4"/>
    <w:rsid w:val="005652E9"/>
    <w:rsid w:val="00565CE6"/>
    <w:rsid w:val="005665FD"/>
    <w:rsid w:val="00567B58"/>
    <w:rsid w:val="00570C81"/>
    <w:rsid w:val="00570F54"/>
    <w:rsid w:val="00571223"/>
    <w:rsid w:val="00571A5D"/>
    <w:rsid w:val="005724DB"/>
    <w:rsid w:val="0057268E"/>
    <w:rsid w:val="00572CB0"/>
    <w:rsid w:val="00575570"/>
    <w:rsid w:val="00575592"/>
    <w:rsid w:val="00575780"/>
    <w:rsid w:val="0057591D"/>
    <w:rsid w:val="0057602B"/>
    <w:rsid w:val="005763E0"/>
    <w:rsid w:val="00580C9B"/>
    <w:rsid w:val="00581136"/>
    <w:rsid w:val="00581EB8"/>
    <w:rsid w:val="005825FB"/>
    <w:rsid w:val="00582901"/>
    <w:rsid w:val="0058399B"/>
    <w:rsid w:val="00583DAD"/>
    <w:rsid w:val="005842D9"/>
    <w:rsid w:val="00584773"/>
    <w:rsid w:val="00584A0A"/>
    <w:rsid w:val="005863A8"/>
    <w:rsid w:val="00586965"/>
    <w:rsid w:val="00587E77"/>
    <w:rsid w:val="005900F9"/>
    <w:rsid w:val="0059195A"/>
    <w:rsid w:val="00591A0E"/>
    <w:rsid w:val="005926A9"/>
    <w:rsid w:val="00592916"/>
    <w:rsid w:val="00593F69"/>
    <w:rsid w:val="005944EE"/>
    <w:rsid w:val="0059501A"/>
    <w:rsid w:val="00595195"/>
    <w:rsid w:val="0059546B"/>
    <w:rsid w:val="0059568F"/>
    <w:rsid w:val="005964A8"/>
    <w:rsid w:val="0059687B"/>
    <w:rsid w:val="00596982"/>
    <w:rsid w:val="0059782C"/>
    <w:rsid w:val="00597A04"/>
    <w:rsid w:val="005A0690"/>
    <w:rsid w:val="005A0700"/>
    <w:rsid w:val="005A27CA"/>
    <w:rsid w:val="005A3439"/>
    <w:rsid w:val="005A437F"/>
    <w:rsid w:val="005A43BD"/>
    <w:rsid w:val="005A442F"/>
    <w:rsid w:val="005A4743"/>
    <w:rsid w:val="005A5395"/>
    <w:rsid w:val="005A620B"/>
    <w:rsid w:val="005A79E5"/>
    <w:rsid w:val="005A7DBE"/>
    <w:rsid w:val="005B08F0"/>
    <w:rsid w:val="005B0D18"/>
    <w:rsid w:val="005B10E9"/>
    <w:rsid w:val="005B11B1"/>
    <w:rsid w:val="005B137F"/>
    <w:rsid w:val="005B13CC"/>
    <w:rsid w:val="005B1CB9"/>
    <w:rsid w:val="005B2AF6"/>
    <w:rsid w:val="005B2E51"/>
    <w:rsid w:val="005B3725"/>
    <w:rsid w:val="005B3787"/>
    <w:rsid w:val="005B4350"/>
    <w:rsid w:val="005B5C07"/>
    <w:rsid w:val="005B62B7"/>
    <w:rsid w:val="005B6519"/>
    <w:rsid w:val="005B69CC"/>
    <w:rsid w:val="005B6EE0"/>
    <w:rsid w:val="005B7416"/>
    <w:rsid w:val="005B7843"/>
    <w:rsid w:val="005B7FB4"/>
    <w:rsid w:val="005C18D2"/>
    <w:rsid w:val="005C1CEE"/>
    <w:rsid w:val="005C2ABA"/>
    <w:rsid w:val="005C3C7A"/>
    <w:rsid w:val="005C3E57"/>
    <w:rsid w:val="005C68CE"/>
    <w:rsid w:val="005D034C"/>
    <w:rsid w:val="005D22F1"/>
    <w:rsid w:val="005D237D"/>
    <w:rsid w:val="005D25EF"/>
    <w:rsid w:val="005D2AB6"/>
    <w:rsid w:val="005D2C71"/>
    <w:rsid w:val="005D2FB3"/>
    <w:rsid w:val="005D421A"/>
    <w:rsid w:val="005D448E"/>
    <w:rsid w:val="005D48B5"/>
    <w:rsid w:val="005D56AB"/>
    <w:rsid w:val="005D5865"/>
    <w:rsid w:val="005D7898"/>
    <w:rsid w:val="005E1086"/>
    <w:rsid w:val="005E167E"/>
    <w:rsid w:val="005E226E"/>
    <w:rsid w:val="005E2392"/>
    <w:rsid w:val="005E2636"/>
    <w:rsid w:val="005E2EC9"/>
    <w:rsid w:val="005E302E"/>
    <w:rsid w:val="005E3F15"/>
    <w:rsid w:val="005E410B"/>
    <w:rsid w:val="005E41B1"/>
    <w:rsid w:val="005E4FC4"/>
    <w:rsid w:val="005E50EF"/>
    <w:rsid w:val="005E577D"/>
    <w:rsid w:val="005E67C2"/>
    <w:rsid w:val="005E67D2"/>
    <w:rsid w:val="005E6A91"/>
    <w:rsid w:val="005E6BAC"/>
    <w:rsid w:val="005E7016"/>
    <w:rsid w:val="005E7F9F"/>
    <w:rsid w:val="005F09BE"/>
    <w:rsid w:val="005F0C00"/>
    <w:rsid w:val="005F1395"/>
    <w:rsid w:val="005F1496"/>
    <w:rsid w:val="005F1999"/>
    <w:rsid w:val="005F1AAC"/>
    <w:rsid w:val="005F20C6"/>
    <w:rsid w:val="005F2248"/>
    <w:rsid w:val="005F3002"/>
    <w:rsid w:val="005F328D"/>
    <w:rsid w:val="005F41BD"/>
    <w:rsid w:val="005F4D65"/>
    <w:rsid w:val="005F5003"/>
    <w:rsid w:val="005F5A17"/>
    <w:rsid w:val="005F5E3A"/>
    <w:rsid w:val="005F6ED5"/>
    <w:rsid w:val="005F77FC"/>
    <w:rsid w:val="0060073F"/>
    <w:rsid w:val="006015D7"/>
    <w:rsid w:val="00601B21"/>
    <w:rsid w:val="00602166"/>
    <w:rsid w:val="00602A40"/>
    <w:rsid w:val="00602E61"/>
    <w:rsid w:val="0060370D"/>
    <w:rsid w:val="00603C03"/>
    <w:rsid w:val="00603F63"/>
    <w:rsid w:val="00604060"/>
    <w:rsid w:val="006041F0"/>
    <w:rsid w:val="00605032"/>
    <w:rsid w:val="00605C6D"/>
    <w:rsid w:val="00606451"/>
    <w:rsid w:val="00606EEA"/>
    <w:rsid w:val="00606F3F"/>
    <w:rsid w:val="00607D47"/>
    <w:rsid w:val="00610994"/>
    <w:rsid w:val="00610F79"/>
    <w:rsid w:val="006112EB"/>
    <w:rsid w:val="00611314"/>
    <w:rsid w:val="006118BD"/>
    <w:rsid w:val="006120CA"/>
    <w:rsid w:val="006125AF"/>
    <w:rsid w:val="0061335B"/>
    <w:rsid w:val="00613700"/>
    <w:rsid w:val="00613C7B"/>
    <w:rsid w:val="00613FB1"/>
    <w:rsid w:val="00614024"/>
    <w:rsid w:val="006144C5"/>
    <w:rsid w:val="006144C7"/>
    <w:rsid w:val="00614906"/>
    <w:rsid w:val="00614E83"/>
    <w:rsid w:val="00615826"/>
    <w:rsid w:val="00616AAF"/>
    <w:rsid w:val="00617B93"/>
    <w:rsid w:val="00620288"/>
    <w:rsid w:val="00620DE0"/>
    <w:rsid w:val="00621C02"/>
    <w:rsid w:val="00621CF5"/>
    <w:rsid w:val="0062216A"/>
    <w:rsid w:val="0062303A"/>
    <w:rsid w:val="00623C76"/>
    <w:rsid w:val="00623D04"/>
    <w:rsid w:val="0062401C"/>
    <w:rsid w:val="00624174"/>
    <w:rsid w:val="0062440A"/>
    <w:rsid w:val="006258D7"/>
    <w:rsid w:val="00625928"/>
    <w:rsid w:val="00626241"/>
    <w:rsid w:val="00626CF8"/>
    <w:rsid w:val="0062716D"/>
    <w:rsid w:val="0062724F"/>
    <w:rsid w:val="00627B88"/>
    <w:rsid w:val="00627C56"/>
    <w:rsid w:val="006314AF"/>
    <w:rsid w:val="006318D3"/>
    <w:rsid w:val="006319DB"/>
    <w:rsid w:val="00631BCD"/>
    <w:rsid w:val="0063253C"/>
    <w:rsid w:val="0063258E"/>
    <w:rsid w:val="0063266E"/>
    <w:rsid w:val="00632FC2"/>
    <w:rsid w:val="00633A7A"/>
    <w:rsid w:val="00633C70"/>
    <w:rsid w:val="006340F5"/>
    <w:rsid w:val="006349CA"/>
    <w:rsid w:val="00634ED8"/>
    <w:rsid w:val="00635294"/>
    <w:rsid w:val="006357CD"/>
    <w:rsid w:val="00636286"/>
    <w:rsid w:val="0063633A"/>
    <w:rsid w:val="0063693F"/>
    <w:rsid w:val="00636CF3"/>
    <w:rsid w:val="00636D7D"/>
    <w:rsid w:val="00637111"/>
    <w:rsid w:val="00637408"/>
    <w:rsid w:val="00637B37"/>
    <w:rsid w:val="006402E7"/>
    <w:rsid w:val="00640798"/>
    <w:rsid w:val="006408D1"/>
    <w:rsid w:val="00640CB6"/>
    <w:rsid w:val="00640E9F"/>
    <w:rsid w:val="00641682"/>
    <w:rsid w:val="00641C25"/>
    <w:rsid w:val="00642312"/>
    <w:rsid w:val="00642868"/>
    <w:rsid w:val="00642BFC"/>
    <w:rsid w:val="00642CC1"/>
    <w:rsid w:val="0064401C"/>
    <w:rsid w:val="00644D26"/>
    <w:rsid w:val="00644F44"/>
    <w:rsid w:val="00645686"/>
    <w:rsid w:val="00645D0B"/>
    <w:rsid w:val="00646349"/>
    <w:rsid w:val="006477B5"/>
    <w:rsid w:val="006477C6"/>
    <w:rsid w:val="00647AFE"/>
    <w:rsid w:val="00650A52"/>
    <w:rsid w:val="00650B44"/>
    <w:rsid w:val="006512BC"/>
    <w:rsid w:val="00651CC6"/>
    <w:rsid w:val="00651E19"/>
    <w:rsid w:val="00652D56"/>
    <w:rsid w:val="00652DCE"/>
    <w:rsid w:val="00653A5A"/>
    <w:rsid w:val="00653D82"/>
    <w:rsid w:val="00653FAE"/>
    <w:rsid w:val="006545CF"/>
    <w:rsid w:val="00654857"/>
    <w:rsid w:val="00654906"/>
    <w:rsid w:val="0065540F"/>
    <w:rsid w:val="006554AC"/>
    <w:rsid w:val="00656431"/>
    <w:rsid w:val="00656F08"/>
    <w:rsid w:val="00656F1F"/>
    <w:rsid w:val="0065730B"/>
    <w:rsid w:val="006575F4"/>
    <w:rsid w:val="006579AE"/>
    <w:rsid w:val="006579E6"/>
    <w:rsid w:val="00660682"/>
    <w:rsid w:val="00660B1F"/>
    <w:rsid w:val="00660F74"/>
    <w:rsid w:val="00661143"/>
    <w:rsid w:val="00661893"/>
    <w:rsid w:val="006628F4"/>
    <w:rsid w:val="00663732"/>
    <w:rsid w:val="0066389A"/>
    <w:rsid w:val="00663EDC"/>
    <w:rsid w:val="0066435F"/>
    <w:rsid w:val="00665C86"/>
    <w:rsid w:val="00665F00"/>
    <w:rsid w:val="00666200"/>
    <w:rsid w:val="006667BE"/>
    <w:rsid w:val="006675DC"/>
    <w:rsid w:val="00667A21"/>
    <w:rsid w:val="00667DE8"/>
    <w:rsid w:val="00667E20"/>
    <w:rsid w:val="00671078"/>
    <w:rsid w:val="00671C07"/>
    <w:rsid w:val="00673091"/>
    <w:rsid w:val="00673325"/>
    <w:rsid w:val="00673584"/>
    <w:rsid w:val="006735F6"/>
    <w:rsid w:val="00673626"/>
    <w:rsid w:val="00674243"/>
    <w:rsid w:val="0067583A"/>
    <w:rsid w:val="006758CA"/>
    <w:rsid w:val="0067594A"/>
    <w:rsid w:val="00675B5F"/>
    <w:rsid w:val="00676BFB"/>
    <w:rsid w:val="0067720E"/>
    <w:rsid w:val="00677414"/>
    <w:rsid w:val="0067792D"/>
    <w:rsid w:val="00680193"/>
    <w:rsid w:val="00680A04"/>
    <w:rsid w:val="006819B5"/>
    <w:rsid w:val="00681FCD"/>
    <w:rsid w:val="00682335"/>
    <w:rsid w:val="00682EA5"/>
    <w:rsid w:val="006838B3"/>
    <w:rsid w:val="00684837"/>
    <w:rsid w:val="0068546F"/>
    <w:rsid w:val="0068547F"/>
    <w:rsid w:val="00685D66"/>
    <w:rsid w:val="00685FCD"/>
    <w:rsid w:val="0068625B"/>
    <w:rsid w:val="00686D80"/>
    <w:rsid w:val="006875D2"/>
    <w:rsid w:val="00687F37"/>
    <w:rsid w:val="00690686"/>
    <w:rsid w:val="00691210"/>
    <w:rsid w:val="0069226C"/>
    <w:rsid w:val="00692D00"/>
    <w:rsid w:val="00693022"/>
    <w:rsid w:val="0069307F"/>
    <w:rsid w:val="006931C3"/>
    <w:rsid w:val="0069345D"/>
    <w:rsid w:val="0069386B"/>
    <w:rsid w:val="00694312"/>
    <w:rsid w:val="00694895"/>
    <w:rsid w:val="00694F18"/>
    <w:rsid w:val="00695AA0"/>
    <w:rsid w:val="00696165"/>
    <w:rsid w:val="0069632F"/>
    <w:rsid w:val="00696BF0"/>
    <w:rsid w:val="00696FFD"/>
    <w:rsid w:val="00697138"/>
    <w:rsid w:val="006979AE"/>
    <w:rsid w:val="00697E2E"/>
    <w:rsid w:val="006A07BF"/>
    <w:rsid w:val="006A1A6C"/>
    <w:rsid w:val="006A25A2"/>
    <w:rsid w:val="006A3274"/>
    <w:rsid w:val="006A3B87"/>
    <w:rsid w:val="006A3D5A"/>
    <w:rsid w:val="006A3E73"/>
    <w:rsid w:val="006A46D7"/>
    <w:rsid w:val="006A4936"/>
    <w:rsid w:val="006A5CD9"/>
    <w:rsid w:val="006A6081"/>
    <w:rsid w:val="006A641D"/>
    <w:rsid w:val="006A6786"/>
    <w:rsid w:val="006A6A9D"/>
    <w:rsid w:val="006A6EFD"/>
    <w:rsid w:val="006A7735"/>
    <w:rsid w:val="006B0E3F"/>
    <w:rsid w:val="006B0E73"/>
    <w:rsid w:val="006B0F5C"/>
    <w:rsid w:val="006B10DA"/>
    <w:rsid w:val="006B11DC"/>
    <w:rsid w:val="006B1C85"/>
    <w:rsid w:val="006B1E3D"/>
    <w:rsid w:val="006B1E7E"/>
    <w:rsid w:val="006B1F70"/>
    <w:rsid w:val="006B2839"/>
    <w:rsid w:val="006B30BE"/>
    <w:rsid w:val="006B39B0"/>
    <w:rsid w:val="006B3A6D"/>
    <w:rsid w:val="006B4A4D"/>
    <w:rsid w:val="006B546E"/>
    <w:rsid w:val="006B5695"/>
    <w:rsid w:val="006B5892"/>
    <w:rsid w:val="006B5EB2"/>
    <w:rsid w:val="006B6597"/>
    <w:rsid w:val="006B6C87"/>
    <w:rsid w:val="006B7B2E"/>
    <w:rsid w:val="006C053F"/>
    <w:rsid w:val="006C1D63"/>
    <w:rsid w:val="006C27AD"/>
    <w:rsid w:val="006C43B1"/>
    <w:rsid w:val="006C475B"/>
    <w:rsid w:val="006C4B76"/>
    <w:rsid w:val="006C4D79"/>
    <w:rsid w:val="006C5EA7"/>
    <w:rsid w:val="006C6B24"/>
    <w:rsid w:val="006C73B1"/>
    <w:rsid w:val="006C78EB"/>
    <w:rsid w:val="006C7B0E"/>
    <w:rsid w:val="006C7D69"/>
    <w:rsid w:val="006D1660"/>
    <w:rsid w:val="006D2131"/>
    <w:rsid w:val="006D21E7"/>
    <w:rsid w:val="006D2737"/>
    <w:rsid w:val="006D2781"/>
    <w:rsid w:val="006D2F3F"/>
    <w:rsid w:val="006D3065"/>
    <w:rsid w:val="006D32E1"/>
    <w:rsid w:val="006D3368"/>
    <w:rsid w:val="006D46EB"/>
    <w:rsid w:val="006D480D"/>
    <w:rsid w:val="006D4FBD"/>
    <w:rsid w:val="006D551B"/>
    <w:rsid w:val="006D63E5"/>
    <w:rsid w:val="006D67E0"/>
    <w:rsid w:val="006D6EAE"/>
    <w:rsid w:val="006D7B79"/>
    <w:rsid w:val="006E0909"/>
    <w:rsid w:val="006E0A3D"/>
    <w:rsid w:val="006E10B0"/>
    <w:rsid w:val="006E14D5"/>
    <w:rsid w:val="006E1694"/>
    <w:rsid w:val="006E1753"/>
    <w:rsid w:val="006E1AF3"/>
    <w:rsid w:val="006E203B"/>
    <w:rsid w:val="006E2301"/>
    <w:rsid w:val="006E2D52"/>
    <w:rsid w:val="006E2E95"/>
    <w:rsid w:val="006E3911"/>
    <w:rsid w:val="006E3EC9"/>
    <w:rsid w:val="006E4223"/>
    <w:rsid w:val="006E4456"/>
    <w:rsid w:val="006E4773"/>
    <w:rsid w:val="006E5151"/>
    <w:rsid w:val="006E682A"/>
    <w:rsid w:val="006E6EE8"/>
    <w:rsid w:val="006E70F5"/>
    <w:rsid w:val="006E7A8E"/>
    <w:rsid w:val="006E7D57"/>
    <w:rsid w:val="006F0D34"/>
    <w:rsid w:val="006F104C"/>
    <w:rsid w:val="006F109C"/>
    <w:rsid w:val="006F15F2"/>
    <w:rsid w:val="006F1B67"/>
    <w:rsid w:val="006F1BDD"/>
    <w:rsid w:val="006F22FF"/>
    <w:rsid w:val="006F3CA8"/>
    <w:rsid w:val="006F4B34"/>
    <w:rsid w:val="006F4D9C"/>
    <w:rsid w:val="006F515F"/>
    <w:rsid w:val="006F64BA"/>
    <w:rsid w:val="006F64F2"/>
    <w:rsid w:val="006F6B49"/>
    <w:rsid w:val="006F74D0"/>
    <w:rsid w:val="0070001F"/>
    <w:rsid w:val="0070091D"/>
    <w:rsid w:val="00700B99"/>
    <w:rsid w:val="00701FBD"/>
    <w:rsid w:val="00702854"/>
    <w:rsid w:val="0070288C"/>
    <w:rsid w:val="00703F88"/>
    <w:rsid w:val="00704AFC"/>
    <w:rsid w:val="007051FC"/>
    <w:rsid w:val="007054B0"/>
    <w:rsid w:val="0070683D"/>
    <w:rsid w:val="00706DF7"/>
    <w:rsid w:val="00707782"/>
    <w:rsid w:val="007100BD"/>
    <w:rsid w:val="00710F4E"/>
    <w:rsid w:val="007124D5"/>
    <w:rsid w:val="00714465"/>
    <w:rsid w:val="00714880"/>
    <w:rsid w:val="007152AC"/>
    <w:rsid w:val="00715403"/>
    <w:rsid w:val="00715A9C"/>
    <w:rsid w:val="00715D81"/>
    <w:rsid w:val="00716555"/>
    <w:rsid w:val="0071669A"/>
    <w:rsid w:val="0071741C"/>
    <w:rsid w:val="00720439"/>
    <w:rsid w:val="00723250"/>
    <w:rsid w:val="007241B7"/>
    <w:rsid w:val="00725572"/>
    <w:rsid w:val="00725AED"/>
    <w:rsid w:val="007262B6"/>
    <w:rsid w:val="00727721"/>
    <w:rsid w:val="00727DE7"/>
    <w:rsid w:val="007305D8"/>
    <w:rsid w:val="00731004"/>
    <w:rsid w:val="00731200"/>
    <w:rsid w:val="00731A22"/>
    <w:rsid w:val="00731E20"/>
    <w:rsid w:val="00733AD3"/>
    <w:rsid w:val="007343E1"/>
    <w:rsid w:val="00734577"/>
    <w:rsid w:val="007356A2"/>
    <w:rsid w:val="00735723"/>
    <w:rsid w:val="007359BF"/>
    <w:rsid w:val="00735AC0"/>
    <w:rsid w:val="007361B8"/>
    <w:rsid w:val="0073648A"/>
    <w:rsid w:val="00736530"/>
    <w:rsid w:val="00736CB8"/>
    <w:rsid w:val="00737268"/>
    <w:rsid w:val="00737815"/>
    <w:rsid w:val="00740362"/>
    <w:rsid w:val="007408EA"/>
    <w:rsid w:val="0074168F"/>
    <w:rsid w:val="007416E2"/>
    <w:rsid w:val="007420DC"/>
    <w:rsid w:val="00742B90"/>
    <w:rsid w:val="007435F7"/>
    <w:rsid w:val="00743F74"/>
    <w:rsid w:val="0074434D"/>
    <w:rsid w:val="00744553"/>
    <w:rsid w:val="007457A2"/>
    <w:rsid w:val="007459A0"/>
    <w:rsid w:val="0074629C"/>
    <w:rsid w:val="00746FC3"/>
    <w:rsid w:val="00747216"/>
    <w:rsid w:val="007477C5"/>
    <w:rsid w:val="007502F1"/>
    <w:rsid w:val="00750D61"/>
    <w:rsid w:val="00751CBC"/>
    <w:rsid w:val="0075297F"/>
    <w:rsid w:val="0075309E"/>
    <w:rsid w:val="00753A1F"/>
    <w:rsid w:val="00753BC8"/>
    <w:rsid w:val="0075481A"/>
    <w:rsid w:val="00755642"/>
    <w:rsid w:val="007561A9"/>
    <w:rsid w:val="00756365"/>
    <w:rsid w:val="00756836"/>
    <w:rsid w:val="00756DD5"/>
    <w:rsid w:val="007570C4"/>
    <w:rsid w:val="0075744C"/>
    <w:rsid w:val="00757CB2"/>
    <w:rsid w:val="007605B8"/>
    <w:rsid w:val="0076075E"/>
    <w:rsid w:val="00760A49"/>
    <w:rsid w:val="00761E2D"/>
    <w:rsid w:val="00763783"/>
    <w:rsid w:val="0076649A"/>
    <w:rsid w:val="00766859"/>
    <w:rsid w:val="0076741B"/>
    <w:rsid w:val="00767ADA"/>
    <w:rsid w:val="007701B4"/>
    <w:rsid w:val="00771211"/>
    <w:rsid w:val="00771B1E"/>
    <w:rsid w:val="007727EF"/>
    <w:rsid w:val="00773C95"/>
    <w:rsid w:val="007740D4"/>
    <w:rsid w:val="007744D0"/>
    <w:rsid w:val="0077489D"/>
    <w:rsid w:val="0077511B"/>
    <w:rsid w:val="00775A71"/>
    <w:rsid w:val="00776800"/>
    <w:rsid w:val="00776AB9"/>
    <w:rsid w:val="00777285"/>
    <w:rsid w:val="00777EC0"/>
    <w:rsid w:val="007802FA"/>
    <w:rsid w:val="00780565"/>
    <w:rsid w:val="0078064F"/>
    <w:rsid w:val="0078171E"/>
    <w:rsid w:val="00782547"/>
    <w:rsid w:val="00782EF3"/>
    <w:rsid w:val="007849DA"/>
    <w:rsid w:val="0078652A"/>
    <w:rsid w:val="0078657B"/>
    <w:rsid w:val="0078658E"/>
    <w:rsid w:val="00786663"/>
    <w:rsid w:val="00790FC8"/>
    <w:rsid w:val="007920E2"/>
    <w:rsid w:val="00792D2D"/>
    <w:rsid w:val="00792DA2"/>
    <w:rsid w:val="00794CA5"/>
    <w:rsid w:val="0079566E"/>
    <w:rsid w:val="00795785"/>
    <w:rsid w:val="00795B09"/>
    <w:rsid w:val="00795B34"/>
    <w:rsid w:val="007962F7"/>
    <w:rsid w:val="00796835"/>
    <w:rsid w:val="00796AFB"/>
    <w:rsid w:val="00796B73"/>
    <w:rsid w:val="00796F05"/>
    <w:rsid w:val="0079729B"/>
    <w:rsid w:val="00797327"/>
    <w:rsid w:val="007A067F"/>
    <w:rsid w:val="007A16AD"/>
    <w:rsid w:val="007A1787"/>
    <w:rsid w:val="007A17A4"/>
    <w:rsid w:val="007A1E21"/>
    <w:rsid w:val="007A1EFE"/>
    <w:rsid w:val="007A2045"/>
    <w:rsid w:val="007A22BD"/>
    <w:rsid w:val="007A34A3"/>
    <w:rsid w:val="007A3820"/>
    <w:rsid w:val="007A3D6F"/>
    <w:rsid w:val="007A3F18"/>
    <w:rsid w:val="007A403F"/>
    <w:rsid w:val="007A4826"/>
    <w:rsid w:val="007A630A"/>
    <w:rsid w:val="007A7156"/>
    <w:rsid w:val="007A771A"/>
    <w:rsid w:val="007B0110"/>
    <w:rsid w:val="007B02B5"/>
    <w:rsid w:val="007B1225"/>
    <w:rsid w:val="007B15AF"/>
    <w:rsid w:val="007B1770"/>
    <w:rsid w:val="007B1876"/>
    <w:rsid w:val="007B1CA6"/>
    <w:rsid w:val="007B2B22"/>
    <w:rsid w:val="007B3054"/>
    <w:rsid w:val="007B4D3E"/>
    <w:rsid w:val="007B52CE"/>
    <w:rsid w:val="007B5A9D"/>
    <w:rsid w:val="007B5D38"/>
    <w:rsid w:val="007B5E40"/>
    <w:rsid w:val="007B5FF6"/>
    <w:rsid w:val="007B62DE"/>
    <w:rsid w:val="007B6D71"/>
    <w:rsid w:val="007B772A"/>
    <w:rsid w:val="007B7A56"/>
    <w:rsid w:val="007B7C70"/>
    <w:rsid w:val="007B7DEB"/>
    <w:rsid w:val="007C0321"/>
    <w:rsid w:val="007C0449"/>
    <w:rsid w:val="007C1611"/>
    <w:rsid w:val="007C196C"/>
    <w:rsid w:val="007C2174"/>
    <w:rsid w:val="007C420E"/>
    <w:rsid w:val="007C4309"/>
    <w:rsid w:val="007C4997"/>
    <w:rsid w:val="007C4BFF"/>
    <w:rsid w:val="007C53F6"/>
    <w:rsid w:val="007C6196"/>
    <w:rsid w:val="007C62B8"/>
    <w:rsid w:val="007C6490"/>
    <w:rsid w:val="007C6F58"/>
    <w:rsid w:val="007C75C7"/>
    <w:rsid w:val="007C7903"/>
    <w:rsid w:val="007C7B27"/>
    <w:rsid w:val="007D06D5"/>
    <w:rsid w:val="007D2151"/>
    <w:rsid w:val="007D2311"/>
    <w:rsid w:val="007D2784"/>
    <w:rsid w:val="007D27DD"/>
    <w:rsid w:val="007D2A72"/>
    <w:rsid w:val="007D3B90"/>
    <w:rsid w:val="007D3E55"/>
    <w:rsid w:val="007D42CC"/>
    <w:rsid w:val="007D4837"/>
    <w:rsid w:val="007D57ED"/>
    <w:rsid w:val="007D5DE4"/>
    <w:rsid w:val="007D7C3A"/>
    <w:rsid w:val="007E0777"/>
    <w:rsid w:val="007E1341"/>
    <w:rsid w:val="007E1B41"/>
    <w:rsid w:val="007E1EC4"/>
    <w:rsid w:val="007E254E"/>
    <w:rsid w:val="007E30B9"/>
    <w:rsid w:val="007E31C1"/>
    <w:rsid w:val="007E3B13"/>
    <w:rsid w:val="007E54E3"/>
    <w:rsid w:val="007E603F"/>
    <w:rsid w:val="007E74F1"/>
    <w:rsid w:val="007F0870"/>
    <w:rsid w:val="007F0D2A"/>
    <w:rsid w:val="007F0F0C"/>
    <w:rsid w:val="007F1288"/>
    <w:rsid w:val="007F1C1E"/>
    <w:rsid w:val="007F1D81"/>
    <w:rsid w:val="007F2027"/>
    <w:rsid w:val="007F263D"/>
    <w:rsid w:val="007F305F"/>
    <w:rsid w:val="007F3A77"/>
    <w:rsid w:val="007F3CD4"/>
    <w:rsid w:val="007F3ECC"/>
    <w:rsid w:val="007F4898"/>
    <w:rsid w:val="007F4DB5"/>
    <w:rsid w:val="007F4ECC"/>
    <w:rsid w:val="007F6E37"/>
    <w:rsid w:val="007F7CCB"/>
    <w:rsid w:val="00800A8A"/>
    <w:rsid w:val="0080155C"/>
    <w:rsid w:val="008015EE"/>
    <w:rsid w:val="008020E6"/>
    <w:rsid w:val="00802153"/>
    <w:rsid w:val="0080238D"/>
    <w:rsid w:val="00802B30"/>
    <w:rsid w:val="00802D40"/>
    <w:rsid w:val="00802E7B"/>
    <w:rsid w:val="00803F6D"/>
    <w:rsid w:val="00804710"/>
    <w:rsid w:val="008052E1"/>
    <w:rsid w:val="00805E18"/>
    <w:rsid w:val="0080616A"/>
    <w:rsid w:val="008061BB"/>
    <w:rsid w:val="00806486"/>
    <w:rsid w:val="008074E2"/>
    <w:rsid w:val="00807610"/>
    <w:rsid w:val="00807B61"/>
    <w:rsid w:val="008107B8"/>
    <w:rsid w:val="00810B95"/>
    <w:rsid w:val="00811D31"/>
    <w:rsid w:val="00813461"/>
    <w:rsid w:val="00813610"/>
    <w:rsid w:val="00814245"/>
    <w:rsid w:val="00814A77"/>
    <w:rsid w:val="00815546"/>
    <w:rsid w:val="00815765"/>
    <w:rsid w:val="008158E9"/>
    <w:rsid w:val="00815BE8"/>
    <w:rsid w:val="00815FCE"/>
    <w:rsid w:val="00817099"/>
    <w:rsid w:val="0081758E"/>
    <w:rsid w:val="00817F90"/>
    <w:rsid w:val="0082094D"/>
    <w:rsid w:val="00820BF9"/>
    <w:rsid w:val="00821491"/>
    <w:rsid w:val="00821948"/>
    <w:rsid w:val="008223F3"/>
    <w:rsid w:val="00822F2C"/>
    <w:rsid w:val="00823BFF"/>
    <w:rsid w:val="00823DEE"/>
    <w:rsid w:val="00824706"/>
    <w:rsid w:val="00825332"/>
    <w:rsid w:val="00827167"/>
    <w:rsid w:val="008278C4"/>
    <w:rsid w:val="00827B3D"/>
    <w:rsid w:val="0083024E"/>
    <w:rsid w:val="008305E8"/>
    <w:rsid w:val="008310F0"/>
    <w:rsid w:val="00831A33"/>
    <w:rsid w:val="008327EF"/>
    <w:rsid w:val="00832968"/>
    <w:rsid w:val="008330B9"/>
    <w:rsid w:val="008344B8"/>
    <w:rsid w:val="00834F9A"/>
    <w:rsid w:val="008359E3"/>
    <w:rsid w:val="00836165"/>
    <w:rsid w:val="00836237"/>
    <w:rsid w:val="00836ACA"/>
    <w:rsid w:val="00837258"/>
    <w:rsid w:val="0084086A"/>
    <w:rsid w:val="00841B3C"/>
    <w:rsid w:val="00841E13"/>
    <w:rsid w:val="00841F32"/>
    <w:rsid w:val="008425CD"/>
    <w:rsid w:val="00845BF4"/>
    <w:rsid w:val="00845C80"/>
    <w:rsid w:val="008462D5"/>
    <w:rsid w:val="0084640A"/>
    <w:rsid w:val="0084640C"/>
    <w:rsid w:val="008472E5"/>
    <w:rsid w:val="008502E8"/>
    <w:rsid w:val="00850D60"/>
    <w:rsid w:val="0085133A"/>
    <w:rsid w:val="008519D3"/>
    <w:rsid w:val="00851AFF"/>
    <w:rsid w:val="00852BE3"/>
    <w:rsid w:val="00853E64"/>
    <w:rsid w:val="00854012"/>
    <w:rsid w:val="00854165"/>
    <w:rsid w:val="008541DB"/>
    <w:rsid w:val="008546D4"/>
    <w:rsid w:val="00855623"/>
    <w:rsid w:val="008556DD"/>
    <w:rsid w:val="00855D42"/>
    <w:rsid w:val="00856088"/>
    <w:rsid w:val="00856A5B"/>
    <w:rsid w:val="00856F9C"/>
    <w:rsid w:val="008571DC"/>
    <w:rsid w:val="0085787E"/>
    <w:rsid w:val="00857A64"/>
    <w:rsid w:val="00860826"/>
    <w:rsid w:val="00860E21"/>
    <w:rsid w:val="008623D2"/>
    <w:rsid w:val="00862454"/>
    <w:rsid w:val="00862E7B"/>
    <w:rsid w:val="00863117"/>
    <w:rsid w:val="0086388B"/>
    <w:rsid w:val="008638DE"/>
    <w:rsid w:val="00863CBD"/>
    <w:rsid w:val="008642E5"/>
    <w:rsid w:val="00864488"/>
    <w:rsid w:val="00864801"/>
    <w:rsid w:val="00864875"/>
    <w:rsid w:val="00864E9A"/>
    <w:rsid w:val="00865565"/>
    <w:rsid w:val="0086592A"/>
    <w:rsid w:val="008660DD"/>
    <w:rsid w:val="00866649"/>
    <w:rsid w:val="00866A5B"/>
    <w:rsid w:val="008672F6"/>
    <w:rsid w:val="008677EB"/>
    <w:rsid w:val="008679D9"/>
    <w:rsid w:val="00870A36"/>
    <w:rsid w:val="00871A9D"/>
    <w:rsid w:val="00871E98"/>
    <w:rsid w:val="00872D93"/>
    <w:rsid w:val="0087482D"/>
    <w:rsid w:val="00874BBE"/>
    <w:rsid w:val="00874E63"/>
    <w:rsid w:val="008766A7"/>
    <w:rsid w:val="0088003E"/>
    <w:rsid w:val="00880470"/>
    <w:rsid w:val="00880D94"/>
    <w:rsid w:val="008810CF"/>
    <w:rsid w:val="00882502"/>
    <w:rsid w:val="00882D51"/>
    <w:rsid w:val="00883D99"/>
    <w:rsid w:val="00883E10"/>
    <w:rsid w:val="008841E5"/>
    <w:rsid w:val="0088457D"/>
    <w:rsid w:val="008848C6"/>
    <w:rsid w:val="00884FA1"/>
    <w:rsid w:val="00885294"/>
    <w:rsid w:val="00886A60"/>
    <w:rsid w:val="00886DCE"/>
    <w:rsid w:val="00886F64"/>
    <w:rsid w:val="0088773C"/>
    <w:rsid w:val="008910D5"/>
    <w:rsid w:val="0089128B"/>
    <w:rsid w:val="008914FE"/>
    <w:rsid w:val="008919C1"/>
    <w:rsid w:val="008924DE"/>
    <w:rsid w:val="008935A4"/>
    <w:rsid w:val="00893EE8"/>
    <w:rsid w:val="00893F46"/>
    <w:rsid w:val="008940E3"/>
    <w:rsid w:val="00894610"/>
    <w:rsid w:val="00895193"/>
    <w:rsid w:val="00895BA7"/>
    <w:rsid w:val="00896A8B"/>
    <w:rsid w:val="00897AF8"/>
    <w:rsid w:val="008A01CB"/>
    <w:rsid w:val="008A17C7"/>
    <w:rsid w:val="008A1E31"/>
    <w:rsid w:val="008A2046"/>
    <w:rsid w:val="008A2700"/>
    <w:rsid w:val="008A2AFF"/>
    <w:rsid w:val="008A2C3E"/>
    <w:rsid w:val="008A3179"/>
    <w:rsid w:val="008A343E"/>
    <w:rsid w:val="008A3755"/>
    <w:rsid w:val="008A4510"/>
    <w:rsid w:val="008A5107"/>
    <w:rsid w:val="008A560F"/>
    <w:rsid w:val="008A64C6"/>
    <w:rsid w:val="008A68FB"/>
    <w:rsid w:val="008A6E78"/>
    <w:rsid w:val="008A7158"/>
    <w:rsid w:val="008B05FA"/>
    <w:rsid w:val="008B1692"/>
    <w:rsid w:val="008B19DC"/>
    <w:rsid w:val="008B1A16"/>
    <w:rsid w:val="008B1B07"/>
    <w:rsid w:val="008B2401"/>
    <w:rsid w:val="008B25A2"/>
    <w:rsid w:val="008B264F"/>
    <w:rsid w:val="008B3459"/>
    <w:rsid w:val="008B4478"/>
    <w:rsid w:val="008B5C0C"/>
    <w:rsid w:val="008B5C45"/>
    <w:rsid w:val="008B6500"/>
    <w:rsid w:val="008B6D77"/>
    <w:rsid w:val="008B6F83"/>
    <w:rsid w:val="008B7426"/>
    <w:rsid w:val="008B7534"/>
    <w:rsid w:val="008B7F99"/>
    <w:rsid w:val="008B7FD8"/>
    <w:rsid w:val="008C0833"/>
    <w:rsid w:val="008C1108"/>
    <w:rsid w:val="008C2973"/>
    <w:rsid w:val="008C4168"/>
    <w:rsid w:val="008C54A8"/>
    <w:rsid w:val="008C5635"/>
    <w:rsid w:val="008C5E8E"/>
    <w:rsid w:val="008C5F5E"/>
    <w:rsid w:val="008C6324"/>
    <w:rsid w:val="008C64C4"/>
    <w:rsid w:val="008C7FFB"/>
    <w:rsid w:val="008D00CA"/>
    <w:rsid w:val="008D00E4"/>
    <w:rsid w:val="008D0B77"/>
    <w:rsid w:val="008D1494"/>
    <w:rsid w:val="008D22C1"/>
    <w:rsid w:val="008D2CDD"/>
    <w:rsid w:val="008D2DA8"/>
    <w:rsid w:val="008D2DF6"/>
    <w:rsid w:val="008D316F"/>
    <w:rsid w:val="008D35EF"/>
    <w:rsid w:val="008D3769"/>
    <w:rsid w:val="008D3B7A"/>
    <w:rsid w:val="008D4687"/>
    <w:rsid w:val="008D4902"/>
    <w:rsid w:val="008D56B8"/>
    <w:rsid w:val="008D5A4B"/>
    <w:rsid w:val="008D74D5"/>
    <w:rsid w:val="008D7C61"/>
    <w:rsid w:val="008D7FC1"/>
    <w:rsid w:val="008E0ED1"/>
    <w:rsid w:val="008E12B7"/>
    <w:rsid w:val="008E1A8E"/>
    <w:rsid w:val="008E1D53"/>
    <w:rsid w:val="008E3A07"/>
    <w:rsid w:val="008E3BEF"/>
    <w:rsid w:val="008E3E90"/>
    <w:rsid w:val="008E409D"/>
    <w:rsid w:val="008E437D"/>
    <w:rsid w:val="008E4488"/>
    <w:rsid w:val="008E44FF"/>
    <w:rsid w:val="008E50D3"/>
    <w:rsid w:val="008E537B"/>
    <w:rsid w:val="008E5DE0"/>
    <w:rsid w:val="008E6ACD"/>
    <w:rsid w:val="008E6B8F"/>
    <w:rsid w:val="008E6EA3"/>
    <w:rsid w:val="008E72FC"/>
    <w:rsid w:val="008E7CD9"/>
    <w:rsid w:val="008E7FD1"/>
    <w:rsid w:val="008F010D"/>
    <w:rsid w:val="008F102A"/>
    <w:rsid w:val="008F1FB2"/>
    <w:rsid w:val="008F29BE"/>
    <w:rsid w:val="008F2B72"/>
    <w:rsid w:val="008F2BD2"/>
    <w:rsid w:val="008F4274"/>
    <w:rsid w:val="008F495A"/>
    <w:rsid w:val="008F4AE5"/>
    <w:rsid w:val="008F4AFC"/>
    <w:rsid w:val="008F4C66"/>
    <w:rsid w:val="008F4DFA"/>
    <w:rsid w:val="008F51EB"/>
    <w:rsid w:val="008F573D"/>
    <w:rsid w:val="008F5E73"/>
    <w:rsid w:val="008F67AE"/>
    <w:rsid w:val="008F72D9"/>
    <w:rsid w:val="008F78A0"/>
    <w:rsid w:val="008F7B08"/>
    <w:rsid w:val="00900197"/>
    <w:rsid w:val="00901121"/>
    <w:rsid w:val="00901C40"/>
    <w:rsid w:val="00901C84"/>
    <w:rsid w:val="0090231F"/>
    <w:rsid w:val="00902F55"/>
    <w:rsid w:val="00903133"/>
    <w:rsid w:val="0090394F"/>
    <w:rsid w:val="00903A00"/>
    <w:rsid w:val="00903CD7"/>
    <w:rsid w:val="00904237"/>
    <w:rsid w:val="00904D58"/>
    <w:rsid w:val="00904DEA"/>
    <w:rsid w:val="00904E4C"/>
    <w:rsid w:val="00905001"/>
    <w:rsid w:val="0090503E"/>
    <w:rsid w:val="0090582B"/>
    <w:rsid w:val="009060C0"/>
    <w:rsid w:val="00906B10"/>
    <w:rsid w:val="00907106"/>
    <w:rsid w:val="009078EF"/>
    <w:rsid w:val="00910AC6"/>
    <w:rsid w:val="00910B4A"/>
    <w:rsid w:val="009114A2"/>
    <w:rsid w:val="00911566"/>
    <w:rsid w:val="0091204B"/>
    <w:rsid w:val="009122A2"/>
    <w:rsid w:val="009125BE"/>
    <w:rsid w:val="00912E1C"/>
    <w:rsid w:val="00912F96"/>
    <w:rsid w:val="009131D2"/>
    <w:rsid w:val="0091338F"/>
    <w:rsid w:val="009133F5"/>
    <w:rsid w:val="00914304"/>
    <w:rsid w:val="00914529"/>
    <w:rsid w:val="00914ABD"/>
    <w:rsid w:val="00914AEC"/>
    <w:rsid w:val="00914B43"/>
    <w:rsid w:val="00914E33"/>
    <w:rsid w:val="009165A1"/>
    <w:rsid w:val="0091733C"/>
    <w:rsid w:val="009174DA"/>
    <w:rsid w:val="0091756F"/>
    <w:rsid w:val="009179ED"/>
    <w:rsid w:val="009200F4"/>
    <w:rsid w:val="009202B8"/>
    <w:rsid w:val="0092090E"/>
    <w:rsid w:val="00920A27"/>
    <w:rsid w:val="00920D2E"/>
    <w:rsid w:val="00920F94"/>
    <w:rsid w:val="00921216"/>
    <w:rsid w:val="009216CC"/>
    <w:rsid w:val="00922244"/>
    <w:rsid w:val="0092233A"/>
    <w:rsid w:val="00922CA7"/>
    <w:rsid w:val="00923027"/>
    <w:rsid w:val="00923C98"/>
    <w:rsid w:val="00923D98"/>
    <w:rsid w:val="00925404"/>
    <w:rsid w:val="00926083"/>
    <w:rsid w:val="00926E1E"/>
    <w:rsid w:val="00927323"/>
    <w:rsid w:val="00927418"/>
    <w:rsid w:val="009275C9"/>
    <w:rsid w:val="00927683"/>
    <w:rsid w:val="00927B8C"/>
    <w:rsid w:val="0093065C"/>
    <w:rsid w:val="00930CDC"/>
    <w:rsid w:val="00930D08"/>
    <w:rsid w:val="00931466"/>
    <w:rsid w:val="00931D4C"/>
    <w:rsid w:val="00932D69"/>
    <w:rsid w:val="009330CD"/>
    <w:rsid w:val="009337F7"/>
    <w:rsid w:val="009346E0"/>
    <w:rsid w:val="00935589"/>
    <w:rsid w:val="00935A91"/>
    <w:rsid w:val="00935AA4"/>
    <w:rsid w:val="00935AAC"/>
    <w:rsid w:val="00935EFA"/>
    <w:rsid w:val="009412B7"/>
    <w:rsid w:val="009417B9"/>
    <w:rsid w:val="00941A9F"/>
    <w:rsid w:val="00941C58"/>
    <w:rsid w:val="00941F63"/>
    <w:rsid w:val="00942486"/>
    <w:rsid w:val="0094254E"/>
    <w:rsid w:val="00942CB6"/>
    <w:rsid w:val="009433F0"/>
    <w:rsid w:val="00944647"/>
    <w:rsid w:val="00944A80"/>
    <w:rsid w:val="0094532F"/>
    <w:rsid w:val="00945337"/>
    <w:rsid w:val="0094626A"/>
    <w:rsid w:val="00950283"/>
    <w:rsid w:val="00950769"/>
    <w:rsid w:val="00952253"/>
    <w:rsid w:val="00952F2F"/>
    <w:rsid w:val="009534D6"/>
    <w:rsid w:val="0095377A"/>
    <w:rsid w:val="00953989"/>
    <w:rsid w:val="00954679"/>
    <w:rsid w:val="0095565C"/>
    <w:rsid w:val="00955846"/>
    <w:rsid w:val="00955B93"/>
    <w:rsid w:val="00955F48"/>
    <w:rsid w:val="00957ABC"/>
    <w:rsid w:val="00957ED8"/>
    <w:rsid w:val="009600FE"/>
    <w:rsid w:val="0096033F"/>
    <w:rsid w:val="009607BD"/>
    <w:rsid w:val="009615A9"/>
    <w:rsid w:val="0096347A"/>
    <w:rsid w:val="00963D3F"/>
    <w:rsid w:val="00964399"/>
    <w:rsid w:val="0096448C"/>
    <w:rsid w:val="00964AB6"/>
    <w:rsid w:val="00964D43"/>
    <w:rsid w:val="009656DF"/>
    <w:rsid w:val="00965F45"/>
    <w:rsid w:val="00966145"/>
    <w:rsid w:val="0096633C"/>
    <w:rsid w:val="00966F9A"/>
    <w:rsid w:val="009709DC"/>
    <w:rsid w:val="009714F0"/>
    <w:rsid w:val="00972881"/>
    <w:rsid w:val="009748DC"/>
    <w:rsid w:val="00975281"/>
    <w:rsid w:val="00976EC0"/>
    <w:rsid w:val="00977B8A"/>
    <w:rsid w:val="009806A0"/>
    <w:rsid w:val="00981126"/>
    <w:rsid w:val="00981144"/>
    <w:rsid w:val="00981962"/>
    <w:rsid w:val="009822C3"/>
    <w:rsid w:val="00982971"/>
    <w:rsid w:val="00983114"/>
    <w:rsid w:val="009845AD"/>
    <w:rsid w:val="00984835"/>
    <w:rsid w:val="009848F6"/>
    <w:rsid w:val="00984BD6"/>
    <w:rsid w:val="00985B02"/>
    <w:rsid w:val="00985EF8"/>
    <w:rsid w:val="0098639B"/>
    <w:rsid w:val="00986641"/>
    <w:rsid w:val="00986DF0"/>
    <w:rsid w:val="00987DD5"/>
    <w:rsid w:val="00990875"/>
    <w:rsid w:val="00991002"/>
    <w:rsid w:val="00991060"/>
    <w:rsid w:val="009918CB"/>
    <w:rsid w:val="00992192"/>
    <w:rsid w:val="00992464"/>
    <w:rsid w:val="0099246B"/>
    <w:rsid w:val="009933EF"/>
    <w:rsid w:val="00993BF8"/>
    <w:rsid w:val="00993CEF"/>
    <w:rsid w:val="0099480B"/>
    <w:rsid w:val="00995BA0"/>
    <w:rsid w:val="009965DA"/>
    <w:rsid w:val="0099725C"/>
    <w:rsid w:val="009973E6"/>
    <w:rsid w:val="009975D0"/>
    <w:rsid w:val="009976D2"/>
    <w:rsid w:val="00997975"/>
    <w:rsid w:val="00997C8B"/>
    <w:rsid w:val="009A05BE"/>
    <w:rsid w:val="009A10D2"/>
    <w:rsid w:val="009A12BA"/>
    <w:rsid w:val="009A1933"/>
    <w:rsid w:val="009A1FBF"/>
    <w:rsid w:val="009A3239"/>
    <w:rsid w:val="009A3291"/>
    <w:rsid w:val="009A418B"/>
    <w:rsid w:val="009A426F"/>
    <w:rsid w:val="009A42D5"/>
    <w:rsid w:val="009A441C"/>
    <w:rsid w:val="009A4473"/>
    <w:rsid w:val="009A51D6"/>
    <w:rsid w:val="009A53D5"/>
    <w:rsid w:val="009A5950"/>
    <w:rsid w:val="009A644D"/>
    <w:rsid w:val="009A7B15"/>
    <w:rsid w:val="009B05C9"/>
    <w:rsid w:val="009B0F62"/>
    <w:rsid w:val="009B110B"/>
    <w:rsid w:val="009B183D"/>
    <w:rsid w:val="009B22D4"/>
    <w:rsid w:val="009B286C"/>
    <w:rsid w:val="009B341C"/>
    <w:rsid w:val="009B3A58"/>
    <w:rsid w:val="009B4226"/>
    <w:rsid w:val="009B4830"/>
    <w:rsid w:val="009B51E4"/>
    <w:rsid w:val="009B5E1C"/>
    <w:rsid w:val="009B630B"/>
    <w:rsid w:val="009B6C18"/>
    <w:rsid w:val="009B7447"/>
    <w:rsid w:val="009B7591"/>
    <w:rsid w:val="009B7820"/>
    <w:rsid w:val="009B7D87"/>
    <w:rsid w:val="009C0558"/>
    <w:rsid w:val="009C0B66"/>
    <w:rsid w:val="009C11FE"/>
    <w:rsid w:val="009C151C"/>
    <w:rsid w:val="009C1A32"/>
    <w:rsid w:val="009C2014"/>
    <w:rsid w:val="009C2E1D"/>
    <w:rsid w:val="009C3C57"/>
    <w:rsid w:val="009C3CFB"/>
    <w:rsid w:val="009C3DF3"/>
    <w:rsid w:val="009C3DFA"/>
    <w:rsid w:val="009C3FAF"/>
    <w:rsid w:val="009C4304"/>
    <w:rsid w:val="009C440A"/>
    <w:rsid w:val="009C47B4"/>
    <w:rsid w:val="009C4D22"/>
    <w:rsid w:val="009C576A"/>
    <w:rsid w:val="009C5BAD"/>
    <w:rsid w:val="009C5D39"/>
    <w:rsid w:val="009C5FF5"/>
    <w:rsid w:val="009C639F"/>
    <w:rsid w:val="009C65C5"/>
    <w:rsid w:val="009C69BC"/>
    <w:rsid w:val="009C6D9F"/>
    <w:rsid w:val="009C7C3D"/>
    <w:rsid w:val="009D01FB"/>
    <w:rsid w:val="009D0FB1"/>
    <w:rsid w:val="009D16DE"/>
    <w:rsid w:val="009D2CD4"/>
    <w:rsid w:val="009D3062"/>
    <w:rsid w:val="009D3119"/>
    <w:rsid w:val="009D315E"/>
    <w:rsid w:val="009D32AB"/>
    <w:rsid w:val="009D357D"/>
    <w:rsid w:val="009D49C5"/>
    <w:rsid w:val="009D5125"/>
    <w:rsid w:val="009D583E"/>
    <w:rsid w:val="009D60B8"/>
    <w:rsid w:val="009D632E"/>
    <w:rsid w:val="009D647B"/>
    <w:rsid w:val="009D6DB6"/>
    <w:rsid w:val="009D7D4B"/>
    <w:rsid w:val="009D7EC8"/>
    <w:rsid w:val="009E03E8"/>
    <w:rsid w:val="009E1CEC"/>
    <w:rsid w:val="009E2717"/>
    <w:rsid w:val="009E2B9D"/>
    <w:rsid w:val="009E3341"/>
    <w:rsid w:val="009E36ED"/>
    <w:rsid w:val="009E3C8C"/>
    <w:rsid w:val="009E46FE"/>
    <w:rsid w:val="009E4EA7"/>
    <w:rsid w:val="009E5F1F"/>
    <w:rsid w:val="009E5FC9"/>
    <w:rsid w:val="009E63C8"/>
    <w:rsid w:val="009E641F"/>
    <w:rsid w:val="009E6967"/>
    <w:rsid w:val="009E6B77"/>
    <w:rsid w:val="009E6B95"/>
    <w:rsid w:val="009E7598"/>
    <w:rsid w:val="009F1355"/>
    <w:rsid w:val="009F2C44"/>
    <w:rsid w:val="009F34C8"/>
    <w:rsid w:val="009F3829"/>
    <w:rsid w:val="009F460A"/>
    <w:rsid w:val="009F5D4B"/>
    <w:rsid w:val="009F64E8"/>
    <w:rsid w:val="009F67C2"/>
    <w:rsid w:val="009F7BCC"/>
    <w:rsid w:val="009F7E69"/>
    <w:rsid w:val="00A001A0"/>
    <w:rsid w:val="00A00D02"/>
    <w:rsid w:val="00A00F32"/>
    <w:rsid w:val="00A01E3D"/>
    <w:rsid w:val="00A0270C"/>
    <w:rsid w:val="00A02A6B"/>
    <w:rsid w:val="00A02E92"/>
    <w:rsid w:val="00A03DB8"/>
    <w:rsid w:val="00A0427A"/>
    <w:rsid w:val="00A04286"/>
    <w:rsid w:val="00A04351"/>
    <w:rsid w:val="00A043FB"/>
    <w:rsid w:val="00A04FF2"/>
    <w:rsid w:val="00A05377"/>
    <w:rsid w:val="00A059E9"/>
    <w:rsid w:val="00A05B4A"/>
    <w:rsid w:val="00A05D78"/>
    <w:rsid w:val="00A06244"/>
    <w:rsid w:val="00A06BE4"/>
    <w:rsid w:val="00A06F38"/>
    <w:rsid w:val="00A0729C"/>
    <w:rsid w:val="00A07442"/>
    <w:rsid w:val="00A07779"/>
    <w:rsid w:val="00A077F1"/>
    <w:rsid w:val="00A10FDC"/>
    <w:rsid w:val="00A115F9"/>
    <w:rsid w:val="00A1166A"/>
    <w:rsid w:val="00A117F4"/>
    <w:rsid w:val="00A1282D"/>
    <w:rsid w:val="00A13DD6"/>
    <w:rsid w:val="00A144F8"/>
    <w:rsid w:val="00A1464C"/>
    <w:rsid w:val="00A146B3"/>
    <w:rsid w:val="00A15454"/>
    <w:rsid w:val="00A166E3"/>
    <w:rsid w:val="00A16838"/>
    <w:rsid w:val="00A177F6"/>
    <w:rsid w:val="00A179EF"/>
    <w:rsid w:val="00A20B2E"/>
    <w:rsid w:val="00A211F6"/>
    <w:rsid w:val="00A2194D"/>
    <w:rsid w:val="00A219C5"/>
    <w:rsid w:val="00A22A06"/>
    <w:rsid w:val="00A241E1"/>
    <w:rsid w:val="00A24574"/>
    <w:rsid w:val="00A24E81"/>
    <w:rsid w:val="00A24F33"/>
    <w:rsid w:val="00A24F60"/>
    <w:rsid w:val="00A25069"/>
    <w:rsid w:val="00A25308"/>
    <w:rsid w:val="00A25E5C"/>
    <w:rsid w:val="00A26C47"/>
    <w:rsid w:val="00A26E6B"/>
    <w:rsid w:val="00A27212"/>
    <w:rsid w:val="00A30601"/>
    <w:rsid w:val="00A3068F"/>
    <w:rsid w:val="00A30BFC"/>
    <w:rsid w:val="00A30C8A"/>
    <w:rsid w:val="00A3100A"/>
    <w:rsid w:val="00A3145B"/>
    <w:rsid w:val="00A32892"/>
    <w:rsid w:val="00A32C0C"/>
    <w:rsid w:val="00A32F55"/>
    <w:rsid w:val="00A339D0"/>
    <w:rsid w:val="00A33E45"/>
    <w:rsid w:val="00A3459D"/>
    <w:rsid w:val="00A34769"/>
    <w:rsid w:val="00A34F08"/>
    <w:rsid w:val="00A35CBA"/>
    <w:rsid w:val="00A3606B"/>
    <w:rsid w:val="00A362AC"/>
    <w:rsid w:val="00A368E5"/>
    <w:rsid w:val="00A36D8D"/>
    <w:rsid w:val="00A376DE"/>
    <w:rsid w:val="00A3791E"/>
    <w:rsid w:val="00A40852"/>
    <w:rsid w:val="00A41002"/>
    <w:rsid w:val="00A41858"/>
    <w:rsid w:val="00A4201A"/>
    <w:rsid w:val="00A42B73"/>
    <w:rsid w:val="00A42D21"/>
    <w:rsid w:val="00A4368B"/>
    <w:rsid w:val="00A43DDB"/>
    <w:rsid w:val="00A449E1"/>
    <w:rsid w:val="00A4580A"/>
    <w:rsid w:val="00A46B21"/>
    <w:rsid w:val="00A50226"/>
    <w:rsid w:val="00A513FB"/>
    <w:rsid w:val="00A518CB"/>
    <w:rsid w:val="00A51A40"/>
    <w:rsid w:val="00A52378"/>
    <w:rsid w:val="00A524DE"/>
    <w:rsid w:val="00A52559"/>
    <w:rsid w:val="00A528F2"/>
    <w:rsid w:val="00A5364E"/>
    <w:rsid w:val="00A54596"/>
    <w:rsid w:val="00A5465D"/>
    <w:rsid w:val="00A54CBA"/>
    <w:rsid w:val="00A553CE"/>
    <w:rsid w:val="00A5677A"/>
    <w:rsid w:val="00A56CC2"/>
    <w:rsid w:val="00A56DCC"/>
    <w:rsid w:val="00A56F4B"/>
    <w:rsid w:val="00A57741"/>
    <w:rsid w:val="00A57A88"/>
    <w:rsid w:val="00A60867"/>
    <w:rsid w:val="00A60CC8"/>
    <w:rsid w:val="00A625E8"/>
    <w:rsid w:val="00A629FE"/>
    <w:rsid w:val="00A634FA"/>
    <w:rsid w:val="00A63972"/>
    <w:rsid w:val="00A63DFF"/>
    <w:rsid w:val="00A64712"/>
    <w:rsid w:val="00A6490D"/>
    <w:rsid w:val="00A661D3"/>
    <w:rsid w:val="00A66720"/>
    <w:rsid w:val="00A66D58"/>
    <w:rsid w:val="00A67059"/>
    <w:rsid w:val="00A6757F"/>
    <w:rsid w:val="00A70958"/>
    <w:rsid w:val="00A70C17"/>
    <w:rsid w:val="00A715CF"/>
    <w:rsid w:val="00A72646"/>
    <w:rsid w:val="00A7415D"/>
    <w:rsid w:val="00A743D5"/>
    <w:rsid w:val="00A74547"/>
    <w:rsid w:val="00A74C32"/>
    <w:rsid w:val="00A751F1"/>
    <w:rsid w:val="00A75328"/>
    <w:rsid w:val="00A75413"/>
    <w:rsid w:val="00A75635"/>
    <w:rsid w:val="00A757A4"/>
    <w:rsid w:val="00A766D6"/>
    <w:rsid w:val="00A77EA4"/>
    <w:rsid w:val="00A80363"/>
    <w:rsid w:val="00A806D8"/>
    <w:rsid w:val="00A80939"/>
    <w:rsid w:val="00A80A7D"/>
    <w:rsid w:val="00A80C42"/>
    <w:rsid w:val="00A8138C"/>
    <w:rsid w:val="00A818D9"/>
    <w:rsid w:val="00A82004"/>
    <w:rsid w:val="00A82046"/>
    <w:rsid w:val="00A821D6"/>
    <w:rsid w:val="00A8299B"/>
    <w:rsid w:val="00A831C1"/>
    <w:rsid w:val="00A83E9D"/>
    <w:rsid w:val="00A84FF7"/>
    <w:rsid w:val="00A851D2"/>
    <w:rsid w:val="00A8564F"/>
    <w:rsid w:val="00A8641E"/>
    <w:rsid w:val="00A86B16"/>
    <w:rsid w:val="00A876BD"/>
    <w:rsid w:val="00A879BD"/>
    <w:rsid w:val="00A87C05"/>
    <w:rsid w:val="00A87C30"/>
    <w:rsid w:val="00A87D5A"/>
    <w:rsid w:val="00A9074F"/>
    <w:rsid w:val="00A9169D"/>
    <w:rsid w:val="00A91758"/>
    <w:rsid w:val="00A92C37"/>
    <w:rsid w:val="00A92CF8"/>
    <w:rsid w:val="00A93003"/>
    <w:rsid w:val="00A93006"/>
    <w:rsid w:val="00A93B79"/>
    <w:rsid w:val="00A94C3C"/>
    <w:rsid w:val="00A95317"/>
    <w:rsid w:val="00A95732"/>
    <w:rsid w:val="00A9576F"/>
    <w:rsid w:val="00A95888"/>
    <w:rsid w:val="00A95924"/>
    <w:rsid w:val="00A95D5B"/>
    <w:rsid w:val="00A95D66"/>
    <w:rsid w:val="00A960B3"/>
    <w:rsid w:val="00A9771C"/>
    <w:rsid w:val="00A97D99"/>
    <w:rsid w:val="00AA0A17"/>
    <w:rsid w:val="00AA1400"/>
    <w:rsid w:val="00AA158A"/>
    <w:rsid w:val="00AA170E"/>
    <w:rsid w:val="00AA1940"/>
    <w:rsid w:val="00AA1D49"/>
    <w:rsid w:val="00AA1E72"/>
    <w:rsid w:val="00AA240C"/>
    <w:rsid w:val="00AA26B4"/>
    <w:rsid w:val="00AA26D3"/>
    <w:rsid w:val="00AA2F6F"/>
    <w:rsid w:val="00AA3644"/>
    <w:rsid w:val="00AA3D68"/>
    <w:rsid w:val="00AA449C"/>
    <w:rsid w:val="00AA4796"/>
    <w:rsid w:val="00AA55FB"/>
    <w:rsid w:val="00AA56B9"/>
    <w:rsid w:val="00AA67B5"/>
    <w:rsid w:val="00AA6BA6"/>
    <w:rsid w:val="00AA7BAB"/>
    <w:rsid w:val="00AA7C41"/>
    <w:rsid w:val="00AB02D7"/>
    <w:rsid w:val="00AB09A1"/>
    <w:rsid w:val="00AB0E42"/>
    <w:rsid w:val="00AB0FD5"/>
    <w:rsid w:val="00AB1097"/>
    <w:rsid w:val="00AB2294"/>
    <w:rsid w:val="00AB2393"/>
    <w:rsid w:val="00AB2786"/>
    <w:rsid w:val="00AB2D46"/>
    <w:rsid w:val="00AB35A9"/>
    <w:rsid w:val="00AB46BB"/>
    <w:rsid w:val="00AB476A"/>
    <w:rsid w:val="00AB527A"/>
    <w:rsid w:val="00AB5463"/>
    <w:rsid w:val="00AB671A"/>
    <w:rsid w:val="00AC01B0"/>
    <w:rsid w:val="00AC0A97"/>
    <w:rsid w:val="00AC101C"/>
    <w:rsid w:val="00AC1E00"/>
    <w:rsid w:val="00AC35F8"/>
    <w:rsid w:val="00AC4235"/>
    <w:rsid w:val="00AC565D"/>
    <w:rsid w:val="00AC7A91"/>
    <w:rsid w:val="00AC7FE2"/>
    <w:rsid w:val="00AD0128"/>
    <w:rsid w:val="00AD0B90"/>
    <w:rsid w:val="00AD235D"/>
    <w:rsid w:val="00AD23E5"/>
    <w:rsid w:val="00AD24D3"/>
    <w:rsid w:val="00AD2F3C"/>
    <w:rsid w:val="00AD3015"/>
    <w:rsid w:val="00AD31B9"/>
    <w:rsid w:val="00AD32BC"/>
    <w:rsid w:val="00AD4CF1"/>
    <w:rsid w:val="00AD54A1"/>
    <w:rsid w:val="00AD591C"/>
    <w:rsid w:val="00AD5988"/>
    <w:rsid w:val="00AD612B"/>
    <w:rsid w:val="00AD6293"/>
    <w:rsid w:val="00AD6856"/>
    <w:rsid w:val="00AD6B87"/>
    <w:rsid w:val="00AD7F8A"/>
    <w:rsid w:val="00AE005B"/>
    <w:rsid w:val="00AE0075"/>
    <w:rsid w:val="00AE0A00"/>
    <w:rsid w:val="00AE0AD9"/>
    <w:rsid w:val="00AE0ED0"/>
    <w:rsid w:val="00AE11F9"/>
    <w:rsid w:val="00AE210C"/>
    <w:rsid w:val="00AE2678"/>
    <w:rsid w:val="00AE2C84"/>
    <w:rsid w:val="00AE2E59"/>
    <w:rsid w:val="00AE3681"/>
    <w:rsid w:val="00AE3A95"/>
    <w:rsid w:val="00AE3F06"/>
    <w:rsid w:val="00AE62A0"/>
    <w:rsid w:val="00AE639F"/>
    <w:rsid w:val="00AE6F8D"/>
    <w:rsid w:val="00AE76F1"/>
    <w:rsid w:val="00AE7B9A"/>
    <w:rsid w:val="00AF0035"/>
    <w:rsid w:val="00AF0AEA"/>
    <w:rsid w:val="00AF1520"/>
    <w:rsid w:val="00AF1609"/>
    <w:rsid w:val="00AF1BA8"/>
    <w:rsid w:val="00AF2302"/>
    <w:rsid w:val="00AF2722"/>
    <w:rsid w:val="00AF29F6"/>
    <w:rsid w:val="00AF2B93"/>
    <w:rsid w:val="00AF2BFC"/>
    <w:rsid w:val="00AF3A92"/>
    <w:rsid w:val="00AF3E43"/>
    <w:rsid w:val="00AF4F18"/>
    <w:rsid w:val="00AF7285"/>
    <w:rsid w:val="00AF7800"/>
    <w:rsid w:val="00AF7A19"/>
    <w:rsid w:val="00B00258"/>
    <w:rsid w:val="00B003C1"/>
    <w:rsid w:val="00B00CF0"/>
    <w:rsid w:val="00B00CF5"/>
    <w:rsid w:val="00B00F36"/>
    <w:rsid w:val="00B01213"/>
    <w:rsid w:val="00B01320"/>
    <w:rsid w:val="00B01B01"/>
    <w:rsid w:val="00B0326F"/>
    <w:rsid w:val="00B03547"/>
    <w:rsid w:val="00B04174"/>
    <w:rsid w:val="00B05CA9"/>
    <w:rsid w:val="00B0619D"/>
    <w:rsid w:val="00B072E0"/>
    <w:rsid w:val="00B07902"/>
    <w:rsid w:val="00B07B7B"/>
    <w:rsid w:val="00B1007E"/>
    <w:rsid w:val="00B1071B"/>
    <w:rsid w:val="00B10A23"/>
    <w:rsid w:val="00B11A1E"/>
    <w:rsid w:val="00B11D90"/>
    <w:rsid w:val="00B120A2"/>
    <w:rsid w:val="00B12FA5"/>
    <w:rsid w:val="00B1394A"/>
    <w:rsid w:val="00B13A2E"/>
    <w:rsid w:val="00B14044"/>
    <w:rsid w:val="00B1452F"/>
    <w:rsid w:val="00B14C39"/>
    <w:rsid w:val="00B1518B"/>
    <w:rsid w:val="00B16A82"/>
    <w:rsid w:val="00B17AD7"/>
    <w:rsid w:val="00B203D9"/>
    <w:rsid w:val="00B214E0"/>
    <w:rsid w:val="00B21522"/>
    <w:rsid w:val="00B216A8"/>
    <w:rsid w:val="00B21A4F"/>
    <w:rsid w:val="00B21E14"/>
    <w:rsid w:val="00B220EF"/>
    <w:rsid w:val="00B2230E"/>
    <w:rsid w:val="00B2356E"/>
    <w:rsid w:val="00B253F6"/>
    <w:rsid w:val="00B26675"/>
    <w:rsid w:val="00B26F0F"/>
    <w:rsid w:val="00B2748C"/>
    <w:rsid w:val="00B27CC1"/>
    <w:rsid w:val="00B305DB"/>
    <w:rsid w:val="00B30FF9"/>
    <w:rsid w:val="00B3261C"/>
    <w:rsid w:val="00B32677"/>
    <w:rsid w:val="00B3276C"/>
    <w:rsid w:val="00B32E3F"/>
    <w:rsid w:val="00B330B2"/>
    <w:rsid w:val="00B332F8"/>
    <w:rsid w:val="00B33C1A"/>
    <w:rsid w:val="00B343F9"/>
    <w:rsid w:val="00B347D3"/>
    <w:rsid w:val="00B3492B"/>
    <w:rsid w:val="00B35C5A"/>
    <w:rsid w:val="00B35CC4"/>
    <w:rsid w:val="00B36513"/>
    <w:rsid w:val="00B37188"/>
    <w:rsid w:val="00B37FAC"/>
    <w:rsid w:val="00B400F3"/>
    <w:rsid w:val="00B4039C"/>
    <w:rsid w:val="00B40F26"/>
    <w:rsid w:val="00B41C43"/>
    <w:rsid w:val="00B4303A"/>
    <w:rsid w:val="00B43E2F"/>
    <w:rsid w:val="00B4448A"/>
    <w:rsid w:val="00B44501"/>
    <w:rsid w:val="00B4526B"/>
    <w:rsid w:val="00B4578D"/>
    <w:rsid w:val="00B4587A"/>
    <w:rsid w:val="00B4646F"/>
    <w:rsid w:val="00B5051A"/>
    <w:rsid w:val="00B5163E"/>
    <w:rsid w:val="00B524ED"/>
    <w:rsid w:val="00B52C40"/>
    <w:rsid w:val="00B53355"/>
    <w:rsid w:val="00B53E3F"/>
    <w:rsid w:val="00B540AC"/>
    <w:rsid w:val="00B5589B"/>
    <w:rsid w:val="00B55BB2"/>
    <w:rsid w:val="00B55C7D"/>
    <w:rsid w:val="00B5686F"/>
    <w:rsid w:val="00B56BB4"/>
    <w:rsid w:val="00B56D27"/>
    <w:rsid w:val="00B56EEF"/>
    <w:rsid w:val="00B570B8"/>
    <w:rsid w:val="00B5735E"/>
    <w:rsid w:val="00B60F91"/>
    <w:rsid w:val="00B61C0F"/>
    <w:rsid w:val="00B63038"/>
    <w:rsid w:val="00B63AB8"/>
    <w:rsid w:val="00B64BD8"/>
    <w:rsid w:val="00B658AD"/>
    <w:rsid w:val="00B664EC"/>
    <w:rsid w:val="00B66B49"/>
    <w:rsid w:val="00B66F57"/>
    <w:rsid w:val="00B67B46"/>
    <w:rsid w:val="00B701D1"/>
    <w:rsid w:val="00B735B9"/>
    <w:rsid w:val="00B73AF2"/>
    <w:rsid w:val="00B740F8"/>
    <w:rsid w:val="00B7551A"/>
    <w:rsid w:val="00B76135"/>
    <w:rsid w:val="00B76327"/>
    <w:rsid w:val="00B773F1"/>
    <w:rsid w:val="00B827F2"/>
    <w:rsid w:val="00B829DB"/>
    <w:rsid w:val="00B8306E"/>
    <w:rsid w:val="00B83129"/>
    <w:rsid w:val="00B832E6"/>
    <w:rsid w:val="00B834D8"/>
    <w:rsid w:val="00B83CCD"/>
    <w:rsid w:val="00B8413D"/>
    <w:rsid w:val="00B84EF0"/>
    <w:rsid w:val="00B84FA9"/>
    <w:rsid w:val="00B8642E"/>
    <w:rsid w:val="00B864AF"/>
    <w:rsid w:val="00B86A80"/>
    <w:rsid w:val="00B86AB1"/>
    <w:rsid w:val="00B876CC"/>
    <w:rsid w:val="00B877A9"/>
    <w:rsid w:val="00B8796B"/>
    <w:rsid w:val="00B90084"/>
    <w:rsid w:val="00B90557"/>
    <w:rsid w:val="00B919BC"/>
    <w:rsid w:val="00B91CA1"/>
    <w:rsid w:val="00B91E6C"/>
    <w:rsid w:val="00B923B3"/>
    <w:rsid w:val="00B931AB"/>
    <w:rsid w:val="00B93BF7"/>
    <w:rsid w:val="00B94C8E"/>
    <w:rsid w:val="00B962BC"/>
    <w:rsid w:val="00B97AF7"/>
    <w:rsid w:val="00B97B68"/>
    <w:rsid w:val="00B97F07"/>
    <w:rsid w:val="00BA0611"/>
    <w:rsid w:val="00BA1F22"/>
    <w:rsid w:val="00BA2140"/>
    <w:rsid w:val="00BA35EC"/>
    <w:rsid w:val="00BA3642"/>
    <w:rsid w:val="00BA38D3"/>
    <w:rsid w:val="00BA3FC8"/>
    <w:rsid w:val="00BA4687"/>
    <w:rsid w:val="00BA5BAF"/>
    <w:rsid w:val="00BA5F5F"/>
    <w:rsid w:val="00BA6B8E"/>
    <w:rsid w:val="00BA6D84"/>
    <w:rsid w:val="00BA793D"/>
    <w:rsid w:val="00BA7EBA"/>
    <w:rsid w:val="00BB0066"/>
    <w:rsid w:val="00BB009F"/>
    <w:rsid w:val="00BB0797"/>
    <w:rsid w:val="00BB0BB8"/>
    <w:rsid w:val="00BB2361"/>
    <w:rsid w:val="00BB28D3"/>
    <w:rsid w:val="00BB2A06"/>
    <w:rsid w:val="00BB2CBB"/>
    <w:rsid w:val="00BB33CD"/>
    <w:rsid w:val="00BB3CC7"/>
    <w:rsid w:val="00BB4198"/>
    <w:rsid w:val="00BB436C"/>
    <w:rsid w:val="00BB480D"/>
    <w:rsid w:val="00BB5318"/>
    <w:rsid w:val="00BB55D1"/>
    <w:rsid w:val="00BB7D17"/>
    <w:rsid w:val="00BB7DF0"/>
    <w:rsid w:val="00BC03EE"/>
    <w:rsid w:val="00BC161E"/>
    <w:rsid w:val="00BC1958"/>
    <w:rsid w:val="00BC1AE7"/>
    <w:rsid w:val="00BC2119"/>
    <w:rsid w:val="00BC2CB7"/>
    <w:rsid w:val="00BC2D1C"/>
    <w:rsid w:val="00BC39E6"/>
    <w:rsid w:val="00BC3B19"/>
    <w:rsid w:val="00BC58E9"/>
    <w:rsid w:val="00BC59F1"/>
    <w:rsid w:val="00BC5AB2"/>
    <w:rsid w:val="00BC5F57"/>
    <w:rsid w:val="00BC5F7F"/>
    <w:rsid w:val="00BC6053"/>
    <w:rsid w:val="00BC6F9D"/>
    <w:rsid w:val="00BD05C1"/>
    <w:rsid w:val="00BD0ECF"/>
    <w:rsid w:val="00BD0F33"/>
    <w:rsid w:val="00BD28A6"/>
    <w:rsid w:val="00BD56F9"/>
    <w:rsid w:val="00BD6335"/>
    <w:rsid w:val="00BD6A64"/>
    <w:rsid w:val="00BD7132"/>
    <w:rsid w:val="00BD7A03"/>
    <w:rsid w:val="00BD7B1F"/>
    <w:rsid w:val="00BE0028"/>
    <w:rsid w:val="00BE0CDB"/>
    <w:rsid w:val="00BE1D4A"/>
    <w:rsid w:val="00BE1FCB"/>
    <w:rsid w:val="00BE2C7E"/>
    <w:rsid w:val="00BE2CB2"/>
    <w:rsid w:val="00BE3072"/>
    <w:rsid w:val="00BE3239"/>
    <w:rsid w:val="00BE3794"/>
    <w:rsid w:val="00BE37DD"/>
    <w:rsid w:val="00BE4272"/>
    <w:rsid w:val="00BE64A6"/>
    <w:rsid w:val="00BE659A"/>
    <w:rsid w:val="00BE65B2"/>
    <w:rsid w:val="00BE67C4"/>
    <w:rsid w:val="00BE6961"/>
    <w:rsid w:val="00BE72FC"/>
    <w:rsid w:val="00BE7BF2"/>
    <w:rsid w:val="00BE7F87"/>
    <w:rsid w:val="00BF0022"/>
    <w:rsid w:val="00BF0368"/>
    <w:rsid w:val="00BF068B"/>
    <w:rsid w:val="00BF25F1"/>
    <w:rsid w:val="00BF2D5B"/>
    <w:rsid w:val="00BF3DE1"/>
    <w:rsid w:val="00BF4571"/>
    <w:rsid w:val="00BF4843"/>
    <w:rsid w:val="00BF4C05"/>
    <w:rsid w:val="00BF5205"/>
    <w:rsid w:val="00BF5642"/>
    <w:rsid w:val="00BF5CD2"/>
    <w:rsid w:val="00BF7441"/>
    <w:rsid w:val="00BF7520"/>
    <w:rsid w:val="00BF7F99"/>
    <w:rsid w:val="00C002DB"/>
    <w:rsid w:val="00C002E1"/>
    <w:rsid w:val="00C00B55"/>
    <w:rsid w:val="00C00C28"/>
    <w:rsid w:val="00C01383"/>
    <w:rsid w:val="00C014E4"/>
    <w:rsid w:val="00C019DF"/>
    <w:rsid w:val="00C01C63"/>
    <w:rsid w:val="00C02385"/>
    <w:rsid w:val="00C025A7"/>
    <w:rsid w:val="00C026B9"/>
    <w:rsid w:val="00C0436F"/>
    <w:rsid w:val="00C04D07"/>
    <w:rsid w:val="00C05132"/>
    <w:rsid w:val="00C05402"/>
    <w:rsid w:val="00C055DF"/>
    <w:rsid w:val="00C05717"/>
    <w:rsid w:val="00C060CC"/>
    <w:rsid w:val="00C067B2"/>
    <w:rsid w:val="00C103C7"/>
    <w:rsid w:val="00C1058B"/>
    <w:rsid w:val="00C10AF4"/>
    <w:rsid w:val="00C10BA5"/>
    <w:rsid w:val="00C1158C"/>
    <w:rsid w:val="00C12033"/>
    <w:rsid w:val="00C12508"/>
    <w:rsid w:val="00C126BD"/>
    <w:rsid w:val="00C12CAC"/>
    <w:rsid w:val="00C1336A"/>
    <w:rsid w:val="00C135C1"/>
    <w:rsid w:val="00C13D7A"/>
    <w:rsid w:val="00C1465D"/>
    <w:rsid w:val="00C17A5D"/>
    <w:rsid w:val="00C20190"/>
    <w:rsid w:val="00C21ABE"/>
    <w:rsid w:val="00C22427"/>
    <w:rsid w:val="00C2310C"/>
    <w:rsid w:val="00C23728"/>
    <w:rsid w:val="00C257CB"/>
    <w:rsid w:val="00C2599A"/>
    <w:rsid w:val="00C266BA"/>
    <w:rsid w:val="00C2680E"/>
    <w:rsid w:val="00C27B56"/>
    <w:rsid w:val="00C300B2"/>
    <w:rsid w:val="00C3026C"/>
    <w:rsid w:val="00C30F2A"/>
    <w:rsid w:val="00C313A9"/>
    <w:rsid w:val="00C314EC"/>
    <w:rsid w:val="00C316F1"/>
    <w:rsid w:val="00C317FD"/>
    <w:rsid w:val="00C321CF"/>
    <w:rsid w:val="00C32DEF"/>
    <w:rsid w:val="00C33D79"/>
    <w:rsid w:val="00C344D6"/>
    <w:rsid w:val="00C3502C"/>
    <w:rsid w:val="00C3592E"/>
    <w:rsid w:val="00C36583"/>
    <w:rsid w:val="00C3670E"/>
    <w:rsid w:val="00C371CF"/>
    <w:rsid w:val="00C40672"/>
    <w:rsid w:val="00C406EC"/>
    <w:rsid w:val="00C40938"/>
    <w:rsid w:val="00C40F8E"/>
    <w:rsid w:val="00C417EC"/>
    <w:rsid w:val="00C42092"/>
    <w:rsid w:val="00C424EE"/>
    <w:rsid w:val="00C4321A"/>
    <w:rsid w:val="00C43568"/>
    <w:rsid w:val="00C43862"/>
    <w:rsid w:val="00C43D4F"/>
    <w:rsid w:val="00C440FE"/>
    <w:rsid w:val="00C441CF"/>
    <w:rsid w:val="00C446FD"/>
    <w:rsid w:val="00C44ED1"/>
    <w:rsid w:val="00C45AA2"/>
    <w:rsid w:val="00C45C72"/>
    <w:rsid w:val="00C468A3"/>
    <w:rsid w:val="00C47666"/>
    <w:rsid w:val="00C4792C"/>
    <w:rsid w:val="00C47ED6"/>
    <w:rsid w:val="00C505CF"/>
    <w:rsid w:val="00C50B4A"/>
    <w:rsid w:val="00C51177"/>
    <w:rsid w:val="00C5166F"/>
    <w:rsid w:val="00C5205A"/>
    <w:rsid w:val="00C520FC"/>
    <w:rsid w:val="00C5233B"/>
    <w:rsid w:val="00C52489"/>
    <w:rsid w:val="00C5320A"/>
    <w:rsid w:val="00C532AF"/>
    <w:rsid w:val="00C5348B"/>
    <w:rsid w:val="00C54B6D"/>
    <w:rsid w:val="00C55807"/>
    <w:rsid w:val="00C55AEA"/>
    <w:rsid w:val="00C55BEF"/>
    <w:rsid w:val="00C560C6"/>
    <w:rsid w:val="00C56424"/>
    <w:rsid w:val="00C5653A"/>
    <w:rsid w:val="00C5673E"/>
    <w:rsid w:val="00C57275"/>
    <w:rsid w:val="00C6007C"/>
    <w:rsid w:val="00C601AF"/>
    <w:rsid w:val="00C61229"/>
    <w:rsid w:val="00C617CA"/>
    <w:rsid w:val="00C61A63"/>
    <w:rsid w:val="00C61B81"/>
    <w:rsid w:val="00C61E10"/>
    <w:rsid w:val="00C62798"/>
    <w:rsid w:val="00C62AFA"/>
    <w:rsid w:val="00C633EF"/>
    <w:rsid w:val="00C63FA5"/>
    <w:rsid w:val="00C64E83"/>
    <w:rsid w:val="00C6514D"/>
    <w:rsid w:val="00C6527B"/>
    <w:rsid w:val="00C65EFD"/>
    <w:rsid w:val="00C6625E"/>
    <w:rsid w:val="00C66296"/>
    <w:rsid w:val="00C66BBE"/>
    <w:rsid w:val="00C677D2"/>
    <w:rsid w:val="00C67A72"/>
    <w:rsid w:val="00C67BBB"/>
    <w:rsid w:val="00C67C1A"/>
    <w:rsid w:val="00C70759"/>
    <w:rsid w:val="00C716C7"/>
    <w:rsid w:val="00C71799"/>
    <w:rsid w:val="00C7394D"/>
    <w:rsid w:val="00C73A99"/>
    <w:rsid w:val="00C73B72"/>
    <w:rsid w:val="00C7675C"/>
    <w:rsid w:val="00C77282"/>
    <w:rsid w:val="00C7790D"/>
    <w:rsid w:val="00C77ABB"/>
    <w:rsid w:val="00C77B23"/>
    <w:rsid w:val="00C80547"/>
    <w:rsid w:val="00C808A5"/>
    <w:rsid w:val="00C80A51"/>
    <w:rsid w:val="00C815B0"/>
    <w:rsid w:val="00C81626"/>
    <w:rsid w:val="00C816A2"/>
    <w:rsid w:val="00C816FB"/>
    <w:rsid w:val="00C81802"/>
    <w:rsid w:val="00C8218C"/>
    <w:rsid w:val="00C82AF3"/>
    <w:rsid w:val="00C8346F"/>
    <w:rsid w:val="00C840E7"/>
    <w:rsid w:val="00C8466F"/>
    <w:rsid w:val="00C84A50"/>
    <w:rsid w:val="00C84B6F"/>
    <w:rsid w:val="00C84BC3"/>
    <w:rsid w:val="00C84C3D"/>
    <w:rsid w:val="00C84DE5"/>
    <w:rsid w:val="00C84FD7"/>
    <w:rsid w:val="00C85A9C"/>
    <w:rsid w:val="00C86248"/>
    <w:rsid w:val="00C86C21"/>
    <w:rsid w:val="00C87848"/>
    <w:rsid w:val="00C90242"/>
    <w:rsid w:val="00C90303"/>
    <w:rsid w:val="00C90B31"/>
    <w:rsid w:val="00C90E7A"/>
    <w:rsid w:val="00C911D5"/>
    <w:rsid w:val="00C916E6"/>
    <w:rsid w:val="00C92200"/>
    <w:rsid w:val="00C9295A"/>
    <w:rsid w:val="00C92AB5"/>
    <w:rsid w:val="00C93319"/>
    <w:rsid w:val="00C9334D"/>
    <w:rsid w:val="00C93B1C"/>
    <w:rsid w:val="00C944BA"/>
    <w:rsid w:val="00C949DF"/>
    <w:rsid w:val="00C961D1"/>
    <w:rsid w:val="00C96469"/>
    <w:rsid w:val="00C96FB7"/>
    <w:rsid w:val="00C96FE2"/>
    <w:rsid w:val="00C97104"/>
    <w:rsid w:val="00C97568"/>
    <w:rsid w:val="00C978F4"/>
    <w:rsid w:val="00C97E6C"/>
    <w:rsid w:val="00CA0D6F"/>
    <w:rsid w:val="00CA22F5"/>
    <w:rsid w:val="00CA31D7"/>
    <w:rsid w:val="00CA32F4"/>
    <w:rsid w:val="00CA42B7"/>
    <w:rsid w:val="00CA465F"/>
    <w:rsid w:val="00CA4C33"/>
    <w:rsid w:val="00CA59C2"/>
    <w:rsid w:val="00CA5F3C"/>
    <w:rsid w:val="00CA5FEB"/>
    <w:rsid w:val="00CA6480"/>
    <w:rsid w:val="00CA67BA"/>
    <w:rsid w:val="00CA6B4E"/>
    <w:rsid w:val="00CA6E00"/>
    <w:rsid w:val="00CA6F4A"/>
    <w:rsid w:val="00CA7105"/>
    <w:rsid w:val="00CA77CF"/>
    <w:rsid w:val="00CA78CE"/>
    <w:rsid w:val="00CA7AFE"/>
    <w:rsid w:val="00CB0323"/>
    <w:rsid w:val="00CB162B"/>
    <w:rsid w:val="00CB17B4"/>
    <w:rsid w:val="00CB20B9"/>
    <w:rsid w:val="00CB27DF"/>
    <w:rsid w:val="00CB2BA7"/>
    <w:rsid w:val="00CB3467"/>
    <w:rsid w:val="00CB392A"/>
    <w:rsid w:val="00CB3D3E"/>
    <w:rsid w:val="00CB40C4"/>
    <w:rsid w:val="00CB5A41"/>
    <w:rsid w:val="00CB6056"/>
    <w:rsid w:val="00CB6427"/>
    <w:rsid w:val="00CB7D88"/>
    <w:rsid w:val="00CB7E6E"/>
    <w:rsid w:val="00CC0FBE"/>
    <w:rsid w:val="00CC12F1"/>
    <w:rsid w:val="00CC1A7C"/>
    <w:rsid w:val="00CC2148"/>
    <w:rsid w:val="00CC2786"/>
    <w:rsid w:val="00CC2791"/>
    <w:rsid w:val="00CC2799"/>
    <w:rsid w:val="00CC2B98"/>
    <w:rsid w:val="00CC2FA0"/>
    <w:rsid w:val="00CC3329"/>
    <w:rsid w:val="00CC33B9"/>
    <w:rsid w:val="00CC3694"/>
    <w:rsid w:val="00CC3EC0"/>
    <w:rsid w:val="00CC45A9"/>
    <w:rsid w:val="00CC4A44"/>
    <w:rsid w:val="00CC54DD"/>
    <w:rsid w:val="00CC7659"/>
    <w:rsid w:val="00CD02F2"/>
    <w:rsid w:val="00CD067B"/>
    <w:rsid w:val="00CD0789"/>
    <w:rsid w:val="00CD0B5B"/>
    <w:rsid w:val="00CD17DC"/>
    <w:rsid w:val="00CD2119"/>
    <w:rsid w:val="00CD237A"/>
    <w:rsid w:val="00CD2A18"/>
    <w:rsid w:val="00CD2C90"/>
    <w:rsid w:val="00CD2E3E"/>
    <w:rsid w:val="00CD36AC"/>
    <w:rsid w:val="00CD4116"/>
    <w:rsid w:val="00CD5364"/>
    <w:rsid w:val="00CD6094"/>
    <w:rsid w:val="00CD753B"/>
    <w:rsid w:val="00CE13A3"/>
    <w:rsid w:val="00CE17F4"/>
    <w:rsid w:val="00CE1A35"/>
    <w:rsid w:val="00CE1A42"/>
    <w:rsid w:val="00CE2D99"/>
    <w:rsid w:val="00CE33EF"/>
    <w:rsid w:val="00CE36BC"/>
    <w:rsid w:val="00CE3ACD"/>
    <w:rsid w:val="00CE3FE8"/>
    <w:rsid w:val="00CE412C"/>
    <w:rsid w:val="00CE4B96"/>
    <w:rsid w:val="00CE4EB1"/>
    <w:rsid w:val="00CE5278"/>
    <w:rsid w:val="00CE66D5"/>
    <w:rsid w:val="00CE690A"/>
    <w:rsid w:val="00CE6A37"/>
    <w:rsid w:val="00CE6C31"/>
    <w:rsid w:val="00CF0E39"/>
    <w:rsid w:val="00CF0FC8"/>
    <w:rsid w:val="00CF1747"/>
    <w:rsid w:val="00CF1F85"/>
    <w:rsid w:val="00CF24D2"/>
    <w:rsid w:val="00CF3634"/>
    <w:rsid w:val="00CF3A07"/>
    <w:rsid w:val="00CF5214"/>
    <w:rsid w:val="00CF579D"/>
    <w:rsid w:val="00CF59A5"/>
    <w:rsid w:val="00CF59C0"/>
    <w:rsid w:val="00CF60ED"/>
    <w:rsid w:val="00CF70FE"/>
    <w:rsid w:val="00CF7B64"/>
    <w:rsid w:val="00D0099B"/>
    <w:rsid w:val="00D009C2"/>
    <w:rsid w:val="00D00BAC"/>
    <w:rsid w:val="00D0152D"/>
    <w:rsid w:val="00D016B5"/>
    <w:rsid w:val="00D016BF"/>
    <w:rsid w:val="00D0173C"/>
    <w:rsid w:val="00D024D9"/>
    <w:rsid w:val="00D02612"/>
    <w:rsid w:val="00D03919"/>
    <w:rsid w:val="00D04017"/>
    <w:rsid w:val="00D04075"/>
    <w:rsid w:val="00D0490E"/>
    <w:rsid w:val="00D05024"/>
    <w:rsid w:val="00D05238"/>
    <w:rsid w:val="00D05C72"/>
    <w:rsid w:val="00D05D74"/>
    <w:rsid w:val="00D07163"/>
    <w:rsid w:val="00D074B6"/>
    <w:rsid w:val="00D07995"/>
    <w:rsid w:val="00D10020"/>
    <w:rsid w:val="00D12544"/>
    <w:rsid w:val="00D12A7E"/>
    <w:rsid w:val="00D12B45"/>
    <w:rsid w:val="00D12FBB"/>
    <w:rsid w:val="00D13441"/>
    <w:rsid w:val="00D14386"/>
    <w:rsid w:val="00D14666"/>
    <w:rsid w:val="00D1489F"/>
    <w:rsid w:val="00D14FC2"/>
    <w:rsid w:val="00D15800"/>
    <w:rsid w:val="00D15A09"/>
    <w:rsid w:val="00D1609C"/>
    <w:rsid w:val="00D167E1"/>
    <w:rsid w:val="00D177A5"/>
    <w:rsid w:val="00D17817"/>
    <w:rsid w:val="00D17A78"/>
    <w:rsid w:val="00D17AF2"/>
    <w:rsid w:val="00D17D29"/>
    <w:rsid w:val="00D20C59"/>
    <w:rsid w:val="00D232B4"/>
    <w:rsid w:val="00D23323"/>
    <w:rsid w:val="00D235A0"/>
    <w:rsid w:val="00D2392A"/>
    <w:rsid w:val="00D23BAF"/>
    <w:rsid w:val="00D23C03"/>
    <w:rsid w:val="00D24328"/>
    <w:rsid w:val="00D25FFE"/>
    <w:rsid w:val="00D26F2E"/>
    <w:rsid w:val="00D276E8"/>
    <w:rsid w:val="00D27911"/>
    <w:rsid w:val="00D27C69"/>
    <w:rsid w:val="00D30229"/>
    <w:rsid w:val="00D302D7"/>
    <w:rsid w:val="00D30513"/>
    <w:rsid w:val="00D30D78"/>
    <w:rsid w:val="00D30F4C"/>
    <w:rsid w:val="00D32A48"/>
    <w:rsid w:val="00D33928"/>
    <w:rsid w:val="00D33A29"/>
    <w:rsid w:val="00D33CB3"/>
    <w:rsid w:val="00D340F0"/>
    <w:rsid w:val="00D3457B"/>
    <w:rsid w:val="00D34961"/>
    <w:rsid w:val="00D34FAE"/>
    <w:rsid w:val="00D34FE3"/>
    <w:rsid w:val="00D35552"/>
    <w:rsid w:val="00D36D82"/>
    <w:rsid w:val="00D36F57"/>
    <w:rsid w:val="00D37447"/>
    <w:rsid w:val="00D37A11"/>
    <w:rsid w:val="00D37D80"/>
    <w:rsid w:val="00D4026C"/>
    <w:rsid w:val="00D40357"/>
    <w:rsid w:val="00D40827"/>
    <w:rsid w:val="00D4159A"/>
    <w:rsid w:val="00D418A8"/>
    <w:rsid w:val="00D41935"/>
    <w:rsid w:val="00D4277C"/>
    <w:rsid w:val="00D431F8"/>
    <w:rsid w:val="00D4476F"/>
    <w:rsid w:val="00D452BD"/>
    <w:rsid w:val="00D457F8"/>
    <w:rsid w:val="00D45BF8"/>
    <w:rsid w:val="00D468A8"/>
    <w:rsid w:val="00D46924"/>
    <w:rsid w:val="00D46BE8"/>
    <w:rsid w:val="00D47273"/>
    <w:rsid w:val="00D4762F"/>
    <w:rsid w:val="00D47760"/>
    <w:rsid w:val="00D47B5C"/>
    <w:rsid w:val="00D47C0E"/>
    <w:rsid w:val="00D50573"/>
    <w:rsid w:val="00D512D5"/>
    <w:rsid w:val="00D51451"/>
    <w:rsid w:val="00D5161B"/>
    <w:rsid w:val="00D518A4"/>
    <w:rsid w:val="00D52A35"/>
    <w:rsid w:val="00D52F82"/>
    <w:rsid w:val="00D53C65"/>
    <w:rsid w:val="00D53EC6"/>
    <w:rsid w:val="00D540DC"/>
    <w:rsid w:val="00D54D50"/>
    <w:rsid w:val="00D55371"/>
    <w:rsid w:val="00D55BF0"/>
    <w:rsid w:val="00D55D79"/>
    <w:rsid w:val="00D560B4"/>
    <w:rsid w:val="00D560C3"/>
    <w:rsid w:val="00D56ED7"/>
    <w:rsid w:val="00D57441"/>
    <w:rsid w:val="00D57604"/>
    <w:rsid w:val="00D57A82"/>
    <w:rsid w:val="00D60121"/>
    <w:rsid w:val="00D60F22"/>
    <w:rsid w:val="00D60F78"/>
    <w:rsid w:val="00D6145A"/>
    <w:rsid w:val="00D61EDF"/>
    <w:rsid w:val="00D61FC8"/>
    <w:rsid w:val="00D62253"/>
    <w:rsid w:val="00D645D2"/>
    <w:rsid w:val="00D645D8"/>
    <w:rsid w:val="00D6554E"/>
    <w:rsid w:val="00D65BAF"/>
    <w:rsid w:val="00D65DFD"/>
    <w:rsid w:val="00D662F8"/>
    <w:rsid w:val="00D66797"/>
    <w:rsid w:val="00D67529"/>
    <w:rsid w:val="00D67D5D"/>
    <w:rsid w:val="00D7019E"/>
    <w:rsid w:val="00D7074B"/>
    <w:rsid w:val="00D7087C"/>
    <w:rsid w:val="00D70C3C"/>
    <w:rsid w:val="00D716E1"/>
    <w:rsid w:val="00D71DF7"/>
    <w:rsid w:val="00D72BE5"/>
    <w:rsid w:val="00D72F55"/>
    <w:rsid w:val="00D73CEF"/>
    <w:rsid w:val="00D73D5C"/>
    <w:rsid w:val="00D73DD7"/>
    <w:rsid w:val="00D73E05"/>
    <w:rsid w:val="00D74215"/>
    <w:rsid w:val="00D74E49"/>
    <w:rsid w:val="00D756E3"/>
    <w:rsid w:val="00D76BD4"/>
    <w:rsid w:val="00D77A2E"/>
    <w:rsid w:val="00D77BD2"/>
    <w:rsid w:val="00D8042F"/>
    <w:rsid w:val="00D813C3"/>
    <w:rsid w:val="00D81462"/>
    <w:rsid w:val="00D82186"/>
    <w:rsid w:val="00D82218"/>
    <w:rsid w:val="00D82314"/>
    <w:rsid w:val="00D823EB"/>
    <w:rsid w:val="00D82F26"/>
    <w:rsid w:val="00D844E7"/>
    <w:rsid w:val="00D84543"/>
    <w:rsid w:val="00D84797"/>
    <w:rsid w:val="00D849C2"/>
    <w:rsid w:val="00D85A09"/>
    <w:rsid w:val="00D85BB0"/>
    <w:rsid w:val="00D863D0"/>
    <w:rsid w:val="00D86B00"/>
    <w:rsid w:val="00D86FB9"/>
    <w:rsid w:val="00D87AFF"/>
    <w:rsid w:val="00D87C87"/>
    <w:rsid w:val="00D90539"/>
    <w:rsid w:val="00D90AFC"/>
    <w:rsid w:val="00D90BB4"/>
    <w:rsid w:val="00D90E07"/>
    <w:rsid w:val="00D90FB0"/>
    <w:rsid w:val="00D932C2"/>
    <w:rsid w:val="00D93DB6"/>
    <w:rsid w:val="00D93DC9"/>
    <w:rsid w:val="00D94103"/>
    <w:rsid w:val="00D94207"/>
    <w:rsid w:val="00D9440B"/>
    <w:rsid w:val="00D945C5"/>
    <w:rsid w:val="00D947FF"/>
    <w:rsid w:val="00D951D3"/>
    <w:rsid w:val="00D95209"/>
    <w:rsid w:val="00D95D6E"/>
    <w:rsid w:val="00D95ECC"/>
    <w:rsid w:val="00DA150A"/>
    <w:rsid w:val="00DA18C2"/>
    <w:rsid w:val="00DA2853"/>
    <w:rsid w:val="00DA347A"/>
    <w:rsid w:val="00DA3DB7"/>
    <w:rsid w:val="00DA4698"/>
    <w:rsid w:val="00DA483A"/>
    <w:rsid w:val="00DA4F3C"/>
    <w:rsid w:val="00DA5096"/>
    <w:rsid w:val="00DA5C30"/>
    <w:rsid w:val="00DA616C"/>
    <w:rsid w:val="00DB0131"/>
    <w:rsid w:val="00DB073C"/>
    <w:rsid w:val="00DB10BF"/>
    <w:rsid w:val="00DB177A"/>
    <w:rsid w:val="00DB1C8D"/>
    <w:rsid w:val="00DB356A"/>
    <w:rsid w:val="00DB39CF"/>
    <w:rsid w:val="00DB4004"/>
    <w:rsid w:val="00DB4479"/>
    <w:rsid w:val="00DB5630"/>
    <w:rsid w:val="00DB569A"/>
    <w:rsid w:val="00DB6593"/>
    <w:rsid w:val="00DB6873"/>
    <w:rsid w:val="00DB7256"/>
    <w:rsid w:val="00DB7F1C"/>
    <w:rsid w:val="00DC0380"/>
    <w:rsid w:val="00DC0401"/>
    <w:rsid w:val="00DC07F4"/>
    <w:rsid w:val="00DC09D3"/>
    <w:rsid w:val="00DC0C54"/>
    <w:rsid w:val="00DC1EDC"/>
    <w:rsid w:val="00DC20BD"/>
    <w:rsid w:val="00DC292F"/>
    <w:rsid w:val="00DC2B3D"/>
    <w:rsid w:val="00DC4DA3"/>
    <w:rsid w:val="00DC5280"/>
    <w:rsid w:val="00DC5BE5"/>
    <w:rsid w:val="00DC6099"/>
    <w:rsid w:val="00DC6477"/>
    <w:rsid w:val="00DC7729"/>
    <w:rsid w:val="00DD0415"/>
    <w:rsid w:val="00DD060C"/>
    <w:rsid w:val="00DD093B"/>
    <w:rsid w:val="00DD0B19"/>
    <w:rsid w:val="00DD0BCD"/>
    <w:rsid w:val="00DD10E9"/>
    <w:rsid w:val="00DD3771"/>
    <w:rsid w:val="00DD447A"/>
    <w:rsid w:val="00DD509A"/>
    <w:rsid w:val="00DD667C"/>
    <w:rsid w:val="00DD76C7"/>
    <w:rsid w:val="00DD775E"/>
    <w:rsid w:val="00DE01AD"/>
    <w:rsid w:val="00DE0C87"/>
    <w:rsid w:val="00DE0D90"/>
    <w:rsid w:val="00DE1747"/>
    <w:rsid w:val="00DE20C2"/>
    <w:rsid w:val="00DE26CA"/>
    <w:rsid w:val="00DE3B20"/>
    <w:rsid w:val="00DE3CF4"/>
    <w:rsid w:val="00DE4C39"/>
    <w:rsid w:val="00DE581A"/>
    <w:rsid w:val="00DE5F56"/>
    <w:rsid w:val="00DE63AA"/>
    <w:rsid w:val="00DE668F"/>
    <w:rsid w:val="00DE6922"/>
    <w:rsid w:val="00DE6C94"/>
    <w:rsid w:val="00DE6FD7"/>
    <w:rsid w:val="00DF012B"/>
    <w:rsid w:val="00DF0620"/>
    <w:rsid w:val="00DF1607"/>
    <w:rsid w:val="00DF1987"/>
    <w:rsid w:val="00DF348B"/>
    <w:rsid w:val="00DF3861"/>
    <w:rsid w:val="00DF4233"/>
    <w:rsid w:val="00DF429A"/>
    <w:rsid w:val="00DF561B"/>
    <w:rsid w:val="00DF5772"/>
    <w:rsid w:val="00DF5791"/>
    <w:rsid w:val="00DF6679"/>
    <w:rsid w:val="00DF695B"/>
    <w:rsid w:val="00DF74FD"/>
    <w:rsid w:val="00E0067F"/>
    <w:rsid w:val="00E02262"/>
    <w:rsid w:val="00E02804"/>
    <w:rsid w:val="00E0314C"/>
    <w:rsid w:val="00E039B1"/>
    <w:rsid w:val="00E04DFB"/>
    <w:rsid w:val="00E068E1"/>
    <w:rsid w:val="00E06A9B"/>
    <w:rsid w:val="00E06E6F"/>
    <w:rsid w:val="00E06ED6"/>
    <w:rsid w:val="00E07F4C"/>
    <w:rsid w:val="00E1010C"/>
    <w:rsid w:val="00E101B3"/>
    <w:rsid w:val="00E110D6"/>
    <w:rsid w:val="00E12420"/>
    <w:rsid w:val="00E127C3"/>
    <w:rsid w:val="00E12A46"/>
    <w:rsid w:val="00E138A5"/>
    <w:rsid w:val="00E139E6"/>
    <w:rsid w:val="00E14765"/>
    <w:rsid w:val="00E14BFC"/>
    <w:rsid w:val="00E1528C"/>
    <w:rsid w:val="00E167D7"/>
    <w:rsid w:val="00E16898"/>
    <w:rsid w:val="00E17442"/>
    <w:rsid w:val="00E2025B"/>
    <w:rsid w:val="00E20EB9"/>
    <w:rsid w:val="00E221BC"/>
    <w:rsid w:val="00E22E66"/>
    <w:rsid w:val="00E23271"/>
    <w:rsid w:val="00E234B6"/>
    <w:rsid w:val="00E24993"/>
    <w:rsid w:val="00E24B6B"/>
    <w:rsid w:val="00E24F80"/>
    <w:rsid w:val="00E259F3"/>
    <w:rsid w:val="00E25B4E"/>
    <w:rsid w:val="00E268AB"/>
    <w:rsid w:val="00E26B25"/>
    <w:rsid w:val="00E278F6"/>
    <w:rsid w:val="00E30985"/>
    <w:rsid w:val="00E31634"/>
    <w:rsid w:val="00E3185F"/>
    <w:rsid w:val="00E31A2A"/>
    <w:rsid w:val="00E32E60"/>
    <w:rsid w:val="00E33238"/>
    <w:rsid w:val="00E35945"/>
    <w:rsid w:val="00E35DA7"/>
    <w:rsid w:val="00E35F3C"/>
    <w:rsid w:val="00E36660"/>
    <w:rsid w:val="00E36A33"/>
    <w:rsid w:val="00E373E6"/>
    <w:rsid w:val="00E37465"/>
    <w:rsid w:val="00E376B7"/>
    <w:rsid w:val="00E40DAC"/>
    <w:rsid w:val="00E4244C"/>
    <w:rsid w:val="00E42E2A"/>
    <w:rsid w:val="00E42F5D"/>
    <w:rsid w:val="00E4319D"/>
    <w:rsid w:val="00E4382C"/>
    <w:rsid w:val="00E43977"/>
    <w:rsid w:val="00E4486C"/>
    <w:rsid w:val="00E452D4"/>
    <w:rsid w:val="00E456EA"/>
    <w:rsid w:val="00E460B6"/>
    <w:rsid w:val="00E462CF"/>
    <w:rsid w:val="00E464D9"/>
    <w:rsid w:val="00E503A7"/>
    <w:rsid w:val="00E511D5"/>
    <w:rsid w:val="00E518A9"/>
    <w:rsid w:val="00E51EEC"/>
    <w:rsid w:val="00E51FCA"/>
    <w:rsid w:val="00E52AE2"/>
    <w:rsid w:val="00E52D17"/>
    <w:rsid w:val="00E52ED9"/>
    <w:rsid w:val="00E530EF"/>
    <w:rsid w:val="00E53A9F"/>
    <w:rsid w:val="00E54A07"/>
    <w:rsid w:val="00E54DAD"/>
    <w:rsid w:val="00E563EE"/>
    <w:rsid w:val="00E56A52"/>
    <w:rsid w:val="00E56ED0"/>
    <w:rsid w:val="00E57009"/>
    <w:rsid w:val="00E60094"/>
    <w:rsid w:val="00E60249"/>
    <w:rsid w:val="00E60481"/>
    <w:rsid w:val="00E60D8D"/>
    <w:rsid w:val="00E63166"/>
    <w:rsid w:val="00E6347E"/>
    <w:rsid w:val="00E63593"/>
    <w:rsid w:val="00E63F10"/>
    <w:rsid w:val="00E64292"/>
    <w:rsid w:val="00E6466E"/>
    <w:rsid w:val="00E64BC8"/>
    <w:rsid w:val="00E65269"/>
    <w:rsid w:val="00E6543E"/>
    <w:rsid w:val="00E661A8"/>
    <w:rsid w:val="00E66F54"/>
    <w:rsid w:val="00E67FD3"/>
    <w:rsid w:val="00E7037A"/>
    <w:rsid w:val="00E70466"/>
    <w:rsid w:val="00E7069F"/>
    <w:rsid w:val="00E71AE9"/>
    <w:rsid w:val="00E72B83"/>
    <w:rsid w:val="00E73272"/>
    <w:rsid w:val="00E73ED1"/>
    <w:rsid w:val="00E740B7"/>
    <w:rsid w:val="00E744F0"/>
    <w:rsid w:val="00E74FAF"/>
    <w:rsid w:val="00E751B0"/>
    <w:rsid w:val="00E757DF"/>
    <w:rsid w:val="00E767FE"/>
    <w:rsid w:val="00E76AEE"/>
    <w:rsid w:val="00E76C55"/>
    <w:rsid w:val="00E76D66"/>
    <w:rsid w:val="00E77059"/>
    <w:rsid w:val="00E8082A"/>
    <w:rsid w:val="00E81E99"/>
    <w:rsid w:val="00E81FEA"/>
    <w:rsid w:val="00E829AE"/>
    <w:rsid w:val="00E82A7D"/>
    <w:rsid w:val="00E82CD6"/>
    <w:rsid w:val="00E83233"/>
    <w:rsid w:val="00E83F42"/>
    <w:rsid w:val="00E85451"/>
    <w:rsid w:val="00E878C0"/>
    <w:rsid w:val="00E9059F"/>
    <w:rsid w:val="00E91E8F"/>
    <w:rsid w:val="00E93013"/>
    <w:rsid w:val="00E93914"/>
    <w:rsid w:val="00E93D6E"/>
    <w:rsid w:val="00E947F8"/>
    <w:rsid w:val="00E9528F"/>
    <w:rsid w:val="00E957C6"/>
    <w:rsid w:val="00E957D2"/>
    <w:rsid w:val="00E9666B"/>
    <w:rsid w:val="00E96A11"/>
    <w:rsid w:val="00E96DD0"/>
    <w:rsid w:val="00E97B16"/>
    <w:rsid w:val="00EA16C5"/>
    <w:rsid w:val="00EA1895"/>
    <w:rsid w:val="00EA1F10"/>
    <w:rsid w:val="00EA2221"/>
    <w:rsid w:val="00EA2643"/>
    <w:rsid w:val="00EA27AD"/>
    <w:rsid w:val="00EA2D0A"/>
    <w:rsid w:val="00EA3302"/>
    <w:rsid w:val="00EA3F80"/>
    <w:rsid w:val="00EA571E"/>
    <w:rsid w:val="00EA608C"/>
    <w:rsid w:val="00EA6175"/>
    <w:rsid w:val="00EA6B88"/>
    <w:rsid w:val="00EA76AD"/>
    <w:rsid w:val="00EA796A"/>
    <w:rsid w:val="00EB0590"/>
    <w:rsid w:val="00EB0C82"/>
    <w:rsid w:val="00EB0DEC"/>
    <w:rsid w:val="00EB150A"/>
    <w:rsid w:val="00EB1856"/>
    <w:rsid w:val="00EB2D94"/>
    <w:rsid w:val="00EB31E0"/>
    <w:rsid w:val="00EB384E"/>
    <w:rsid w:val="00EB3DB4"/>
    <w:rsid w:val="00EB4808"/>
    <w:rsid w:val="00EB5584"/>
    <w:rsid w:val="00EB5A3D"/>
    <w:rsid w:val="00EB5F31"/>
    <w:rsid w:val="00EB6B3B"/>
    <w:rsid w:val="00EB7194"/>
    <w:rsid w:val="00EB74FF"/>
    <w:rsid w:val="00EB7E35"/>
    <w:rsid w:val="00EC1D27"/>
    <w:rsid w:val="00EC2E96"/>
    <w:rsid w:val="00EC33B2"/>
    <w:rsid w:val="00EC393B"/>
    <w:rsid w:val="00EC3BB3"/>
    <w:rsid w:val="00EC4280"/>
    <w:rsid w:val="00EC434F"/>
    <w:rsid w:val="00EC45B1"/>
    <w:rsid w:val="00EC4CCA"/>
    <w:rsid w:val="00EC4DE8"/>
    <w:rsid w:val="00EC50CE"/>
    <w:rsid w:val="00EC5B34"/>
    <w:rsid w:val="00EC6057"/>
    <w:rsid w:val="00EC6C82"/>
    <w:rsid w:val="00EC6E9B"/>
    <w:rsid w:val="00EC7196"/>
    <w:rsid w:val="00EC72D3"/>
    <w:rsid w:val="00EC7503"/>
    <w:rsid w:val="00EC7786"/>
    <w:rsid w:val="00ED021E"/>
    <w:rsid w:val="00ED061A"/>
    <w:rsid w:val="00ED0CA9"/>
    <w:rsid w:val="00ED1988"/>
    <w:rsid w:val="00ED2374"/>
    <w:rsid w:val="00ED2813"/>
    <w:rsid w:val="00ED29C4"/>
    <w:rsid w:val="00ED2B1F"/>
    <w:rsid w:val="00ED2FD5"/>
    <w:rsid w:val="00ED323C"/>
    <w:rsid w:val="00ED378A"/>
    <w:rsid w:val="00ED3ADA"/>
    <w:rsid w:val="00ED42A1"/>
    <w:rsid w:val="00ED47B2"/>
    <w:rsid w:val="00ED4FDE"/>
    <w:rsid w:val="00ED512D"/>
    <w:rsid w:val="00ED6E5A"/>
    <w:rsid w:val="00ED7452"/>
    <w:rsid w:val="00ED7EF1"/>
    <w:rsid w:val="00EE1FD7"/>
    <w:rsid w:val="00EE2D5C"/>
    <w:rsid w:val="00EE3FBF"/>
    <w:rsid w:val="00EE4ADE"/>
    <w:rsid w:val="00EE4DE8"/>
    <w:rsid w:val="00EE57F9"/>
    <w:rsid w:val="00EE58AD"/>
    <w:rsid w:val="00EE5CB7"/>
    <w:rsid w:val="00EE5DF3"/>
    <w:rsid w:val="00EE65B7"/>
    <w:rsid w:val="00EF11E6"/>
    <w:rsid w:val="00EF15D2"/>
    <w:rsid w:val="00EF1F25"/>
    <w:rsid w:val="00EF2123"/>
    <w:rsid w:val="00EF218E"/>
    <w:rsid w:val="00EF39A3"/>
    <w:rsid w:val="00EF3B6B"/>
    <w:rsid w:val="00EF3F1E"/>
    <w:rsid w:val="00EF4B42"/>
    <w:rsid w:val="00EF4ECB"/>
    <w:rsid w:val="00EF5253"/>
    <w:rsid w:val="00EF5BFB"/>
    <w:rsid w:val="00EF66DD"/>
    <w:rsid w:val="00EF6FE5"/>
    <w:rsid w:val="00EF7C38"/>
    <w:rsid w:val="00F00690"/>
    <w:rsid w:val="00F009A8"/>
    <w:rsid w:val="00F00A6E"/>
    <w:rsid w:val="00F00ECF"/>
    <w:rsid w:val="00F015FC"/>
    <w:rsid w:val="00F022FF"/>
    <w:rsid w:val="00F024FE"/>
    <w:rsid w:val="00F0275A"/>
    <w:rsid w:val="00F02820"/>
    <w:rsid w:val="00F03A5F"/>
    <w:rsid w:val="00F04122"/>
    <w:rsid w:val="00F042C2"/>
    <w:rsid w:val="00F04BFD"/>
    <w:rsid w:val="00F0549A"/>
    <w:rsid w:val="00F0593F"/>
    <w:rsid w:val="00F05AD4"/>
    <w:rsid w:val="00F06034"/>
    <w:rsid w:val="00F062D9"/>
    <w:rsid w:val="00F0660E"/>
    <w:rsid w:val="00F07B53"/>
    <w:rsid w:val="00F10752"/>
    <w:rsid w:val="00F108DB"/>
    <w:rsid w:val="00F10B58"/>
    <w:rsid w:val="00F10EB6"/>
    <w:rsid w:val="00F1209A"/>
    <w:rsid w:val="00F125A9"/>
    <w:rsid w:val="00F13435"/>
    <w:rsid w:val="00F1368B"/>
    <w:rsid w:val="00F13F07"/>
    <w:rsid w:val="00F140B2"/>
    <w:rsid w:val="00F14C16"/>
    <w:rsid w:val="00F1628D"/>
    <w:rsid w:val="00F16B52"/>
    <w:rsid w:val="00F17F5F"/>
    <w:rsid w:val="00F203B6"/>
    <w:rsid w:val="00F20932"/>
    <w:rsid w:val="00F21E74"/>
    <w:rsid w:val="00F225CB"/>
    <w:rsid w:val="00F23294"/>
    <w:rsid w:val="00F240D5"/>
    <w:rsid w:val="00F248E5"/>
    <w:rsid w:val="00F2494D"/>
    <w:rsid w:val="00F2570A"/>
    <w:rsid w:val="00F25970"/>
    <w:rsid w:val="00F26051"/>
    <w:rsid w:val="00F26EC2"/>
    <w:rsid w:val="00F2700B"/>
    <w:rsid w:val="00F2724D"/>
    <w:rsid w:val="00F311A9"/>
    <w:rsid w:val="00F317B3"/>
    <w:rsid w:val="00F31E37"/>
    <w:rsid w:val="00F31F3F"/>
    <w:rsid w:val="00F3241D"/>
    <w:rsid w:val="00F32494"/>
    <w:rsid w:val="00F325D9"/>
    <w:rsid w:val="00F32830"/>
    <w:rsid w:val="00F33096"/>
    <w:rsid w:val="00F3417F"/>
    <w:rsid w:val="00F345B0"/>
    <w:rsid w:val="00F34B5E"/>
    <w:rsid w:val="00F35196"/>
    <w:rsid w:val="00F3519A"/>
    <w:rsid w:val="00F35BC1"/>
    <w:rsid w:val="00F35BCD"/>
    <w:rsid w:val="00F36292"/>
    <w:rsid w:val="00F3660F"/>
    <w:rsid w:val="00F376D2"/>
    <w:rsid w:val="00F37B7B"/>
    <w:rsid w:val="00F40070"/>
    <w:rsid w:val="00F40232"/>
    <w:rsid w:val="00F405D8"/>
    <w:rsid w:val="00F40697"/>
    <w:rsid w:val="00F41A30"/>
    <w:rsid w:val="00F41E71"/>
    <w:rsid w:val="00F431B0"/>
    <w:rsid w:val="00F434D6"/>
    <w:rsid w:val="00F441F9"/>
    <w:rsid w:val="00F4460E"/>
    <w:rsid w:val="00F44940"/>
    <w:rsid w:val="00F44E5F"/>
    <w:rsid w:val="00F4594A"/>
    <w:rsid w:val="00F45995"/>
    <w:rsid w:val="00F459DF"/>
    <w:rsid w:val="00F46366"/>
    <w:rsid w:val="00F47C5E"/>
    <w:rsid w:val="00F50005"/>
    <w:rsid w:val="00F50A4F"/>
    <w:rsid w:val="00F51270"/>
    <w:rsid w:val="00F5180D"/>
    <w:rsid w:val="00F52300"/>
    <w:rsid w:val="00F52F6D"/>
    <w:rsid w:val="00F54D46"/>
    <w:rsid w:val="00F550F9"/>
    <w:rsid w:val="00F55176"/>
    <w:rsid w:val="00F55232"/>
    <w:rsid w:val="00F562C1"/>
    <w:rsid w:val="00F5774A"/>
    <w:rsid w:val="00F57DF4"/>
    <w:rsid w:val="00F600D9"/>
    <w:rsid w:val="00F6055B"/>
    <w:rsid w:val="00F61368"/>
    <w:rsid w:val="00F62068"/>
    <w:rsid w:val="00F633C8"/>
    <w:rsid w:val="00F63781"/>
    <w:rsid w:val="00F63C47"/>
    <w:rsid w:val="00F642DF"/>
    <w:rsid w:val="00F64784"/>
    <w:rsid w:val="00F6568A"/>
    <w:rsid w:val="00F65693"/>
    <w:rsid w:val="00F6691B"/>
    <w:rsid w:val="00F67496"/>
    <w:rsid w:val="00F67C32"/>
    <w:rsid w:val="00F701FB"/>
    <w:rsid w:val="00F70790"/>
    <w:rsid w:val="00F70BEA"/>
    <w:rsid w:val="00F70C2C"/>
    <w:rsid w:val="00F711DF"/>
    <w:rsid w:val="00F7161A"/>
    <w:rsid w:val="00F71DD5"/>
    <w:rsid w:val="00F730CB"/>
    <w:rsid w:val="00F732D3"/>
    <w:rsid w:val="00F73B4F"/>
    <w:rsid w:val="00F73F3A"/>
    <w:rsid w:val="00F74197"/>
    <w:rsid w:val="00F745FB"/>
    <w:rsid w:val="00F74F5E"/>
    <w:rsid w:val="00F75124"/>
    <w:rsid w:val="00F7561D"/>
    <w:rsid w:val="00F7561E"/>
    <w:rsid w:val="00F76F39"/>
    <w:rsid w:val="00F77593"/>
    <w:rsid w:val="00F77D48"/>
    <w:rsid w:val="00F801BA"/>
    <w:rsid w:val="00F823A0"/>
    <w:rsid w:val="00F826B0"/>
    <w:rsid w:val="00F84963"/>
    <w:rsid w:val="00F85181"/>
    <w:rsid w:val="00F8527A"/>
    <w:rsid w:val="00F854C8"/>
    <w:rsid w:val="00F85BF0"/>
    <w:rsid w:val="00F85FB9"/>
    <w:rsid w:val="00F86A80"/>
    <w:rsid w:val="00F87CA4"/>
    <w:rsid w:val="00F90729"/>
    <w:rsid w:val="00F90EA8"/>
    <w:rsid w:val="00F91429"/>
    <w:rsid w:val="00F917A8"/>
    <w:rsid w:val="00F91CF5"/>
    <w:rsid w:val="00F921EA"/>
    <w:rsid w:val="00F92728"/>
    <w:rsid w:val="00F92C36"/>
    <w:rsid w:val="00F9366A"/>
    <w:rsid w:val="00F94293"/>
    <w:rsid w:val="00F946C9"/>
    <w:rsid w:val="00F95358"/>
    <w:rsid w:val="00F953E2"/>
    <w:rsid w:val="00F95A81"/>
    <w:rsid w:val="00F96114"/>
    <w:rsid w:val="00F973B9"/>
    <w:rsid w:val="00FA01DE"/>
    <w:rsid w:val="00FA0A48"/>
    <w:rsid w:val="00FA0C12"/>
    <w:rsid w:val="00FA0EA5"/>
    <w:rsid w:val="00FA14D9"/>
    <w:rsid w:val="00FA19DB"/>
    <w:rsid w:val="00FA34FF"/>
    <w:rsid w:val="00FA3B84"/>
    <w:rsid w:val="00FA3D3B"/>
    <w:rsid w:val="00FA3E7D"/>
    <w:rsid w:val="00FA4004"/>
    <w:rsid w:val="00FA4140"/>
    <w:rsid w:val="00FA5B3D"/>
    <w:rsid w:val="00FA6A0E"/>
    <w:rsid w:val="00FA6A2E"/>
    <w:rsid w:val="00FA6BB6"/>
    <w:rsid w:val="00FA6CF3"/>
    <w:rsid w:val="00FA6E69"/>
    <w:rsid w:val="00FA6F9A"/>
    <w:rsid w:val="00FA71E9"/>
    <w:rsid w:val="00FA74EE"/>
    <w:rsid w:val="00FA75C9"/>
    <w:rsid w:val="00FA7C9D"/>
    <w:rsid w:val="00FB203F"/>
    <w:rsid w:val="00FB2DCA"/>
    <w:rsid w:val="00FB320A"/>
    <w:rsid w:val="00FB3905"/>
    <w:rsid w:val="00FB3EFB"/>
    <w:rsid w:val="00FB4473"/>
    <w:rsid w:val="00FB498C"/>
    <w:rsid w:val="00FB52FF"/>
    <w:rsid w:val="00FB57A4"/>
    <w:rsid w:val="00FB6233"/>
    <w:rsid w:val="00FB6261"/>
    <w:rsid w:val="00FB6606"/>
    <w:rsid w:val="00FB6B15"/>
    <w:rsid w:val="00FB6D72"/>
    <w:rsid w:val="00FC08D2"/>
    <w:rsid w:val="00FC1134"/>
    <w:rsid w:val="00FC1DE2"/>
    <w:rsid w:val="00FC2A8A"/>
    <w:rsid w:val="00FC34FC"/>
    <w:rsid w:val="00FC35D9"/>
    <w:rsid w:val="00FC3711"/>
    <w:rsid w:val="00FC37FE"/>
    <w:rsid w:val="00FC3F02"/>
    <w:rsid w:val="00FC46E7"/>
    <w:rsid w:val="00FC537A"/>
    <w:rsid w:val="00FC5D25"/>
    <w:rsid w:val="00FC64E3"/>
    <w:rsid w:val="00FC67D5"/>
    <w:rsid w:val="00FC6B29"/>
    <w:rsid w:val="00FC6CBF"/>
    <w:rsid w:val="00FD058F"/>
    <w:rsid w:val="00FD05B3"/>
    <w:rsid w:val="00FD0A5E"/>
    <w:rsid w:val="00FD0BB0"/>
    <w:rsid w:val="00FD0D7E"/>
    <w:rsid w:val="00FD200D"/>
    <w:rsid w:val="00FD228D"/>
    <w:rsid w:val="00FD2F5D"/>
    <w:rsid w:val="00FD44ED"/>
    <w:rsid w:val="00FD4FFB"/>
    <w:rsid w:val="00FD5E93"/>
    <w:rsid w:val="00FD7CC6"/>
    <w:rsid w:val="00FD7F65"/>
    <w:rsid w:val="00FE0734"/>
    <w:rsid w:val="00FE0E1A"/>
    <w:rsid w:val="00FE1300"/>
    <w:rsid w:val="00FE1C89"/>
    <w:rsid w:val="00FE1CBE"/>
    <w:rsid w:val="00FE3A50"/>
    <w:rsid w:val="00FE4100"/>
    <w:rsid w:val="00FE5355"/>
    <w:rsid w:val="00FE5B7A"/>
    <w:rsid w:val="00FE5BE3"/>
    <w:rsid w:val="00FE61B8"/>
    <w:rsid w:val="00FE62C1"/>
    <w:rsid w:val="00FE687A"/>
    <w:rsid w:val="00FE6E13"/>
    <w:rsid w:val="00FF0874"/>
    <w:rsid w:val="00FF0982"/>
    <w:rsid w:val="00FF0CEF"/>
    <w:rsid w:val="00FF100D"/>
    <w:rsid w:val="00FF15F6"/>
    <w:rsid w:val="00FF1963"/>
    <w:rsid w:val="00FF1DAA"/>
    <w:rsid w:val="00FF42A5"/>
    <w:rsid w:val="00FF4538"/>
    <w:rsid w:val="00FF4DF3"/>
    <w:rsid w:val="00FF527C"/>
    <w:rsid w:val="00FF5A4D"/>
    <w:rsid w:val="00FF65CD"/>
    <w:rsid w:val="027A12EF"/>
    <w:rsid w:val="03BAAF17"/>
    <w:rsid w:val="052136E4"/>
    <w:rsid w:val="0536B96D"/>
    <w:rsid w:val="07A85951"/>
    <w:rsid w:val="0851CE02"/>
    <w:rsid w:val="0AEB4D6E"/>
    <w:rsid w:val="0AFDF877"/>
    <w:rsid w:val="0BB33599"/>
    <w:rsid w:val="0CCEE45A"/>
    <w:rsid w:val="1281CEAD"/>
    <w:rsid w:val="169F8441"/>
    <w:rsid w:val="17135DCB"/>
    <w:rsid w:val="171F527F"/>
    <w:rsid w:val="186999A7"/>
    <w:rsid w:val="18AE6BE0"/>
    <w:rsid w:val="1A324B11"/>
    <w:rsid w:val="1A645A13"/>
    <w:rsid w:val="1ACDF162"/>
    <w:rsid w:val="1B54F1D7"/>
    <w:rsid w:val="1E907418"/>
    <w:rsid w:val="1FA96ECF"/>
    <w:rsid w:val="25E0FB05"/>
    <w:rsid w:val="26D07F6E"/>
    <w:rsid w:val="292CF3D1"/>
    <w:rsid w:val="29AB7675"/>
    <w:rsid w:val="2A0A834A"/>
    <w:rsid w:val="300EED27"/>
    <w:rsid w:val="31D3B700"/>
    <w:rsid w:val="34096536"/>
    <w:rsid w:val="35843658"/>
    <w:rsid w:val="37259521"/>
    <w:rsid w:val="388A35E3"/>
    <w:rsid w:val="39F34233"/>
    <w:rsid w:val="3AD09FD3"/>
    <w:rsid w:val="3C9AFE3E"/>
    <w:rsid w:val="3D0171C1"/>
    <w:rsid w:val="3D38E129"/>
    <w:rsid w:val="4047A3AC"/>
    <w:rsid w:val="413D44D0"/>
    <w:rsid w:val="4244CB60"/>
    <w:rsid w:val="446C200A"/>
    <w:rsid w:val="48CF1904"/>
    <w:rsid w:val="4A3D8D9D"/>
    <w:rsid w:val="4CE37B9B"/>
    <w:rsid w:val="4E2E9F7E"/>
    <w:rsid w:val="4EEBCEF9"/>
    <w:rsid w:val="4EF54EBA"/>
    <w:rsid w:val="53261793"/>
    <w:rsid w:val="570B782E"/>
    <w:rsid w:val="58BB571D"/>
    <w:rsid w:val="58E75E9B"/>
    <w:rsid w:val="597270EC"/>
    <w:rsid w:val="5AB31BDA"/>
    <w:rsid w:val="5C7F7269"/>
    <w:rsid w:val="5CECDA6B"/>
    <w:rsid w:val="608D1845"/>
    <w:rsid w:val="609528DD"/>
    <w:rsid w:val="61B069A7"/>
    <w:rsid w:val="62076656"/>
    <w:rsid w:val="62779E91"/>
    <w:rsid w:val="63FEB6F8"/>
    <w:rsid w:val="658F5D76"/>
    <w:rsid w:val="6635CEE3"/>
    <w:rsid w:val="6C2AD96E"/>
    <w:rsid w:val="6C9520E9"/>
    <w:rsid w:val="730564D5"/>
    <w:rsid w:val="73643B35"/>
    <w:rsid w:val="76E45313"/>
    <w:rsid w:val="7C92F194"/>
    <w:rsid w:val="7CC2A417"/>
    <w:rsid w:val="7D42B39B"/>
    <w:rsid w:val="7E038EB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D1003277-F358-437A-BB0F-DEC3F281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autoRedefine/>
    <w:uiPriority w:val="9"/>
    <w:qFormat/>
    <w:rsid w:val="007A34A3"/>
    <w:pPr>
      <w:keepNext/>
      <w:spacing w:before="480" w:after="180"/>
      <w:outlineLvl w:val="1"/>
    </w:pPr>
    <w:rPr>
      <w:b/>
      <w:color w:val="0A6AB4"/>
      <w:spacing w:val="-5"/>
      <w:sz w:val="48"/>
    </w:rPr>
  </w:style>
  <w:style w:type="paragraph" w:styleId="Heading3">
    <w:name w:val="heading 3"/>
    <w:basedOn w:val="Normal"/>
    <w:next w:val="Normal"/>
    <w:link w:val="Heading3Char"/>
    <w:autoRedefine/>
    <w:uiPriority w:val="9"/>
    <w:qFormat/>
    <w:rsid w:val="00C103C7"/>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535C2F"/>
    <w:pPr>
      <w:tabs>
        <w:tab w:val="right" w:pos="8080"/>
      </w:tabs>
      <w:spacing w:before="120"/>
      <w:ind w:left="426" w:right="567" w:hanging="426"/>
    </w:pPr>
    <w:rPr>
      <w:noProof/>
    </w:r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C103C7"/>
    <w:pPr>
      <w:keepNext/>
      <w:spacing w:after="120"/>
    </w:pPr>
    <w:rPr>
      <w:b/>
      <w:sz w:val="20"/>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7A34A3"/>
    <w:rPr>
      <w:rFonts w:ascii="Segoe UI" w:hAnsi="Segoe UI"/>
      <w:b/>
      <w:color w:val="0A6AB4"/>
      <w:spacing w:val="-5"/>
      <w:sz w:val="48"/>
      <w:lang w:eastAsia="en-GB"/>
    </w:rPr>
  </w:style>
  <w:style w:type="character" w:customStyle="1" w:styleId="Heading3Char">
    <w:name w:val="Heading 3 Char"/>
    <w:link w:val="Heading3"/>
    <w:uiPriority w:val="9"/>
    <w:rsid w:val="00C103C7"/>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customStyle="1" w:styleId="BulletChar">
    <w:name w:val="Bullet Char"/>
    <w:link w:val="Bullet"/>
    <w:locked/>
    <w:rsid w:val="00753A1F"/>
    <w:rPr>
      <w:rFonts w:ascii="Segoe UI" w:hAnsi="Segoe UI"/>
      <w:sz w:val="21"/>
      <w:lang w:eastAsia="en-GB"/>
    </w:rPr>
  </w:style>
  <w:style w:type="character" w:customStyle="1" w:styleId="FigureChar">
    <w:name w:val="Figure Char"/>
    <w:link w:val="Figure"/>
    <w:locked/>
    <w:rsid w:val="00C103C7"/>
    <w:rPr>
      <w:rFonts w:ascii="Segoe UI" w:hAnsi="Segoe UI"/>
      <w:b/>
      <w:lang w:eastAsia="en-GB"/>
    </w:rPr>
  </w:style>
  <w:style w:type="character" w:customStyle="1" w:styleId="TableChar">
    <w:name w:val="Table Char"/>
    <w:link w:val="Table"/>
    <w:locked/>
    <w:rsid w:val="00753A1F"/>
    <w:rPr>
      <w:rFonts w:ascii="Segoe UI" w:hAnsi="Segoe UI"/>
      <w:b/>
      <w:lang w:eastAsia="en-GB"/>
    </w:rPr>
  </w:style>
  <w:style w:type="character" w:styleId="CommentReference">
    <w:name w:val="annotation reference"/>
    <w:basedOn w:val="DefaultParagraphFont"/>
    <w:uiPriority w:val="99"/>
    <w:semiHidden/>
    <w:unhideWhenUsed/>
    <w:rsid w:val="00753A1F"/>
    <w:rPr>
      <w:sz w:val="16"/>
      <w:szCs w:val="16"/>
    </w:rPr>
  </w:style>
  <w:style w:type="paragraph" w:styleId="CommentText">
    <w:name w:val="annotation text"/>
    <w:basedOn w:val="Normal"/>
    <w:link w:val="CommentTextChar"/>
    <w:uiPriority w:val="99"/>
    <w:unhideWhenUsed/>
    <w:rsid w:val="00753A1F"/>
    <w:rPr>
      <w:sz w:val="20"/>
      <w14:ligatures w14:val="standardContextual"/>
    </w:rPr>
  </w:style>
  <w:style w:type="character" w:customStyle="1" w:styleId="CommentTextChar">
    <w:name w:val="Comment Text Char"/>
    <w:basedOn w:val="DefaultParagraphFont"/>
    <w:link w:val="CommentText"/>
    <w:uiPriority w:val="99"/>
    <w:rsid w:val="00753A1F"/>
    <w:rPr>
      <w:rFonts w:ascii="Segoe UI" w:hAnsi="Segoe UI"/>
      <w:lang w:eastAsia="en-GB"/>
      <w14:ligatures w14:val="standardContextual"/>
    </w:rPr>
  </w:style>
  <w:style w:type="paragraph" w:styleId="ListParagraph">
    <w:name w:val="List Paragraph"/>
    <w:basedOn w:val="Normal"/>
    <w:uiPriority w:val="34"/>
    <w:qFormat/>
    <w:rsid w:val="00753A1F"/>
    <w:pPr>
      <w:ind w:left="720"/>
      <w:contextualSpacing/>
    </w:pPr>
    <w:rPr>
      <w14:ligatures w14:val="standardContextual"/>
    </w:rPr>
  </w:style>
  <w:style w:type="character" w:customStyle="1" w:styleId="eop">
    <w:name w:val="eop"/>
    <w:basedOn w:val="DefaultParagraphFont"/>
    <w:rsid w:val="00753A1F"/>
  </w:style>
  <w:style w:type="paragraph" w:styleId="CommentSubject">
    <w:name w:val="annotation subject"/>
    <w:basedOn w:val="CommentText"/>
    <w:next w:val="CommentText"/>
    <w:link w:val="CommentSubjectChar"/>
    <w:uiPriority w:val="99"/>
    <w:semiHidden/>
    <w:unhideWhenUsed/>
    <w:rsid w:val="00753A1F"/>
    <w:rPr>
      <w:b/>
      <w:bCs/>
    </w:rPr>
  </w:style>
  <w:style w:type="character" w:customStyle="1" w:styleId="CommentSubjectChar">
    <w:name w:val="Comment Subject Char"/>
    <w:basedOn w:val="CommentTextChar"/>
    <w:link w:val="CommentSubject"/>
    <w:uiPriority w:val="99"/>
    <w:semiHidden/>
    <w:rsid w:val="00753A1F"/>
    <w:rPr>
      <w:rFonts w:ascii="Segoe UI" w:hAnsi="Segoe UI"/>
      <w:b/>
      <w:bCs/>
      <w:lang w:eastAsia="en-GB"/>
      <w14:ligatures w14:val="standardContextual"/>
    </w:rPr>
  </w:style>
  <w:style w:type="character" w:styleId="Mention">
    <w:name w:val="Mention"/>
    <w:basedOn w:val="DefaultParagraphFont"/>
    <w:uiPriority w:val="99"/>
    <w:unhideWhenUsed/>
    <w:rsid w:val="00753A1F"/>
    <w:rPr>
      <w:color w:val="2B579A"/>
      <w:shd w:val="clear" w:color="auto" w:fill="E1DFDD"/>
    </w:rPr>
  </w:style>
  <w:style w:type="paragraph" w:customStyle="1" w:styleId="Default">
    <w:name w:val="Default"/>
    <w:rsid w:val="00753A1F"/>
    <w:pPr>
      <w:autoSpaceDE w:val="0"/>
      <w:autoSpaceDN w:val="0"/>
      <w:adjustRightInd w:val="0"/>
    </w:pPr>
    <w:rPr>
      <w:rFonts w:ascii="Segoe UI" w:eastAsiaTheme="minorEastAsia" w:hAnsi="Segoe UI" w:cs="Segoe UI"/>
      <w:color w:val="000000"/>
      <w:sz w:val="24"/>
      <w:szCs w:val="24"/>
      <w:lang w:eastAsia="ja-JP"/>
    </w:rPr>
  </w:style>
  <w:style w:type="paragraph" w:styleId="Caption">
    <w:name w:val="caption"/>
    <w:basedOn w:val="Normal"/>
    <w:next w:val="Normal"/>
    <w:uiPriority w:val="35"/>
    <w:unhideWhenUsed/>
    <w:qFormat/>
    <w:rsid w:val="00753A1F"/>
    <w:pPr>
      <w:spacing w:after="200"/>
    </w:pPr>
    <w:rPr>
      <w:i/>
      <w:iCs/>
      <w:color w:val="44546A" w:themeColor="text2"/>
      <w:sz w:val="18"/>
      <w:szCs w:val="18"/>
      <w14:ligatures w14:val="standardContextual"/>
    </w:rPr>
  </w:style>
  <w:style w:type="character" w:styleId="FollowedHyperlink">
    <w:name w:val="FollowedHyperlink"/>
    <w:basedOn w:val="DefaultParagraphFont"/>
    <w:uiPriority w:val="99"/>
    <w:semiHidden/>
    <w:unhideWhenUsed/>
    <w:rsid w:val="00753A1F"/>
    <w:rPr>
      <w:color w:val="954F72" w:themeColor="followedHyperlink"/>
      <w:u w:val="single"/>
    </w:rPr>
  </w:style>
  <w:style w:type="character" w:styleId="UnresolvedMention">
    <w:name w:val="Unresolved Mention"/>
    <w:basedOn w:val="DefaultParagraphFont"/>
    <w:uiPriority w:val="99"/>
    <w:semiHidden/>
    <w:unhideWhenUsed/>
    <w:rsid w:val="00753A1F"/>
    <w:rPr>
      <w:color w:val="605E5C"/>
      <w:shd w:val="clear" w:color="auto" w:fill="E1DFDD"/>
    </w:rPr>
  </w:style>
  <w:style w:type="paragraph" w:styleId="TOCHeading">
    <w:name w:val="TOC Heading"/>
    <w:basedOn w:val="Heading1"/>
    <w:next w:val="Normal"/>
    <w:uiPriority w:val="39"/>
    <w:unhideWhenUsed/>
    <w:qFormat/>
    <w:rsid w:val="00753A1F"/>
    <w:pPr>
      <w:keepLines/>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en-US" w:eastAsia="en-US"/>
    </w:rPr>
  </w:style>
  <w:style w:type="paragraph" w:styleId="TableofFigures">
    <w:name w:val="table of figures"/>
    <w:basedOn w:val="Normal"/>
    <w:next w:val="Normal"/>
    <w:uiPriority w:val="99"/>
    <w:unhideWhenUsed/>
    <w:rsid w:val="00753A1F"/>
    <w:rPr>
      <w14:ligatures w14:val="standardContextual"/>
    </w:rPr>
  </w:style>
  <w:style w:type="character" w:customStyle="1" w:styleId="cf01">
    <w:name w:val="cf01"/>
    <w:basedOn w:val="DefaultParagraphFont"/>
    <w:rsid w:val="00753A1F"/>
    <w:rPr>
      <w:rFonts w:ascii="Segoe UI" w:hAnsi="Segoe UI" w:cs="Segoe UI" w:hint="default"/>
      <w:sz w:val="18"/>
      <w:szCs w:val="18"/>
    </w:rPr>
  </w:style>
  <w:style w:type="paragraph" w:customStyle="1" w:styleId="Heading1-contents">
    <w:name w:val="Heading 1 - contents"/>
    <w:basedOn w:val="Heading1"/>
    <w:qFormat/>
    <w:rsid w:val="00753A1F"/>
    <w:pPr>
      <w:spacing w:before="0"/>
      <w:outlineLvl w:val="9"/>
    </w:pPr>
    <w:rPr>
      <w14:ligatures w14:val="standardContextual"/>
    </w:rPr>
  </w:style>
  <w:style w:type="paragraph" w:customStyle="1" w:styleId="Heading2-list">
    <w:name w:val="Heading 2 - list"/>
    <w:basedOn w:val="Heading2"/>
    <w:qFormat/>
    <w:rsid w:val="00753A1F"/>
    <w:pPr>
      <w:outlineLvl w:val="9"/>
    </w:pPr>
    <w:rPr>
      <w14:ligatures w14:val="standardContextual"/>
    </w:rPr>
  </w:style>
  <w:style w:type="paragraph" w:styleId="ListNumber">
    <w:name w:val="List Number"/>
    <w:basedOn w:val="Normal"/>
    <w:uiPriority w:val="99"/>
    <w:unhideWhenUsed/>
    <w:rsid w:val="00753A1F"/>
    <w:pPr>
      <w:numPr>
        <w:numId w:val="38"/>
      </w:numPr>
      <w:contextualSpacing/>
    </w:pPr>
    <w:rPr>
      <w14:ligatures w14:val="standardContextual"/>
    </w:rPr>
  </w:style>
  <w:style w:type="paragraph" w:styleId="EndnoteText">
    <w:name w:val="endnote text"/>
    <w:basedOn w:val="Normal"/>
    <w:link w:val="EndnoteTextChar"/>
    <w:uiPriority w:val="99"/>
    <w:semiHidden/>
    <w:unhideWhenUsed/>
    <w:rsid w:val="000455F2"/>
    <w:rPr>
      <w:sz w:val="20"/>
    </w:rPr>
  </w:style>
  <w:style w:type="character" w:customStyle="1" w:styleId="EndnoteTextChar">
    <w:name w:val="Endnote Text Char"/>
    <w:basedOn w:val="DefaultParagraphFont"/>
    <w:link w:val="EndnoteText"/>
    <w:uiPriority w:val="99"/>
    <w:semiHidden/>
    <w:rsid w:val="000455F2"/>
    <w:rPr>
      <w:rFonts w:ascii="Segoe UI" w:hAnsi="Segoe UI"/>
      <w:lang w:eastAsia="en-GB"/>
    </w:rPr>
  </w:style>
  <w:style w:type="character" w:styleId="EndnoteReference">
    <w:name w:val="endnote reference"/>
    <w:basedOn w:val="DefaultParagraphFont"/>
    <w:uiPriority w:val="99"/>
    <w:semiHidden/>
    <w:unhideWhenUsed/>
    <w:rsid w:val="000455F2"/>
    <w:rPr>
      <w:vertAlign w:val="superscript"/>
    </w:rPr>
  </w:style>
  <w:style w:type="paragraph" w:styleId="Subtitle">
    <w:name w:val="Subtitle"/>
    <w:basedOn w:val="Normal"/>
    <w:next w:val="Normal"/>
    <w:link w:val="SubtitleChar"/>
    <w:uiPriority w:val="11"/>
    <w:qFormat/>
    <w:rsid w:val="00463C2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3C26"/>
    <w:rPr>
      <w:rFonts w:asciiTheme="minorHAnsi" w:eastAsiaTheme="majorEastAsia" w:hAnsiTheme="minorHAnsi" w:cstheme="majorBidi"/>
      <w:color w:val="595959" w:themeColor="text1" w:themeTint="A6"/>
      <w:spacing w:val="15"/>
      <w:sz w:val="28"/>
      <w:szCs w:val="28"/>
      <w:lang w:eastAsia="en-GB"/>
    </w:rPr>
  </w:style>
  <w:style w:type="character" w:styleId="IntenseEmphasis">
    <w:name w:val="Intense Emphasis"/>
    <w:basedOn w:val="DefaultParagraphFont"/>
    <w:uiPriority w:val="21"/>
    <w:qFormat/>
    <w:rsid w:val="00463C26"/>
    <w:rPr>
      <w:i/>
      <w:iCs/>
      <w:color w:val="2F5496" w:themeColor="accent1" w:themeShade="BF"/>
    </w:rPr>
  </w:style>
  <w:style w:type="paragraph" w:styleId="IntenseQuote">
    <w:name w:val="Intense Quote"/>
    <w:basedOn w:val="Normal"/>
    <w:next w:val="Normal"/>
    <w:link w:val="IntenseQuoteChar"/>
    <w:uiPriority w:val="30"/>
    <w:qFormat/>
    <w:rsid w:val="00463C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3C26"/>
    <w:rPr>
      <w:rFonts w:ascii="Segoe UI" w:hAnsi="Segoe UI"/>
      <w:i/>
      <w:iCs/>
      <w:color w:val="2F5496" w:themeColor="accent1" w:themeShade="BF"/>
      <w:sz w:val="21"/>
      <w:lang w:eastAsia="en-GB"/>
    </w:rPr>
  </w:style>
  <w:style w:type="character" w:styleId="IntenseReference">
    <w:name w:val="Intense Reference"/>
    <w:basedOn w:val="DefaultParagraphFont"/>
    <w:uiPriority w:val="32"/>
    <w:qFormat/>
    <w:rsid w:val="00463C26"/>
    <w:rPr>
      <w:b/>
      <w:bCs/>
      <w:smallCaps/>
      <w:color w:val="2F5496" w:themeColor="accent1" w:themeShade="BF"/>
      <w:spacing w:val="5"/>
    </w:rPr>
  </w:style>
  <w:style w:type="table" w:styleId="PlainTable2">
    <w:name w:val="Plain Table 2"/>
    <w:basedOn w:val="TableNormal"/>
    <w:uiPriority w:val="42"/>
    <w:rsid w:val="007D3E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27692">
      <w:bodyDiv w:val="1"/>
      <w:marLeft w:val="0"/>
      <w:marRight w:val="0"/>
      <w:marTop w:val="0"/>
      <w:marBottom w:val="0"/>
      <w:divBdr>
        <w:top w:val="none" w:sz="0" w:space="0" w:color="auto"/>
        <w:left w:val="none" w:sz="0" w:space="0" w:color="auto"/>
        <w:bottom w:val="none" w:sz="0" w:space="0" w:color="auto"/>
        <w:right w:val="none" w:sz="0" w:space="0" w:color="auto"/>
      </w:divBdr>
    </w:div>
    <w:div w:id="304970470">
      <w:bodyDiv w:val="1"/>
      <w:marLeft w:val="0"/>
      <w:marRight w:val="0"/>
      <w:marTop w:val="0"/>
      <w:marBottom w:val="0"/>
      <w:divBdr>
        <w:top w:val="none" w:sz="0" w:space="0" w:color="auto"/>
        <w:left w:val="none" w:sz="0" w:space="0" w:color="auto"/>
        <w:bottom w:val="none" w:sz="0" w:space="0" w:color="auto"/>
        <w:right w:val="none" w:sz="0" w:space="0" w:color="auto"/>
      </w:divBdr>
    </w:div>
    <w:div w:id="787119906">
      <w:bodyDiv w:val="1"/>
      <w:marLeft w:val="0"/>
      <w:marRight w:val="0"/>
      <w:marTop w:val="0"/>
      <w:marBottom w:val="0"/>
      <w:divBdr>
        <w:top w:val="none" w:sz="0" w:space="0" w:color="auto"/>
        <w:left w:val="none" w:sz="0" w:space="0" w:color="auto"/>
        <w:bottom w:val="none" w:sz="0" w:space="0" w:color="auto"/>
        <w:right w:val="none" w:sz="0" w:space="0" w:color="auto"/>
      </w:divBdr>
    </w:div>
    <w:div w:id="992832304">
      <w:bodyDiv w:val="1"/>
      <w:marLeft w:val="0"/>
      <w:marRight w:val="0"/>
      <w:marTop w:val="0"/>
      <w:marBottom w:val="0"/>
      <w:divBdr>
        <w:top w:val="none" w:sz="0" w:space="0" w:color="auto"/>
        <w:left w:val="none" w:sz="0" w:space="0" w:color="auto"/>
        <w:bottom w:val="none" w:sz="0" w:space="0" w:color="auto"/>
        <w:right w:val="none" w:sz="0" w:space="0" w:color="auto"/>
      </w:divBdr>
    </w:div>
    <w:div w:id="993414154">
      <w:bodyDiv w:val="1"/>
      <w:marLeft w:val="0"/>
      <w:marRight w:val="0"/>
      <w:marTop w:val="0"/>
      <w:marBottom w:val="0"/>
      <w:divBdr>
        <w:top w:val="none" w:sz="0" w:space="0" w:color="auto"/>
        <w:left w:val="none" w:sz="0" w:space="0" w:color="auto"/>
        <w:bottom w:val="none" w:sz="0" w:space="0" w:color="auto"/>
        <w:right w:val="none" w:sz="0" w:space="0" w:color="auto"/>
      </w:divBdr>
    </w:div>
    <w:div w:id="998193750">
      <w:bodyDiv w:val="1"/>
      <w:marLeft w:val="0"/>
      <w:marRight w:val="0"/>
      <w:marTop w:val="0"/>
      <w:marBottom w:val="0"/>
      <w:divBdr>
        <w:top w:val="none" w:sz="0" w:space="0" w:color="auto"/>
        <w:left w:val="none" w:sz="0" w:space="0" w:color="auto"/>
        <w:bottom w:val="none" w:sz="0" w:space="0" w:color="auto"/>
        <w:right w:val="none" w:sz="0" w:space="0" w:color="auto"/>
      </w:divBdr>
    </w:div>
    <w:div w:id="1010375251">
      <w:bodyDiv w:val="1"/>
      <w:marLeft w:val="0"/>
      <w:marRight w:val="0"/>
      <w:marTop w:val="0"/>
      <w:marBottom w:val="0"/>
      <w:divBdr>
        <w:top w:val="none" w:sz="0" w:space="0" w:color="auto"/>
        <w:left w:val="none" w:sz="0" w:space="0" w:color="auto"/>
        <w:bottom w:val="none" w:sz="0" w:space="0" w:color="auto"/>
        <w:right w:val="none" w:sz="0" w:space="0" w:color="auto"/>
      </w:divBdr>
    </w:div>
    <w:div w:id="1347093740">
      <w:bodyDiv w:val="1"/>
      <w:marLeft w:val="0"/>
      <w:marRight w:val="0"/>
      <w:marTop w:val="0"/>
      <w:marBottom w:val="0"/>
      <w:divBdr>
        <w:top w:val="none" w:sz="0" w:space="0" w:color="auto"/>
        <w:left w:val="none" w:sz="0" w:space="0" w:color="auto"/>
        <w:bottom w:val="none" w:sz="0" w:space="0" w:color="auto"/>
        <w:right w:val="none" w:sz="0" w:space="0" w:color="auto"/>
      </w:divBdr>
    </w:div>
    <w:div w:id="1651714931">
      <w:bodyDiv w:val="1"/>
      <w:marLeft w:val="0"/>
      <w:marRight w:val="0"/>
      <w:marTop w:val="0"/>
      <w:marBottom w:val="0"/>
      <w:divBdr>
        <w:top w:val="none" w:sz="0" w:space="0" w:color="auto"/>
        <w:left w:val="none" w:sz="0" w:space="0" w:color="auto"/>
        <w:bottom w:val="none" w:sz="0" w:space="0" w:color="auto"/>
        <w:right w:val="none" w:sz="0" w:space="0" w:color="auto"/>
      </w:divBdr>
    </w:div>
    <w:div w:id="1691450995">
      <w:bodyDiv w:val="1"/>
      <w:marLeft w:val="0"/>
      <w:marRight w:val="0"/>
      <w:marTop w:val="0"/>
      <w:marBottom w:val="0"/>
      <w:divBdr>
        <w:top w:val="none" w:sz="0" w:space="0" w:color="auto"/>
        <w:left w:val="none" w:sz="0" w:space="0" w:color="auto"/>
        <w:bottom w:val="none" w:sz="0" w:space="0" w:color="auto"/>
        <w:right w:val="none" w:sz="0" w:space="0" w:color="auto"/>
      </w:divBdr>
    </w:div>
    <w:div w:id="1752191782">
      <w:bodyDiv w:val="1"/>
      <w:marLeft w:val="0"/>
      <w:marRight w:val="0"/>
      <w:marTop w:val="0"/>
      <w:marBottom w:val="0"/>
      <w:divBdr>
        <w:top w:val="none" w:sz="0" w:space="0" w:color="auto"/>
        <w:left w:val="none" w:sz="0" w:space="0" w:color="auto"/>
        <w:bottom w:val="none" w:sz="0" w:space="0" w:color="auto"/>
        <w:right w:val="none" w:sz="0" w:space="0" w:color="auto"/>
      </w:divBdr>
    </w:div>
    <w:div w:id="18314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t.nz/regulation-legislation/mental-health-and-addiction" TargetMode="Externa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hyperlink" Target="https://www.health.govt.nz/regulation-legislation/mental-health-and-addiction/repealing-and-replacing-the-mental-health-act" TargetMode="External"/><Relationship Id="rId34"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3.png"/><Relationship Id="rId84" Type="http://schemas.openxmlformats.org/officeDocument/2006/relationships/image" Target="media/image50.png"/><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tewhatuora.govt.nz/for-health-professionals/data-and-statistics/suicide/data-web-too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www.mhwc.govt.nz/"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eader" Target="header7.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hyperlink" Target="http://www.health.govt.nz/publications/ministry-of-health-annual-report-for-the-year-ended-30-june-2024" TargetMode="External"/><Relationship Id="rId5" Type="http://schemas.openxmlformats.org/officeDocument/2006/relationships/customXml" Target="../customXml/item5.xml"/><Relationship Id="rId61" Type="http://schemas.openxmlformats.org/officeDocument/2006/relationships/image" Target="media/image30.png"/><Relationship Id="rId82" Type="http://schemas.openxmlformats.org/officeDocument/2006/relationships/image" Target="media/image49.png"/><Relationship Id="rId19" Type="http://schemas.openxmlformats.org/officeDocument/2006/relationships/hyperlink" Target="https://www.abuseincare.org.nz/reports/whanaketi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tewhatuora.govt.nz/for-health-professionals/data-and-statistics/mental-health-and-addiction/service-use-web-tool"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www.health.govt.nz/publications/guidelines-for-reducing-and-eliminating-seclusion-and-restraint-under-the-mental-health-compulsory" TargetMode="External"/><Relationship Id="rId41" Type="http://schemas.openxmlformats.org/officeDocument/2006/relationships/header" Target="header8.xm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s://reports.hqsc.govt.nz/AdverseEventsQuarterly/" TargetMode="External"/><Relationship Id="rId75" Type="http://schemas.openxmlformats.org/officeDocument/2006/relationships/image" Target="media/image42.png"/><Relationship Id="rId83" Type="http://schemas.openxmlformats.org/officeDocument/2006/relationships/hyperlink" Target="https://www.highalert.org.nz/"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govt.nz/publications/ministry-of-health-annual-report-for-the-year-ended-30-june-2024" TargetMode="Externa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publications/specialist-opioid-substitution-treatment-ost-service-audit-and-review-tool" TargetMode="External"/><Relationship Id="rId3" Type="http://schemas.openxmlformats.org/officeDocument/2006/relationships/hyperlink" Target="https://selectcommittees.parliament.nz/v/SelectCommitteeReport/87973bb4-1764-44d5-775e-08dd7d2d2e15?lang=en" TargetMode="External"/><Relationship Id="rId7" Type="http://schemas.openxmlformats.org/officeDocument/2006/relationships/hyperlink" Target="https://www.health.govt.nz/about-us/new-zealands-health-system/health-system-roles-and-organisations/health-committees-and-boards/mental-health-review-tribunal" TargetMode="External"/><Relationship Id="rId2" Type="http://schemas.openxmlformats.org/officeDocument/2006/relationships/hyperlink" Target="https://mentalhealth.inquiry.govt.nz/inquiry-report/he-ara-oranga/" TargetMode="External"/><Relationship Id="rId1" Type="http://schemas.openxmlformats.org/officeDocument/2006/relationships/hyperlink" Target="https://www.abuseincare.org.nz/reports/whanaketia" TargetMode="External"/><Relationship Id="rId6" Type="http://schemas.openxmlformats.org/officeDocument/2006/relationships/hyperlink" Target="https://www.health.govt.nz/regulation-legislation/mental-health-and-addiction/section-95-inquiry-into-the-treatment-of-a-patient-at-waikato-hospital" TargetMode="External"/><Relationship Id="rId5" Type="http://schemas.openxmlformats.org/officeDocument/2006/relationships/hyperlink" Target="https://www.health.govt.nz/regulation-legislation/mental-health-and-addiction/section-99-inspection-of-canterbury-mental-health-services" TargetMode="External"/><Relationship Id="rId4" Type="http://schemas.openxmlformats.org/officeDocument/2006/relationships/hyperlink" Target="https://www.hqsc.govt.nz/resources/resource-library/national-adverse-event-policy-2023/" TargetMode="External"/><Relationship Id="rId9" Type="http://schemas.openxmlformats.org/officeDocument/2006/relationships/hyperlink" Target="https://www.health.govt.nz/publications/new-zealand-practice-guidelines-for-opioid-substitution-treatment-202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Mental Health</Activity>
    <AggregationStatus xmlns="4f9c820c-e7e2-444d-97ee-45f2b3485c1d">Normal</AggregationStatus>
    <OverrideLabel xmlns="d0b61010-d6f3-4072-b934-7bbb13e97771" xsi:nil="true"/>
    <CategoryValue xmlns="4f9c820c-e7e2-444d-97ee-45f2b3485c1d">Annual report</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Regulatory Functions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ODMHAS data</CategoryName>
    <PRADateTrigger xmlns="4f9c820c-e7e2-444d-97ee-45f2b3485c1d" xsi:nil="true"/>
    <PRAText2 xmlns="4f9c820c-e7e2-444d-97ee-45f2b3485c1d" xsi:nil="true"/>
    <zLegacyID xmlns="184c05c4-c568-455d-94a4-7e009b164348" xsi:nil="true"/>
    <_dlc_DocId xmlns="a92161ee-a867-43fa-afc4-ef021add4eae">MOHECM-1867784490-17902</_dlc_DocId>
    <_dlc_DocIdUrl xmlns="a92161ee-a867-43fa-afc4-ef021add4eae">
      <Url>https://mohgovtnz.sharepoint.com/sites/moh-ecm-MentalHlth/_layouts/15/DocIdRedir.aspx?ID=MOHECM-1867784490-17902</Url>
      <Description>MOHECM-1867784490-17902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59" ma:contentTypeDescription="Create a new document." ma:contentTypeScope="" ma:versionID="a491dbbcf263ddc4a2f2a6c2b555fb7c">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ec57c769d231c697dff8bdda94b2ab2d"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2:SharedWithUsers" minOccurs="0"/>
                <xsd:element ref="ns2:SharedWithDetails" minOccurs="0"/>
                <xsd:element ref="ns9:MediaServiceMetadata" minOccurs="0"/>
                <xsd:element ref="ns9:MediaServiceFastMetadata" minOccurs="0"/>
                <xsd:element ref="ns9:MediaServiceObjectDetectorVersions" minOccurs="0"/>
                <xsd:element ref="ns9:MediaServiceSearchProperties" minOccurs="0"/>
                <xsd:element ref="ns9:lcf76f155ced4ddcb4097134ff3c332f" minOccurs="0"/>
                <xsd:element ref="ns2:TaxCatchAll" minOccurs="0"/>
                <xsd:element ref="ns9:MediaServiceDateTaken" minOccurs="0"/>
                <xsd:element ref="ns9:MediaServiceOCR" minOccurs="0"/>
                <xsd:element ref="ns9:MediaServiceGenerationTime" minOccurs="0"/>
                <xsd:element ref="ns9: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885c8b45-ab6d-491f-b4ed-ad59023f59a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Regulatory Function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Mental Health"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3" nillable="true" ma:displayName="MediaServiceMetadata" ma:hidden="true" ma:internalName="MediaServiceMetadata" ma:readOnly="true">
      <xsd:simpleType>
        <xsd:restriction base="dms:Note"/>
      </xsd:simpleType>
    </xsd:element>
    <xsd:element name="MediaServiceFastMetadata" ma:index="54" nillable="true" ma:displayName="MediaServiceFastMetadata" ma:hidden="true" ma:internalName="MediaServiceFastMetadata" ma:readOnly="true">
      <xsd:simpleType>
        <xsd:restriction base="dms:Note"/>
      </xsd:simple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dexed="true" ma:internalName="MediaServiceDateTaken" ma:readOnly="true">
      <xsd:simpleType>
        <xsd:restriction base="dms:Text"/>
      </xsd:simple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38D078F6-6B25-4337-BD32-A29F03AE4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BE128A-4E51-447D-A206-342B12F3F0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73</Pages>
  <Words>18650</Words>
  <Characters>106309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Office of the Director of Mental Health and Addiction Services: Regulatory Report 2023-2024</vt:lpstr>
    </vt:vector>
  </TitlesOfParts>
  <Company>Microsoft</Company>
  <LinksUpToDate>false</LinksUpToDate>
  <CharactersWithSpaces>124710</CharactersWithSpaces>
  <SharedDoc>false</SharedDoc>
  <HLinks>
    <vt:vector size="792" baseType="variant">
      <vt:variant>
        <vt:i4>7864426</vt:i4>
      </vt:variant>
      <vt:variant>
        <vt:i4>1119</vt:i4>
      </vt:variant>
      <vt:variant>
        <vt:i4>0</vt:i4>
      </vt:variant>
      <vt:variant>
        <vt:i4>5</vt:i4>
      </vt:variant>
      <vt:variant>
        <vt:lpwstr>http://www.health.govt.nz/publications/ministry-of-health-annual-report-for-the-year-ended-30-june-2024</vt:lpwstr>
      </vt:variant>
      <vt:variant>
        <vt:lpwstr/>
      </vt:variant>
      <vt:variant>
        <vt:i4>6226009</vt:i4>
      </vt:variant>
      <vt:variant>
        <vt:i4>1098</vt:i4>
      </vt:variant>
      <vt:variant>
        <vt:i4>0</vt:i4>
      </vt:variant>
      <vt:variant>
        <vt:i4>5</vt:i4>
      </vt:variant>
      <vt:variant>
        <vt:lpwstr>https://www.highalert.org.nz/</vt:lpwstr>
      </vt:variant>
      <vt:variant>
        <vt:lpwstr/>
      </vt:variant>
      <vt:variant>
        <vt:i4>524317</vt:i4>
      </vt:variant>
      <vt:variant>
        <vt:i4>999</vt:i4>
      </vt:variant>
      <vt:variant>
        <vt:i4>0</vt:i4>
      </vt:variant>
      <vt:variant>
        <vt:i4>5</vt:i4>
      </vt:variant>
      <vt:variant>
        <vt:lpwstr>https://www.tewhatuora.govt.nz/for-health-professionals/data-and-statistics/suicide/data-web-tool</vt:lpwstr>
      </vt:variant>
      <vt:variant>
        <vt:lpwstr/>
      </vt:variant>
      <vt:variant>
        <vt:i4>6029381</vt:i4>
      </vt:variant>
      <vt:variant>
        <vt:i4>996</vt:i4>
      </vt:variant>
      <vt:variant>
        <vt:i4>0</vt:i4>
      </vt:variant>
      <vt:variant>
        <vt:i4>5</vt:i4>
      </vt:variant>
      <vt:variant>
        <vt:lpwstr>https://reports.hqsc.govt.nz/AdverseEventsQuarterly/</vt:lpwstr>
      </vt:variant>
      <vt:variant>
        <vt:lpwstr/>
      </vt:variant>
      <vt:variant>
        <vt:i4>1179697</vt:i4>
      </vt:variant>
      <vt:variant>
        <vt:i4>695</vt:i4>
      </vt:variant>
      <vt:variant>
        <vt:i4>0</vt:i4>
      </vt:variant>
      <vt:variant>
        <vt:i4>5</vt:i4>
      </vt:variant>
      <vt:variant>
        <vt:lpwstr/>
      </vt:variant>
      <vt:variant>
        <vt:lpwstr>_Toc224043345</vt:lpwstr>
      </vt:variant>
      <vt:variant>
        <vt:i4>1179697</vt:i4>
      </vt:variant>
      <vt:variant>
        <vt:i4>689</vt:i4>
      </vt:variant>
      <vt:variant>
        <vt:i4>0</vt:i4>
      </vt:variant>
      <vt:variant>
        <vt:i4>5</vt:i4>
      </vt:variant>
      <vt:variant>
        <vt:lpwstr/>
      </vt:variant>
      <vt:variant>
        <vt:lpwstr>_Toc224043344</vt:lpwstr>
      </vt:variant>
      <vt:variant>
        <vt:i4>1179697</vt:i4>
      </vt:variant>
      <vt:variant>
        <vt:i4>683</vt:i4>
      </vt:variant>
      <vt:variant>
        <vt:i4>0</vt:i4>
      </vt:variant>
      <vt:variant>
        <vt:i4>5</vt:i4>
      </vt:variant>
      <vt:variant>
        <vt:lpwstr/>
      </vt:variant>
      <vt:variant>
        <vt:lpwstr>_Toc224043343</vt:lpwstr>
      </vt:variant>
      <vt:variant>
        <vt:i4>1179697</vt:i4>
      </vt:variant>
      <vt:variant>
        <vt:i4>677</vt:i4>
      </vt:variant>
      <vt:variant>
        <vt:i4>0</vt:i4>
      </vt:variant>
      <vt:variant>
        <vt:i4>5</vt:i4>
      </vt:variant>
      <vt:variant>
        <vt:lpwstr/>
      </vt:variant>
      <vt:variant>
        <vt:lpwstr>_Toc224043342</vt:lpwstr>
      </vt:variant>
      <vt:variant>
        <vt:i4>1179697</vt:i4>
      </vt:variant>
      <vt:variant>
        <vt:i4>671</vt:i4>
      </vt:variant>
      <vt:variant>
        <vt:i4>0</vt:i4>
      </vt:variant>
      <vt:variant>
        <vt:i4>5</vt:i4>
      </vt:variant>
      <vt:variant>
        <vt:lpwstr/>
      </vt:variant>
      <vt:variant>
        <vt:lpwstr>_Toc224043341</vt:lpwstr>
      </vt:variant>
      <vt:variant>
        <vt:i4>1179697</vt:i4>
      </vt:variant>
      <vt:variant>
        <vt:i4>665</vt:i4>
      </vt:variant>
      <vt:variant>
        <vt:i4>0</vt:i4>
      </vt:variant>
      <vt:variant>
        <vt:i4>5</vt:i4>
      </vt:variant>
      <vt:variant>
        <vt:lpwstr/>
      </vt:variant>
      <vt:variant>
        <vt:lpwstr>_Toc224043340</vt:lpwstr>
      </vt:variant>
      <vt:variant>
        <vt:i4>1376305</vt:i4>
      </vt:variant>
      <vt:variant>
        <vt:i4>659</vt:i4>
      </vt:variant>
      <vt:variant>
        <vt:i4>0</vt:i4>
      </vt:variant>
      <vt:variant>
        <vt:i4>5</vt:i4>
      </vt:variant>
      <vt:variant>
        <vt:lpwstr/>
      </vt:variant>
      <vt:variant>
        <vt:lpwstr>_Toc224043339</vt:lpwstr>
      </vt:variant>
      <vt:variant>
        <vt:i4>1376305</vt:i4>
      </vt:variant>
      <vt:variant>
        <vt:i4>653</vt:i4>
      </vt:variant>
      <vt:variant>
        <vt:i4>0</vt:i4>
      </vt:variant>
      <vt:variant>
        <vt:i4>5</vt:i4>
      </vt:variant>
      <vt:variant>
        <vt:lpwstr/>
      </vt:variant>
      <vt:variant>
        <vt:lpwstr>_Toc224043338</vt:lpwstr>
      </vt:variant>
      <vt:variant>
        <vt:i4>1376305</vt:i4>
      </vt:variant>
      <vt:variant>
        <vt:i4>647</vt:i4>
      </vt:variant>
      <vt:variant>
        <vt:i4>0</vt:i4>
      </vt:variant>
      <vt:variant>
        <vt:i4>5</vt:i4>
      </vt:variant>
      <vt:variant>
        <vt:lpwstr/>
      </vt:variant>
      <vt:variant>
        <vt:lpwstr>_Toc224043337</vt:lpwstr>
      </vt:variant>
      <vt:variant>
        <vt:i4>1376305</vt:i4>
      </vt:variant>
      <vt:variant>
        <vt:i4>641</vt:i4>
      </vt:variant>
      <vt:variant>
        <vt:i4>0</vt:i4>
      </vt:variant>
      <vt:variant>
        <vt:i4>5</vt:i4>
      </vt:variant>
      <vt:variant>
        <vt:lpwstr/>
      </vt:variant>
      <vt:variant>
        <vt:lpwstr>_Toc224043336</vt:lpwstr>
      </vt:variant>
      <vt:variant>
        <vt:i4>1376305</vt:i4>
      </vt:variant>
      <vt:variant>
        <vt:i4>635</vt:i4>
      </vt:variant>
      <vt:variant>
        <vt:i4>0</vt:i4>
      </vt:variant>
      <vt:variant>
        <vt:i4>5</vt:i4>
      </vt:variant>
      <vt:variant>
        <vt:lpwstr/>
      </vt:variant>
      <vt:variant>
        <vt:lpwstr>_Toc224043335</vt:lpwstr>
      </vt:variant>
      <vt:variant>
        <vt:i4>1376305</vt:i4>
      </vt:variant>
      <vt:variant>
        <vt:i4>629</vt:i4>
      </vt:variant>
      <vt:variant>
        <vt:i4>0</vt:i4>
      </vt:variant>
      <vt:variant>
        <vt:i4>5</vt:i4>
      </vt:variant>
      <vt:variant>
        <vt:lpwstr/>
      </vt:variant>
      <vt:variant>
        <vt:lpwstr>_Toc224043334</vt:lpwstr>
      </vt:variant>
      <vt:variant>
        <vt:i4>1376305</vt:i4>
      </vt:variant>
      <vt:variant>
        <vt:i4>623</vt:i4>
      </vt:variant>
      <vt:variant>
        <vt:i4>0</vt:i4>
      </vt:variant>
      <vt:variant>
        <vt:i4>5</vt:i4>
      </vt:variant>
      <vt:variant>
        <vt:lpwstr/>
      </vt:variant>
      <vt:variant>
        <vt:lpwstr>_Toc224043333</vt:lpwstr>
      </vt:variant>
      <vt:variant>
        <vt:i4>1376305</vt:i4>
      </vt:variant>
      <vt:variant>
        <vt:i4>617</vt:i4>
      </vt:variant>
      <vt:variant>
        <vt:i4>0</vt:i4>
      </vt:variant>
      <vt:variant>
        <vt:i4>5</vt:i4>
      </vt:variant>
      <vt:variant>
        <vt:lpwstr/>
      </vt:variant>
      <vt:variant>
        <vt:lpwstr>_Toc224043332</vt:lpwstr>
      </vt:variant>
      <vt:variant>
        <vt:i4>1376305</vt:i4>
      </vt:variant>
      <vt:variant>
        <vt:i4>611</vt:i4>
      </vt:variant>
      <vt:variant>
        <vt:i4>0</vt:i4>
      </vt:variant>
      <vt:variant>
        <vt:i4>5</vt:i4>
      </vt:variant>
      <vt:variant>
        <vt:lpwstr/>
      </vt:variant>
      <vt:variant>
        <vt:lpwstr>_Toc224043331</vt:lpwstr>
      </vt:variant>
      <vt:variant>
        <vt:i4>1376305</vt:i4>
      </vt:variant>
      <vt:variant>
        <vt:i4>605</vt:i4>
      </vt:variant>
      <vt:variant>
        <vt:i4>0</vt:i4>
      </vt:variant>
      <vt:variant>
        <vt:i4>5</vt:i4>
      </vt:variant>
      <vt:variant>
        <vt:lpwstr/>
      </vt:variant>
      <vt:variant>
        <vt:lpwstr>_Toc224043330</vt:lpwstr>
      </vt:variant>
      <vt:variant>
        <vt:i4>1310769</vt:i4>
      </vt:variant>
      <vt:variant>
        <vt:i4>599</vt:i4>
      </vt:variant>
      <vt:variant>
        <vt:i4>0</vt:i4>
      </vt:variant>
      <vt:variant>
        <vt:i4>5</vt:i4>
      </vt:variant>
      <vt:variant>
        <vt:lpwstr/>
      </vt:variant>
      <vt:variant>
        <vt:lpwstr>_Toc224043329</vt:lpwstr>
      </vt:variant>
      <vt:variant>
        <vt:i4>1310769</vt:i4>
      </vt:variant>
      <vt:variant>
        <vt:i4>593</vt:i4>
      </vt:variant>
      <vt:variant>
        <vt:i4>0</vt:i4>
      </vt:variant>
      <vt:variant>
        <vt:i4>5</vt:i4>
      </vt:variant>
      <vt:variant>
        <vt:lpwstr/>
      </vt:variant>
      <vt:variant>
        <vt:lpwstr>_Toc224043328</vt:lpwstr>
      </vt:variant>
      <vt:variant>
        <vt:i4>1310769</vt:i4>
      </vt:variant>
      <vt:variant>
        <vt:i4>587</vt:i4>
      </vt:variant>
      <vt:variant>
        <vt:i4>0</vt:i4>
      </vt:variant>
      <vt:variant>
        <vt:i4>5</vt:i4>
      </vt:variant>
      <vt:variant>
        <vt:lpwstr/>
      </vt:variant>
      <vt:variant>
        <vt:lpwstr>_Toc224043327</vt:lpwstr>
      </vt:variant>
      <vt:variant>
        <vt:i4>1310769</vt:i4>
      </vt:variant>
      <vt:variant>
        <vt:i4>581</vt:i4>
      </vt:variant>
      <vt:variant>
        <vt:i4>0</vt:i4>
      </vt:variant>
      <vt:variant>
        <vt:i4>5</vt:i4>
      </vt:variant>
      <vt:variant>
        <vt:lpwstr/>
      </vt:variant>
      <vt:variant>
        <vt:lpwstr>_Toc224043326</vt:lpwstr>
      </vt:variant>
      <vt:variant>
        <vt:i4>1310769</vt:i4>
      </vt:variant>
      <vt:variant>
        <vt:i4>575</vt:i4>
      </vt:variant>
      <vt:variant>
        <vt:i4>0</vt:i4>
      </vt:variant>
      <vt:variant>
        <vt:i4>5</vt:i4>
      </vt:variant>
      <vt:variant>
        <vt:lpwstr/>
      </vt:variant>
      <vt:variant>
        <vt:lpwstr>_Toc224043325</vt:lpwstr>
      </vt:variant>
      <vt:variant>
        <vt:i4>1310769</vt:i4>
      </vt:variant>
      <vt:variant>
        <vt:i4>569</vt:i4>
      </vt:variant>
      <vt:variant>
        <vt:i4>0</vt:i4>
      </vt:variant>
      <vt:variant>
        <vt:i4>5</vt:i4>
      </vt:variant>
      <vt:variant>
        <vt:lpwstr/>
      </vt:variant>
      <vt:variant>
        <vt:lpwstr>_Toc224043324</vt:lpwstr>
      </vt:variant>
      <vt:variant>
        <vt:i4>2031665</vt:i4>
      </vt:variant>
      <vt:variant>
        <vt:i4>560</vt:i4>
      </vt:variant>
      <vt:variant>
        <vt:i4>0</vt:i4>
      </vt:variant>
      <vt:variant>
        <vt:i4>5</vt:i4>
      </vt:variant>
      <vt:variant>
        <vt:lpwstr/>
      </vt:variant>
      <vt:variant>
        <vt:lpwstr>_Toc224043393</vt:lpwstr>
      </vt:variant>
      <vt:variant>
        <vt:i4>2031665</vt:i4>
      </vt:variant>
      <vt:variant>
        <vt:i4>554</vt:i4>
      </vt:variant>
      <vt:variant>
        <vt:i4>0</vt:i4>
      </vt:variant>
      <vt:variant>
        <vt:i4>5</vt:i4>
      </vt:variant>
      <vt:variant>
        <vt:lpwstr/>
      </vt:variant>
      <vt:variant>
        <vt:lpwstr>_Toc224043392</vt:lpwstr>
      </vt:variant>
      <vt:variant>
        <vt:i4>2031665</vt:i4>
      </vt:variant>
      <vt:variant>
        <vt:i4>548</vt:i4>
      </vt:variant>
      <vt:variant>
        <vt:i4>0</vt:i4>
      </vt:variant>
      <vt:variant>
        <vt:i4>5</vt:i4>
      </vt:variant>
      <vt:variant>
        <vt:lpwstr/>
      </vt:variant>
      <vt:variant>
        <vt:lpwstr>_Toc224043391</vt:lpwstr>
      </vt:variant>
      <vt:variant>
        <vt:i4>2031665</vt:i4>
      </vt:variant>
      <vt:variant>
        <vt:i4>542</vt:i4>
      </vt:variant>
      <vt:variant>
        <vt:i4>0</vt:i4>
      </vt:variant>
      <vt:variant>
        <vt:i4>5</vt:i4>
      </vt:variant>
      <vt:variant>
        <vt:lpwstr/>
      </vt:variant>
      <vt:variant>
        <vt:lpwstr>_Toc224043390</vt:lpwstr>
      </vt:variant>
      <vt:variant>
        <vt:i4>1966129</vt:i4>
      </vt:variant>
      <vt:variant>
        <vt:i4>536</vt:i4>
      </vt:variant>
      <vt:variant>
        <vt:i4>0</vt:i4>
      </vt:variant>
      <vt:variant>
        <vt:i4>5</vt:i4>
      </vt:variant>
      <vt:variant>
        <vt:lpwstr/>
      </vt:variant>
      <vt:variant>
        <vt:lpwstr>_Toc224043389</vt:lpwstr>
      </vt:variant>
      <vt:variant>
        <vt:i4>1966129</vt:i4>
      </vt:variant>
      <vt:variant>
        <vt:i4>530</vt:i4>
      </vt:variant>
      <vt:variant>
        <vt:i4>0</vt:i4>
      </vt:variant>
      <vt:variant>
        <vt:i4>5</vt:i4>
      </vt:variant>
      <vt:variant>
        <vt:lpwstr/>
      </vt:variant>
      <vt:variant>
        <vt:lpwstr>_Toc224043388</vt:lpwstr>
      </vt:variant>
      <vt:variant>
        <vt:i4>1966129</vt:i4>
      </vt:variant>
      <vt:variant>
        <vt:i4>524</vt:i4>
      </vt:variant>
      <vt:variant>
        <vt:i4>0</vt:i4>
      </vt:variant>
      <vt:variant>
        <vt:i4>5</vt:i4>
      </vt:variant>
      <vt:variant>
        <vt:lpwstr/>
      </vt:variant>
      <vt:variant>
        <vt:lpwstr>_Toc224043387</vt:lpwstr>
      </vt:variant>
      <vt:variant>
        <vt:i4>1966129</vt:i4>
      </vt:variant>
      <vt:variant>
        <vt:i4>518</vt:i4>
      </vt:variant>
      <vt:variant>
        <vt:i4>0</vt:i4>
      </vt:variant>
      <vt:variant>
        <vt:i4>5</vt:i4>
      </vt:variant>
      <vt:variant>
        <vt:lpwstr/>
      </vt:variant>
      <vt:variant>
        <vt:lpwstr>_Toc224043386</vt:lpwstr>
      </vt:variant>
      <vt:variant>
        <vt:i4>1966129</vt:i4>
      </vt:variant>
      <vt:variant>
        <vt:i4>512</vt:i4>
      </vt:variant>
      <vt:variant>
        <vt:i4>0</vt:i4>
      </vt:variant>
      <vt:variant>
        <vt:i4>5</vt:i4>
      </vt:variant>
      <vt:variant>
        <vt:lpwstr/>
      </vt:variant>
      <vt:variant>
        <vt:lpwstr>_Toc224043385</vt:lpwstr>
      </vt:variant>
      <vt:variant>
        <vt:i4>1966129</vt:i4>
      </vt:variant>
      <vt:variant>
        <vt:i4>506</vt:i4>
      </vt:variant>
      <vt:variant>
        <vt:i4>0</vt:i4>
      </vt:variant>
      <vt:variant>
        <vt:i4>5</vt:i4>
      </vt:variant>
      <vt:variant>
        <vt:lpwstr/>
      </vt:variant>
      <vt:variant>
        <vt:lpwstr>_Toc224043384</vt:lpwstr>
      </vt:variant>
      <vt:variant>
        <vt:i4>1966129</vt:i4>
      </vt:variant>
      <vt:variant>
        <vt:i4>500</vt:i4>
      </vt:variant>
      <vt:variant>
        <vt:i4>0</vt:i4>
      </vt:variant>
      <vt:variant>
        <vt:i4>5</vt:i4>
      </vt:variant>
      <vt:variant>
        <vt:lpwstr/>
      </vt:variant>
      <vt:variant>
        <vt:lpwstr>_Toc224043383</vt:lpwstr>
      </vt:variant>
      <vt:variant>
        <vt:i4>1966129</vt:i4>
      </vt:variant>
      <vt:variant>
        <vt:i4>494</vt:i4>
      </vt:variant>
      <vt:variant>
        <vt:i4>0</vt:i4>
      </vt:variant>
      <vt:variant>
        <vt:i4>5</vt:i4>
      </vt:variant>
      <vt:variant>
        <vt:lpwstr/>
      </vt:variant>
      <vt:variant>
        <vt:lpwstr>_Toc224043382</vt:lpwstr>
      </vt:variant>
      <vt:variant>
        <vt:i4>1966129</vt:i4>
      </vt:variant>
      <vt:variant>
        <vt:i4>488</vt:i4>
      </vt:variant>
      <vt:variant>
        <vt:i4>0</vt:i4>
      </vt:variant>
      <vt:variant>
        <vt:i4>5</vt:i4>
      </vt:variant>
      <vt:variant>
        <vt:lpwstr/>
      </vt:variant>
      <vt:variant>
        <vt:lpwstr>_Toc224043381</vt:lpwstr>
      </vt:variant>
      <vt:variant>
        <vt:i4>1966129</vt:i4>
      </vt:variant>
      <vt:variant>
        <vt:i4>482</vt:i4>
      </vt:variant>
      <vt:variant>
        <vt:i4>0</vt:i4>
      </vt:variant>
      <vt:variant>
        <vt:i4>5</vt:i4>
      </vt:variant>
      <vt:variant>
        <vt:lpwstr/>
      </vt:variant>
      <vt:variant>
        <vt:lpwstr>_Toc224043380</vt:lpwstr>
      </vt:variant>
      <vt:variant>
        <vt:i4>1114161</vt:i4>
      </vt:variant>
      <vt:variant>
        <vt:i4>476</vt:i4>
      </vt:variant>
      <vt:variant>
        <vt:i4>0</vt:i4>
      </vt:variant>
      <vt:variant>
        <vt:i4>5</vt:i4>
      </vt:variant>
      <vt:variant>
        <vt:lpwstr/>
      </vt:variant>
      <vt:variant>
        <vt:lpwstr>_Toc224043379</vt:lpwstr>
      </vt:variant>
      <vt:variant>
        <vt:i4>1114161</vt:i4>
      </vt:variant>
      <vt:variant>
        <vt:i4>470</vt:i4>
      </vt:variant>
      <vt:variant>
        <vt:i4>0</vt:i4>
      </vt:variant>
      <vt:variant>
        <vt:i4>5</vt:i4>
      </vt:variant>
      <vt:variant>
        <vt:lpwstr/>
      </vt:variant>
      <vt:variant>
        <vt:lpwstr>_Toc224043378</vt:lpwstr>
      </vt:variant>
      <vt:variant>
        <vt:i4>1114161</vt:i4>
      </vt:variant>
      <vt:variant>
        <vt:i4>464</vt:i4>
      </vt:variant>
      <vt:variant>
        <vt:i4>0</vt:i4>
      </vt:variant>
      <vt:variant>
        <vt:i4>5</vt:i4>
      </vt:variant>
      <vt:variant>
        <vt:lpwstr/>
      </vt:variant>
      <vt:variant>
        <vt:lpwstr>_Toc224043377</vt:lpwstr>
      </vt:variant>
      <vt:variant>
        <vt:i4>1114161</vt:i4>
      </vt:variant>
      <vt:variant>
        <vt:i4>458</vt:i4>
      </vt:variant>
      <vt:variant>
        <vt:i4>0</vt:i4>
      </vt:variant>
      <vt:variant>
        <vt:i4>5</vt:i4>
      </vt:variant>
      <vt:variant>
        <vt:lpwstr/>
      </vt:variant>
      <vt:variant>
        <vt:lpwstr>_Toc224043376</vt:lpwstr>
      </vt:variant>
      <vt:variant>
        <vt:i4>1114161</vt:i4>
      </vt:variant>
      <vt:variant>
        <vt:i4>452</vt:i4>
      </vt:variant>
      <vt:variant>
        <vt:i4>0</vt:i4>
      </vt:variant>
      <vt:variant>
        <vt:i4>5</vt:i4>
      </vt:variant>
      <vt:variant>
        <vt:lpwstr/>
      </vt:variant>
      <vt:variant>
        <vt:lpwstr>_Toc224043375</vt:lpwstr>
      </vt:variant>
      <vt:variant>
        <vt:i4>1114161</vt:i4>
      </vt:variant>
      <vt:variant>
        <vt:i4>446</vt:i4>
      </vt:variant>
      <vt:variant>
        <vt:i4>0</vt:i4>
      </vt:variant>
      <vt:variant>
        <vt:i4>5</vt:i4>
      </vt:variant>
      <vt:variant>
        <vt:lpwstr/>
      </vt:variant>
      <vt:variant>
        <vt:lpwstr>_Toc224043374</vt:lpwstr>
      </vt:variant>
      <vt:variant>
        <vt:i4>1114161</vt:i4>
      </vt:variant>
      <vt:variant>
        <vt:i4>440</vt:i4>
      </vt:variant>
      <vt:variant>
        <vt:i4>0</vt:i4>
      </vt:variant>
      <vt:variant>
        <vt:i4>5</vt:i4>
      </vt:variant>
      <vt:variant>
        <vt:lpwstr/>
      </vt:variant>
      <vt:variant>
        <vt:lpwstr>_Toc224043373</vt:lpwstr>
      </vt:variant>
      <vt:variant>
        <vt:i4>1114161</vt:i4>
      </vt:variant>
      <vt:variant>
        <vt:i4>434</vt:i4>
      </vt:variant>
      <vt:variant>
        <vt:i4>0</vt:i4>
      </vt:variant>
      <vt:variant>
        <vt:i4>5</vt:i4>
      </vt:variant>
      <vt:variant>
        <vt:lpwstr/>
      </vt:variant>
      <vt:variant>
        <vt:lpwstr>_Toc224043372</vt:lpwstr>
      </vt:variant>
      <vt:variant>
        <vt:i4>1114161</vt:i4>
      </vt:variant>
      <vt:variant>
        <vt:i4>428</vt:i4>
      </vt:variant>
      <vt:variant>
        <vt:i4>0</vt:i4>
      </vt:variant>
      <vt:variant>
        <vt:i4>5</vt:i4>
      </vt:variant>
      <vt:variant>
        <vt:lpwstr/>
      </vt:variant>
      <vt:variant>
        <vt:lpwstr>_Toc224043371</vt:lpwstr>
      </vt:variant>
      <vt:variant>
        <vt:i4>1114161</vt:i4>
      </vt:variant>
      <vt:variant>
        <vt:i4>422</vt:i4>
      </vt:variant>
      <vt:variant>
        <vt:i4>0</vt:i4>
      </vt:variant>
      <vt:variant>
        <vt:i4>5</vt:i4>
      </vt:variant>
      <vt:variant>
        <vt:lpwstr/>
      </vt:variant>
      <vt:variant>
        <vt:lpwstr>_Toc224043370</vt:lpwstr>
      </vt:variant>
      <vt:variant>
        <vt:i4>1048625</vt:i4>
      </vt:variant>
      <vt:variant>
        <vt:i4>416</vt:i4>
      </vt:variant>
      <vt:variant>
        <vt:i4>0</vt:i4>
      </vt:variant>
      <vt:variant>
        <vt:i4>5</vt:i4>
      </vt:variant>
      <vt:variant>
        <vt:lpwstr/>
      </vt:variant>
      <vt:variant>
        <vt:lpwstr>_Toc224043369</vt:lpwstr>
      </vt:variant>
      <vt:variant>
        <vt:i4>1048625</vt:i4>
      </vt:variant>
      <vt:variant>
        <vt:i4>410</vt:i4>
      </vt:variant>
      <vt:variant>
        <vt:i4>0</vt:i4>
      </vt:variant>
      <vt:variant>
        <vt:i4>5</vt:i4>
      </vt:variant>
      <vt:variant>
        <vt:lpwstr/>
      </vt:variant>
      <vt:variant>
        <vt:lpwstr>_Toc224043368</vt:lpwstr>
      </vt:variant>
      <vt:variant>
        <vt:i4>1048625</vt:i4>
      </vt:variant>
      <vt:variant>
        <vt:i4>404</vt:i4>
      </vt:variant>
      <vt:variant>
        <vt:i4>0</vt:i4>
      </vt:variant>
      <vt:variant>
        <vt:i4>5</vt:i4>
      </vt:variant>
      <vt:variant>
        <vt:lpwstr/>
      </vt:variant>
      <vt:variant>
        <vt:lpwstr>_Toc224043367</vt:lpwstr>
      </vt:variant>
      <vt:variant>
        <vt:i4>1048625</vt:i4>
      </vt:variant>
      <vt:variant>
        <vt:i4>398</vt:i4>
      </vt:variant>
      <vt:variant>
        <vt:i4>0</vt:i4>
      </vt:variant>
      <vt:variant>
        <vt:i4>5</vt:i4>
      </vt:variant>
      <vt:variant>
        <vt:lpwstr/>
      </vt:variant>
      <vt:variant>
        <vt:lpwstr>_Toc224043366</vt:lpwstr>
      </vt:variant>
      <vt:variant>
        <vt:i4>1048625</vt:i4>
      </vt:variant>
      <vt:variant>
        <vt:i4>392</vt:i4>
      </vt:variant>
      <vt:variant>
        <vt:i4>0</vt:i4>
      </vt:variant>
      <vt:variant>
        <vt:i4>5</vt:i4>
      </vt:variant>
      <vt:variant>
        <vt:lpwstr/>
      </vt:variant>
      <vt:variant>
        <vt:lpwstr>_Toc224043365</vt:lpwstr>
      </vt:variant>
      <vt:variant>
        <vt:i4>1048625</vt:i4>
      </vt:variant>
      <vt:variant>
        <vt:i4>386</vt:i4>
      </vt:variant>
      <vt:variant>
        <vt:i4>0</vt:i4>
      </vt:variant>
      <vt:variant>
        <vt:i4>5</vt:i4>
      </vt:variant>
      <vt:variant>
        <vt:lpwstr/>
      </vt:variant>
      <vt:variant>
        <vt:lpwstr>_Toc224043364</vt:lpwstr>
      </vt:variant>
      <vt:variant>
        <vt:i4>1048625</vt:i4>
      </vt:variant>
      <vt:variant>
        <vt:i4>380</vt:i4>
      </vt:variant>
      <vt:variant>
        <vt:i4>0</vt:i4>
      </vt:variant>
      <vt:variant>
        <vt:i4>5</vt:i4>
      </vt:variant>
      <vt:variant>
        <vt:lpwstr/>
      </vt:variant>
      <vt:variant>
        <vt:lpwstr>_Toc224043363</vt:lpwstr>
      </vt:variant>
      <vt:variant>
        <vt:i4>1048625</vt:i4>
      </vt:variant>
      <vt:variant>
        <vt:i4>374</vt:i4>
      </vt:variant>
      <vt:variant>
        <vt:i4>0</vt:i4>
      </vt:variant>
      <vt:variant>
        <vt:i4>5</vt:i4>
      </vt:variant>
      <vt:variant>
        <vt:lpwstr/>
      </vt:variant>
      <vt:variant>
        <vt:lpwstr>_Toc224043362</vt:lpwstr>
      </vt:variant>
      <vt:variant>
        <vt:i4>1048625</vt:i4>
      </vt:variant>
      <vt:variant>
        <vt:i4>368</vt:i4>
      </vt:variant>
      <vt:variant>
        <vt:i4>0</vt:i4>
      </vt:variant>
      <vt:variant>
        <vt:i4>5</vt:i4>
      </vt:variant>
      <vt:variant>
        <vt:lpwstr/>
      </vt:variant>
      <vt:variant>
        <vt:lpwstr>_Toc224043361</vt:lpwstr>
      </vt:variant>
      <vt:variant>
        <vt:i4>1048625</vt:i4>
      </vt:variant>
      <vt:variant>
        <vt:i4>362</vt:i4>
      </vt:variant>
      <vt:variant>
        <vt:i4>0</vt:i4>
      </vt:variant>
      <vt:variant>
        <vt:i4>5</vt:i4>
      </vt:variant>
      <vt:variant>
        <vt:lpwstr/>
      </vt:variant>
      <vt:variant>
        <vt:lpwstr>_Toc224043360</vt:lpwstr>
      </vt:variant>
      <vt:variant>
        <vt:i4>1245233</vt:i4>
      </vt:variant>
      <vt:variant>
        <vt:i4>356</vt:i4>
      </vt:variant>
      <vt:variant>
        <vt:i4>0</vt:i4>
      </vt:variant>
      <vt:variant>
        <vt:i4>5</vt:i4>
      </vt:variant>
      <vt:variant>
        <vt:lpwstr/>
      </vt:variant>
      <vt:variant>
        <vt:lpwstr>_Toc224043359</vt:lpwstr>
      </vt:variant>
      <vt:variant>
        <vt:i4>1245233</vt:i4>
      </vt:variant>
      <vt:variant>
        <vt:i4>350</vt:i4>
      </vt:variant>
      <vt:variant>
        <vt:i4>0</vt:i4>
      </vt:variant>
      <vt:variant>
        <vt:i4>5</vt:i4>
      </vt:variant>
      <vt:variant>
        <vt:lpwstr/>
      </vt:variant>
      <vt:variant>
        <vt:lpwstr>_Toc224043358</vt:lpwstr>
      </vt:variant>
      <vt:variant>
        <vt:i4>1245233</vt:i4>
      </vt:variant>
      <vt:variant>
        <vt:i4>344</vt:i4>
      </vt:variant>
      <vt:variant>
        <vt:i4>0</vt:i4>
      </vt:variant>
      <vt:variant>
        <vt:i4>5</vt:i4>
      </vt:variant>
      <vt:variant>
        <vt:lpwstr/>
      </vt:variant>
      <vt:variant>
        <vt:lpwstr>_Toc224043357</vt:lpwstr>
      </vt:variant>
      <vt:variant>
        <vt:i4>1245233</vt:i4>
      </vt:variant>
      <vt:variant>
        <vt:i4>338</vt:i4>
      </vt:variant>
      <vt:variant>
        <vt:i4>0</vt:i4>
      </vt:variant>
      <vt:variant>
        <vt:i4>5</vt:i4>
      </vt:variant>
      <vt:variant>
        <vt:lpwstr/>
      </vt:variant>
      <vt:variant>
        <vt:lpwstr>_Toc224043356</vt:lpwstr>
      </vt:variant>
      <vt:variant>
        <vt:i4>1245233</vt:i4>
      </vt:variant>
      <vt:variant>
        <vt:i4>332</vt:i4>
      </vt:variant>
      <vt:variant>
        <vt:i4>0</vt:i4>
      </vt:variant>
      <vt:variant>
        <vt:i4>5</vt:i4>
      </vt:variant>
      <vt:variant>
        <vt:lpwstr/>
      </vt:variant>
      <vt:variant>
        <vt:lpwstr>_Toc224043355</vt:lpwstr>
      </vt:variant>
      <vt:variant>
        <vt:i4>1245233</vt:i4>
      </vt:variant>
      <vt:variant>
        <vt:i4>326</vt:i4>
      </vt:variant>
      <vt:variant>
        <vt:i4>0</vt:i4>
      </vt:variant>
      <vt:variant>
        <vt:i4>5</vt:i4>
      </vt:variant>
      <vt:variant>
        <vt:lpwstr/>
      </vt:variant>
      <vt:variant>
        <vt:lpwstr>_Toc224043354</vt:lpwstr>
      </vt:variant>
      <vt:variant>
        <vt:i4>1245233</vt:i4>
      </vt:variant>
      <vt:variant>
        <vt:i4>320</vt:i4>
      </vt:variant>
      <vt:variant>
        <vt:i4>0</vt:i4>
      </vt:variant>
      <vt:variant>
        <vt:i4>5</vt:i4>
      </vt:variant>
      <vt:variant>
        <vt:lpwstr/>
      </vt:variant>
      <vt:variant>
        <vt:lpwstr>_Toc224043353</vt:lpwstr>
      </vt:variant>
      <vt:variant>
        <vt:i4>1245233</vt:i4>
      </vt:variant>
      <vt:variant>
        <vt:i4>314</vt:i4>
      </vt:variant>
      <vt:variant>
        <vt:i4>0</vt:i4>
      </vt:variant>
      <vt:variant>
        <vt:i4>5</vt:i4>
      </vt:variant>
      <vt:variant>
        <vt:lpwstr/>
      </vt:variant>
      <vt:variant>
        <vt:lpwstr>_Toc224043352</vt:lpwstr>
      </vt:variant>
      <vt:variant>
        <vt:i4>1245233</vt:i4>
      </vt:variant>
      <vt:variant>
        <vt:i4>308</vt:i4>
      </vt:variant>
      <vt:variant>
        <vt:i4>0</vt:i4>
      </vt:variant>
      <vt:variant>
        <vt:i4>5</vt:i4>
      </vt:variant>
      <vt:variant>
        <vt:lpwstr/>
      </vt:variant>
      <vt:variant>
        <vt:lpwstr>_Toc224043351</vt:lpwstr>
      </vt:variant>
      <vt:variant>
        <vt:i4>1245233</vt:i4>
      </vt:variant>
      <vt:variant>
        <vt:i4>302</vt:i4>
      </vt:variant>
      <vt:variant>
        <vt:i4>0</vt:i4>
      </vt:variant>
      <vt:variant>
        <vt:i4>5</vt:i4>
      </vt:variant>
      <vt:variant>
        <vt:lpwstr/>
      </vt:variant>
      <vt:variant>
        <vt:lpwstr>_Toc224043350</vt:lpwstr>
      </vt:variant>
      <vt:variant>
        <vt:i4>1179697</vt:i4>
      </vt:variant>
      <vt:variant>
        <vt:i4>296</vt:i4>
      </vt:variant>
      <vt:variant>
        <vt:i4>0</vt:i4>
      </vt:variant>
      <vt:variant>
        <vt:i4>5</vt:i4>
      </vt:variant>
      <vt:variant>
        <vt:lpwstr/>
      </vt:variant>
      <vt:variant>
        <vt:lpwstr>_Toc224043349</vt:lpwstr>
      </vt:variant>
      <vt:variant>
        <vt:i4>1179697</vt:i4>
      </vt:variant>
      <vt:variant>
        <vt:i4>290</vt:i4>
      </vt:variant>
      <vt:variant>
        <vt:i4>0</vt:i4>
      </vt:variant>
      <vt:variant>
        <vt:i4>5</vt:i4>
      </vt:variant>
      <vt:variant>
        <vt:lpwstr/>
      </vt:variant>
      <vt:variant>
        <vt:lpwstr>_Toc224043348</vt:lpwstr>
      </vt:variant>
      <vt:variant>
        <vt:i4>1179697</vt:i4>
      </vt:variant>
      <vt:variant>
        <vt:i4>284</vt:i4>
      </vt:variant>
      <vt:variant>
        <vt:i4>0</vt:i4>
      </vt:variant>
      <vt:variant>
        <vt:i4>5</vt:i4>
      </vt:variant>
      <vt:variant>
        <vt:lpwstr/>
      </vt:variant>
      <vt:variant>
        <vt:lpwstr>_Toc224043347</vt:lpwstr>
      </vt:variant>
      <vt:variant>
        <vt:i4>1179697</vt:i4>
      </vt:variant>
      <vt:variant>
        <vt:i4>278</vt:i4>
      </vt:variant>
      <vt:variant>
        <vt:i4>0</vt:i4>
      </vt:variant>
      <vt:variant>
        <vt:i4>5</vt:i4>
      </vt:variant>
      <vt:variant>
        <vt:lpwstr/>
      </vt:variant>
      <vt:variant>
        <vt:lpwstr>_Toc224043346</vt:lpwstr>
      </vt:variant>
      <vt:variant>
        <vt:i4>1245237</vt:i4>
      </vt:variant>
      <vt:variant>
        <vt:i4>269</vt:i4>
      </vt:variant>
      <vt:variant>
        <vt:i4>0</vt:i4>
      </vt:variant>
      <vt:variant>
        <vt:i4>5</vt:i4>
      </vt:variant>
      <vt:variant>
        <vt:lpwstr/>
      </vt:variant>
      <vt:variant>
        <vt:lpwstr>_Toc224043759</vt:lpwstr>
      </vt:variant>
      <vt:variant>
        <vt:i4>1245237</vt:i4>
      </vt:variant>
      <vt:variant>
        <vt:i4>263</vt:i4>
      </vt:variant>
      <vt:variant>
        <vt:i4>0</vt:i4>
      </vt:variant>
      <vt:variant>
        <vt:i4>5</vt:i4>
      </vt:variant>
      <vt:variant>
        <vt:lpwstr/>
      </vt:variant>
      <vt:variant>
        <vt:lpwstr>_Toc224043758</vt:lpwstr>
      </vt:variant>
      <vt:variant>
        <vt:i4>1245237</vt:i4>
      </vt:variant>
      <vt:variant>
        <vt:i4>257</vt:i4>
      </vt:variant>
      <vt:variant>
        <vt:i4>0</vt:i4>
      </vt:variant>
      <vt:variant>
        <vt:i4>5</vt:i4>
      </vt:variant>
      <vt:variant>
        <vt:lpwstr/>
      </vt:variant>
      <vt:variant>
        <vt:lpwstr>_Toc224043757</vt:lpwstr>
      </vt:variant>
      <vt:variant>
        <vt:i4>1245237</vt:i4>
      </vt:variant>
      <vt:variant>
        <vt:i4>251</vt:i4>
      </vt:variant>
      <vt:variant>
        <vt:i4>0</vt:i4>
      </vt:variant>
      <vt:variant>
        <vt:i4>5</vt:i4>
      </vt:variant>
      <vt:variant>
        <vt:lpwstr/>
      </vt:variant>
      <vt:variant>
        <vt:lpwstr>_Toc224043756</vt:lpwstr>
      </vt:variant>
      <vt:variant>
        <vt:i4>1245237</vt:i4>
      </vt:variant>
      <vt:variant>
        <vt:i4>245</vt:i4>
      </vt:variant>
      <vt:variant>
        <vt:i4>0</vt:i4>
      </vt:variant>
      <vt:variant>
        <vt:i4>5</vt:i4>
      </vt:variant>
      <vt:variant>
        <vt:lpwstr/>
      </vt:variant>
      <vt:variant>
        <vt:lpwstr>_Toc224043755</vt:lpwstr>
      </vt:variant>
      <vt:variant>
        <vt:i4>1245237</vt:i4>
      </vt:variant>
      <vt:variant>
        <vt:i4>239</vt:i4>
      </vt:variant>
      <vt:variant>
        <vt:i4>0</vt:i4>
      </vt:variant>
      <vt:variant>
        <vt:i4>5</vt:i4>
      </vt:variant>
      <vt:variant>
        <vt:lpwstr/>
      </vt:variant>
      <vt:variant>
        <vt:lpwstr>_Toc224043754</vt:lpwstr>
      </vt:variant>
      <vt:variant>
        <vt:i4>1245237</vt:i4>
      </vt:variant>
      <vt:variant>
        <vt:i4>233</vt:i4>
      </vt:variant>
      <vt:variant>
        <vt:i4>0</vt:i4>
      </vt:variant>
      <vt:variant>
        <vt:i4>5</vt:i4>
      </vt:variant>
      <vt:variant>
        <vt:lpwstr/>
      </vt:variant>
      <vt:variant>
        <vt:lpwstr>_Toc224043753</vt:lpwstr>
      </vt:variant>
      <vt:variant>
        <vt:i4>1245237</vt:i4>
      </vt:variant>
      <vt:variant>
        <vt:i4>227</vt:i4>
      </vt:variant>
      <vt:variant>
        <vt:i4>0</vt:i4>
      </vt:variant>
      <vt:variant>
        <vt:i4>5</vt:i4>
      </vt:variant>
      <vt:variant>
        <vt:lpwstr/>
      </vt:variant>
      <vt:variant>
        <vt:lpwstr>_Toc224043752</vt:lpwstr>
      </vt:variant>
      <vt:variant>
        <vt:i4>1245237</vt:i4>
      </vt:variant>
      <vt:variant>
        <vt:i4>221</vt:i4>
      </vt:variant>
      <vt:variant>
        <vt:i4>0</vt:i4>
      </vt:variant>
      <vt:variant>
        <vt:i4>5</vt:i4>
      </vt:variant>
      <vt:variant>
        <vt:lpwstr/>
      </vt:variant>
      <vt:variant>
        <vt:lpwstr>_Toc224043751</vt:lpwstr>
      </vt:variant>
      <vt:variant>
        <vt:i4>1245237</vt:i4>
      </vt:variant>
      <vt:variant>
        <vt:i4>215</vt:i4>
      </vt:variant>
      <vt:variant>
        <vt:i4>0</vt:i4>
      </vt:variant>
      <vt:variant>
        <vt:i4>5</vt:i4>
      </vt:variant>
      <vt:variant>
        <vt:lpwstr/>
      </vt:variant>
      <vt:variant>
        <vt:lpwstr>_Toc224043750</vt:lpwstr>
      </vt:variant>
      <vt:variant>
        <vt:i4>1179701</vt:i4>
      </vt:variant>
      <vt:variant>
        <vt:i4>209</vt:i4>
      </vt:variant>
      <vt:variant>
        <vt:i4>0</vt:i4>
      </vt:variant>
      <vt:variant>
        <vt:i4>5</vt:i4>
      </vt:variant>
      <vt:variant>
        <vt:lpwstr/>
      </vt:variant>
      <vt:variant>
        <vt:lpwstr>_Toc224043749</vt:lpwstr>
      </vt:variant>
      <vt:variant>
        <vt:i4>1179701</vt:i4>
      </vt:variant>
      <vt:variant>
        <vt:i4>203</vt:i4>
      </vt:variant>
      <vt:variant>
        <vt:i4>0</vt:i4>
      </vt:variant>
      <vt:variant>
        <vt:i4>5</vt:i4>
      </vt:variant>
      <vt:variant>
        <vt:lpwstr/>
      </vt:variant>
      <vt:variant>
        <vt:lpwstr>_Toc224043748</vt:lpwstr>
      </vt:variant>
      <vt:variant>
        <vt:i4>1179701</vt:i4>
      </vt:variant>
      <vt:variant>
        <vt:i4>197</vt:i4>
      </vt:variant>
      <vt:variant>
        <vt:i4>0</vt:i4>
      </vt:variant>
      <vt:variant>
        <vt:i4>5</vt:i4>
      </vt:variant>
      <vt:variant>
        <vt:lpwstr/>
      </vt:variant>
      <vt:variant>
        <vt:lpwstr>_Toc224043747</vt:lpwstr>
      </vt:variant>
      <vt:variant>
        <vt:i4>1179701</vt:i4>
      </vt:variant>
      <vt:variant>
        <vt:i4>191</vt:i4>
      </vt:variant>
      <vt:variant>
        <vt:i4>0</vt:i4>
      </vt:variant>
      <vt:variant>
        <vt:i4>5</vt:i4>
      </vt:variant>
      <vt:variant>
        <vt:lpwstr/>
      </vt:variant>
      <vt:variant>
        <vt:lpwstr>_Toc224043746</vt:lpwstr>
      </vt:variant>
      <vt:variant>
        <vt:i4>1179701</vt:i4>
      </vt:variant>
      <vt:variant>
        <vt:i4>185</vt:i4>
      </vt:variant>
      <vt:variant>
        <vt:i4>0</vt:i4>
      </vt:variant>
      <vt:variant>
        <vt:i4>5</vt:i4>
      </vt:variant>
      <vt:variant>
        <vt:lpwstr/>
      </vt:variant>
      <vt:variant>
        <vt:lpwstr>_Toc224043745</vt:lpwstr>
      </vt:variant>
      <vt:variant>
        <vt:i4>1179701</vt:i4>
      </vt:variant>
      <vt:variant>
        <vt:i4>179</vt:i4>
      </vt:variant>
      <vt:variant>
        <vt:i4>0</vt:i4>
      </vt:variant>
      <vt:variant>
        <vt:i4>5</vt:i4>
      </vt:variant>
      <vt:variant>
        <vt:lpwstr/>
      </vt:variant>
      <vt:variant>
        <vt:lpwstr>_Toc224043744</vt:lpwstr>
      </vt:variant>
      <vt:variant>
        <vt:i4>1179701</vt:i4>
      </vt:variant>
      <vt:variant>
        <vt:i4>173</vt:i4>
      </vt:variant>
      <vt:variant>
        <vt:i4>0</vt:i4>
      </vt:variant>
      <vt:variant>
        <vt:i4>5</vt:i4>
      </vt:variant>
      <vt:variant>
        <vt:lpwstr/>
      </vt:variant>
      <vt:variant>
        <vt:lpwstr>_Toc224043743</vt:lpwstr>
      </vt:variant>
      <vt:variant>
        <vt:i4>1179701</vt:i4>
      </vt:variant>
      <vt:variant>
        <vt:i4>167</vt:i4>
      </vt:variant>
      <vt:variant>
        <vt:i4>0</vt:i4>
      </vt:variant>
      <vt:variant>
        <vt:i4>5</vt:i4>
      </vt:variant>
      <vt:variant>
        <vt:lpwstr/>
      </vt:variant>
      <vt:variant>
        <vt:lpwstr>_Toc224043742</vt:lpwstr>
      </vt:variant>
      <vt:variant>
        <vt:i4>1179701</vt:i4>
      </vt:variant>
      <vt:variant>
        <vt:i4>161</vt:i4>
      </vt:variant>
      <vt:variant>
        <vt:i4>0</vt:i4>
      </vt:variant>
      <vt:variant>
        <vt:i4>5</vt:i4>
      </vt:variant>
      <vt:variant>
        <vt:lpwstr/>
      </vt:variant>
      <vt:variant>
        <vt:lpwstr>_Toc224043741</vt:lpwstr>
      </vt:variant>
      <vt:variant>
        <vt:i4>1179701</vt:i4>
      </vt:variant>
      <vt:variant>
        <vt:i4>155</vt:i4>
      </vt:variant>
      <vt:variant>
        <vt:i4>0</vt:i4>
      </vt:variant>
      <vt:variant>
        <vt:i4>5</vt:i4>
      </vt:variant>
      <vt:variant>
        <vt:lpwstr/>
      </vt:variant>
      <vt:variant>
        <vt:lpwstr>_Toc224043740</vt:lpwstr>
      </vt:variant>
      <vt:variant>
        <vt:i4>1376309</vt:i4>
      </vt:variant>
      <vt:variant>
        <vt:i4>149</vt:i4>
      </vt:variant>
      <vt:variant>
        <vt:i4>0</vt:i4>
      </vt:variant>
      <vt:variant>
        <vt:i4>5</vt:i4>
      </vt:variant>
      <vt:variant>
        <vt:lpwstr/>
      </vt:variant>
      <vt:variant>
        <vt:lpwstr>_Toc224043739</vt:lpwstr>
      </vt:variant>
      <vt:variant>
        <vt:i4>1376309</vt:i4>
      </vt:variant>
      <vt:variant>
        <vt:i4>143</vt:i4>
      </vt:variant>
      <vt:variant>
        <vt:i4>0</vt:i4>
      </vt:variant>
      <vt:variant>
        <vt:i4>5</vt:i4>
      </vt:variant>
      <vt:variant>
        <vt:lpwstr/>
      </vt:variant>
      <vt:variant>
        <vt:lpwstr>_Toc224043738</vt:lpwstr>
      </vt:variant>
      <vt:variant>
        <vt:i4>1376309</vt:i4>
      </vt:variant>
      <vt:variant>
        <vt:i4>137</vt:i4>
      </vt:variant>
      <vt:variant>
        <vt:i4>0</vt:i4>
      </vt:variant>
      <vt:variant>
        <vt:i4>5</vt:i4>
      </vt:variant>
      <vt:variant>
        <vt:lpwstr/>
      </vt:variant>
      <vt:variant>
        <vt:lpwstr>_Toc224043737</vt:lpwstr>
      </vt:variant>
      <vt:variant>
        <vt:i4>1376309</vt:i4>
      </vt:variant>
      <vt:variant>
        <vt:i4>131</vt:i4>
      </vt:variant>
      <vt:variant>
        <vt:i4>0</vt:i4>
      </vt:variant>
      <vt:variant>
        <vt:i4>5</vt:i4>
      </vt:variant>
      <vt:variant>
        <vt:lpwstr/>
      </vt:variant>
      <vt:variant>
        <vt:lpwstr>_Toc224043736</vt:lpwstr>
      </vt:variant>
      <vt:variant>
        <vt:i4>1376309</vt:i4>
      </vt:variant>
      <vt:variant>
        <vt:i4>125</vt:i4>
      </vt:variant>
      <vt:variant>
        <vt:i4>0</vt:i4>
      </vt:variant>
      <vt:variant>
        <vt:i4>5</vt:i4>
      </vt:variant>
      <vt:variant>
        <vt:lpwstr/>
      </vt:variant>
      <vt:variant>
        <vt:lpwstr>_Toc224043735</vt:lpwstr>
      </vt:variant>
      <vt:variant>
        <vt:i4>1376309</vt:i4>
      </vt:variant>
      <vt:variant>
        <vt:i4>119</vt:i4>
      </vt:variant>
      <vt:variant>
        <vt:i4>0</vt:i4>
      </vt:variant>
      <vt:variant>
        <vt:i4>5</vt:i4>
      </vt:variant>
      <vt:variant>
        <vt:lpwstr/>
      </vt:variant>
      <vt:variant>
        <vt:lpwstr>_Toc224043734</vt:lpwstr>
      </vt:variant>
      <vt:variant>
        <vt:i4>1376309</vt:i4>
      </vt:variant>
      <vt:variant>
        <vt:i4>113</vt:i4>
      </vt:variant>
      <vt:variant>
        <vt:i4>0</vt:i4>
      </vt:variant>
      <vt:variant>
        <vt:i4>5</vt:i4>
      </vt:variant>
      <vt:variant>
        <vt:lpwstr/>
      </vt:variant>
      <vt:variant>
        <vt:lpwstr>_Toc224043733</vt:lpwstr>
      </vt:variant>
      <vt:variant>
        <vt:i4>1376309</vt:i4>
      </vt:variant>
      <vt:variant>
        <vt:i4>107</vt:i4>
      </vt:variant>
      <vt:variant>
        <vt:i4>0</vt:i4>
      </vt:variant>
      <vt:variant>
        <vt:i4>5</vt:i4>
      </vt:variant>
      <vt:variant>
        <vt:lpwstr/>
      </vt:variant>
      <vt:variant>
        <vt:lpwstr>_Toc224043732</vt:lpwstr>
      </vt:variant>
      <vt:variant>
        <vt:i4>1376309</vt:i4>
      </vt:variant>
      <vt:variant>
        <vt:i4>101</vt:i4>
      </vt:variant>
      <vt:variant>
        <vt:i4>0</vt:i4>
      </vt:variant>
      <vt:variant>
        <vt:i4>5</vt:i4>
      </vt:variant>
      <vt:variant>
        <vt:lpwstr/>
      </vt:variant>
      <vt:variant>
        <vt:lpwstr>_Toc224043731</vt:lpwstr>
      </vt:variant>
      <vt:variant>
        <vt:i4>1376309</vt:i4>
      </vt:variant>
      <vt:variant>
        <vt:i4>95</vt:i4>
      </vt:variant>
      <vt:variant>
        <vt:i4>0</vt:i4>
      </vt:variant>
      <vt:variant>
        <vt:i4>5</vt:i4>
      </vt:variant>
      <vt:variant>
        <vt:lpwstr/>
      </vt:variant>
      <vt:variant>
        <vt:lpwstr>_Toc224043730</vt:lpwstr>
      </vt:variant>
      <vt:variant>
        <vt:i4>1310773</vt:i4>
      </vt:variant>
      <vt:variant>
        <vt:i4>89</vt:i4>
      </vt:variant>
      <vt:variant>
        <vt:i4>0</vt:i4>
      </vt:variant>
      <vt:variant>
        <vt:i4>5</vt:i4>
      </vt:variant>
      <vt:variant>
        <vt:lpwstr/>
      </vt:variant>
      <vt:variant>
        <vt:lpwstr>_Toc224043729</vt:lpwstr>
      </vt:variant>
      <vt:variant>
        <vt:i4>1310773</vt:i4>
      </vt:variant>
      <vt:variant>
        <vt:i4>83</vt:i4>
      </vt:variant>
      <vt:variant>
        <vt:i4>0</vt:i4>
      </vt:variant>
      <vt:variant>
        <vt:i4>5</vt:i4>
      </vt:variant>
      <vt:variant>
        <vt:lpwstr/>
      </vt:variant>
      <vt:variant>
        <vt:lpwstr>_Toc224043728</vt:lpwstr>
      </vt:variant>
      <vt:variant>
        <vt:i4>1310773</vt:i4>
      </vt:variant>
      <vt:variant>
        <vt:i4>77</vt:i4>
      </vt:variant>
      <vt:variant>
        <vt:i4>0</vt:i4>
      </vt:variant>
      <vt:variant>
        <vt:i4>5</vt:i4>
      </vt:variant>
      <vt:variant>
        <vt:lpwstr/>
      </vt:variant>
      <vt:variant>
        <vt:lpwstr>_Toc224043727</vt:lpwstr>
      </vt:variant>
      <vt:variant>
        <vt:i4>1310773</vt:i4>
      </vt:variant>
      <vt:variant>
        <vt:i4>71</vt:i4>
      </vt:variant>
      <vt:variant>
        <vt:i4>0</vt:i4>
      </vt:variant>
      <vt:variant>
        <vt:i4>5</vt:i4>
      </vt:variant>
      <vt:variant>
        <vt:lpwstr/>
      </vt:variant>
      <vt:variant>
        <vt:lpwstr>_Toc224043726</vt:lpwstr>
      </vt:variant>
      <vt:variant>
        <vt:i4>1310773</vt:i4>
      </vt:variant>
      <vt:variant>
        <vt:i4>65</vt:i4>
      </vt:variant>
      <vt:variant>
        <vt:i4>0</vt:i4>
      </vt:variant>
      <vt:variant>
        <vt:i4>5</vt:i4>
      </vt:variant>
      <vt:variant>
        <vt:lpwstr/>
      </vt:variant>
      <vt:variant>
        <vt:lpwstr>_Toc224043725</vt:lpwstr>
      </vt:variant>
      <vt:variant>
        <vt:i4>1310773</vt:i4>
      </vt:variant>
      <vt:variant>
        <vt:i4>59</vt:i4>
      </vt:variant>
      <vt:variant>
        <vt:i4>0</vt:i4>
      </vt:variant>
      <vt:variant>
        <vt:i4>5</vt:i4>
      </vt:variant>
      <vt:variant>
        <vt:lpwstr/>
      </vt:variant>
      <vt:variant>
        <vt:lpwstr>_Toc224043724</vt:lpwstr>
      </vt:variant>
      <vt:variant>
        <vt:i4>1310773</vt:i4>
      </vt:variant>
      <vt:variant>
        <vt:i4>53</vt:i4>
      </vt:variant>
      <vt:variant>
        <vt:i4>0</vt:i4>
      </vt:variant>
      <vt:variant>
        <vt:i4>5</vt:i4>
      </vt:variant>
      <vt:variant>
        <vt:lpwstr/>
      </vt:variant>
      <vt:variant>
        <vt:lpwstr>_Toc224043723</vt:lpwstr>
      </vt:variant>
      <vt:variant>
        <vt:i4>1310773</vt:i4>
      </vt:variant>
      <vt:variant>
        <vt:i4>47</vt:i4>
      </vt:variant>
      <vt:variant>
        <vt:i4>0</vt:i4>
      </vt:variant>
      <vt:variant>
        <vt:i4>5</vt:i4>
      </vt:variant>
      <vt:variant>
        <vt:lpwstr/>
      </vt:variant>
      <vt:variant>
        <vt:lpwstr>_Toc224043722</vt:lpwstr>
      </vt:variant>
      <vt:variant>
        <vt:i4>1310773</vt:i4>
      </vt:variant>
      <vt:variant>
        <vt:i4>41</vt:i4>
      </vt:variant>
      <vt:variant>
        <vt:i4>0</vt:i4>
      </vt:variant>
      <vt:variant>
        <vt:i4>5</vt:i4>
      </vt:variant>
      <vt:variant>
        <vt:lpwstr/>
      </vt:variant>
      <vt:variant>
        <vt:lpwstr>_Toc224043721</vt:lpwstr>
      </vt:variant>
      <vt:variant>
        <vt:i4>1310773</vt:i4>
      </vt:variant>
      <vt:variant>
        <vt:i4>35</vt:i4>
      </vt:variant>
      <vt:variant>
        <vt:i4>0</vt:i4>
      </vt:variant>
      <vt:variant>
        <vt:i4>5</vt:i4>
      </vt:variant>
      <vt:variant>
        <vt:lpwstr/>
      </vt:variant>
      <vt:variant>
        <vt:lpwstr>_Toc224043720</vt:lpwstr>
      </vt:variant>
      <vt:variant>
        <vt:i4>1507381</vt:i4>
      </vt:variant>
      <vt:variant>
        <vt:i4>29</vt:i4>
      </vt:variant>
      <vt:variant>
        <vt:i4>0</vt:i4>
      </vt:variant>
      <vt:variant>
        <vt:i4>5</vt:i4>
      </vt:variant>
      <vt:variant>
        <vt:lpwstr/>
      </vt:variant>
      <vt:variant>
        <vt:lpwstr>_Toc224043719</vt:lpwstr>
      </vt:variant>
      <vt:variant>
        <vt:i4>1507381</vt:i4>
      </vt:variant>
      <vt:variant>
        <vt:i4>23</vt:i4>
      </vt:variant>
      <vt:variant>
        <vt:i4>0</vt:i4>
      </vt:variant>
      <vt:variant>
        <vt:i4>5</vt:i4>
      </vt:variant>
      <vt:variant>
        <vt:lpwstr/>
      </vt:variant>
      <vt:variant>
        <vt:lpwstr>_Toc224043718</vt:lpwstr>
      </vt:variant>
      <vt:variant>
        <vt:i4>4522014</vt:i4>
      </vt:variant>
      <vt:variant>
        <vt:i4>18</vt:i4>
      </vt:variant>
      <vt:variant>
        <vt:i4>0</vt:i4>
      </vt:variant>
      <vt:variant>
        <vt:i4>5</vt:i4>
      </vt:variant>
      <vt:variant>
        <vt:lpwstr>http://www.mhwc.govt.nz/</vt:lpwstr>
      </vt:variant>
      <vt:variant>
        <vt:lpwstr/>
      </vt:variant>
      <vt:variant>
        <vt:i4>4587539</vt:i4>
      </vt:variant>
      <vt:variant>
        <vt:i4>15</vt:i4>
      </vt:variant>
      <vt:variant>
        <vt:i4>0</vt:i4>
      </vt:variant>
      <vt:variant>
        <vt:i4>5</vt:i4>
      </vt:variant>
      <vt:variant>
        <vt:lpwstr>https://www.health.govt.nz/publications/ministry-of-health-annual-report-for-the-year-ended-30-june-2024</vt:lpwstr>
      </vt:variant>
      <vt:variant>
        <vt:lpwstr/>
      </vt:variant>
      <vt:variant>
        <vt:i4>4456520</vt:i4>
      </vt:variant>
      <vt:variant>
        <vt:i4>12</vt:i4>
      </vt:variant>
      <vt:variant>
        <vt:i4>0</vt:i4>
      </vt:variant>
      <vt:variant>
        <vt:i4>5</vt:i4>
      </vt:variant>
      <vt:variant>
        <vt:lpwstr>https://www.tewhatuora.govt.nz/for-health-professionals/data-and-statistics/mental-health-and-addiction/service-use-web-tool</vt:lpwstr>
      </vt:variant>
      <vt:variant>
        <vt:lpwstr/>
      </vt:variant>
      <vt:variant>
        <vt:i4>7209008</vt:i4>
      </vt:variant>
      <vt:variant>
        <vt:i4>9</vt:i4>
      </vt:variant>
      <vt:variant>
        <vt:i4>0</vt:i4>
      </vt:variant>
      <vt:variant>
        <vt:i4>5</vt:i4>
      </vt:variant>
      <vt:variant>
        <vt:lpwstr>https://www.health.govt.nz/regulation-legislation/mental-health-and-addiction/repealing-and-replacing-the-mental-health-act</vt:lpwstr>
      </vt:variant>
      <vt:variant>
        <vt:lpwstr/>
      </vt:variant>
      <vt:variant>
        <vt:i4>6553709</vt:i4>
      </vt:variant>
      <vt:variant>
        <vt:i4>6</vt:i4>
      </vt:variant>
      <vt:variant>
        <vt:i4>0</vt:i4>
      </vt:variant>
      <vt:variant>
        <vt:i4>5</vt:i4>
      </vt:variant>
      <vt:variant>
        <vt:lpwstr>https://www.health.govt.nz/publications/guidelines-for-reducing-and-eliminating-seclusion-and-restraint-under-the-mental-health-compulsory</vt:lpwstr>
      </vt:variant>
      <vt:variant>
        <vt:lpwstr/>
      </vt:variant>
      <vt:variant>
        <vt:i4>5308506</vt:i4>
      </vt:variant>
      <vt:variant>
        <vt:i4>3</vt:i4>
      </vt:variant>
      <vt:variant>
        <vt:i4>0</vt:i4>
      </vt:variant>
      <vt:variant>
        <vt:i4>5</vt:i4>
      </vt:variant>
      <vt:variant>
        <vt:lpwstr>https://www.abuseincare.org.nz/reports/whanaketia</vt:lpwstr>
      </vt:variant>
      <vt:variant>
        <vt:lpwstr/>
      </vt:variant>
      <vt:variant>
        <vt:i4>983045</vt:i4>
      </vt:variant>
      <vt:variant>
        <vt:i4>0</vt:i4>
      </vt:variant>
      <vt:variant>
        <vt:i4>0</vt:i4>
      </vt:variant>
      <vt:variant>
        <vt:i4>5</vt:i4>
      </vt:variant>
      <vt:variant>
        <vt:lpwstr>https://www.health.govt.nz/regulation-legislation/mental-health-and-addiction</vt:lpwstr>
      </vt:variant>
      <vt:variant>
        <vt:lpwstr/>
      </vt:variant>
      <vt:variant>
        <vt:i4>2949160</vt:i4>
      </vt:variant>
      <vt:variant>
        <vt:i4>24</vt:i4>
      </vt:variant>
      <vt:variant>
        <vt:i4>0</vt:i4>
      </vt:variant>
      <vt:variant>
        <vt:i4>5</vt:i4>
      </vt:variant>
      <vt:variant>
        <vt:lpwstr>https://www.health.govt.nz/publications/new-zealand-practice-guidelines-for-opioid-substitution-treatment-2025</vt:lpwstr>
      </vt:variant>
      <vt:variant>
        <vt:lpwstr/>
      </vt:variant>
      <vt:variant>
        <vt:i4>3604582</vt:i4>
      </vt:variant>
      <vt:variant>
        <vt:i4>21</vt:i4>
      </vt:variant>
      <vt:variant>
        <vt:i4>0</vt:i4>
      </vt:variant>
      <vt:variant>
        <vt:i4>5</vt:i4>
      </vt:variant>
      <vt:variant>
        <vt:lpwstr>https://www.health.govt.nz/publications/specialist-opioid-substitution-treatment-ost-service-audit-and-review-tool</vt:lpwstr>
      </vt:variant>
      <vt:variant>
        <vt:lpwstr/>
      </vt:variant>
      <vt:variant>
        <vt:i4>2556020</vt:i4>
      </vt:variant>
      <vt:variant>
        <vt:i4>18</vt:i4>
      </vt:variant>
      <vt:variant>
        <vt:i4>0</vt:i4>
      </vt:variant>
      <vt:variant>
        <vt:i4>5</vt:i4>
      </vt:variant>
      <vt:variant>
        <vt:lpwstr>https://www.health.govt.nz/about-us/new-zealands-health-system/health-system-roles-and-organisations/health-committees-and-boards/mental-health-review-tribunal</vt:lpwstr>
      </vt:variant>
      <vt:variant>
        <vt:lpwstr/>
      </vt:variant>
      <vt:variant>
        <vt:i4>786459</vt:i4>
      </vt:variant>
      <vt:variant>
        <vt:i4>15</vt:i4>
      </vt:variant>
      <vt:variant>
        <vt:i4>0</vt:i4>
      </vt:variant>
      <vt:variant>
        <vt:i4>5</vt:i4>
      </vt:variant>
      <vt:variant>
        <vt:lpwstr>https://www.health.govt.nz/regulation-legislation/mental-health-and-addiction/section-95-inquiry-into-the-treatment-of-a-patient-at-waikato-hospital</vt:lpwstr>
      </vt:variant>
      <vt:variant>
        <vt:lpwstr/>
      </vt:variant>
      <vt:variant>
        <vt:i4>1966104</vt:i4>
      </vt:variant>
      <vt:variant>
        <vt:i4>12</vt:i4>
      </vt:variant>
      <vt:variant>
        <vt:i4>0</vt:i4>
      </vt:variant>
      <vt:variant>
        <vt:i4>5</vt:i4>
      </vt:variant>
      <vt:variant>
        <vt:lpwstr>https://www.health.govt.nz/regulation-legislation/mental-health-and-addiction/section-99-inspection-of-canterbury-mental-health-services</vt:lpwstr>
      </vt:variant>
      <vt:variant>
        <vt:lpwstr/>
      </vt:variant>
      <vt:variant>
        <vt:i4>2621498</vt:i4>
      </vt:variant>
      <vt:variant>
        <vt:i4>9</vt:i4>
      </vt:variant>
      <vt:variant>
        <vt:i4>0</vt:i4>
      </vt:variant>
      <vt:variant>
        <vt:i4>5</vt:i4>
      </vt:variant>
      <vt:variant>
        <vt:lpwstr>https://www.hqsc.govt.nz/resources/resource-library/national-adverse-event-policy-2023/</vt:lpwstr>
      </vt:variant>
      <vt:variant>
        <vt:lpwstr/>
      </vt:variant>
      <vt:variant>
        <vt:i4>6553646</vt:i4>
      </vt:variant>
      <vt:variant>
        <vt:i4>6</vt:i4>
      </vt:variant>
      <vt:variant>
        <vt:i4>0</vt:i4>
      </vt:variant>
      <vt:variant>
        <vt:i4>5</vt:i4>
      </vt:variant>
      <vt:variant>
        <vt:lpwstr>https://selectcommittees.parliament.nz/v/SelectCommitteeReport/87973bb4-1764-44d5-775e-08dd7d2d2e15?lang=en</vt:lpwstr>
      </vt:variant>
      <vt:variant>
        <vt:lpwstr/>
      </vt:variant>
      <vt:variant>
        <vt:i4>3407921</vt:i4>
      </vt:variant>
      <vt:variant>
        <vt:i4>3</vt:i4>
      </vt:variant>
      <vt:variant>
        <vt:i4>0</vt:i4>
      </vt:variant>
      <vt:variant>
        <vt:i4>5</vt:i4>
      </vt:variant>
      <vt:variant>
        <vt:lpwstr>https://mentalhealth.inquiry.govt.nz/inquiry-report/he-ara-oranga/</vt:lpwstr>
      </vt:variant>
      <vt:variant>
        <vt:lpwstr/>
      </vt:variant>
      <vt:variant>
        <vt:i4>5308506</vt:i4>
      </vt:variant>
      <vt:variant>
        <vt:i4>0</vt:i4>
      </vt:variant>
      <vt:variant>
        <vt:i4>0</vt:i4>
      </vt:variant>
      <vt:variant>
        <vt:i4>5</vt:i4>
      </vt:variant>
      <vt:variant>
        <vt:lpwstr>https://www.abuseincare.org.nz/reports/whanaketia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and Addiction Services: Regulatory Report 2023-2024</dc:title>
  <dc:subject/>
  <dc:creator>Ministry of Health</dc:creator>
  <cp:keywords/>
  <cp:lastModifiedBy>Ministry of Health</cp:lastModifiedBy>
  <cp:revision>4</cp:revision>
  <cp:lastPrinted>2026-03-30T01:48:00Z</cp:lastPrinted>
  <dcterms:created xsi:type="dcterms:W3CDTF">2026-03-30T01:47:00Z</dcterms:created>
  <dcterms:modified xsi:type="dcterms:W3CDTF">2026-03-30T01:48:00Z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6c2c4333-8433-4c07-b3cf-f1ab11e83c1e</vt:lpwstr>
  </property>
  <property fmtid="{D5CDD505-2E9C-101B-9397-08002B2CF9AE}" pid="4" name="MediaServiceImageTags">
    <vt:lpwstr/>
  </property>
  <property fmtid="{D5CDD505-2E9C-101B-9397-08002B2CF9AE}" pid="5" name="docLang">
    <vt:lpwstr>en</vt:lpwstr>
  </property>
</Properties>
</file>