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8A07" w14:textId="590FC61C" w:rsidR="009A4C7B" w:rsidRPr="00EC62B7" w:rsidRDefault="005C6880" w:rsidP="009A4C7B">
      <w:pPr>
        <w:pStyle w:val="Heading1"/>
        <w:spacing w:before="0"/>
        <w:jc w:val="center"/>
        <w:rPr>
          <w:rFonts w:ascii="Calibri" w:hAnsi="Calibri" w:cs="Calibri"/>
        </w:rPr>
      </w:pPr>
      <w:r w:rsidRPr="00EC62B7">
        <w:rPr>
          <w:rFonts w:ascii="Calibri" w:hAnsi="Calibri" w:cs="Calibri"/>
        </w:rPr>
        <w:t>Terms of Reference</w:t>
      </w:r>
      <w:r w:rsidR="00EC62B7">
        <w:rPr>
          <w:rFonts w:ascii="Calibri" w:hAnsi="Calibri" w:cs="Calibri"/>
        </w:rPr>
        <w:t xml:space="preserve"> for the</w:t>
      </w:r>
    </w:p>
    <w:p w14:paraId="367314B5" w14:textId="722BFBAB" w:rsidR="00F270DB" w:rsidRPr="009A4C7B" w:rsidRDefault="00E97CCB" w:rsidP="009A4C7B">
      <w:pPr>
        <w:pStyle w:val="Heading1"/>
        <w:spacing w:before="0"/>
        <w:jc w:val="center"/>
        <w:rPr>
          <w:rFonts w:ascii="Calibri" w:hAnsi="Calibri" w:cs="Calibri"/>
        </w:rPr>
      </w:pPr>
      <w:r>
        <w:rPr>
          <w:rFonts w:ascii="Calibri" w:hAnsi="Calibri" w:cs="Calibri"/>
        </w:rPr>
        <w:t xml:space="preserve">Ministry of Health </w:t>
      </w:r>
      <w:r w:rsidR="00EC62B7">
        <w:rPr>
          <w:rFonts w:ascii="Calibri" w:hAnsi="Calibri" w:cs="Calibri"/>
        </w:rPr>
        <w:t>R</w:t>
      </w:r>
      <w:r w:rsidR="005C6880" w:rsidRPr="009A4C7B">
        <w:rPr>
          <w:rFonts w:ascii="Calibri" w:hAnsi="Calibri" w:cs="Calibri"/>
        </w:rPr>
        <w:t xml:space="preserve">eview of the Manage My Health </w:t>
      </w:r>
      <w:r w:rsidR="00EC62B7">
        <w:rPr>
          <w:rFonts w:ascii="Calibri" w:hAnsi="Calibri" w:cs="Calibri"/>
        </w:rPr>
        <w:t>C</w:t>
      </w:r>
      <w:r w:rsidR="005C6880" w:rsidRPr="009A4C7B">
        <w:rPr>
          <w:rFonts w:ascii="Calibri" w:hAnsi="Calibri" w:cs="Calibri"/>
        </w:rPr>
        <w:t>ybersecurity Incident</w:t>
      </w:r>
    </w:p>
    <w:p w14:paraId="2BB43BA1" w14:textId="2AA45B79" w:rsidR="009A4C7B" w:rsidRPr="00A1164B" w:rsidRDefault="00A1164B" w:rsidP="00A1164B">
      <w:pPr>
        <w:jc w:val="center"/>
        <w:rPr>
          <w:rFonts w:ascii="Calibri" w:eastAsiaTheme="majorEastAsia" w:hAnsi="Calibri" w:cs="Calibri"/>
          <w:b/>
          <w:bCs/>
          <w:color w:val="365F91" w:themeColor="accent1" w:themeShade="BF"/>
          <w:sz w:val="28"/>
          <w:szCs w:val="28"/>
        </w:rPr>
      </w:pPr>
      <w:r w:rsidRPr="00A1164B">
        <w:rPr>
          <w:rFonts w:ascii="Calibri" w:eastAsiaTheme="majorEastAsia" w:hAnsi="Calibri" w:cs="Calibri"/>
          <w:b/>
          <w:bCs/>
          <w:color w:val="365F91" w:themeColor="accent1" w:themeShade="BF"/>
          <w:sz w:val="28"/>
          <w:szCs w:val="28"/>
        </w:rPr>
        <w:t>2</w:t>
      </w:r>
      <w:r w:rsidR="00EC62B7">
        <w:rPr>
          <w:rFonts w:ascii="Calibri" w:eastAsiaTheme="majorEastAsia" w:hAnsi="Calibri" w:cs="Calibri"/>
          <w:b/>
          <w:bCs/>
          <w:color w:val="365F91" w:themeColor="accent1" w:themeShade="BF"/>
          <w:sz w:val="28"/>
          <w:szCs w:val="28"/>
        </w:rPr>
        <w:t>2</w:t>
      </w:r>
      <w:r w:rsidRPr="00A1164B">
        <w:rPr>
          <w:rFonts w:ascii="Calibri" w:eastAsiaTheme="majorEastAsia" w:hAnsi="Calibri" w:cs="Calibri"/>
          <w:b/>
          <w:bCs/>
          <w:color w:val="365F91" w:themeColor="accent1" w:themeShade="BF"/>
          <w:sz w:val="28"/>
          <w:szCs w:val="28"/>
        </w:rPr>
        <w:t xml:space="preserve"> January 2026</w:t>
      </w:r>
    </w:p>
    <w:p w14:paraId="77EE3F03" w14:textId="3154D101" w:rsidR="00F270DB" w:rsidRPr="009A4C7B" w:rsidRDefault="005C6880" w:rsidP="003B3A31">
      <w:pPr>
        <w:pStyle w:val="Heading1"/>
        <w:spacing w:before="360" w:after="120"/>
        <w:rPr>
          <w:rFonts w:ascii="Calibri" w:hAnsi="Calibri" w:cs="Calibri"/>
        </w:rPr>
      </w:pPr>
      <w:r w:rsidRPr="009A4C7B">
        <w:rPr>
          <w:rFonts w:ascii="Calibri" w:hAnsi="Calibri" w:cs="Calibri"/>
        </w:rPr>
        <w:t>Background</w:t>
      </w:r>
    </w:p>
    <w:p w14:paraId="09F45F70" w14:textId="3D9BB749" w:rsidR="00F270DB" w:rsidRPr="009A4C7B" w:rsidRDefault="005C6880">
      <w:pPr>
        <w:rPr>
          <w:rFonts w:ascii="Calibri" w:hAnsi="Calibri" w:cs="Calibri"/>
        </w:rPr>
      </w:pPr>
      <w:r w:rsidRPr="009A4C7B">
        <w:rPr>
          <w:rFonts w:ascii="Calibri" w:hAnsi="Calibri" w:cs="Calibri"/>
        </w:rPr>
        <w:t xml:space="preserve">On 30 December 2025, a cybersecurity incident was identified involving the Manage My Health (MMH) patient portal, resulting in </w:t>
      </w:r>
      <w:proofErr w:type="spellStart"/>
      <w:r w:rsidRPr="009A4C7B">
        <w:rPr>
          <w:rFonts w:ascii="Calibri" w:hAnsi="Calibri" w:cs="Calibri"/>
        </w:rPr>
        <w:t>unauthorised</w:t>
      </w:r>
      <w:proofErr w:type="spellEnd"/>
      <w:r w:rsidRPr="009A4C7B">
        <w:rPr>
          <w:rFonts w:ascii="Calibri" w:hAnsi="Calibri" w:cs="Calibri"/>
        </w:rPr>
        <w:t xml:space="preserve"> access to clinical documents and personal health information of over 120,000 individuals. The Minister of Health has </w:t>
      </w:r>
      <w:r w:rsidR="009B75E5" w:rsidRPr="009A4C7B">
        <w:rPr>
          <w:rFonts w:ascii="Calibri" w:hAnsi="Calibri" w:cs="Calibri"/>
        </w:rPr>
        <w:t>comm</w:t>
      </w:r>
      <w:r w:rsidR="008D68C4" w:rsidRPr="009A4C7B">
        <w:rPr>
          <w:rFonts w:ascii="Calibri" w:hAnsi="Calibri" w:cs="Calibri"/>
        </w:rPr>
        <w:t>issioned</w:t>
      </w:r>
      <w:r w:rsidR="00A87B24" w:rsidRPr="009A4C7B">
        <w:rPr>
          <w:rFonts w:ascii="Calibri" w:hAnsi="Calibri" w:cs="Calibri"/>
        </w:rPr>
        <w:t xml:space="preserve"> a</w:t>
      </w:r>
      <w:r w:rsidRPr="009A4C7B">
        <w:rPr>
          <w:rFonts w:ascii="Calibri" w:hAnsi="Calibri" w:cs="Calibri"/>
        </w:rPr>
        <w:t xml:space="preserve"> Ministry of Health</w:t>
      </w:r>
      <w:r w:rsidR="00C17336" w:rsidRPr="009A4C7B">
        <w:rPr>
          <w:rFonts w:ascii="Calibri" w:hAnsi="Calibri" w:cs="Calibri"/>
        </w:rPr>
        <w:t>-led review</w:t>
      </w:r>
      <w:r w:rsidR="00815631" w:rsidRPr="009A4C7B">
        <w:rPr>
          <w:rFonts w:ascii="Calibri" w:hAnsi="Calibri" w:cs="Calibri"/>
        </w:rPr>
        <w:t xml:space="preserve"> of the </w:t>
      </w:r>
      <w:r w:rsidR="007803FC" w:rsidRPr="009A4C7B">
        <w:rPr>
          <w:rFonts w:ascii="Calibri" w:hAnsi="Calibri" w:cs="Calibri"/>
        </w:rPr>
        <w:t xml:space="preserve">MMH </w:t>
      </w:r>
      <w:r w:rsidR="007803FC" w:rsidRPr="00F63E2A">
        <w:rPr>
          <w:rFonts w:ascii="Calibri" w:hAnsi="Calibri" w:cs="Calibri"/>
        </w:rPr>
        <w:t>data breach</w:t>
      </w:r>
      <w:r w:rsidR="0069236F" w:rsidRPr="00F63E2A">
        <w:rPr>
          <w:rFonts w:ascii="Calibri" w:hAnsi="Calibri" w:cs="Calibri"/>
        </w:rPr>
        <w:t>.</w:t>
      </w:r>
      <w:r w:rsidRPr="009A4C7B">
        <w:rPr>
          <w:rFonts w:ascii="Calibri" w:hAnsi="Calibri" w:cs="Calibri"/>
        </w:rPr>
        <w:t xml:space="preserve"> </w:t>
      </w:r>
      <w:r w:rsidR="00E21EA8" w:rsidRPr="009A4C7B">
        <w:rPr>
          <w:rFonts w:ascii="Calibri" w:hAnsi="Calibri" w:cs="Calibri"/>
        </w:rPr>
        <w:t xml:space="preserve">The review </w:t>
      </w:r>
      <w:r w:rsidR="001B7A36" w:rsidRPr="009A4C7B">
        <w:rPr>
          <w:rFonts w:ascii="Calibri" w:hAnsi="Calibri" w:cs="Calibri"/>
        </w:rPr>
        <w:t>is to commence no later than 30 January 2026.</w:t>
      </w:r>
      <w:r w:rsidR="00F63E2A">
        <w:rPr>
          <w:rFonts w:ascii="Calibri" w:hAnsi="Calibri" w:cs="Calibri"/>
        </w:rPr>
        <w:t xml:space="preserve"> </w:t>
      </w:r>
    </w:p>
    <w:p w14:paraId="70E8034A" w14:textId="34A8C355" w:rsidR="00F270DB" w:rsidRPr="009A4C7B" w:rsidRDefault="005C6880" w:rsidP="003B3A31">
      <w:pPr>
        <w:pStyle w:val="Heading1"/>
        <w:spacing w:before="360" w:after="120"/>
        <w:rPr>
          <w:rFonts w:ascii="Calibri" w:hAnsi="Calibri" w:cs="Calibri"/>
        </w:rPr>
      </w:pPr>
      <w:r w:rsidRPr="009A4C7B">
        <w:rPr>
          <w:rFonts w:ascii="Calibri" w:hAnsi="Calibri" w:cs="Calibri"/>
        </w:rPr>
        <w:t xml:space="preserve">Purpose of the </w:t>
      </w:r>
      <w:r w:rsidR="00EC62B7">
        <w:rPr>
          <w:rFonts w:ascii="Calibri" w:hAnsi="Calibri" w:cs="Calibri"/>
        </w:rPr>
        <w:t>r</w:t>
      </w:r>
      <w:r w:rsidRPr="009A4C7B">
        <w:rPr>
          <w:rFonts w:ascii="Calibri" w:hAnsi="Calibri" w:cs="Calibri"/>
        </w:rPr>
        <w:t>eview</w:t>
      </w:r>
    </w:p>
    <w:p w14:paraId="1F200272" w14:textId="27C4244B" w:rsidR="00FB3B99" w:rsidRPr="009A4C7B" w:rsidRDefault="00FB3B99">
      <w:pPr>
        <w:rPr>
          <w:rFonts w:ascii="Calibri" w:hAnsi="Calibri" w:cs="Calibri"/>
        </w:rPr>
      </w:pPr>
      <w:r w:rsidRPr="009A4C7B">
        <w:rPr>
          <w:rFonts w:ascii="Calibri" w:hAnsi="Calibri" w:cs="Calibri"/>
        </w:rPr>
        <w:t>The purpose of the review is to:</w:t>
      </w:r>
      <w:r w:rsidR="0048607A" w:rsidRPr="009A4C7B">
        <w:rPr>
          <w:rFonts w:ascii="Calibri" w:hAnsi="Calibri" w:cs="Calibri"/>
        </w:rPr>
        <w:t xml:space="preserve"> </w:t>
      </w:r>
    </w:p>
    <w:p w14:paraId="5AB83DFC" w14:textId="45D18D89" w:rsidR="00D22187" w:rsidRPr="009A4C7B" w:rsidRDefault="00D22187" w:rsidP="003B3A31">
      <w:pPr>
        <w:pStyle w:val="ListParagraph"/>
        <w:numPr>
          <w:ilvl w:val="0"/>
          <w:numId w:val="11"/>
        </w:numPr>
        <w:spacing w:after="120"/>
        <w:ind w:left="714" w:hanging="357"/>
        <w:contextualSpacing w:val="0"/>
        <w:rPr>
          <w:rFonts w:ascii="Calibri" w:hAnsi="Calibri" w:cs="Calibri"/>
          <w:lang w:val="en-NZ"/>
        </w:rPr>
      </w:pPr>
      <w:r w:rsidRPr="009A4C7B">
        <w:rPr>
          <w:rFonts w:ascii="Calibri" w:hAnsi="Calibri" w:cs="Calibri"/>
          <w:lang w:val="en-NZ"/>
        </w:rPr>
        <w:t>assess the cause(s) of the incident</w:t>
      </w:r>
      <w:r w:rsidR="009E20CF" w:rsidRPr="009A4C7B">
        <w:rPr>
          <w:rFonts w:ascii="Calibri" w:hAnsi="Calibri" w:cs="Calibri"/>
          <w:lang w:val="en-NZ"/>
        </w:rPr>
        <w:t xml:space="preserve"> </w:t>
      </w:r>
    </w:p>
    <w:p w14:paraId="43524C11" w14:textId="000FB4C4" w:rsidR="00D22187" w:rsidRPr="009A4C7B" w:rsidRDefault="00D22187" w:rsidP="003B3A31">
      <w:pPr>
        <w:pStyle w:val="ListParagraph"/>
        <w:numPr>
          <w:ilvl w:val="0"/>
          <w:numId w:val="11"/>
        </w:numPr>
        <w:spacing w:after="120"/>
        <w:ind w:left="714" w:hanging="357"/>
        <w:contextualSpacing w:val="0"/>
        <w:rPr>
          <w:rFonts w:ascii="Calibri" w:hAnsi="Calibri" w:cs="Calibri"/>
          <w:lang w:val="en-NZ"/>
        </w:rPr>
      </w:pPr>
      <w:r w:rsidRPr="00D22187">
        <w:rPr>
          <w:rFonts w:ascii="Calibri" w:hAnsi="Calibri" w:cs="Calibri"/>
          <w:lang w:val="en-NZ"/>
        </w:rPr>
        <w:t xml:space="preserve">review </w:t>
      </w:r>
      <w:r w:rsidR="00F63E2A">
        <w:rPr>
          <w:rFonts w:ascii="Calibri" w:hAnsi="Calibri" w:cs="Calibri"/>
          <w:lang w:val="en-NZ"/>
        </w:rPr>
        <w:t>the</w:t>
      </w:r>
      <w:r w:rsidR="00F63E2A" w:rsidRPr="009A4C7B">
        <w:rPr>
          <w:rFonts w:ascii="Calibri" w:hAnsi="Calibri" w:cs="Calibri"/>
          <w:lang w:val="en-NZ"/>
        </w:rPr>
        <w:t xml:space="preserve"> </w:t>
      </w:r>
      <w:r w:rsidR="009E20CF" w:rsidRPr="00D22187">
        <w:rPr>
          <w:rFonts w:ascii="Calibri" w:hAnsi="Calibri" w:cs="Calibri"/>
          <w:lang w:val="en-NZ"/>
        </w:rPr>
        <w:t>adequacy of the data protections that were in place</w:t>
      </w:r>
      <w:r w:rsidR="009E20CF" w:rsidRPr="009A4C7B">
        <w:rPr>
          <w:rFonts w:ascii="Calibri" w:hAnsi="Calibri" w:cs="Calibri"/>
          <w:lang w:val="en-NZ"/>
        </w:rPr>
        <w:t xml:space="preserve"> and </w:t>
      </w:r>
      <w:r w:rsidRPr="00D22187">
        <w:rPr>
          <w:rFonts w:ascii="Calibri" w:hAnsi="Calibri" w:cs="Calibri"/>
          <w:lang w:val="en-NZ"/>
        </w:rPr>
        <w:t xml:space="preserve">the </w:t>
      </w:r>
      <w:r w:rsidR="0034525B">
        <w:rPr>
          <w:rFonts w:ascii="Calibri" w:hAnsi="Calibri" w:cs="Calibri"/>
          <w:lang w:val="en-NZ"/>
        </w:rPr>
        <w:t>MMH and H</w:t>
      </w:r>
      <w:r w:rsidR="00AC05E5">
        <w:rPr>
          <w:rFonts w:ascii="Calibri" w:hAnsi="Calibri" w:cs="Calibri"/>
          <w:lang w:val="en-NZ"/>
        </w:rPr>
        <w:t xml:space="preserve">ealth New Zealand (Health </w:t>
      </w:r>
      <w:r w:rsidR="0034525B">
        <w:rPr>
          <w:rFonts w:ascii="Calibri" w:hAnsi="Calibri" w:cs="Calibri"/>
          <w:lang w:val="en-NZ"/>
        </w:rPr>
        <w:t>NZ</w:t>
      </w:r>
      <w:r w:rsidR="00AC05E5">
        <w:rPr>
          <w:rFonts w:ascii="Calibri" w:hAnsi="Calibri" w:cs="Calibri"/>
          <w:lang w:val="en-NZ"/>
        </w:rPr>
        <w:t>)</w:t>
      </w:r>
      <w:r w:rsidR="0034525B">
        <w:rPr>
          <w:rFonts w:ascii="Calibri" w:hAnsi="Calibri" w:cs="Calibri"/>
          <w:lang w:val="en-NZ"/>
        </w:rPr>
        <w:t xml:space="preserve"> </w:t>
      </w:r>
      <w:r w:rsidRPr="009A4C7B">
        <w:rPr>
          <w:rFonts w:ascii="Calibri" w:hAnsi="Calibri" w:cs="Calibri"/>
          <w:lang w:val="en-NZ"/>
        </w:rPr>
        <w:t>response to the incident</w:t>
      </w:r>
    </w:p>
    <w:p w14:paraId="5BEB1766" w14:textId="19D34DE7" w:rsidR="00D22187" w:rsidRPr="009A4C7B" w:rsidRDefault="00D22187" w:rsidP="003B3A31">
      <w:pPr>
        <w:pStyle w:val="ListParagraph"/>
        <w:numPr>
          <w:ilvl w:val="0"/>
          <w:numId w:val="11"/>
        </w:numPr>
        <w:spacing w:after="120"/>
        <w:ind w:left="714" w:hanging="357"/>
        <w:contextualSpacing w:val="0"/>
        <w:rPr>
          <w:rFonts w:ascii="Calibri" w:hAnsi="Calibri" w:cs="Calibri"/>
          <w:lang w:val="en-NZ"/>
        </w:rPr>
      </w:pPr>
      <w:r w:rsidRPr="009A4C7B">
        <w:rPr>
          <w:rFonts w:ascii="Calibri" w:hAnsi="Calibri" w:cs="Calibri"/>
          <w:lang w:val="en-NZ"/>
        </w:rPr>
        <w:t>recommend any improvements required to prevent similar incident</w:t>
      </w:r>
      <w:r w:rsidR="00843681">
        <w:rPr>
          <w:rFonts w:ascii="Calibri" w:hAnsi="Calibri" w:cs="Calibri"/>
          <w:lang w:val="en-NZ"/>
        </w:rPr>
        <w:t>s</w:t>
      </w:r>
      <w:r w:rsidRPr="009A4C7B">
        <w:rPr>
          <w:rFonts w:ascii="Calibri" w:hAnsi="Calibri" w:cs="Calibri"/>
          <w:lang w:val="en-NZ"/>
        </w:rPr>
        <w:t>.</w:t>
      </w:r>
    </w:p>
    <w:p w14:paraId="7DF5DF88" w14:textId="10FF8728" w:rsidR="00F270DB" w:rsidRPr="009A4C7B" w:rsidRDefault="005C6880" w:rsidP="003B3A31">
      <w:pPr>
        <w:pStyle w:val="Heading1"/>
        <w:spacing w:before="360" w:after="120"/>
        <w:rPr>
          <w:rFonts w:ascii="Calibri" w:hAnsi="Calibri" w:cs="Calibri"/>
        </w:rPr>
      </w:pPr>
      <w:r w:rsidRPr="009A4C7B">
        <w:rPr>
          <w:rFonts w:ascii="Calibri" w:hAnsi="Calibri" w:cs="Calibri"/>
        </w:rPr>
        <w:t>Objectives</w:t>
      </w:r>
    </w:p>
    <w:p w14:paraId="5C8D5938" w14:textId="77777777" w:rsidR="00F270DB" w:rsidRPr="009A4C7B" w:rsidRDefault="005C6880">
      <w:pPr>
        <w:rPr>
          <w:rFonts w:ascii="Calibri" w:hAnsi="Calibri" w:cs="Calibri"/>
        </w:rPr>
      </w:pPr>
      <w:r w:rsidRPr="009A4C7B">
        <w:rPr>
          <w:rFonts w:ascii="Calibri" w:hAnsi="Calibri" w:cs="Calibri"/>
        </w:rPr>
        <w:t>The review will:</w:t>
      </w:r>
    </w:p>
    <w:p w14:paraId="32C8C8C8" w14:textId="3DEA15A5" w:rsidR="002C650B" w:rsidRDefault="00EC62B7" w:rsidP="003B3A31">
      <w:pPr>
        <w:pStyle w:val="ListParagraph"/>
        <w:numPr>
          <w:ilvl w:val="0"/>
          <w:numId w:val="20"/>
        </w:numPr>
        <w:spacing w:after="120"/>
        <w:contextualSpacing w:val="0"/>
        <w:rPr>
          <w:rFonts w:ascii="Calibri" w:hAnsi="Calibri" w:cs="Calibri"/>
          <w:lang w:val="en-NZ"/>
        </w:rPr>
      </w:pPr>
      <w:r>
        <w:rPr>
          <w:rFonts w:ascii="Calibri" w:hAnsi="Calibri" w:cs="Calibri"/>
          <w:lang w:val="en-NZ"/>
        </w:rPr>
        <w:t>s</w:t>
      </w:r>
      <w:r w:rsidR="002C650B">
        <w:rPr>
          <w:rFonts w:ascii="Calibri" w:hAnsi="Calibri" w:cs="Calibri"/>
          <w:lang w:val="en-NZ"/>
        </w:rPr>
        <w:t>et out the role and operating model of MMH, including how it interacts with the other health sector participants</w:t>
      </w:r>
      <w:r w:rsidR="009664D0">
        <w:rPr>
          <w:rFonts w:ascii="Calibri" w:hAnsi="Calibri" w:cs="Calibri"/>
          <w:lang w:val="en-NZ"/>
        </w:rPr>
        <w:t xml:space="preserve"> (eg</w:t>
      </w:r>
      <w:r w:rsidR="00750A94">
        <w:rPr>
          <w:rFonts w:ascii="Calibri" w:hAnsi="Calibri" w:cs="Calibri"/>
          <w:lang w:val="en-NZ"/>
        </w:rPr>
        <w:t>,</w:t>
      </w:r>
      <w:r w:rsidR="009664D0">
        <w:rPr>
          <w:rFonts w:ascii="Calibri" w:hAnsi="Calibri" w:cs="Calibri"/>
          <w:lang w:val="en-NZ"/>
        </w:rPr>
        <w:t xml:space="preserve"> patients, general practices, hospitals)</w:t>
      </w:r>
    </w:p>
    <w:p w14:paraId="35A49A14" w14:textId="5A605D59" w:rsidR="00F270DB" w:rsidRPr="003B3A31" w:rsidRDefault="00EC62B7" w:rsidP="003B3A31">
      <w:pPr>
        <w:pStyle w:val="ListParagraph"/>
        <w:numPr>
          <w:ilvl w:val="0"/>
          <w:numId w:val="20"/>
        </w:numPr>
        <w:spacing w:after="120"/>
        <w:contextualSpacing w:val="0"/>
        <w:rPr>
          <w:rFonts w:ascii="Calibri" w:hAnsi="Calibri" w:cs="Calibri"/>
          <w:lang w:val="en-NZ"/>
        </w:rPr>
      </w:pPr>
      <w:r>
        <w:rPr>
          <w:rFonts w:ascii="Calibri" w:hAnsi="Calibri" w:cs="Calibri"/>
          <w:lang w:val="en-NZ"/>
        </w:rPr>
        <w:t>i</w:t>
      </w:r>
      <w:r w:rsidR="005C6880" w:rsidRPr="003B3A31">
        <w:rPr>
          <w:rFonts w:ascii="Calibri" w:hAnsi="Calibri" w:cs="Calibri"/>
          <w:lang w:val="en-NZ"/>
        </w:rPr>
        <w:t>dentify the root cause</w:t>
      </w:r>
      <w:r w:rsidR="00741A58">
        <w:rPr>
          <w:rFonts w:ascii="Calibri" w:hAnsi="Calibri" w:cs="Calibri"/>
          <w:lang w:val="en-NZ"/>
        </w:rPr>
        <w:t>(</w:t>
      </w:r>
      <w:r w:rsidR="005C6880" w:rsidRPr="003B3A31">
        <w:rPr>
          <w:rFonts w:ascii="Calibri" w:hAnsi="Calibri" w:cs="Calibri"/>
          <w:lang w:val="en-NZ"/>
        </w:rPr>
        <w:t>s</w:t>
      </w:r>
      <w:r w:rsidR="00741A58">
        <w:rPr>
          <w:rFonts w:ascii="Calibri" w:hAnsi="Calibri" w:cs="Calibri"/>
          <w:lang w:val="en-NZ"/>
        </w:rPr>
        <w:t>)</w:t>
      </w:r>
      <w:r w:rsidR="005C6880" w:rsidRPr="003B3A31">
        <w:rPr>
          <w:rFonts w:ascii="Calibri" w:hAnsi="Calibri" w:cs="Calibri"/>
          <w:lang w:val="en-NZ"/>
        </w:rPr>
        <w:t xml:space="preserve"> of the incident</w:t>
      </w:r>
      <w:r w:rsidR="004A279D" w:rsidRPr="003B3A31">
        <w:rPr>
          <w:rFonts w:ascii="Calibri" w:hAnsi="Calibri" w:cs="Calibri"/>
          <w:lang w:val="en-NZ"/>
        </w:rPr>
        <w:t xml:space="preserve">, </w:t>
      </w:r>
      <w:r w:rsidR="009664D0">
        <w:rPr>
          <w:rFonts w:ascii="Calibri" w:hAnsi="Calibri" w:cs="Calibri"/>
          <w:lang w:val="en-NZ"/>
        </w:rPr>
        <w:t>includin</w:t>
      </w:r>
      <w:r w:rsidR="00403E26">
        <w:rPr>
          <w:rFonts w:ascii="Calibri" w:hAnsi="Calibri" w:cs="Calibri"/>
          <w:lang w:val="en-NZ"/>
        </w:rPr>
        <w:t xml:space="preserve">g any </w:t>
      </w:r>
      <w:r w:rsidR="004A279D" w:rsidRPr="003B3A31">
        <w:rPr>
          <w:rFonts w:ascii="Calibri" w:hAnsi="Calibri" w:cs="Calibri"/>
          <w:lang w:val="en-NZ"/>
        </w:rPr>
        <w:t xml:space="preserve">technical and procedural failures that </w:t>
      </w:r>
      <w:r w:rsidR="00403E26">
        <w:rPr>
          <w:rFonts w:ascii="Calibri" w:hAnsi="Calibri" w:cs="Calibri"/>
          <w:lang w:val="en-NZ"/>
        </w:rPr>
        <w:t xml:space="preserve">may have </w:t>
      </w:r>
      <w:r w:rsidR="004A279D" w:rsidRPr="003B3A31">
        <w:rPr>
          <w:rFonts w:ascii="Calibri" w:hAnsi="Calibri" w:cs="Calibri"/>
          <w:lang w:val="en-NZ"/>
        </w:rPr>
        <w:t xml:space="preserve">contributed to the MMH </w:t>
      </w:r>
      <w:r w:rsidR="00403E26">
        <w:rPr>
          <w:rFonts w:ascii="Calibri" w:hAnsi="Calibri" w:cs="Calibri"/>
          <w:lang w:val="en-NZ"/>
        </w:rPr>
        <w:t xml:space="preserve">data </w:t>
      </w:r>
      <w:r w:rsidR="004A279D" w:rsidRPr="003B3A31">
        <w:rPr>
          <w:rFonts w:ascii="Calibri" w:hAnsi="Calibri" w:cs="Calibri"/>
          <w:lang w:val="en-NZ"/>
        </w:rPr>
        <w:t>breach</w:t>
      </w:r>
    </w:p>
    <w:p w14:paraId="06B7B7DA" w14:textId="584D2D83" w:rsidR="00F270DB" w:rsidRPr="003B3A31" w:rsidRDefault="00EC62B7" w:rsidP="003B3A31">
      <w:pPr>
        <w:pStyle w:val="ListParagraph"/>
        <w:numPr>
          <w:ilvl w:val="0"/>
          <w:numId w:val="20"/>
        </w:numPr>
        <w:spacing w:after="120"/>
        <w:ind w:left="714" w:hanging="357"/>
        <w:contextualSpacing w:val="0"/>
        <w:rPr>
          <w:rFonts w:ascii="Calibri" w:hAnsi="Calibri" w:cs="Calibri"/>
          <w:lang w:val="en-NZ"/>
        </w:rPr>
      </w:pPr>
      <w:r>
        <w:rPr>
          <w:rFonts w:ascii="Calibri" w:hAnsi="Calibri" w:cs="Calibri"/>
          <w:lang w:val="en-NZ"/>
        </w:rPr>
        <w:t>a</w:t>
      </w:r>
      <w:r w:rsidR="005C6880" w:rsidRPr="003B3A31">
        <w:rPr>
          <w:rFonts w:ascii="Calibri" w:hAnsi="Calibri" w:cs="Calibri"/>
          <w:lang w:val="en-NZ"/>
        </w:rPr>
        <w:t xml:space="preserve">ssess </w:t>
      </w:r>
      <w:r w:rsidR="00A23176" w:rsidRPr="003B3A31">
        <w:rPr>
          <w:rFonts w:ascii="Calibri" w:hAnsi="Calibri" w:cs="Calibri"/>
          <w:lang w:val="en-NZ"/>
        </w:rPr>
        <w:t>the adequacy, timeliness, coordination</w:t>
      </w:r>
      <w:r w:rsidR="004B6E80">
        <w:rPr>
          <w:rFonts w:ascii="Calibri" w:hAnsi="Calibri" w:cs="Calibri"/>
          <w:lang w:val="en-NZ"/>
        </w:rPr>
        <w:t>, and escalation</w:t>
      </w:r>
      <w:r w:rsidR="00A23176" w:rsidRPr="003B3A31">
        <w:rPr>
          <w:rFonts w:ascii="Calibri" w:hAnsi="Calibri" w:cs="Calibri"/>
          <w:lang w:val="en-NZ"/>
        </w:rPr>
        <w:t xml:space="preserve"> of response</w:t>
      </w:r>
      <w:r w:rsidR="005365DC" w:rsidRPr="003B3A31">
        <w:rPr>
          <w:rFonts w:ascii="Calibri" w:hAnsi="Calibri" w:cs="Calibri"/>
          <w:lang w:val="en-NZ"/>
        </w:rPr>
        <w:t xml:space="preserve"> actions</w:t>
      </w:r>
      <w:r w:rsidR="00A23176" w:rsidRPr="003B3A31">
        <w:rPr>
          <w:rFonts w:ascii="Calibri" w:hAnsi="Calibri" w:cs="Calibri"/>
          <w:lang w:val="en-NZ"/>
        </w:rPr>
        <w:t xml:space="preserve"> by MMH and Health NZ</w:t>
      </w:r>
    </w:p>
    <w:p w14:paraId="5114DDB7" w14:textId="23D7DAE0" w:rsidR="00F270DB" w:rsidRPr="003B3A31" w:rsidRDefault="00EC62B7" w:rsidP="003B3A31">
      <w:pPr>
        <w:pStyle w:val="ListParagraph"/>
        <w:numPr>
          <w:ilvl w:val="0"/>
          <w:numId w:val="20"/>
        </w:numPr>
        <w:spacing w:after="120"/>
        <w:ind w:left="714" w:hanging="357"/>
        <w:contextualSpacing w:val="0"/>
        <w:rPr>
          <w:rFonts w:ascii="Calibri" w:hAnsi="Calibri" w:cs="Calibri"/>
          <w:lang w:val="en-NZ"/>
        </w:rPr>
      </w:pPr>
      <w:r>
        <w:rPr>
          <w:rFonts w:ascii="Calibri" w:hAnsi="Calibri" w:cs="Calibri"/>
          <w:lang w:val="en-NZ"/>
        </w:rPr>
        <w:t>e</w:t>
      </w:r>
      <w:r w:rsidR="005C6880" w:rsidRPr="003B3A31">
        <w:rPr>
          <w:rFonts w:ascii="Calibri" w:hAnsi="Calibri" w:cs="Calibri"/>
          <w:lang w:val="en-NZ"/>
        </w:rPr>
        <w:t xml:space="preserve">valuate MMH’s security </w:t>
      </w:r>
      <w:r w:rsidR="00F63E2A">
        <w:rPr>
          <w:rFonts w:ascii="Calibri" w:hAnsi="Calibri" w:cs="Calibri"/>
          <w:lang w:val="en-NZ"/>
        </w:rPr>
        <w:t>controls</w:t>
      </w:r>
      <w:r w:rsidR="00F63E2A" w:rsidRPr="003B3A31">
        <w:rPr>
          <w:rFonts w:ascii="Calibri" w:hAnsi="Calibri" w:cs="Calibri"/>
          <w:lang w:val="en-NZ"/>
        </w:rPr>
        <w:t xml:space="preserve"> </w:t>
      </w:r>
      <w:r w:rsidR="00A51077">
        <w:rPr>
          <w:rFonts w:ascii="Calibri" w:hAnsi="Calibri" w:cs="Calibri"/>
          <w:lang w:val="en-NZ"/>
        </w:rPr>
        <w:t>relative to</w:t>
      </w:r>
      <w:r w:rsidR="005C6880" w:rsidRPr="003B3A31">
        <w:rPr>
          <w:rFonts w:ascii="Calibri" w:hAnsi="Calibri" w:cs="Calibri"/>
          <w:lang w:val="en-NZ"/>
        </w:rPr>
        <w:t xml:space="preserve"> industry norms</w:t>
      </w:r>
    </w:p>
    <w:p w14:paraId="1CB1CAA6" w14:textId="3BAB71B5" w:rsidR="005365DC" w:rsidRPr="003B3A31" w:rsidRDefault="00EC62B7" w:rsidP="003B3A31">
      <w:pPr>
        <w:pStyle w:val="ListParagraph"/>
        <w:numPr>
          <w:ilvl w:val="0"/>
          <w:numId w:val="20"/>
        </w:numPr>
        <w:spacing w:after="120"/>
        <w:ind w:left="714" w:hanging="357"/>
        <w:contextualSpacing w:val="0"/>
        <w:rPr>
          <w:rFonts w:ascii="Calibri" w:hAnsi="Calibri" w:cs="Calibri"/>
          <w:lang w:val="en-NZ"/>
        </w:rPr>
      </w:pPr>
      <w:r>
        <w:rPr>
          <w:rFonts w:ascii="Calibri" w:hAnsi="Calibri" w:cs="Calibri"/>
          <w:lang w:val="en-NZ"/>
        </w:rPr>
        <w:t>r</w:t>
      </w:r>
      <w:r w:rsidR="005C6880" w:rsidRPr="003B3A31">
        <w:rPr>
          <w:rFonts w:ascii="Calibri" w:hAnsi="Calibri" w:cs="Calibri"/>
          <w:lang w:val="en-NZ"/>
        </w:rPr>
        <w:t xml:space="preserve">ecommend specific, actionable improvements </w:t>
      </w:r>
      <w:r w:rsidR="005365DC" w:rsidRPr="003B3A31">
        <w:rPr>
          <w:rFonts w:ascii="Calibri" w:hAnsi="Calibri" w:cs="Calibri"/>
          <w:lang w:val="en-NZ"/>
        </w:rPr>
        <w:t>required to strengthen cybersecurity resilience</w:t>
      </w:r>
      <w:r w:rsidR="005C6880" w:rsidRPr="003B3A31">
        <w:rPr>
          <w:rFonts w:ascii="Calibri" w:hAnsi="Calibri" w:cs="Calibri"/>
          <w:lang w:val="en-NZ"/>
        </w:rPr>
        <w:t>.</w:t>
      </w:r>
      <w:r w:rsidR="005365DC" w:rsidRPr="003B3A31">
        <w:rPr>
          <w:rFonts w:ascii="Calibri" w:hAnsi="Calibri" w:cs="Calibri"/>
          <w:lang w:val="en-NZ"/>
        </w:rPr>
        <w:t xml:space="preserve"> </w:t>
      </w:r>
    </w:p>
    <w:p w14:paraId="6A15C704" w14:textId="6BB7FC99" w:rsidR="00F270DB" w:rsidRPr="009A4C7B" w:rsidRDefault="00F270DB">
      <w:pPr>
        <w:rPr>
          <w:rFonts w:ascii="Calibri" w:hAnsi="Calibri" w:cs="Calibri"/>
        </w:rPr>
      </w:pPr>
    </w:p>
    <w:p w14:paraId="1D9DC455" w14:textId="77777777" w:rsidR="008700A5" w:rsidRPr="009A4C7B" w:rsidRDefault="008700A5">
      <w:pPr>
        <w:rPr>
          <w:rFonts w:ascii="Calibri" w:eastAsiaTheme="majorEastAsia" w:hAnsi="Calibri" w:cs="Calibri"/>
          <w:b/>
          <w:bCs/>
          <w:color w:val="4F81BD" w:themeColor="accent1"/>
          <w:sz w:val="26"/>
          <w:szCs w:val="26"/>
        </w:rPr>
      </w:pPr>
      <w:r w:rsidRPr="009A4C7B">
        <w:rPr>
          <w:rFonts w:ascii="Calibri" w:hAnsi="Calibri" w:cs="Calibri"/>
        </w:rPr>
        <w:br w:type="page"/>
      </w:r>
    </w:p>
    <w:p w14:paraId="6080C6E8" w14:textId="074C6205" w:rsidR="00F270DB" w:rsidRPr="009A4C7B" w:rsidRDefault="005C6880" w:rsidP="00641A59">
      <w:pPr>
        <w:pStyle w:val="Heading1"/>
        <w:spacing w:before="360" w:after="120"/>
        <w:rPr>
          <w:rFonts w:ascii="Calibri" w:hAnsi="Calibri" w:cs="Calibri"/>
        </w:rPr>
      </w:pPr>
      <w:r w:rsidRPr="009A4C7B">
        <w:rPr>
          <w:rFonts w:ascii="Calibri" w:hAnsi="Calibri" w:cs="Calibri"/>
        </w:rPr>
        <w:lastRenderedPageBreak/>
        <w:t xml:space="preserve">Scope of </w:t>
      </w:r>
      <w:r w:rsidR="00EC62B7">
        <w:rPr>
          <w:rFonts w:ascii="Calibri" w:hAnsi="Calibri" w:cs="Calibri"/>
        </w:rPr>
        <w:t>w</w:t>
      </w:r>
      <w:r w:rsidRPr="009A4C7B">
        <w:rPr>
          <w:rFonts w:ascii="Calibri" w:hAnsi="Calibri" w:cs="Calibri"/>
        </w:rPr>
        <w:t>ork</w:t>
      </w:r>
    </w:p>
    <w:p w14:paraId="54CB5891" w14:textId="2AB9271A" w:rsidR="003B568B" w:rsidRPr="009A4C7B" w:rsidRDefault="003B568B" w:rsidP="00A96EF9">
      <w:pPr>
        <w:pStyle w:val="NumberedParagraphs-MOH"/>
        <w:rPr>
          <w:rFonts w:ascii="Calibri" w:hAnsi="Calibri" w:cs="Calibri"/>
        </w:rPr>
      </w:pPr>
      <w:r w:rsidRPr="009A4C7B">
        <w:rPr>
          <w:rFonts w:ascii="Calibri" w:hAnsi="Calibri" w:cs="Calibri"/>
        </w:rPr>
        <w:t xml:space="preserve">As </w:t>
      </w:r>
      <w:r w:rsidR="005C7D17">
        <w:rPr>
          <w:rFonts w:ascii="Calibri" w:hAnsi="Calibri" w:cs="Calibri"/>
        </w:rPr>
        <w:t xml:space="preserve">commissioned by the Minister of Health, this </w:t>
      </w:r>
      <w:r w:rsidRPr="009A4C7B">
        <w:rPr>
          <w:rFonts w:ascii="Calibri" w:hAnsi="Calibri" w:cs="Calibri"/>
        </w:rPr>
        <w:t xml:space="preserve">review will focus on the technical failures leading to the breach, the adequacy of security measures at the time, </w:t>
      </w:r>
      <w:r w:rsidR="003856D8">
        <w:rPr>
          <w:rFonts w:ascii="Calibri" w:hAnsi="Calibri" w:cs="Calibri"/>
        </w:rPr>
        <w:t xml:space="preserve">and </w:t>
      </w:r>
      <w:r w:rsidRPr="009A4C7B">
        <w:rPr>
          <w:rFonts w:ascii="Calibri" w:hAnsi="Calibri" w:cs="Calibri"/>
        </w:rPr>
        <w:t xml:space="preserve">the effectiveness of the </w:t>
      </w:r>
      <w:r w:rsidR="0005209D" w:rsidRPr="009A4C7B">
        <w:rPr>
          <w:rFonts w:ascii="Calibri" w:hAnsi="Calibri" w:cs="Calibri"/>
        </w:rPr>
        <w:t>breach</w:t>
      </w:r>
      <w:r w:rsidRPr="009A4C7B">
        <w:rPr>
          <w:rFonts w:ascii="Calibri" w:hAnsi="Calibri" w:cs="Calibri"/>
        </w:rPr>
        <w:t xml:space="preserve"> response</w:t>
      </w:r>
      <w:r w:rsidR="00071BC4" w:rsidRPr="009A4C7B">
        <w:rPr>
          <w:rFonts w:ascii="Calibri" w:hAnsi="Calibri" w:cs="Calibri"/>
        </w:rPr>
        <w:t xml:space="preserve">. </w:t>
      </w:r>
      <w:r w:rsidRPr="009A4C7B">
        <w:rPr>
          <w:rFonts w:ascii="Calibri" w:hAnsi="Calibri" w:cs="Calibri"/>
        </w:rPr>
        <w:t> </w:t>
      </w:r>
      <w:r w:rsidR="00071BC4" w:rsidRPr="009A4C7B">
        <w:rPr>
          <w:rFonts w:ascii="Calibri" w:hAnsi="Calibri" w:cs="Calibri"/>
        </w:rPr>
        <w:t>A</w:t>
      </w:r>
      <w:r w:rsidRPr="009A4C7B">
        <w:rPr>
          <w:rFonts w:ascii="Calibri" w:hAnsi="Calibri" w:cs="Calibri"/>
        </w:rPr>
        <w:t xml:space="preserve">reas of </w:t>
      </w:r>
      <w:r w:rsidR="00071BC4" w:rsidRPr="009A4C7B">
        <w:rPr>
          <w:rFonts w:ascii="Calibri" w:hAnsi="Calibri" w:cs="Calibri"/>
        </w:rPr>
        <w:t>review</w:t>
      </w:r>
      <w:r w:rsidR="00A96EF9" w:rsidRPr="009A4C7B">
        <w:rPr>
          <w:rFonts w:ascii="Calibri" w:hAnsi="Calibri" w:cs="Calibri"/>
        </w:rPr>
        <w:t xml:space="preserve"> include: </w:t>
      </w:r>
    </w:p>
    <w:p w14:paraId="475BA60C" w14:textId="01D91FD8" w:rsidR="00F270DB" w:rsidRPr="005C7D17" w:rsidRDefault="009A4C7B" w:rsidP="005C7D17">
      <w:pPr>
        <w:pStyle w:val="Heading2"/>
        <w:spacing w:before="120" w:after="120"/>
        <w:rPr>
          <w:rFonts w:ascii="Calibri" w:hAnsi="Calibri" w:cs="Calibri"/>
          <w:color w:val="365F91" w:themeColor="accent1" w:themeShade="BF"/>
          <w:sz w:val="22"/>
          <w:szCs w:val="22"/>
        </w:rPr>
      </w:pPr>
      <w:r w:rsidRPr="005C7D17">
        <w:rPr>
          <w:rFonts w:ascii="Calibri" w:hAnsi="Calibri" w:cs="Calibri"/>
          <w:color w:val="365F91" w:themeColor="accent1" w:themeShade="BF"/>
          <w:sz w:val="22"/>
          <w:szCs w:val="22"/>
        </w:rPr>
        <w:t>1</w:t>
      </w:r>
      <w:r w:rsidR="005C6880" w:rsidRPr="005C7D17">
        <w:rPr>
          <w:rFonts w:ascii="Calibri" w:hAnsi="Calibri" w:cs="Calibri"/>
          <w:color w:val="365F91" w:themeColor="accent1" w:themeShade="BF"/>
          <w:sz w:val="22"/>
          <w:szCs w:val="22"/>
        </w:rPr>
        <w:t xml:space="preserve"> Technic</w:t>
      </w:r>
      <w:r w:rsidR="00EC62B7">
        <w:rPr>
          <w:rFonts w:ascii="Calibri" w:hAnsi="Calibri" w:cs="Calibri"/>
          <w:color w:val="365F91" w:themeColor="accent1" w:themeShade="BF"/>
          <w:sz w:val="22"/>
          <w:szCs w:val="22"/>
        </w:rPr>
        <w:t>a</w:t>
      </w:r>
      <w:r w:rsidR="005C6880" w:rsidRPr="005C7D17">
        <w:rPr>
          <w:rFonts w:ascii="Calibri" w:hAnsi="Calibri" w:cs="Calibri"/>
          <w:color w:val="365F91" w:themeColor="accent1" w:themeShade="BF"/>
          <w:sz w:val="22"/>
          <w:szCs w:val="22"/>
        </w:rPr>
        <w:t xml:space="preserve">l </w:t>
      </w:r>
      <w:r w:rsidR="00843681">
        <w:rPr>
          <w:rFonts w:ascii="Calibri" w:hAnsi="Calibri" w:cs="Calibri"/>
          <w:color w:val="365F91" w:themeColor="accent1" w:themeShade="BF"/>
          <w:sz w:val="22"/>
          <w:szCs w:val="22"/>
        </w:rPr>
        <w:t>a</w:t>
      </w:r>
      <w:r w:rsidR="002C57EB">
        <w:rPr>
          <w:rFonts w:ascii="Calibri" w:hAnsi="Calibri" w:cs="Calibri"/>
          <w:color w:val="365F91" w:themeColor="accent1" w:themeShade="BF"/>
          <w:sz w:val="22"/>
          <w:szCs w:val="22"/>
        </w:rPr>
        <w:t xml:space="preserve">ssurance, </w:t>
      </w:r>
      <w:r w:rsidR="00EC62B7">
        <w:rPr>
          <w:rFonts w:ascii="Calibri" w:hAnsi="Calibri" w:cs="Calibri"/>
          <w:color w:val="365F91" w:themeColor="accent1" w:themeShade="BF"/>
          <w:sz w:val="22"/>
          <w:szCs w:val="22"/>
        </w:rPr>
        <w:t>r</w:t>
      </w:r>
      <w:r w:rsidR="005C6880" w:rsidRPr="005C7D17">
        <w:rPr>
          <w:rFonts w:ascii="Calibri" w:hAnsi="Calibri" w:cs="Calibri"/>
          <w:color w:val="365F91" w:themeColor="accent1" w:themeShade="BF"/>
          <w:sz w:val="22"/>
          <w:szCs w:val="22"/>
        </w:rPr>
        <w:t xml:space="preserve">oot </w:t>
      </w:r>
      <w:r w:rsidR="00EC62B7">
        <w:rPr>
          <w:rFonts w:ascii="Calibri" w:hAnsi="Calibri" w:cs="Calibri"/>
          <w:color w:val="365F91" w:themeColor="accent1" w:themeShade="BF"/>
          <w:sz w:val="22"/>
          <w:szCs w:val="22"/>
        </w:rPr>
        <w:t>c</w:t>
      </w:r>
      <w:r w:rsidR="005C6880" w:rsidRPr="005C7D17">
        <w:rPr>
          <w:rFonts w:ascii="Calibri" w:hAnsi="Calibri" w:cs="Calibri"/>
          <w:color w:val="365F91" w:themeColor="accent1" w:themeShade="BF"/>
          <w:sz w:val="22"/>
          <w:szCs w:val="22"/>
        </w:rPr>
        <w:t xml:space="preserve">ause and </w:t>
      </w:r>
      <w:r w:rsidR="00EC62B7">
        <w:rPr>
          <w:rFonts w:ascii="Calibri" w:hAnsi="Calibri" w:cs="Calibri"/>
          <w:color w:val="365F91" w:themeColor="accent1" w:themeShade="BF"/>
          <w:sz w:val="22"/>
          <w:szCs w:val="22"/>
        </w:rPr>
        <w:t>s</w:t>
      </w:r>
      <w:r w:rsidR="005C6880" w:rsidRPr="005C7D17">
        <w:rPr>
          <w:rFonts w:ascii="Calibri" w:hAnsi="Calibri" w:cs="Calibri"/>
          <w:color w:val="365F91" w:themeColor="accent1" w:themeShade="BF"/>
          <w:sz w:val="22"/>
          <w:szCs w:val="22"/>
        </w:rPr>
        <w:t xml:space="preserve">ecurity </w:t>
      </w:r>
      <w:r w:rsidR="00EC62B7">
        <w:rPr>
          <w:rFonts w:ascii="Calibri" w:hAnsi="Calibri" w:cs="Calibri"/>
          <w:color w:val="365F91" w:themeColor="accent1" w:themeShade="BF"/>
          <w:sz w:val="22"/>
          <w:szCs w:val="22"/>
        </w:rPr>
        <w:t>f</w:t>
      </w:r>
      <w:r w:rsidR="005C6880" w:rsidRPr="005C7D17">
        <w:rPr>
          <w:rFonts w:ascii="Calibri" w:hAnsi="Calibri" w:cs="Calibri"/>
          <w:color w:val="365F91" w:themeColor="accent1" w:themeShade="BF"/>
          <w:sz w:val="22"/>
          <w:szCs w:val="22"/>
        </w:rPr>
        <w:t>ailures</w:t>
      </w:r>
    </w:p>
    <w:p w14:paraId="24749263" w14:textId="243754EB" w:rsidR="00F270DB" w:rsidRPr="002A1691" w:rsidRDefault="00EC62B7" w:rsidP="002A1691">
      <w:pPr>
        <w:pStyle w:val="ListParagraph"/>
        <w:numPr>
          <w:ilvl w:val="0"/>
          <w:numId w:val="19"/>
        </w:numPr>
        <w:rPr>
          <w:rFonts w:ascii="Calibri" w:hAnsi="Calibri" w:cs="Calibri"/>
        </w:rPr>
      </w:pPr>
      <w:r>
        <w:rPr>
          <w:rFonts w:ascii="Calibri" w:hAnsi="Calibri" w:cs="Calibri"/>
        </w:rPr>
        <w:t>a</w:t>
      </w:r>
      <w:r w:rsidR="005C6880" w:rsidRPr="002A1691">
        <w:rPr>
          <w:rFonts w:ascii="Calibri" w:hAnsi="Calibri" w:cs="Calibri"/>
        </w:rPr>
        <w:t xml:space="preserve">dequacy and accuracy of MMH’s root cause analysis (including </w:t>
      </w:r>
      <w:r w:rsidR="00F84C58">
        <w:rPr>
          <w:rFonts w:ascii="Calibri" w:hAnsi="Calibri" w:cs="Calibri"/>
        </w:rPr>
        <w:t>the</w:t>
      </w:r>
      <w:r w:rsidR="005C6880" w:rsidRPr="002A1691">
        <w:rPr>
          <w:rFonts w:ascii="Calibri" w:hAnsi="Calibri" w:cs="Calibri"/>
        </w:rPr>
        <w:t xml:space="preserve"> validation)</w:t>
      </w:r>
    </w:p>
    <w:p w14:paraId="2720965D" w14:textId="0D19A8C2" w:rsidR="00F270DB" w:rsidRPr="002A1691" w:rsidRDefault="00EC62B7" w:rsidP="002A1691">
      <w:pPr>
        <w:pStyle w:val="ListParagraph"/>
        <w:numPr>
          <w:ilvl w:val="0"/>
          <w:numId w:val="19"/>
        </w:numPr>
        <w:rPr>
          <w:rFonts w:ascii="Calibri" w:hAnsi="Calibri" w:cs="Calibri"/>
        </w:rPr>
      </w:pPr>
      <w:r>
        <w:rPr>
          <w:rFonts w:ascii="Calibri" w:hAnsi="Calibri" w:cs="Calibri"/>
        </w:rPr>
        <w:t>t</w:t>
      </w:r>
      <w:r w:rsidR="005C6880" w:rsidRPr="002A1691">
        <w:rPr>
          <w:rFonts w:ascii="Calibri" w:hAnsi="Calibri" w:cs="Calibri"/>
        </w:rPr>
        <w:t>he vulnerability in the Health Documents module and reasons it remained unaddressed</w:t>
      </w:r>
    </w:p>
    <w:p w14:paraId="283542AE" w14:textId="3E10E397" w:rsidR="00F270DB" w:rsidRPr="002A1691" w:rsidRDefault="00EC62B7" w:rsidP="002A1691">
      <w:pPr>
        <w:pStyle w:val="ListParagraph"/>
        <w:numPr>
          <w:ilvl w:val="0"/>
          <w:numId w:val="19"/>
        </w:numPr>
        <w:rPr>
          <w:rFonts w:ascii="Calibri" w:hAnsi="Calibri" w:cs="Calibri"/>
        </w:rPr>
      </w:pPr>
      <w:r>
        <w:rPr>
          <w:rFonts w:ascii="Calibri" w:hAnsi="Calibri" w:cs="Calibri"/>
        </w:rPr>
        <w:t>d</w:t>
      </w:r>
      <w:r w:rsidR="005C6880" w:rsidRPr="002A1691">
        <w:rPr>
          <w:rFonts w:ascii="Calibri" w:hAnsi="Calibri" w:cs="Calibri"/>
        </w:rPr>
        <w:t>ata protection practices, including encryption at rest and in transit</w:t>
      </w:r>
    </w:p>
    <w:p w14:paraId="1E4BDF56" w14:textId="4A36D463" w:rsidR="00F270DB" w:rsidRPr="00177B99" w:rsidRDefault="00EC62B7" w:rsidP="002A1691">
      <w:pPr>
        <w:pStyle w:val="ListParagraph"/>
        <w:numPr>
          <w:ilvl w:val="0"/>
          <w:numId w:val="19"/>
        </w:numPr>
        <w:rPr>
          <w:rFonts w:ascii="Calibri" w:hAnsi="Calibri" w:cs="Calibri"/>
        </w:rPr>
      </w:pPr>
      <w:r>
        <w:rPr>
          <w:rFonts w:ascii="Calibri" w:hAnsi="Calibri" w:cs="Calibri"/>
        </w:rPr>
        <w:t>a</w:t>
      </w:r>
      <w:r w:rsidR="005C6880" w:rsidRPr="00177B99">
        <w:rPr>
          <w:rFonts w:ascii="Calibri" w:hAnsi="Calibri" w:cs="Calibri"/>
        </w:rPr>
        <w:t>dherence to cybersecurity standards and good practice</w:t>
      </w:r>
    </w:p>
    <w:p w14:paraId="5FC39CB7" w14:textId="7EB015E1" w:rsidR="00F270DB" w:rsidRPr="002A1691" w:rsidRDefault="00EC62B7" w:rsidP="002C57EB">
      <w:pPr>
        <w:pStyle w:val="ListParagraph"/>
        <w:numPr>
          <w:ilvl w:val="0"/>
          <w:numId w:val="19"/>
        </w:numPr>
        <w:spacing w:after="0"/>
        <w:ind w:left="714" w:hanging="357"/>
        <w:contextualSpacing w:val="0"/>
        <w:rPr>
          <w:rFonts w:ascii="Calibri" w:hAnsi="Calibri" w:cs="Calibri"/>
        </w:rPr>
      </w:pPr>
      <w:r>
        <w:rPr>
          <w:rFonts w:ascii="Calibri" w:hAnsi="Calibri" w:cs="Calibri"/>
        </w:rPr>
        <w:t>p</w:t>
      </w:r>
      <w:r w:rsidR="005C6880" w:rsidRPr="002A1691">
        <w:rPr>
          <w:rFonts w:ascii="Calibri" w:hAnsi="Calibri" w:cs="Calibri"/>
        </w:rPr>
        <w:t>ast audit findings or warnings and whether these were acted upon</w:t>
      </w:r>
    </w:p>
    <w:p w14:paraId="6E5FF457" w14:textId="40FCD7D9" w:rsidR="00F270DB" w:rsidRPr="00803A6A" w:rsidRDefault="005C6880" w:rsidP="002C57EB">
      <w:pPr>
        <w:numPr>
          <w:ilvl w:val="0"/>
          <w:numId w:val="19"/>
        </w:numPr>
        <w:spacing w:after="120"/>
        <w:ind w:left="714" w:hanging="357"/>
        <w:rPr>
          <w:rFonts w:ascii="Calibri" w:hAnsi="Calibri" w:cs="Calibri"/>
        </w:rPr>
      </w:pPr>
      <w:r w:rsidRPr="00803A6A">
        <w:rPr>
          <w:rFonts w:ascii="Calibri" w:hAnsi="Calibri" w:cs="Calibri"/>
        </w:rPr>
        <w:t xml:space="preserve">MMH capability and capacity to manage </w:t>
      </w:r>
      <w:r w:rsidR="00803A6A" w:rsidRPr="00803A6A">
        <w:rPr>
          <w:rFonts w:ascii="Calibri" w:hAnsi="Calibri" w:cs="Calibri"/>
          <w:lang w:val="en-NZ"/>
        </w:rPr>
        <w:t>a critical health</w:t>
      </w:r>
      <w:r w:rsidR="00803A6A" w:rsidRPr="00803A6A">
        <w:rPr>
          <w:rFonts w:ascii="Calibri" w:hAnsi="Calibri" w:cs="Calibri"/>
          <w:lang w:val="en-NZ"/>
        </w:rPr>
        <w:noBreakHyphen/>
        <w:t>records platform</w:t>
      </w:r>
      <w:r w:rsidR="00803A6A" w:rsidRPr="00803A6A" w:rsidDel="00803A6A">
        <w:rPr>
          <w:rFonts w:ascii="Calibri" w:hAnsi="Calibri" w:cs="Calibri"/>
        </w:rPr>
        <w:t xml:space="preserve"> </w:t>
      </w:r>
      <w:r w:rsidRPr="00803A6A">
        <w:rPr>
          <w:rFonts w:ascii="Calibri" w:hAnsi="Calibri" w:cs="Calibri"/>
        </w:rPr>
        <w:t>securely.</w:t>
      </w:r>
      <w:r w:rsidR="00803A6A" w:rsidRPr="00803A6A">
        <w:rPr>
          <w:rFonts w:ascii="Calibri" w:hAnsi="Calibri" w:cs="Calibri"/>
        </w:rPr>
        <w:t xml:space="preserve"> </w:t>
      </w:r>
    </w:p>
    <w:p w14:paraId="722DA1F7" w14:textId="4DA70487" w:rsidR="00F270DB" w:rsidRPr="00F84C58" w:rsidRDefault="005C6880" w:rsidP="00F84C58">
      <w:pPr>
        <w:pStyle w:val="Heading2"/>
        <w:spacing w:before="120" w:after="120"/>
        <w:rPr>
          <w:rFonts w:ascii="Calibri" w:hAnsi="Calibri" w:cs="Calibri"/>
          <w:color w:val="365F91" w:themeColor="accent1" w:themeShade="BF"/>
          <w:sz w:val="22"/>
          <w:szCs w:val="22"/>
        </w:rPr>
      </w:pPr>
      <w:r w:rsidRPr="00F84C58">
        <w:rPr>
          <w:rFonts w:ascii="Calibri" w:hAnsi="Calibri" w:cs="Calibri"/>
          <w:color w:val="365F91" w:themeColor="accent1" w:themeShade="BF"/>
          <w:sz w:val="22"/>
          <w:szCs w:val="22"/>
        </w:rPr>
        <w:t xml:space="preserve">2 Incident </w:t>
      </w:r>
      <w:r w:rsidR="00C50AAF">
        <w:rPr>
          <w:rFonts w:ascii="Calibri" w:hAnsi="Calibri" w:cs="Calibri"/>
          <w:color w:val="365F91" w:themeColor="accent1" w:themeShade="BF"/>
          <w:sz w:val="22"/>
          <w:szCs w:val="22"/>
        </w:rPr>
        <w:t>r</w:t>
      </w:r>
      <w:r w:rsidRPr="00F84C58">
        <w:rPr>
          <w:rFonts w:ascii="Calibri" w:hAnsi="Calibri" w:cs="Calibri"/>
          <w:color w:val="365F91" w:themeColor="accent1" w:themeShade="BF"/>
          <w:sz w:val="22"/>
          <w:szCs w:val="22"/>
        </w:rPr>
        <w:t xml:space="preserve">esponse </w:t>
      </w:r>
    </w:p>
    <w:p w14:paraId="5E025C9F" w14:textId="22CDC5EE" w:rsidR="00F270DB" w:rsidRPr="009A4C7B" w:rsidRDefault="00C50AAF" w:rsidP="00F84C58">
      <w:pPr>
        <w:pStyle w:val="ListParagraph"/>
        <w:numPr>
          <w:ilvl w:val="0"/>
          <w:numId w:val="19"/>
        </w:numPr>
        <w:rPr>
          <w:rFonts w:ascii="Calibri" w:hAnsi="Calibri" w:cs="Calibri"/>
        </w:rPr>
      </w:pPr>
      <w:r>
        <w:rPr>
          <w:rFonts w:ascii="Calibri" w:hAnsi="Calibri" w:cs="Calibri"/>
        </w:rPr>
        <w:t>t</w:t>
      </w:r>
      <w:r w:rsidR="005C6880" w:rsidRPr="009A4C7B">
        <w:rPr>
          <w:rFonts w:ascii="Calibri" w:hAnsi="Calibri" w:cs="Calibri"/>
        </w:rPr>
        <w:t xml:space="preserve">imeliness and clarity of communications to affected patients, </w:t>
      </w:r>
      <w:r w:rsidR="004816C6">
        <w:rPr>
          <w:rFonts w:ascii="Calibri" w:hAnsi="Calibri" w:cs="Calibri"/>
        </w:rPr>
        <w:t>primary care</w:t>
      </w:r>
      <w:r w:rsidR="005C6880" w:rsidRPr="009A4C7B">
        <w:rPr>
          <w:rFonts w:ascii="Calibri" w:hAnsi="Calibri" w:cs="Calibri"/>
        </w:rPr>
        <w:t>, and the public</w:t>
      </w:r>
    </w:p>
    <w:p w14:paraId="1BA8225F" w14:textId="6382B3FE" w:rsidR="00F270DB" w:rsidRPr="009A4C7B" w:rsidRDefault="00C50AAF" w:rsidP="00F84C58">
      <w:pPr>
        <w:pStyle w:val="ListParagraph"/>
        <w:numPr>
          <w:ilvl w:val="0"/>
          <w:numId w:val="19"/>
        </w:numPr>
        <w:rPr>
          <w:rFonts w:ascii="Calibri" w:hAnsi="Calibri" w:cs="Calibri"/>
        </w:rPr>
      </w:pPr>
      <w:r>
        <w:rPr>
          <w:rFonts w:ascii="Calibri" w:hAnsi="Calibri" w:cs="Calibri"/>
        </w:rPr>
        <w:t>a</w:t>
      </w:r>
      <w:r w:rsidR="005C6880" w:rsidRPr="009A4C7B">
        <w:rPr>
          <w:rFonts w:ascii="Calibri" w:hAnsi="Calibri" w:cs="Calibri"/>
        </w:rPr>
        <w:t>ccuracy of timelines and commitments made during the response</w:t>
      </w:r>
    </w:p>
    <w:p w14:paraId="0844B356" w14:textId="7014F060" w:rsidR="00F270DB" w:rsidRPr="009A4C7B" w:rsidRDefault="00C50AAF" w:rsidP="00F84C58">
      <w:pPr>
        <w:pStyle w:val="ListParagraph"/>
        <w:numPr>
          <w:ilvl w:val="0"/>
          <w:numId w:val="19"/>
        </w:numPr>
        <w:rPr>
          <w:rFonts w:ascii="Calibri" w:hAnsi="Calibri" w:cs="Calibri"/>
        </w:rPr>
      </w:pPr>
      <w:r>
        <w:rPr>
          <w:rFonts w:ascii="Calibri" w:hAnsi="Calibri" w:cs="Calibri"/>
        </w:rPr>
        <w:t>a</w:t>
      </w:r>
      <w:r w:rsidR="005C6880" w:rsidRPr="009A4C7B">
        <w:rPr>
          <w:rFonts w:ascii="Calibri" w:hAnsi="Calibri" w:cs="Calibri"/>
        </w:rPr>
        <w:t>dequacy of containment, notification, and escalation processes</w:t>
      </w:r>
    </w:p>
    <w:p w14:paraId="4EA09999" w14:textId="04B72C10" w:rsidR="00F270DB" w:rsidRPr="009A4C7B" w:rsidRDefault="00C50AAF" w:rsidP="00F84C58">
      <w:pPr>
        <w:pStyle w:val="ListParagraph"/>
        <w:numPr>
          <w:ilvl w:val="0"/>
          <w:numId w:val="19"/>
        </w:numPr>
        <w:rPr>
          <w:rFonts w:ascii="Calibri" w:hAnsi="Calibri" w:cs="Calibri"/>
        </w:rPr>
      </w:pPr>
      <w:r>
        <w:rPr>
          <w:rFonts w:ascii="Calibri" w:hAnsi="Calibri" w:cs="Calibri"/>
        </w:rPr>
        <w:t>s</w:t>
      </w:r>
      <w:r w:rsidR="005C6880" w:rsidRPr="009A4C7B">
        <w:rPr>
          <w:rFonts w:ascii="Calibri" w:hAnsi="Calibri" w:cs="Calibri"/>
        </w:rPr>
        <w:t>upport provided to high</w:t>
      </w:r>
      <w:r w:rsidR="005C6880" w:rsidRPr="00F84C58">
        <w:rPr>
          <w:rFonts w:ascii="Cambria Math" w:hAnsi="Cambria Math" w:cs="Cambria Math"/>
        </w:rPr>
        <w:t>‑</w:t>
      </w:r>
      <w:r w:rsidR="005C6880" w:rsidRPr="009A4C7B">
        <w:rPr>
          <w:rFonts w:ascii="Calibri" w:hAnsi="Calibri" w:cs="Calibri"/>
        </w:rPr>
        <w:t>risk</w:t>
      </w:r>
      <w:r w:rsidR="004816C6">
        <w:rPr>
          <w:rFonts w:ascii="Calibri" w:hAnsi="Calibri" w:cs="Calibri"/>
        </w:rPr>
        <w:t>/vulnerable</w:t>
      </w:r>
      <w:r w:rsidR="005C6880" w:rsidRPr="009A4C7B">
        <w:rPr>
          <w:rFonts w:ascii="Calibri" w:hAnsi="Calibri" w:cs="Calibri"/>
        </w:rPr>
        <w:t xml:space="preserve"> patients and general practices.</w:t>
      </w:r>
    </w:p>
    <w:p w14:paraId="023154A2" w14:textId="3958CF00" w:rsidR="00F270DB" w:rsidRPr="00F84C58" w:rsidRDefault="005C6880" w:rsidP="00F84C58">
      <w:pPr>
        <w:pStyle w:val="Heading2"/>
        <w:spacing w:before="120" w:after="120"/>
        <w:rPr>
          <w:rFonts w:ascii="Calibri" w:hAnsi="Calibri" w:cs="Calibri"/>
          <w:color w:val="365F91" w:themeColor="accent1" w:themeShade="BF"/>
          <w:sz w:val="22"/>
          <w:szCs w:val="22"/>
        </w:rPr>
      </w:pPr>
      <w:r w:rsidRPr="00F84C58">
        <w:rPr>
          <w:rFonts w:ascii="Calibri" w:hAnsi="Calibri" w:cs="Calibri"/>
          <w:color w:val="365F91" w:themeColor="accent1" w:themeShade="BF"/>
          <w:sz w:val="22"/>
          <w:szCs w:val="22"/>
        </w:rPr>
        <w:t xml:space="preserve">3 Security </w:t>
      </w:r>
      <w:r w:rsidR="00C50AAF">
        <w:rPr>
          <w:rFonts w:ascii="Calibri" w:hAnsi="Calibri" w:cs="Calibri"/>
          <w:color w:val="365F91" w:themeColor="accent1" w:themeShade="BF"/>
          <w:sz w:val="22"/>
          <w:szCs w:val="22"/>
        </w:rPr>
        <w:t>s</w:t>
      </w:r>
      <w:r w:rsidRPr="00F84C58">
        <w:rPr>
          <w:rFonts w:ascii="Calibri" w:hAnsi="Calibri" w:cs="Calibri"/>
          <w:color w:val="365F91" w:themeColor="accent1" w:themeShade="BF"/>
          <w:sz w:val="22"/>
          <w:szCs w:val="22"/>
        </w:rPr>
        <w:t xml:space="preserve">tandards </w:t>
      </w:r>
      <w:r w:rsidR="00C50AAF">
        <w:rPr>
          <w:rFonts w:ascii="Calibri" w:hAnsi="Calibri" w:cs="Calibri"/>
          <w:color w:val="365F91" w:themeColor="accent1" w:themeShade="BF"/>
          <w:sz w:val="22"/>
          <w:szCs w:val="22"/>
        </w:rPr>
        <w:t>and</w:t>
      </w:r>
      <w:r w:rsidRPr="00F84C58">
        <w:rPr>
          <w:rFonts w:ascii="Calibri" w:hAnsi="Calibri" w:cs="Calibri"/>
          <w:color w:val="365F91" w:themeColor="accent1" w:themeShade="BF"/>
          <w:sz w:val="22"/>
          <w:szCs w:val="22"/>
        </w:rPr>
        <w:t xml:space="preserve"> </w:t>
      </w:r>
      <w:r w:rsidR="00C50AAF">
        <w:rPr>
          <w:rFonts w:ascii="Calibri" w:hAnsi="Calibri" w:cs="Calibri"/>
          <w:color w:val="365F91" w:themeColor="accent1" w:themeShade="BF"/>
          <w:sz w:val="22"/>
          <w:szCs w:val="22"/>
        </w:rPr>
        <w:t>c</w:t>
      </w:r>
      <w:r w:rsidRPr="00F84C58">
        <w:rPr>
          <w:rFonts w:ascii="Calibri" w:hAnsi="Calibri" w:cs="Calibri"/>
          <w:color w:val="365F91" w:themeColor="accent1" w:themeShade="BF"/>
          <w:sz w:val="22"/>
          <w:szCs w:val="22"/>
        </w:rPr>
        <w:t xml:space="preserve">ompliance </w:t>
      </w:r>
      <w:r w:rsidR="00C50AAF">
        <w:rPr>
          <w:rFonts w:ascii="Calibri" w:hAnsi="Calibri" w:cs="Calibri"/>
          <w:color w:val="365F91" w:themeColor="accent1" w:themeShade="BF"/>
          <w:sz w:val="22"/>
          <w:szCs w:val="22"/>
        </w:rPr>
        <w:t>a</w:t>
      </w:r>
      <w:r w:rsidRPr="00F84C58">
        <w:rPr>
          <w:rFonts w:ascii="Calibri" w:hAnsi="Calibri" w:cs="Calibri"/>
          <w:color w:val="365F91" w:themeColor="accent1" w:themeShade="BF"/>
          <w:sz w:val="22"/>
          <w:szCs w:val="22"/>
        </w:rPr>
        <w:t>ssessment</w:t>
      </w:r>
    </w:p>
    <w:p w14:paraId="43CAD50B" w14:textId="6E2D855B" w:rsidR="00F270DB" w:rsidRPr="009A4C7B" w:rsidRDefault="00C50AAF" w:rsidP="00F84C58">
      <w:pPr>
        <w:pStyle w:val="ListParagraph"/>
        <w:numPr>
          <w:ilvl w:val="0"/>
          <w:numId w:val="19"/>
        </w:numPr>
        <w:rPr>
          <w:rFonts w:ascii="Calibri" w:hAnsi="Calibri" w:cs="Calibri"/>
        </w:rPr>
      </w:pPr>
      <w:r>
        <w:rPr>
          <w:rFonts w:ascii="Calibri" w:hAnsi="Calibri" w:cs="Calibri"/>
        </w:rPr>
        <w:t>a</w:t>
      </w:r>
      <w:r w:rsidR="005C6880" w:rsidRPr="009A4C7B">
        <w:rPr>
          <w:rFonts w:ascii="Calibri" w:hAnsi="Calibri" w:cs="Calibri"/>
        </w:rPr>
        <w:t>udit MMH security architecture against relevant codes and frameworks</w:t>
      </w:r>
    </w:p>
    <w:p w14:paraId="575BEBA0" w14:textId="40603187" w:rsidR="00F270DB" w:rsidRDefault="00C50AAF" w:rsidP="00F84C58">
      <w:pPr>
        <w:pStyle w:val="ListParagraph"/>
        <w:numPr>
          <w:ilvl w:val="0"/>
          <w:numId w:val="19"/>
        </w:numPr>
        <w:rPr>
          <w:rFonts w:ascii="Calibri" w:hAnsi="Calibri" w:cs="Calibri"/>
        </w:rPr>
      </w:pPr>
      <w:r>
        <w:rPr>
          <w:rFonts w:ascii="Calibri" w:hAnsi="Calibri" w:cs="Calibri"/>
        </w:rPr>
        <w:t>a</w:t>
      </w:r>
      <w:r w:rsidR="005C6880" w:rsidRPr="009A4C7B">
        <w:rPr>
          <w:rFonts w:ascii="Calibri" w:hAnsi="Calibri" w:cs="Calibri"/>
        </w:rPr>
        <w:t>ssess whether the sensitivity of stored information was matched by an appropriate standard of protection.</w:t>
      </w:r>
    </w:p>
    <w:p w14:paraId="7C6B30CA" w14:textId="6498C37C" w:rsidR="00F270DB" w:rsidRPr="00F84C58" w:rsidRDefault="005C6880" w:rsidP="00F84C58">
      <w:pPr>
        <w:pStyle w:val="Heading2"/>
        <w:spacing w:before="120" w:after="120"/>
        <w:rPr>
          <w:rFonts w:ascii="Calibri" w:hAnsi="Calibri" w:cs="Calibri"/>
          <w:color w:val="365F91" w:themeColor="accent1" w:themeShade="BF"/>
          <w:sz w:val="22"/>
          <w:szCs w:val="22"/>
        </w:rPr>
      </w:pPr>
      <w:r w:rsidRPr="00F84C58">
        <w:rPr>
          <w:rFonts w:ascii="Calibri" w:hAnsi="Calibri" w:cs="Calibri"/>
          <w:color w:val="365F91" w:themeColor="accent1" w:themeShade="BF"/>
          <w:sz w:val="22"/>
          <w:szCs w:val="22"/>
        </w:rPr>
        <w:t xml:space="preserve">4 Interoperability </w:t>
      </w:r>
      <w:r w:rsidR="00C50AAF">
        <w:rPr>
          <w:rFonts w:ascii="Calibri" w:hAnsi="Calibri" w:cs="Calibri"/>
          <w:color w:val="365F91" w:themeColor="accent1" w:themeShade="BF"/>
          <w:sz w:val="22"/>
          <w:szCs w:val="22"/>
        </w:rPr>
        <w:t>and</w:t>
      </w:r>
      <w:r w:rsidRPr="00F84C58">
        <w:rPr>
          <w:rFonts w:ascii="Calibri" w:hAnsi="Calibri" w:cs="Calibri"/>
          <w:color w:val="365F91" w:themeColor="accent1" w:themeShade="BF"/>
          <w:sz w:val="22"/>
          <w:szCs w:val="22"/>
        </w:rPr>
        <w:t xml:space="preserve"> </w:t>
      </w:r>
      <w:r w:rsidR="00C50AAF">
        <w:rPr>
          <w:rFonts w:ascii="Calibri" w:hAnsi="Calibri" w:cs="Calibri"/>
          <w:color w:val="365F91" w:themeColor="accent1" w:themeShade="BF"/>
          <w:sz w:val="22"/>
          <w:szCs w:val="22"/>
        </w:rPr>
        <w:t>s</w:t>
      </w:r>
      <w:r w:rsidRPr="00F84C58">
        <w:rPr>
          <w:rFonts w:ascii="Calibri" w:hAnsi="Calibri" w:cs="Calibri"/>
          <w:color w:val="365F91" w:themeColor="accent1" w:themeShade="BF"/>
          <w:sz w:val="22"/>
          <w:szCs w:val="22"/>
        </w:rPr>
        <w:t xml:space="preserve">ector </w:t>
      </w:r>
      <w:r w:rsidR="00C50AAF">
        <w:rPr>
          <w:rFonts w:ascii="Calibri" w:hAnsi="Calibri" w:cs="Calibri"/>
          <w:color w:val="365F91" w:themeColor="accent1" w:themeShade="BF"/>
          <w:sz w:val="22"/>
          <w:szCs w:val="22"/>
        </w:rPr>
        <w:t>i</w:t>
      </w:r>
      <w:r w:rsidRPr="00F84C58">
        <w:rPr>
          <w:rFonts w:ascii="Calibri" w:hAnsi="Calibri" w:cs="Calibri"/>
          <w:color w:val="365F91" w:themeColor="accent1" w:themeShade="BF"/>
          <w:sz w:val="22"/>
          <w:szCs w:val="22"/>
        </w:rPr>
        <w:t xml:space="preserve">ntegration </w:t>
      </w:r>
      <w:r w:rsidR="00C50AAF">
        <w:rPr>
          <w:rFonts w:ascii="Calibri" w:hAnsi="Calibri" w:cs="Calibri"/>
          <w:color w:val="365F91" w:themeColor="accent1" w:themeShade="BF"/>
          <w:sz w:val="22"/>
          <w:szCs w:val="22"/>
        </w:rPr>
        <w:t>r</w:t>
      </w:r>
      <w:r w:rsidRPr="00F84C58">
        <w:rPr>
          <w:rFonts w:ascii="Calibri" w:hAnsi="Calibri" w:cs="Calibri"/>
          <w:color w:val="365F91" w:themeColor="accent1" w:themeShade="BF"/>
          <w:sz w:val="22"/>
          <w:szCs w:val="22"/>
        </w:rPr>
        <w:t>isks</w:t>
      </w:r>
    </w:p>
    <w:p w14:paraId="05EEED0F" w14:textId="7FAD37F3" w:rsidR="00F270DB" w:rsidRPr="009A4C7B" w:rsidRDefault="00C50AAF" w:rsidP="00F84C58">
      <w:pPr>
        <w:pStyle w:val="ListParagraph"/>
        <w:numPr>
          <w:ilvl w:val="0"/>
          <w:numId w:val="19"/>
        </w:numPr>
        <w:rPr>
          <w:rFonts w:ascii="Calibri" w:hAnsi="Calibri" w:cs="Calibri"/>
        </w:rPr>
      </w:pPr>
      <w:r>
        <w:rPr>
          <w:rFonts w:ascii="Calibri" w:hAnsi="Calibri" w:cs="Calibri"/>
        </w:rPr>
        <w:t>h</w:t>
      </w:r>
      <w:r w:rsidR="005C6880" w:rsidRPr="009A4C7B">
        <w:rPr>
          <w:rFonts w:ascii="Calibri" w:hAnsi="Calibri" w:cs="Calibri"/>
        </w:rPr>
        <w:t>ow MMH integrates with Health NZ systems and risks arising from these connections</w:t>
      </w:r>
    </w:p>
    <w:p w14:paraId="3A08FC6A" w14:textId="6B1A0FE4" w:rsidR="00F270DB" w:rsidRPr="009A4C7B" w:rsidRDefault="00C50AAF" w:rsidP="00F84C58">
      <w:pPr>
        <w:pStyle w:val="ListParagraph"/>
        <w:numPr>
          <w:ilvl w:val="0"/>
          <w:numId w:val="19"/>
        </w:numPr>
        <w:rPr>
          <w:rFonts w:ascii="Calibri" w:hAnsi="Calibri" w:cs="Calibri"/>
        </w:rPr>
      </w:pPr>
      <w:r>
        <w:rPr>
          <w:rFonts w:ascii="Calibri" w:hAnsi="Calibri" w:cs="Calibri"/>
        </w:rPr>
        <w:t>w</w:t>
      </w:r>
      <w:r w:rsidR="005C6880" w:rsidRPr="009A4C7B">
        <w:rPr>
          <w:rFonts w:ascii="Calibri" w:hAnsi="Calibri" w:cs="Calibri"/>
        </w:rPr>
        <w:t>hether vulnerabilities found in MMH may be present across other patient portals</w:t>
      </w:r>
    </w:p>
    <w:p w14:paraId="05C84F8B" w14:textId="7C5E613A" w:rsidR="00F270DB" w:rsidRPr="009A4C7B" w:rsidRDefault="00C50AAF" w:rsidP="00F84C58">
      <w:pPr>
        <w:pStyle w:val="ListParagraph"/>
        <w:numPr>
          <w:ilvl w:val="0"/>
          <w:numId w:val="19"/>
        </w:numPr>
        <w:rPr>
          <w:rFonts w:ascii="Calibri" w:hAnsi="Calibri" w:cs="Calibri"/>
        </w:rPr>
      </w:pPr>
      <w:r>
        <w:rPr>
          <w:rFonts w:ascii="Calibri" w:hAnsi="Calibri" w:cs="Calibri"/>
        </w:rPr>
        <w:t>s</w:t>
      </w:r>
      <w:r w:rsidR="005C6880" w:rsidRPr="009A4C7B">
        <w:rPr>
          <w:rFonts w:ascii="Calibri" w:hAnsi="Calibri" w:cs="Calibri"/>
        </w:rPr>
        <w:t>ystemic risks across the private patient portal ecosystem.</w:t>
      </w:r>
    </w:p>
    <w:p w14:paraId="70A04396" w14:textId="3D5F4EAB" w:rsidR="00F270DB" w:rsidRPr="00F84C58" w:rsidRDefault="005C6880" w:rsidP="00F84C58">
      <w:pPr>
        <w:pStyle w:val="Heading2"/>
        <w:spacing w:before="120" w:after="120"/>
        <w:rPr>
          <w:rFonts w:ascii="Calibri" w:hAnsi="Calibri" w:cs="Calibri"/>
          <w:color w:val="365F91" w:themeColor="accent1" w:themeShade="BF"/>
          <w:sz w:val="22"/>
          <w:szCs w:val="22"/>
        </w:rPr>
      </w:pPr>
      <w:r w:rsidRPr="00F84C58">
        <w:rPr>
          <w:rFonts w:ascii="Calibri" w:hAnsi="Calibri" w:cs="Calibri"/>
          <w:color w:val="365F91" w:themeColor="accent1" w:themeShade="BF"/>
          <w:sz w:val="22"/>
          <w:szCs w:val="22"/>
        </w:rPr>
        <w:t xml:space="preserve">5 Data </w:t>
      </w:r>
      <w:r w:rsidR="00C50AAF">
        <w:rPr>
          <w:rFonts w:ascii="Calibri" w:hAnsi="Calibri" w:cs="Calibri"/>
          <w:color w:val="365F91" w:themeColor="accent1" w:themeShade="BF"/>
          <w:sz w:val="22"/>
          <w:szCs w:val="22"/>
        </w:rPr>
        <w:t>l</w:t>
      </w:r>
      <w:r w:rsidRPr="00F84C58">
        <w:rPr>
          <w:rFonts w:ascii="Calibri" w:hAnsi="Calibri" w:cs="Calibri"/>
          <w:color w:val="365F91" w:themeColor="accent1" w:themeShade="BF"/>
          <w:sz w:val="22"/>
          <w:szCs w:val="22"/>
        </w:rPr>
        <w:t xml:space="preserve">ifecycle, </w:t>
      </w:r>
      <w:r w:rsidR="00C50AAF">
        <w:rPr>
          <w:rFonts w:ascii="Calibri" w:hAnsi="Calibri" w:cs="Calibri"/>
          <w:color w:val="365F91" w:themeColor="accent1" w:themeShade="BF"/>
          <w:sz w:val="22"/>
          <w:szCs w:val="22"/>
        </w:rPr>
        <w:t>r</w:t>
      </w:r>
      <w:r w:rsidRPr="00F84C58">
        <w:rPr>
          <w:rFonts w:ascii="Calibri" w:hAnsi="Calibri" w:cs="Calibri"/>
          <w:color w:val="365F91" w:themeColor="accent1" w:themeShade="BF"/>
          <w:sz w:val="22"/>
          <w:szCs w:val="22"/>
        </w:rPr>
        <w:t xml:space="preserve">etention, and </w:t>
      </w:r>
      <w:r w:rsidR="00C50AAF">
        <w:rPr>
          <w:rFonts w:ascii="Calibri" w:hAnsi="Calibri" w:cs="Calibri"/>
          <w:color w:val="365F91" w:themeColor="accent1" w:themeShade="BF"/>
          <w:sz w:val="22"/>
          <w:szCs w:val="22"/>
        </w:rPr>
        <w:t>t</w:t>
      </w:r>
      <w:r w:rsidRPr="00F84C58">
        <w:rPr>
          <w:rFonts w:ascii="Calibri" w:hAnsi="Calibri" w:cs="Calibri"/>
          <w:color w:val="365F91" w:themeColor="accent1" w:themeShade="BF"/>
          <w:sz w:val="22"/>
          <w:szCs w:val="22"/>
        </w:rPr>
        <w:t xml:space="preserve">echnical </w:t>
      </w:r>
      <w:r w:rsidR="00C50AAF">
        <w:rPr>
          <w:rFonts w:ascii="Calibri" w:hAnsi="Calibri" w:cs="Calibri"/>
          <w:color w:val="365F91" w:themeColor="accent1" w:themeShade="BF"/>
          <w:sz w:val="22"/>
          <w:szCs w:val="22"/>
        </w:rPr>
        <w:t>d</w:t>
      </w:r>
      <w:r w:rsidRPr="00F84C58">
        <w:rPr>
          <w:rFonts w:ascii="Calibri" w:hAnsi="Calibri" w:cs="Calibri"/>
          <w:color w:val="365F91" w:themeColor="accent1" w:themeShade="BF"/>
          <w:sz w:val="22"/>
          <w:szCs w:val="22"/>
        </w:rPr>
        <w:t>ebt</w:t>
      </w:r>
    </w:p>
    <w:p w14:paraId="759540E0" w14:textId="6B0213C1" w:rsidR="00F270DB" w:rsidRPr="009A4C7B" w:rsidRDefault="00C50AAF" w:rsidP="00F84C58">
      <w:pPr>
        <w:pStyle w:val="ListParagraph"/>
        <w:numPr>
          <w:ilvl w:val="0"/>
          <w:numId w:val="19"/>
        </w:numPr>
        <w:rPr>
          <w:rFonts w:ascii="Calibri" w:hAnsi="Calibri" w:cs="Calibri"/>
        </w:rPr>
      </w:pPr>
      <w:r>
        <w:rPr>
          <w:rFonts w:ascii="Calibri" w:hAnsi="Calibri" w:cs="Calibri"/>
        </w:rPr>
        <w:t>r</w:t>
      </w:r>
      <w:r w:rsidR="005C6880" w:rsidRPr="009A4C7B">
        <w:rPr>
          <w:rFonts w:ascii="Calibri" w:hAnsi="Calibri" w:cs="Calibri"/>
        </w:rPr>
        <w:t>easons historical data remained on internet-facing infrastructure</w:t>
      </w:r>
    </w:p>
    <w:p w14:paraId="79E6D1A6" w14:textId="1957487E" w:rsidR="00F270DB" w:rsidRPr="009A4C7B" w:rsidRDefault="005C6880" w:rsidP="00F84C58">
      <w:pPr>
        <w:pStyle w:val="ListParagraph"/>
        <w:numPr>
          <w:ilvl w:val="0"/>
          <w:numId w:val="19"/>
        </w:numPr>
        <w:rPr>
          <w:rFonts w:ascii="Calibri" w:hAnsi="Calibri" w:cs="Calibri"/>
        </w:rPr>
      </w:pPr>
      <w:r w:rsidRPr="009A4C7B">
        <w:rPr>
          <w:rFonts w:ascii="Calibri" w:hAnsi="Calibri" w:cs="Calibri"/>
        </w:rPr>
        <w:t>MMH data deletion and account closure processes</w:t>
      </w:r>
    </w:p>
    <w:p w14:paraId="2705CC4F" w14:textId="6A518FA0" w:rsidR="00F270DB" w:rsidRPr="009A4C7B" w:rsidRDefault="00C50AAF" w:rsidP="00F84C58">
      <w:pPr>
        <w:pStyle w:val="ListParagraph"/>
        <w:numPr>
          <w:ilvl w:val="0"/>
          <w:numId w:val="19"/>
        </w:numPr>
        <w:rPr>
          <w:rFonts w:ascii="Calibri" w:hAnsi="Calibri" w:cs="Calibri"/>
        </w:rPr>
      </w:pPr>
      <w:r>
        <w:rPr>
          <w:rFonts w:ascii="Calibri" w:hAnsi="Calibri" w:cs="Calibri"/>
        </w:rPr>
        <w:t>r</w:t>
      </w:r>
      <w:r w:rsidR="005C6880" w:rsidRPr="009A4C7B">
        <w:rPr>
          <w:rFonts w:ascii="Calibri" w:hAnsi="Calibri" w:cs="Calibri"/>
        </w:rPr>
        <w:t>isks associated with orphaned or inactive patient data.</w:t>
      </w:r>
    </w:p>
    <w:p w14:paraId="5D0DC397" w14:textId="196718CC" w:rsidR="00F84C58" w:rsidRDefault="00F84C58">
      <w:pPr>
        <w:rPr>
          <w:rFonts w:ascii="Calibri" w:eastAsiaTheme="majorEastAsia" w:hAnsi="Calibri" w:cs="Calibri"/>
          <w:b/>
          <w:bCs/>
          <w:color w:val="365F91" w:themeColor="accent1" w:themeShade="BF"/>
          <w:sz w:val="28"/>
          <w:szCs w:val="28"/>
        </w:rPr>
      </w:pPr>
      <w:r>
        <w:rPr>
          <w:rFonts w:ascii="Calibri" w:hAnsi="Calibri" w:cs="Calibri"/>
        </w:rPr>
        <w:br w:type="page"/>
      </w:r>
    </w:p>
    <w:p w14:paraId="247BC80B" w14:textId="733BD0EB" w:rsidR="00F270DB" w:rsidRPr="009A4C7B" w:rsidRDefault="005C6880" w:rsidP="008F237D">
      <w:pPr>
        <w:pStyle w:val="Heading1"/>
        <w:spacing w:before="360" w:after="120"/>
        <w:rPr>
          <w:rFonts w:ascii="Calibri" w:hAnsi="Calibri" w:cs="Calibri"/>
        </w:rPr>
      </w:pPr>
      <w:r w:rsidRPr="009A4C7B">
        <w:rPr>
          <w:rFonts w:ascii="Calibri" w:hAnsi="Calibri" w:cs="Calibri"/>
        </w:rPr>
        <w:lastRenderedPageBreak/>
        <w:t>Methodology</w:t>
      </w:r>
    </w:p>
    <w:p w14:paraId="3BB62391" w14:textId="5B00E96F" w:rsidR="00F270DB" w:rsidRPr="009A4C7B" w:rsidRDefault="005C6880">
      <w:pPr>
        <w:rPr>
          <w:rFonts w:ascii="Calibri" w:hAnsi="Calibri" w:cs="Calibri"/>
        </w:rPr>
      </w:pPr>
      <w:r w:rsidRPr="009A4C7B">
        <w:rPr>
          <w:rFonts w:ascii="Calibri" w:hAnsi="Calibri" w:cs="Calibri"/>
        </w:rPr>
        <w:t>The review will:</w:t>
      </w:r>
    </w:p>
    <w:p w14:paraId="0C3F3E22" w14:textId="4FDD77D1" w:rsidR="00F270DB" w:rsidRPr="009A4C7B" w:rsidRDefault="00966EB3" w:rsidP="008F237D">
      <w:pPr>
        <w:pStyle w:val="ListParagraph"/>
        <w:numPr>
          <w:ilvl w:val="0"/>
          <w:numId w:val="19"/>
        </w:numPr>
        <w:rPr>
          <w:rFonts w:ascii="Calibri" w:hAnsi="Calibri" w:cs="Calibri"/>
        </w:rPr>
      </w:pPr>
      <w:r>
        <w:rPr>
          <w:rFonts w:ascii="Calibri" w:hAnsi="Calibri" w:cs="Calibri"/>
        </w:rPr>
        <w:t>undertake</w:t>
      </w:r>
      <w:r w:rsidR="00C50AAF">
        <w:rPr>
          <w:rFonts w:ascii="Calibri" w:hAnsi="Calibri" w:cs="Calibri"/>
        </w:rPr>
        <w:t xml:space="preserve"> </w:t>
      </w:r>
      <w:r>
        <w:rPr>
          <w:rFonts w:ascii="Calibri" w:hAnsi="Calibri" w:cs="Calibri"/>
        </w:rPr>
        <w:t>a d</w:t>
      </w:r>
      <w:r w:rsidR="008D0DC7">
        <w:rPr>
          <w:rFonts w:ascii="Calibri" w:hAnsi="Calibri" w:cs="Calibri"/>
        </w:rPr>
        <w:t xml:space="preserve">esktop technical assurance </w:t>
      </w:r>
      <w:r w:rsidR="00BC10A5">
        <w:rPr>
          <w:rFonts w:ascii="Calibri" w:hAnsi="Calibri" w:cs="Calibri"/>
        </w:rPr>
        <w:t xml:space="preserve">assessment </w:t>
      </w:r>
      <w:r w:rsidR="008D0DC7">
        <w:rPr>
          <w:rFonts w:ascii="Calibri" w:hAnsi="Calibri" w:cs="Calibri"/>
        </w:rPr>
        <w:t xml:space="preserve">of </w:t>
      </w:r>
      <w:r w:rsidR="003E6609">
        <w:rPr>
          <w:rFonts w:ascii="Calibri" w:hAnsi="Calibri" w:cs="Calibri"/>
        </w:rPr>
        <w:t>MMH</w:t>
      </w:r>
      <w:r w:rsidR="009A1EE4">
        <w:rPr>
          <w:rFonts w:ascii="Calibri" w:hAnsi="Calibri" w:cs="Calibri"/>
        </w:rPr>
        <w:t xml:space="preserve">, including a review of </w:t>
      </w:r>
      <w:r w:rsidR="00BC10A5">
        <w:rPr>
          <w:rFonts w:ascii="Calibri" w:hAnsi="Calibri" w:cs="Calibri"/>
        </w:rPr>
        <w:t>related d</w:t>
      </w:r>
      <w:r w:rsidR="005C6880" w:rsidRPr="009A4C7B">
        <w:rPr>
          <w:rFonts w:ascii="Calibri" w:hAnsi="Calibri" w:cs="Calibri"/>
        </w:rPr>
        <w:t xml:space="preserve">ocumentation and artefacts </w:t>
      </w:r>
    </w:p>
    <w:p w14:paraId="713F5738" w14:textId="3826BF73" w:rsidR="00F270DB" w:rsidRPr="009A4C7B" w:rsidRDefault="00966EB3" w:rsidP="008F237D">
      <w:pPr>
        <w:pStyle w:val="ListParagraph"/>
        <w:numPr>
          <w:ilvl w:val="0"/>
          <w:numId w:val="19"/>
        </w:numPr>
        <w:rPr>
          <w:rFonts w:ascii="Calibri" w:hAnsi="Calibri" w:cs="Calibri"/>
        </w:rPr>
      </w:pPr>
      <w:r>
        <w:rPr>
          <w:rFonts w:ascii="Calibri" w:hAnsi="Calibri" w:cs="Calibri"/>
        </w:rPr>
        <w:t>c</w:t>
      </w:r>
      <w:r w:rsidR="005C6880" w:rsidRPr="009A4C7B">
        <w:rPr>
          <w:rFonts w:ascii="Calibri" w:hAnsi="Calibri" w:cs="Calibri"/>
        </w:rPr>
        <w:t xml:space="preserve">onduct structured interviews with </w:t>
      </w:r>
      <w:r w:rsidR="00F63E2A">
        <w:rPr>
          <w:rFonts w:ascii="Calibri" w:hAnsi="Calibri" w:cs="Calibri"/>
        </w:rPr>
        <w:t xml:space="preserve">key </w:t>
      </w:r>
      <w:r w:rsidR="00D576D2">
        <w:rPr>
          <w:rFonts w:ascii="Calibri" w:hAnsi="Calibri" w:cs="Calibri"/>
        </w:rPr>
        <w:t>stakeholders in MMH and H</w:t>
      </w:r>
      <w:r w:rsidR="00C30D58">
        <w:rPr>
          <w:rFonts w:ascii="Calibri" w:hAnsi="Calibri" w:cs="Calibri"/>
        </w:rPr>
        <w:t xml:space="preserve">ealth </w:t>
      </w:r>
      <w:r w:rsidR="00D576D2">
        <w:rPr>
          <w:rFonts w:ascii="Calibri" w:hAnsi="Calibri" w:cs="Calibri"/>
        </w:rPr>
        <w:t>NZ</w:t>
      </w:r>
    </w:p>
    <w:p w14:paraId="2601FA61" w14:textId="1B68FC0F" w:rsidR="00F270DB" w:rsidRPr="009A4C7B" w:rsidRDefault="00966EB3" w:rsidP="008F237D">
      <w:pPr>
        <w:pStyle w:val="ListParagraph"/>
        <w:numPr>
          <w:ilvl w:val="0"/>
          <w:numId w:val="19"/>
        </w:numPr>
        <w:rPr>
          <w:rFonts w:ascii="Calibri" w:hAnsi="Calibri" w:cs="Calibri"/>
        </w:rPr>
      </w:pPr>
      <w:r>
        <w:rPr>
          <w:rFonts w:ascii="Calibri" w:hAnsi="Calibri" w:cs="Calibri"/>
        </w:rPr>
        <w:t>p</w:t>
      </w:r>
      <w:r w:rsidR="005C6880" w:rsidRPr="009A4C7B">
        <w:rPr>
          <w:rFonts w:ascii="Calibri" w:hAnsi="Calibri" w:cs="Calibri"/>
        </w:rPr>
        <w:t>erform technical and architectural analysis</w:t>
      </w:r>
    </w:p>
    <w:p w14:paraId="34EF189B" w14:textId="371A6CB2" w:rsidR="00F270DB" w:rsidRPr="009A4C7B" w:rsidRDefault="00966EB3" w:rsidP="008F237D">
      <w:pPr>
        <w:pStyle w:val="ListParagraph"/>
        <w:numPr>
          <w:ilvl w:val="0"/>
          <w:numId w:val="19"/>
        </w:numPr>
        <w:rPr>
          <w:rFonts w:ascii="Calibri" w:hAnsi="Calibri" w:cs="Calibri"/>
        </w:rPr>
      </w:pPr>
      <w:r>
        <w:rPr>
          <w:rFonts w:ascii="Calibri" w:hAnsi="Calibri" w:cs="Calibri"/>
        </w:rPr>
        <w:t>b</w:t>
      </w:r>
      <w:r w:rsidR="005C6880" w:rsidRPr="009A4C7B">
        <w:rPr>
          <w:rFonts w:ascii="Calibri" w:hAnsi="Calibri" w:cs="Calibri"/>
        </w:rPr>
        <w:t>enchmark MMH practices against sector and international standards</w:t>
      </w:r>
    </w:p>
    <w:p w14:paraId="538FC315" w14:textId="2F33E80A" w:rsidR="00F270DB" w:rsidRPr="009A4C7B" w:rsidRDefault="00966EB3" w:rsidP="008F237D">
      <w:pPr>
        <w:pStyle w:val="ListParagraph"/>
        <w:numPr>
          <w:ilvl w:val="0"/>
          <w:numId w:val="19"/>
        </w:numPr>
        <w:rPr>
          <w:rFonts w:ascii="Calibri" w:hAnsi="Calibri" w:cs="Calibri"/>
        </w:rPr>
      </w:pPr>
      <w:r>
        <w:rPr>
          <w:rFonts w:ascii="Calibri" w:hAnsi="Calibri" w:cs="Calibri"/>
        </w:rPr>
        <w:t>e</w:t>
      </w:r>
      <w:r w:rsidR="005C6880" w:rsidRPr="009A4C7B">
        <w:rPr>
          <w:rFonts w:ascii="Calibri" w:hAnsi="Calibri" w:cs="Calibri"/>
        </w:rPr>
        <w:t xml:space="preserve">ngage with MMH </w:t>
      </w:r>
      <w:r w:rsidR="00BC10A5">
        <w:rPr>
          <w:rFonts w:ascii="Calibri" w:hAnsi="Calibri" w:cs="Calibri"/>
        </w:rPr>
        <w:t>and H</w:t>
      </w:r>
      <w:r w:rsidR="00C30D58">
        <w:rPr>
          <w:rFonts w:ascii="Calibri" w:hAnsi="Calibri" w:cs="Calibri"/>
        </w:rPr>
        <w:t xml:space="preserve">ealth </w:t>
      </w:r>
      <w:r w:rsidR="00BC10A5">
        <w:rPr>
          <w:rFonts w:ascii="Calibri" w:hAnsi="Calibri" w:cs="Calibri"/>
        </w:rPr>
        <w:t>NZ</w:t>
      </w:r>
      <w:r w:rsidR="00E27F0D">
        <w:rPr>
          <w:rFonts w:ascii="Calibri" w:hAnsi="Calibri" w:cs="Calibri"/>
        </w:rPr>
        <w:t xml:space="preserve"> only</w:t>
      </w:r>
      <w:r w:rsidR="00BC10A5">
        <w:rPr>
          <w:rFonts w:ascii="Calibri" w:hAnsi="Calibri" w:cs="Calibri"/>
        </w:rPr>
        <w:t xml:space="preserve"> </w:t>
      </w:r>
      <w:r w:rsidR="005C6880" w:rsidRPr="009A4C7B">
        <w:rPr>
          <w:rFonts w:ascii="Calibri" w:hAnsi="Calibri" w:cs="Calibri"/>
        </w:rPr>
        <w:t>once ongoing response efforts</w:t>
      </w:r>
      <w:r w:rsidR="00E27F0D">
        <w:rPr>
          <w:rFonts w:ascii="Calibri" w:hAnsi="Calibri" w:cs="Calibri"/>
        </w:rPr>
        <w:t xml:space="preserve"> have ended</w:t>
      </w:r>
      <w:r w:rsidR="005C6880" w:rsidRPr="009A4C7B">
        <w:rPr>
          <w:rFonts w:ascii="Calibri" w:hAnsi="Calibri" w:cs="Calibri"/>
        </w:rPr>
        <w:t>.</w:t>
      </w:r>
    </w:p>
    <w:p w14:paraId="4D3BCF20" w14:textId="6D013500" w:rsidR="00F270DB" w:rsidRPr="009A4C7B" w:rsidRDefault="005C6880" w:rsidP="008F237D">
      <w:pPr>
        <w:pStyle w:val="Heading1"/>
        <w:spacing w:before="360" w:after="120"/>
        <w:rPr>
          <w:rFonts w:ascii="Calibri" w:hAnsi="Calibri" w:cs="Calibri"/>
        </w:rPr>
      </w:pPr>
      <w:r w:rsidRPr="009A4C7B">
        <w:rPr>
          <w:rFonts w:ascii="Calibri" w:hAnsi="Calibri" w:cs="Calibri"/>
        </w:rPr>
        <w:t>Deliverables</w:t>
      </w:r>
      <w:r w:rsidR="000B17E7">
        <w:rPr>
          <w:rFonts w:ascii="Calibri" w:hAnsi="Calibri" w:cs="Calibri"/>
        </w:rPr>
        <w:t xml:space="preserve"> </w:t>
      </w:r>
    </w:p>
    <w:p w14:paraId="0A85D7F1" w14:textId="2674BA72" w:rsidR="00F270DB" w:rsidRPr="000B17E7" w:rsidRDefault="005C6880" w:rsidP="000B17E7">
      <w:pPr>
        <w:pStyle w:val="ListParagraph"/>
        <w:numPr>
          <w:ilvl w:val="0"/>
          <w:numId w:val="21"/>
        </w:numPr>
        <w:spacing w:after="120"/>
        <w:ind w:left="714" w:hanging="357"/>
        <w:contextualSpacing w:val="0"/>
        <w:rPr>
          <w:rFonts w:ascii="Calibri" w:hAnsi="Calibri" w:cs="Calibri"/>
        </w:rPr>
      </w:pPr>
      <w:r w:rsidRPr="000B17E7">
        <w:rPr>
          <w:rFonts w:ascii="Calibri" w:hAnsi="Calibri" w:cs="Calibri"/>
          <w:b/>
          <w:bCs/>
        </w:rPr>
        <w:t>Interim Findings Report:</w:t>
      </w:r>
      <w:r w:rsidRPr="000B17E7">
        <w:rPr>
          <w:rFonts w:ascii="Calibri" w:hAnsi="Calibri" w:cs="Calibri"/>
        </w:rPr>
        <w:t xml:space="preserve"> Key issues requiring urgent attention.</w:t>
      </w:r>
    </w:p>
    <w:p w14:paraId="4BB9FFCF" w14:textId="2C477D6B" w:rsidR="00F270DB" w:rsidRPr="000B17E7" w:rsidRDefault="005C6880" w:rsidP="000B17E7">
      <w:pPr>
        <w:pStyle w:val="ListParagraph"/>
        <w:numPr>
          <w:ilvl w:val="0"/>
          <w:numId w:val="21"/>
        </w:numPr>
        <w:spacing w:after="120"/>
        <w:ind w:left="714" w:hanging="357"/>
        <w:contextualSpacing w:val="0"/>
        <w:rPr>
          <w:rFonts w:ascii="Calibri" w:hAnsi="Calibri" w:cs="Calibri"/>
        </w:rPr>
      </w:pPr>
      <w:r w:rsidRPr="000B17E7">
        <w:rPr>
          <w:rFonts w:ascii="Calibri" w:hAnsi="Calibri" w:cs="Calibri"/>
          <w:b/>
          <w:bCs/>
        </w:rPr>
        <w:t>Final Review Report:</w:t>
      </w:r>
      <w:r w:rsidRPr="000B17E7">
        <w:rPr>
          <w:rFonts w:ascii="Calibri" w:hAnsi="Calibri" w:cs="Calibri"/>
        </w:rPr>
        <w:t xml:space="preserve"> Full findings, root cause analysis, assessment of response adequacy, risks, and actionable recommendations</w:t>
      </w:r>
      <w:r w:rsidR="001C4F12">
        <w:rPr>
          <w:rFonts w:ascii="Calibri" w:hAnsi="Calibri" w:cs="Calibri"/>
        </w:rPr>
        <w:t xml:space="preserve"> </w:t>
      </w:r>
      <w:r w:rsidR="001C4F12" w:rsidRPr="009A4C7B">
        <w:rPr>
          <w:rFonts w:ascii="Calibri" w:hAnsi="Calibri" w:cs="Calibri"/>
          <w:lang w:val="en-NZ"/>
        </w:rPr>
        <w:t>to prevent similar incidents</w:t>
      </w:r>
      <w:r w:rsidRPr="000B17E7">
        <w:rPr>
          <w:rFonts w:ascii="Calibri" w:hAnsi="Calibri" w:cs="Calibri"/>
        </w:rPr>
        <w:t>.</w:t>
      </w:r>
    </w:p>
    <w:p w14:paraId="39977813" w14:textId="733AE80B" w:rsidR="00F270DB" w:rsidRPr="009A4C7B" w:rsidRDefault="005C6880" w:rsidP="008F237D">
      <w:pPr>
        <w:pStyle w:val="Heading1"/>
        <w:spacing w:before="360" w:after="120"/>
        <w:rPr>
          <w:rFonts w:ascii="Calibri" w:hAnsi="Calibri" w:cs="Calibri"/>
        </w:rPr>
      </w:pPr>
      <w:r w:rsidRPr="009A4C7B">
        <w:rPr>
          <w:rFonts w:ascii="Calibri" w:hAnsi="Calibri" w:cs="Calibri"/>
        </w:rPr>
        <w:t>Exclusions</w:t>
      </w:r>
    </w:p>
    <w:p w14:paraId="02E63C82" w14:textId="4B77CFC9" w:rsidR="00F270DB" w:rsidRPr="009A4C7B" w:rsidRDefault="00FD6503">
      <w:pPr>
        <w:rPr>
          <w:rFonts w:ascii="Calibri" w:hAnsi="Calibri" w:cs="Calibri"/>
        </w:rPr>
      </w:pPr>
      <w:r>
        <w:rPr>
          <w:rFonts w:ascii="Calibri" w:hAnsi="Calibri" w:cs="Calibri"/>
        </w:rPr>
        <w:t>The review</w:t>
      </w:r>
      <w:r w:rsidR="005C6880" w:rsidRPr="009A4C7B">
        <w:rPr>
          <w:rFonts w:ascii="Calibri" w:hAnsi="Calibri" w:cs="Calibri"/>
        </w:rPr>
        <w:t xml:space="preserve"> does not include:</w:t>
      </w:r>
    </w:p>
    <w:p w14:paraId="12C73ECF" w14:textId="0616A45D" w:rsidR="005C6D67" w:rsidRDefault="00966EB3" w:rsidP="000B17E7">
      <w:pPr>
        <w:pStyle w:val="ListParagraph"/>
        <w:numPr>
          <w:ilvl w:val="0"/>
          <w:numId w:val="19"/>
        </w:numPr>
        <w:rPr>
          <w:rFonts w:ascii="Calibri" w:hAnsi="Calibri" w:cs="Calibri"/>
        </w:rPr>
      </w:pPr>
      <w:r>
        <w:rPr>
          <w:rFonts w:ascii="Calibri" w:hAnsi="Calibri" w:cs="Calibri"/>
        </w:rPr>
        <w:t>t</w:t>
      </w:r>
      <w:r w:rsidR="00812264">
        <w:rPr>
          <w:rFonts w:ascii="Calibri" w:hAnsi="Calibri" w:cs="Calibri"/>
        </w:rPr>
        <w:t xml:space="preserve">he All-of-Government response to the </w:t>
      </w:r>
      <w:r w:rsidR="00E46CE2">
        <w:rPr>
          <w:rFonts w:ascii="Calibri" w:hAnsi="Calibri" w:cs="Calibri"/>
        </w:rPr>
        <w:t>incident</w:t>
      </w:r>
    </w:p>
    <w:p w14:paraId="63AC7DF8" w14:textId="08C9583E" w:rsidR="00ED23A9" w:rsidRPr="009A4C7B" w:rsidRDefault="00966EB3" w:rsidP="000B17E7">
      <w:pPr>
        <w:pStyle w:val="ListParagraph"/>
        <w:numPr>
          <w:ilvl w:val="0"/>
          <w:numId w:val="19"/>
        </w:numPr>
        <w:rPr>
          <w:rFonts w:ascii="Calibri" w:hAnsi="Calibri" w:cs="Calibri"/>
        </w:rPr>
      </w:pPr>
      <w:r>
        <w:rPr>
          <w:rFonts w:ascii="Calibri" w:hAnsi="Calibri" w:cs="Calibri"/>
        </w:rPr>
        <w:t>r</w:t>
      </w:r>
      <w:r w:rsidR="00CF0C1C">
        <w:rPr>
          <w:rFonts w:ascii="Calibri" w:hAnsi="Calibri" w:cs="Calibri"/>
        </w:rPr>
        <w:t>ecommendations for broader sector-wide reforms beyond recommendations directly linked to this incident regarding the security of health data</w:t>
      </w:r>
      <w:r w:rsidR="00BF556A">
        <w:rPr>
          <w:rFonts w:ascii="Calibri" w:hAnsi="Calibri" w:cs="Calibri"/>
        </w:rPr>
        <w:t xml:space="preserve"> (</w:t>
      </w:r>
      <w:r w:rsidR="00843681">
        <w:rPr>
          <w:rFonts w:ascii="Calibri" w:hAnsi="Calibri" w:cs="Calibri"/>
        </w:rPr>
        <w:t>r</w:t>
      </w:r>
      <w:r w:rsidR="00BF556A">
        <w:rPr>
          <w:rFonts w:ascii="Calibri" w:hAnsi="Calibri" w:cs="Calibri"/>
        </w:rPr>
        <w:t>efer to ‘Alignment with other reviews and cross-agency coordination’ section below)</w:t>
      </w:r>
      <w:r w:rsidR="00177B99">
        <w:rPr>
          <w:rFonts w:ascii="Calibri" w:hAnsi="Calibri" w:cs="Calibri"/>
        </w:rPr>
        <w:t>.</w:t>
      </w:r>
    </w:p>
    <w:p w14:paraId="68DE45B3" w14:textId="2B31053D" w:rsidR="00F270DB" w:rsidRPr="009A4C7B" w:rsidRDefault="005C6880" w:rsidP="008F237D">
      <w:pPr>
        <w:pStyle w:val="Heading1"/>
        <w:spacing w:before="360" w:after="120"/>
        <w:rPr>
          <w:rFonts w:ascii="Calibri" w:hAnsi="Calibri" w:cs="Calibri"/>
        </w:rPr>
      </w:pPr>
      <w:r w:rsidRPr="009A4C7B">
        <w:rPr>
          <w:rFonts w:ascii="Calibri" w:hAnsi="Calibri" w:cs="Calibri"/>
        </w:rPr>
        <w:t>Timeframes</w:t>
      </w:r>
    </w:p>
    <w:p w14:paraId="27D25063" w14:textId="334592F3" w:rsidR="008277C6" w:rsidRPr="00E90EF9" w:rsidRDefault="001C4F12">
      <w:pPr>
        <w:rPr>
          <w:rFonts w:ascii="Calibri" w:hAnsi="Calibri" w:cs="Calibri"/>
          <w:b/>
          <w:bCs/>
        </w:rPr>
      </w:pPr>
      <w:r>
        <w:rPr>
          <w:rFonts w:ascii="Calibri" w:hAnsi="Calibri" w:cs="Calibri"/>
        </w:rPr>
        <w:t>The technical assurance element of the review will commence</w:t>
      </w:r>
      <w:r w:rsidR="00843681">
        <w:rPr>
          <w:rFonts w:ascii="Calibri" w:hAnsi="Calibri" w:cs="Calibri"/>
        </w:rPr>
        <w:t xml:space="preserve"> on</w:t>
      </w:r>
      <w:r>
        <w:rPr>
          <w:rFonts w:ascii="Calibri" w:hAnsi="Calibri" w:cs="Calibri"/>
        </w:rPr>
        <w:t xml:space="preserve"> </w:t>
      </w:r>
      <w:r w:rsidR="002F5B64">
        <w:rPr>
          <w:rFonts w:ascii="Calibri" w:hAnsi="Calibri" w:cs="Calibri"/>
          <w:b/>
          <w:bCs/>
        </w:rPr>
        <w:t>30</w:t>
      </w:r>
      <w:r w:rsidR="008277C6" w:rsidRPr="00E90EF9">
        <w:rPr>
          <w:rFonts w:ascii="Calibri" w:hAnsi="Calibri" w:cs="Calibri"/>
          <w:b/>
          <w:bCs/>
        </w:rPr>
        <w:t xml:space="preserve"> January 2026</w:t>
      </w:r>
      <w:r w:rsidR="008277C6">
        <w:rPr>
          <w:rFonts w:ascii="Calibri" w:hAnsi="Calibri" w:cs="Calibri"/>
        </w:rPr>
        <w:t xml:space="preserve"> and </w:t>
      </w:r>
      <w:r w:rsidR="00843681">
        <w:rPr>
          <w:rFonts w:ascii="Calibri" w:hAnsi="Calibri" w:cs="Calibri"/>
        </w:rPr>
        <w:t xml:space="preserve">be </w:t>
      </w:r>
      <w:r w:rsidR="008277C6">
        <w:rPr>
          <w:rFonts w:ascii="Calibri" w:hAnsi="Calibri" w:cs="Calibri"/>
        </w:rPr>
        <w:t xml:space="preserve">completed </w:t>
      </w:r>
      <w:r w:rsidR="008277C6" w:rsidRPr="00E90EF9">
        <w:rPr>
          <w:rFonts w:ascii="Calibri" w:hAnsi="Calibri" w:cs="Calibri"/>
          <w:b/>
          <w:bCs/>
        </w:rPr>
        <w:t xml:space="preserve">by </w:t>
      </w:r>
      <w:r w:rsidR="00E46CE2">
        <w:rPr>
          <w:rFonts w:ascii="Calibri" w:hAnsi="Calibri" w:cs="Calibri"/>
          <w:b/>
          <w:bCs/>
        </w:rPr>
        <w:t>28</w:t>
      </w:r>
      <w:r w:rsidR="008277C6" w:rsidRPr="00E90EF9">
        <w:rPr>
          <w:rFonts w:ascii="Calibri" w:hAnsi="Calibri" w:cs="Calibri"/>
          <w:b/>
          <w:bCs/>
        </w:rPr>
        <w:t xml:space="preserve"> February </w:t>
      </w:r>
      <w:r w:rsidR="00A25EBD" w:rsidRPr="00E90EF9">
        <w:rPr>
          <w:rFonts w:ascii="Calibri" w:hAnsi="Calibri" w:cs="Calibri"/>
          <w:b/>
          <w:bCs/>
        </w:rPr>
        <w:t>2026</w:t>
      </w:r>
      <w:r w:rsidR="005C6880" w:rsidRPr="00E90EF9">
        <w:rPr>
          <w:rFonts w:ascii="Calibri" w:hAnsi="Calibri" w:cs="Calibri"/>
          <w:b/>
          <w:bCs/>
        </w:rPr>
        <w:t xml:space="preserve">. </w:t>
      </w:r>
    </w:p>
    <w:p w14:paraId="3224DFE3" w14:textId="09D3792C" w:rsidR="00F270DB" w:rsidRPr="009A4C7B" w:rsidRDefault="008277C6">
      <w:pPr>
        <w:rPr>
          <w:rFonts w:ascii="Calibri" w:hAnsi="Calibri" w:cs="Calibri"/>
        </w:rPr>
      </w:pPr>
      <w:r>
        <w:rPr>
          <w:rFonts w:ascii="Calibri" w:hAnsi="Calibri" w:cs="Calibri"/>
        </w:rPr>
        <w:t xml:space="preserve">This will inform the other review areas and </w:t>
      </w:r>
      <w:r w:rsidR="00BF556A">
        <w:rPr>
          <w:rFonts w:ascii="Calibri" w:hAnsi="Calibri" w:cs="Calibri"/>
        </w:rPr>
        <w:t xml:space="preserve">expected timeframes, but with final report </w:t>
      </w:r>
      <w:r w:rsidR="00C94481">
        <w:rPr>
          <w:rFonts w:ascii="Calibri" w:hAnsi="Calibri" w:cs="Calibri"/>
        </w:rPr>
        <w:t xml:space="preserve">expected on </w:t>
      </w:r>
      <w:r w:rsidR="0049533E" w:rsidRPr="00177B99">
        <w:rPr>
          <w:rFonts w:ascii="Calibri" w:hAnsi="Calibri" w:cs="Calibri"/>
          <w:b/>
          <w:bCs/>
        </w:rPr>
        <w:t>30</w:t>
      </w:r>
      <w:r w:rsidR="00E90EF9">
        <w:rPr>
          <w:rFonts w:ascii="Calibri" w:hAnsi="Calibri" w:cs="Calibri"/>
        </w:rPr>
        <w:t xml:space="preserve"> </w:t>
      </w:r>
      <w:r w:rsidR="00BF556A" w:rsidRPr="00E90EF9">
        <w:rPr>
          <w:rFonts w:ascii="Calibri" w:hAnsi="Calibri" w:cs="Calibri"/>
          <w:b/>
          <w:bCs/>
        </w:rPr>
        <w:t>April 2026</w:t>
      </w:r>
      <w:r w:rsidR="00E90EF9">
        <w:rPr>
          <w:rFonts w:ascii="Calibri" w:hAnsi="Calibri" w:cs="Calibri"/>
          <w:b/>
          <w:bCs/>
        </w:rPr>
        <w:t xml:space="preserve">, </w:t>
      </w:r>
      <w:r w:rsidR="00E90EF9" w:rsidRPr="00E90EF9">
        <w:rPr>
          <w:rFonts w:ascii="Calibri" w:hAnsi="Calibri" w:cs="Calibri"/>
        </w:rPr>
        <w:t>dependent on interim findings</w:t>
      </w:r>
      <w:r w:rsidR="00BF556A" w:rsidRPr="00E90EF9">
        <w:rPr>
          <w:rFonts w:ascii="Calibri" w:hAnsi="Calibri" w:cs="Calibri"/>
        </w:rPr>
        <w:t xml:space="preserve">. </w:t>
      </w:r>
    </w:p>
    <w:p w14:paraId="4BADC49B" w14:textId="197154BF" w:rsidR="00F270DB" w:rsidRPr="009A4C7B" w:rsidRDefault="005C6880" w:rsidP="008F237D">
      <w:pPr>
        <w:pStyle w:val="Heading1"/>
        <w:spacing w:before="360" w:after="120"/>
        <w:rPr>
          <w:rFonts w:ascii="Calibri" w:hAnsi="Calibri" w:cs="Calibri"/>
        </w:rPr>
      </w:pPr>
      <w:r w:rsidRPr="009A4C7B">
        <w:rPr>
          <w:rFonts w:ascii="Calibri" w:hAnsi="Calibri" w:cs="Calibri"/>
        </w:rPr>
        <w:t xml:space="preserve">Confidentiality and </w:t>
      </w:r>
      <w:r w:rsidR="00C94481">
        <w:rPr>
          <w:rFonts w:ascii="Calibri" w:hAnsi="Calibri" w:cs="Calibri"/>
        </w:rPr>
        <w:t>c</w:t>
      </w:r>
      <w:r w:rsidRPr="009A4C7B">
        <w:rPr>
          <w:rFonts w:ascii="Calibri" w:hAnsi="Calibri" w:cs="Calibri"/>
        </w:rPr>
        <w:t>lassification</w:t>
      </w:r>
    </w:p>
    <w:p w14:paraId="645C508A" w14:textId="6C17C6BF" w:rsidR="00F270DB" w:rsidRDefault="005C6880">
      <w:pPr>
        <w:rPr>
          <w:rFonts w:ascii="Calibri" w:hAnsi="Calibri" w:cs="Calibri"/>
        </w:rPr>
      </w:pPr>
      <w:r w:rsidRPr="009A4C7B">
        <w:rPr>
          <w:rFonts w:ascii="Calibri" w:hAnsi="Calibri" w:cs="Calibri"/>
        </w:rPr>
        <w:t>All materials, discussions, and findings will be handled in accordance with government information security requirements.</w:t>
      </w:r>
      <w:r w:rsidR="00177B99">
        <w:rPr>
          <w:rFonts w:ascii="Calibri" w:hAnsi="Calibri" w:cs="Calibri"/>
        </w:rPr>
        <w:t xml:space="preserve"> I</w:t>
      </w:r>
      <w:r w:rsidRPr="009A4C7B">
        <w:rPr>
          <w:rFonts w:ascii="Calibri" w:hAnsi="Calibri" w:cs="Calibri"/>
        </w:rPr>
        <w:t xml:space="preserve">nformation will be </w:t>
      </w:r>
      <w:r w:rsidR="00C94481">
        <w:rPr>
          <w:rFonts w:ascii="Calibri" w:hAnsi="Calibri" w:cs="Calibri"/>
        </w:rPr>
        <w:t>marked</w:t>
      </w:r>
      <w:r w:rsidR="00C94481" w:rsidRPr="009A4C7B">
        <w:rPr>
          <w:rFonts w:ascii="Calibri" w:hAnsi="Calibri" w:cs="Calibri"/>
        </w:rPr>
        <w:t xml:space="preserve"> </w:t>
      </w:r>
      <w:r w:rsidR="00F80C5C">
        <w:rPr>
          <w:rFonts w:ascii="Calibri" w:hAnsi="Calibri" w:cs="Calibri"/>
        </w:rPr>
        <w:t>with the classification</w:t>
      </w:r>
      <w:r w:rsidR="00F80C5C" w:rsidRPr="009A4C7B">
        <w:rPr>
          <w:rFonts w:ascii="Calibri" w:hAnsi="Calibri" w:cs="Calibri"/>
        </w:rPr>
        <w:t xml:space="preserve"> </w:t>
      </w:r>
      <w:r w:rsidR="00F80C5C">
        <w:rPr>
          <w:rFonts w:ascii="Calibri" w:hAnsi="Calibri" w:cs="Calibri"/>
        </w:rPr>
        <w:t>‘</w:t>
      </w:r>
      <w:r w:rsidRPr="009A4C7B">
        <w:rPr>
          <w:rFonts w:ascii="Calibri" w:hAnsi="Calibri" w:cs="Calibri"/>
        </w:rPr>
        <w:t>In Confidence</w:t>
      </w:r>
      <w:r w:rsidR="00F80C5C">
        <w:rPr>
          <w:rFonts w:ascii="Calibri" w:hAnsi="Calibri" w:cs="Calibri"/>
        </w:rPr>
        <w:t>’</w:t>
      </w:r>
      <w:r w:rsidRPr="009A4C7B">
        <w:rPr>
          <w:rFonts w:ascii="Calibri" w:hAnsi="Calibri" w:cs="Calibri"/>
        </w:rPr>
        <w:t xml:space="preserve"> unless otherwise directed.</w:t>
      </w:r>
    </w:p>
    <w:p w14:paraId="4FB03F69" w14:textId="2B73AAB6" w:rsidR="00A25EBD" w:rsidRPr="009A4C7B" w:rsidRDefault="00E03502" w:rsidP="00A25EBD">
      <w:pPr>
        <w:rPr>
          <w:rFonts w:ascii="Calibri" w:hAnsi="Calibri" w:cs="Calibri"/>
          <w:i/>
          <w:iCs/>
        </w:rPr>
      </w:pPr>
      <w:r>
        <w:rPr>
          <w:rFonts w:ascii="Calibri" w:hAnsi="Calibri" w:cs="Calibri"/>
          <w:i/>
          <w:iCs/>
        </w:rPr>
        <w:t>The Ministry of Health will not be making any</w:t>
      </w:r>
      <w:r w:rsidR="00A25EBD" w:rsidRPr="00E03502">
        <w:rPr>
          <w:rFonts w:ascii="Calibri" w:hAnsi="Calibri" w:cs="Calibri"/>
          <w:i/>
          <w:iCs/>
        </w:rPr>
        <w:t xml:space="preserve"> public comment while the review is underway and </w:t>
      </w:r>
      <w:r>
        <w:rPr>
          <w:rFonts w:ascii="Calibri" w:hAnsi="Calibri" w:cs="Calibri"/>
          <w:i/>
          <w:iCs/>
        </w:rPr>
        <w:t xml:space="preserve">before </w:t>
      </w:r>
      <w:r w:rsidR="00A25EBD" w:rsidRPr="00E03502">
        <w:rPr>
          <w:rFonts w:ascii="Calibri" w:hAnsi="Calibri" w:cs="Calibri"/>
          <w:i/>
          <w:iCs/>
        </w:rPr>
        <w:t>a report has been tabled with the Minister.</w:t>
      </w:r>
    </w:p>
    <w:p w14:paraId="2255C696" w14:textId="77777777" w:rsidR="00A25EBD" w:rsidRPr="009A4C7B" w:rsidRDefault="00A25EBD">
      <w:pPr>
        <w:rPr>
          <w:rFonts w:ascii="Calibri" w:hAnsi="Calibri" w:cs="Calibri"/>
        </w:rPr>
      </w:pPr>
    </w:p>
    <w:p w14:paraId="448A9CFE" w14:textId="5F0DE593" w:rsidR="00F270DB" w:rsidRPr="009A4C7B" w:rsidRDefault="005C6880" w:rsidP="008F237D">
      <w:pPr>
        <w:pStyle w:val="Heading1"/>
        <w:spacing w:before="360" w:after="120"/>
        <w:rPr>
          <w:rFonts w:ascii="Calibri" w:hAnsi="Calibri" w:cs="Calibri"/>
        </w:rPr>
      </w:pPr>
      <w:r w:rsidRPr="009A4C7B">
        <w:rPr>
          <w:rFonts w:ascii="Calibri" w:hAnsi="Calibri" w:cs="Calibri"/>
        </w:rPr>
        <w:lastRenderedPageBreak/>
        <w:t xml:space="preserve">Alignment </w:t>
      </w:r>
      <w:r w:rsidR="00F80C5C">
        <w:rPr>
          <w:rFonts w:ascii="Calibri" w:hAnsi="Calibri" w:cs="Calibri"/>
        </w:rPr>
        <w:t>w</w:t>
      </w:r>
      <w:r w:rsidRPr="009A4C7B">
        <w:rPr>
          <w:rFonts w:ascii="Calibri" w:hAnsi="Calibri" w:cs="Calibri"/>
        </w:rPr>
        <w:t xml:space="preserve">ith </w:t>
      </w:r>
      <w:r w:rsidR="00F80C5C">
        <w:rPr>
          <w:rFonts w:ascii="Calibri" w:hAnsi="Calibri" w:cs="Calibri"/>
        </w:rPr>
        <w:t>o</w:t>
      </w:r>
      <w:r w:rsidRPr="009A4C7B">
        <w:rPr>
          <w:rFonts w:ascii="Calibri" w:hAnsi="Calibri" w:cs="Calibri"/>
        </w:rPr>
        <w:t xml:space="preserve">ther </w:t>
      </w:r>
      <w:r w:rsidR="00F80C5C">
        <w:rPr>
          <w:rFonts w:ascii="Calibri" w:hAnsi="Calibri" w:cs="Calibri"/>
        </w:rPr>
        <w:t>r</w:t>
      </w:r>
      <w:r w:rsidRPr="009A4C7B">
        <w:rPr>
          <w:rFonts w:ascii="Calibri" w:hAnsi="Calibri" w:cs="Calibri"/>
        </w:rPr>
        <w:t xml:space="preserve">eviews and </w:t>
      </w:r>
      <w:r w:rsidR="00F80C5C">
        <w:rPr>
          <w:rFonts w:ascii="Calibri" w:hAnsi="Calibri" w:cs="Calibri"/>
        </w:rPr>
        <w:t>c</w:t>
      </w:r>
      <w:r w:rsidRPr="009A4C7B">
        <w:rPr>
          <w:rFonts w:ascii="Calibri" w:hAnsi="Calibri" w:cs="Calibri"/>
        </w:rPr>
        <w:t>ross</w:t>
      </w:r>
      <w:r w:rsidRPr="008F237D">
        <w:rPr>
          <w:rFonts w:ascii="Cambria Math" w:hAnsi="Cambria Math" w:cs="Cambria Math"/>
        </w:rPr>
        <w:t>‑</w:t>
      </w:r>
      <w:r w:rsidR="00F80C5C">
        <w:rPr>
          <w:rFonts w:ascii="Calibri" w:hAnsi="Calibri" w:cs="Calibri"/>
        </w:rPr>
        <w:t>a</w:t>
      </w:r>
      <w:r w:rsidRPr="009A4C7B">
        <w:rPr>
          <w:rFonts w:ascii="Calibri" w:hAnsi="Calibri" w:cs="Calibri"/>
        </w:rPr>
        <w:t xml:space="preserve">gency </w:t>
      </w:r>
      <w:r w:rsidR="00F80C5C">
        <w:rPr>
          <w:rFonts w:ascii="Calibri" w:hAnsi="Calibri" w:cs="Calibri"/>
        </w:rPr>
        <w:t>c</w:t>
      </w:r>
      <w:r w:rsidRPr="009A4C7B">
        <w:rPr>
          <w:rFonts w:ascii="Calibri" w:hAnsi="Calibri" w:cs="Calibri"/>
        </w:rPr>
        <w:t>oordination</w:t>
      </w:r>
    </w:p>
    <w:p w14:paraId="14B59478" w14:textId="59E828A1" w:rsidR="00F270DB" w:rsidRPr="009A4C7B" w:rsidRDefault="0027166C">
      <w:pPr>
        <w:rPr>
          <w:rFonts w:ascii="Calibri" w:hAnsi="Calibri" w:cs="Calibri"/>
        </w:rPr>
      </w:pPr>
      <w:r>
        <w:rPr>
          <w:rFonts w:ascii="Calibri" w:hAnsi="Calibri" w:cs="Calibri"/>
        </w:rPr>
        <w:t>Other</w:t>
      </w:r>
      <w:r w:rsidRPr="009A4C7B">
        <w:rPr>
          <w:rFonts w:ascii="Calibri" w:hAnsi="Calibri" w:cs="Calibri"/>
        </w:rPr>
        <w:t xml:space="preserve"> </w:t>
      </w:r>
      <w:r w:rsidR="005C6880" w:rsidRPr="009A4C7B">
        <w:rPr>
          <w:rFonts w:ascii="Calibri" w:hAnsi="Calibri" w:cs="Calibri"/>
        </w:rPr>
        <w:t xml:space="preserve">parallel reviews and </w:t>
      </w:r>
      <w:r w:rsidR="00E03502">
        <w:rPr>
          <w:rFonts w:ascii="Calibri" w:hAnsi="Calibri" w:cs="Calibri"/>
        </w:rPr>
        <w:t>investigations</w:t>
      </w:r>
      <w:r w:rsidR="005C6880" w:rsidRPr="009A4C7B">
        <w:rPr>
          <w:rFonts w:ascii="Calibri" w:hAnsi="Calibri" w:cs="Calibri"/>
        </w:rPr>
        <w:t xml:space="preserve"> related to the MMH incident are underway or anticipated, led by other</w:t>
      </w:r>
      <w:r>
        <w:rPr>
          <w:rFonts w:ascii="Calibri" w:hAnsi="Calibri" w:cs="Calibri"/>
        </w:rPr>
        <w:t xml:space="preserve"> agencies</w:t>
      </w:r>
      <w:r w:rsidR="005C6880" w:rsidRPr="009A4C7B">
        <w:rPr>
          <w:rFonts w:ascii="Calibri" w:hAnsi="Calibri" w:cs="Calibri"/>
        </w:rPr>
        <w:t>. Coordination is required to:</w:t>
      </w:r>
    </w:p>
    <w:p w14:paraId="031EB218" w14:textId="2DDEEC8A" w:rsidR="0034525B" w:rsidRPr="0034525B" w:rsidRDefault="00F80C5C" w:rsidP="0034525B">
      <w:pPr>
        <w:pStyle w:val="ListParagraph"/>
        <w:numPr>
          <w:ilvl w:val="0"/>
          <w:numId w:val="19"/>
        </w:numPr>
        <w:spacing w:after="0" w:line="300" w:lineRule="atLeast"/>
        <w:rPr>
          <w:rFonts w:ascii="Segoe UI" w:eastAsia="Times New Roman" w:hAnsi="Segoe UI" w:cs="Segoe UI"/>
          <w:sz w:val="21"/>
          <w:szCs w:val="21"/>
          <w:lang w:val="en-NZ" w:eastAsia="en-NZ"/>
        </w:rPr>
      </w:pPr>
      <w:r>
        <w:rPr>
          <w:rFonts w:ascii="Segoe UI" w:eastAsia="Times New Roman" w:hAnsi="Segoe UI" w:cs="Segoe UI"/>
          <w:sz w:val="21"/>
          <w:szCs w:val="21"/>
          <w:lang w:val="en-NZ" w:eastAsia="en-NZ"/>
        </w:rPr>
        <w:t>m</w:t>
      </w:r>
      <w:r w:rsidR="0034525B" w:rsidRPr="0034525B">
        <w:rPr>
          <w:rFonts w:ascii="Segoe UI" w:eastAsia="Times New Roman" w:hAnsi="Segoe UI" w:cs="Segoe UI"/>
          <w:sz w:val="21"/>
          <w:szCs w:val="21"/>
          <w:lang w:val="en-NZ" w:eastAsia="en-NZ"/>
        </w:rPr>
        <w:t>inimise unnecessary duplication where possible and support alignment of findings, noting that some overlap may be unavoidable</w:t>
      </w:r>
    </w:p>
    <w:p w14:paraId="123C6732" w14:textId="408A0CB6" w:rsidR="0034525B" w:rsidRPr="0034525B" w:rsidRDefault="00F80C5C" w:rsidP="0034525B">
      <w:pPr>
        <w:pStyle w:val="ListParagraph"/>
        <w:numPr>
          <w:ilvl w:val="0"/>
          <w:numId w:val="19"/>
        </w:numPr>
        <w:spacing w:after="0" w:line="300" w:lineRule="atLeast"/>
        <w:rPr>
          <w:rFonts w:ascii="Segoe UI" w:eastAsia="Times New Roman" w:hAnsi="Segoe UI" w:cs="Segoe UI"/>
          <w:sz w:val="21"/>
          <w:szCs w:val="21"/>
          <w:lang w:val="en-NZ" w:eastAsia="en-NZ"/>
        </w:rPr>
      </w:pPr>
      <w:r>
        <w:rPr>
          <w:rFonts w:ascii="Segoe UI" w:eastAsia="Times New Roman" w:hAnsi="Segoe UI" w:cs="Segoe UI"/>
          <w:sz w:val="21"/>
          <w:szCs w:val="21"/>
          <w:lang w:val="en-NZ" w:eastAsia="en-NZ"/>
        </w:rPr>
        <w:t>r</w:t>
      </w:r>
      <w:r w:rsidR="0034525B" w:rsidRPr="0034525B">
        <w:rPr>
          <w:rFonts w:ascii="Segoe UI" w:eastAsia="Times New Roman" w:hAnsi="Segoe UI" w:cs="Segoe UI"/>
          <w:sz w:val="21"/>
          <w:szCs w:val="21"/>
          <w:lang w:val="en-NZ" w:eastAsia="en-NZ"/>
        </w:rPr>
        <w:t>educe the burden on H</w:t>
      </w:r>
      <w:r w:rsidR="00C30D58">
        <w:rPr>
          <w:rFonts w:ascii="Segoe UI" w:eastAsia="Times New Roman" w:hAnsi="Segoe UI" w:cs="Segoe UI"/>
          <w:sz w:val="21"/>
          <w:szCs w:val="21"/>
          <w:lang w:val="en-NZ" w:eastAsia="en-NZ"/>
        </w:rPr>
        <w:t xml:space="preserve">ealth </w:t>
      </w:r>
      <w:r w:rsidR="0034525B" w:rsidRPr="0034525B">
        <w:rPr>
          <w:rFonts w:ascii="Segoe UI" w:eastAsia="Times New Roman" w:hAnsi="Segoe UI" w:cs="Segoe UI"/>
          <w:sz w:val="21"/>
          <w:szCs w:val="21"/>
          <w:lang w:val="en-NZ" w:eastAsia="en-NZ"/>
        </w:rPr>
        <w:t>NZ and MMH who may need to engage with multiple review bodies</w:t>
      </w:r>
    </w:p>
    <w:p w14:paraId="66D22136" w14:textId="7FC8419C" w:rsidR="0034525B" w:rsidRPr="0034525B" w:rsidRDefault="00F80C5C" w:rsidP="0034525B">
      <w:pPr>
        <w:pStyle w:val="ListParagraph"/>
        <w:numPr>
          <w:ilvl w:val="0"/>
          <w:numId w:val="19"/>
        </w:numPr>
        <w:spacing w:after="0" w:line="300" w:lineRule="atLeast"/>
        <w:rPr>
          <w:rFonts w:ascii="Segoe UI" w:eastAsia="Times New Roman" w:hAnsi="Segoe UI" w:cs="Segoe UI"/>
          <w:sz w:val="21"/>
          <w:szCs w:val="21"/>
          <w:lang w:val="en-NZ" w:eastAsia="en-NZ"/>
        </w:rPr>
      </w:pPr>
      <w:r>
        <w:rPr>
          <w:rFonts w:ascii="Segoe UI" w:eastAsia="Times New Roman" w:hAnsi="Segoe UI" w:cs="Segoe UI"/>
          <w:sz w:val="21"/>
          <w:szCs w:val="21"/>
          <w:lang w:val="en-NZ" w:eastAsia="en-NZ"/>
        </w:rPr>
        <w:t>e</w:t>
      </w:r>
      <w:r w:rsidR="0034525B" w:rsidRPr="0034525B">
        <w:rPr>
          <w:rFonts w:ascii="Segoe UI" w:eastAsia="Times New Roman" w:hAnsi="Segoe UI" w:cs="Segoe UI"/>
          <w:sz w:val="21"/>
          <w:szCs w:val="21"/>
          <w:lang w:val="en-NZ" w:eastAsia="en-NZ"/>
        </w:rPr>
        <w:t>nsure assumptions, data sources, and timelines are appropriately aligned across the various pieces of work</w:t>
      </w:r>
    </w:p>
    <w:p w14:paraId="00CD5694" w14:textId="2BC6107A" w:rsidR="0034525B" w:rsidRPr="0034525B" w:rsidRDefault="00F80C5C" w:rsidP="0034525B">
      <w:pPr>
        <w:pStyle w:val="ListParagraph"/>
        <w:numPr>
          <w:ilvl w:val="0"/>
          <w:numId w:val="19"/>
        </w:numPr>
        <w:spacing w:after="0" w:line="300" w:lineRule="atLeast"/>
        <w:rPr>
          <w:rFonts w:ascii="Segoe UI" w:eastAsia="Times New Roman" w:hAnsi="Segoe UI" w:cs="Segoe UI"/>
          <w:sz w:val="21"/>
          <w:szCs w:val="21"/>
          <w:lang w:val="en-NZ" w:eastAsia="en-NZ"/>
        </w:rPr>
      </w:pPr>
      <w:r>
        <w:rPr>
          <w:rFonts w:ascii="Segoe UI" w:eastAsia="Times New Roman" w:hAnsi="Segoe UI" w:cs="Segoe UI"/>
          <w:sz w:val="21"/>
          <w:szCs w:val="21"/>
          <w:lang w:val="en-NZ" w:eastAsia="en-NZ"/>
        </w:rPr>
        <w:t>s</w:t>
      </w:r>
      <w:r w:rsidR="0034525B" w:rsidRPr="0034525B">
        <w:rPr>
          <w:rFonts w:ascii="Segoe UI" w:eastAsia="Times New Roman" w:hAnsi="Segoe UI" w:cs="Segoe UI"/>
          <w:sz w:val="21"/>
          <w:szCs w:val="21"/>
          <w:lang w:val="en-NZ" w:eastAsia="en-NZ"/>
        </w:rPr>
        <w:t>hare insights and leverage relevant findings from other reviews, while still maintaining the required independence of each review.</w:t>
      </w:r>
    </w:p>
    <w:p w14:paraId="27C4E4BB" w14:textId="77777777" w:rsidR="008345F8" w:rsidRDefault="008345F8">
      <w:pPr>
        <w:rPr>
          <w:rFonts w:ascii="Calibri" w:hAnsi="Calibri" w:cs="Calibri"/>
        </w:rPr>
      </w:pPr>
    </w:p>
    <w:p w14:paraId="4C484910" w14:textId="77777777" w:rsidR="00655C87" w:rsidRPr="00996088" w:rsidRDefault="00655C87" w:rsidP="00996088">
      <w:pPr>
        <w:pStyle w:val="Heading1"/>
        <w:spacing w:before="360" w:after="120"/>
        <w:rPr>
          <w:rFonts w:ascii="Calibri" w:hAnsi="Calibri" w:cs="Calibri"/>
        </w:rPr>
      </w:pPr>
      <w:r w:rsidRPr="00996088">
        <w:rPr>
          <w:rFonts w:ascii="Calibri" w:hAnsi="Calibri" w:cs="Calibri"/>
        </w:rPr>
        <w:t>Privacy Commissioner Independent Inquiry</w:t>
      </w:r>
    </w:p>
    <w:p w14:paraId="1867595C" w14:textId="77777777" w:rsidR="00655C87" w:rsidRDefault="00655C87" w:rsidP="00655C87">
      <w:pPr>
        <w:rPr>
          <w:rFonts w:ascii="Calibri" w:hAnsi="Calibri" w:cs="Calibri"/>
        </w:rPr>
      </w:pPr>
      <w:r w:rsidRPr="00996088">
        <w:rPr>
          <w:rFonts w:ascii="Calibri" w:hAnsi="Calibri" w:cs="Calibri"/>
        </w:rPr>
        <w:t>The Privacy Commissioner has announced that he will be carrying out an independent Inquiry under s17(1)(</w:t>
      </w:r>
      <w:proofErr w:type="spellStart"/>
      <w:r w:rsidRPr="00996088">
        <w:rPr>
          <w:rFonts w:ascii="Calibri" w:hAnsi="Calibri" w:cs="Calibri"/>
        </w:rPr>
        <w:t>i</w:t>
      </w:r>
      <w:proofErr w:type="spellEnd"/>
      <w:r w:rsidRPr="00996088">
        <w:rPr>
          <w:rFonts w:ascii="Calibri" w:hAnsi="Calibri" w:cs="Calibri"/>
        </w:rPr>
        <w:t xml:space="preserve">) into the cyber incident affecting MMH. </w:t>
      </w:r>
    </w:p>
    <w:p w14:paraId="2D82BCC9" w14:textId="234A8920" w:rsidR="00655C87" w:rsidRDefault="00655C87" w:rsidP="00655C87">
      <w:pPr>
        <w:rPr>
          <w:rFonts w:ascii="Calibri" w:hAnsi="Calibri" w:cs="Calibri"/>
        </w:rPr>
      </w:pPr>
      <w:bookmarkStart w:id="0" w:name="_Hlk219981187"/>
      <w:r w:rsidRPr="00996088">
        <w:rPr>
          <w:rFonts w:ascii="Calibri" w:hAnsi="Calibri" w:cs="Calibri"/>
        </w:rPr>
        <w:t xml:space="preserve">The Privacy Commissioner regulates the health sector’s collection, use and management of personal health information.  </w:t>
      </w:r>
      <w:bookmarkEnd w:id="0"/>
      <w:r w:rsidRPr="00996088">
        <w:rPr>
          <w:rFonts w:ascii="Calibri" w:hAnsi="Calibri" w:cs="Calibri"/>
        </w:rPr>
        <w:t xml:space="preserve">The purpose of the independent Inquiry is to establish the circumstances of the cyber security breach, the impacts on affected individuals, compliance with relevant standards and compliance with the Privacy Act. </w:t>
      </w:r>
      <w:bookmarkStart w:id="1" w:name="_Hlk219969873"/>
      <w:r w:rsidRPr="00996088">
        <w:rPr>
          <w:rFonts w:ascii="Calibri" w:hAnsi="Calibri" w:cs="Calibri"/>
        </w:rPr>
        <w:t>This includes the policy, contractual, and governance arrangements in place at the time of the breach between MMH, H</w:t>
      </w:r>
      <w:r w:rsidR="00843681">
        <w:rPr>
          <w:rFonts w:ascii="Calibri" w:hAnsi="Calibri" w:cs="Calibri"/>
        </w:rPr>
        <w:t xml:space="preserve">ealth </w:t>
      </w:r>
      <w:r w:rsidRPr="00996088">
        <w:rPr>
          <w:rFonts w:ascii="Calibri" w:hAnsi="Calibri" w:cs="Calibri"/>
        </w:rPr>
        <w:t xml:space="preserve">NZ, primary care providers, Primary Health </w:t>
      </w:r>
      <w:proofErr w:type="spellStart"/>
      <w:r w:rsidRPr="00996088">
        <w:rPr>
          <w:rFonts w:ascii="Calibri" w:hAnsi="Calibri" w:cs="Calibri"/>
        </w:rPr>
        <w:t>Organisations</w:t>
      </w:r>
      <w:proofErr w:type="spellEnd"/>
      <w:r w:rsidRPr="00996088">
        <w:rPr>
          <w:rFonts w:ascii="Calibri" w:hAnsi="Calibri" w:cs="Calibri"/>
        </w:rPr>
        <w:t xml:space="preserve">, and other health sector agencies. </w:t>
      </w:r>
      <w:bookmarkEnd w:id="1"/>
      <w:r w:rsidRPr="00996088">
        <w:rPr>
          <w:rFonts w:ascii="Calibri" w:hAnsi="Calibri" w:cs="Calibri"/>
        </w:rPr>
        <w:t xml:space="preserve">The Privacy Commissioner’s Inquiry powers include the power to summon persons and to require information and documents.  </w:t>
      </w:r>
    </w:p>
    <w:p w14:paraId="6FCC4884" w14:textId="02570CEA" w:rsidR="00655C87" w:rsidRPr="00996088" w:rsidRDefault="00655C87" w:rsidP="00655C87">
      <w:pPr>
        <w:rPr>
          <w:rFonts w:ascii="Calibri" w:hAnsi="Calibri" w:cs="Calibri"/>
        </w:rPr>
      </w:pPr>
      <w:r w:rsidRPr="00996088">
        <w:rPr>
          <w:rFonts w:ascii="Calibri" w:hAnsi="Calibri" w:cs="Calibri"/>
        </w:rPr>
        <w:t>The Privacy Commissioner’s Inquiry will be independent of</w:t>
      </w:r>
      <w:r w:rsidR="00843681">
        <w:rPr>
          <w:rFonts w:ascii="Calibri" w:hAnsi="Calibri" w:cs="Calibri"/>
        </w:rPr>
        <w:t>,</w:t>
      </w:r>
      <w:r w:rsidRPr="00996088">
        <w:rPr>
          <w:rFonts w:ascii="Calibri" w:hAnsi="Calibri" w:cs="Calibri"/>
        </w:rPr>
        <w:t xml:space="preserve"> but able to draw from</w:t>
      </w:r>
      <w:r w:rsidR="00843681">
        <w:rPr>
          <w:rFonts w:ascii="Calibri" w:hAnsi="Calibri" w:cs="Calibri"/>
        </w:rPr>
        <w:t>,</w:t>
      </w:r>
      <w:r w:rsidRPr="00996088">
        <w:rPr>
          <w:rFonts w:ascii="Calibri" w:hAnsi="Calibri" w:cs="Calibri"/>
        </w:rPr>
        <w:t xml:space="preserve"> any reviews or investigations that have information pertinent to his lines of inquiry. The Inquiry will inform the Commissioner’s advisory or compliance actions, decisions regarding investigation and conciliation of complaints from individuals or their representatives, and recommendations for improvement at the agency, sector and system level.  </w:t>
      </w:r>
    </w:p>
    <w:p w14:paraId="37234AF4" w14:textId="3E6272CA" w:rsidR="008345F8" w:rsidRPr="009A4C7B" w:rsidRDefault="008345F8" w:rsidP="00965E59">
      <w:pPr>
        <w:rPr>
          <w:rFonts w:ascii="Calibri" w:hAnsi="Calibri" w:cs="Calibri"/>
          <w:i/>
          <w:iCs/>
        </w:rPr>
      </w:pPr>
    </w:p>
    <w:sectPr w:rsidR="008345F8" w:rsidRPr="009A4C7B" w:rsidSect="002A1691">
      <w:headerReference w:type="default" r:id="rId8"/>
      <w:footerReference w:type="default" r:id="rId9"/>
      <w:pgSz w:w="12240" w:h="15840"/>
      <w:pgMar w:top="1440" w:right="1325"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8C91" w14:textId="77777777" w:rsidR="00366A7E" w:rsidRDefault="00366A7E" w:rsidP="000D1FA6">
      <w:pPr>
        <w:spacing w:after="0" w:line="240" w:lineRule="auto"/>
      </w:pPr>
      <w:r>
        <w:separator/>
      </w:r>
    </w:p>
  </w:endnote>
  <w:endnote w:type="continuationSeparator" w:id="0">
    <w:p w14:paraId="11C2FBFA" w14:textId="77777777" w:rsidR="00366A7E" w:rsidRDefault="00366A7E" w:rsidP="000D1FA6">
      <w:pPr>
        <w:spacing w:after="0" w:line="240" w:lineRule="auto"/>
      </w:pPr>
      <w:r>
        <w:continuationSeparator/>
      </w:r>
    </w:p>
  </w:endnote>
  <w:endnote w:type="continuationNotice" w:id="1">
    <w:p w14:paraId="195825C2" w14:textId="77777777" w:rsidR="00366A7E" w:rsidRDefault="0036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10597"/>
      <w:docPartObj>
        <w:docPartGallery w:val="Page Numbers (Bottom of Page)"/>
        <w:docPartUnique/>
      </w:docPartObj>
    </w:sdtPr>
    <w:sdtEndPr>
      <w:rPr>
        <w:rFonts w:asciiTheme="majorHAnsi" w:hAnsiTheme="majorHAnsi" w:cstheme="majorHAnsi"/>
        <w:noProof/>
      </w:rPr>
    </w:sdtEndPr>
    <w:sdtContent>
      <w:p w14:paraId="0C554F19" w14:textId="5A08F2B7" w:rsidR="00146229" w:rsidRPr="00883D25" w:rsidRDefault="00146229">
        <w:pPr>
          <w:pStyle w:val="Footer"/>
          <w:jc w:val="right"/>
          <w:rPr>
            <w:rFonts w:asciiTheme="majorHAnsi" w:hAnsiTheme="majorHAnsi" w:cstheme="majorHAnsi"/>
          </w:rPr>
        </w:pPr>
        <w:r w:rsidRPr="00883D25">
          <w:rPr>
            <w:rFonts w:asciiTheme="majorHAnsi" w:hAnsiTheme="majorHAnsi" w:cstheme="majorHAnsi"/>
          </w:rPr>
          <w:fldChar w:fldCharType="begin"/>
        </w:r>
        <w:r w:rsidRPr="00883D25">
          <w:rPr>
            <w:rFonts w:asciiTheme="majorHAnsi" w:hAnsiTheme="majorHAnsi" w:cstheme="majorHAnsi"/>
          </w:rPr>
          <w:instrText xml:space="preserve"> PAGE   \* MERGEFORMAT </w:instrText>
        </w:r>
        <w:r w:rsidRPr="00883D25">
          <w:rPr>
            <w:rFonts w:asciiTheme="majorHAnsi" w:hAnsiTheme="majorHAnsi" w:cstheme="majorHAnsi"/>
          </w:rPr>
          <w:fldChar w:fldCharType="separate"/>
        </w:r>
        <w:r w:rsidRPr="00883D25">
          <w:rPr>
            <w:rFonts w:asciiTheme="majorHAnsi" w:hAnsiTheme="majorHAnsi" w:cstheme="majorHAnsi"/>
            <w:noProof/>
          </w:rPr>
          <w:t>2</w:t>
        </w:r>
        <w:r w:rsidRPr="00883D25">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4D34" w14:textId="77777777" w:rsidR="00366A7E" w:rsidRDefault="00366A7E" w:rsidP="000D1FA6">
      <w:pPr>
        <w:spacing w:after="0" w:line="240" w:lineRule="auto"/>
      </w:pPr>
      <w:r>
        <w:separator/>
      </w:r>
    </w:p>
  </w:footnote>
  <w:footnote w:type="continuationSeparator" w:id="0">
    <w:p w14:paraId="349F91CF" w14:textId="77777777" w:rsidR="00366A7E" w:rsidRDefault="00366A7E" w:rsidP="000D1FA6">
      <w:pPr>
        <w:spacing w:after="0" w:line="240" w:lineRule="auto"/>
      </w:pPr>
      <w:r>
        <w:continuationSeparator/>
      </w:r>
    </w:p>
  </w:footnote>
  <w:footnote w:type="continuationNotice" w:id="1">
    <w:p w14:paraId="4743BD49" w14:textId="77777777" w:rsidR="00366A7E" w:rsidRDefault="00366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782E" w14:textId="6BD42FBC" w:rsidR="000D1FA6" w:rsidRPr="00A86407" w:rsidRDefault="000D1FA6" w:rsidP="00A86407">
    <w:pPr>
      <w:pStyle w:val="Header"/>
      <w:jc w:val="center"/>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4732F"/>
    <w:multiLevelType w:val="multilevel"/>
    <w:tmpl w:val="4B00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B51ACA"/>
    <w:multiLevelType w:val="hybridMultilevel"/>
    <w:tmpl w:val="C360C436"/>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ABB5F95"/>
    <w:multiLevelType w:val="hybridMultilevel"/>
    <w:tmpl w:val="2812C354"/>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AE64B5E"/>
    <w:multiLevelType w:val="hybridMultilevel"/>
    <w:tmpl w:val="525A9D60"/>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7F84B93"/>
    <w:multiLevelType w:val="hybridMultilevel"/>
    <w:tmpl w:val="18EA170E"/>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C03AFF"/>
    <w:multiLevelType w:val="hybridMultilevel"/>
    <w:tmpl w:val="16646AC6"/>
    <w:lvl w:ilvl="0" w:tplc="46F0F6C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F53BD7"/>
    <w:multiLevelType w:val="hybridMultilevel"/>
    <w:tmpl w:val="A4A01BB4"/>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ED025D"/>
    <w:multiLevelType w:val="hybridMultilevel"/>
    <w:tmpl w:val="CAC0AA3C"/>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CF3992"/>
    <w:multiLevelType w:val="hybridMultilevel"/>
    <w:tmpl w:val="CB782F8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60562BE"/>
    <w:multiLevelType w:val="hybridMultilevel"/>
    <w:tmpl w:val="7940091C"/>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46480C"/>
    <w:multiLevelType w:val="multilevel"/>
    <w:tmpl w:val="435EE914"/>
    <w:lvl w:ilvl="0">
      <w:start w:val="1"/>
      <w:numFmt w:val="decimal"/>
      <w:pStyle w:val="RecLevel1-MOH"/>
      <w:lvlText w:val="%1"/>
      <w:lvlJc w:val="left"/>
      <w:pPr>
        <w:ind w:left="3195" w:hanging="360"/>
      </w:pPr>
      <w:rPr>
        <w:rFonts w:hint="default"/>
      </w:rPr>
    </w:lvl>
    <w:lvl w:ilvl="1">
      <w:start w:val="1"/>
      <w:numFmt w:val="decimal"/>
      <w:pStyle w:val="RecLevel2-MOH"/>
      <w:lvlText w:val="%1.%2"/>
      <w:lvlJc w:val="left"/>
      <w:pPr>
        <w:ind w:left="858" w:hanging="432"/>
      </w:pPr>
      <w:rPr>
        <w:rFonts w:hint="default"/>
      </w:rPr>
    </w:lvl>
    <w:lvl w:ilvl="2">
      <w:start w:val="1"/>
      <w:numFmt w:val="decimal"/>
      <w:lvlText w:val="%1.%2.%3"/>
      <w:lvlJc w:val="left"/>
      <w:pPr>
        <w:ind w:left="4059" w:hanging="504"/>
      </w:pPr>
      <w:rPr>
        <w:rFonts w:hint="default"/>
      </w:rPr>
    </w:lvl>
    <w:lvl w:ilvl="3">
      <w:start w:val="1"/>
      <w:numFmt w:val="decimal"/>
      <w:lvlText w:val="%1.%2.%3.%4"/>
      <w:lvlJc w:val="left"/>
      <w:pPr>
        <w:ind w:left="4563" w:hanging="648"/>
      </w:pPr>
      <w:rPr>
        <w:rFonts w:hint="default"/>
      </w:rPr>
    </w:lvl>
    <w:lvl w:ilvl="4">
      <w:start w:val="1"/>
      <w:numFmt w:val="decimal"/>
      <w:lvlText w:val="%1.%2.%3.%4.%5."/>
      <w:lvlJc w:val="left"/>
      <w:pPr>
        <w:ind w:left="5067" w:hanging="792"/>
      </w:pPr>
      <w:rPr>
        <w:rFonts w:hint="default"/>
      </w:rPr>
    </w:lvl>
    <w:lvl w:ilvl="5">
      <w:start w:val="1"/>
      <w:numFmt w:val="decimal"/>
      <w:lvlText w:val="%1.%2.%3.%4.%5.%6"/>
      <w:lvlJc w:val="left"/>
      <w:pPr>
        <w:ind w:left="5571" w:hanging="936"/>
      </w:pPr>
      <w:rPr>
        <w:rFonts w:hint="default"/>
      </w:rPr>
    </w:lvl>
    <w:lvl w:ilvl="6">
      <w:start w:val="1"/>
      <w:numFmt w:val="decimal"/>
      <w:lvlText w:val="%1.%2.%3.%4.%5.%6.%7."/>
      <w:lvlJc w:val="left"/>
      <w:pPr>
        <w:ind w:left="6075" w:hanging="1080"/>
      </w:pPr>
      <w:rPr>
        <w:rFonts w:hint="default"/>
      </w:rPr>
    </w:lvl>
    <w:lvl w:ilvl="7">
      <w:start w:val="1"/>
      <w:numFmt w:val="decimal"/>
      <w:lvlText w:val="%1.%2.%3.%4.%5.%6.%7.%8."/>
      <w:lvlJc w:val="left"/>
      <w:pPr>
        <w:ind w:left="6579" w:hanging="1224"/>
      </w:pPr>
      <w:rPr>
        <w:rFonts w:hint="default"/>
      </w:rPr>
    </w:lvl>
    <w:lvl w:ilvl="8">
      <w:start w:val="1"/>
      <w:numFmt w:val="decimal"/>
      <w:lvlText w:val="%1.%2.%3.%4.%5.%6.%7.%8.%9."/>
      <w:lvlJc w:val="left"/>
      <w:pPr>
        <w:ind w:left="7155" w:hanging="1440"/>
      </w:pPr>
      <w:rPr>
        <w:rFonts w:hint="default"/>
      </w:rPr>
    </w:lvl>
  </w:abstractNum>
  <w:abstractNum w:abstractNumId="20" w15:restartNumberingAfterBreak="0">
    <w:nsid w:val="5F603D5C"/>
    <w:multiLevelType w:val="hybridMultilevel"/>
    <w:tmpl w:val="7BCA68A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BD1AFF"/>
    <w:multiLevelType w:val="hybridMultilevel"/>
    <w:tmpl w:val="9F7A770E"/>
    <w:lvl w:ilvl="0" w:tplc="676629D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041869"/>
    <w:multiLevelType w:val="hybridMultilevel"/>
    <w:tmpl w:val="34CE1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6305FFB"/>
    <w:multiLevelType w:val="hybridMultilevel"/>
    <w:tmpl w:val="A4A01BB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721568">
    <w:abstractNumId w:val="8"/>
  </w:num>
  <w:num w:numId="2" w16cid:durableId="1863667755">
    <w:abstractNumId w:val="6"/>
  </w:num>
  <w:num w:numId="3" w16cid:durableId="1226143858">
    <w:abstractNumId w:val="5"/>
  </w:num>
  <w:num w:numId="4" w16cid:durableId="633680519">
    <w:abstractNumId w:val="4"/>
  </w:num>
  <w:num w:numId="5" w16cid:durableId="330641591">
    <w:abstractNumId w:val="7"/>
  </w:num>
  <w:num w:numId="6" w16cid:durableId="448359856">
    <w:abstractNumId w:val="3"/>
  </w:num>
  <w:num w:numId="7" w16cid:durableId="376200518">
    <w:abstractNumId w:val="2"/>
  </w:num>
  <w:num w:numId="8" w16cid:durableId="1428579865">
    <w:abstractNumId w:val="1"/>
  </w:num>
  <w:num w:numId="9" w16cid:durableId="189298880">
    <w:abstractNumId w:val="0"/>
  </w:num>
  <w:num w:numId="10" w16cid:durableId="1955399015">
    <w:abstractNumId w:val="22"/>
  </w:num>
  <w:num w:numId="11" w16cid:durableId="1808349566">
    <w:abstractNumId w:val="15"/>
  </w:num>
  <w:num w:numId="12" w16cid:durableId="1455056864">
    <w:abstractNumId w:val="17"/>
  </w:num>
  <w:num w:numId="13" w16cid:durableId="581836275">
    <w:abstractNumId w:val="18"/>
  </w:num>
  <w:num w:numId="14" w16cid:durableId="2065639192">
    <w:abstractNumId w:val="19"/>
  </w:num>
  <w:num w:numId="15" w16cid:durableId="1177693747">
    <w:abstractNumId w:val="13"/>
  </w:num>
  <w:num w:numId="16" w16cid:durableId="299581376">
    <w:abstractNumId w:val="9"/>
  </w:num>
  <w:num w:numId="17" w16cid:durableId="2135059923">
    <w:abstractNumId w:val="10"/>
  </w:num>
  <w:num w:numId="18" w16cid:durableId="104352106">
    <w:abstractNumId w:val="14"/>
  </w:num>
  <w:num w:numId="19" w16cid:durableId="1909342394">
    <w:abstractNumId w:val="21"/>
  </w:num>
  <w:num w:numId="20" w16cid:durableId="1935164473">
    <w:abstractNumId w:val="23"/>
  </w:num>
  <w:num w:numId="21" w16cid:durableId="745954782">
    <w:abstractNumId w:val="20"/>
  </w:num>
  <w:num w:numId="22" w16cid:durableId="1324745348">
    <w:abstractNumId w:val="16"/>
  </w:num>
  <w:num w:numId="23" w16cid:durableId="1411149214">
    <w:abstractNumId w:val="11"/>
  </w:num>
  <w:num w:numId="24" w16cid:durableId="1132792268">
    <w:abstractNumId w:val="12"/>
  </w:num>
  <w:num w:numId="25" w16cid:durableId="147597055">
    <w:abstractNumId w:val="19"/>
  </w:num>
  <w:num w:numId="26" w16cid:durableId="1987011163">
    <w:abstractNumId w:val="19"/>
  </w:num>
  <w:num w:numId="27" w16cid:durableId="1941182563">
    <w:abstractNumId w:val="19"/>
  </w:num>
  <w:num w:numId="28" w16cid:durableId="1863586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F9C"/>
    <w:rsid w:val="00034616"/>
    <w:rsid w:val="0005209D"/>
    <w:rsid w:val="0006063C"/>
    <w:rsid w:val="00060A50"/>
    <w:rsid w:val="00071BC4"/>
    <w:rsid w:val="000960FA"/>
    <w:rsid w:val="000A3F67"/>
    <w:rsid w:val="000A4E69"/>
    <w:rsid w:val="000B17E7"/>
    <w:rsid w:val="000B1958"/>
    <w:rsid w:val="000B2419"/>
    <w:rsid w:val="000D1FA6"/>
    <w:rsid w:val="00116BDB"/>
    <w:rsid w:val="00137696"/>
    <w:rsid w:val="00146229"/>
    <w:rsid w:val="00146ECF"/>
    <w:rsid w:val="0015074B"/>
    <w:rsid w:val="001710DC"/>
    <w:rsid w:val="00177B99"/>
    <w:rsid w:val="001B7A36"/>
    <w:rsid w:val="001C4F12"/>
    <w:rsid w:val="001C54B6"/>
    <w:rsid w:val="001D263D"/>
    <w:rsid w:val="001D5801"/>
    <w:rsid w:val="001F33D3"/>
    <w:rsid w:val="0023374E"/>
    <w:rsid w:val="002529C5"/>
    <w:rsid w:val="0026372B"/>
    <w:rsid w:val="0027166C"/>
    <w:rsid w:val="00272AEA"/>
    <w:rsid w:val="00283C9C"/>
    <w:rsid w:val="0029639D"/>
    <w:rsid w:val="002A1691"/>
    <w:rsid w:val="002B69BC"/>
    <w:rsid w:val="002C57EB"/>
    <w:rsid w:val="002C650B"/>
    <w:rsid w:val="002F5B64"/>
    <w:rsid w:val="003163B1"/>
    <w:rsid w:val="0032659A"/>
    <w:rsid w:val="00326F90"/>
    <w:rsid w:val="0033225C"/>
    <w:rsid w:val="0034525B"/>
    <w:rsid w:val="0035732E"/>
    <w:rsid w:val="00361B8C"/>
    <w:rsid w:val="00366A7E"/>
    <w:rsid w:val="003856D8"/>
    <w:rsid w:val="00387842"/>
    <w:rsid w:val="00396D02"/>
    <w:rsid w:val="003B3A31"/>
    <w:rsid w:val="003B568B"/>
    <w:rsid w:val="003C684F"/>
    <w:rsid w:val="003C7327"/>
    <w:rsid w:val="003E6609"/>
    <w:rsid w:val="003F6922"/>
    <w:rsid w:val="00403E26"/>
    <w:rsid w:val="00407F41"/>
    <w:rsid w:val="00412441"/>
    <w:rsid w:val="0044503F"/>
    <w:rsid w:val="004816C6"/>
    <w:rsid w:val="0048607A"/>
    <w:rsid w:val="0049533E"/>
    <w:rsid w:val="004A279D"/>
    <w:rsid w:val="004B36A1"/>
    <w:rsid w:val="004B4694"/>
    <w:rsid w:val="004B6E80"/>
    <w:rsid w:val="004B6EA8"/>
    <w:rsid w:val="004E486E"/>
    <w:rsid w:val="004E66CA"/>
    <w:rsid w:val="005252E0"/>
    <w:rsid w:val="00527C1F"/>
    <w:rsid w:val="00530711"/>
    <w:rsid w:val="005365DC"/>
    <w:rsid w:val="00536F76"/>
    <w:rsid w:val="00551EDB"/>
    <w:rsid w:val="00580854"/>
    <w:rsid w:val="00585D33"/>
    <w:rsid w:val="005A21AE"/>
    <w:rsid w:val="005A75AF"/>
    <w:rsid w:val="005A7B82"/>
    <w:rsid w:val="005B153B"/>
    <w:rsid w:val="005B3A89"/>
    <w:rsid w:val="005C6880"/>
    <w:rsid w:val="005C6D67"/>
    <w:rsid w:val="005C6E3C"/>
    <w:rsid w:val="005C7D17"/>
    <w:rsid w:val="006404EE"/>
    <w:rsid w:val="00641A59"/>
    <w:rsid w:val="00647AD7"/>
    <w:rsid w:val="006516F7"/>
    <w:rsid w:val="00655C87"/>
    <w:rsid w:val="006676BD"/>
    <w:rsid w:val="006825E3"/>
    <w:rsid w:val="006848E5"/>
    <w:rsid w:val="0069236F"/>
    <w:rsid w:val="00696A16"/>
    <w:rsid w:val="006C03B1"/>
    <w:rsid w:val="006E517C"/>
    <w:rsid w:val="00741A58"/>
    <w:rsid w:val="00750A94"/>
    <w:rsid w:val="00766E3B"/>
    <w:rsid w:val="007803FC"/>
    <w:rsid w:val="007B149B"/>
    <w:rsid w:val="007B63AE"/>
    <w:rsid w:val="007B6558"/>
    <w:rsid w:val="007B7505"/>
    <w:rsid w:val="007C1760"/>
    <w:rsid w:val="007C585E"/>
    <w:rsid w:val="007E008F"/>
    <w:rsid w:val="00803A6A"/>
    <w:rsid w:val="00812264"/>
    <w:rsid w:val="00815631"/>
    <w:rsid w:val="008167BF"/>
    <w:rsid w:val="008277C6"/>
    <w:rsid w:val="008345F8"/>
    <w:rsid w:val="00843681"/>
    <w:rsid w:val="008700A5"/>
    <w:rsid w:val="00883D25"/>
    <w:rsid w:val="008D0DC7"/>
    <w:rsid w:val="008D68C4"/>
    <w:rsid w:val="008F0458"/>
    <w:rsid w:val="008F237D"/>
    <w:rsid w:val="008F238F"/>
    <w:rsid w:val="008F6500"/>
    <w:rsid w:val="009519E2"/>
    <w:rsid w:val="00962039"/>
    <w:rsid w:val="00965E59"/>
    <w:rsid w:val="009664D0"/>
    <w:rsid w:val="00966EB3"/>
    <w:rsid w:val="00996088"/>
    <w:rsid w:val="009A1EE4"/>
    <w:rsid w:val="009A4C7B"/>
    <w:rsid w:val="009B074C"/>
    <w:rsid w:val="009B75E5"/>
    <w:rsid w:val="009C781E"/>
    <w:rsid w:val="009E20CF"/>
    <w:rsid w:val="009F19EA"/>
    <w:rsid w:val="009F4DF1"/>
    <w:rsid w:val="00A1164B"/>
    <w:rsid w:val="00A11908"/>
    <w:rsid w:val="00A23176"/>
    <w:rsid w:val="00A25EBD"/>
    <w:rsid w:val="00A32825"/>
    <w:rsid w:val="00A35D4D"/>
    <w:rsid w:val="00A365C1"/>
    <w:rsid w:val="00A51077"/>
    <w:rsid w:val="00A62881"/>
    <w:rsid w:val="00A7419F"/>
    <w:rsid w:val="00A86407"/>
    <w:rsid w:val="00A87B24"/>
    <w:rsid w:val="00A9573B"/>
    <w:rsid w:val="00A96EF9"/>
    <w:rsid w:val="00AA1D8D"/>
    <w:rsid w:val="00AB62D3"/>
    <w:rsid w:val="00AC05E5"/>
    <w:rsid w:val="00AF7C01"/>
    <w:rsid w:val="00B16716"/>
    <w:rsid w:val="00B3289A"/>
    <w:rsid w:val="00B442A5"/>
    <w:rsid w:val="00B47730"/>
    <w:rsid w:val="00B94C0B"/>
    <w:rsid w:val="00BA17B6"/>
    <w:rsid w:val="00BC10A5"/>
    <w:rsid w:val="00BE40B1"/>
    <w:rsid w:val="00BF1B92"/>
    <w:rsid w:val="00BF556A"/>
    <w:rsid w:val="00BF6489"/>
    <w:rsid w:val="00C17336"/>
    <w:rsid w:val="00C30D58"/>
    <w:rsid w:val="00C50AAF"/>
    <w:rsid w:val="00C73370"/>
    <w:rsid w:val="00C742C8"/>
    <w:rsid w:val="00C94481"/>
    <w:rsid w:val="00CB0664"/>
    <w:rsid w:val="00CC020D"/>
    <w:rsid w:val="00CC1C37"/>
    <w:rsid w:val="00CF0C1C"/>
    <w:rsid w:val="00D22187"/>
    <w:rsid w:val="00D25882"/>
    <w:rsid w:val="00D32F93"/>
    <w:rsid w:val="00D576D2"/>
    <w:rsid w:val="00DA54C1"/>
    <w:rsid w:val="00DE5986"/>
    <w:rsid w:val="00E0314A"/>
    <w:rsid w:val="00E03502"/>
    <w:rsid w:val="00E21EA8"/>
    <w:rsid w:val="00E23E15"/>
    <w:rsid w:val="00E274A9"/>
    <w:rsid w:val="00E27F0D"/>
    <w:rsid w:val="00E46CE2"/>
    <w:rsid w:val="00E656A1"/>
    <w:rsid w:val="00E7403D"/>
    <w:rsid w:val="00E90EF9"/>
    <w:rsid w:val="00E93CEB"/>
    <w:rsid w:val="00E97CCB"/>
    <w:rsid w:val="00EA6B14"/>
    <w:rsid w:val="00EC62B7"/>
    <w:rsid w:val="00ED23A9"/>
    <w:rsid w:val="00EF73E0"/>
    <w:rsid w:val="00F06ACF"/>
    <w:rsid w:val="00F20439"/>
    <w:rsid w:val="00F270DB"/>
    <w:rsid w:val="00F47DEB"/>
    <w:rsid w:val="00F63E2A"/>
    <w:rsid w:val="00F72188"/>
    <w:rsid w:val="00F80C41"/>
    <w:rsid w:val="00F80C5C"/>
    <w:rsid w:val="00F84C58"/>
    <w:rsid w:val="00F945CB"/>
    <w:rsid w:val="00FA7E9F"/>
    <w:rsid w:val="00FB3B99"/>
    <w:rsid w:val="00FC65FD"/>
    <w:rsid w:val="00FC693F"/>
    <w:rsid w:val="00FD6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4F947A"/>
  <w14:defaultImageDpi w14:val="300"/>
  <w15:docId w15:val="{438CAC91-2FEE-499C-9789-0F02F2B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umberedParagraphs-MOH">
    <w:name w:val="Numbered Paragraphs - MOH"/>
    <w:basedOn w:val="Normal"/>
    <w:link w:val="NumberedParagraphs-MOHChar"/>
    <w:qFormat/>
    <w:rsid w:val="008700A5"/>
    <w:pPr>
      <w:tabs>
        <w:tab w:val="left" w:pos="567"/>
      </w:tabs>
      <w:spacing w:before="120" w:after="0" w:line="240" w:lineRule="auto"/>
    </w:pPr>
    <w:rPr>
      <w:rFonts w:ascii="Segoe UI" w:eastAsia="Times New Roman" w:hAnsi="Segoe UI" w:cs="Segoe UI"/>
      <w:kern w:val="22"/>
      <w:lang w:val="en-NZ" w:eastAsia="en-NZ"/>
    </w:rPr>
  </w:style>
  <w:style w:type="paragraph" w:customStyle="1" w:styleId="RecLevel2-MOH">
    <w:name w:val="Rec Level2 - MOH"/>
    <w:basedOn w:val="RecLevel1-MOH"/>
    <w:qFormat/>
    <w:rsid w:val="008700A5"/>
    <w:pPr>
      <w:numPr>
        <w:ilvl w:val="1"/>
      </w:numPr>
    </w:pPr>
  </w:style>
  <w:style w:type="paragraph" w:customStyle="1" w:styleId="RecLevel1-MOH">
    <w:name w:val="Rec Level1 - MOH"/>
    <w:basedOn w:val="ListParagraph"/>
    <w:qFormat/>
    <w:rsid w:val="008700A5"/>
    <w:pPr>
      <w:numPr>
        <w:numId w:val="14"/>
      </w:numPr>
      <w:tabs>
        <w:tab w:val="left" w:pos="567"/>
      </w:tabs>
      <w:suppressAutoHyphens/>
      <w:autoSpaceDE w:val="0"/>
      <w:autoSpaceDN w:val="0"/>
      <w:adjustRightInd w:val="0"/>
      <w:spacing w:before="120" w:after="0" w:line="280" w:lineRule="atLeast"/>
      <w:textAlignment w:val="center"/>
    </w:pPr>
    <w:rPr>
      <w:rFonts w:ascii="Segoe UI" w:eastAsia="Times New Roman" w:hAnsi="Segoe UI" w:cs="Arial"/>
      <w:lang w:val="en-NZ" w:eastAsia="en-NZ"/>
    </w:rPr>
  </w:style>
  <w:style w:type="character" w:customStyle="1" w:styleId="NumberedParagraphs-MOHChar">
    <w:name w:val="Numbered Paragraphs - MOH Char"/>
    <w:basedOn w:val="DefaultParagraphFont"/>
    <w:link w:val="NumberedParagraphs-MOH"/>
    <w:rsid w:val="008700A5"/>
    <w:rPr>
      <w:rFonts w:ascii="Segoe UI" w:eastAsia="Times New Roman" w:hAnsi="Segoe UI" w:cs="Segoe UI"/>
      <w:kern w:val="22"/>
      <w:lang w:val="en-NZ" w:eastAsia="en-NZ"/>
    </w:rPr>
  </w:style>
  <w:style w:type="paragraph" w:styleId="Revision">
    <w:name w:val="Revision"/>
    <w:hidden/>
    <w:uiPriority w:val="99"/>
    <w:semiHidden/>
    <w:rsid w:val="002C650B"/>
    <w:pPr>
      <w:spacing w:after="0" w:line="240" w:lineRule="auto"/>
    </w:pPr>
  </w:style>
  <w:style w:type="character" w:styleId="CommentReference">
    <w:name w:val="annotation reference"/>
    <w:basedOn w:val="DefaultParagraphFont"/>
    <w:uiPriority w:val="99"/>
    <w:semiHidden/>
    <w:unhideWhenUsed/>
    <w:rsid w:val="001D263D"/>
    <w:rPr>
      <w:sz w:val="16"/>
      <w:szCs w:val="16"/>
    </w:rPr>
  </w:style>
  <w:style w:type="paragraph" w:styleId="CommentText">
    <w:name w:val="annotation text"/>
    <w:basedOn w:val="Normal"/>
    <w:link w:val="CommentTextChar"/>
    <w:uiPriority w:val="99"/>
    <w:unhideWhenUsed/>
    <w:rsid w:val="001D263D"/>
    <w:pPr>
      <w:spacing w:line="240" w:lineRule="auto"/>
    </w:pPr>
    <w:rPr>
      <w:sz w:val="20"/>
      <w:szCs w:val="20"/>
    </w:rPr>
  </w:style>
  <w:style w:type="character" w:customStyle="1" w:styleId="CommentTextChar">
    <w:name w:val="Comment Text Char"/>
    <w:basedOn w:val="DefaultParagraphFont"/>
    <w:link w:val="CommentText"/>
    <w:uiPriority w:val="99"/>
    <w:rsid w:val="001D263D"/>
    <w:rPr>
      <w:sz w:val="20"/>
      <w:szCs w:val="20"/>
    </w:rPr>
  </w:style>
  <w:style w:type="paragraph" w:styleId="CommentSubject">
    <w:name w:val="annotation subject"/>
    <w:basedOn w:val="CommentText"/>
    <w:next w:val="CommentText"/>
    <w:link w:val="CommentSubjectChar"/>
    <w:uiPriority w:val="99"/>
    <w:semiHidden/>
    <w:unhideWhenUsed/>
    <w:rsid w:val="001D263D"/>
    <w:rPr>
      <w:b/>
      <w:bCs/>
    </w:rPr>
  </w:style>
  <w:style w:type="character" w:customStyle="1" w:styleId="CommentSubjectChar">
    <w:name w:val="Comment Subject Char"/>
    <w:basedOn w:val="CommentTextChar"/>
    <w:link w:val="CommentSubject"/>
    <w:uiPriority w:val="99"/>
    <w:semiHidden/>
    <w:rsid w:val="001D263D"/>
    <w:rPr>
      <w:b/>
      <w:bCs/>
      <w:sz w:val="20"/>
      <w:szCs w:val="20"/>
    </w:rPr>
  </w:style>
  <w:style w:type="character" w:styleId="PlaceholderText">
    <w:name w:val="Placeholder Text"/>
    <w:basedOn w:val="DefaultParagraphFont"/>
    <w:uiPriority w:val="99"/>
    <w:semiHidden/>
    <w:rsid w:val="00962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9338">
      <w:bodyDiv w:val="1"/>
      <w:marLeft w:val="0"/>
      <w:marRight w:val="0"/>
      <w:marTop w:val="0"/>
      <w:marBottom w:val="0"/>
      <w:divBdr>
        <w:top w:val="none" w:sz="0" w:space="0" w:color="auto"/>
        <w:left w:val="none" w:sz="0" w:space="0" w:color="auto"/>
        <w:bottom w:val="none" w:sz="0" w:space="0" w:color="auto"/>
        <w:right w:val="none" w:sz="0" w:space="0" w:color="auto"/>
      </w:divBdr>
    </w:div>
    <w:div w:id="344334268">
      <w:bodyDiv w:val="1"/>
      <w:marLeft w:val="0"/>
      <w:marRight w:val="0"/>
      <w:marTop w:val="0"/>
      <w:marBottom w:val="0"/>
      <w:divBdr>
        <w:top w:val="none" w:sz="0" w:space="0" w:color="auto"/>
        <w:left w:val="none" w:sz="0" w:space="0" w:color="auto"/>
        <w:bottom w:val="none" w:sz="0" w:space="0" w:color="auto"/>
        <w:right w:val="none" w:sz="0" w:space="0" w:color="auto"/>
      </w:divBdr>
    </w:div>
    <w:div w:id="608322153">
      <w:bodyDiv w:val="1"/>
      <w:marLeft w:val="0"/>
      <w:marRight w:val="0"/>
      <w:marTop w:val="0"/>
      <w:marBottom w:val="0"/>
      <w:divBdr>
        <w:top w:val="none" w:sz="0" w:space="0" w:color="auto"/>
        <w:left w:val="none" w:sz="0" w:space="0" w:color="auto"/>
        <w:bottom w:val="none" w:sz="0" w:space="0" w:color="auto"/>
        <w:right w:val="none" w:sz="0" w:space="0" w:color="auto"/>
      </w:divBdr>
    </w:div>
    <w:div w:id="756708346">
      <w:bodyDiv w:val="1"/>
      <w:marLeft w:val="0"/>
      <w:marRight w:val="0"/>
      <w:marTop w:val="0"/>
      <w:marBottom w:val="0"/>
      <w:divBdr>
        <w:top w:val="none" w:sz="0" w:space="0" w:color="auto"/>
        <w:left w:val="none" w:sz="0" w:space="0" w:color="auto"/>
        <w:bottom w:val="none" w:sz="0" w:space="0" w:color="auto"/>
        <w:right w:val="none" w:sz="0" w:space="0" w:color="auto"/>
      </w:divBdr>
      <w:divsChild>
        <w:div w:id="1954631423">
          <w:marLeft w:val="0"/>
          <w:marRight w:val="0"/>
          <w:marTop w:val="0"/>
          <w:marBottom w:val="0"/>
          <w:divBdr>
            <w:top w:val="none" w:sz="0" w:space="0" w:color="auto"/>
            <w:left w:val="none" w:sz="0" w:space="0" w:color="auto"/>
            <w:bottom w:val="none" w:sz="0" w:space="0" w:color="auto"/>
            <w:right w:val="none" w:sz="0" w:space="0" w:color="auto"/>
          </w:divBdr>
        </w:div>
      </w:divsChild>
    </w:div>
    <w:div w:id="840969870">
      <w:bodyDiv w:val="1"/>
      <w:marLeft w:val="0"/>
      <w:marRight w:val="0"/>
      <w:marTop w:val="0"/>
      <w:marBottom w:val="0"/>
      <w:divBdr>
        <w:top w:val="none" w:sz="0" w:space="0" w:color="auto"/>
        <w:left w:val="none" w:sz="0" w:space="0" w:color="auto"/>
        <w:bottom w:val="none" w:sz="0" w:space="0" w:color="auto"/>
        <w:right w:val="none" w:sz="0" w:space="0" w:color="auto"/>
      </w:divBdr>
      <w:divsChild>
        <w:div w:id="570310435">
          <w:marLeft w:val="0"/>
          <w:marRight w:val="0"/>
          <w:marTop w:val="0"/>
          <w:marBottom w:val="0"/>
          <w:divBdr>
            <w:top w:val="none" w:sz="0" w:space="0" w:color="auto"/>
            <w:left w:val="none" w:sz="0" w:space="0" w:color="auto"/>
            <w:bottom w:val="none" w:sz="0" w:space="0" w:color="auto"/>
            <w:right w:val="none" w:sz="0" w:space="0" w:color="auto"/>
          </w:divBdr>
        </w:div>
      </w:divsChild>
    </w:div>
    <w:div w:id="894702671">
      <w:bodyDiv w:val="1"/>
      <w:marLeft w:val="0"/>
      <w:marRight w:val="0"/>
      <w:marTop w:val="0"/>
      <w:marBottom w:val="0"/>
      <w:divBdr>
        <w:top w:val="none" w:sz="0" w:space="0" w:color="auto"/>
        <w:left w:val="none" w:sz="0" w:space="0" w:color="auto"/>
        <w:bottom w:val="none" w:sz="0" w:space="0" w:color="auto"/>
        <w:right w:val="none" w:sz="0" w:space="0" w:color="auto"/>
      </w:divBdr>
      <w:divsChild>
        <w:div w:id="248733701">
          <w:marLeft w:val="0"/>
          <w:marRight w:val="0"/>
          <w:marTop w:val="0"/>
          <w:marBottom w:val="0"/>
          <w:divBdr>
            <w:top w:val="none" w:sz="0" w:space="0" w:color="auto"/>
            <w:left w:val="none" w:sz="0" w:space="0" w:color="auto"/>
            <w:bottom w:val="none" w:sz="0" w:space="0" w:color="auto"/>
            <w:right w:val="none" w:sz="0" w:space="0" w:color="auto"/>
          </w:divBdr>
        </w:div>
      </w:divsChild>
    </w:div>
    <w:div w:id="133649163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84">
          <w:marLeft w:val="0"/>
          <w:marRight w:val="0"/>
          <w:marTop w:val="0"/>
          <w:marBottom w:val="0"/>
          <w:divBdr>
            <w:top w:val="none" w:sz="0" w:space="0" w:color="auto"/>
            <w:left w:val="none" w:sz="0" w:space="0" w:color="auto"/>
            <w:bottom w:val="none" w:sz="0" w:space="0" w:color="auto"/>
            <w:right w:val="none" w:sz="0" w:space="0" w:color="auto"/>
          </w:divBdr>
        </w:div>
      </w:divsChild>
    </w:div>
    <w:div w:id="1427388395">
      <w:bodyDiv w:val="1"/>
      <w:marLeft w:val="0"/>
      <w:marRight w:val="0"/>
      <w:marTop w:val="0"/>
      <w:marBottom w:val="0"/>
      <w:divBdr>
        <w:top w:val="none" w:sz="0" w:space="0" w:color="auto"/>
        <w:left w:val="none" w:sz="0" w:space="0" w:color="auto"/>
        <w:bottom w:val="none" w:sz="0" w:space="0" w:color="auto"/>
        <w:right w:val="none" w:sz="0" w:space="0" w:color="auto"/>
      </w:divBdr>
    </w:div>
    <w:div w:id="1674532333">
      <w:bodyDiv w:val="1"/>
      <w:marLeft w:val="0"/>
      <w:marRight w:val="0"/>
      <w:marTop w:val="0"/>
      <w:marBottom w:val="0"/>
      <w:divBdr>
        <w:top w:val="none" w:sz="0" w:space="0" w:color="auto"/>
        <w:left w:val="none" w:sz="0" w:space="0" w:color="auto"/>
        <w:bottom w:val="none" w:sz="0" w:space="0" w:color="auto"/>
        <w:right w:val="none" w:sz="0" w:space="0" w:color="auto"/>
      </w:divBdr>
      <w:divsChild>
        <w:div w:id="2049332072">
          <w:marLeft w:val="0"/>
          <w:marRight w:val="0"/>
          <w:marTop w:val="0"/>
          <w:marBottom w:val="0"/>
          <w:divBdr>
            <w:top w:val="none" w:sz="0" w:space="0" w:color="auto"/>
            <w:left w:val="none" w:sz="0" w:space="0" w:color="auto"/>
            <w:bottom w:val="none" w:sz="0" w:space="0" w:color="auto"/>
            <w:right w:val="none" w:sz="0" w:space="0" w:color="auto"/>
          </w:divBdr>
        </w:div>
      </w:divsChild>
    </w:div>
    <w:div w:id="1691835645">
      <w:bodyDiv w:val="1"/>
      <w:marLeft w:val="0"/>
      <w:marRight w:val="0"/>
      <w:marTop w:val="0"/>
      <w:marBottom w:val="0"/>
      <w:divBdr>
        <w:top w:val="none" w:sz="0" w:space="0" w:color="auto"/>
        <w:left w:val="none" w:sz="0" w:space="0" w:color="auto"/>
        <w:bottom w:val="none" w:sz="0" w:space="0" w:color="auto"/>
        <w:right w:val="none" w:sz="0" w:space="0" w:color="auto"/>
      </w:divBdr>
      <w:divsChild>
        <w:div w:id="930359928">
          <w:marLeft w:val="0"/>
          <w:marRight w:val="0"/>
          <w:marTop w:val="0"/>
          <w:marBottom w:val="0"/>
          <w:divBdr>
            <w:top w:val="none" w:sz="0" w:space="0" w:color="auto"/>
            <w:left w:val="none" w:sz="0" w:space="0" w:color="auto"/>
            <w:bottom w:val="none" w:sz="0" w:space="0" w:color="auto"/>
            <w:right w:val="none" w:sz="0" w:space="0" w:color="auto"/>
          </w:divBdr>
        </w:div>
      </w:divsChild>
    </w:div>
    <w:div w:id="1765301345">
      <w:bodyDiv w:val="1"/>
      <w:marLeft w:val="0"/>
      <w:marRight w:val="0"/>
      <w:marTop w:val="0"/>
      <w:marBottom w:val="0"/>
      <w:divBdr>
        <w:top w:val="none" w:sz="0" w:space="0" w:color="auto"/>
        <w:left w:val="none" w:sz="0" w:space="0" w:color="auto"/>
        <w:bottom w:val="none" w:sz="0" w:space="0" w:color="auto"/>
        <w:right w:val="none" w:sz="0" w:space="0" w:color="auto"/>
      </w:divBdr>
      <w:divsChild>
        <w:div w:id="6947722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Ministry of Health Review of the Manage My Health Cybersecurity Incident</dc:title>
  <dc:subject/>
  <dc:creator>Ministry of Health</dc:creator>
  <cp:keywords/>
  <dc:description/>
  <cp:lastModifiedBy>Ministry of Health</cp:lastModifiedBy>
  <cp:revision>5</cp:revision>
  <cp:lastPrinted>2026-01-21T22:05:00Z</cp:lastPrinted>
  <dcterms:created xsi:type="dcterms:W3CDTF">2026-01-22T00:57:00Z</dcterms:created>
  <dcterms:modified xsi:type="dcterms:W3CDTF">2026-01-22T01:46:00Z</dcterms:modified>
  <cp:category/>
</cp:coreProperties>
</file>