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5161" w14:textId="781B73CD" w:rsidR="00C86248" w:rsidRPr="00926083" w:rsidRDefault="00AE7C27" w:rsidP="00926083">
      <w:pPr>
        <w:pStyle w:val="Title"/>
      </w:pPr>
      <w:r>
        <w:t>Rural Health Roadshow Insights Report</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58CE3BA" w14:textId="4189CB68"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AE7C27">
        <w:rPr>
          <w:rFonts w:cs="Segoe UI"/>
        </w:rPr>
        <w:t>2025</w:t>
      </w:r>
      <w:r w:rsidR="00442C1C" w:rsidRPr="00C05132">
        <w:rPr>
          <w:rFonts w:cs="Segoe UI"/>
        </w:rPr>
        <w:t xml:space="preserve">. </w:t>
      </w:r>
      <w:r w:rsidR="00AE7C27" w:rsidRPr="00AE7C27">
        <w:rPr>
          <w:rFonts w:cs="Segoe UI"/>
          <w:i/>
        </w:rPr>
        <w:t>Rural Health Roadshow Insights Report</w:t>
      </w:r>
      <w:r w:rsidR="00442C1C" w:rsidRPr="00C05132">
        <w:rPr>
          <w:rFonts w:cs="Segoe UI"/>
        </w:rPr>
        <w:t>. Wellington: Ministry of Health.</w:t>
      </w:r>
    </w:p>
    <w:p w14:paraId="7909192E" w14:textId="6DC06CCF" w:rsidR="00C86248" w:rsidRDefault="00C86248">
      <w:pPr>
        <w:pStyle w:val="Imprint"/>
      </w:pPr>
      <w:r>
        <w:t xml:space="preserve">Published in </w:t>
      </w:r>
      <w:r w:rsidR="00E11B99">
        <w:t>December 2025</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61F1E285" w:rsidR="00082CD6" w:rsidRPr="009C0F2D" w:rsidRDefault="00D863D0" w:rsidP="00082CD6">
      <w:pPr>
        <w:pStyle w:val="Imprint"/>
      </w:pPr>
      <w:r w:rsidRPr="00EB090D">
        <w:t>ISBN</w:t>
      </w:r>
      <w:r w:rsidR="00442C1C" w:rsidRPr="00EB090D">
        <w:t xml:space="preserve"> </w:t>
      </w:r>
      <w:r w:rsidR="00820368" w:rsidRPr="00820368">
        <w:t>978-1-991324-68-9</w:t>
      </w:r>
      <w:r w:rsidR="009A42D5" w:rsidRPr="00EB090D">
        <w:t xml:space="preserve"> (print)</w:t>
      </w:r>
      <w:r w:rsidR="009A42D5" w:rsidRPr="00EB090D">
        <w:br/>
        <w:t xml:space="preserve">ISBN </w:t>
      </w:r>
      <w:r w:rsidR="00CE6C88" w:rsidRPr="00CE6C88">
        <w:t>978-1-991324-69-6</w:t>
      </w:r>
      <w:r w:rsidR="009A42D5" w:rsidRPr="00EB090D">
        <w:t xml:space="preserve"> </w:t>
      </w:r>
      <w:r w:rsidRPr="00EB090D">
        <w:t>(</w:t>
      </w:r>
      <w:r w:rsidR="00442C1C" w:rsidRPr="00EB090D">
        <w:t>online</w:t>
      </w:r>
      <w:r w:rsidRPr="00EB090D">
        <w:t>)</w:t>
      </w:r>
      <w:r w:rsidR="00082CD6" w:rsidRPr="00EB090D">
        <w:br/>
        <w:t xml:space="preserve">HP </w:t>
      </w:r>
      <w:r w:rsidR="005E4B47">
        <w:t>9152</w:t>
      </w:r>
    </w:p>
    <w:p w14:paraId="48DBDA36" w14:textId="7263F306" w:rsidR="00C86248" w:rsidRDefault="00EA608C" w:rsidP="00A63DFF">
      <w:r w:rsidRPr="003D7765">
        <w:rPr>
          <w:noProof/>
        </w:rPr>
        <w:drawing>
          <wp:inline distT="0" distB="0" distL="0" distR="0" wp14:anchorId="7F6F146D" wp14:editId="1317EB62">
            <wp:extent cx="1216800" cy="494305"/>
            <wp:effectExtent l="0" t="0" r="2540" b="1270"/>
            <wp:docPr id="1472750415" name="Picture 1472750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a:extLst>
                        <a:ext uri="{C183D7F6-B498-43B3-948B-1728B52AA6E4}">
                          <adec:decorative xmlns:adec="http://schemas.microsoft.com/office/drawing/2017/decorative" val="1"/>
                        </a:ext>
                      </a:extLst>
                    </pic:cNvPr>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0AAB71CA">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559E2338" w14:textId="1EC4B170" w:rsidR="007264AD" w:rsidRDefault="007264AD">
      <w:pPr>
        <w:pStyle w:val="TOC1"/>
        <w:rPr>
          <w:rFonts w:asciiTheme="minorHAnsi" w:eastAsiaTheme="minorEastAsia" w:hAnsiTheme="minorHAnsi" w:cstheme="minorBidi"/>
          <w:noProof/>
          <w:kern w:val="2"/>
          <w:szCs w:val="24"/>
          <w:lang w:eastAsia="en-NZ"/>
          <w14:ligatures w14:val="standardContextual"/>
        </w:rPr>
      </w:pPr>
      <w:r>
        <w:rPr>
          <w:b/>
        </w:rPr>
        <w:fldChar w:fldCharType="begin"/>
      </w:r>
      <w:r>
        <w:rPr>
          <w:b/>
        </w:rPr>
        <w:instrText xml:space="preserve"> TOC \o "1-2" \h \z </w:instrText>
      </w:r>
      <w:r>
        <w:rPr>
          <w:b/>
        </w:rPr>
        <w:fldChar w:fldCharType="separate"/>
      </w:r>
      <w:hyperlink w:anchor="_Toc216775095" w:history="1">
        <w:r w:rsidRPr="00C82430">
          <w:rPr>
            <w:rStyle w:val="Hyperlink"/>
            <w:noProof/>
          </w:rPr>
          <w:t>Introduction</w:t>
        </w:r>
        <w:r>
          <w:rPr>
            <w:noProof/>
            <w:webHidden/>
          </w:rPr>
          <w:tab/>
        </w:r>
        <w:r>
          <w:rPr>
            <w:noProof/>
            <w:webHidden/>
          </w:rPr>
          <w:fldChar w:fldCharType="begin"/>
        </w:r>
        <w:r>
          <w:rPr>
            <w:noProof/>
            <w:webHidden/>
          </w:rPr>
          <w:instrText xml:space="preserve"> PAGEREF _Toc216775095 \h </w:instrText>
        </w:r>
        <w:r>
          <w:rPr>
            <w:noProof/>
            <w:webHidden/>
          </w:rPr>
        </w:r>
        <w:r>
          <w:rPr>
            <w:noProof/>
            <w:webHidden/>
          </w:rPr>
          <w:fldChar w:fldCharType="separate"/>
        </w:r>
        <w:r w:rsidR="00B71818">
          <w:rPr>
            <w:noProof/>
            <w:webHidden/>
          </w:rPr>
          <w:t>1</w:t>
        </w:r>
        <w:r>
          <w:rPr>
            <w:noProof/>
            <w:webHidden/>
          </w:rPr>
          <w:fldChar w:fldCharType="end"/>
        </w:r>
      </w:hyperlink>
    </w:p>
    <w:p w14:paraId="2EBA06F1" w14:textId="76B17E85"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096" w:history="1">
        <w:r w:rsidRPr="00C82430">
          <w:rPr>
            <w:rStyle w:val="Hyperlink"/>
            <w:noProof/>
          </w:rPr>
          <w:t>Context</w:t>
        </w:r>
        <w:r>
          <w:rPr>
            <w:noProof/>
            <w:webHidden/>
          </w:rPr>
          <w:tab/>
        </w:r>
        <w:r>
          <w:rPr>
            <w:noProof/>
            <w:webHidden/>
          </w:rPr>
          <w:fldChar w:fldCharType="begin"/>
        </w:r>
        <w:r>
          <w:rPr>
            <w:noProof/>
            <w:webHidden/>
          </w:rPr>
          <w:instrText xml:space="preserve"> PAGEREF _Toc216775096 \h </w:instrText>
        </w:r>
        <w:r>
          <w:rPr>
            <w:noProof/>
            <w:webHidden/>
          </w:rPr>
        </w:r>
        <w:r>
          <w:rPr>
            <w:noProof/>
            <w:webHidden/>
          </w:rPr>
          <w:fldChar w:fldCharType="separate"/>
        </w:r>
        <w:r w:rsidR="00B71818">
          <w:rPr>
            <w:noProof/>
            <w:webHidden/>
          </w:rPr>
          <w:t>1</w:t>
        </w:r>
        <w:r>
          <w:rPr>
            <w:noProof/>
            <w:webHidden/>
          </w:rPr>
          <w:fldChar w:fldCharType="end"/>
        </w:r>
      </w:hyperlink>
    </w:p>
    <w:p w14:paraId="31A91F19" w14:textId="17EF76EE"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097" w:history="1">
        <w:r w:rsidRPr="00C82430">
          <w:rPr>
            <w:rStyle w:val="Hyperlink"/>
            <w:noProof/>
          </w:rPr>
          <w:t>How we are using the insights from the roadshow</w:t>
        </w:r>
        <w:r>
          <w:rPr>
            <w:noProof/>
            <w:webHidden/>
          </w:rPr>
          <w:tab/>
        </w:r>
        <w:r>
          <w:rPr>
            <w:noProof/>
            <w:webHidden/>
          </w:rPr>
          <w:fldChar w:fldCharType="begin"/>
        </w:r>
        <w:r>
          <w:rPr>
            <w:noProof/>
            <w:webHidden/>
          </w:rPr>
          <w:instrText xml:space="preserve"> PAGEREF _Toc216775097 \h </w:instrText>
        </w:r>
        <w:r>
          <w:rPr>
            <w:noProof/>
            <w:webHidden/>
          </w:rPr>
        </w:r>
        <w:r>
          <w:rPr>
            <w:noProof/>
            <w:webHidden/>
          </w:rPr>
          <w:fldChar w:fldCharType="separate"/>
        </w:r>
        <w:r w:rsidR="00B71818">
          <w:rPr>
            <w:noProof/>
            <w:webHidden/>
          </w:rPr>
          <w:t>2</w:t>
        </w:r>
        <w:r>
          <w:rPr>
            <w:noProof/>
            <w:webHidden/>
          </w:rPr>
          <w:fldChar w:fldCharType="end"/>
        </w:r>
      </w:hyperlink>
    </w:p>
    <w:p w14:paraId="401AC9DD" w14:textId="497E4EAD"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098" w:history="1">
        <w:r w:rsidRPr="00C82430">
          <w:rPr>
            <w:rStyle w:val="Hyperlink"/>
            <w:noProof/>
          </w:rPr>
          <w:t>Key themes</w:t>
        </w:r>
        <w:r>
          <w:rPr>
            <w:noProof/>
            <w:webHidden/>
          </w:rPr>
          <w:tab/>
        </w:r>
        <w:r>
          <w:rPr>
            <w:noProof/>
            <w:webHidden/>
          </w:rPr>
          <w:fldChar w:fldCharType="begin"/>
        </w:r>
        <w:r>
          <w:rPr>
            <w:noProof/>
            <w:webHidden/>
          </w:rPr>
          <w:instrText xml:space="preserve"> PAGEREF _Toc216775098 \h </w:instrText>
        </w:r>
        <w:r>
          <w:rPr>
            <w:noProof/>
            <w:webHidden/>
          </w:rPr>
        </w:r>
        <w:r>
          <w:rPr>
            <w:noProof/>
            <w:webHidden/>
          </w:rPr>
          <w:fldChar w:fldCharType="separate"/>
        </w:r>
        <w:r w:rsidR="00B71818">
          <w:rPr>
            <w:noProof/>
            <w:webHidden/>
          </w:rPr>
          <w:t>3</w:t>
        </w:r>
        <w:r>
          <w:rPr>
            <w:noProof/>
            <w:webHidden/>
          </w:rPr>
          <w:fldChar w:fldCharType="end"/>
        </w:r>
      </w:hyperlink>
    </w:p>
    <w:p w14:paraId="5EBEFD92" w14:textId="617625AF" w:rsidR="007264AD" w:rsidRDefault="007264AD">
      <w:pPr>
        <w:pStyle w:val="TOC1"/>
        <w:rPr>
          <w:rFonts w:asciiTheme="minorHAnsi" w:eastAsiaTheme="minorEastAsia" w:hAnsiTheme="minorHAnsi" w:cstheme="minorBidi"/>
          <w:noProof/>
          <w:kern w:val="2"/>
          <w:szCs w:val="24"/>
          <w:lang w:eastAsia="en-NZ"/>
          <w14:ligatures w14:val="standardContextual"/>
        </w:rPr>
      </w:pPr>
      <w:hyperlink w:anchor="_Toc216775099" w:history="1">
        <w:r w:rsidRPr="00C82430">
          <w:rPr>
            <w:rStyle w:val="Hyperlink"/>
            <w:rFonts w:eastAsia="Segoe UI"/>
            <w:noProof/>
          </w:rPr>
          <w:t>What is working well for rural communities</w:t>
        </w:r>
        <w:r>
          <w:rPr>
            <w:noProof/>
            <w:webHidden/>
          </w:rPr>
          <w:tab/>
        </w:r>
        <w:r>
          <w:rPr>
            <w:noProof/>
            <w:webHidden/>
          </w:rPr>
          <w:fldChar w:fldCharType="begin"/>
        </w:r>
        <w:r>
          <w:rPr>
            <w:noProof/>
            <w:webHidden/>
          </w:rPr>
          <w:instrText xml:space="preserve"> PAGEREF _Toc216775099 \h </w:instrText>
        </w:r>
        <w:r>
          <w:rPr>
            <w:noProof/>
            <w:webHidden/>
          </w:rPr>
        </w:r>
        <w:r>
          <w:rPr>
            <w:noProof/>
            <w:webHidden/>
          </w:rPr>
          <w:fldChar w:fldCharType="separate"/>
        </w:r>
        <w:r w:rsidR="00B71818">
          <w:rPr>
            <w:noProof/>
            <w:webHidden/>
          </w:rPr>
          <w:t>6</w:t>
        </w:r>
        <w:r>
          <w:rPr>
            <w:noProof/>
            <w:webHidden/>
          </w:rPr>
          <w:fldChar w:fldCharType="end"/>
        </w:r>
      </w:hyperlink>
    </w:p>
    <w:p w14:paraId="6012C585" w14:textId="1FDE408D"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0" w:history="1">
        <w:r w:rsidRPr="00C82430">
          <w:rPr>
            <w:rStyle w:val="Hyperlink"/>
            <w:noProof/>
          </w:rPr>
          <w:t>Access to primary care</w:t>
        </w:r>
        <w:r>
          <w:rPr>
            <w:noProof/>
            <w:webHidden/>
          </w:rPr>
          <w:tab/>
        </w:r>
        <w:r>
          <w:rPr>
            <w:noProof/>
            <w:webHidden/>
          </w:rPr>
          <w:fldChar w:fldCharType="begin"/>
        </w:r>
        <w:r>
          <w:rPr>
            <w:noProof/>
            <w:webHidden/>
          </w:rPr>
          <w:instrText xml:space="preserve"> PAGEREF _Toc216775100 \h </w:instrText>
        </w:r>
        <w:r>
          <w:rPr>
            <w:noProof/>
            <w:webHidden/>
          </w:rPr>
        </w:r>
        <w:r>
          <w:rPr>
            <w:noProof/>
            <w:webHidden/>
          </w:rPr>
          <w:fldChar w:fldCharType="separate"/>
        </w:r>
        <w:r w:rsidR="00B71818">
          <w:rPr>
            <w:noProof/>
            <w:webHidden/>
          </w:rPr>
          <w:t>6</w:t>
        </w:r>
        <w:r>
          <w:rPr>
            <w:noProof/>
            <w:webHidden/>
          </w:rPr>
          <w:fldChar w:fldCharType="end"/>
        </w:r>
      </w:hyperlink>
    </w:p>
    <w:p w14:paraId="4B306658" w14:textId="5A671DA2"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1" w:history="1">
        <w:r w:rsidRPr="00C82430">
          <w:rPr>
            <w:rStyle w:val="Hyperlink"/>
            <w:noProof/>
          </w:rPr>
          <w:t>Mobile and outreach services</w:t>
        </w:r>
        <w:r>
          <w:rPr>
            <w:noProof/>
            <w:webHidden/>
          </w:rPr>
          <w:tab/>
        </w:r>
        <w:r>
          <w:rPr>
            <w:noProof/>
            <w:webHidden/>
          </w:rPr>
          <w:fldChar w:fldCharType="begin"/>
        </w:r>
        <w:r>
          <w:rPr>
            <w:noProof/>
            <w:webHidden/>
          </w:rPr>
          <w:instrText xml:space="preserve"> PAGEREF _Toc216775101 \h </w:instrText>
        </w:r>
        <w:r>
          <w:rPr>
            <w:noProof/>
            <w:webHidden/>
          </w:rPr>
        </w:r>
        <w:r>
          <w:rPr>
            <w:noProof/>
            <w:webHidden/>
          </w:rPr>
          <w:fldChar w:fldCharType="separate"/>
        </w:r>
        <w:r w:rsidR="00B71818">
          <w:rPr>
            <w:noProof/>
            <w:webHidden/>
          </w:rPr>
          <w:t>6</w:t>
        </w:r>
        <w:r>
          <w:rPr>
            <w:noProof/>
            <w:webHidden/>
          </w:rPr>
          <w:fldChar w:fldCharType="end"/>
        </w:r>
      </w:hyperlink>
    </w:p>
    <w:p w14:paraId="1AD30E72" w14:textId="3A01CE9E"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2" w:history="1">
        <w:r w:rsidRPr="00C82430">
          <w:rPr>
            <w:rStyle w:val="Hyperlink"/>
            <w:noProof/>
          </w:rPr>
          <w:t>Telehealth and digital tools</w:t>
        </w:r>
        <w:r>
          <w:rPr>
            <w:noProof/>
            <w:webHidden/>
          </w:rPr>
          <w:tab/>
        </w:r>
        <w:r>
          <w:rPr>
            <w:noProof/>
            <w:webHidden/>
          </w:rPr>
          <w:fldChar w:fldCharType="begin"/>
        </w:r>
        <w:r>
          <w:rPr>
            <w:noProof/>
            <w:webHidden/>
          </w:rPr>
          <w:instrText xml:space="preserve"> PAGEREF _Toc216775102 \h </w:instrText>
        </w:r>
        <w:r>
          <w:rPr>
            <w:noProof/>
            <w:webHidden/>
          </w:rPr>
        </w:r>
        <w:r>
          <w:rPr>
            <w:noProof/>
            <w:webHidden/>
          </w:rPr>
          <w:fldChar w:fldCharType="separate"/>
        </w:r>
        <w:r w:rsidR="00B71818">
          <w:rPr>
            <w:noProof/>
            <w:webHidden/>
          </w:rPr>
          <w:t>6</w:t>
        </w:r>
        <w:r>
          <w:rPr>
            <w:noProof/>
            <w:webHidden/>
          </w:rPr>
          <w:fldChar w:fldCharType="end"/>
        </w:r>
      </w:hyperlink>
    </w:p>
    <w:p w14:paraId="2DDDE20A" w14:textId="76449A90"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3" w:history="1">
        <w:r w:rsidRPr="00C82430">
          <w:rPr>
            <w:rStyle w:val="Hyperlink"/>
            <w:noProof/>
          </w:rPr>
          <w:t>Emergency and specialist support</w:t>
        </w:r>
        <w:r>
          <w:rPr>
            <w:noProof/>
            <w:webHidden/>
          </w:rPr>
          <w:tab/>
        </w:r>
        <w:r>
          <w:rPr>
            <w:noProof/>
            <w:webHidden/>
          </w:rPr>
          <w:fldChar w:fldCharType="begin"/>
        </w:r>
        <w:r>
          <w:rPr>
            <w:noProof/>
            <w:webHidden/>
          </w:rPr>
          <w:instrText xml:space="preserve"> PAGEREF _Toc216775103 \h </w:instrText>
        </w:r>
        <w:r>
          <w:rPr>
            <w:noProof/>
            <w:webHidden/>
          </w:rPr>
        </w:r>
        <w:r>
          <w:rPr>
            <w:noProof/>
            <w:webHidden/>
          </w:rPr>
          <w:fldChar w:fldCharType="separate"/>
        </w:r>
        <w:r w:rsidR="00B71818">
          <w:rPr>
            <w:noProof/>
            <w:webHidden/>
          </w:rPr>
          <w:t>7</w:t>
        </w:r>
        <w:r>
          <w:rPr>
            <w:noProof/>
            <w:webHidden/>
          </w:rPr>
          <w:fldChar w:fldCharType="end"/>
        </w:r>
      </w:hyperlink>
    </w:p>
    <w:p w14:paraId="34355D12" w14:textId="7D06EC6D"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4" w:history="1">
        <w:r w:rsidRPr="00C82430">
          <w:rPr>
            <w:rStyle w:val="Hyperlink"/>
            <w:noProof/>
          </w:rPr>
          <w:t>Community strengths</w:t>
        </w:r>
        <w:r>
          <w:rPr>
            <w:noProof/>
            <w:webHidden/>
          </w:rPr>
          <w:tab/>
        </w:r>
        <w:r>
          <w:rPr>
            <w:noProof/>
            <w:webHidden/>
          </w:rPr>
          <w:fldChar w:fldCharType="begin"/>
        </w:r>
        <w:r>
          <w:rPr>
            <w:noProof/>
            <w:webHidden/>
          </w:rPr>
          <w:instrText xml:space="preserve"> PAGEREF _Toc216775104 \h </w:instrText>
        </w:r>
        <w:r>
          <w:rPr>
            <w:noProof/>
            <w:webHidden/>
          </w:rPr>
        </w:r>
        <w:r>
          <w:rPr>
            <w:noProof/>
            <w:webHidden/>
          </w:rPr>
          <w:fldChar w:fldCharType="separate"/>
        </w:r>
        <w:r w:rsidR="00B71818">
          <w:rPr>
            <w:noProof/>
            <w:webHidden/>
          </w:rPr>
          <w:t>7</w:t>
        </w:r>
        <w:r>
          <w:rPr>
            <w:noProof/>
            <w:webHidden/>
          </w:rPr>
          <w:fldChar w:fldCharType="end"/>
        </w:r>
      </w:hyperlink>
    </w:p>
    <w:p w14:paraId="7E40414B" w14:textId="28426CA3" w:rsidR="007264AD" w:rsidRDefault="007264AD">
      <w:pPr>
        <w:pStyle w:val="TOC1"/>
        <w:rPr>
          <w:rFonts w:asciiTheme="minorHAnsi" w:eastAsiaTheme="minorEastAsia" w:hAnsiTheme="minorHAnsi" w:cstheme="minorBidi"/>
          <w:noProof/>
          <w:kern w:val="2"/>
          <w:szCs w:val="24"/>
          <w:lang w:eastAsia="en-NZ"/>
          <w14:ligatures w14:val="standardContextual"/>
        </w:rPr>
      </w:pPr>
      <w:hyperlink w:anchor="_Toc216775105" w:history="1">
        <w:r w:rsidRPr="00C82430">
          <w:rPr>
            <w:rStyle w:val="Hyperlink"/>
            <w:noProof/>
          </w:rPr>
          <w:t>Work under way to address the key themes</w:t>
        </w:r>
        <w:r>
          <w:rPr>
            <w:noProof/>
            <w:webHidden/>
          </w:rPr>
          <w:tab/>
        </w:r>
        <w:r>
          <w:rPr>
            <w:noProof/>
            <w:webHidden/>
          </w:rPr>
          <w:fldChar w:fldCharType="begin"/>
        </w:r>
        <w:r>
          <w:rPr>
            <w:noProof/>
            <w:webHidden/>
          </w:rPr>
          <w:instrText xml:space="preserve"> PAGEREF _Toc216775105 \h </w:instrText>
        </w:r>
        <w:r>
          <w:rPr>
            <w:noProof/>
            <w:webHidden/>
          </w:rPr>
        </w:r>
        <w:r>
          <w:rPr>
            <w:noProof/>
            <w:webHidden/>
          </w:rPr>
          <w:fldChar w:fldCharType="separate"/>
        </w:r>
        <w:r w:rsidR="00B71818">
          <w:rPr>
            <w:noProof/>
            <w:webHidden/>
          </w:rPr>
          <w:t>8</w:t>
        </w:r>
        <w:r>
          <w:rPr>
            <w:noProof/>
            <w:webHidden/>
          </w:rPr>
          <w:fldChar w:fldCharType="end"/>
        </w:r>
      </w:hyperlink>
    </w:p>
    <w:p w14:paraId="0215DE93" w14:textId="34B6DEEE" w:rsidR="007264AD" w:rsidRDefault="007264AD">
      <w:pPr>
        <w:pStyle w:val="TOC1"/>
        <w:rPr>
          <w:rFonts w:asciiTheme="minorHAnsi" w:eastAsiaTheme="minorEastAsia" w:hAnsiTheme="minorHAnsi" w:cstheme="minorBidi"/>
          <w:noProof/>
          <w:kern w:val="2"/>
          <w:szCs w:val="24"/>
          <w:lang w:eastAsia="en-NZ"/>
          <w14:ligatures w14:val="standardContextual"/>
        </w:rPr>
      </w:pPr>
      <w:hyperlink w:anchor="_Toc216775106" w:history="1">
        <w:r w:rsidRPr="00C82430">
          <w:rPr>
            <w:rStyle w:val="Hyperlink"/>
            <w:rFonts w:eastAsia="Segoe UI"/>
            <w:noProof/>
          </w:rPr>
          <w:t>Work specifically targeted to rural communities</w:t>
        </w:r>
        <w:r>
          <w:rPr>
            <w:noProof/>
            <w:webHidden/>
          </w:rPr>
          <w:tab/>
        </w:r>
        <w:r>
          <w:rPr>
            <w:noProof/>
            <w:webHidden/>
          </w:rPr>
          <w:fldChar w:fldCharType="begin"/>
        </w:r>
        <w:r>
          <w:rPr>
            <w:noProof/>
            <w:webHidden/>
          </w:rPr>
          <w:instrText xml:space="preserve"> PAGEREF _Toc216775106 \h </w:instrText>
        </w:r>
        <w:r>
          <w:rPr>
            <w:noProof/>
            <w:webHidden/>
          </w:rPr>
        </w:r>
        <w:r>
          <w:rPr>
            <w:noProof/>
            <w:webHidden/>
          </w:rPr>
          <w:fldChar w:fldCharType="separate"/>
        </w:r>
        <w:r w:rsidR="00B71818">
          <w:rPr>
            <w:noProof/>
            <w:webHidden/>
          </w:rPr>
          <w:t>9</w:t>
        </w:r>
        <w:r>
          <w:rPr>
            <w:noProof/>
            <w:webHidden/>
          </w:rPr>
          <w:fldChar w:fldCharType="end"/>
        </w:r>
      </w:hyperlink>
    </w:p>
    <w:p w14:paraId="1C08587D" w14:textId="35A28AF7"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7" w:history="1">
        <w:r w:rsidRPr="00C82430">
          <w:rPr>
            <w:rStyle w:val="Hyperlink"/>
            <w:noProof/>
          </w:rPr>
          <w:t>National Travel Assistance programme</w:t>
        </w:r>
        <w:r>
          <w:rPr>
            <w:noProof/>
            <w:webHidden/>
          </w:rPr>
          <w:tab/>
        </w:r>
        <w:r>
          <w:rPr>
            <w:noProof/>
            <w:webHidden/>
          </w:rPr>
          <w:fldChar w:fldCharType="begin"/>
        </w:r>
        <w:r>
          <w:rPr>
            <w:noProof/>
            <w:webHidden/>
          </w:rPr>
          <w:instrText xml:space="preserve"> PAGEREF _Toc216775107 \h </w:instrText>
        </w:r>
        <w:r>
          <w:rPr>
            <w:noProof/>
            <w:webHidden/>
          </w:rPr>
        </w:r>
        <w:r>
          <w:rPr>
            <w:noProof/>
            <w:webHidden/>
          </w:rPr>
          <w:fldChar w:fldCharType="separate"/>
        </w:r>
        <w:r w:rsidR="00B71818">
          <w:rPr>
            <w:noProof/>
            <w:webHidden/>
          </w:rPr>
          <w:t>9</w:t>
        </w:r>
        <w:r>
          <w:rPr>
            <w:noProof/>
            <w:webHidden/>
          </w:rPr>
          <w:fldChar w:fldCharType="end"/>
        </w:r>
      </w:hyperlink>
    </w:p>
    <w:p w14:paraId="073777E7" w14:textId="75DBF237"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8" w:history="1">
        <w:r w:rsidRPr="00C82430">
          <w:rPr>
            <w:rStyle w:val="Hyperlink"/>
            <w:noProof/>
          </w:rPr>
          <w:t>Urgent and after-hours care</w:t>
        </w:r>
        <w:r>
          <w:rPr>
            <w:noProof/>
            <w:webHidden/>
          </w:rPr>
          <w:tab/>
        </w:r>
        <w:r>
          <w:rPr>
            <w:noProof/>
            <w:webHidden/>
          </w:rPr>
          <w:fldChar w:fldCharType="begin"/>
        </w:r>
        <w:r>
          <w:rPr>
            <w:noProof/>
            <w:webHidden/>
          </w:rPr>
          <w:instrText xml:space="preserve"> PAGEREF _Toc216775108 \h </w:instrText>
        </w:r>
        <w:r>
          <w:rPr>
            <w:noProof/>
            <w:webHidden/>
          </w:rPr>
        </w:r>
        <w:r>
          <w:rPr>
            <w:noProof/>
            <w:webHidden/>
          </w:rPr>
          <w:fldChar w:fldCharType="separate"/>
        </w:r>
        <w:r w:rsidR="00B71818">
          <w:rPr>
            <w:noProof/>
            <w:webHidden/>
          </w:rPr>
          <w:t>10</w:t>
        </w:r>
        <w:r>
          <w:rPr>
            <w:noProof/>
            <w:webHidden/>
          </w:rPr>
          <w:fldChar w:fldCharType="end"/>
        </w:r>
      </w:hyperlink>
    </w:p>
    <w:p w14:paraId="75FF7DC8" w14:textId="12DBBEEE"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09" w:history="1">
        <w:r w:rsidRPr="00C82430">
          <w:rPr>
            <w:rStyle w:val="Hyperlink"/>
            <w:noProof/>
          </w:rPr>
          <w:t>Workforce retention and training</w:t>
        </w:r>
        <w:r>
          <w:rPr>
            <w:noProof/>
            <w:webHidden/>
          </w:rPr>
          <w:tab/>
        </w:r>
        <w:r>
          <w:rPr>
            <w:noProof/>
            <w:webHidden/>
          </w:rPr>
          <w:fldChar w:fldCharType="begin"/>
        </w:r>
        <w:r>
          <w:rPr>
            <w:noProof/>
            <w:webHidden/>
          </w:rPr>
          <w:instrText xml:space="preserve"> PAGEREF _Toc216775109 \h </w:instrText>
        </w:r>
        <w:r>
          <w:rPr>
            <w:noProof/>
            <w:webHidden/>
          </w:rPr>
        </w:r>
        <w:r>
          <w:rPr>
            <w:noProof/>
            <w:webHidden/>
          </w:rPr>
          <w:fldChar w:fldCharType="separate"/>
        </w:r>
        <w:r w:rsidR="00B71818">
          <w:rPr>
            <w:noProof/>
            <w:webHidden/>
          </w:rPr>
          <w:t>10</w:t>
        </w:r>
        <w:r>
          <w:rPr>
            <w:noProof/>
            <w:webHidden/>
          </w:rPr>
          <w:fldChar w:fldCharType="end"/>
        </w:r>
      </w:hyperlink>
    </w:p>
    <w:p w14:paraId="65894994" w14:textId="7641D5A4"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0" w:history="1">
        <w:r w:rsidRPr="00C82430">
          <w:rPr>
            <w:rStyle w:val="Hyperlink"/>
            <w:noProof/>
          </w:rPr>
          <w:t>Geographical Classification for Health</w:t>
        </w:r>
        <w:r>
          <w:rPr>
            <w:noProof/>
            <w:webHidden/>
          </w:rPr>
          <w:tab/>
        </w:r>
        <w:r>
          <w:rPr>
            <w:noProof/>
            <w:webHidden/>
          </w:rPr>
          <w:fldChar w:fldCharType="begin"/>
        </w:r>
        <w:r>
          <w:rPr>
            <w:noProof/>
            <w:webHidden/>
          </w:rPr>
          <w:instrText xml:space="preserve"> PAGEREF _Toc216775110 \h </w:instrText>
        </w:r>
        <w:r>
          <w:rPr>
            <w:noProof/>
            <w:webHidden/>
          </w:rPr>
        </w:r>
        <w:r>
          <w:rPr>
            <w:noProof/>
            <w:webHidden/>
          </w:rPr>
          <w:fldChar w:fldCharType="separate"/>
        </w:r>
        <w:r w:rsidR="00B71818">
          <w:rPr>
            <w:noProof/>
            <w:webHidden/>
          </w:rPr>
          <w:t>12</w:t>
        </w:r>
        <w:r>
          <w:rPr>
            <w:noProof/>
            <w:webHidden/>
          </w:rPr>
          <w:fldChar w:fldCharType="end"/>
        </w:r>
      </w:hyperlink>
    </w:p>
    <w:p w14:paraId="5ED8B092" w14:textId="67B76F4E"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1" w:history="1">
        <w:r w:rsidRPr="00C82430">
          <w:rPr>
            <w:rStyle w:val="Hyperlink"/>
            <w:noProof/>
          </w:rPr>
          <w:t>Mental health and addiction</w:t>
        </w:r>
        <w:r>
          <w:rPr>
            <w:noProof/>
            <w:webHidden/>
          </w:rPr>
          <w:tab/>
        </w:r>
        <w:r>
          <w:rPr>
            <w:noProof/>
            <w:webHidden/>
          </w:rPr>
          <w:fldChar w:fldCharType="begin"/>
        </w:r>
        <w:r>
          <w:rPr>
            <w:noProof/>
            <w:webHidden/>
          </w:rPr>
          <w:instrText xml:space="preserve"> PAGEREF _Toc216775111 \h </w:instrText>
        </w:r>
        <w:r>
          <w:rPr>
            <w:noProof/>
            <w:webHidden/>
          </w:rPr>
        </w:r>
        <w:r>
          <w:rPr>
            <w:noProof/>
            <w:webHidden/>
          </w:rPr>
          <w:fldChar w:fldCharType="separate"/>
        </w:r>
        <w:r w:rsidR="00B71818">
          <w:rPr>
            <w:noProof/>
            <w:webHidden/>
          </w:rPr>
          <w:t>13</w:t>
        </w:r>
        <w:r>
          <w:rPr>
            <w:noProof/>
            <w:webHidden/>
          </w:rPr>
          <w:fldChar w:fldCharType="end"/>
        </w:r>
      </w:hyperlink>
    </w:p>
    <w:p w14:paraId="39FAA9E8" w14:textId="46A35FCD"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2" w:history="1">
        <w:r w:rsidRPr="00C82430">
          <w:rPr>
            <w:rStyle w:val="Hyperlink"/>
            <w:noProof/>
          </w:rPr>
          <w:t>Funding and resource allocation</w:t>
        </w:r>
        <w:r>
          <w:rPr>
            <w:noProof/>
            <w:webHidden/>
          </w:rPr>
          <w:tab/>
        </w:r>
        <w:r>
          <w:rPr>
            <w:noProof/>
            <w:webHidden/>
          </w:rPr>
          <w:fldChar w:fldCharType="begin"/>
        </w:r>
        <w:r>
          <w:rPr>
            <w:noProof/>
            <w:webHidden/>
          </w:rPr>
          <w:instrText xml:space="preserve"> PAGEREF _Toc216775112 \h </w:instrText>
        </w:r>
        <w:r>
          <w:rPr>
            <w:noProof/>
            <w:webHidden/>
          </w:rPr>
        </w:r>
        <w:r>
          <w:rPr>
            <w:noProof/>
            <w:webHidden/>
          </w:rPr>
          <w:fldChar w:fldCharType="separate"/>
        </w:r>
        <w:r w:rsidR="00B71818">
          <w:rPr>
            <w:noProof/>
            <w:webHidden/>
          </w:rPr>
          <w:t>15</w:t>
        </w:r>
        <w:r>
          <w:rPr>
            <w:noProof/>
            <w:webHidden/>
          </w:rPr>
          <w:fldChar w:fldCharType="end"/>
        </w:r>
      </w:hyperlink>
    </w:p>
    <w:p w14:paraId="6054ED17" w14:textId="663DE405" w:rsidR="007264AD" w:rsidRDefault="007264AD">
      <w:pPr>
        <w:pStyle w:val="TOC1"/>
        <w:rPr>
          <w:rFonts w:asciiTheme="minorHAnsi" w:eastAsiaTheme="minorEastAsia" w:hAnsiTheme="minorHAnsi" w:cstheme="minorBidi"/>
          <w:noProof/>
          <w:kern w:val="2"/>
          <w:szCs w:val="24"/>
          <w:lang w:eastAsia="en-NZ"/>
          <w14:ligatures w14:val="standardContextual"/>
        </w:rPr>
      </w:pPr>
      <w:hyperlink w:anchor="_Toc216775113" w:history="1">
        <w:r w:rsidRPr="00C82430">
          <w:rPr>
            <w:rStyle w:val="Hyperlink"/>
            <w:noProof/>
          </w:rPr>
          <w:t>Broader work</w:t>
        </w:r>
        <w:r>
          <w:rPr>
            <w:noProof/>
            <w:webHidden/>
          </w:rPr>
          <w:tab/>
        </w:r>
        <w:r>
          <w:rPr>
            <w:noProof/>
            <w:webHidden/>
          </w:rPr>
          <w:fldChar w:fldCharType="begin"/>
        </w:r>
        <w:r>
          <w:rPr>
            <w:noProof/>
            <w:webHidden/>
          </w:rPr>
          <w:instrText xml:space="preserve"> PAGEREF _Toc216775113 \h </w:instrText>
        </w:r>
        <w:r>
          <w:rPr>
            <w:noProof/>
            <w:webHidden/>
          </w:rPr>
        </w:r>
        <w:r>
          <w:rPr>
            <w:noProof/>
            <w:webHidden/>
          </w:rPr>
          <w:fldChar w:fldCharType="separate"/>
        </w:r>
        <w:r w:rsidR="00B71818">
          <w:rPr>
            <w:noProof/>
            <w:webHidden/>
          </w:rPr>
          <w:t>17</w:t>
        </w:r>
        <w:r>
          <w:rPr>
            <w:noProof/>
            <w:webHidden/>
          </w:rPr>
          <w:fldChar w:fldCharType="end"/>
        </w:r>
      </w:hyperlink>
    </w:p>
    <w:p w14:paraId="351873F5" w14:textId="0A92B6DC"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4" w:history="1">
        <w:r w:rsidRPr="00C82430">
          <w:rPr>
            <w:rStyle w:val="Hyperlink"/>
            <w:noProof/>
          </w:rPr>
          <w:t>Voluntary Bonding Scheme</w:t>
        </w:r>
        <w:r>
          <w:rPr>
            <w:noProof/>
            <w:webHidden/>
          </w:rPr>
          <w:tab/>
        </w:r>
        <w:r>
          <w:rPr>
            <w:noProof/>
            <w:webHidden/>
          </w:rPr>
          <w:fldChar w:fldCharType="begin"/>
        </w:r>
        <w:r>
          <w:rPr>
            <w:noProof/>
            <w:webHidden/>
          </w:rPr>
          <w:instrText xml:space="preserve"> PAGEREF _Toc216775114 \h </w:instrText>
        </w:r>
        <w:r>
          <w:rPr>
            <w:noProof/>
            <w:webHidden/>
          </w:rPr>
        </w:r>
        <w:r>
          <w:rPr>
            <w:noProof/>
            <w:webHidden/>
          </w:rPr>
          <w:fldChar w:fldCharType="separate"/>
        </w:r>
        <w:r w:rsidR="00B71818">
          <w:rPr>
            <w:noProof/>
            <w:webHidden/>
          </w:rPr>
          <w:t>17</w:t>
        </w:r>
        <w:r>
          <w:rPr>
            <w:noProof/>
            <w:webHidden/>
          </w:rPr>
          <w:fldChar w:fldCharType="end"/>
        </w:r>
      </w:hyperlink>
    </w:p>
    <w:p w14:paraId="0625475D" w14:textId="27EF3363"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5" w:history="1">
        <w:r w:rsidRPr="00C82430">
          <w:rPr>
            <w:rStyle w:val="Hyperlink"/>
            <w:noProof/>
          </w:rPr>
          <w:t>Māori</w:t>
        </w:r>
        <w:r>
          <w:rPr>
            <w:noProof/>
            <w:webHidden/>
          </w:rPr>
          <w:tab/>
        </w:r>
        <w:r>
          <w:rPr>
            <w:noProof/>
            <w:webHidden/>
          </w:rPr>
          <w:fldChar w:fldCharType="begin"/>
        </w:r>
        <w:r>
          <w:rPr>
            <w:noProof/>
            <w:webHidden/>
          </w:rPr>
          <w:instrText xml:space="preserve"> PAGEREF _Toc216775115 \h </w:instrText>
        </w:r>
        <w:r>
          <w:rPr>
            <w:noProof/>
            <w:webHidden/>
          </w:rPr>
        </w:r>
        <w:r>
          <w:rPr>
            <w:noProof/>
            <w:webHidden/>
          </w:rPr>
          <w:fldChar w:fldCharType="separate"/>
        </w:r>
        <w:r w:rsidR="00B71818">
          <w:rPr>
            <w:noProof/>
            <w:webHidden/>
          </w:rPr>
          <w:t>17</w:t>
        </w:r>
        <w:r>
          <w:rPr>
            <w:noProof/>
            <w:webHidden/>
          </w:rPr>
          <w:fldChar w:fldCharType="end"/>
        </w:r>
      </w:hyperlink>
    </w:p>
    <w:p w14:paraId="5F2F6797" w14:textId="0CBC3BC6"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6" w:history="1">
        <w:r w:rsidRPr="00C82430">
          <w:rPr>
            <w:rStyle w:val="Hyperlink"/>
            <w:noProof/>
          </w:rPr>
          <w:t>Maternity</w:t>
        </w:r>
        <w:r>
          <w:rPr>
            <w:noProof/>
            <w:webHidden/>
          </w:rPr>
          <w:tab/>
        </w:r>
        <w:r>
          <w:rPr>
            <w:noProof/>
            <w:webHidden/>
          </w:rPr>
          <w:fldChar w:fldCharType="begin"/>
        </w:r>
        <w:r>
          <w:rPr>
            <w:noProof/>
            <w:webHidden/>
          </w:rPr>
          <w:instrText xml:space="preserve"> PAGEREF _Toc216775116 \h </w:instrText>
        </w:r>
        <w:r>
          <w:rPr>
            <w:noProof/>
            <w:webHidden/>
          </w:rPr>
        </w:r>
        <w:r>
          <w:rPr>
            <w:noProof/>
            <w:webHidden/>
          </w:rPr>
          <w:fldChar w:fldCharType="separate"/>
        </w:r>
        <w:r w:rsidR="00B71818">
          <w:rPr>
            <w:noProof/>
            <w:webHidden/>
          </w:rPr>
          <w:t>18</w:t>
        </w:r>
        <w:r>
          <w:rPr>
            <w:noProof/>
            <w:webHidden/>
          </w:rPr>
          <w:fldChar w:fldCharType="end"/>
        </w:r>
      </w:hyperlink>
    </w:p>
    <w:p w14:paraId="38A5FD86" w14:textId="435296A8"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7" w:history="1">
        <w:r w:rsidRPr="00C82430">
          <w:rPr>
            <w:rStyle w:val="Hyperlink"/>
            <w:noProof/>
          </w:rPr>
          <w:t>Oral health</w:t>
        </w:r>
        <w:r>
          <w:rPr>
            <w:noProof/>
            <w:webHidden/>
          </w:rPr>
          <w:tab/>
        </w:r>
        <w:r>
          <w:rPr>
            <w:noProof/>
            <w:webHidden/>
          </w:rPr>
          <w:fldChar w:fldCharType="begin"/>
        </w:r>
        <w:r>
          <w:rPr>
            <w:noProof/>
            <w:webHidden/>
          </w:rPr>
          <w:instrText xml:space="preserve"> PAGEREF _Toc216775117 \h </w:instrText>
        </w:r>
        <w:r>
          <w:rPr>
            <w:noProof/>
            <w:webHidden/>
          </w:rPr>
        </w:r>
        <w:r>
          <w:rPr>
            <w:noProof/>
            <w:webHidden/>
          </w:rPr>
          <w:fldChar w:fldCharType="separate"/>
        </w:r>
        <w:r w:rsidR="00B71818">
          <w:rPr>
            <w:noProof/>
            <w:webHidden/>
          </w:rPr>
          <w:t>18</w:t>
        </w:r>
        <w:r>
          <w:rPr>
            <w:noProof/>
            <w:webHidden/>
          </w:rPr>
          <w:fldChar w:fldCharType="end"/>
        </w:r>
      </w:hyperlink>
    </w:p>
    <w:p w14:paraId="52FBC636" w14:textId="5A198076"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8" w:history="1">
        <w:r w:rsidRPr="00C82430">
          <w:rPr>
            <w:rStyle w:val="Hyperlink"/>
            <w:noProof/>
          </w:rPr>
          <w:t>Aged care</w:t>
        </w:r>
        <w:r>
          <w:rPr>
            <w:noProof/>
            <w:webHidden/>
          </w:rPr>
          <w:tab/>
        </w:r>
        <w:r>
          <w:rPr>
            <w:noProof/>
            <w:webHidden/>
          </w:rPr>
          <w:fldChar w:fldCharType="begin"/>
        </w:r>
        <w:r>
          <w:rPr>
            <w:noProof/>
            <w:webHidden/>
          </w:rPr>
          <w:instrText xml:space="preserve"> PAGEREF _Toc216775118 \h </w:instrText>
        </w:r>
        <w:r>
          <w:rPr>
            <w:noProof/>
            <w:webHidden/>
          </w:rPr>
        </w:r>
        <w:r>
          <w:rPr>
            <w:noProof/>
            <w:webHidden/>
          </w:rPr>
          <w:fldChar w:fldCharType="separate"/>
        </w:r>
        <w:r w:rsidR="00B71818">
          <w:rPr>
            <w:noProof/>
            <w:webHidden/>
          </w:rPr>
          <w:t>19</w:t>
        </w:r>
        <w:r>
          <w:rPr>
            <w:noProof/>
            <w:webHidden/>
          </w:rPr>
          <w:fldChar w:fldCharType="end"/>
        </w:r>
      </w:hyperlink>
    </w:p>
    <w:p w14:paraId="1FEFD8DD" w14:textId="0F7ED339"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19" w:history="1">
        <w:r w:rsidRPr="00C82430">
          <w:rPr>
            <w:rStyle w:val="Hyperlink"/>
            <w:noProof/>
          </w:rPr>
          <w:t>Youth vaping rates</w:t>
        </w:r>
        <w:r>
          <w:rPr>
            <w:noProof/>
            <w:webHidden/>
          </w:rPr>
          <w:tab/>
        </w:r>
        <w:r>
          <w:rPr>
            <w:noProof/>
            <w:webHidden/>
          </w:rPr>
          <w:fldChar w:fldCharType="begin"/>
        </w:r>
        <w:r>
          <w:rPr>
            <w:noProof/>
            <w:webHidden/>
          </w:rPr>
          <w:instrText xml:space="preserve"> PAGEREF _Toc216775119 \h </w:instrText>
        </w:r>
        <w:r>
          <w:rPr>
            <w:noProof/>
            <w:webHidden/>
          </w:rPr>
        </w:r>
        <w:r>
          <w:rPr>
            <w:noProof/>
            <w:webHidden/>
          </w:rPr>
          <w:fldChar w:fldCharType="separate"/>
        </w:r>
        <w:r w:rsidR="00B71818">
          <w:rPr>
            <w:noProof/>
            <w:webHidden/>
          </w:rPr>
          <w:t>19</w:t>
        </w:r>
        <w:r>
          <w:rPr>
            <w:noProof/>
            <w:webHidden/>
          </w:rPr>
          <w:fldChar w:fldCharType="end"/>
        </w:r>
      </w:hyperlink>
    </w:p>
    <w:p w14:paraId="4F5F688E" w14:textId="5162D8DE"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20" w:history="1">
        <w:r w:rsidRPr="00C82430">
          <w:rPr>
            <w:rStyle w:val="Hyperlink"/>
            <w:noProof/>
          </w:rPr>
          <w:t>Telehealth and digital health</w:t>
        </w:r>
        <w:r>
          <w:rPr>
            <w:noProof/>
            <w:webHidden/>
          </w:rPr>
          <w:tab/>
        </w:r>
        <w:r>
          <w:rPr>
            <w:noProof/>
            <w:webHidden/>
          </w:rPr>
          <w:fldChar w:fldCharType="begin"/>
        </w:r>
        <w:r>
          <w:rPr>
            <w:noProof/>
            <w:webHidden/>
          </w:rPr>
          <w:instrText xml:space="preserve"> PAGEREF _Toc216775120 \h </w:instrText>
        </w:r>
        <w:r>
          <w:rPr>
            <w:noProof/>
            <w:webHidden/>
          </w:rPr>
        </w:r>
        <w:r>
          <w:rPr>
            <w:noProof/>
            <w:webHidden/>
          </w:rPr>
          <w:fldChar w:fldCharType="separate"/>
        </w:r>
        <w:r w:rsidR="00B71818">
          <w:rPr>
            <w:noProof/>
            <w:webHidden/>
          </w:rPr>
          <w:t>20</w:t>
        </w:r>
        <w:r>
          <w:rPr>
            <w:noProof/>
            <w:webHidden/>
          </w:rPr>
          <w:fldChar w:fldCharType="end"/>
        </w:r>
      </w:hyperlink>
    </w:p>
    <w:p w14:paraId="1A3AFA5D" w14:textId="5CB57C14"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21" w:history="1">
        <w:r w:rsidRPr="00C82430">
          <w:rPr>
            <w:rStyle w:val="Hyperlink"/>
            <w:noProof/>
          </w:rPr>
          <w:t>Digital connectivity</w:t>
        </w:r>
        <w:r>
          <w:rPr>
            <w:noProof/>
            <w:webHidden/>
          </w:rPr>
          <w:tab/>
        </w:r>
        <w:r>
          <w:rPr>
            <w:noProof/>
            <w:webHidden/>
          </w:rPr>
          <w:fldChar w:fldCharType="begin"/>
        </w:r>
        <w:r>
          <w:rPr>
            <w:noProof/>
            <w:webHidden/>
          </w:rPr>
          <w:instrText xml:space="preserve"> PAGEREF _Toc216775121 \h </w:instrText>
        </w:r>
        <w:r>
          <w:rPr>
            <w:noProof/>
            <w:webHidden/>
          </w:rPr>
        </w:r>
        <w:r>
          <w:rPr>
            <w:noProof/>
            <w:webHidden/>
          </w:rPr>
          <w:fldChar w:fldCharType="separate"/>
        </w:r>
        <w:r w:rsidR="00B71818">
          <w:rPr>
            <w:noProof/>
            <w:webHidden/>
          </w:rPr>
          <w:t>20</w:t>
        </w:r>
        <w:r>
          <w:rPr>
            <w:noProof/>
            <w:webHidden/>
          </w:rPr>
          <w:fldChar w:fldCharType="end"/>
        </w:r>
      </w:hyperlink>
    </w:p>
    <w:p w14:paraId="63A36F0A" w14:textId="181B2B91" w:rsidR="007264AD" w:rsidRDefault="007264AD">
      <w:pPr>
        <w:pStyle w:val="TOC2"/>
        <w:rPr>
          <w:rFonts w:asciiTheme="minorHAnsi" w:eastAsiaTheme="minorEastAsia" w:hAnsiTheme="minorHAnsi" w:cstheme="minorBidi"/>
          <w:noProof/>
          <w:kern w:val="2"/>
          <w:sz w:val="24"/>
          <w:szCs w:val="24"/>
          <w:lang w:eastAsia="en-NZ"/>
          <w14:ligatures w14:val="standardContextual"/>
        </w:rPr>
      </w:pPr>
      <w:hyperlink w:anchor="_Toc216775122" w:history="1">
        <w:r w:rsidRPr="00C82430">
          <w:rPr>
            <w:rStyle w:val="Hyperlink"/>
            <w:noProof/>
          </w:rPr>
          <w:t>Community pharmacy</w:t>
        </w:r>
        <w:r>
          <w:rPr>
            <w:noProof/>
            <w:webHidden/>
          </w:rPr>
          <w:tab/>
        </w:r>
        <w:r>
          <w:rPr>
            <w:noProof/>
            <w:webHidden/>
          </w:rPr>
          <w:fldChar w:fldCharType="begin"/>
        </w:r>
        <w:r>
          <w:rPr>
            <w:noProof/>
            <w:webHidden/>
          </w:rPr>
          <w:instrText xml:space="preserve"> PAGEREF _Toc216775122 \h </w:instrText>
        </w:r>
        <w:r>
          <w:rPr>
            <w:noProof/>
            <w:webHidden/>
          </w:rPr>
        </w:r>
        <w:r>
          <w:rPr>
            <w:noProof/>
            <w:webHidden/>
          </w:rPr>
          <w:fldChar w:fldCharType="separate"/>
        </w:r>
        <w:r w:rsidR="00B71818">
          <w:rPr>
            <w:noProof/>
            <w:webHidden/>
          </w:rPr>
          <w:t>20</w:t>
        </w:r>
        <w:r>
          <w:rPr>
            <w:noProof/>
            <w:webHidden/>
          </w:rPr>
          <w:fldChar w:fldCharType="end"/>
        </w:r>
      </w:hyperlink>
    </w:p>
    <w:p w14:paraId="0FE7C7C0" w14:textId="23E563E0" w:rsidR="007264AD" w:rsidRDefault="007264AD">
      <w:pPr>
        <w:pStyle w:val="TOC1"/>
        <w:rPr>
          <w:rFonts w:asciiTheme="minorHAnsi" w:eastAsiaTheme="minorEastAsia" w:hAnsiTheme="minorHAnsi" w:cstheme="minorBidi"/>
          <w:noProof/>
          <w:kern w:val="2"/>
          <w:szCs w:val="24"/>
          <w:lang w:eastAsia="en-NZ"/>
          <w14:ligatures w14:val="standardContextual"/>
        </w:rPr>
      </w:pPr>
      <w:hyperlink w:anchor="_Toc216775123" w:history="1">
        <w:r w:rsidRPr="00C82430">
          <w:rPr>
            <w:rStyle w:val="Hyperlink"/>
            <w:rFonts w:eastAsia="Segoe UI" w:cs="Segoe UI"/>
            <w:noProof/>
          </w:rPr>
          <w:t xml:space="preserve">Appendix One: </w:t>
        </w:r>
        <w:r w:rsidRPr="00C82430">
          <w:rPr>
            <w:rStyle w:val="Hyperlink"/>
            <w:noProof/>
          </w:rPr>
          <w:t>Case study:</w:t>
        </w:r>
        <w:r w:rsidRPr="00C82430">
          <w:rPr>
            <w:rStyle w:val="Hyperlink"/>
            <w:rFonts w:eastAsia="Segoe UI" w:cs="Segoe UI"/>
            <w:bCs/>
            <w:noProof/>
          </w:rPr>
          <w:t xml:space="preserve"> </w:t>
        </w:r>
        <w:r w:rsidRPr="00C82430">
          <w:rPr>
            <w:rStyle w:val="Hyperlink"/>
            <w:noProof/>
          </w:rPr>
          <w:t>Aligning work at Te Aho o Te Kahu – Cancer Control Agency</w:t>
        </w:r>
        <w:r>
          <w:rPr>
            <w:noProof/>
            <w:webHidden/>
          </w:rPr>
          <w:tab/>
        </w:r>
        <w:r>
          <w:rPr>
            <w:noProof/>
            <w:webHidden/>
          </w:rPr>
          <w:fldChar w:fldCharType="begin"/>
        </w:r>
        <w:r>
          <w:rPr>
            <w:noProof/>
            <w:webHidden/>
          </w:rPr>
          <w:instrText xml:space="preserve"> PAGEREF _Toc216775123 \h </w:instrText>
        </w:r>
        <w:r>
          <w:rPr>
            <w:noProof/>
            <w:webHidden/>
          </w:rPr>
        </w:r>
        <w:r>
          <w:rPr>
            <w:noProof/>
            <w:webHidden/>
          </w:rPr>
          <w:fldChar w:fldCharType="separate"/>
        </w:r>
        <w:r w:rsidR="00B71818">
          <w:rPr>
            <w:noProof/>
            <w:webHidden/>
          </w:rPr>
          <w:t>22</w:t>
        </w:r>
        <w:r>
          <w:rPr>
            <w:noProof/>
            <w:webHidden/>
          </w:rPr>
          <w:fldChar w:fldCharType="end"/>
        </w:r>
      </w:hyperlink>
    </w:p>
    <w:p w14:paraId="133A9219" w14:textId="49E6C08E" w:rsidR="00C86248" w:rsidRDefault="007264AD">
      <w:r>
        <w:rPr>
          <w:rFonts w:ascii="Segoe UI Semibold" w:hAnsi="Segoe UI Semibold"/>
          <w:b/>
          <w:sz w:val="24"/>
        </w:rPr>
        <w:fldChar w:fldCharType="end"/>
      </w:r>
    </w:p>
    <w:p w14:paraId="49038387" w14:textId="77777777" w:rsidR="003A5FEA" w:rsidRDefault="003A5FEA" w:rsidP="001D3E4E">
      <w:pPr>
        <w:pStyle w:val="TOC1"/>
        <w:keepNext/>
      </w:pPr>
      <w:r>
        <w:lastRenderedPageBreak/>
        <w:t>List of Figures</w:t>
      </w:r>
    </w:p>
    <w:p w14:paraId="5A33E811" w14:textId="1DCBFFF9" w:rsidR="007D0F84" w:rsidRDefault="003A5FEA">
      <w:pPr>
        <w:pStyle w:val="TOC3"/>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\t "Figure,3" </w:instrText>
      </w:r>
      <w:r>
        <w:fldChar w:fldCharType="separate"/>
      </w:r>
      <w:r w:rsidR="007D0F84">
        <w:rPr>
          <w:noProof/>
        </w:rPr>
        <w:t>Figure 1: Roadshow themes mapped against the Rural Health Strategy priority areas</w:t>
      </w:r>
      <w:r w:rsidR="007D0F84">
        <w:rPr>
          <w:noProof/>
        </w:rPr>
        <w:tab/>
      </w:r>
      <w:r w:rsidR="007D0F84">
        <w:rPr>
          <w:noProof/>
        </w:rPr>
        <w:fldChar w:fldCharType="begin"/>
      </w:r>
      <w:r w:rsidR="007D0F84">
        <w:rPr>
          <w:noProof/>
        </w:rPr>
        <w:instrText xml:space="preserve"> PAGEREF _Toc216591268 \h </w:instrText>
      </w:r>
      <w:r w:rsidR="007D0F84">
        <w:rPr>
          <w:noProof/>
        </w:rPr>
      </w:r>
      <w:r w:rsidR="007D0F84">
        <w:rPr>
          <w:noProof/>
        </w:rPr>
        <w:fldChar w:fldCharType="separate"/>
      </w:r>
      <w:r w:rsidR="00B71818">
        <w:rPr>
          <w:noProof/>
        </w:rPr>
        <w:t>5</w:t>
      </w:r>
      <w:r w:rsidR="007D0F84">
        <w:rPr>
          <w:noProof/>
        </w:rPr>
        <w:fldChar w:fldCharType="end"/>
      </w:r>
    </w:p>
    <w:p w14:paraId="05CC63FD" w14:textId="145AAA45" w:rsidR="003A5FEA" w:rsidRDefault="003A5FEA" w:rsidP="003A5FEA">
      <w:r>
        <w:fldChar w:fldCharType="end"/>
      </w:r>
    </w:p>
    <w:p w14:paraId="4A6797B1" w14:textId="02453CBA" w:rsidR="002B76A7" w:rsidRDefault="002B76A7" w:rsidP="003A5FEA"/>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6889BC0F" w14:textId="77777777" w:rsidR="009A42D5" w:rsidRPr="0043478F" w:rsidRDefault="009A42D5" w:rsidP="0008437D">
      <w:pPr>
        <w:ind w:left="-2268" w:right="-1701"/>
      </w:pPr>
    </w:p>
    <w:p w14:paraId="6226C0A1" w14:textId="77777777" w:rsidR="00AE7C27" w:rsidRPr="002857F4" w:rsidRDefault="00AE7C27" w:rsidP="00AE7C27">
      <w:pPr>
        <w:pStyle w:val="Heading1"/>
        <w:spacing w:before="0"/>
      </w:pPr>
      <w:bookmarkStart w:id="2" w:name="_Toc216264593"/>
      <w:bookmarkStart w:id="3" w:name="_Toc216591239"/>
      <w:bookmarkStart w:id="4" w:name="_Toc216775095"/>
      <w:r w:rsidRPr="00147012">
        <w:t>Introduction</w:t>
      </w:r>
      <w:bookmarkEnd w:id="2"/>
      <w:bookmarkEnd w:id="3"/>
      <w:bookmarkEnd w:id="4"/>
      <w:r>
        <w:t xml:space="preserve"> </w:t>
      </w:r>
    </w:p>
    <w:p w14:paraId="03B8BCF4" w14:textId="77777777" w:rsidR="00AE7C27" w:rsidRPr="002857F4" w:rsidRDefault="00AE7C27" w:rsidP="00AE7C27">
      <w:r w:rsidRPr="002857F4">
        <w:t>The Rural Health Roadshow was undertaken throughout 2025,</w:t>
      </w:r>
      <w:r>
        <w:t xml:space="preserve"> involving</w:t>
      </w:r>
      <w:r w:rsidRPr="002857F4">
        <w:t xml:space="preserve"> visit</w:t>
      </w:r>
      <w:r>
        <w:t>s to</w:t>
      </w:r>
      <w:r w:rsidRPr="002857F4">
        <w:t xml:space="preserve"> 13 locations to review progress against the Rural Health Strategy. These events provided an opportunity to engage with rural communities, check what is working well and identify areas for improvement.</w:t>
      </w:r>
    </w:p>
    <w:p w14:paraId="613595A9" w14:textId="77777777" w:rsidR="00AE7C27" w:rsidRPr="002857F4" w:rsidRDefault="00AE7C27" w:rsidP="00AE7C27">
      <w:pPr>
        <w:pStyle w:val="Heading2"/>
      </w:pPr>
      <w:bookmarkStart w:id="5" w:name="_Toc216264594"/>
      <w:bookmarkStart w:id="6" w:name="_Toc216591240"/>
      <w:bookmarkStart w:id="7" w:name="_Toc216775096"/>
      <w:r w:rsidRPr="002857F4">
        <w:t>Context</w:t>
      </w:r>
      <w:bookmarkEnd w:id="5"/>
      <w:bookmarkEnd w:id="6"/>
      <w:bookmarkEnd w:id="7"/>
    </w:p>
    <w:p w14:paraId="5FBB5700" w14:textId="77777777" w:rsidR="00AE7C27" w:rsidRDefault="00AE7C27" w:rsidP="00AE7C27">
      <w:r w:rsidRPr="002857F4">
        <w:t xml:space="preserve">People living in rural areas experience poorer health outcomes compared </w:t>
      </w:r>
      <w:r>
        <w:t>with</w:t>
      </w:r>
      <w:r w:rsidRPr="002857F4">
        <w:t xml:space="preserve"> urban populations. They have higher rates of chronic conditions</w:t>
      </w:r>
      <w:r>
        <w:t xml:space="preserve"> and</w:t>
      </w:r>
      <w:r w:rsidRPr="002857F4">
        <w:t xml:space="preserve"> mental health challenges, and face greater barriers to accessing timely care. Rural communities also have a higher proportion of older people and Māori</w:t>
      </w:r>
      <w:r>
        <w:t xml:space="preserve"> than the general population</w:t>
      </w:r>
      <w:r w:rsidRPr="002857F4">
        <w:t xml:space="preserve">, and many live in the most </w:t>
      </w:r>
      <w:r>
        <w:t xml:space="preserve">socioeconomically </w:t>
      </w:r>
      <w:r w:rsidRPr="002857F4">
        <w:t>deprived areas of Aotearoa</w:t>
      </w:r>
      <w:r>
        <w:t xml:space="preserve"> New Zealand</w:t>
      </w:r>
      <w:r w:rsidRPr="002857F4">
        <w:t>. These factors compound inequities and make improving rural health a priority.</w:t>
      </w:r>
    </w:p>
    <w:p w14:paraId="042EAA91" w14:textId="77777777" w:rsidR="00AE7C27" w:rsidRPr="002857F4" w:rsidRDefault="00AE7C27" w:rsidP="00AE7C27"/>
    <w:p w14:paraId="31057657" w14:textId="77777777" w:rsidR="00AE7C27" w:rsidRDefault="00AE7C27" w:rsidP="00AE7C27">
      <w:r w:rsidRPr="002857F4">
        <w:t xml:space="preserve">The rural health workforce faces significant challenges, including workforce shortages, difficulty attracting and retaining staff, and limited flexibility in roles. Many rural clinicians work across broad scopes of practice, often without the same support or infrastructure </w:t>
      </w:r>
      <w:r>
        <w:t xml:space="preserve">that is </w:t>
      </w:r>
      <w:r w:rsidRPr="002857F4">
        <w:t xml:space="preserve">available in urban settings. These pressures affect </w:t>
      </w:r>
      <w:r>
        <w:t xml:space="preserve">the </w:t>
      </w:r>
      <w:r w:rsidRPr="002857F4">
        <w:t xml:space="preserve">sustainability </w:t>
      </w:r>
      <w:r>
        <w:t xml:space="preserve">of the workforce </w:t>
      </w:r>
      <w:r w:rsidRPr="002857F4">
        <w:t>and delivery</w:t>
      </w:r>
      <w:r>
        <w:t xml:space="preserve"> of services</w:t>
      </w:r>
      <w:r w:rsidRPr="002857F4">
        <w:t>.</w:t>
      </w:r>
    </w:p>
    <w:p w14:paraId="2613AE13" w14:textId="77777777" w:rsidR="00AE7C27" w:rsidRPr="002857F4" w:rsidRDefault="00AE7C27" w:rsidP="00AE7C27"/>
    <w:p w14:paraId="3999AB31" w14:textId="77777777" w:rsidR="00AE7C27" w:rsidRDefault="00AE7C27" w:rsidP="00AE7C27">
      <w:r w:rsidRPr="002857F4">
        <w:t xml:space="preserve">While </w:t>
      </w:r>
      <w:r>
        <w:t>we have a</w:t>
      </w:r>
      <w:r w:rsidRPr="002857F4">
        <w:t xml:space="preserve"> good </w:t>
      </w:r>
      <w:r w:rsidRPr="0028689F">
        <w:t>understanding of rural health issues overall, there are still gaps in the data, and each community has its own distinct needs</w:t>
      </w:r>
      <w:r>
        <w:t xml:space="preserve">. </w:t>
      </w:r>
      <w:r w:rsidRPr="002857F4">
        <w:t>Building relationships</w:t>
      </w:r>
      <w:r>
        <w:t xml:space="preserve"> with those communities</w:t>
      </w:r>
      <w:r w:rsidRPr="002857F4">
        <w:t xml:space="preserve"> and hearing directly from rural people is essential because communities often hold the solutions. Their insights help shape practical, locally relevant approaches.</w:t>
      </w:r>
    </w:p>
    <w:p w14:paraId="7EAC26CF" w14:textId="77777777" w:rsidR="00AE7C27" w:rsidRPr="002857F4" w:rsidRDefault="00AE7C27" w:rsidP="00AE7C27"/>
    <w:p w14:paraId="57494A7F" w14:textId="77777777" w:rsidR="00AE7C27" w:rsidRPr="002857F4" w:rsidRDefault="00AE7C27" w:rsidP="00AE7C27">
      <w:r w:rsidRPr="002857F4">
        <w:t>Published in 2023 and mandated under the Pae Ora (Healthy Futures) Act 2022, the Rural Health Strategy recognises rural communities as a priority group with higher health needs and access challenges</w:t>
      </w:r>
      <w:r>
        <w:t xml:space="preserve"> than the general population of New Zealand</w:t>
      </w:r>
      <w:r w:rsidRPr="002857F4">
        <w:t>. It sets out five priorities for improving rural health outcomes:</w:t>
      </w:r>
    </w:p>
    <w:p w14:paraId="31BBBFDB" w14:textId="77777777" w:rsidR="00AE7C27" w:rsidRPr="00AE7C27" w:rsidRDefault="00AE7C27" w:rsidP="00AE7C27">
      <w:pPr>
        <w:pStyle w:val="Bullet"/>
      </w:pPr>
      <w:r w:rsidRPr="00AE7C27">
        <w:t>considering rural communities as a priority group</w:t>
      </w:r>
    </w:p>
    <w:p w14:paraId="0ABC069C" w14:textId="77777777" w:rsidR="00AE7C27" w:rsidRPr="00AE7C27" w:rsidRDefault="00AE7C27" w:rsidP="00AE7C27">
      <w:pPr>
        <w:pStyle w:val="Bullet"/>
      </w:pPr>
      <w:r w:rsidRPr="00AE7C27">
        <w:t>prevention, paving the path to a healthier future</w:t>
      </w:r>
    </w:p>
    <w:p w14:paraId="6A563E2D" w14:textId="77777777" w:rsidR="00AE7C27" w:rsidRPr="00AE7C27" w:rsidRDefault="00AE7C27" w:rsidP="00AE7C27">
      <w:pPr>
        <w:pStyle w:val="Bullet"/>
      </w:pPr>
      <w:r w:rsidRPr="00AE7C27">
        <w:t>services available closer to home for rural communities</w:t>
      </w:r>
    </w:p>
    <w:p w14:paraId="099C2456" w14:textId="77777777" w:rsidR="00AE7C27" w:rsidRPr="00AE7C27" w:rsidRDefault="00AE7C27" w:rsidP="00AE7C27">
      <w:pPr>
        <w:pStyle w:val="Bullet"/>
      </w:pPr>
      <w:r w:rsidRPr="00AE7C27">
        <w:t>support for rural communities to access services at a distance</w:t>
      </w:r>
    </w:p>
    <w:p w14:paraId="462A9E81" w14:textId="77777777" w:rsidR="00AE7C27" w:rsidRPr="00AE7C27" w:rsidRDefault="00AE7C27" w:rsidP="00AE7C27">
      <w:pPr>
        <w:pStyle w:val="Bullet"/>
      </w:pPr>
      <w:r w:rsidRPr="00AE7C27">
        <w:t>a valued and flexible rural health workforce.</w:t>
      </w:r>
    </w:p>
    <w:p w14:paraId="765E72A8" w14:textId="77777777" w:rsidR="00AE7C27" w:rsidRDefault="00AE7C27" w:rsidP="00AE7C27"/>
    <w:p w14:paraId="6C0F9B98" w14:textId="10BE7A17" w:rsidR="00AE7C27" w:rsidRPr="002857F4" w:rsidRDefault="00AE7C27" w:rsidP="00AE7C27">
      <w:r w:rsidRPr="002857F4">
        <w:t xml:space="preserve">The roadshow visited Levin, Wairoa, </w:t>
      </w:r>
      <w:proofErr w:type="spellStart"/>
      <w:r w:rsidRPr="002857F4">
        <w:t>Wānaka</w:t>
      </w:r>
      <w:proofErr w:type="spellEnd"/>
      <w:r w:rsidRPr="002857F4">
        <w:t xml:space="preserve">, Oamaru, Hanmer Springs, Gore, </w:t>
      </w:r>
      <w:proofErr w:type="spellStart"/>
      <w:r w:rsidRPr="002857F4">
        <w:t>Tūrangi</w:t>
      </w:r>
      <w:proofErr w:type="spellEnd"/>
      <w:r w:rsidRPr="002857F4">
        <w:t xml:space="preserve">, Kaitaia, Hāwera, </w:t>
      </w:r>
      <w:proofErr w:type="spellStart"/>
      <w:r w:rsidRPr="002857F4">
        <w:t>Te</w:t>
      </w:r>
      <w:proofErr w:type="spellEnd"/>
      <w:r w:rsidRPr="002857F4">
        <w:t xml:space="preserve"> </w:t>
      </w:r>
      <w:proofErr w:type="spellStart"/>
      <w:r w:rsidRPr="002857F4">
        <w:t>Kūiti</w:t>
      </w:r>
      <w:proofErr w:type="spellEnd"/>
      <w:r w:rsidRPr="002857F4">
        <w:t>, Greymouth, Thames and Whakatāne. Many attendees travelled from surrounding regions to ensure their</w:t>
      </w:r>
      <w:r>
        <w:t xml:space="preserve"> own</w:t>
      </w:r>
      <w:r w:rsidRPr="002857F4">
        <w:t xml:space="preserve"> communit</w:t>
      </w:r>
      <w:r>
        <w:t>y was</w:t>
      </w:r>
      <w:r w:rsidRPr="002857F4">
        <w:t xml:space="preserve"> represented.</w:t>
      </w:r>
    </w:p>
    <w:p w14:paraId="5C6959BB" w14:textId="77777777" w:rsidR="00AE7C27" w:rsidRDefault="00AE7C27" w:rsidP="00AE7C27"/>
    <w:p w14:paraId="2DD1032A" w14:textId="2061A0FA" w:rsidR="00AE7C27" w:rsidRDefault="00AE7C27" w:rsidP="00AE7C27">
      <w:r w:rsidRPr="002857F4">
        <w:t xml:space="preserve">Hon Matt </w:t>
      </w:r>
      <w:proofErr w:type="spellStart"/>
      <w:r w:rsidRPr="002857F4">
        <w:t>Doocey</w:t>
      </w:r>
      <w:proofErr w:type="spellEnd"/>
      <w:r w:rsidRPr="002857F4">
        <w:t>, Minister for Mental Health and Associate Minister of Health, joined officials from Health New Zealand (Health NZ) and the Ministry of Health</w:t>
      </w:r>
      <w:r>
        <w:t xml:space="preserve"> – Manatū </w:t>
      </w:r>
      <w:r>
        <w:lastRenderedPageBreak/>
        <w:t>Hauora</w:t>
      </w:r>
      <w:r w:rsidRPr="002857F4">
        <w:t xml:space="preserve"> (the Ministry) to visit rural communities throughout New Zealand. </w:t>
      </w:r>
      <w:r w:rsidRPr="00167444">
        <w:t xml:space="preserve">Hon Mark Patterson, Minister of Rural Communities joined Minister </w:t>
      </w:r>
      <w:proofErr w:type="spellStart"/>
      <w:r w:rsidRPr="00167444">
        <w:t>Doocey</w:t>
      </w:r>
      <w:proofErr w:type="spellEnd"/>
      <w:r w:rsidRPr="00167444">
        <w:t xml:space="preserve"> for seven of the roadshows.</w:t>
      </w:r>
      <w:r>
        <w:t xml:space="preserve"> </w:t>
      </w:r>
      <w:r w:rsidRPr="002857F4">
        <w:t xml:space="preserve">These one-hour public meetings, chaired by Hauora </w:t>
      </w:r>
      <w:proofErr w:type="spellStart"/>
      <w:r w:rsidRPr="002857F4">
        <w:t>Taiwhenua</w:t>
      </w:r>
      <w:proofErr w:type="spellEnd"/>
      <w:r w:rsidRPr="002857F4">
        <w:t xml:space="preserve"> Rural Health Network, were designed to listen directly to rural voices and strengthen engagement on the Government’s progress </w:t>
      </w:r>
      <w:r>
        <w:t>in addressing the priorities of</w:t>
      </w:r>
      <w:r w:rsidRPr="002857F4">
        <w:t xml:space="preserve"> the Rural Health Strategy.</w:t>
      </w:r>
      <w:r>
        <w:t xml:space="preserve"> </w:t>
      </w:r>
    </w:p>
    <w:p w14:paraId="47B73406" w14:textId="77777777" w:rsidR="00AE7C27" w:rsidRDefault="00AE7C27" w:rsidP="00AE7C27"/>
    <w:p w14:paraId="4673404B" w14:textId="77777777" w:rsidR="00AE7C27" w:rsidRDefault="00AE7C27" w:rsidP="00AE7C27">
      <w:r w:rsidRPr="00F1079B">
        <w:t xml:space="preserve">Hauora </w:t>
      </w:r>
      <w:proofErr w:type="spellStart"/>
      <w:r w:rsidRPr="00F1079B">
        <w:t>Taiwhenua</w:t>
      </w:r>
      <w:proofErr w:type="spellEnd"/>
      <w:r w:rsidRPr="00F1079B">
        <w:t xml:space="preserve"> Rural Health Network, representing the rural health sector and rural communities, played an important role in the roadshows. We would like to thank them for their ongoing advocacy and support throughout these events. Their contributions were instrumental in ensuring that the voices of rural communities were not only heard but also valued and acted upon. We extend our sincere gratitude for their dedication and ongoing commitment to fostering healthier, more connected rural communities.</w:t>
      </w:r>
    </w:p>
    <w:p w14:paraId="541BD8C2" w14:textId="77777777" w:rsidR="00AE7C27" w:rsidRPr="00F1079B" w:rsidRDefault="00AE7C27" w:rsidP="00AE7C27"/>
    <w:p w14:paraId="4E765583" w14:textId="77777777" w:rsidR="00AE7C27" w:rsidRDefault="00AE7C27" w:rsidP="00AE7C27">
      <w:r w:rsidRPr="00310838">
        <w:t xml:space="preserve">We thank all those who attended the roadshows and shared their experiences and stories. We also acknowledge the rural health workforce for their time, energy, and commitment to improving health outcomes for rural communities. </w:t>
      </w:r>
    </w:p>
    <w:p w14:paraId="72A7A97C" w14:textId="77777777" w:rsidR="00AE7C27" w:rsidRDefault="00AE7C27" w:rsidP="00AE7C27"/>
    <w:p w14:paraId="2CBB5B62" w14:textId="77777777" w:rsidR="00AE7C27" w:rsidRPr="002857F4" w:rsidRDefault="00AE7C27" w:rsidP="00AE7C27">
      <w:r w:rsidRPr="002857F4">
        <w:t>This report provides an overview of the feedback received and outlines the steps</w:t>
      </w:r>
      <w:r>
        <w:t xml:space="preserve"> that we have taken since the roadshows</w:t>
      </w:r>
      <w:r w:rsidRPr="002857F4">
        <w:t xml:space="preserve">. </w:t>
      </w:r>
      <w:r>
        <w:t>It</w:t>
      </w:r>
      <w:r w:rsidRPr="002857F4">
        <w:t>:</w:t>
      </w:r>
    </w:p>
    <w:p w14:paraId="2AAD7B72" w14:textId="77777777" w:rsidR="00AE7C27" w:rsidRPr="00AE7C27" w:rsidRDefault="00AE7C27" w:rsidP="00AE7C27">
      <w:pPr>
        <w:pStyle w:val="Bullet"/>
      </w:pPr>
      <w:r w:rsidRPr="00AE7C27">
        <w:t>outlines the key themes raised by rural communities, such as workforce sustainability, access to services closer to home, mental health support and digital connectivity</w:t>
      </w:r>
    </w:p>
    <w:p w14:paraId="5C658AC5" w14:textId="77777777" w:rsidR="00AE7C27" w:rsidRPr="00AE7C27" w:rsidRDefault="00AE7C27" w:rsidP="00AE7C27">
      <w:pPr>
        <w:pStyle w:val="Bullet"/>
      </w:pPr>
      <w:r w:rsidRPr="00AE7C27">
        <w:t>maps these themes to the Rural Health Strategy priorities, showing how community feedback aligns with national goals</w:t>
      </w:r>
    </w:p>
    <w:p w14:paraId="3E8996E9" w14:textId="77777777" w:rsidR="00AE7C27" w:rsidRPr="00AE7C27" w:rsidRDefault="00AE7C27" w:rsidP="00AE7C27">
      <w:pPr>
        <w:pStyle w:val="Bullet"/>
      </w:pPr>
      <w:r w:rsidRPr="00AE7C27">
        <w:t>describes work under way for each theme, including initiatives led by Health NZ, the Ministry and health sector partners</w:t>
      </w:r>
    </w:p>
    <w:p w14:paraId="3F6F3F56" w14:textId="77777777" w:rsidR="00AE7C27" w:rsidRPr="00AE7C27" w:rsidRDefault="00AE7C27" w:rsidP="00AE7C27">
      <w:pPr>
        <w:pStyle w:val="Bullet"/>
      </w:pPr>
      <w:r w:rsidRPr="00AE7C27">
        <w:t>highlights opportunities for further action, ensuring rural voices continue to shape future health policy and delivery.</w:t>
      </w:r>
    </w:p>
    <w:p w14:paraId="7DAB13D7" w14:textId="77777777" w:rsidR="00AE7C27" w:rsidRDefault="00AE7C27" w:rsidP="00AE7C27"/>
    <w:p w14:paraId="29DDA627" w14:textId="22F3CA78" w:rsidR="00AE7C27" w:rsidRPr="002857F4" w:rsidRDefault="00AE7C27" w:rsidP="00AE7C27">
      <w:r w:rsidRPr="002857F4">
        <w:t>This report deepens our understanding of the unique challenges rural communities face and helps strengthen our collective approach to addressing these challenges. The report is available on the Ministry’s website and is shared with relevant government agencies, local stakeholders and sector partners to promote awareness and collaboration.</w:t>
      </w:r>
    </w:p>
    <w:p w14:paraId="373BECD4" w14:textId="77777777" w:rsidR="00AE7C27" w:rsidRPr="00AE7C27" w:rsidRDefault="00AE7C27" w:rsidP="00AE7C27">
      <w:pPr>
        <w:pStyle w:val="Heading2"/>
      </w:pPr>
      <w:bookmarkStart w:id="8" w:name="_Toc216264595"/>
      <w:bookmarkStart w:id="9" w:name="_Toc216591241"/>
      <w:bookmarkStart w:id="10" w:name="_Toc216775097"/>
      <w:r w:rsidRPr="00AE7C27">
        <w:t>How we are using the insights from the roadshow</w:t>
      </w:r>
      <w:bookmarkEnd w:id="8"/>
      <w:bookmarkEnd w:id="9"/>
      <w:bookmarkEnd w:id="10"/>
      <w:r w:rsidRPr="00AE7C27">
        <w:t xml:space="preserve"> </w:t>
      </w:r>
    </w:p>
    <w:p w14:paraId="10F93F82" w14:textId="77777777" w:rsidR="00AE7C27" w:rsidRDefault="00AE7C27" w:rsidP="00AE7C27">
      <w:r w:rsidRPr="002857F4">
        <w:t xml:space="preserve">The insights gathered from the Rural Health Roadshow play a critical role in mapping progress against the Rural Health Strategy and driving improvements in rural health outcomes. This information helps us understand what is working well in rural communities and what areas need greater focus. </w:t>
      </w:r>
    </w:p>
    <w:p w14:paraId="51CC4EF6" w14:textId="77777777" w:rsidR="00AE7C27" w:rsidRPr="002857F4" w:rsidRDefault="00AE7C27" w:rsidP="00AE7C27"/>
    <w:p w14:paraId="4506246F" w14:textId="77777777" w:rsidR="00AE7C27" w:rsidRDefault="00AE7C27" w:rsidP="00AE7C27">
      <w:r w:rsidRPr="002857F4">
        <w:t>These findings will be shared with</w:t>
      </w:r>
      <w:r>
        <w:t>:</w:t>
      </w:r>
    </w:p>
    <w:p w14:paraId="17B097BC" w14:textId="77777777" w:rsidR="00AE7C27" w:rsidRPr="00AE7C27" w:rsidRDefault="00AE7C27" w:rsidP="00AE7C27">
      <w:pPr>
        <w:pStyle w:val="Bullet"/>
      </w:pPr>
      <w:r w:rsidRPr="00AE7C27">
        <w:t>attendees who registered for the Rural Health Roadshow</w:t>
      </w:r>
    </w:p>
    <w:p w14:paraId="6CB9BFDE" w14:textId="77777777" w:rsidR="00AE7C27" w:rsidRPr="00AE7C27" w:rsidRDefault="00AE7C27" w:rsidP="00AE7C27">
      <w:pPr>
        <w:pStyle w:val="Bullet"/>
      </w:pPr>
      <w:r w:rsidRPr="00AE7C27">
        <w:lastRenderedPageBreak/>
        <w:t>the local council in each roadshow location</w:t>
      </w:r>
    </w:p>
    <w:p w14:paraId="2D0286CF" w14:textId="77777777" w:rsidR="00AE7C27" w:rsidRPr="00AE7C27" w:rsidRDefault="00AE7C27" w:rsidP="00AE7C27">
      <w:pPr>
        <w:pStyle w:val="Bullet"/>
      </w:pPr>
      <w:r w:rsidRPr="00AE7C27">
        <w:t xml:space="preserve">rural communities through community organisations such as Hauora </w:t>
      </w:r>
      <w:proofErr w:type="spellStart"/>
      <w:r w:rsidRPr="00AE7C27">
        <w:t>Taiwhenua</w:t>
      </w:r>
      <w:proofErr w:type="spellEnd"/>
      <w:r w:rsidRPr="00AE7C27">
        <w:t xml:space="preserve"> Rural Health Network and Federated Farmers</w:t>
      </w:r>
    </w:p>
    <w:p w14:paraId="54FA810C" w14:textId="77777777" w:rsidR="00AE7C27" w:rsidRPr="00AE7C27" w:rsidRDefault="00AE7C27" w:rsidP="00AE7C27">
      <w:pPr>
        <w:pStyle w:val="Bullet"/>
      </w:pPr>
      <w:r w:rsidRPr="00AE7C27">
        <w:t xml:space="preserve">the health sector, including professional bodies such as Rural Women New Zealand, and </w:t>
      </w:r>
    </w:p>
    <w:p w14:paraId="29359F00" w14:textId="77777777" w:rsidR="00AE7C27" w:rsidRPr="00AE7C27" w:rsidRDefault="00AE7C27" w:rsidP="00AE7C27">
      <w:pPr>
        <w:pStyle w:val="Bullet"/>
      </w:pPr>
      <w:r w:rsidRPr="00AE7C27">
        <w:t xml:space="preserve">Ministry and Health NZ staff. </w:t>
      </w:r>
    </w:p>
    <w:p w14:paraId="28073830" w14:textId="77777777" w:rsidR="00AE7C27" w:rsidRDefault="00AE7C27" w:rsidP="00AE7C27"/>
    <w:p w14:paraId="09217D39" w14:textId="710A024D" w:rsidR="00AE7C27" w:rsidRDefault="00AE7C27" w:rsidP="00AE7C27">
      <w:r>
        <w:t>This wide-reaching approach ensures</w:t>
      </w:r>
      <w:r w:rsidRPr="002857F4">
        <w:t xml:space="preserve"> communit</w:t>
      </w:r>
      <w:r>
        <w:t xml:space="preserve">y voices are </w:t>
      </w:r>
      <w:proofErr w:type="gramStart"/>
      <w:r>
        <w:t>heard</w:t>
      </w:r>
      <w:proofErr w:type="gramEnd"/>
      <w:r>
        <w:t xml:space="preserve"> and a </w:t>
      </w:r>
      <w:r w:rsidRPr="002857F4">
        <w:t xml:space="preserve">coordinated approach </w:t>
      </w:r>
      <w:r>
        <w:t>can be taken to</w:t>
      </w:r>
      <w:r w:rsidRPr="002857F4">
        <w:t xml:space="preserve"> improving health and wellbeing in rural areas. </w:t>
      </w:r>
    </w:p>
    <w:p w14:paraId="7371FE91" w14:textId="77777777" w:rsidR="00AE7C27" w:rsidRPr="002857F4" w:rsidRDefault="00AE7C27" w:rsidP="00AE7C27"/>
    <w:p w14:paraId="64CDAC5A" w14:textId="77777777" w:rsidR="00AE7C27" w:rsidRPr="002857F4" w:rsidRDefault="00AE7C27" w:rsidP="00AE7C27">
      <w:r w:rsidRPr="002857F4">
        <w:t>A shared understanding and clear information enable us to identify priority issues, allocate funding effectively and monitor where changes are making a real difference. By using these insights to guide decisions and measure progress, we remain committed to delivering better access, equity and health outcomes for rural communities.</w:t>
      </w:r>
    </w:p>
    <w:p w14:paraId="4159DED3" w14:textId="77777777" w:rsidR="00AE7C27" w:rsidRPr="00AE7C27" w:rsidRDefault="00AE7C27" w:rsidP="00AE7C27">
      <w:pPr>
        <w:pStyle w:val="Heading2"/>
      </w:pPr>
      <w:bookmarkStart w:id="11" w:name="_Toc216264596"/>
      <w:bookmarkStart w:id="12" w:name="_Toc216591242"/>
      <w:bookmarkStart w:id="13" w:name="_Toc216775098"/>
      <w:r w:rsidRPr="00AE7C27">
        <w:t>Key themes</w:t>
      </w:r>
      <w:bookmarkEnd w:id="11"/>
      <w:bookmarkEnd w:id="12"/>
      <w:bookmarkEnd w:id="13"/>
    </w:p>
    <w:p w14:paraId="2FC60E3C" w14:textId="77777777" w:rsidR="00AE7C27" w:rsidRDefault="00AE7C27" w:rsidP="00AE7C27">
      <w:r w:rsidRPr="002857F4">
        <w:t>The themes identified throughout the roadshows reflect rural communities</w:t>
      </w:r>
      <w:r>
        <w:t>’</w:t>
      </w:r>
      <w:r w:rsidRPr="00DE145A">
        <w:t xml:space="preserve"> </w:t>
      </w:r>
      <w:r w:rsidRPr="002857F4">
        <w:t xml:space="preserve">priorities </w:t>
      </w:r>
      <w:r>
        <w:t xml:space="preserve">and </w:t>
      </w:r>
      <w:r w:rsidRPr="002857F4">
        <w:t xml:space="preserve">the common challenges </w:t>
      </w:r>
      <w:r>
        <w:t>they</w:t>
      </w:r>
      <w:r w:rsidRPr="002857F4" w:rsidDel="00DE145A">
        <w:t xml:space="preserve"> </w:t>
      </w:r>
      <w:r w:rsidRPr="002857F4">
        <w:t>are facing</w:t>
      </w:r>
      <w:r>
        <w:t xml:space="preserve"> in relation to the health system</w:t>
      </w:r>
      <w:r w:rsidRPr="002857F4">
        <w:t xml:space="preserve">. </w:t>
      </w:r>
      <w:r>
        <w:t>T</w:t>
      </w:r>
      <w:r w:rsidRPr="002857F4">
        <w:t xml:space="preserve">he Ministry and Health NZ </w:t>
      </w:r>
      <w:r>
        <w:t>will use a</w:t>
      </w:r>
      <w:r w:rsidRPr="002857F4">
        <w:t>ll feedback gathered during the roadshows to enhance rural health outcomes.</w:t>
      </w:r>
    </w:p>
    <w:p w14:paraId="24A769BF" w14:textId="77777777" w:rsidR="00AE7C27" w:rsidRPr="002857F4" w:rsidRDefault="00AE7C27" w:rsidP="00AE7C27"/>
    <w:p w14:paraId="5C1CD582" w14:textId="77777777" w:rsidR="00AE7C27" w:rsidRPr="002857F4" w:rsidRDefault="00AE7C27" w:rsidP="00AE7C27">
      <w:r>
        <w:t>Rural communities across the motu have identified</w:t>
      </w:r>
      <w:r w:rsidRPr="002857F4">
        <w:t xml:space="preserve"> </w:t>
      </w:r>
      <w:r>
        <w:t>t</w:t>
      </w:r>
      <w:r w:rsidRPr="002857F4">
        <w:t xml:space="preserve">he following themes as </w:t>
      </w:r>
      <w:r>
        <w:t>a priority for them</w:t>
      </w:r>
      <w:r w:rsidRPr="002857F4">
        <w:t>.</w:t>
      </w:r>
      <w:r>
        <w:t xml:space="preserve"> The diagram at the end of this section maps these themes against the five priority areas of the Rural Health Strategy.</w:t>
      </w:r>
    </w:p>
    <w:p w14:paraId="5937C187" w14:textId="77777777" w:rsidR="00AE7C27" w:rsidRPr="002857F4" w:rsidRDefault="00AE7C27" w:rsidP="00AE7C27">
      <w:pPr>
        <w:pStyle w:val="Heading3"/>
      </w:pPr>
      <w:r w:rsidRPr="002857F4">
        <w:t>Access barriers and geographic</w:t>
      </w:r>
      <w:r>
        <w:t>al</w:t>
      </w:r>
      <w:r w:rsidRPr="002857F4">
        <w:t xml:space="preserve"> isolation</w:t>
      </w:r>
    </w:p>
    <w:p w14:paraId="4B08480F" w14:textId="77777777" w:rsidR="00AE7C27" w:rsidRPr="00AE7C27" w:rsidRDefault="00AE7C27" w:rsidP="00AE7C27">
      <w:pPr>
        <w:pStyle w:val="Bullet"/>
      </w:pPr>
      <w:r w:rsidRPr="00AE7C27">
        <w:t>Travel distance and costs: Many communities (</w:t>
      </w:r>
      <w:proofErr w:type="spellStart"/>
      <w:r w:rsidRPr="00AE7C27">
        <w:t>eg</w:t>
      </w:r>
      <w:proofErr w:type="spellEnd"/>
      <w:r w:rsidRPr="00AE7C27">
        <w:t xml:space="preserve">, Wairoa, </w:t>
      </w:r>
      <w:proofErr w:type="spellStart"/>
      <w:r w:rsidRPr="00AE7C27">
        <w:t>Wānaka</w:t>
      </w:r>
      <w:proofErr w:type="spellEnd"/>
      <w:r w:rsidRPr="00AE7C27">
        <w:t xml:space="preserve">, Gore, Kaitaia, Hāwera, </w:t>
      </w:r>
      <w:proofErr w:type="spellStart"/>
      <w:r w:rsidRPr="00AE7C27">
        <w:t>Te</w:t>
      </w:r>
      <w:proofErr w:type="spellEnd"/>
      <w:r w:rsidRPr="00AE7C27">
        <w:t xml:space="preserve"> </w:t>
      </w:r>
      <w:proofErr w:type="spellStart"/>
      <w:r w:rsidRPr="00AE7C27">
        <w:t>Kūiti</w:t>
      </w:r>
      <w:proofErr w:type="spellEnd"/>
      <w:r w:rsidRPr="00AE7C27">
        <w:t>) report they face significant travel distances and costs to access basic and specialist health services. For example, they must make long journeys for dialysis, scans and specialist appointments, a barrier to access that is often compounded by poor transport options and administrative barriers to travel assistance programmes.</w:t>
      </w:r>
    </w:p>
    <w:p w14:paraId="17C1567F" w14:textId="77777777" w:rsidR="00AE7C27" w:rsidRPr="00AE7C27" w:rsidRDefault="00AE7C27" w:rsidP="00AE7C27">
      <w:pPr>
        <w:pStyle w:val="Bullet"/>
      </w:pPr>
      <w:r w:rsidRPr="00AE7C27">
        <w:t>Infrastructure gaps: Where patients have no local facilities (</w:t>
      </w:r>
      <w:proofErr w:type="spellStart"/>
      <w:r w:rsidRPr="00AE7C27">
        <w:t>eg</w:t>
      </w:r>
      <w:proofErr w:type="spellEnd"/>
      <w:r w:rsidRPr="00AE7C27">
        <w:t>,</w:t>
      </w:r>
      <w:r w:rsidRPr="00AE7C27" w:rsidDel="002B62FC">
        <w:t xml:space="preserve"> </w:t>
      </w:r>
      <w:r w:rsidRPr="00AE7C27">
        <w:t xml:space="preserve">no rest homes in Wairoa, hospitals in </w:t>
      </w:r>
      <w:proofErr w:type="spellStart"/>
      <w:r w:rsidRPr="00AE7C27">
        <w:t>Wānaka</w:t>
      </w:r>
      <w:proofErr w:type="spellEnd"/>
      <w:r w:rsidRPr="00AE7C27">
        <w:t xml:space="preserve"> or maternity wards in Gore and </w:t>
      </w:r>
      <w:proofErr w:type="spellStart"/>
      <w:r w:rsidRPr="00AE7C27">
        <w:t>Te</w:t>
      </w:r>
      <w:proofErr w:type="spellEnd"/>
      <w:r w:rsidRPr="00AE7C27">
        <w:t xml:space="preserve"> </w:t>
      </w:r>
      <w:proofErr w:type="spellStart"/>
      <w:r w:rsidRPr="00AE7C27">
        <w:t>Kūiti</w:t>
      </w:r>
      <w:proofErr w:type="spellEnd"/>
      <w:r w:rsidRPr="00AE7C27">
        <w:t>), they have to travel long distances or go without care. Mobile clinics and telehealth are sometimes available but not universally accessible or preferred types of service delivery.</w:t>
      </w:r>
    </w:p>
    <w:p w14:paraId="6F2000F4" w14:textId="77777777" w:rsidR="00AE7C27" w:rsidRPr="002857F4" w:rsidRDefault="00AE7C27" w:rsidP="00AE7C27">
      <w:pPr>
        <w:pStyle w:val="Heading3"/>
      </w:pPr>
      <w:r w:rsidRPr="002857F4">
        <w:t>Workforce shortages and retention</w:t>
      </w:r>
    </w:p>
    <w:p w14:paraId="39D18109" w14:textId="77777777" w:rsidR="00AE7C27" w:rsidRPr="002857F4" w:rsidRDefault="00AE7C27" w:rsidP="00AE7C27">
      <w:pPr>
        <w:pStyle w:val="Bullet"/>
        <w:tabs>
          <w:tab w:val="num" w:pos="284"/>
        </w:tabs>
      </w:pPr>
      <w:r w:rsidRPr="002857F4">
        <w:t xml:space="preserve">Recruitment and retention: Nearly every location highlights shortages of </w:t>
      </w:r>
      <w:r>
        <w:t>general practitioners (</w:t>
      </w:r>
      <w:r w:rsidRPr="002857F4">
        <w:t>GPs</w:t>
      </w:r>
      <w:r>
        <w:t>)</w:t>
      </w:r>
      <w:r w:rsidRPr="002857F4">
        <w:t xml:space="preserve">, nurses, allied health professionals and mental health workers. </w:t>
      </w:r>
      <w:r w:rsidRPr="002857F4">
        <w:lastRenderedPageBreak/>
        <w:t>Rural areas struggle to attract and retain staff</w:t>
      </w:r>
      <w:r>
        <w:t xml:space="preserve">, identifying </w:t>
      </w:r>
      <w:r w:rsidRPr="002857F4">
        <w:t>pay parity issues, lack of training opportunities, retirement and burnout as major</w:t>
      </w:r>
      <w:r>
        <w:t xml:space="preserve"> contributing</w:t>
      </w:r>
      <w:r w:rsidRPr="002857F4">
        <w:t xml:space="preserve"> factors.</w:t>
      </w:r>
    </w:p>
    <w:p w14:paraId="354FFB6E" w14:textId="77777777" w:rsidR="00AE7C27" w:rsidRPr="002857F4" w:rsidRDefault="00AE7C27" w:rsidP="00AE7C27">
      <w:pPr>
        <w:pStyle w:val="Bullet"/>
        <w:tabs>
          <w:tab w:val="num" w:pos="284"/>
        </w:tabs>
      </w:pPr>
      <w:r w:rsidRPr="002857F4">
        <w:t xml:space="preserve">Training and pathways: </w:t>
      </w:r>
      <w:r>
        <w:t>Communities are calling</w:t>
      </w:r>
      <w:r w:rsidRPr="002857F4">
        <w:t xml:space="preserve"> for more rural-focused training, bonding schemes and support for international health professionals. Some regions (</w:t>
      </w:r>
      <w:proofErr w:type="spellStart"/>
      <w:r>
        <w:t>eg</w:t>
      </w:r>
      <w:proofErr w:type="spellEnd"/>
      <w:r>
        <w:t xml:space="preserve">, </w:t>
      </w:r>
      <w:r w:rsidRPr="002857F4">
        <w:t>Hanmer Springs, Greymouth, Thames) mention the need for rural training hubs and better support for students and new graduates.</w:t>
      </w:r>
    </w:p>
    <w:p w14:paraId="586D7789" w14:textId="77777777" w:rsidR="00AE7C27" w:rsidRPr="002857F4" w:rsidRDefault="00AE7C27" w:rsidP="00AE7C27">
      <w:pPr>
        <w:pStyle w:val="Heading3"/>
      </w:pPr>
      <w:r w:rsidRPr="002857F4">
        <w:t>Funding and resource allocation</w:t>
      </w:r>
    </w:p>
    <w:p w14:paraId="7A8FB508" w14:textId="77777777" w:rsidR="00AE7C27" w:rsidRPr="002857F4" w:rsidRDefault="00AE7C27" w:rsidP="00AE7C27">
      <w:pPr>
        <w:pStyle w:val="Bullet"/>
        <w:tabs>
          <w:tab w:val="num" w:pos="284"/>
        </w:tabs>
      </w:pPr>
      <w:r w:rsidRPr="002857F4">
        <w:t>Short-term funding models: Many communities (</w:t>
      </w:r>
      <w:proofErr w:type="spellStart"/>
      <w:r>
        <w:t>eg</w:t>
      </w:r>
      <w:proofErr w:type="spellEnd"/>
      <w:r>
        <w:t xml:space="preserve">, </w:t>
      </w:r>
      <w:proofErr w:type="spellStart"/>
      <w:r w:rsidRPr="002857F4">
        <w:t>Wānaka</w:t>
      </w:r>
      <w:proofErr w:type="spellEnd"/>
      <w:r w:rsidRPr="002857F4">
        <w:t xml:space="preserve">, Oamaru, Greymouth, </w:t>
      </w:r>
      <w:proofErr w:type="spellStart"/>
      <w:r w:rsidRPr="002857F4">
        <w:t>Te</w:t>
      </w:r>
      <w:proofErr w:type="spellEnd"/>
      <w:r w:rsidRPr="002857F4">
        <w:t xml:space="preserve"> </w:t>
      </w:r>
      <w:proofErr w:type="spellStart"/>
      <w:r w:rsidRPr="002857F4">
        <w:t>Kūiti</w:t>
      </w:r>
      <w:proofErr w:type="spellEnd"/>
      <w:r w:rsidRPr="002857F4">
        <w:t xml:space="preserve">) express frustration with </w:t>
      </w:r>
      <w:r>
        <w:t xml:space="preserve">receiving </w:t>
      </w:r>
      <w:r w:rsidRPr="002857F4">
        <w:t>short-term funding rather than long-term investment. This impacts service stability and workforce planning.</w:t>
      </w:r>
    </w:p>
    <w:p w14:paraId="7620F42E" w14:textId="77777777" w:rsidR="00AE7C27" w:rsidRPr="002857F4" w:rsidRDefault="00AE7C27" w:rsidP="00AE7C27">
      <w:pPr>
        <w:pStyle w:val="Bullet"/>
        <w:tabs>
          <w:tab w:val="num" w:pos="284"/>
        </w:tabs>
      </w:pPr>
      <w:r w:rsidRPr="002857F4">
        <w:t xml:space="preserve">Inequity of funding: Rural areas feel disadvantaged compared </w:t>
      </w:r>
      <w:r>
        <w:t>with</w:t>
      </w:r>
      <w:r w:rsidRPr="002857F4">
        <w:t xml:space="preserve"> urban centres, </w:t>
      </w:r>
      <w:r>
        <w:t>due to their more limited</w:t>
      </w:r>
      <w:r w:rsidRPr="002857F4">
        <w:t xml:space="preserve"> access to free services (</w:t>
      </w:r>
      <w:proofErr w:type="spellStart"/>
      <w:r w:rsidRPr="002857F4">
        <w:t>eg</w:t>
      </w:r>
      <w:proofErr w:type="spellEnd"/>
      <w:r w:rsidRPr="002857F4">
        <w:t>, blood tests, radiology) and funding models that do not account for population growth, seasonal workers or tourists.</w:t>
      </w:r>
    </w:p>
    <w:p w14:paraId="694487B6" w14:textId="77777777" w:rsidR="00AE7C27" w:rsidRPr="002857F4" w:rsidRDefault="00AE7C27" w:rsidP="00AE7C27">
      <w:pPr>
        <w:pStyle w:val="Heading3"/>
      </w:pPr>
      <w:r w:rsidRPr="002857F4">
        <w:t>Mental health and addiction</w:t>
      </w:r>
    </w:p>
    <w:p w14:paraId="05174CD4" w14:textId="77777777" w:rsidR="00AE7C27" w:rsidRPr="002857F4" w:rsidRDefault="00AE7C27" w:rsidP="00AE7C27">
      <w:pPr>
        <w:pStyle w:val="Bullet"/>
        <w:tabs>
          <w:tab w:val="num" w:pos="284"/>
        </w:tabs>
      </w:pPr>
      <w:r w:rsidRPr="002857F4">
        <w:t xml:space="preserve">Youth mental health: </w:t>
      </w:r>
      <w:r>
        <w:t>Services for youth mental health are a</w:t>
      </w:r>
      <w:r w:rsidRPr="002857F4">
        <w:t xml:space="preserve"> recurring concern, especially in Levin, </w:t>
      </w:r>
      <w:proofErr w:type="spellStart"/>
      <w:r w:rsidRPr="002857F4">
        <w:t>Wānaka</w:t>
      </w:r>
      <w:proofErr w:type="spellEnd"/>
      <w:r w:rsidRPr="002857F4">
        <w:t xml:space="preserve">, </w:t>
      </w:r>
      <w:proofErr w:type="spellStart"/>
      <w:r w:rsidRPr="002857F4">
        <w:t>Tūrangi</w:t>
      </w:r>
      <w:proofErr w:type="spellEnd"/>
      <w:r w:rsidRPr="002857F4">
        <w:t xml:space="preserve">, Kaitaia and Hanmer Springs. </w:t>
      </w:r>
      <w:r>
        <w:t>Youth experience</w:t>
      </w:r>
      <w:r w:rsidRPr="002857F4">
        <w:t xml:space="preserve"> a lack of </w:t>
      </w:r>
      <w:r>
        <w:t xml:space="preserve">mental health </w:t>
      </w:r>
      <w:r w:rsidRPr="002857F4">
        <w:t>services</w:t>
      </w:r>
      <w:r>
        <w:t xml:space="preserve"> and</w:t>
      </w:r>
      <w:r w:rsidRPr="002857F4">
        <w:t xml:space="preserve"> long wait times, </w:t>
      </w:r>
      <w:r>
        <w:t xml:space="preserve">while the size of the </w:t>
      </w:r>
      <w:r w:rsidRPr="002857F4">
        <w:t xml:space="preserve">workforce </w:t>
      </w:r>
      <w:r>
        <w:t xml:space="preserve">is </w:t>
      </w:r>
      <w:r w:rsidRPr="002857F4">
        <w:t xml:space="preserve">insufficient to address growing </w:t>
      </w:r>
      <w:r>
        <w:t xml:space="preserve">mental health </w:t>
      </w:r>
      <w:r w:rsidRPr="002857F4">
        <w:t>needs.</w:t>
      </w:r>
    </w:p>
    <w:p w14:paraId="69EB1038" w14:textId="77777777" w:rsidR="00AE7C27" w:rsidRPr="002857F4" w:rsidRDefault="00AE7C27" w:rsidP="00AE7C27">
      <w:pPr>
        <w:pStyle w:val="Bullet"/>
        <w:tabs>
          <w:tab w:val="num" w:pos="284"/>
        </w:tabs>
      </w:pPr>
      <w:r w:rsidRPr="002857F4">
        <w:t>Addiction issues: Methamphetamine and vaping are highlighted as critical issues</w:t>
      </w:r>
      <w:r>
        <w:t>. For example,</w:t>
      </w:r>
      <w:r w:rsidRPr="002857F4">
        <w:t xml:space="preserve"> Wairoa, Levin, </w:t>
      </w:r>
      <w:proofErr w:type="spellStart"/>
      <w:r w:rsidRPr="002857F4">
        <w:t>Te</w:t>
      </w:r>
      <w:proofErr w:type="spellEnd"/>
      <w:r w:rsidRPr="002857F4">
        <w:t xml:space="preserve"> </w:t>
      </w:r>
      <w:proofErr w:type="spellStart"/>
      <w:r w:rsidRPr="002857F4">
        <w:t>Kūiti</w:t>
      </w:r>
      <w:proofErr w:type="spellEnd"/>
      <w:r w:rsidRPr="002857F4">
        <w:t xml:space="preserve"> and Kaitaia</w:t>
      </w:r>
      <w:r>
        <w:t xml:space="preserve"> called</w:t>
      </w:r>
      <w:r w:rsidRPr="002857F4">
        <w:t xml:space="preserve"> for more targeted </w:t>
      </w:r>
      <w:r>
        <w:t>a</w:t>
      </w:r>
      <w:r w:rsidRPr="002857F4">
        <w:t xml:space="preserve">lcohol and </w:t>
      </w:r>
      <w:r>
        <w:t>o</w:t>
      </w:r>
      <w:r w:rsidRPr="002857F4">
        <w:t xml:space="preserve">ther </w:t>
      </w:r>
      <w:r>
        <w:t>d</w:t>
      </w:r>
      <w:r w:rsidRPr="002857F4">
        <w:t>rugs services and prevention efforts.</w:t>
      </w:r>
    </w:p>
    <w:p w14:paraId="79DA1ED0" w14:textId="77777777" w:rsidR="00AE7C27" w:rsidRPr="002857F4" w:rsidRDefault="00AE7C27" w:rsidP="00AE7C27">
      <w:pPr>
        <w:pStyle w:val="Heading3"/>
      </w:pPr>
      <w:r w:rsidRPr="002857F4">
        <w:t>Service design, delivery and accountability</w:t>
      </w:r>
    </w:p>
    <w:p w14:paraId="3FDD1609" w14:textId="77777777" w:rsidR="00AE7C27" w:rsidRPr="002857F4" w:rsidRDefault="00AE7C27" w:rsidP="00AE7C27">
      <w:pPr>
        <w:pStyle w:val="Bullet"/>
        <w:tabs>
          <w:tab w:val="num" w:pos="284"/>
        </w:tabs>
      </w:pPr>
      <w:r w:rsidRPr="002857F4">
        <w:t>Local decision-making: Communities (</w:t>
      </w:r>
      <w:proofErr w:type="spellStart"/>
      <w:r>
        <w:t>eg</w:t>
      </w:r>
      <w:proofErr w:type="spellEnd"/>
      <w:r>
        <w:t xml:space="preserve">, </w:t>
      </w:r>
      <w:r w:rsidRPr="002857F4">
        <w:t xml:space="preserve">Levin, Thames, Oamaru) want </w:t>
      </w:r>
      <w:r>
        <w:t xml:space="preserve">to be </w:t>
      </w:r>
      <w:r w:rsidRPr="002857F4">
        <w:t>more involve</w:t>
      </w:r>
      <w:r>
        <w:t>d</w:t>
      </w:r>
      <w:r w:rsidRPr="002857F4">
        <w:t xml:space="preserve"> in health service design and delivery</w:t>
      </w:r>
      <w:r>
        <w:t>. They</w:t>
      </w:r>
      <w:r w:rsidRPr="002857F4">
        <w:t xml:space="preserve"> emphasis</w:t>
      </w:r>
      <w:r>
        <w:t>e</w:t>
      </w:r>
      <w:r w:rsidRPr="002857F4">
        <w:t xml:space="preserve"> that local knowledge should inform solutions.</w:t>
      </w:r>
    </w:p>
    <w:p w14:paraId="1FA33681" w14:textId="77777777" w:rsidR="00AE7C27" w:rsidRPr="002857F4" w:rsidRDefault="00AE7C27" w:rsidP="00AE7C27">
      <w:pPr>
        <w:pStyle w:val="Bullet"/>
        <w:tabs>
          <w:tab w:val="num" w:pos="284"/>
        </w:tabs>
      </w:pPr>
      <w:r w:rsidRPr="002857F4">
        <w:t xml:space="preserve">Accountability: There is a perceived lack of accountability </w:t>
      </w:r>
      <w:r w:rsidRPr="004240DE">
        <w:t xml:space="preserve">for rural health outcomes, especially following the disestablishment of </w:t>
      </w:r>
      <w:r>
        <w:t>district health boards</w:t>
      </w:r>
      <w:r w:rsidRPr="004240DE">
        <w:t xml:space="preserve"> (</w:t>
      </w:r>
      <w:proofErr w:type="spellStart"/>
      <w:r w:rsidRPr="004240DE">
        <w:t>eg</w:t>
      </w:r>
      <w:proofErr w:type="spellEnd"/>
      <w:r w:rsidRPr="004240DE">
        <w:t>, Hāwera, Thames).</w:t>
      </w:r>
    </w:p>
    <w:p w14:paraId="536EC788" w14:textId="77777777" w:rsidR="00AE7C27" w:rsidRPr="002857F4" w:rsidRDefault="00AE7C27" w:rsidP="00AE7C27">
      <w:pPr>
        <w:pStyle w:val="Bullet"/>
        <w:tabs>
          <w:tab w:val="num" w:pos="284"/>
        </w:tabs>
      </w:pPr>
      <w:r w:rsidRPr="002857F4">
        <w:t xml:space="preserve">Integration and collaboration: </w:t>
      </w:r>
      <w:r>
        <w:t xml:space="preserve">Some communities </w:t>
      </w:r>
      <w:r w:rsidRPr="002857F4">
        <w:t>(</w:t>
      </w:r>
      <w:proofErr w:type="spellStart"/>
      <w:r>
        <w:t>eg</w:t>
      </w:r>
      <w:proofErr w:type="spellEnd"/>
      <w:r>
        <w:t xml:space="preserve">, </w:t>
      </w:r>
      <w:proofErr w:type="spellStart"/>
      <w:r w:rsidRPr="002857F4">
        <w:t>Tūrangi</w:t>
      </w:r>
      <w:proofErr w:type="spellEnd"/>
      <w:r w:rsidRPr="002857F4">
        <w:t>, Thames, Greymouth)</w:t>
      </w:r>
      <w:r>
        <w:t xml:space="preserve"> called </w:t>
      </w:r>
      <w:r w:rsidRPr="002857F4">
        <w:t>for better integration between primary, secondary and non-government</w:t>
      </w:r>
      <w:r>
        <w:t>al</w:t>
      </w:r>
      <w:r w:rsidRPr="002857F4">
        <w:t xml:space="preserve"> organisation </w:t>
      </w:r>
      <w:r>
        <w:t xml:space="preserve">(NGO) </w:t>
      </w:r>
      <w:r w:rsidRPr="002857F4">
        <w:t>services, and more collaborative models of care.</w:t>
      </w:r>
    </w:p>
    <w:p w14:paraId="5BE98FFC" w14:textId="77777777" w:rsidR="00AE7C27" w:rsidRPr="002857F4" w:rsidRDefault="00AE7C27" w:rsidP="00AE7C27">
      <w:pPr>
        <w:pStyle w:val="Heading3"/>
      </w:pPr>
      <w:r w:rsidRPr="002857F4">
        <w:t>Equity and inclusion</w:t>
      </w:r>
    </w:p>
    <w:p w14:paraId="2A459FBF" w14:textId="77777777" w:rsidR="00AE7C27" w:rsidRPr="006B7666" w:rsidRDefault="00AE7C27" w:rsidP="006B7666">
      <w:pPr>
        <w:pStyle w:val="Bullet"/>
      </w:pPr>
      <w:r w:rsidRPr="006B7666">
        <w:t>Rural sub-population groups: There is a need for services that reach ethnic minorities and migrants, as well as for support for Māori and Pacific health providers (</w:t>
      </w:r>
      <w:proofErr w:type="spellStart"/>
      <w:r w:rsidRPr="006B7666">
        <w:t>eg</w:t>
      </w:r>
      <w:proofErr w:type="spellEnd"/>
      <w:r w:rsidRPr="006B7666">
        <w:t>, in Oamaru and Hanmer Springs).</w:t>
      </w:r>
    </w:p>
    <w:p w14:paraId="4C0E3D20" w14:textId="77777777" w:rsidR="00AE7C27" w:rsidRPr="006B7666" w:rsidRDefault="00AE7C27" w:rsidP="006B7666">
      <w:pPr>
        <w:pStyle w:val="Bullet"/>
      </w:pPr>
      <w:r w:rsidRPr="006B7666">
        <w:t>Social determinants: Housing, water resilience and social wellbeing are increasingly recognised as intersecting with health outcomes (</w:t>
      </w:r>
      <w:proofErr w:type="spellStart"/>
      <w:r w:rsidRPr="006B7666">
        <w:t>eg</w:t>
      </w:r>
      <w:proofErr w:type="spellEnd"/>
      <w:r w:rsidRPr="006B7666">
        <w:t>, Kaitaia, Thames).</w:t>
      </w:r>
    </w:p>
    <w:p w14:paraId="594BCD30" w14:textId="77777777" w:rsidR="00AE7C27" w:rsidRPr="002857F4" w:rsidRDefault="00AE7C27" w:rsidP="00AE7C27">
      <w:pPr>
        <w:pStyle w:val="Heading3"/>
      </w:pPr>
      <w:r w:rsidRPr="002857F4">
        <w:lastRenderedPageBreak/>
        <w:t>Digital health and telehealth</w:t>
      </w:r>
    </w:p>
    <w:p w14:paraId="4C0B9F1A" w14:textId="77777777" w:rsidR="00AE7C27" w:rsidRPr="002857F4" w:rsidRDefault="00AE7C27" w:rsidP="00AE7C27">
      <w:pPr>
        <w:pStyle w:val="Bullet"/>
        <w:tabs>
          <w:tab w:val="num" w:pos="284"/>
        </w:tabs>
      </w:pPr>
      <w:r w:rsidRPr="002857F4">
        <w:t>Connectivity issues: Expansion of telehealth is limited by poor broadband in rural areas (</w:t>
      </w:r>
      <w:proofErr w:type="spellStart"/>
      <w:r>
        <w:t>eg</w:t>
      </w:r>
      <w:proofErr w:type="spellEnd"/>
      <w:r>
        <w:t xml:space="preserve">, </w:t>
      </w:r>
      <w:r w:rsidRPr="002857F4">
        <w:t>Hanmer Springs, Thames)</w:t>
      </w:r>
      <w:r>
        <w:t>. Further</w:t>
      </w:r>
      <w:r w:rsidRPr="002857F4">
        <w:t xml:space="preserve">, not all patients are comfortable </w:t>
      </w:r>
      <w:r>
        <w:t xml:space="preserve">about using </w:t>
      </w:r>
      <w:r w:rsidRPr="002857F4">
        <w:t>or able to use digital services.</w:t>
      </w:r>
    </w:p>
    <w:p w14:paraId="74E37B2A" w14:textId="77777777" w:rsidR="00AE7C27" w:rsidRPr="002857F4" w:rsidRDefault="00AE7C27" w:rsidP="00AE7C27">
      <w:pPr>
        <w:pStyle w:val="Bullet"/>
        <w:tabs>
          <w:tab w:val="num" w:pos="284"/>
        </w:tabs>
      </w:pPr>
      <w:r w:rsidRPr="002857F4">
        <w:t>Impact on providers: C</w:t>
      </w:r>
      <w:r>
        <w:t xml:space="preserve">ommunities have </w:t>
      </w:r>
      <w:proofErr w:type="gramStart"/>
      <w:r>
        <w:t>c</w:t>
      </w:r>
      <w:r w:rsidRPr="002857F4">
        <w:t>oncerns</w:t>
      </w:r>
      <w:proofErr w:type="gramEnd"/>
      <w:r w:rsidRPr="002857F4">
        <w:t xml:space="preserve"> that telehealth may undermine the sustainability of local practices and urgent care providers.</w:t>
      </w:r>
    </w:p>
    <w:p w14:paraId="55F8E87A" w14:textId="77777777" w:rsidR="00AE7C27" w:rsidRPr="002857F4" w:rsidRDefault="00AE7C27" w:rsidP="00AE7C27">
      <w:pPr>
        <w:pStyle w:val="Heading3"/>
      </w:pPr>
      <w:r w:rsidRPr="002857F4">
        <w:t>Specific service gaps</w:t>
      </w:r>
    </w:p>
    <w:p w14:paraId="48FB71A7" w14:textId="77777777" w:rsidR="00AE7C27" w:rsidRPr="002857F4" w:rsidRDefault="00AE7C27" w:rsidP="00AE7C27">
      <w:pPr>
        <w:pStyle w:val="Bullet"/>
        <w:tabs>
          <w:tab w:val="num" w:pos="284"/>
        </w:tabs>
      </w:pPr>
      <w:r w:rsidRPr="002857F4">
        <w:t xml:space="preserve">Aged care: Lack of local aged care facilities and </w:t>
      </w:r>
      <w:r>
        <w:t xml:space="preserve">lack of </w:t>
      </w:r>
      <w:r w:rsidRPr="002857F4">
        <w:t xml:space="preserve">support for </w:t>
      </w:r>
      <w:r>
        <w:t>‘</w:t>
      </w:r>
      <w:r w:rsidRPr="002857F4">
        <w:t>ag</w:t>
      </w:r>
      <w:r>
        <w:t>e</w:t>
      </w:r>
      <w:r w:rsidRPr="002857F4">
        <w:t>ing in place</w:t>
      </w:r>
      <w:r>
        <w:t>’</w:t>
      </w:r>
      <w:r w:rsidRPr="002857F4">
        <w:t xml:space="preserve"> </w:t>
      </w:r>
      <w:r>
        <w:t xml:space="preserve">are </w:t>
      </w:r>
      <w:r w:rsidRPr="002857F4">
        <w:t>major concern</w:t>
      </w:r>
      <w:r>
        <w:t>s</w:t>
      </w:r>
      <w:r w:rsidRPr="002857F4">
        <w:t xml:space="preserve"> (</w:t>
      </w:r>
      <w:proofErr w:type="spellStart"/>
      <w:r>
        <w:t>eg</w:t>
      </w:r>
      <w:proofErr w:type="spellEnd"/>
      <w:r>
        <w:t xml:space="preserve">, </w:t>
      </w:r>
      <w:r w:rsidRPr="002857F4">
        <w:t xml:space="preserve">Wairoa, </w:t>
      </w:r>
      <w:proofErr w:type="spellStart"/>
      <w:r w:rsidRPr="002857F4">
        <w:t>Wānaka</w:t>
      </w:r>
      <w:proofErr w:type="spellEnd"/>
      <w:r w:rsidRPr="002857F4">
        <w:t>, Gore, Hanmer Springs).</w:t>
      </w:r>
    </w:p>
    <w:p w14:paraId="7143EBA2" w14:textId="77777777" w:rsidR="00AE7C27" w:rsidRPr="002857F4" w:rsidRDefault="00AE7C27" w:rsidP="00AE7C27">
      <w:pPr>
        <w:pStyle w:val="Bullet"/>
        <w:tabs>
          <w:tab w:val="num" w:pos="284"/>
        </w:tabs>
      </w:pPr>
      <w:r w:rsidRPr="002857F4">
        <w:t xml:space="preserve">Maternity services: </w:t>
      </w:r>
      <w:r>
        <w:t>Some communities (</w:t>
      </w:r>
      <w:proofErr w:type="spellStart"/>
      <w:r>
        <w:t>eg</w:t>
      </w:r>
      <w:proofErr w:type="spellEnd"/>
      <w:r>
        <w:t>,</w:t>
      </w:r>
      <w:r w:rsidRPr="002857F4">
        <w:t xml:space="preserve"> Gore, </w:t>
      </w:r>
      <w:proofErr w:type="spellStart"/>
      <w:r w:rsidRPr="002857F4">
        <w:t>Te</w:t>
      </w:r>
      <w:proofErr w:type="spellEnd"/>
      <w:r w:rsidRPr="002857F4">
        <w:t xml:space="preserve"> </w:t>
      </w:r>
      <w:proofErr w:type="spellStart"/>
      <w:r w:rsidRPr="002857F4">
        <w:t>Kūiti</w:t>
      </w:r>
      <w:proofErr w:type="spellEnd"/>
      <w:r w:rsidRPr="002857F4">
        <w:t>, Kaitaia, Wairoa</w:t>
      </w:r>
      <w:r>
        <w:t>) are experiencing r</w:t>
      </w:r>
      <w:r w:rsidRPr="002857F4">
        <w:t>educed hours</w:t>
      </w:r>
      <w:r>
        <w:t xml:space="preserve"> and</w:t>
      </w:r>
      <w:r w:rsidRPr="002857F4">
        <w:t xml:space="preserve"> closures </w:t>
      </w:r>
      <w:r>
        <w:t xml:space="preserve">in maternity services </w:t>
      </w:r>
      <w:r w:rsidRPr="002857F4">
        <w:t xml:space="preserve">and </w:t>
      </w:r>
      <w:r>
        <w:t xml:space="preserve">patients need to </w:t>
      </w:r>
      <w:r w:rsidRPr="002857F4">
        <w:t>travel for maternity care.</w:t>
      </w:r>
    </w:p>
    <w:p w14:paraId="55B38921" w14:textId="77777777" w:rsidR="00AE7C27" w:rsidRPr="002857F4" w:rsidRDefault="00AE7C27" w:rsidP="00AE7C27">
      <w:pPr>
        <w:pStyle w:val="Bullet"/>
        <w:tabs>
          <w:tab w:val="num" w:pos="284"/>
        </w:tabs>
      </w:pPr>
      <w:r w:rsidRPr="002857F4">
        <w:t xml:space="preserve">Oral health: </w:t>
      </w:r>
      <w:r>
        <w:t>Communities (</w:t>
      </w:r>
      <w:proofErr w:type="spellStart"/>
      <w:r>
        <w:t>eg</w:t>
      </w:r>
      <w:proofErr w:type="spellEnd"/>
      <w:r>
        <w:t>,</w:t>
      </w:r>
      <w:r w:rsidRPr="002857F4">
        <w:t xml:space="preserve"> </w:t>
      </w:r>
      <w:proofErr w:type="spellStart"/>
      <w:r w:rsidRPr="002857F4">
        <w:t>Tūrangi</w:t>
      </w:r>
      <w:proofErr w:type="spellEnd"/>
      <w:r>
        <w:t>,</w:t>
      </w:r>
      <w:r w:rsidRPr="002857F4">
        <w:t xml:space="preserve"> Kaitaia</w:t>
      </w:r>
      <w:r>
        <w:t>) report c</w:t>
      </w:r>
      <w:r w:rsidRPr="002857F4">
        <w:t>ost and access barriers</w:t>
      </w:r>
      <w:r>
        <w:t xml:space="preserve"> to oral health services</w:t>
      </w:r>
      <w:r w:rsidRPr="002857F4">
        <w:t>.</w:t>
      </w:r>
    </w:p>
    <w:p w14:paraId="63A0AAC0" w14:textId="77777777" w:rsidR="00AE7C27" w:rsidRDefault="00AE7C27" w:rsidP="00AE7C27">
      <w:pPr>
        <w:pStyle w:val="Bullet"/>
        <w:tabs>
          <w:tab w:val="num" w:pos="284"/>
        </w:tabs>
      </w:pPr>
      <w:r w:rsidRPr="002857F4">
        <w:t xml:space="preserve">Community pharmacy: </w:t>
      </w:r>
      <w:r>
        <w:t>Pharmacies</w:t>
      </w:r>
      <w:r w:rsidRPr="002857F4">
        <w:t xml:space="preserve"> play an essential role in communities. </w:t>
      </w:r>
      <w:r>
        <w:t>In rural c</w:t>
      </w:r>
      <w:r w:rsidRPr="002857F4">
        <w:t>ommunities</w:t>
      </w:r>
      <w:r>
        <w:t>, they</w:t>
      </w:r>
      <w:r w:rsidRPr="002857F4">
        <w:t xml:space="preserve"> are facing staffing shortages and workforce retention issues.</w:t>
      </w:r>
    </w:p>
    <w:p w14:paraId="0194FF70" w14:textId="77777777" w:rsidR="00AE7C27" w:rsidRDefault="00AE7C27" w:rsidP="00AE7C27"/>
    <w:p w14:paraId="2AA9FB77" w14:textId="28F12A44" w:rsidR="00AE7C27" w:rsidRDefault="00AE7C27" w:rsidP="00AE7C27">
      <w:pPr>
        <w:pStyle w:val="Figure"/>
      </w:pPr>
      <w:bookmarkStart w:id="14" w:name="_Toc216591268"/>
      <w:r>
        <w:t xml:space="preserve">Figure </w:t>
      </w:r>
      <w:r>
        <w:fldChar w:fldCharType="begin"/>
      </w:r>
      <w:r>
        <w:instrText xml:space="preserve"> SEQ Figure \* ARABIC </w:instrText>
      </w:r>
      <w:r>
        <w:fldChar w:fldCharType="separate"/>
      </w:r>
      <w:r w:rsidR="00B71818">
        <w:rPr>
          <w:noProof/>
        </w:rPr>
        <w:t>1</w:t>
      </w:r>
      <w:r>
        <w:fldChar w:fldCharType="end"/>
      </w:r>
      <w:r>
        <w:t xml:space="preserve">: </w:t>
      </w:r>
      <w:r w:rsidRPr="00AE7C27">
        <w:t>Roadshow themes mapped against the Rural Health Strategy priority areas</w:t>
      </w:r>
      <w:bookmarkEnd w:id="14"/>
    </w:p>
    <w:p w14:paraId="49C89FD4" w14:textId="1F069494" w:rsidR="00AE7C27" w:rsidRPr="00AE7C27" w:rsidRDefault="00AE7C27" w:rsidP="00AE7C27">
      <w:r>
        <w:rPr>
          <w:noProof/>
        </w:rPr>
        <w:drawing>
          <wp:inline distT="0" distB="0" distL="0" distR="0" wp14:anchorId="612A58C0" wp14:editId="17ADD02B">
            <wp:extent cx="4963904" cy="4715510"/>
            <wp:effectExtent l="0" t="0" r="8255" b="8890"/>
            <wp:docPr id="10553208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2087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r="5997"/>
                    <a:stretch>
                      <a:fillRect/>
                    </a:stretch>
                  </pic:blipFill>
                  <pic:spPr bwMode="auto">
                    <a:xfrm>
                      <a:off x="0" y="0"/>
                      <a:ext cx="4991393" cy="4741623"/>
                    </a:xfrm>
                    <a:prstGeom prst="rect">
                      <a:avLst/>
                    </a:prstGeom>
                    <a:noFill/>
                    <a:ln>
                      <a:noFill/>
                    </a:ln>
                    <a:extLst>
                      <a:ext uri="{53640926-AAD7-44D8-BBD7-CCE9431645EC}">
                        <a14:shadowObscured xmlns:a14="http://schemas.microsoft.com/office/drawing/2010/main"/>
                      </a:ext>
                    </a:extLst>
                  </pic:spPr>
                </pic:pic>
              </a:graphicData>
            </a:graphic>
          </wp:inline>
        </w:drawing>
      </w:r>
    </w:p>
    <w:p w14:paraId="5FC0C757" w14:textId="77777777" w:rsidR="00AE7C27" w:rsidRPr="00AE7C27" w:rsidRDefault="00AE7C27" w:rsidP="00AE7C27">
      <w:pPr>
        <w:pStyle w:val="Heading1"/>
        <w:spacing w:before="0"/>
        <w:rPr>
          <w:rFonts w:eastAsia="Segoe UI"/>
        </w:rPr>
      </w:pPr>
      <w:bookmarkStart w:id="15" w:name="_Toc216264597"/>
      <w:bookmarkStart w:id="16" w:name="_Toc216591243"/>
      <w:bookmarkStart w:id="17" w:name="_Toc216775099"/>
      <w:r w:rsidRPr="00AE7C27">
        <w:rPr>
          <w:rFonts w:eastAsia="Segoe UI"/>
        </w:rPr>
        <w:lastRenderedPageBreak/>
        <w:t>What is working well for rural communities</w:t>
      </w:r>
      <w:bookmarkEnd w:id="15"/>
      <w:bookmarkEnd w:id="16"/>
      <w:bookmarkEnd w:id="17"/>
      <w:r w:rsidRPr="00AE7C27">
        <w:rPr>
          <w:rFonts w:eastAsia="Segoe UI"/>
        </w:rPr>
        <w:t xml:space="preserve"> </w:t>
      </w:r>
    </w:p>
    <w:p w14:paraId="01AC30C5" w14:textId="77777777" w:rsidR="00AE7C27" w:rsidRDefault="00AE7C27" w:rsidP="00AE7C27">
      <w:r w:rsidRPr="002857F4">
        <w:t xml:space="preserve">Throughout the roadshow events, communities were invited to share written feedback via a QR code. One of the key questions </w:t>
      </w:r>
      <w:r>
        <w:t xml:space="preserve">for feedback </w:t>
      </w:r>
      <w:r w:rsidRPr="002857F4">
        <w:t xml:space="preserve">was, </w:t>
      </w:r>
      <w:r>
        <w:t>‘</w:t>
      </w:r>
      <w:r w:rsidRPr="002857F4">
        <w:t>What is working well in rural health care?</w:t>
      </w:r>
      <w:r>
        <w:t xml:space="preserve">’ </w:t>
      </w:r>
    </w:p>
    <w:p w14:paraId="67A76FB8" w14:textId="77777777" w:rsidR="00AE7C27" w:rsidRDefault="00AE7C27" w:rsidP="00AE7C27"/>
    <w:p w14:paraId="45D7B914" w14:textId="77777777" w:rsidR="00AE7C27" w:rsidRPr="002857F4" w:rsidRDefault="00AE7C27" w:rsidP="00AE7C27">
      <w:r>
        <w:t>The level of e</w:t>
      </w:r>
      <w:r w:rsidRPr="002857F4">
        <w:t>ngagement with the QR code varied across locations. The responses have been analysed and grouped into themes to highlight the main areas that communities identified as working well.</w:t>
      </w:r>
    </w:p>
    <w:p w14:paraId="7FE400FE" w14:textId="77777777" w:rsidR="00AE7C27" w:rsidRPr="00AE7C27" w:rsidRDefault="00AE7C27" w:rsidP="00AE7C27">
      <w:pPr>
        <w:pStyle w:val="Heading2"/>
      </w:pPr>
      <w:bookmarkStart w:id="18" w:name="_Toc216264598"/>
      <w:bookmarkStart w:id="19" w:name="_Toc216591244"/>
      <w:bookmarkStart w:id="20" w:name="_Toc216775100"/>
      <w:r w:rsidRPr="00AE7C27">
        <w:t>Access to primary care</w:t>
      </w:r>
      <w:bookmarkEnd w:id="18"/>
      <w:bookmarkEnd w:id="19"/>
      <w:bookmarkEnd w:id="20"/>
    </w:p>
    <w:p w14:paraId="6907011D" w14:textId="77777777" w:rsidR="00AE7C27" w:rsidRPr="00AE7C27" w:rsidRDefault="00AE7C27" w:rsidP="00AE7C27">
      <w:pPr>
        <w:pStyle w:val="Bullet"/>
      </w:pPr>
      <w:r w:rsidRPr="00AE7C27">
        <w:t>Respondents highly value having a local GP or medical centre, especially when they can make appointments for the same day or within 24 hours.</w:t>
      </w:r>
    </w:p>
    <w:p w14:paraId="4CC2A4A7" w14:textId="77777777" w:rsidR="00AE7C27" w:rsidRPr="00AE7C27" w:rsidRDefault="00AE7C27" w:rsidP="00AE7C27">
      <w:pPr>
        <w:pStyle w:val="Bullet"/>
      </w:pPr>
      <w:r w:rsidRPr="00AE7C27">
        <w:t>Continuity of care with long-standing GPs builds trust and satisfaction.</w:t>
      </w:r>
    </w:p>
    <w:p w14:paraId="623382D1" w14:textId="77777777" w:rsidR="00AE7C27" w:rsidRPr="00AE7C27" w:rsidRDefault="00AE7C27" w:rsidP="00AE7C27">
      <w:pPr>
        <w:pStyle w:val="Bullet"/>
      </w:pPr>
      <w:r w:rsidRPr="00AE7C27">
        <w:t>Community-funded medical centres and semi-retired practitioners help fill gaps in some areas.</w:t>
      </w:r>
    </w:p>
    <w:p w14:paraId="6D2E7832" w14:textId="77777777" w:rsidR="00AE7C27" w:rsidRPr="00AE7C27" w:rsidRDefault="00AE7C27" w:rsidP="00AE7C27">
      <w:pPr>
        <w:pStyle w:val="Bullet"/>
      </w:pPr>
      <w:r w:rsidRPr="00AE7C27">
        <w:t>Many respondents report being happy with their GP and the care they receive when they can access it.</w:t>
      </w:r>
    </w:p>
    <w:p w14:paraId="2AC60210" w14:textId="77777777" w:rsidR="00AE7C27" w:rsidRPr="00DF5E58" w:rsidRDefault="00AE7C27" w:rsidP="00AE7C27">
      <w:pPr>
        <w:pStyle w:val="Heading2"/>
      </w:pPr>
      <w:bookmarkStart w:id="21" w:name="_Toc216264599"/>
      <w:bookmarkStart w:id="22" w:name="_Toc216591245"/>
      <w:bookmarkStart w:id="23" w:name="_Toc216775101"/>
      <w:r w:rsidRPr="00DF5E58">
        <w:t>Mobile and outreach services</w:t>
      </w:r>
      <w:bookmarkEnd w:id="21"/>
      <w:bookmarkEnd w:id="22"/>
      <w:bookmarkEnd w:id="23"/>
    </w:p>
    <w:p w14:paraId="0949E8DF" w14:textId="77777777" w:rsidR="00AE7C27" w:rsidRPr="002857F4" w:rsidRDefault="00AE7C27" w:rsidP="00AE7C27">
      <w:pPr>
        <w:pStyle w:val="Bullet"/>
        <w:tabs>
          <w:tab w:val="num" w:pos="284"/>
        </w:tabs>
      </w:pPr>
      <w:r w:rsidRPr="002857F4">
        <w:t xml:space="preserve">Mobile clinics on marae and iwi-led services improve access </w:t>
      </w:r>
      <w:r>
        <w:t xml:space="preserve">to health services </w:t>
      </w:r>
      <w:r w:rsidRPr="002857F4">
        <w:t>by reducing travel, offering free care and providing transport.</w:t>
      </w:r>
    </w:p>
    <w:p w14:paraId="73776A4E" w14:textId="77777777" w:rsidR="00AE7C27" w:rsidRPr="002857F4" w:rsidRDefault="00AE7C27" w:rsidP="00AE7C27">
      <w:pPr>
        <w:pStyle w:val="Bullet"/>
        <w:tabs>
          <w:tab w:val="num" w:pos="284"/>
        </w:tabs>
      </w:pPr>
      <w:r w:rsidRPr="002857F4">
        <w:t>Visiting specialists and clinics in rural hospitals (</w:t>
      </w:r>
      <w:proofErr w:type="spellStart"/>
      <w:r w:rsidRPr="002857F4">
        <w:t>eg</w:t>
      </w:r>
      <w:proofErr w:type="spellEnd"/>
      <w:r w:rsidRPr="002857F4">
        <w:t>, Kaitaia) reduce the need for long-distance travel.</w:t>
      </w:r>
    </w:p>
    <w:p w14:paraId="4736347C" w14:textId="77777777" w:rsidR="00AE7C27" w:rsidRPr="00DF5E58" w:rsidRDefault="00AE7C27" w:rsidP="00AE7C27">
      <w:pPr>
        <w:pStyle w:val="Heading2"/>
      </w:pPr>
      <w:bookmarkStart w:id="24" w:name="_Toc216264600"/>
      <w:bookmarkStart w:id="25" w:name="_Toc216591246"/>
      <w:bookmarkStart w:id="26" w:name="_Toc216775102"/>
      <w:r w:rsidRPr="00DF5E58">
        <w:t>Telehealth and digital tools</w:t>
      </w:r>
      <w:bookmarkEnd w:id="24"/>
      <w:bookmarkEnd w:id="25"/>
      <w:bookmarkEnd w:id="26"/>
    </w:p>
    <w:p w14:paraId="05886685" w14:textId="77777777" w:rsidR="00AE7C27" w:rsidRPr="002857F4" w:rsidRDefault="00AE7C27" w:rsidP="00AE7C27">
      <w:pPr>
        <w:pStyle w:val="Bullet"/>
        <w:tabs>
          <w:tab w:val="num" w:pos="284"/>
        </w:tabs>
      </w:pPr>
      <w:r w:rsidRPr="002857F4">
        <w:t>Telehealth is useful for straightforward conditions (</w:t>
      </w:r>
      <w:proofErr w:type="spellStart"/>
      <w:r w:rsidRPr="002857F4">
        <w:t>eg</w:t>
      </w:r>
      <w:proofErr w:type="spellEnd"/>
      <w:r>
        <w:t>,</w:t>
      </w:r>
      <w:r w:rsidRPr="002857F4">
        <w:t xml:space="preserve"> </w:t>
      </w:r>
      <w:r>
        <w:t>urinary tract infection</w:t>
      </w:r>
      <w:r w:rsidRPr="002857F4">
        <w:t>, COVID</w:t>
      </w:r>
      <w:r>
        <w:t>-19</w:t>
      </w:r>
      <w:r w:rsidRPr="002857F4">
        <w:t>) and repeat prescriptions.</w:t>
      </w:r>
    </w:p>
    <w:p w14:paraId="5CD1BE40" w14:textId="77777777" w:rsidR="00AE7C27" w:rsidRPr="002857F4" w:rsidRDefault="00AE7C27" w:rsidP="00AE7C27">
      <w:pPr>
        <w:pStyle w:val="Bullet"/>
        <w:tabs>
          <w:tab w:val="num" w:pos="284"/>
        </w:tabs>
      </w:pPr>
      <w:r w:rsidRPr="002857F4">
        <w:t>Online tools like Manage My Health streamline prescription renewals.</w:t>
      </w:r>
    </w:p>
    <w:p w14:paraId="757C9775" w14:textId="77777777" w:rsidR="00AE7C27" w:rsidRPr="002857F4" w:rsidRDefault="00AE7C27" w:rsidP="00AE7C27">
      <w:pPr>
        <w:pStyle w:val="Bullet"/>
        <w:tabs>
          <w:tab w:val="num" w:pos="284"/>
        </w:tabs>
      </w:pPr>
      <w:r>
        <w:t>Respondents see e</w:t>
      </w:r>
      <w:r w:rsidRPr="002857F4">
        <w:t>mail communication as more efficient than letters.</w:t>
      </w:r>
    </w:p>
    <w:p w14:paraId="47CB4729" w14:textId="77777777" w:rsidR="00AE7C27" w:rsidRPr="00DF5E58" w:rsidRDefault="00AE7C27" w:rsidP="00AE7C27">
      <w:pPr>
        <w:pStyle w:val="Heading2"/>
      </w:pPr>
      <w:bookmarkStart w:id="27" w:name="_Toc216264601"/>
      <w:bookmarkStart w:id="28" w:name="_Toc216591247"/>
      <w:bookmarkStart w:id="29" w:name="_Toc216775103"/>
      <w:r w:rsidRPr="00DF5E58">
        <w:lastRenderedPageBreak/>
        <w:t>Emergency and specialist support</w:t>
      </w:r>
      <w:bookmarkEnd w:id="27"/>
      <w:bookmarkEnd w:id="28"/>
      <w:bookmarkEnd w:id="29"/>
    </w:p>
    <w:p w14:paraId="5C75B9D9" w14:textId="77777777" w:rsidR="00AE7C27" w:rsidRPr="002857F4" w:rsidRDefault="00AE7C27" w:rsidP="00AE7C27">
      <w:pPr>
        <w:pStyle w:val="Bullet"/>
        <w:tabs>
          <w:tab w:val="num" w:pos="284"/>
        </w:tabs>
      </w:pPr>
      <w:r w:rsidRPr="002857F4">
        <w:t>Helicopter transfers for urgent cases are lifesaving.</w:t>
      </w:r>
    </w:p>
    <w:p w14:paraId="2B679E63" w14:textId="77777777" w:rsidR="00AE7C27" w:rsidRPr="002857F4" w:rsidRDefault="00AE7C27" w:rsidP="00AE7C27">
      <w:pPr>
        <w:pStyle w:val="Bullet"/>
        <w:tabs>
          <w:tab w:val="num" w:pos="284"/>
        </w:tabs>
      </w:pPr>
      <w:r>
        <w:t xml:space="preserve">Respondents expressed great appreciation for Hato Hone </w:t>
      </w:r>
      <w:r w:rsidRPr="002857F4">
        <w:t>St John ambulance services.</w:t>
      </w:r>
    </w:p>
    <w:p w14:paraId="41340CAA" w14:textId="77777777" w:rsidR="00AE7C27" w:rsidRPr="002857F4" w:rsidRDefault="00AE7C27" w:rsidP="00AE7C27">
      <w:pPr>
        <w:pStyle w:val="Bullet"/>
        <w:tabs>
          <w:tab w:val="num" w:pos="284"/>
        </w:tabs>
      </w:pPr>
      <w:r w:rsidRPr="002857F4">
        <w:t>Some regions benefit from specialists flying in for clinics.</w:t>
      </w:r>
    </w:p>
    <w:p w14:paraId="04D6A14A" w14:textId="77777777" w:rsidR="00AE7C27" w:rsidRPr="00DF5E58" w:rsidRDefault="00AE7C27" w:rsidP="00AE7C27">
      <w:pPr>
        <w:pStyle w:val="Heading2"/>
      </w:pPr>
      <w:bookmarkStart w:id="30" w:name="_Toc216264602"/>
      <w:bookmarkStart w:id="31" w:name="_Toc216591248"/>
      <w:bookmarkStart w:id="32" w:name="_Toc216775104"/>
      <w:r w:rsidRPr="00DF5E58">
        <w:t>Community strengths</w:t>
      </w:r>
      <w:bookmarkEnd w:id="30"/>
      <w:bookmarkEnd w:id="31"/>
      <w:bookmarkEnd w:id="32"/>
    </w:p>
    <w:p w14:paraId="38F64AF5" w14:textId="77777777" w:rsidR="00AE7C27" w:rsidRPr="002857F4" w:rsidRDefault="00AE7C27" w:rsidP="00AE7C27">
      <w:pPr>
        <w:pStyle w:val="Bullet"/>
        <w:tabs>
          <w:tab w:val="num" w:pos="284"/>
        </w:tabs>
      </w:pPr>
      <w:r w:rsidRPr="002857F4">
        <w:t>Dedicated local health professionals and long-serving hospital staff provide stability.</w:t>
      </w:r>
    </w:p>
    <w:p w14:paraId="5BA65FE2" w14:textId="77777777" w:rsidR="00AE7C27" w:rsidRPr="002857F4" w:rsidRDefault="00AE7C27" w:rsidP="00AE7C27">
      <w:pPr>
        <w:pStyle w:val="Bullet"/>
        <w:tabs>
          <w:tab w:val="num" w:pos="284"/>
        </w:tabs>
      </w:pPr>
      <w:r w:rsidRPr="002857F4">
        <w:t>Community mental health nurses advocating for patients make a big difference.</w:t>
      </w:r>
    </w:p>
    <w:p w14:paraId="18B95ADD" w14:textId="77777777" w:rsidR="00AE7C27" w:rsidRPr="002857F4" w:rsidRDefault="00AE7C27" w:rsidP="00AE7C27">
      <w:pPr>
        <w:pStyle w:val="Bullet"/>
        <w:tabs>
          <w:tab w:val="num" w:pos="284"/>
        </w:tabs>
      </w:pPr>
      <w:r w:rsidRPr="002857F4">
        <w:t>NGOs and community groups help people navigate the system</w:t>
      </w:r>
      <w:r>
        <w:t>, as well as</w:t>
      </w:r>
      <w:r w:rsidRPr="002857F4">
        <w:t xml:space="preserve"> provid</w:t>
      </w:r>
      <w:r>
        <w:t>ing other forms of</w:t>
      </w:r>
      <w:r w:rsidRPr="002857F4">
        <w:t xml:space="preserve"> support.</w:t>
      </w:r>
    </w:p>
    <w:p w14:paraId="037D3DE3" w14:textId="77777777" w:rsidR="00AE7C27" w:rsidRDefault="00AE7C27" w:rsidP="00AE7C27">
      <w:pPr>
        <w:pStyle w:val="Heading1"/>
        <w:sectPr w:rsidR="00AE7C27" w:rsidSect="003309CA">
          <w:headerReference w:type="default" r:id="rId23"/>
          <w:footerReference w:type="even" r:id="rId24"/>
          <w:footerReference w:type="default" r:id="rId25"/>
          <w:pgSz w:w="11907" w:h="16834" w:code="9"/>
          <w:pgMar w:top="1418" w:right="1701" w:bottom="1134" w:left="1843" w:header="284" w:footer="425" w:gutter="284"/>
          <w:pgNumType w:start="1"/>
          <w:cols w:space="720"/>
        </w:sectPr>
      </w:pPr>
      <w:bookmarkStart w:id="33" w:name="_Toc216264603"/>
    </w:p>
    <w:p w14:paraId="19DF8A22" w14:textId="77777777" w:rsidR="00AE7C27" w:rsidRDefault="00AE7C27" w:rsidP="00AE7C27">
      <w:pPr>
        <w:pStyle w:val="Heading1"/>
        <w:spacing w:before="0"/>
      </w:pPr>
      <w:bookmarkStart w:id="34" w:name="_Toc216591249"/>
      <w:bookmarkStart w:id="35" w:name="_Toc216775105"/>
      <w:r w:rsidRPr="002857F4">
        <w:lastRenderedPageBreak/>
        <w:t>Work under</w:t>
      </w:r>
      <w:r>
        <w:t xml:space="preserve"> </w:t>
      </w:r>
      <w:r w:rsidRPr="002857F4">
        <w:t xml:space="preserve">way to address the </w:t>
      </w:r>
      <w:r>
        <w:t>key</w:t>
      </w:r>
      <w:r w:rsidRPr="002857F4">
        <w:t xml:space="preserve"> themes</w:t>
      </w:r>
      <w:bookmarkEnd w:id="33"/>
      <w:bookmarkEnd w:id="34"/>
      <w:bookmarkEnd w:id="35"/>
    </w:p>
    <w:p w14:paraId="2FC2F685" w14:textId="77777777" w:rsidR="00AE7C27" w:rsidRDefault="00AE7C27" w:rsidP="00AE7C27">
      <w:r w:rsidRPr="00176EA4">
        <w:t>The roadshows offered valuable insights into the health issues rural communities</w:t>
      </w:r>
      <w:r>
        <w:t xml:space="preserve"> experience</w:t>
      </w:r>
      <w:r w:rsidRPr="00176EA4">
        <w:t xml:space="preserve">. We have carefully examined the necessary improvements to address this feedback. In many cases, this aligns with ongoing work </w:t>
      </w:r>
      <w:r>
        <w:t>being undertaken by</w:t>
      </w:r>
      <w:r w:rsidRPr="00176EA4">
        <w:t xml:space="preserve"> Health NZ and the Ministry. We will ensure that this work progresses in a manner that addresses the feedback received during the roadshows.</w:t>
      </w:r>
    </w:p>
    <w:p w14:paraId="787A0109" w14:textId="77777777" w:rsidR="00CE01F3" w:rsidRPr="00D54175" w:rsidRDefault="00CE01F3" w:rsidP="00AE7C27"/>
    <w:p w14:paraId="657820AF" w14:textId="77777777" w:rsidR="00AE7C27" w:rsidRDefault="00AE7C27" w:rsidP="00AE7C27">
      <w:r w:rsidRPr="00F577E6">
        <w:t>Health NZ and the Ministry are actively engaged in various initiatives that prioritise rural health and wellbeing. This includes work specifically targeted to rural communities such as the rural and remote prototype project</w:t>
      </w:r>
      <w:r w:rsidRPr="00183B77">
        <w:t xml:space="preserve"> </w:t>
      </w:r>
      <w:r>
        <w:t xml:space="preserve">on </w:t>
      </w:r>
      <w:r w:rsidRPr="00F577E6">
        <w:t xml:space="preserve">urgent care, the Geographical Classification </w:t>
      </w:r>
      <w:r>
        <w:t>for</w:t>
      </w:r>
      <w:r w:rsidRPr="00F577E6">
        <w:t xml:space="preserve"> Health and work </w:t>
      </w:r>
      <w:r>
        <w:t xml:space="preserve">on </w:t>
      </w:r>
      <w:r w:rsidRPr="00F577E6">
        <w:t xml:space="preserve">rural hospital sustainability. </w:t>
      </w:r>
    </w:p>
    <w:p w14:paraId="659245DB" w14:textId="77777777" w:rsidR="00CE01F3" w:rsidRPr="00F577E6" w:rsidRDefault="00CE01F3" w:rsidP="00AE7C27"/>
    <w:p w14:paraId="4C8AC7A5" w14:textId="77777777" w:rsidR="00AE7C27" w:rsidRDefault="00AE7C27" w:rsidP="00AE7C27">
      <w:pPr>
        <w:rPr>
          <w:sz w:val="18"/>
          <w:szCs w:val="18"/>
        </w:rPr>
      </w:pPr>
      <w:r w:rsidRPr="002857F4">
        <w:t>In addition to these initiatives, national programmes will benefit rural communities, even where the</w:t>
      </w:r>
      <w:r>
        <w:t>y have</w:t>
      </w:r>
      <w:r w:rsidRPr="002857F4">
        <w:t xml:space="preserve"> no specific rural focus. </w:t>
      </w:r>
      <w:r>
        <w:t>For example</w:t>
      </w:r>
      <w:r w:rsidRPr="00F577E6">
        <w:t xml:space="preserve">, </w:t>
      </w:r>
      <w:r>
        <w:t xml:space="preserve">the </w:t>
      </w:r>
      <w:r w:rsidRPr="00F577E6">
        <w:t>broader initiatives recent</w:t>
      </w:r>
      <w:r>
        <w:t>ly announced for</w:t>
      </w:r>
      <w:r w:rsidRPr="00F577E6">
        <w:t xml:space="preserve"> primary care</w:t>
      </w:r>
      <w:r>
        <w:t xml:space="preserve"> focused on</w:t>
      </w:r>
      <w:r w:rsidRPr="00F577E6">
        <w:t xml:space="preserve"> 24/7 digital services and workforce development program</w:t>
      </w:r>
      <w:r>
        <w:t>me</w:t>
      </w:r>
      <w:r w:rsidRPr="00F577E6">
        <w:t>s, are designed to benefit the entire population</w:t>
      </w:r>
      <w:r>
        <w:t>, including</w:t>
      </w:r>
      <w:r w:rsidRPr="00F577E6">
        <w:t xml:space="preserve"> rural communities.</w:t>
      </w:r>
      <w:r>
        <w:t xml:space="preserve"> </w:t>
      </w:r>
      <w:r w:rsidRPr="002857F4">
        <w:t>We</w:t>
      </w:r>
      <w:r>
        <w:t xml:space="preserve"> also</w:t>
      </w:r>
      <w:r w:rsidRPr="002857F4">
        <w:t xml:space="preserve"> acknowledge the valuable contributions of </w:t>
      </w:r>
      <w:r>
        <w:t>NGOs</w:t>
      </w:r>
      <w:r w:rsidRPr="002857F4">
        <w:t xml:space="preserve">, community groups and local services, many of which are undertaking important work that may not be captured </w:t>
      </w:r>
      <w:r>
        <w:t>explicitly in this report</w:t>
      </w:r>
      <w:r w:rsidRPr="002857F4">
        <w:t>.</w:t>
      </w:r>
      <w:r w:rsidRPr="00DB1367">
        <w:rPr>
          <w:sz w:val="18"/>
          <w:szCs w:val="18"/>
        </w:rPr>
        <w:t xml:space="preserve"> </w:t>
      </w:r>
    </w:p>
    <w:p w14:paraId="0FFFF144" w14:textId="77777777" w:rsidR="00CE01F3" w:rsidRDefault="00CE01F3" w:rsidP="00AE7C27">
      <w:pPr>
        <w:rPr>
          <w:sz w:val="18"/>
          <w:szCs w:val="18"/>
        </w:rPr>
      </w:pPr>
    </w:p>
    <w:p w14:paraId="0319D844" w14:textId="77777777" w:rsidR="00AE7C27" w:rsidRPr="0094258A" w:rsidRDefault="00AE7C27" w:rsidP="00AE7C27">
      <w:r w:rsidRPr="00DB1367">
        <w:t>The following two sections describe both targeted initiatives and broader work in more detail</w:t>
      </w:r>
      <w:r>
        <w:t>.</w:t>
      </w:r>
    </w:p>
    <w:p w14:paraId="345F74D8" w14:textId="77777777" w:rsidR="00AE7C27" w:rsidRDefault="00AE7C27" w:rsidP="00AE7C27">
      <w:pPr>
        <w:pStyle w:val="Heading1"/>
        <w:rPr>
          <w:rFonts w:eastAsia="Segoe UI"/>
        </w:rPr>
      </w:pPr>
      <w:bookmarkStart w:id="36" w:name="_Toc216264604"/>
      <w:r>
        <w:rPr>
          <w:rFonts w:eastAsia="Segoe UI"/>
        </w:rPr>
        <w:br w:type="page"/>
      </w:r>
    </w:p>
    <w:p w14:paraId="118A5B95" w14:textId="2E7407E4" w:rsidR="00AE7C27" w:rsidRDefault="00AE7C27" w:rsidP="00AE7C27">
      <w:pPr>
        <w:pStyle w:val="Heading1"/>
        <w:rPr>
          <w:rFonts w:eastAsia="Segoe UI"/>
        </w:rPr>
      </w:pPr>
      <w:bookmarkStart w:id="37" w:name="_Toc216591250"/>
      <w:bookmarkStart w:id="38" w:name="_Toc216775106"/>
      <w:r w:rsidRPr="002857F4">
        <w:rPr>
          <w:rFonts w:eastAsia="Segoe UI"/>
        </w:rPr>
        <w:lastRenderedPageBreak/>
        <w:t>Work specifically targeted to rural communities</w:t>
      </w:r>
      <w:bookmarkEnd w:id="36"/>
      <w:bookmarkEnd w:id="37"/>
      <w:bookmarkEnd w:id="38"/>
      <w:r w:rsidRPr="002857F4">
        <w:rPr>
          <w:rFonts w:eastAsia="Segoe UI"/>
        </w:rPr>
        <w:t xml:space="preserve"> </w:t>
      </w:r>
    </w:p>
    <w:p w14:paraId="03E8236C" w14:textId="77777777" w:rsidR="00AE7C27" w:rsidRDefault="00AE7C27" w:rsidP="00CE01F3">
      <w:pPr>
        <w:rPr>
          <w:rFonts w:eastAsiaTheme="minorHAnsi" w:cstheme="minorBidi"/>
        </w:rPr>
      </w:pPr>
      <w:r w:rsidRPr="00F577E6">
        <w:t xml:space="preserve">The Ministry and Health NZ are progressing a range of initiatives that </w:t>
      </w:r>
      <w:r>
        <w:t>address</w:t>
      </w:r>
      <w:r w:rsidRPr="00F577E6">
        <w:t xml:space="preserve"> to key themes raised during the </w:t>
      </w:r>
      <w:r>
        <w:t>R</w:t>
      </w:r>
      <w:r w:rsidRPr="00F577E6">
        <w:t xml:space="preserve">ural </w:t>
      </w:r>
      <w:r>
        <w:t>H</w:t>
      </w:r>
      <w:r w:rsidRPr="00F577E6">
        <w:t xml:space="preserve">ealth </w:t>
      </w:r>
      <w:r>
        <w:t>R</w:t>
      </w:r>
      <w:r w:rsidRPr="00F577E6">
        <w:t xml:space="preserve">oadshow. </w:t>
      </w:r>
      <w:r>
        <w:t>Themes</w:t>
      </w:r>
      <w:r w:rsidRPr="00F577E6">
        <w:t xml:space="preserve"> such as travel assistance, urgent and unplanned care, and workforce development have work under</w:t>
      </w:r>
      <w:r>
        <w:t xml:space="preserve"> </w:t>
      </w:r>
      <w:r w:rsidRPr="00F577E6">
        <w:t>way, with further actions planned to strengthen services and improve access for rural communities.</w:t>
      </w:r>
    </w:p>
    <w:p w14:paraId="7BA3AADE" w14:textId="77777777" w:rsidR="00AE7C27" w:rsidRPr="00CE01F3" w:rsidRDefault="00AE7C27" w:rsidP="00CE01F3">
      <w:pPr>
        <w:pStyle w:val="Heading2"/>
      </w:pPr>
      <w:bookmarkStart w:id="39" w:name="_Toc216264605"/>
      <w:bookmarkStart w:id="40" w:name="_Toc216591251"/>
      <w:bookmarkStart w:id="41" w:name="_Toc216775107"/>
      <w:r w:rsidRPr="00CE01F3">
        <w:t>National Travel Assistance programme</w:t>
      </w:r>
      <w:bookmarkEnd w:id="39"/>
      <w:bookmarkEnd w:id="40"/>
      <w:bookmarkEnd w:id="41"/>
    </w:p>
    <w:p w14:paraId="50DEEF2C" w14:textId="77777777" w:rsidR="00AE7C27" w:rsidRDefault="00AE7C27" w:rsidP="00CE01F3">
      <w:r w:rsidRPr="002857F4">
        <w:t>The National Travel Assistance (NTA) scheme provides financial support to help patients overcome travel barriers. NTA contributes to travel and accommodation costs for patients and</w:t>
      </w:r>
      <w:r>
        <w:t>,</w:t>
      </w:r>
      <w:r w:rsidRPr="002857F4">
        <w:t xml:space="preserve"> in some cases, </w:t>
      </w:r>
      <w:r>
        <w:t xml:space="preserve">for </w:t>
      </w:r>
      <w:r w:rsidRPr="002857F4">
        <w:t>their whānau</w:t>
      </w:r>
      <w:r>
        <w:t xml:space="preserve"> or other supporters</w:t>
      </w:r>
      <w:r w:rsidRPr="002857F4">
        <w:t>. Eligibility is based on factors such as distance travelled (</w:t>
      </w:r>
      <w:proofErr w:type="spellStart"/>
      <w:r w:rsidRPr="002857F4">
        <w:t>eg</w:t>
      </w:r>
      <w:proofErr w:type="spellEnd"/>
      <w:r>
        <w:t>,</w:t>
      </w:r>
      <w:r w:rsidRPr="002857F4">
        <w:t xml:space="preserve"> over 350 km), frequency of visits, and clinical need. </w:t>
      </w:r>
    </w:p>
    <w:p w14:paraId="60FA0528" w14:textId="77777777" w:rsidR="00CE01F3" w:rsidRPr="002857F4" w:rsidRDefault="00CE01F3" w:rsidP="00CE01F3"/>
    <w:p w14:paraId="138A53D0" w14:textId="77777777" w:rsidR="00AE7C27" w:rsidRPr="002857F4" w:rsidRDefault="00AE7C27" w:rsidP="00CE01F3">
      <w:r w:rsidRPr="002857F4">
        <w:t xml:space="preserve">In response to concerns raised by patients, staff, </w:t>
      </w:r>
      <w:r>
        <w:t>members of Parliament</w:t>
      </w:r>
      <w:r w:rsidRPr="002857F4">
        <w:t xml:space="preserve">, media and national bodies, Health NZ developed an improvement plan in late 2023. </w:t>
      </w:r>
      <w:r>
        <w:t xml:space="preserve">The then Minister of Health, Hon Shane </w:t>
      </w:r>
      <w:proofErr w:type="spellStart"/>
      <w:r>
        <w:t>Reti</w:t>
      </w:r>
      <w:proofErr w:type="spellEnd"/>
      <w:r>
        <w:t>,</w:t>
      </w:r>
      <w:r w:rsidRPr="002857F4">
        <w:t xml:space="preserve"> approved a package of changes in February 2024, supported by $18 million in funding.</w:t>
      </w:r>
      <w:r>
        <w:t xml:space="preserve"> </w:t>
      </w:r>
      <w:r w:rsidRPr="002857F4">
        <w:t xml:space="preserve">Key changes </w:t>
      </w:r>
      <w:r>
        <w:t>are</w:t>
      </w:r>
      <w:r w:rsidRPr="002857F4">
        <w:t>: </w:t>
      </w:r>
    </w:p>
    <w:p w14:paraId="3CBE0A76" w14:textId="77777777" w:rsidR="00AE7C27" w:rsidRPr="00CE01F3" w:rsidRDefault="00AE7C27" w:rsidP="00CE01F3">
      <w:pPr>
        <w:pStyle w:val="Bullet"/>
      </w:pPr>
      <w:r w:rsidRPr="00CE01F3">
        <w:rPr>
          <w:rFonts w:eastAsia="Segoe UI"/>
        </w:rPr>
        <w:t>higher reimbursement rates for the cost of travel and accommodation near health services, including:</w:t>
      </w:r>
    </w:p>
    <w:p w14:paraId="61A417AC" w14:textId="77777777" w:rsidR="00AE7C27" w:rsidRPr="002857F4" w:rsidRDefault="00AE7C27" w:rsidP="00AE7C27">
      <w:pPr>
        <w:pStyle w:val="Dash"/>
      </w:pPr>
      <w:r>
        <w:rPr>
          <w:rFonts w:eastAsia="Segoe UI"/>
        </w:rPr>
        <w:t>i</w:t>
      </w:r>
      <w:r w:rsidRPr="002857F4">
        <w:rPr>
          <w:rFonts w:eastAsia="Segoe UI"/>
        </w:rPr>
        <w:t xml:space="preserve">ncreased reimbursement rates (effective 1 April 2024) </w:t>
      </w:r>
    </w:p>
    <w:p w14:paraId="6F2D1446" w14:textId="77777777" w:rsidR="00AE7C27" w:rsidRPr="002857F4" w:rsidRDefault="00AE7C27" w:rsidP="00AE7C27">
      <w:pPr>
        <w:pStyle w:val="Dash"/>
      </w:pPr>
      <w:r>
        <w:rPr>
          <w:rFonts w:eastAsia="Segoe UI"/>
        </w:rPr>
        <w:t>a higher a</w:t>
      </w:r>
      <w:r w:rsidRPr="002857F4">
        <w:rPr>
          <w:rFonts w:eastAsia="Segoe UI"/>
        </w:rPr>
        <w:t>ccommodation cap</w:t>
      </w:r>
      <w:r>
        <w:rPr>
          <w:rFonts w:eastAsia="Segoe UI"/>
        </w:rPr>
        <w:t>,</w:t>
      </w:r>
      <w:r w:rsidRPr="002857F4">
        <w:rPr>
          <w:rFonts w:eastAsia="Segoe UI"/>
        </w:rPr>
        <w:t xml:space="preserve"> raised from $100 to $140 per night</w:t>
      </w:r>
    </w:p>
    <w:p w14:paraId="2F6FA5C3" w14:textId="77777777" w:rsidR="00AE7C27" w:rsidRPr="002857F4" w:rsidRDefault="00AE7C27" w:rsidP="00AE7C27">
      <w:pPr>
        <w:pStyle w:val="Dash"/>
      </w:pPr>
      <w:r>
        <w:rPr>
          <w:rFonts w:eastAsia="Segoe UI"/>
        </w:rPr>
        <w:t>a higher m</w:t>
      </w:r>
      <w:r w:rsidRPr="002857F4">
        <w:rPr>
          <w:rFonts w:eastAsia="Segoe UI"/>
        </w:rPr>
        <w:t>ileage rate</w:t>
      </w:r>
      <w:r>
        <w:rPr>
          <w:rFonts w:eastAsia="Segoe UI"/>
        </w:rPr>
        <w:t>,</w:t>
      </w:r>
      <w:r w:rsidRPr="002857F4">
        <w:rPr>
          <w:rFonts w:eastAsia="Segoe UI"/>
        </w:rPr>
        <w:t xml:space="preserve"> increased from 28c to 34c per kilometre</w:t>
      </w:r>
    </w:p>
    <w:p w14:paraId="6936E5B5" w14:textId="77777777" w:rsidR="00AE7C27" w:rsidRPr="00CE01F3" w:rsidRDefault="00AE7C27" w:rsidP="00CE01F3">
      <w:pPr>
        <w:pStyle w:val="Bullet"/>
      </w:pPr>
      <w:r w:rsidRPr="00CE01F3">
        <w:rPr>
          <w:rFonts w:eastAsia="Segoe UI"/>
        </w:rPr>
        <w:t>strengthened eligibility and exceptions processes, improving equity and consistency across regions</w:t>
      </w:r>
    </w:p>
    <w:p w14:paraId="7A172F9C" w14:textId="77777777" w:rsidR="00AE7C27" w:rsidRPr="00CE01F3" w:rsidRDefault="00AE7C27" w:rsidP="00CE01F3">
      <w:pPr>
        <w:pStyle w:val="Bullet"/>
      </w:pPr>
      <w:r w:rsidRPr="00CE01F3">
        <w:rPr>
          <w:rFonts w:eastAsia="Segoe UI"/>
        </w:rPr>
        <w:t>simpler, faster claiming through the introduction of a dedicated email address.</w:t>
      </w:r>
    </w:p>
    <w:p w14:paraId="522DF916" w14:textId="77777777" w:rsidR="00CE01F3" w:rsidRDefault="00CE01F3" w:rsidP="00CE01F3"/>
    <w:p w14:paraId="668A7239" w14:textId="1D39EC61" w:rsidR="00AE7C27" w:rsidRPr="002857F4" w:rsidRDefault="00AE7C27" w:rsidP="00CE01F3">
      <w:r w:rsidRPr="007E664E">
        <w:t>Health NZ's analysis for the year following the implementation of the changes revealed improvements in the following areas</w:t>
      </w:r>
      <w:r>
        <w:t>.</w:t>
      </w:r>
      <w:r w:rsidRPr="002857F4">
        <w:t>  </w:t>
      </w:r>
    </w:p>
    <w:p w14:paraId="684CECF7" w14:textId="77777777" w:rsidR="00AE7C27" w:rsidRPr="00CE01F3" w:rsidRDefault="00AE7C27" w:rsidP="00CE01F3">
      <w:pPr>
        <w:pStyle w:val="Bullet"/>
      </w:pPr>
      <w:r w:rsidRPr="00CE01F3">
        <w:rPr>
          <w:rFonts w:eastAsia="Segoe UI"/>
        </w:rPr>
        <w:t>Uptake: The number of claims increased by 9% (from 25,382 to 27,556 year-on-year).</w:t>
      </w:r>
    </w:p>
    <w:p w14:paraId="6A2BAE06" w14:textId="77777777" w:rsidR="00AE7C27" w:rsidRPr="00CE01F3" w:rsidRDefault="00AE7C27" w:rsidP="00CE01F3">
      <w:pPr>
        <w:pStyle w:val="Bullet"/>
      </w:pPr>
      <w:r w:rsidRPr="00CE01F3">
        <w:rPr>
          <w:rFonts w:eastAsia="Segoe UI"/>
        </w:rPr>
        <w:t>Financial support per client: Average claims rose from $1,218 to $1,535.</w:t>
      </w:r>
    </w:p>
    <w:p w14:paraId="28C00468" w14:textId="77777777" w:rsidR="00AE7C27" w:rsidRPr="00CE01F3" w:rsidRDefault="00AE7C27" w:rsidP="00CE01F3">
      <w:pPr>
        <w:pStyle w:val="Bullet"/>
      </w:pPr>
      <w:r w:rsidRPr="00CE01F3">
        <w:rPr>
          <w:rFonts w:eastAsia="Segoe UI"/>
        </w:rPr>
        <w:lastRenderedPageBreak/>
        <w:t>Digital access: 45% of clients are now submitting claims via email, as an easier process that leads to faster payment.</w:t>
      </w:r>
    </w:p>
    <w:p w14:paraId="6975D6A8" w14:textId="77777777" w:rsidR="00AE7C27" w:rsidRPr="00CE01F3" w:rsidRDefault="00AE7C27" w:rsidP="00CE01F3">
      <w:pPr>
        <w:pStyle w:val="Bullet"/>
      </w:pPr>
      <w:r w:rsidRPr="00CE01F3">
        <w:rPr>
          <w:rFonts w:eastAsia="Segoe UI"/>
        </w:rPr>
        <w:t>Processing times: Claims are now processed in days, where processing had previously taken weeks.</w:t>
      </w:r>
    </w:p>
    <w:p w14:paraId="68B8D2CE" w14:textId="77777777" w:rsidR="00AE7C27" w:rsidRPr="00CE01F3" w:rsidRDefault="00AE7C27" w:rsidP="00CE01F3">
      <w:pPr>
        <w:pStyle w:val="Bullet"/>
      </w:pPr>
      <w:r w:rsidRPr="00CE01F3">
        <w:rPr>
          <w:rFonts w:eastAsia="Segoe UI"/>
        </w:rPr>
        <w:t>Fairness: Support is more consistent across districts. </w:t>
      </w:r>
    </w:p>
    <w:p w14:paraId="551F08FB" w14:textId="77777777" w:rsidR="00CE01F3" w:rsidRDefault="00CE01F3" w:rsidP="00CE01F3"/>
    <w:p w14:paraId="157C18A2" w14:textId="179BF552" w:rsidR="00AE7C27" w:rsidRPr="0049613E" w:rsidRDefault="00AE7C27" w:rsidP="00CE01F3">
      <w:r w:rsidRPr="00F577E6">
        <w:t xml:space="preserve">Health NZ is continuing to explore </w:t>
      </w:r>
      <w:r>
        <w:t xml:space="preserve">ways to </w:t>
      </w:r>
      <w:r w:rsidRPr="00F577E6">
        <w:t>enhance the scheme</w:t>
      </w:r>
      <w:r>
        <w:t>.</w:t>
      </w:r>
      <w:r w:rsidRPr="00F577E6">
        <w:t xml:space="preserve"> </w:t>
      </w:r>
      <w:r>
        <w:t>It is</w:t>
      </w:r>
      <w:r w:rsidRPr="00F577E6">
        <w:t xml:space="preserve"> focus</w:t>
      </w:r>
      <w:r>
        <w:t>ing</w:t>
      </w:r>
      <w:r w:rsidRPr="00F577E6">
        <w:t xml:space="preserve"> on</w:t>
      </w:r>
      <w:r>
        <w:t xml:space="preserve"> expanding pre-payment and digital claiming options, and promoting awareness of entitlements, as well as reviewing overall consistency of support.</w:t>
      </w:r>
    </w:p>
    <w:p w14:paraId="54C9B2A0" w14:textId="77777777" w:rsidR="00AE7C27" w:rsidRPr="007651A8" w:rsidRDefault="00AE7C27" w:rsidP="00AE7C27">
      <w:pPr>
        <w:pStyle w:val="Heading2"/>
      </w:pPr>
      <w:bookmarkStart w:id="42" w:name="_Toc216264606"/>
      <w:bookmarkStart w:id="43" w:name="_Toc216591252"/>
      <w:bookmarkStart w:id="44" w:name="_Toc216775108"/>
      <w:r w:rsidRPr="007651A8">
        <w:t>Urgent and after-hours care</w:t>
      </w:r>
      <w:bookmarkEnd w:id="42"/>
      <w:bookmarkEnd w:id="43"/>
      <w:bookmarkEnd w:id="44"/>
    </w:p>
    <w:p w14:paraId="58D691AB" w14:textId="77777777" w:rsidR="00AE7C27" w:rsidRDefault="00AE7C27" w:rsidP="00CE01F3">
      <w:r w:rsidRPr="00F577E6">
        <w:t>The Government has announced a $164 million investment to expand and strengthen urgent and after-hours health</w:t>
      </w:r>
      <w:r>
        <w:t xml:space="preserve"> </w:t>
      </w:r>
      <w:r w:rsidRPr="00F577E6">
        <w:t xml:space="preserve">care services across the country. This investment supports the roll-out of </w:t>
      </w:r>
      <w:r>
        <w:t xml:space="preserve">the </w:t>
      </w:r>
      <w:r w:rsidRPr="00F577E6">
        <w:t>n</w:t>
      </w:r>
      <w:r>
        <w:t>ew and</w:t>
      </w:r>
      <w:r w:rsidRPr="00F577E6">
        <w:t xml:space="preserve"> improved urgent and after-hours health</w:t>
      </w:r>
      <w:r>
        <w:t xml:space="preserve"> </w:t>
      </w:r>
      <w:r w:rsidRPr="00F577E6">
        <w:t>care framework, which provides a foundation for improving after-hours and urgent care services for rural and remote communities.</w:t>
      </w:r>
    </w:p>
    <w:p w14:paraId="755C7C2F" w14:textId="77777777" w:rsidR="00CE01F3" w:rsidRPr="00F577E6" w:rsidRDefault="00CE01F3" w:rsidP="00CE01F3"/>
    <w:p w14:paraId="3A9F3C64" w14:textId="77777777" w:rsidR="00AE7C27" w:rsidRDefault="00AE7C27" w:rsidP="00CE01F3">
      <w:r w:rsidRPr="00F577E6">
        <w:t xml:space="preserve">Health NZ </w:t>
      </w:r>
      <w:r>
        <w:t>is</w:t>
      </w:r>
      <w:r w:rsidRPr="00F577E6">
        <w:t xml:space="preserve"> progressing </w:t>
      </w:r>
      <w:r>
        <w:t xml:space="preserve">the </w:t>
      </w:r>
      <w:r w:rsidRPr="00F577E6">
        <w:t>implementation</w:t>
      </w:r>
      <w:r>
        <w:t xml:space="preserve"> of this framework</w:t>
      </w:r>
      <w:r w:rsidRPr="00F577E6">
        <w:t xml:space="preserve"> </w:t>
      </w:r>
      <w:r>
        <w:t>through</w:t>
      </w:r>
      <w:r w:rsidRPr="00F577E6">
        <w:t xml:space="preserve"> a phased approach</w:t>
      </w:r>
      <w:r>
        <w:t>.</w:t>
      </w:r>
      <w:r w:rsidRPr="00F577E6">
        <w:t xml:space="preserve"> </w:t>
      </w:r>
      <w:r>
        <w:t>The project began with the selection of</w:t>
      </w:r>
      <w:r w:rsidRPr="00F577E6">
        <w:t xml:space="preserve"> six rural and remote prototype locations </w:t>
      </w:r>
      <w:r>
        <w:t>(</w:t>
      </w:r>
      <w:proofErr w:type="spellStart"/>
      <w:r w:rsidRPr="00F577E6">
        <w:t>Tūrangi</w:t>
      </w:r>
      <w:proofErr w:type="spellEnd"/>
      <w:r w:rsidRPr="00F577E6">
        <w:t xml:space="preserve">, Twizel, Golden Bay, </w:t>
      </w:r>
      <w:proofErr w:type="spellStart"/>
      <w:r w:rsidRPr="00F577E6">
        <w:t>Te</w:t>
      </w:r>
      <w:proofErr w:type="spellEnd"/>
      <w:r w:rsidRPr="00F577E6">
        <w:t xml:space="preserve"> </w:t>
      </w:r>
      <w:proofErr w:type="spellStart"/>
      <w:r w:rsidRPr="00F577E6">
        <w:t>Kūiti</w:t>
      </w:r>
      <w:proofErr w:type="spellEnd"/>
      <w:r w:rsidRPr="00F577E6">
        <w:t>, Coromandel</w:t>
      </w:r>
      <w:r>
        <w:t xml:space="preserve"> and</w:t>
      </w:r>
      <w:r w:rsidRPr="00F577E6">
        <w:t xml:space="preserve"> Aotea </w:t>
      </w:r>
      <w:r>
        <w:t>–</w:t>
      </w:r>
      <w:r w:rsidRPr="00F577E6">
        <w:t xml:space="preserve"> Great Barrier Island</w:t>
      </w:r>
      <w:r>
        <w:t xml:space="preserve">) </w:t>
      </w:r>
      <w:r w:rsidRPr="00F577E6">
        <w:t xml:space="preserve">to trial innovative models </w:t>
      </w:r>
      <w:r>
        <w:t xml:space="preserve">for </w:t>
      </w:r>
      <w:r w:rsidRPr="00F577E6">
        <w:t xml:space="preserve">rural urgent care. Funding agreements are now in place </w:t>
      </w:r>
      <w:r>
        <w:t>and t</w:t>
      </w:r>
      <w:r w:rsidRPr="00F577E6">
        <w:t>he</w:t>
      </w:r>
      <w:r>
        <w:t>se prototypes are</w:t>
      </w:r>
      <w:r w:rsidRPr="00027793">
        <w:t xml:space="preserve"> </w:t>
      </w:r>
      <w:r w:rsidRPr="00F577E6">
        <w:t>in operation</w:t>
      </w:r>
      <w:r>
        <w:t>. I</w:t>
      </w:r>
      <w:r w:rsidRPr="00F577E6">
        <w:t>nsights from these prototypes are informing wider</w:t>
      </w:r>
      <w:r>
        <w:t xml:space="preserve"> efforts to enhance</w:t>
      </w:r>
      <w:r w:rsidRPr="00F577E6">
        <w:t xml:space="preserve"> rural health </w:t>
      </w:r>
      <w:r>
        <w:t xml:space="preserve">services </w:t>
      </w:r>
      <w:r w:rsidRPr="00F577E6">
        <w:t>in up to 70 rural and remote locations over the next two years.</w:t>
      </w:r>
    </w:p>
    <w:p w14:paraId="587BFAF5" w14:textId="77777777" w:rsidR="00CE01F3" w:rsidRPr="00F577E6" w:rsidRDefault="00CE01F3" w:rsidP="00CE01F3"/>
    <w:p w14:paraId="09DC980E" w14:textId="77777777" w:rsidR="00AE7C27" w:rsidRPr="002857F4" w:rsidRDefault="00AE7C27" w:rsidP="00CE01F3">
      <w:pPr>
        <w:rPr>
          <w:color w:val="000000" w:themeColor="text1"/>
        </w:rPr>
      </w:pPr>
      <w:r w:rsidRPr="002857F4">
        <w:rPr>
          <w:color w:val="000000" w:themeColor="text1"/>
        </w:rPr>
        <w:t xml:space="preserve">These communities will test rural-specific models that include: </w:t>
      </w:r>
    </w:p>
    <w:p w14:paraId="6EC20EC0" w14:textId="77777777" w:rsidR="00AE7C27" w:rsidRPr="00CE01F3" w:rsidRDefault="00AE7C27" w:rsidP="00CE01F3">
      <w:pPr>
        <w:pStyle w:val="Bullet"/>
      </w:pPr>
      <w:r w:rsidRPr="00CE01F3">
        <w:t>enhanced point-of-care diagnostics</w:t>
      </w:r>
    </w:p>
    <w:p w14:paraId="25BCC866" w14:textId="77777777" w:rsidR="00AE7C27" w:rsidRPr="00CE01F3" w:rsidRDefault="00AE7C27" w:rsidP="00CE01F3">
      <w:pPr>
        <w:pStyle w:val="Bullet"/>
      </w:pPr>
      <w:r w:rsidRPr="00CE01F3">
        <w:t>improved access to medicines</w:t>
      </w:r>
    </w:p>
    <w:p w14:paraId="5660B337" w14:textId="77777777" w:rsidR="00AE7C27" w:rsidRPr="00CE01F3" w:rsidRDefault="00AE7C27" w:rsidP="00CE01F3">
      <w:pPr>
        <w:pStyle w:val="Bullet"/>
      </w:pPr>
      <w:r w:rsidRPr="00CE01F3">
        <w:t>equipment and tools to support clinical decision-making</w:t>
      </w:r>
    </w:p>
    <w:p w14:paraId="56C82DBB" w14:textId="77777777" w:rsidR="00AE7C27" w:rsidRPr="00CE01F3" w:rsidRDefault="00AE7C27" w:rsidP="00CE01F3">
      <w:pPr>
        <w:pStyle w:val="Bullet"/>
      </w:pPr>
      <w:r w:rsidRPr="00CE01F3">
        <w:t>closer coordination with ambulance services.</w:t>
      </w:r>
    </w:p>
    <w:p w14:paraId="588F3639" w14:textId="77777777" w:rsidR="00AE7C27" w:rsidRDefault="00AE7C27" w:rsidP="00AE7C27">
      <w:pPr>
        <w:pStyle w:val="Heading2"/>
      </w:pPr>
      <w:bookmarkStart w:id="45" w:name="_Toc216264607"/>
      <w:bookmarkStart w:id="46" w:name="_Toc216591253"/>
      <w:bookmarkStart w:id="47" w:name="_Toc216775109"/>
      <w:r>
        <w:t>Workforce retention and training</w:t>
      </w:r>
      <w:bookmarkEnd w:id="45"/>
      <w:bookmarkEnd w:id="46"/>
      <w:bookmarkEnd w:id="47"/>
    </w:p>
    <w:p w14:paraId="09201A01" w14:textId="77777777" w:rsidR="00AE7C27" w:rsidRPr="000D1E70" w:rsidRDefault="00AE7C27" w:rsidP="00AE7C27">
      <w:pPr>
        <w:pStyle w:val="Heading3"/>
      </w:pPr>
      <w:r w:rsidRPr="007651A8">
        <w:t xml:space="preserve">Rural </w:t>
      </w:r>
      <w:r w:rsidRPr="000D1E70">
        <w:t xml:space="preserve">training hubs </w:t>
      </w:r>
    </w:p>
    <w:p w14:paraId="2F923E0E" w14:textId="77777777" w:rsidR="00AE7C27" w:rsidRDefault="00AE7C27" w:rsidP="00CE01F3">
      <w:r w:rsidRPr="002857F4">
        <w:t xml:space="preserve">Health NZ’s Workforce Plan includes establishing four </w:t>
      </w:r>
      <w:r>
        <w:t>r</w:t>
      </w:r>
      <w:r w:rsidRPr="002857F4">
        <w:t xml:space="preserve">ural </w:t>
      </w:r>
      <w:r>
        <w:t>t</w:t>
      </w:r>
      <w:r w:rsidRPr="002857F4">
        <w:t xml:space="preserve">raining </w:t>
      </w:r>
      <w:r>
        <w:t>h</w:t>
      </w:r>
      <w:r w:rsidRPr="002857F4">
        <w:t>ubs, one in each Health NZ region, to strengthen rural health</w:t>
      </w:r>
      <w:r>
        <w:t xml:space="preserve"> </w:t>
      </w:r>
      <w:r w:rsidRPr="002857F4">
        <w:t>care and grow the rural health workforce. Each hub will have a dedicated programme lead working with local partners to create a supportive learning environment.</w:t>
      </w:r>
      <w:r>
        <w:t xml:space="preserve"> </w:t>
      </w:r>
    </w:p>
    <w:p w14:paraId="42DA4A87" w14:textId="77777777" w:rsidR="00CE01F3" w:rsidRDefault="00CE01F3" w:rsidP="00CE01F3"/>
    <w:p w14:paraId="18636093" w14:textId="77777777" w:rsidR="00AE7C27" w:rsidRDefault="00AE7C27" w:rsidP="00CE01F3">
      <w:r w:rsidRPr="002857F4">
        <w:t>The purpose of the hubs is to attract and retain front</w:t>
      </w:r>
      <w:r>
        <w:t>-</w:t>
      </w:r>
      <w:r w:rsidRPr="002857F4">
        <w:t>line health professionals in rural areas by creating stronger links between local services, universities and training providers.</w:t>
      </w:r>
      <w:r>
        <w:t xml:space="preserve"> </w:t>
      </w:r>
      <w:r w:rsidRPr="001B1A42">
        <w:t>Part of this work will involve providing</w:t>
      </w:r>
      <w:r>
        <w:t xml:space="preserve"> </w:t>
      </w:r>
      <w:r w:rsidRPr="002857F4">
        <w:t>rural</w:t>
      </w:r>
      <w:r>
        <w:t>-</w:t>
      </w:r>
      <w:r w:rsidRPr="002857F4">
        <w:t xml:space="preserve">focused education and training </w:t>
      </w:r>
      <w:r w:rsidRPr="002857F4">
        <w:lastRenderedPageBreak/>
        <w:t xml:space="preserve">across the health workforce, including </w:t>
      </w:r>
      <w:r>
        <w:t xml:space="preserve">for </w:t>
      </w:r>
      <w:r w:rsidRPr="002857F4">
        <w:t xml:space="preserve">nursing, medicine, allied health, </w:t>
      </w:r>
      <w:proofErr w:type="spellStart"/>
      <w:r w:rsidRPr="002857F4">
        <w:t>kaiāwhina</w:t>
      </w:r>
      <w:proofErr w:type="spellEnd"/>
      <w:r w:rsidRPr="002857F4">
        <w:t xml:space="preserve"> and other roles</w:t>
      </w:r>
      <w:r>
        <w:t>. They will also establish or strengthen</w:t>
      </w:r>
      <w:r w:rsidRPr="002857F4">
        <w:t xml:space="preserve"> supported pathways into rural practice. </w:t>
      </w:r>
    </w:p>
    <w:p w14:paraId="38AA4ADF" w14:textId="77777777" w:rsidR="00CE01F3" w:rsidRDefault="00CE01F3" w:rsidP="00CE01F3"/>
    <w:p w14:paraId="377CB7CD" w14:textId="77777777" w:rsidR="00AE7C27" w:rsidRDefault="00AE7C27" w:rsidP="00CE01F3">
      <w:r>
        <w:t>T</w:t>
      </w:r>
      <w:r w:rsidRPr="002857F4">
        <w:t>he first hub in South Taranaki, announced in September, builds on existing initiatives such as the Rural Medical Immersion Programme, which places fifth-year University of Auckland medical students at Hāwera Hospital and local GP practices.</w:t>
      </w:r>
      <w:r>
        <w:t xml:space="preserve"> </w:t>
      </w:r>
      <w:r w:rsidRPr="005D1917">
        <w:t>By coordinating placements, training pathways, and pastoral support, the hubs will enable doctors, nurses, midwives, and allied health staff to live, work, and train in rural communities, delivering care closer to home.</w:t>
      </w:r>
    </w:p>
    <w:p w14:paraId="46A4097E" w14:textId="77777777" w:rsidR="00AE7C27" w:rsidRPr="00CE01F3" w:rsidRDefault="00AE7C27" w:rsidP="00CE01F3">
      <w:pPr>
        <w:pStyle w:val="Heading3"/>
      </w:pPr>
      <w:r w:rsidRPr="00CE01F3">
        <w:t xml:space="preserve">Rural </w:t>
      </w:r>
      <w:proofErr w:type="spellStart"/>
      <w:r w:rsidRPr="00CE01F3">
        <w:t>generalism</w:t>
      </w:r>
      <w:proofErr w:type="spellEnd"/>
    </w:p>
    <w:p w14:paraId="1E0CEE55" w14:textId="77777777" w:rsidR="00AE7C27" w:rsidRDefault="00AE7C27" w:rsidP="00CE01F3">
      <w:r w:rsidRPr="008D5C61">
        <w:t>Health NZ has started work to expand the use of rural generalist models of care in all four regions</w:t>
      </w:r>
      <w:r>
        <w:t>:</w:t>
      </w:r>
      <w:r w:rsidRPr="008D5C61">
        <w:t xml:space="preserve"> Northern, Midland </w:t>
      </w:r>
      <w:r>
        <w:t>–</w:t>
      </w:r>
      <w:r w:rsidRPr="008D5C61">
        <w:t xml:space="preserve"> </w:t>
      </w:r>
      <w:proofErr w:type="spellStart"/>
      <w:r w:rsidRPr="008D5C61">
        <w:t>Te</w:t>
      </w:r>
      <w:proofErr w:type="spellEnd"/>
      <w:r w:rsidRPr="008D5C61">
        <w:t xml:space="preserve"> Manawa Taki, Central </w:t>
      </w:r>
      <w:r>
        <w:t xml:space="preserve">– </w:t>
      </w:r>
      <w:proofErr w:type="spellStart"/>
      <w:r w:rsidRPr="008D5C61">
        <w:t>Te</w:t>
      </w:r>
      <w:proofErr w:type="spellEnd"/>
      <w:r w:rsidRPr="008D5C61">
        <w:t xml:space="preserve"> Ikaroa</w:t>
      </w:r>
      <w:r>
        <w:t xml:space="preserve"> and</w:t>
      </w:r>
      <w:r w:rsidRPr="008D5C61">
        <w:t xml:space="preserve"> South Island </w:t>
      </w:r>
      <w:r>
        <w:t>–</w:t>
      </w:r>
      <w:r w:rsidRPr="008D5C61">
        <w:t xml:space="preserve"> </w:t>
      </w:r>
      <w:proofErr w:type="spellStart"/>
      <w:r w:rsidRPr="008D5C61">
        <w:t>Te</w:t>
      </w:r>
      <w:proofErr w:type="spellEnd"/>
      <w:r w:rsidRPr="008D5C61">
        <w:t xml:space="preserve"> Waipounamu.</w:t>
      </w:r>
    </w:p>
    <w:p w14:paraId="13DDAAA0" w14:textId="77777777" w:rsidR="00CE01F3" w:rsidRPr="008D5C61" w:rsidRDefault="00CE01F3" w:rsidP="00CE01F3"/>
    <w:p w14:paraId="711FF843" w14:textId="77777777" w:rsidR="00AE7C27" w:rsidRDefault="00AE7C27" w:rsidP="00CE01F3">
      <w:r w:rsidRPr="008D5C61">
        <w:t>The rural generalist model is a workforce and service approach that focuses on breadth of scope, allowing rural health professionals to work across multiple areas</w:t>
      </w:r>
      <w:r>
        <w:t xml:space="preserve"> of health</w:t>
      </w:r>
      <w:r w:rsidRPr="008D5C61">
        <w:t>. This model promotes flexibility and efficiency by addressing workforce shortages and improving sustainability, making rural and provincial health work better for patients, whānau and the teams wh</w:t>
      </w:r>
      <w:r>
        <w:t>o</w:t>
      </w:r>
      <w:r w:rsidRPr="008D5C61">
        <w:t xml:space="preserve"> care for them. </w:t>
      </w:r>
    </w:p>
    <w:p w14:paraId="39448D2E" w14:textId="77777777" w:rsidR="00CE01F3" w:rsidRPr="008D5C61" w:rsidRDefault="00CE01F3" w:rsidP="00CE01F3"/>
    <w:p w14:paraId="728403D2" w14:textId="77777777" w:rsidR="00AE7C27" w:rsidRDefault="00AE7C27" w:rsidP="00CE01F3">
      <w:r w:rsidRPr="008D5C61">
        <w:t>This model has already been implemented on the West Coast</w:t>
      </w:r>
      <w:r>
        <w:t>, leading to</w:t>
      </w:r>
      <w:r w:rsidRPr="008D5C61">
        <w:t xml:space="preserve"> </w:t>
      </w:r>
      <w:r>
        <w:t xml:space="preserve">the </w:t>
      </w:r>
      <w:r w:rsidRPr="008D5C61">
        <w:t>benefit</w:t>
      </w:r>
      <w:r>
        <w:t>s of</w:t>
      </w:r>
      <w:r w:rsidRPr="008D5C61">
        <w:t xml:space="preserve"> reducing reliance on locums and providing greater service sustainability for the community it serves. A tactical working group, supported by the Rural National Clinical Network</w:t>
      </w:r>
      <w:r>
        <w:t>,</w:t>
      </w:r>
      <w:r w:rsidRPr="008D5C61">
        <w:t xml:space="preserve"> is focused on national implementation for rural </w:t>
      </w:r>
      <w:proofErr w:type="spellStart"/>
      <w:r w:rsidRPr="008D5C61">
        <w:t>generalism</w:t>
      </w:r>
      <w:proofErr w:type="spellEnd"/>
      <w:r w:rsidRPr="008D5C61">
        <w:t xml:space="preserve"> and exploring centres</w:t>
      </w:r>
      <w:r w:rsidRPr="005F2749">
        <w:t xml:space="preserve"> </w:t>
      </w:r>
      <w:r>
        <w:t xml:space="preserve">to </w:t>
      </w:r>
      <w:r w:rsidRPr="008D5C61">
        <w:t xml:space="preserve">which </w:t>
      </w:r>
      <w:r>
        <w:t xml:space="preserve">it </w:t>
      </w:r>
      <w:r w:rsidRPr="008D5C61">
        <w:t xml:space="preserve">may be appropriate </w:t>
      </w:r>
      <w:r>
        <w:t xml:space="preserve">to </w:t>
      </w:r>
      <w:r w:rsidRPr="008D5C61">
        <w:t>expan</w:t>
      </w:r>
      <w:r>
        <w:t>d</w:t>
      </w:r>
      <w:r w:rsidRPr="008D5C61">
        <w:t xml:space="preserve"> the model.</w:t>
      </w:r>
    </w:p>
    <w:p w14:paraId="266D8263" w14:textId="77777777" w:rsidR="00CE01F3" w:rsidRPr="008D5C61" w:rsidRDefault="00CE01F3" w:rsidP="00CE01F3"/>
    <w:p w14:paraId="4D937544" w14:textId="77777777" w:rsidR="00AE7C27" w:rsidRDefault="00AE7C27" w:rsidP="00CE01F3">
      <w:r w:rsidRPr="008D5C61">
        <w:t xml:space="preserve">Rural generalist practitioners </w:t>
      </w:r>
      <w:r>
        <w:t>are</w:t>
      </w:r>
      <w:r w:rsidRPr="008D5C61">
        <w:t xml:space="preserve"> part of a multidisciplinary team, both local and distant</w:t>
      </w:r>
      <w:r>
        <w:t>,</w:t>
      </w:r>
      <w:r w:rsidRPr="008D5C61">
        <w:t xml:space="preserve"> </w:t>
      </w:r>
      <w:r>
        <w:t>that</w:t>
      </w:r>
      <w:r w:rsidRPr="008D5C61">
        <w:t xml:space="preserve"> provide</w:t>
      </w:r>
      <w:r>
        <w:t>s</w:t>
      </w:r>
      <w:r w:rsidRPr="008D5C61">
        <w:t xml:space="preserve"> services aligned with, and responsive to, community needs. </w:t>
      </w:r>
      <w:r>
        <w:t>Other team members</w:t>
      </w:r>
      <w:r w:rsidRPr="008D5C61">
        <w:t xml:space="preserve"> include midwives, nurses, doctors, physiotherapists, pharmacists and </w:t>
      </w:r>
      <w:r>
        <w:t xml:space="preserve">those in </w:t>
      </w:r>
      <w:r w:rsidRPr="008D5C61">
        <w:t xml:space="preserve">support roles </w:t>
      </w:r>
      <w:r>
        <w:t>such as</w:t>
      </w:r>
      <w:r w:rsidRPr="008D5C61">
        <w:t xml:space="preserve"> </w:t>
      </w:r>
      <w:r>
        <w:t>h</w:t>
      </w:r>
      <w:r w:rsidRPr="008D5C61">
        <w:t xml:space="preserve">ealth </w:t>
      </w:r>
      <w:r>
        <w:t>c</w:t>
      </w:r>
      <w:r w:rsidRPr="008D5C61">
        <w:t xml:space="preserve">are </w:t>
      </w:r>
      <w:r>
        <w:t>a</w:t>
      </w:r>
      <w:r w:rsidRPr="008D5C61">
        <w:t xml:space="preserve">ssistants, </w:t>
      </w:r>
      <w:proofErr w:type="spellStart"/>
      <w:r>
        <w:t>k</w:t>
      </w:r>
      <w:r w:rsidRPr="008D5C61">
        <w:t>aiāwhina</w:t>
      </w:r>
      <w:proofErr w:type="spellEnd"/>
      <w:r w:rsidRPr="008D5C61">
        <w:t xml:space="preserve"> and </w:t>
      </w:r>
      <w:r>
        <w:t>p</w:t>
      </w:r>
      <w:r w:rsidRPr="008D5C61">
        <w:t xml:space="preserve">eer </w:t>
      </w:r>
      <w:r>
        <w:t>s</w:t>
      </w:r>
      <w:r w:rsidRPr="008D5C61">
        <w:t>upport workers.</w:t>
      </w:r>
    </w:p>
    <w:p w14:paraId="0FDF1B67" w14:textId="77777777" w:rsidR="00CE01F3" w:rsidRPr="008D5C61" w:rsidRDefault="00CE01F3" w:rsidP="00CE01F3"/>
    <w:p w14:paraId="2D0693C9" w14:textId="77777777" w:rsidR="00AE7C27" w:rsidRPr="00C26481" w:rsidRDefault="00AE7C27" w:rsidP="00CE01F3">
      <w:r w:rsidRPr="008D5C61">
        <w:t xml:space="preserve">Rural </w:t>
      </w:r>
      <w:proofErr w:type="spellStart"/>
      <w:r w:rsidRPr="008D5C61">
        <w:t>generalism</w:t>
      </w:r>
      <w:proofErr w:type="spellEnd"/>
      <w:r w:rsidRPr="008D5C61">
        <w:t xml:space="preserve"> is a key part of i</w:t>
      </w:r>
      <w:r w:rsidRPr="00C26481">
        <w:rPr>
          <w:bdr w:val="none" w:sz="0" w:space="0" w:color="auto" w:frame="1"/>
        </w:rPr>
        <w:t xml:space="preserve">mproving health care in </w:t>
      </w:r>
      <w:r>
        <w:rPr>
          <w:bdr w:val="none" w:sz="0" w:space="0" w:color="auto" w:frame="1"/>
        </w:rPr>
        <w:t>New Zealand</w:t>
      </w:r>
      <w:r w:rsidRPr="00C26481">
        <w:rPr>
          <w:bdr w:val="none" w:sz="0" w:space="0" w:color="auto" w:frame="1"/>
        </w:rPr>
        <w:t>’s rural communities.</w:t>
      </w:r>
    </w:p>
    <w:p w14:paraId="706056F1" w14:textId="77777777" w:rsidR="00AE7C27" w:rsidRPr="00CE01F3" w:rsidRDefault="00AE7C27" w:rsidP="00CE01F3">
      <w:pPr>
        <w:pStyle w:val="Bullet"/>
        <w:rPr>
          <w:rFonts w:eastAsia="Segoe UI"/>
        </w:rPr>
      </w:pPr>
      <w:r w:rsidRPr="00CE01F3">
        <w:rPr>
          <w:rFonts w:eastAsia="Segoe UI"/>
          <w:b/>
          <w:bCs/>
        </w:rPr>
        <w:t>It improves rural health services.</w:t>
      </w:r>
      <w:r w:rsidRPr="00CE01F3">
        <w:rPr>
          <w:rFonts w:eastAsia="Segoe UI" w:hint="eastAsia"/>
        </w:rPr>
        <w:t> </w:t>
      </w:r>
      <w:r w:rsidRPr="00CE01F3">
        <w:rPr>
          <w:rFonts w:eastAsia="Segoe UI"/>
        </w:rPr>
        <w:t xml:space="preserve">Current models designed for cities do not work well in rural areas. They often lead to unstable services and poorer health outcomes. Rural </w:t>
      </w:r>
      <w:proofErr w:type="spellStart"/>
      <w:r w:rsidRPr="00CE01F3">
        <w:rPr>
          <w:rFonts w:eastAsia="Segoe UI"/>
        </w:rPr>
        <w:t>generalism</w:t>
      </w:r>
      <w:proofErr w:type="spellEnd"/>
      <w:r w:rsidRPr="00CE01F3">
        <w:rPr>
          <w:rFonts w:eastAsia="Segoe UI"/>
        </w:rPr>
        <w:t xml:space="preserve"> offers an approach that better fits rural needs.</w:t>
      </w:r>
    </w:p>
    <w:p w14:paraId="3AF43BFC" w14:textId="77777777" w:rsidR="00AE7C27" w:rsidRPr="00CE01F3" w:rsidRDefault="00AE7C27" w:rsidP="00CE01F3">
      <w:pPr>
        <w:pStyle w:val="Bullet"/>
        <w:rPr>
          <w:rFonts w:eastAsia="Segoe UI"/>
        </w:rPr>
      </w:pPr>
      <w:r w:rsidRPr="00CE01F3">
        <w:rPr>
          <w:rFonts w:eastAsia="Segoe UI"/>
          <w:b/>
          <w:bCs/>
        </w:rPr>
        <w:t>It promotes teamwork and integration.</w:t>
      </w:r>
      <w:r w:rsidRPr="00CE01F3">
        <w:rPr>
          <w:rFonts w:eastAsia="Segoe UI" w:hint="eastAsia"/>
        </w:rPr>
        <w:t> </w:t>
      </w:r>
      <w:r w:rsidRPr="00CE01F3">
        <w:rPr>
          <w:rFonts w:eastAsia="Segoe UI"/>
        </w:rPr>
        <w:t>It breaks down silos between different health services – community, primary, hospital and specialties. This approach supports small teams to deliver care across multiple areas and provide care as close to home as possible, with strong links to larger hospitals for training and specialist support.</w:t>
      </w:r>
    </w:p>
    <w:p w14:paraId="46AE03B2" w14:textId="77777777" w:rsidR="00AE7C27" w:rsidRPr="00CE01F3" w:rsidRDefault="00AE7C27" w:rsidP="00CE01F3">
      <w:pPr>
        <w:pStyle w:val="Bullet"/>
        <w:rPr>
          <w:rFonts w:eastAsia="Segoe UI"/>
        </w:rPr>
      </w:pPr>
      <w:r w:rsidRPr="00CE01F3">
        <w:rPr>
          <w:rFonts w:eastAsia="Segoe UI"/>
          <w:b/>
          <w:bCs/>
        </w:rPr>
        <w:t>It builds a strong rural workforce.</w:t>
      </w:r>
      <w:r w:rsidRPr="00CE01F3">
        <w:rPr>
          <w:rFonts w:eastAsia="Segoe UI" w:hint="eastAsia"/>
        </w:rPr>
        <w:t> </w:t>
      </w:r>
      <w:r w:rsidRPr="00CE01F3">
        <w:rPr>
          <w:rFonts w:eastAsia="Segoe UI"/>
        </w:rPr>
        <w:t>Training health professionals locally increases the chances that they will stay and work in rural areas. Local training pathways are essential for long-term sustainability of the workforce. To function effectively, they need support from urban hospitals.</w:t>
      </w:r>
    </w:p>
    <w:p w14:paraId="1CD092A4" w14:textId="77777777" w:rsidR="00AE7C27" w:rsidRPr="00CE01F3" w:rsidRDefault="00AE7C27" w:rsidP="00CE01F3">
      <w:pPr>
        <w:pStyle w:val="Heading3"/>
      </w:pPr>
      <w:r w:rsidRPr="00CE01F3">
        <w:lastRenderedPageBreak/>
        <w:t>New medical school to have a rural focus</w:t>
      </w:r>
    </w:p>
    <w:p w14:paraId="0896624B" w14:textId="77777777" w:rsidR="00AE7C27" w:rsidRDefault="00AE7C27" w:rsidP="00CE01F3">
      <w:r w:rsidRPr="008B7E66">
        <w:t>In July 2025, the Government announced it had approved a new medical school at the University of Waikato. This is a significant investment in our health system. The initiative is part of the Government’s plan to strengthen the health workforce, a key priority area in the Government Policy Statement on Health 2024</w:t>
      </w:r>
      <w:r>
        <w:t>–</w:t>
      </w:r>
      <w:r w:rsidRPr="008B7E66">
        <w:t>27.</w:t>
      </w:r>
    </w:p>
    <w:p w14:paraId="388FED75" w14:textId="77777777" w:rsidR="00CE01F3" w:rsidRPr="008B7E66" w:rsidRDefault="00CE01F3" w:rsidP="00CE01F3"/>
    <w:p w14:paraId="0C457A04" w14:textId="77777777" w:rsidR="00AE7C27" w:rsidRDefault="00AE7C27" w:rsidP="00CE01F3">
      <w:r w:rsidRPr="008B7E66">
        <w:t xml:space="preserve">The Government will commit budget to </w:t>
      </w:r>
      <w:r>
        <w:t xml:space="preserve">the </w:t>
      </w:r>
      <w:r w:rsidRPr="008B7E66">
        <w:t xml:space="preserve">establishment costs for the new medical school. </w:t>
      </w:r>
      <w:r>
        <w:t>A</w:t>
      </w:r>
      <w:r w:rsidRPr="008B7E66">
        <w:t xml:space="preserve">longside </w:t>
      </w:r>
      <w:r>
        <w:t xml:space="preserve">this, </w:t>
      </w:r>
      <w:r w:rsidRPr="008B7E66">
        <w:t>the University of Waikato</w:t>
      </w:r>
      <w:r>
        <w:t xml:space="preserve"> will contribute funding</w:t>
      </w:r>
      <w:r w:rsidRPr="008B7E66">
        <w:t xml:space="preserve">, including </w:t>
      </w:r>
      <w:r>
        <w:t xml:space="preserve">through </w:t>
      </w:r>
      <w:r w:rsidRPr="008B7E66">
        <w:t>philanthropic support.</w:t>
      </w:r>
      <w:r w:rsidRPr="002857F4">
        <w:rPr>
          <w:rFonts w:ascii="Arial" w:hAnsi="Arial"/>
        </w:rPr>
        <w:t>  </w:t>
      </w:r>
      <w:r w:rsidRPr="008B7E66">
        <w:t> </w:t>
      </w:r>
    </w:p>
    <w:p w14:paraId="74C0DB1D" w14:textId="77777777" w:rsidR="00CE01F3" w:rsidRPr="008B7E66" w:rsidRDefault="00CE01F3" w:rsidP="00CE01F3"/>
    <w:p w14:paraId="6066A9B8" w14:textId="77777777" w:rsidR="00AE7C27" w:rsidRPr="002857F4" w:rsidRDefault="00AE7C27" w:rsidP="00CE01F3">
      <w:r w:rsidRPr="002857F4">
        <w:t>The initiative will include:</w:t>
      </w:r>
    </w:p>
    <w:p w14:paraId="5D89CF82" w14:textId="77777777" w:rsidR="00AE7C27" w:rsidRPr="00CE01F3" w:rsidRDefault="00AE7C27" w:rsidP="00CE01F3">
      <w:pPr>
        <w:pStyle w:val="Bullet"/>
        <w:rPr>
          <w:rFonts w:eastAsia="Segoe UI"/>
        </w:rPr>
      </w:pPr>
      <w:r w:rsidRPr="00CE01F3">
        <w:rPr>
          <w:rFonts w:eastAsia="Segoe UI"/>
        </w:rPr>
        <w:t>a four-year graduate-entry programme for students who already hold a bachelor’s degree</w:t>
      </w:r>
    </w:p>
    <w:p w14:paraId="0AEA9C00" w14:textId="77777777" w:rsidR="00AE7C27" w:rsidRPr="00CE01F3" w:rsidRDefault="00AE7C27" w:rsidP="00CE01F3">
      <w:pPr>
        <w:pStyle w:val="Bullet"/>
        <w:rPr>
          <w:rFonts w:eastAsia="Segoe UI"/>
        </w:rPr>
      </w:pPr>
      <w:r w:rsidRPr="00CE01F3">
        <w:rPr>
          <w:rFonts w:eastAsia="Segoe UI"/>
        </w:rPr>
        <w:t>a strong focus on training doctors who aspire to become GPs working in regional and rural communities</w:t>
      </w:r>
    </w:p>
    <w:p w14:paraId="656F6372" w14:textId="77777777" w:rsidR="00AE7C27" w:rsidRPr="00CE01F3" w:rsidRDefault="00AE7C27" w:rsidP="00CE01F3">
      <w:pPr>
        <w:pStyle w:val="Bullet"/>
        <w:rPr>
          <w:rFonts w:eastAsia="Segoe UI"/>
        </w:rPr>
      </w:pPr>
      <w:r w:rsidRPr="00CE01F3">
        <w:rPr>
          <w:rFonts w:eastAsia="Segoe UI"/>
        </w:rPr>
        <w:t>an initial intake of 120 students, scheduled to begin in 2028</w:t>
      </w:r>
    </w:p>
    <w:p w14:paraId="7D46F622" w14:textId="77777777" w:rsidR="00AE7C27" w:rsidRPr="00CE01F3" w:rsidRDefault="00AE7C27" w:rsidP="00CE01F3">
      <w:pPr>
        <w:pStyle w:val="Bullet"/>
        <w:rPr>
          <w:rFonts w:eastAsia="Segoe UI"/>
        </w:rPr>
      </w:pPr>
      <w:r w:rsidRPr="00CE01F3">
        <w:rPr>
          <w:rFonts w:eastAsia="Segoe UI"/>
        </w:rPr>
        <w:t>delivering year 1 on campus, followed by years 2–4 based in hospitals and primary care providers across regional communities nationwide.</w:t>
      </w:r>
    </w:p>
    <w:p w14:paraId="045F6D13" w14:textId="77777777" w:rsidR="00CE01F3" w:rsidRDefault="00CE01F3" w:rsidP="00CE01F3"/>
    <w:p w14:paraId="265D81DF" w14:textId="6605B78C" w:rsidR="00AE7C27" w:rsidRPr="002857F4" w:rsidRDefault="00AE7C27" w:rsidP="00CE01F3">
      <w:r w:rsidRPr="002857F4">
        <w:t>The establishment of a new medical school will increase the number of doctors trained in New Zealand, with a strong emphasis on preparing graduates for careers in primary care and in rural and provincial settings. This will improve access to health</w:t>
      </w:r>
      <w:r>
        <w:t xml:space="preserve"> </w:t>
      </w:r>
      <w:r w:rsidRPr="002857F4">
        <w:t xml:space="preserve">care in these communities and encourage more New Zealand-trained doctors to choose primary care and rural practice both immediately after general registration and throughout the first decade of their careers. Graduates will gain </w:t>
      </w:r>
      <w:r>
        <w:t xml:space="preserve">a </w:t>
      </w:r>
      <w:r w:rsidRPr="002857F4">
        <w:t xml:space="preserve">greater awareness of and </w:t>
      </w:r>
      <w:r>
        <w:t xml:space="preserve">stronger </w:t>
      </w:r>
      <w:r w:rsidRPr="002857F4">
        <w:t xml:space="preserve">connection to rural health needs, </w:t>
      </w:r>
      <w:r>
        <w:t>with the result that</w:t>
      </w:r>
      <w:r w:rsidRPr="002857F4">
        <w:t xml:space="preserve"> the medical workforce </w:t>
      </w:r>
      <w:r>
        <w:t xml:space="preserve">will </w:t>
      </w:r>
      <w:r w:rsidRPr="002857F4">
        <w:t>better reflect the communities it serves.</w:t>
      </w:r>
    </w:p>
    <w:p w14:paraId="6C4C03E1" w14:textId="77777777" w:rsidR="00AE7C27" w:rsidRPr="00CE01F3" w:rsidRDefault="00AE7C27" w:rsidP="00CE01F3">
      <w:pPr>
        <w:pStyle w:val="Heading2"/>
      </w:pPr>
      <w:bookmarkStart w:id="48" w:name="_Toc216264608"/>
      <w:bookmarkStart w:id="49" w:name="_Toc216591254"/>
      <w:bookmarkStart w:id="50" w:name="_Toc216775110"/>
      <w:r w:rsidRPr="00CE01F3">
        <w:t>Geographical Classification for Health</w:t>
      </w:r>
      <w:bookmarkEnd w:id="48"/>
      <w:bookmarkEnd w:id="49"/>
      <w:bookmarkEnd w:id="50"/>
      <w:r w:rsidRPr="00CE01F3">
        <w:t xml:space="preserve"> </w:t>
      </w:r>
    </w:p>
    <w:p w14:paraId="3B3DAD99" w14:textId="77777777" w:rsidR="00AE7C27" w:rsidRDefault="00AE7C27" w:rsidP="00CE01F3">
      <w:r w:rsidRPr="002857F4">
        <w:t>The Geographical Classification for Health (GCH) is a rural–urban classification developed specifically for health research and policy in New Zealand. It is designed to accurately monitor rural–urban variations in health outcomes by categorising areas based on population size and travel time to urban centres.</w:t>
      </w:r>
    </w:p>
    <w:p w14:paraId="366B8A16" w14:textId="77777777" w:rsidR="00CE01F3" w:rsidRPr="002857F4" w:rsidRDefault="00CE01F3" w:rsidP="00CE01F3"/>
    <w:p w14:paraId="48399EEC" w14:textId="77777777" w:rsidR="00AE7C27" w:rsidRPr="002857F4" w:rsidRDefault="00AE7C27" w:rsidP="00CE01F3">
      <w:r w:rsidRPr="002857F4">
        <w:t>The Ministry and Health NZ have made significant progress on implementing the GCH across a range of areas. Recent initiatives include:</w:t>
      </w:r>
    </w:p>
    <w:p w14:paraId="6592A37E" w14:textId="77777777" w:rsidR="00AE7C27" w:rsidRPr="00534250" w:rsidRDefault="00AE7C27" w:rsidP="00AE7C27">
      <w:pPr>
        <w:pStyle w:val="Bullet"/>
        <w:tabs>
          <w:tab w:val="num" w:pos="284"/>
        </w:tabs>
        <w:rPr>
          <w:rFonts w:eastAsia="Segoe UI"/>
        </w:rPr>
      </w:pPr>
      <w:r w:rsidRPr="00534250">
        <w:rPr>
          <w:rFonts w:eastAsia="Segoe UI"/>
        </w:rPr>
        <w:t>integrati</w:t>
      </w:r>
      <w:r>
        <w:rPr>
          <w:rFonts w:eastAsia="Segoe UI"/>
        </w:rPr>
        <w:t>ng</w:t>
      </w:r>
      <w:r w:rsidRPr="00534250">
        <w:rPr>
          <w:rFonts w:eastAsia="Segoe UI"/>
        </w:rPr>
        <w:t xml:space="preserve"> the GCH within the National Collections at the individual level, covering both current and historic</w:t>
      </w:r>
      <w:r>
        <w:rPr>
          <w:rFonts w:eastAsia="Segoe UI"/>
        </w:rPr>
        <w:t>al</w:t>
      </w:r>
      <w:r w:rsidRPr="00534250">
        <w:rPr>
          <w:rFonts w:eastAsia="Segoe UI"/>
        </w:rPr>
        <w:t xml:space="preserve"> </w:t>
      </w:r>
      <w:r>
        <w:rPr>
          <w:rFonts w:eastAsia="Segoe UI"/>
        </w:rPr>
        <w:t>National Health Index (</w:t>
      </w:r>
      <w:r w:rsidRPr="00534250">
        <w:rPr>
          <w:rFonts w:eastAsia="Segoe UI"/>
        </w:rPr>
        <w:t>NHI</w:t>
      </w:r>
      <w:r>
        <w:rPr>
          <w:rFonts w:eastAsia="Segoe UI"/>
        </w:rPr>
        <w:t>)</w:t>
      </w:r>
      <w:r w:rsidRPr="00534250">
        <w:rPr>
          <w:rFonts w:eastAsia="Segoe UI"/>
        </w:rPr>
        <w:t xml:space="preserve"> records</w:t>
      </w:r>
    </w:p>
    <w:p w14:paraId="4596F7DC" w14:textId="77777777" w:rsidR="00AE7C27" w:rsidRPr="00534250" w:rsidRDefault="00AE7C27" w:rsidP="00AE7C27">
      <w:pPr>
        <w:pStyle w:val="Bullet"/>
        <w:tabs>
          <w:tab w:val="num" w:pos="284"/>
        </w:tabs>
        <w:rPr>
          <w:rFonts w:eastAsia="Segoe UI"/>
        </w:rPr>
      </w:pPr>
      <w:r w:rsidRPr="00534250">
        <w:rPr>
          <w:rFonts w:eastAsia="Segoe UI"/>
        </w:rPr>
        <w:t>us</w:t>
      </w:r>
      <w:r>
        <w:rPr>
          <w:rFonts w:eastAsia="Segoe UI"/>
        </w:rPr>
        <w:t>ing</w:t>
      </w:r>
      <w:r w:rsidRPr="00534250">
        <w:rPr>
          <w:rFonts w:eastAsia="Segoe UI"/>
        </w:rPr>
        <w:t xml:space="preserve"> the GCH in recent Health NZ reports, including </w:t>
      </w:r>
      <w:r w:rsidRPr="00F05792">
        <w:rPr>
          <w:rFonts w:eastAsia="Segoe UI"/>
          <w:i/>
          <w:iCs/>
        </w:rPr>
        <w:t>Life Expectancy in New Zealand</w:t>
      </w:r>
      <w:r w:rsidRPr="00534250">
        <w:rPr>
          <w:rFonts w:eastAsia="Segoe UI"/>
        </w:rPr>
        <w:t xml:space="preserve"> and the </w:t>
      </w:r>
      <w:r w:rsidRPr="00F05792">
        <w:rPr>
          <w:rFonts w:eastAsia="Segoe UI"/>
          <w:i/>
          <w:iCs/>
        </w:rPr>
        <w:t>Health Status Report 2023</w:t>
      </w:r>
    </w:p>
    <w:p w14:paraId="4BAF79A7" w14:textId="77777777" w:rsidR="00AE7C27" w:rsidRPr="00534250" w:rsidRDefault="00AE7C27" w:rsidP="00AE7C27">
      <w:pPr>
        <w:pStyle w:val="Bullet"/>
        <w:tabs>
          <w:tab w:val="num" w:pos="284"/>
        </w:tabs>
        <w:rPr>
          <w:rFonts w:eastAsia="Segoe UI"/>
        </w:rPr>
      </w:pPr>
      <w:r w:rsidRPr="00534250">
        <w:rPr>
          <w:rFonts w:eastAsia="Segoe UI"/>
        </w:rPr>
        <w:t>publi</w:t>
      </w:r>
      <w:r>
        <w:rPr>
          <w:rFonts w:eastAsia="Segoe UI"/>
        </w:rPr>
        <w:t xml:space="preserve">shing </w:t>
      </w:r>
      <w:r w:rsidRPr="00534250">
        <w:rPr>
          <w:rFonts w:eastAsia="Segoe UI"/>
        </w:rPr>
        <w:t xml:space="preserve">the </w:t>
      </w:r>
      <w:r w:rsidRPr="00F05792">
        <w:rPr>
          <w:rFonts w:eastAsia="Segoe UI"/>
          <w:i/>
          <w:iCs/>
        </w:rPr>
        <w:t>New Zealand Health Survey Regional Data Release 2011/12–2023/24</w:t>
      </w:r>
      <w:r w:rsidRPr="00534250">
        <w:rPr>
          <w:rFonts w:eastAsia="Segoe UI"/>
        </w:rPr>
        <w:t>, which includes results by GCH classification</w:t>
      </w:r>
      <w:r>
        <w:rPr>
          <w:rFonts w:eastAsia="Segoe UI"/>
        </w:rPr>
        <w:t xml:space="preserve"> and</w:t>
      </w:r>
      <w:r w:rsidRPr="00534250">
        <w:rPr>
          <w:rFonts w:eastAsia="Segoe UI"/>
        </w:rPr>
        <w:t xml:space="preserve"> provides insights into the health </w:t>
      </w:r>
      <w:r w:rsidRPr="00534250">
        <w:rPr>
          <w:rFonts w:eastAsia="Segoe UI"/>
        </w:rPr>
        <w:lastRenderedPageBreak/>
        <w:t>and wellbeing of adults and children in New Zealand across a range of geographic</w:t>
      </w:r>
      <w:r>
        <w:rPr>
          <w:rFonts w:eastAsia="Segoe UI"/>
        </w:rPr>
        <w:t>al</w:t>
      </w:r>
      <w:r w:rsidRPr="00534250">
        <w:rPr>
          <w:rFonts w:eastAsia="Segoe UI"/>
        </w:rPr>
        <w:t xml:space="preserve"> areas</w:t>
      </w:r>
    </w:p>
    <w:p w14:paraId="25DAE77E" w14:textId="77777777" w:rsidR="00AE7C27" w:rsidRPr="00534250" w:rsidRDefault="00AE7C27" w:rsidP="00AE7C27">
      <w:pPr>
        <w:pStyle w:val="Bullet"/>
        <w:tabs>
          <w:tab w:val="num" w:pos="284"/>
        </w:tabs>
        <w:rPr>
          <w:rFonts w:eastAsia="Segoe UI"/>
        </w:rPr>
      </w:pPr>
      <w:r>
        <w:rPr>
          <w:rFonts w:eastAsia="Segoe UI"/>
        </w:rPr>
        <w:t xml:space="preserve">planning to </w:t>
      </w:r>
      <w:r w:rsidRPr="00534250">
        <w:rPr>
          <w:rFonts w:eastAsia="Segoe UI"/>
        </w:rPr>
        <w:t xml:space="preserve">monitor </w:t>
      </w:r>
      <w:r w:rsidRPr="008B7E66">
        <w:t>Government Policy Statement on Health 2024</w:t>
      </w:r>
      <w:r>
        <w:t>–</w:t>
      </w:r>
      <w:r w:rsidRPr="008B7E66">
        <w:t>27</w:t>
      </w:r>
      <w:r>
        <w:t xml:space="preserve"> </w:t>
      </w:r>
      <w:r w:rsidRPr="00534250">
        <w:rPr>
          <w:rFonts w:eastAsia="Segoe UI"/>
        </w:rPr>
        <w:t xml:space="preserve">measures </w:t>
      </w:r>
      <w:r>
        <w:rPr>
          <w:rFonts w:eastAsia="Segoe UI"/>
        </w:rPr>
        <w:t>with a breakdown of data based on</w:t>
      </w:r>
      <w:r w:rsidRPr="00534250">
        <w:rPr>
          <w:rFonts w:eastAsia="Segoe UI"/>
        </w:rPr>
        <w:t xml:space="preserve"> rurality, where feasible</w:t>
      </w:r>
    </w:p>
    <w:p w14:paraId="59EF8EDC" w14:textId="77777777" w:rsidR="00AE7C27" w:rsidRPr="00534250" w:rsidRDefault="00AE7C27" w:rsidP="00AE7C27">
      <w:pPr>
        <w:pStyle w:val="Bullet"/>
        <w:tabs>
          <w:tab w:val="num" w:pos="284"/>
        </w:tabs>
        <w:rPr>
          <w:rFonts w:eastAsia="Segoe UI"/>
        </w:rPr>
      </w:pPr>
      <w:r w:rsidRPr="00534250">
        <w:rPr>
          <w:rFonts w:eastAsia="Segoe UI"/>
        </w:rPr>
        <w:t>including rural data in reporting of immunisation rates.</w:t>
      </w:r>
    </w:p>
    <w:p w14:paraId="56486FB4" w14:textId="77777777" w:rsidR="00AE7C27" w:rsidRPr="004A3A1A" w:rsidRDefault="00AE7C27" w:rsidP="00AE7C27">
      <w:pPr>
        <w:pStyle w:val="Heading2"/>
        <w:rPr>
          <w:color w:val="000000" w:themeColor="text1"/>
        </w:rPr>
      </w:pPr>
      <w:bookmarkStart w:id="51" w:name="_Toc216264609"/>
      <w:bookmarkStart w:id="52" w:name="_Toc216591255"/>
      <w:bookmarkStart w:id="53" w:name="_Toc216775111"/>
      <w:r w:rsidRPr="002857F4">
        <w:t xml:space="preserve">Mental health </w:t>
      </w:r>
      <w:r>
        <w:t>and addiction</w:t>
      </w:r>
      <w:bookmarkEnd w:id="51"/>
      <w:bookmarkEnd w:id="52"/>
      <w:bookmarkEnd w:id="53"/>
      <w:r>
        <w:t xml:space="preserve"> </w:t>
      </w:r>
    </w:p>
    <w:p w14:paraId="33F227CE" w14:textId="77777777" w:rsidR="00AE7C27" w:rsidRPr="002857F4" w:rsidRDefault="00AE7C27" w:rsidP="00AE7C27">
      <w:pPr>
        <w:pStyle w:val="Heading3"/>
      </w:pPr>
      <w:r>
        <w:t xml:space="preserve">Mental health </w:t>
      </w:r>
      <w:r w:rsidRPr="002857F4">
        <w:t xml:space="preserve">funding </w:t>
      </w:r>
      <w:r>
        <w:t xml:space="preserve"> </w:t>
      </w:r>
    </w:p>
    <w:p w14:paraId="6BEDD463" w14:textId="77777777" w:rsidR="00AE7C27" w:rsidRPr="00C743DE" w:rsidRDefault="00AE7C27" w:rsidP="00CE01F3">
      <w:r w:rsidRPr="00C743DE">
        <w:t>In June 2025, the Minister for Mental Health and the Minister for Rural Communities announced increased funding for two</w:t>
      </w:r>
      <w:r>
        <w:t xml:space="preserve"> rural </w:t>
      </w:r>
      <w:r w:rsidRPr="00C743DE">
        <w:t>initiatives</w:t>
      </w:r>
      <w:r>
        <w:t xml:space="preserve"> with a mental health focus</w:t>
      </w:r>
      <w:r w:rsidRPr="00C743DE">
        <w:t>, funded through the mental health and addiction ringfence</w:t>
      </w:r>
      <w:r>
        <w:t>.</w:t>
      </w:r>
    </w:p>
    <w:p w14:paraId="1DF9CFE8" w14:textId="77777777" w:rsidR="00AE7C27" w:rsidRPr="00534250" w:rsidRDefault="00AE7C27" w:rsidP="00AE7C27">
      <w:pPr>
        <w:pStyle w:val="Bullet"/>
        <w:tabs>
          <w:tab w:val="num" w:pos="284"/>
        </w:tabs>
        <w:rPr>
          <w:rFonts w:eastAsia="Segoe UI"/>
        </w:rPr>
      </w:pPr>
      <w:r w:rsidRPr="009575CD">
        <w:rPr>
          <w:rFonts w:eastAsia="Segoe UI"/>
          <w:b/>
          <w:bCs/>
        </w:rPr>
        <w:t>Rural Support Trusts</w:t>
      </w:r>
      <w:r>
        <w:rPr>
          <w:rFonts w:eastAsia="Segoe UI"/>
        </w:rPr>
        <w:t xml:space="preserve"> are</w:t>
      </w:r>
      <w:r w:rsidRPr="00534250">
        <w:rPr>
          <w:rFonts w:eastAsia="Segoe UI"/>
        </w:rPr>
        <w:t xml:space="preserve"> to help improve rural communities’ access to primary mental health services and specialist services</w:t>
      </w:r>
      <w:r>
        <w:rPr>
          <w:rFonts w:eastAsia="Segoe UI"/>
        </w:rPr>
        <w:t>. They will receive an</w:t>
      </w:r>
      <w:r w:rsidRPr="00534250">
        <w:rPr>
          <w:rFonts w:eastAsia="Segoe UI"/>
        </w:rPr>
        <w:t xml:space="preserve"> additional $3 million </w:t>
      </w:r>
      <w:r>
        <w:rPr>
          <w:rFonts w:eastAsia="Segoe UI"/>
        </w:rPr>
        <w:t xml:space="preserve">in funding </w:t>
      </w:r>
      <w:r w:rsidRPr="00534250">
        <w:rPr>
          <w:rFonts w:eastAsia="Segoe UI"/>
        </w:rPr>
        <w:t>over four years from Health NZ.</w:t>
      </w:r>
    </w:p>
    <w:p w14:paraId="13A9A72A" w14:textId="77777777" w:rsidR="00AE7C27" w:rsidRPr="00534250" w:rsidRDefault="00AE7C27" w:rsidP="00AE7C27">
      <w:pPr>
        <w:pStyle w:val="Bullet"/>
        <w:tabs>
          <w:tab w:val="num" w:pos="284"/>
        </w:tabs>
        <w:rPr>
          <w:rFonts w:eastAsia="Segoe UI"/>
        </w:rPr>
      </w:pPr>
      <w:r w:rsidRPr="00534250">
        <w:rPr>
          <w:rFonts w:eastAsia="Segoe UI"/>
        </w:rPr>
        <w:t xml:space="preserve">The </w:t>
      </w:r>
      <w:r w:rsidRPr="009575CD">
        <w:rPr>
          <w:rFonts w:eastAsia="Segoe UI"/>
          <w:b/>
          <w:bCs/>
        </w:rPr>
        <w:t>Rural Wellbeing Fund</w:t>
      </w:r>
      <w:r>
        <w:rPr>
          <w:rFonts w:eastAsia="Segoe UI"/>
        </w:rPr>
        <w:t xml:space="preserve"> is</w:t>
      </w:r>
      <w:r w:rsidRPr="00534250">
        <w:rPr>
          <w:rFonts w:eastAsia="Segoe UI"/>
        </w:rPr>
        <w:t xml:space="preserve"> a contestable fund that will support </w:t>
      </w:r>
      <w:r>
        <w:rPr>
          <w:rFonts w:eastAsia="Segoe UI"/>
        </w:rPr>
        <w:t>NGO</w:t>
      </w:r>
      <w:r w:rsidRPr="00534250">
        <w:rPr>
          <w:rFonts w:eastAsia="Segoe UI"/>
        </w:rPr>
        <w:t>s to deliver wellbeing initiatives in rural communities</w:t>
      </w:r>
      <w:r>
        <w:rPr>
          <w:rFonts w:eastAsia="Segoe UI"/>
        </w:rPr>
        <w:t xml:space="preserve">. It has </w:t>
      </w:r>
      <w:r w:rsidRPr="00534250">
        <w:rPr>
          <w:rFonts w:eastAsia="Segoe UI"/>
        </w:rPr>
        <w:t xml:space="preserve">$4 million </w:t>
      </w:r>
      <w:r>
        <w:rPr>
          <w:rFonts w:eastAsia="Segoe UI"/>
        </w:rPr>
        <w:t xml:space="preserve">to distribute </w:t>
      </w:r>
      <w:r w:rsidRPr="00534250">
        <w:rPr>
          <w:rFonts w:eastAsia="Segoe UI"/>
        </w:rPr>
        <w:t xml:space="preserve">over four years </w:t>
      </w:r>
      <w:r>
        <w:rPr>
          <w:rFonts w:eastAsia="Segoe UI"/>
        </w:rPr>
        <w:t>–</w:t>
      </w:r>
      <w:r w:rsidRPr="00CC58A5">
        <w:rPr>
          <w:rFonts w:eastAsia="Segoe UI"/>
        </w:rPr>
        <w:t xml:space="preserve"> $2 million from Health NZ and $2 million from the Ministry for Primary Industries</w:t>
      </w:r>
      <w:r w:rsidRPr="00534250">
        <w:rPr>
          <w:rFonts w:eastAsia="Segoe UI" w:cs="Segoe UI"/>
          <w:color w:val="000000" w:themeColor="text1"/>
          <w:kern w:val="22"/>
          <w:lang w:eastAsia="en-NZ"/>
        </w:rPr>
        <w:t xml:space="preserve"> (MPI)</w:t>
      </w:r>
      <w:r w:rsidRPr="00534250">
        <w:rPr>
          <w:rFonts w:eastAsia="Segoe UI"/>
        </w:rPr>
        <w:t>.</w:t>
      </w:r>
    </w:p>
    <w:p w14:paraId="3358238E" w14:textId="77777777" w:rsidR="00CE01F3" w:rsidRDefault="00CE01F3" w:rsidP="00CE01F3">
      <w:pPr>
        <w:rPr>
          <w:rFonts w:eastAsia="Segoe UI"/>
          <w:lang w:eastAsia="en-NZ"/>
        </w:rPr>
      </w:pPr>
    </w:p>
    <w:p w14:paraId="6E7EAC5B" w14:textId="7124FF04" w:rsidR="00AE7C27" w:rsidRPr="00534250" w:rsidRDefault="00AE7C27" w:rsidP="00CE01F3">
      <w:pPr>
        <w:rPr>
          <w:rFonts w:eastAsia="Segoe UI"/>
          <w:lang w:eastAsia="en-NZ"/>
        </w:rPr>
      </w:pPr>
      <w:r w:rsidRPr="00534250">
        <w:rPr>
          <w:rFonts w:eastAsia="Segoe UI"/>
          <w:lang w:eastAsia="en-NZ"/>
        </w:rPr>
        <w:t xml:space="preserve">Health NZ is working with </w:t>
      </w:r>
      <w:r>
        <w:rPr>
          <w:rFonts w:eastAsia="Segoe UI"/>
          <w:lang w:eastAsia="en-NZ"/>
        </w:rPr>
        <w:t xml:space="preserve">the </w:t>
      </w:r>
      <w:r w:rsidRPr="00534250">
        <w:rPr>
          <w:rFonts w:eastAsia="Segoe UI"/>
          <w:lang w:eastAsia="en-NZ"/>
        </w:rPr>
        <w:t xml:space="preserve">Rural Support Trusts and MPI to implement these initiatives. </w:t>
      </w:r>
    </w:p>
    <w:p w14:paraId="0CA6FE72" w14:textId="77777777" w:rsidR="00AE7C27" w:rsidRPr="00CE01F3" w:rsidRDefault="00AE7C27" w:rsidP="00CE01F3">
      <w:pPr>
        <w:pStyle w:val="Heading4"/>
      </w:pPr>
      <w:r w:rsidRPr="00CE01F3">
        <w:t xml:space="preserve">Rural Support Trusts </w:t>
      </w:r>
    </w:p>
    <w:p w14:paraId="7D7C17BA" w14:textId="77777777" w:rsidR="00AE7C27" w:rsidRDefault="00AE7C27" w:rsidP="00CE01F3">
      <w:pPr>
        <w:rPr>
          <w:rFonts w:eastAsia="Segoe UI"/>
        </w:rPr>
      </w:pPr>
      <w:r>
        <w:rPr>
          <w:rFonts w:eastAsia="Segoe UI"/>
        </w:rPr>
        <w:t>A</w:t>
      </w:r>
      <w:r w:rsidRPr="00534250">
        <w:rPr>
          <w:rFonts w:eastAsia="Segoe UI"/>
        </w:rPr>
        <w:t xml:space="preserve"> national network of 14 regional</w:t>
      </w:r>
      <w:r>
        <w:rPr>
          <w:rFonts w:eastAsia="Segoe UI"/>
        </w:rPr>
        <w:t xml:space="preserve"> Rural Support T</w:t>
      </w:r>
      <w:r w:rsidRPr="00534250">
        <w:rPr>
          <w:rFonts w:eastAsia="Segoe UI"/>
        </w:rPr>
        <w:t>rusts deliver</w:t>
      </w:r>
      <w:r>
        <w:rPr>
          <w:rFonts w:eastAsia="Segoe UI"/>
        </w:rPr>
        <w:t>s</w:t>
      </w:r>
      <w:r w:rsidRPr="00534250">
        <w:rPr>
          <w:rFonts w:eastAsia="Segoe UI"/>
        </w:rPr>
        <w:t xml:space="preserve"> free and confidential assistance to farmers and growers facing personal, financial or climate-related challenges. The </w:t>
      </w:r>
      <w:r>
        <w:rPr>
          <w:rFonts w:eastAsia="Segoe UI"/>
        </w:rPr>
        <w:t>t</w:t>
      </w:r>
      <w:r w:rsidRPr="00534250">
        <w:rPr>
          <w:rFonts w:eastAsia="Segoe UI"/>
        </w:rPr>
        <w:t>rust</w:t>
      </w:r>
      <w:r>
        <w:rPr>
          <w:rFonts w:eastAsia="Segoe UI"/>
        </w:rPr>
        <w:t>s</w:t>
      </w:r>
      <w:r w:rsidRPr="00534250">
        <w:rPr>
          <w:rFonts w:eastAsia="Segoe UI"/>
        </w:rPr>
        <w:t xml:space="preserve"> work closely with government agencies, businesses and community organisations to offer support and information to rural communities and farmers.</w:t>
      </w:r>
    </w:p>
    <w:p w14:paraId="6D488306" w14:textId="77777777" w:rsidR="00CE01F3" w:rsidRPr="00534250" w:rsidRDefault="00CE01F3" w:rsidP="00CE01F3">
      <w:pPr>
        <w:rPr>
          <w:rFonts w:eastAsia="Segoe UI"/>
        </w:rPr>
      </w:pPr>
    </w:p>
    <w:p w14:paraId="1CA7433E" w14:textId="77777777" w:rsidR="00AE7C27" w:rsidRDefault="00AE7C27" w:rsidP="00CE01F3">
      <w:pPr>
        <w:rPr>
          <w:rFonts w:eastAsia="Segoe UI"/>
        </w:rPr>
      </w:pPr>
      <w:r w:rsidRPr="00534250">
        <w:rPr>
          <w:rFonts w:eastAsia="Segoe UI"/>
        </w:rPr>
        <w:t>In 2024, these trusts supported the wellbeing of over 1,500 people and responded to adverse events, such as floods and droughts.</w:t>
      </w:r>
    </w:p>
    <w:p w14:paraId="790CA05A" w14:textId="77777777" w:rsidR="00CE01F3" w:rsidRPr="00534250" w:rsidRDefault="00CE01F3" w:rsidP="00CE01F3">
      <w:pPr>
        <w:rPr>
          <w:rFonts w:eastAsia="Segoe UI"/>
        </w:rPr>
      </w:pPr>
    </w:p>
    <w:p w14:paraId="57CB60FD" w14:textId="77777777" w:rsidR="00AE7C27" w:rsidRDefault="00AE7C27" w:rsidP="00CE01F3">
      <w:pPr>
        <w:rPr>
          <w:rFonts w:eastAsia="Segoe UI"/>
        </w:rPr>
      </w:pPr>
      <w:r w:rsidRPr="00534250">
        <w:rPr>
          <w:rFonts w:eastAsia="Segoe UI"/>
        </w:rPr>
        <w:t xml:space="preserve">To match the MPI annual funding, Health NZ has committed $750,000 per </w:t>
      </w:r>
      <w:r>
        <w:rPr>
          <w:rFonts w:eastAsia="Segoe UI"/>
        </w:rPr>
        <w:t>year</w:t>
      </w:r>
      <w:r w:rsidRPr="00534250">
        <w:rPr>
          <w:rFonts w:eastAsia="Segoe UI"/>
        </w:rPr>
        <w:t xml:space="preserve"> over the next four years, through the mental health and addiction ringfence, towards</w:t>
      </w:r>
      <w:r>
        <w:rPr>
          <w:rFonts w:eastAsia="Segoe UI"/>
        </w:rPr>
        <w:t xml:space="preserve"> the</w:t>
      </w:r>
      <w:r w:rsidRPr="00534250">
        <w:rPr>
          <w:rFonts w:eastAsia="Segoe UI"/>
        </w:rPr>
        <w:t xml:space="preserve"> Rural Support Trusts. This funding is intended to address access barriers </w:t>
      </w:r>
      <w:r>
        <w:rPr>
          <w:rFonts w:eastAsia="Segoe UI"/>
        </w:rPr>
        <w:t>so that</w:t>
      </w:r>
      <w:r w:rsidRPr="00534250">
        <w:rPr>
          <w:rFonts w:eastAsia="Segoe UI"/>
        </w:rPr>
        <w:t xml:space="preserve"> rural communities</w:t>
      </w:r>
      <w:r>
        <w:rPr>
          <w:rFonts w:eastAsia="Segoe UI"/>
        </w:rPr>
        <w:t xml:space="preserve"> have better</w:t>
      </w:r>
      <w:r w:rsidRPr="00534250">
        <w:rPr>
          <w:rFonts w:eastAsia="Segoe UI"/>
        </w:rPr>
        <w:t xml:space="preserve"> access to mental health and addiction support.</w:t>
      </w:r>
    </w:p>
    <w:p w14:paraId="1F7C5283" w14:textId="77777777" w:rsidR="00CE01F3" w:rsidRPr="00534250" w:rsidRDefault="00CE01F3" w:rsidP="00CE01F3">
      <w:pPr>
        <w:rPr>
          <w:rFonts w:eastAsia="Segoe UI"/>
        </w:rPr>
      </w:pPr>
    </w:p>
    <w:p w14:paraId="30549DFB" w14:textId="77777777" w:rsidR="00AE7C27" w:rsidRPr="00534250" w:rsidRDefault="00AE7C27" w:rsidP="00CE01F3">
      <w:pPr>
        <w:rPr>
          <w:rFonts w:eastAsia="Segoe UI"/>
        </w:rPr>
      </w:pPr>
      <w:r w:rsidRPr="00534250">
        <w:rPr>
          <w:rFonts w:eastAsia="Segoe UI"/>
        </w:rPr>
        <w:t xml:space="preserve">Budget 2025 also included an extra $1 million over the next </w:t>
      </w:r>
      <w:r>
        <w:rPr>
          <w:rFonts w:eastAsia="Segoe UI"/>
        </w:rPr>
        <w:t>four</w:t>
      </w:r>
      <w:r w:rsidRPr="00534250">
        <w:rPr>
          <w:rFonts w:eastAsia="Segoe UI"/>
        </w:rPr>
        <w:t xml:space="preserve"> years ($250,000 a year) for </w:t>
      </w:r>
      <w:r>
        <w:rPr>
          <w:rFonts w:eastAsia="Segoe UI"/>
        </w:rPr>
        <w:t xml:space="preserve">the </w:t>
      </w:r>
      <w:r w:rsidRPr="00534250">
        <w:rPr>
          <w:rFonts w:eastAsia="Segoe UI"/>
        </w:rPr>
        <w:t>Rural Support Trusts, and other providers that work with them, to increase on-the-ground support for farmers, growers and rural communities facing tough times.</w:t>
      </w:r>
    </w:p>
    <w:p w14:paraId="393D7861" w14:textId="77777777" w:rsidR="00AE7C27" w:rsidRPr="002857F4" w:rsidRDefault="00AE7C27" w:rsidP="00AE7C27">
      <w:pPr>
        <w:pStyle w:val="Heading4"/>
      </w:pPr>
      <w:r w:rsidRPr="002857F4">
        <w:lastRenderedPageBreak/>
        <w:t xml:space="preserve">Mental Health and Wellbeing Strategy </w:t>
      </w:r>
      <w:r>
        <w:t xml:space="preserve"> </w:t>
      </w:r>
    </w:p>
    <w:p w14:paraId="0640050C" w14:textId="77777777" w:rsidR="00AE7C27" w:rsidRDefault="00AE7C27" w:rsidP="00CE01F3">
      <w:pPr>
        <w:rPr>
          <w:rFonts w:eastAsia="Segoe UI"/>
        </w:rPr>
      </w:pPr>
      <w:r w:rsidRPr="00534250">
        <w:rPr>
          <w:rFonts w:eastAsia="Segoe UI"/>
        </w:rPr>
        <w:t>The Mental Health and Wellbeing Strategy will guide</w:t>
      </w:r>
      <w:r>
        <w:rPr>
          <w:rFonts w:eastAsia="Segoe UI"/>
        </w:rPr>
        <w:t xml:space="preserve"> the</w:t>
      </w:r>
      <w:r w:rsidRPr="00534250">
        <w:rPr>
          <w:rFonts w:eastAsia="Segoe UI"/>
        </w:rPr>
        <w:t xml:space="preserve"> long-term improvement of New Zealanders’ mental health and wellbeing outcomes. The Ministry is refining the draft strategy in line with changes under the Healthy Futures (Pae Ora) Amendment Bill. </w:t>
      </w:r>
    </w:p>
    <w:p w14:paraId="157B01CB" w14:textId="77777777" w:rsidR="00CE01F3" w:rsidRPr="00534250" w:rsidRDefault="00CE01F3" w:rsidP="00CE01F3">
      <w:pPr>
        <w:rPr>
          <w:rFonts w:eastAsia="Segoe UI"/>
        </w:rPr>
      </w:pPr>
    </w:p>
    <w:p w14:paraId="610E4EBC" w14:textId="77777777" w:rsidR="00AE7C27" w:rsidRPr="00534250" w:rsidRDefault="00AE7C27" w:rsidP="00CE01F3">
      <w:pPr>
        <w:rPr>
          <w:rFonts w:eastAsia="Segoe UI"/>
        </w:rPr>
      </w:pPr>
      <w:r w:rsidRPr="00534250">
        <w:rPr>
          <w:rFonts w:eastAsia="Segoe UI"/>
        </w:rPr>
        <w:t>The Ministry will consider the needs of rural communities in developing the strategy. Rural communities will have an opportunity to provide feedback on the draft strategy during public consultation in early 2026.</w:t>
      </w:r>
    </w:p>
    <w:p w14:paraId="7CEF7708" w14:textId="77777777" w:rsidR="00AE7C27" w:rsidRPr="002857F4" w:rsidRDefault="00AE7C27" w:rsidP="00AE7C27">
      <w:pPr>
        <w:pStyle w:val="Heading3"/>
      </w:pPr>
      <w:r w:rsidRPr="002857F4">
        <w:t>Suicide Prevention Action Plan</w:t>
      </w:r>
      <w:r>
        <w:t xml:space="preserve"> </w:t>
      </w:r>
    </w:p>
    <w:p w14:paraId="09B66DF6" w14:textId="77777777" w:rsidR="00AE7C27" w:rsidRDefault="00AE7C27" w:rsidP="00CE01F3">
      <w:pPr>
        <w:rPr>
          <w:rFonts w:eastAsia="Segoe UI"/>
        </w:rPr>
      </w:pPr>
      <w:r w:rsidRPr="00534250">
        <w:rPr>
          <w:rFonts w:eastAsia="Segoe UI"/>
        </w:rPr>
        <w:t xml:space="preserve">In rural communities, the confirmed suicide rates are approximately 1.4 times higher for males and 1.2 times higher for females when compared with </w:t>
      </w:r>
      <w:r>
        <w:rPr>
          <w:rFonts w:eastAsia="Segoe UI"/>
        </w:rPr>
        <w:t>their counterparts</w:t>
      </w:r>
      <w:r w:rsidRPr="00534250">
        <w:rPr>
          <w:rFonts w:eastAsia="Segoe UI"/>
        </w:rPr>
        <w:t xml:space="preserve"> living in urban areas</w:t>
      </w:r>
      <w:r>
        <w:rPr>
          <w:rFonts w:eastAsia="Segoe UI"/>
        </w:rPr>
        <w:t>.</w:t>
      </w:r>
      <w:r>
        <w:rPr>
          <w:rStyle w:val="FootnoteReference"/>
          <w:rFonts w:asciiTheme="minorHAnsi" w:eastAsia="Segoe UI" w:hAnsiTheme="minorHAnsi" w:cs="Segoe UI"/>
          <w:color w:val="000000" w:themeColor="text1"/>
          <w:kern w:val="22"/>
          <w:sz w:val="22"/>
          <w:szCs w:val="22"/>
        </w:rPr>
        <w:footnoteReference w:id="1"/>
      </w:r>
    </w:p>
    <w:p w14:paraId="43EA320D" w14:textId="77777777" w:rsidR="00CE01F3" w:rsidRPr="00534250" w:rsidRDefault="00CE01F3" w:rsidP="00CE01F3">
      <w:pPr>
        <w:rPr>
          <w:rFonts w:eastAsia="Segoe UI"/>
        </w:rPr>
      </w:pPr>
    </w:p>
    <w:p w14:paraId="36A53A2E" w14:textId="77777777" w:rsidR="00AE7C27" w:rsidRPr="00534250" w:rsidRDefault="00AE7C27" w:rsidP="00CE01F3">
      <w:pPr>
        <w:rPr>
          <w:rFonts w:eastAsia="Segoe UI"/>
        </w:rPr>
      </w:pPr>
      <w:r w:rsidRPr="00534250">
        <w:rPr>
          <w:rFonts w:eastAsia="Segoe UI"/>
        </w:rPr>
        <w:t>The Suicide Prevention Action Plan 2025–2029 contains suicide prevention actions that are available for all New Zealanders</w:t>
      </w:r>
      <w:r>
        <w:rPr>
          <w:rFonts w:eastAsia="Segoe UI"/>
        </w:rPr>
        <w:t>,</w:t>
      </w:r>
      <w:r w:rsidRPr="00534250">
        <w:rPr>
          <w:rFonts w:eastAsia="Segoe UI"/>
        </w:rPr>
        <w:t xml:space="preserve"> including a proportion of needs-based supports for population groups experiencing high suicide rates. Actions that will support rural communities include: </w:t>
      </w:r>
    </w:p>
    <w:p w14:paraId="7BB5B8F2" w14:textId="77777777" w:rsidR="00AE7C27" w:rsidRPr="00534250" w:rsidRDefault="00AE7C27" w:rsidP="00AE7C27">
      <w:pPr>
        <w:pStyle w:val="Bullet"/>
        <w:tabs>
          <w:tab w:val="num" w:pos="284"/>
        </w:tabs>
        <w:rPr>
          <w:rFonts w:eastAsia="Segoe UI"/>
        </w:rPr>
      </w:pPr>
      <w:r>
        <w:rPr>
          <w:rFonts w:eastAsia="Segoe UI"/>
        </w:rPr>
        <w:t xml:space="preserve">providing </w:t>
      </w:r>
      <w:r w:rsidRPr="00534250">
        <w:rPr>
          <w:rFonts w:eastAsia="Segoe UI"/>
        </w:rPr>
        <w:t>suicide prevention community funds focused on populations with specific needs, including rural communities</w:t>
      </w:r>
    </w:p>
    <w:p w14:paraId="05850BA3" w14:textId="77777777" w:rsidR="00AE7C27" w:rsidRPr="00534250" w:rsidRDefault="00AE7C27" w:rsidP="00AE7C27">
      <w:pPr>
        <w:pStyle w:val="Bullet"/>
        <w:tabs>
          <w:tab w:val="num" w:pos="284"/>
        </w:tabs>
        <w:rPr>
          <w:rFonts w:eastAsia="Segoe UI"/>
        </w:rPr>
      </w:pPr>
      <w:r w:rsidRPr="00534250">
        <w:rPr>
          <w:rFonts w:eastAsia="Segoe UI"/>
        </w:rPr>
        <w:t>launch</w:t>
      </w:r>
      <w:r>
        <w:rPr>
          <w:rFonts w:eastAsia="Segoe UI"/>
        </w:rPr>
        <w:t>ing</w:t>
      </w:r>
      <w:r w:rsidRPr="00534250">
        <w:rPr>
          <w:rFonts w:eastAsia="Segoe UI"/>
        </w:rPr>
        <w:t xml:space="preserve"> a new wellbeing promotion campaign</w:t>
      </w:r>
    </w:p>
    <w:p w14:paraId="5C1C1918" w14:textId="77777777" w:rsidR="00AE7C27" w:rsidRPr="00534250" w:rsidRDefault="00AE7C27" w:rsidP="00AE7C27">
      <w:pPr>
        <w:pStyle w:val="Bullet"/>
        <w:tabs>
          <w:tab w:val="num" w:pos="284"/>
        </w:tabs>
        <w:rPr>
          <w:rFonts w:eastAsia="Segoe UI"/>
        </w:rPr>
      </w:pPr>
      <w:r w:rsidRPr="00534250">
        <w:rPr>
          <w:rFonts w:eastAsia="Segoe UI"/>
        </w:rPr>
        <w:t>sharing and improving awareness of available suicide prevention resources in partnership with existing rural and primary industries stakeholders and partners</w:t>
      </w:r>
    </w:p>
    <w:p w14:paraId="3CFBA65B" w14:textId="77777777" w:rsidR="00AE7C27" w:rsidRPr="00534250" w:rsidRDefault="00AE7C27" w:rsidP="00AE7C27">
      <w:pPr>
        <w:pStyle w:val="Bullet"/>
        <w:tabs>
          <w:tab w:val="num" w:pos="284"/>
        </w:tabs>
        <w:rPr>
          <w:rFonts w:eastAsia="Segoe UI"/>
        </w:rPr>
      </w:pPr>
      <w:r w:rsidRPr="00534250">
        <w:rPr>
          <w:rFonts w:eastAsia="Segoe UI"/>
        </w:rPr>
        <w:t xml:space="preserve">increasing </w:t>
      </w:r>
      <w:r>
        <w:rPr>
          <w:rFonts w:eastAsia="Segoe UI"/>
        </w:rPr>
        <w:t xml:space="preserve">the </w:t>
      </w:r>
      <w:r w:rsidRPr="00534250">
        <w:rPr>
          <w:rFonts w:eastAsia="Segoe UI"/>
        </w:rPr>
        <w:t>visibility of mental health and addiction resources on the Heartlands service centre website.</w:t>
      </w:r>
    </w:p>
    <w:p w14:paraId="1D29B578" w14:textId="77777777" w:rsidR="00AE7C27" w:rsidRPr="002857F4" w:rsidRDefault="00AE7C27" w:rsidP="00AE7C27">
      <w:pPr>
        <w:pStyle w:val="Heading3"/>
      </w:pPr>
      <w:r w:rsidRPr="002857F4">
        <w:t>Methamphetamine response programme</w:t>
      </w:r>
      <w:r>
        <w:t xml:space="preserve"> </w:t>
      </w:r>
    </w:p>
    <w:p w14:paraId="64239036" w14:textId="77777777" w:rsidR="00AE7C27" w:rsidRDefault="00AE7C27" w:rsidP="00CE01F3">
      <w:pPr>
        <w:rPr>
          <w:rFonts w:eastAsia="Segoe UI"/>
        </w:rPr>
      </w:pPr>
      <w:r w:rsidRPr="00534250">
        <w:rPr>
          <w:rFonts w:eastAsia="Segoe UI"/>
        </w:rPr>
        <w:t>The Ministry and Health NZ have established a methamphetamine response programme to reduce the demand for methamphetamine consumption.</w:t>
      </w:r>
    </w:p>
    <w:p w14:paraId="2FC6C9E7" w14:textId="77777777" w:rsidR="00CE01F3" w:rsidRPr="00534250" w:rsidRDefault="00CE01F3" w:rsidP="00CE01F3">
      <w:pPr>
        <w:rPr>
          <w:rFonts w:eastAsia="Segoe UI"/>
        </w:rPr>
      </w:pPr>
    </w:p>
    <w:p w14:paraId="43605CBB" w14:textId="77777777" w:rsidR="00AE7C27" w:rsidRPr="00534250" w:rsidRDefault="00AE7C27" w:rsidP="00CE01F3">
      <w:pPr>
        <w:rPr>
          <w:rFonts w:eastAsia="Segoe UI"/>
        </w:rPr>
      </w:pPr>
      <w:r w:rsidRPr="00534250">
        <w:rPr>
          <w:rFonts w:eastAsia="Segoe UI"/>
        </w:rPr>
        <w:t>Over four years</w:t>
      </w:r>
      <w:r>
        <w:rPr>
          <w:rFonts w:eastAsia="Segoe UI"/>
        </w:rPr>
        <w:t>,</w:t>
      </w:r>
      <w:r w:rsidRPr="00534250">
        <w:rPr>
          <w:rFonts w:eastAsia="Segoe UI"/>
        </w:rPr>
        <w:t xml:space="preserve"> $6.9 million will be invested to </w:t>
      </w:r>
      <w:r>
        <w:rPr>
          <w:rFonts w:eastAsia="Segoe UI"/>
        </w:rPr>
        <w:t>provide</w:t>
      </w:r>
      <w:r w:rsidRPr="00534250">
        <w:rPr>
          <w:rFonts w:eastAsia="Segoe UI"/>
        </w:rPr>
        <w:t xml:space="preserve"> regions that are particularly at risk </w:t>
      </w:r>
      <w:r>
        <w:rPr>
          <w:rFonts w:eastAsia="Segoe UI"/>
        </w:rPr>
        <w:t>with</w:t>
      </w:r>
      <w:r w:rsidRPr="00534250">
        <w:rPr>
          <w:rFonts w:eastAsia="Segoe UI"/>
        </w:rPr>
        <w:t xml:space="preserve"> additional capacity and capability to deal with methamphetamine-related harm. The four areas to receive this investment are: </w:t>
      </w:r>
    </w:p>
    <w:p w14:paraId="62D24819" w14:textId="77777777" w:rsidR="00AE7C27" w:rsidRPr="00CE01F3" w:rsidRDefault="00AE7C27" w:rsidP="00CE01F3">
      <w:pPr>
        <w:pStyle w:val="Bullet"/>
        <w:rPr>
          <w:rFonts w:eastAsia="Segoe UI"/>
        </w:rPr>
      </w:pPr>
      <w:r w:rsidRPr="00CE01F3">
        <w:rPr>
          <w:rFonts w:eastAsia="Segoe UI"/>
        </w:rPr>
        <w:t>the far north area of Northland (Kaikohe to Kaitaia)</w:t>
      </w:r>
    </w:p>
    <w:p w14:paraId="3824E2F0" w14:textId="77777777" w:rsidR="00AE7C27" w:rsidRPr="00CE01F3" w:rsidRDefault="00AE7C27" w:rsidP="00CE01F3">
      <w:pPr>
        <w:pStyle w:val="Bullet"/>
        <w:rPr>
          <w:rFonts w:eastAsia="Segoe UI"/>
        </w:rPr>
      </w:pPr>
      <w:r w:rsidRPr="00CE01F3">
        <w:rPr>
          <w:rFonts w:eastAsia="Segoe UI"/>
        </w:rPr>
        <w:t>Hawke’s Bay (Hastings to Wairoa)</w:t>
      </w:r>
    </w:p>
    <w:p w14:paraId="7A22F4B0" w14:textId="77777777" w:rsidR="00AE7C27" w:rsidRPr="00CE01F3" w:rsidRDefault="00AE7C27" w:rsidP="00CE01F3">
      <w:pPr>
        <w:pStyle w:val="Bullet"/>
        <w:rPr>
          <w:rFonts w:eastAsia="Segoe UI"/>
        </w:rPr>
      </w:pPr>
      <w:r w:rsidRPr="00CE01F3">
        <w:rPr>
          <w:rFonts w:eastAsia="Segoe UI"/>
        </w:rPr>
        <w:t xml:space="preserve">Gisborne and </w:t>
      </w:r>
      <w:proofErr w:type="spellStart"/>
      <w:r w:rsidRPr="00CE01F3">
        <w:rPr>
          <w:rFonts w:eastAsia="Segoe UI"/>
        </w:rPr>
        <w:t>Tairāwhiti</w:t>
      </w:r>
      <w:proofErr w:type="spellEnd"/>
    </w:p>
    <w:p w14:paraId="2A120C89" w14:textId="77777777" w:rsidR="00AE7C27" w:rsidRPr="00CE01F3" w:rsidRDefault="00AE7C27" w:rsidP="00CE01F3">
      <w:pPr>
        <w:pStyle w:val="Bullet"/>
        <w:rPr>
          <w:rFonts w:eastAsia="Segoe UI"/>
        </w:rPr>
      </w:pPr>
      <w:r w:rsidRPr="00CE01F3">
        <w:rPr>
          <w:rFonts w:eastAsia="Segoe UI"/>
        </w:rPr>
        <w:t>Rotorua.</w:t>
      </w:r>
    </w:p>
    <w:p w14:paraId="14821483" w14:textId="77777777" w:rsidR="00CE01F3" w:rsidRDefault="00CE01F3" w:rsidP="00CE01F3"/>
    <w:p w14:paraId="11779C58" w14:textId="398A94FA" w:rsidR="00AE7C27" w:rsidRDefault="00AE7C27" w:rsidP="00CE01F3">
      <w:proofErr w:type="gramStart"/>
      <w:r>
        <w:t>Also</w:t>
      </w:r>
      <w:proofErr w:type="gramEnd"/>
      <w:r>
        <w:t xml:space="preserve"> </w:t>
      </w:r>
      <w:r w:rsidRPr="002857F4">
        <w:t>over four years</w:t>
      </w:r>
      <w:r>
        <w:t>,</w:t>
      </w:r>
      <w:r w:rsidRPr="002857F4">
        <w:t xml:space="preserve"> $14</w:t>
      </w:r>
      <w:r>
        <w:t xml:space="preserve"> million</w:t>
      </w:r>
      <w:r w:rsidRPr="002857F4">
        <w:t xml:space="preserve"> will be made available to increase capacity among intensive treatment service providers across the country, </w:t>
      </w:r>
      <w:r>
        <w:t>giving</w:t>
      </w:r>
      <w:r w:rsidRPr="002857F4">
        <w:t xml:space="preserve"> priority to those areas particularly at risk.</w:t>
      </w:r>
    </w:p>
    <w:p w14:paraId="34B594C4" w14:textId="77777777" w:rsidR="00AE7C27" w:rsidRPr="006F4B68" w:rsidRDefault="00AE7C27" w:rsidP="00CE01F3">
      <w:r w:rsidRPr="002857F4">
        <w:lastRenderedPageBreak/>
        <w:t>A further $5.9</w:t>
      </w:r>
      <w:r>
        <w:t xml:space="preserve"> million</w:t>
      </w:r>
      <w:r w:rsidRPr="002857F4">
        <w:t xml:space="preserve"> over four years has been allocated from the Proceeds of Crime fund for a hard-hitting </w:t>
      </w:r>
      <w:r>
        <w:t>n</w:t>
      </w:r>
      <w:r w:rsidRPr="002857F4">
        <w:t xml:space="preserve">ational </w:t>
      </w:r>
      <w:r>
        <w:t>c</w:t>
      </w:r>
      <w:r w:rsidRPr="002857F4">
        <w:t xml:space="preserve">ampaign aimed at </w:t>
      </w:r>
      <w:proofErr w:type="gramStart"/>
      <w:r>
        <w:t>prevention</w:t>
      </w:r>
      <w:proofErr w:type="gramEnd"/>
      <w:r>
        <w:t xml:space="preserve"> so</w:t>
      </w:r>
      <w:r w:rsidRPr="002857F4">
        <w:t xml:space="preserve"> people </w:t>
      </w:r>
      <w:r>
        <w:t xml:space="preserve">do not </w:t>
      </w:r>
      <w:r w:rsidRPr="002857F4">
        <w:t>start to use methamphetamine</w:t>
      </w:r>
      <w:r>
        <w:t xml:space="preserve"> in the first place</w:t>
      </w:r>
      <w:r w:rsidRPr="002857F4">
        <w:t>.</w:t>
      </w:r>
    </w:p>
    <w:p w14:paraId="3518F0E8" w14:textId="77777777" w:rsidR="00AE7C27" w:rsidRPr="002857F4" w:rsidRDefault="00AE7C27" w:rsidP="00AE7C27">
      <w:pPr>
        <w:pStyle w:val="Heading3"/>
      </w:pPr>
      <w:r w:rsidRPr="002857F4">
        <w:t>Youth mental health</w:t>
      </w:r>
      <w:r>
        <w:t xml:space="preserve"> </w:t>
      </w:r>
    </w:p>
    <w:p w14:paraId="18DEB59F" w14:textId="6EA0A427" w:rsidR="00AE7C27" w:rsidRPr="002857F4" w:rsidRDefault="00AE7C27" w:rsidP="00CE01F3">
      <w:r w:rsidRPr="002857F4">
        <w:t xml:space="preserve">Health NZ </w:t>
      </w:r>
      <w:r>
        <w:t>is</w:t>
      </w:r>
      <w:r w:rsidRPr="002857F4">
        <w:t xml:space="preserve"> progressing a range of initiatives to improve and support child and youth mental health</w:t>
      </w:r>
      <w:r>
        <w:t>. Its</w:t>
      </w:r>
      <w:r w:rsidRPr="002857F4">
        <w:t xml:space="preserve"> investment includ</w:t>
      </w:r>
      <w:r>
        <w:t>es</w:t>
      </w:r>
      <w:r w:rsidRPr="002857F4">
        <w:t>:</w:t>
      </w:r>
    </w:p>
    <w:p w14:paraId="32EA5739" w14:textId="77777777" w:rsidR="00AE7C27" w:rsidRPr="002857F4" w:rsidRDefault="00AE7C27" w:rsidP="00AE7C27">
      <w:pPr>
        <w:pStyle w:val="Bullet"/>
        <w:tabs>
          <w:tab w:val="num" w:pos="284"/>
        </w:tabs>
      </w:pPr>
      <w:r w:rsidRPr="002857F4">
        <w:t>$6 million</w:t>
      </w:r>
      <w:r>
        <w:t xml:space="preserve"> </w:t>
      </w:r>
      <w:r w:rsidRPr="002857F4">
        <w:t>each year</w:t>
      </w:r>
      <w:r>
        <w:t xml:space="preserve"> for </w:t>
      </w:r>
      <w:r w:rsidRPr="002857F4">
        <w:t>Gumboot Friday</w:t>
      </w:r>
      <w:r>
        <w:t xml:space="preserve"> </w:t>
      </w:r>
      <w:r w:rsidRPr="002857F4">
        <w:t>to</w:t>
      </w:r>
      <w:r>
        <w:t xml:space="preserve"> </w:t>
      </w:r>
      <w:r w:rsidRPr="002857F4">
        <w:t>support</w:t>
      </w:r>
      <w:r>
        <w:t xml:space="preserve"> </w:t>
      </w:r>
      <w:r w:rsidRPr="002857F4">
        <w:t>thousands of young people aged between 5</w:t>
      </w:r>
      <w:r>
        <w:t xml:space="preserve"> and </w:t>
      </w:r>
      <w:r w:rsidRPr="002857F4">
        <w:t>25 years to access mental health support faster before they reach a crisis </w:t>
      </w:r>
    </w:p>
    <w:p w14:paraId="632103F7" w14:textId="77777777" w:rsidR="00AE7C27" w:rsidRPr="002857F4" w:rsidRDefault="00AE7C27" w:rsidP="00AE7C27">
      <w:pPr>
        <w:pStyle w:val="Bullet"/>
        <w:tabs>
          <w:tab w:val="num" w:pos="284"/>
        </w:tabs>
      </w:pPr>
      <w:r w:rsidRPr="002857F4">
        <w:t>$10 million over two years for the Mental Health Innovation Fund to support faster access to a greater range of community-led support, with matched funding for</w:t>
      </w:r>
      <w:r>
        <w:t xml:space="preserve"> </w:t>
      </w:r>
      <w:r w:rsidRPr="002857F4">
        <w:t>organisations</w:t>
      </w:r>
      <w:r>
        <w:t xml:space="preserve"> </w:t>
      </w:r>
      <w:r w:rsidRPr="002857F4">
        <w:t>including</w:t>
      </w:r>
      <w:r>
        <w:t xml:space="preserve"> </w:t>
      </w:r>
      <w:proofErr w:type="spellStart"/>
      <w:r w:rsidRPr="002857F4">
        <w:t>Youthline</w:t>
      </w:r>
      <w:proofErr w:type="spellEnd"/>
      <w:r w:rsidRPr="002857F4">
        <w:t xml:space="preserve">, the Sir John Kirwan Foundation and </w:t>
      </w:r>
      <w:r>
        <w:t xml:space="preserve">the </w:t>
      </w:r>
      <w:r w:rsidRPr="002857F4">
        <w:t>Rotorua Community Youth Centre Trust</w:t>
      </w:r>
    </w:p>
    <w:p w14:paraId="04A207E8" w14:textId="77777777" w:rsidR="00AE7C27" w:rsidRPr="002857F4" w:rsidRDefault="00AE7C27" w:rsidP="00AE7C27">
      <w:pPr>
        <w:pStyle w:val="Bullet"/>
        <w:tabs>
          <w:tab w:val="num" w:pos="284"/>
        </w:tabs>
      </w:pPr>
      <w:r w:rsidRPr="002857F4">
        <w:t>$2 million each year for New Zealand’s first Child and Youth Mental Health and Addiction Prevalence Study</w:t>
      </w:r>
      <w:r>
        <w:t xml:space="preserve"> – its</w:t>
      </w:r>
      <w:r w:rsidRPr="002857F4">
        <w:t xml:space="preserve"> findings will help target support for children and young people where it will have the greatest impact </w:t>
      </w:r>
    </w:p>
    <w:p w14:paraId="5715F558" w14:textId="77777777" w:rsidR="00AE7C27" w:rsidRPr="00411EBE" w:rsidRDefault="00AE7C27" w:rsidP="00AE7C27">
      <w:pPr>
        <w:pStyle w:val="Bullet"/>
        <w:tabs>
          <w:tab w:val="num" w:pos="284"/>
        </w:tabs>
      </w:pPr>
      <w:r w:rsidRPr="002857F4">
        <w:t>$3.5 million each year across three districts with lower investment in specialist infant,</w:t>
      </w:r>
      <w:r>
        <w:t xml:space="preserve"> </w:t>
      </w:r>
      <w:r w:rsidRPr="002857F4">
        <w:t>child</w:t>
      </w:r>
      <w:r>
        <w:t xml:space="preserve"> </w:t>
      </w:r>
      <w:r w:rsidRPr="002857F4">
        <w:t>and youth mental health services to support additional capacity and</w:t>
      </w:r>
      <w:r>
        <w:t xml:space="preserve"> health service</w:t>
      </w:r>
      <w:r w:rsidRPr="002857F4">
        <w:t xml:space="preserve"> navigation to remove barriers to access.</w:t>
      </w:r>
    </w:p>
    <w:p w14:paraId="0072154D" w14:textId="77777777" w:rsidR="00AE7C27" w:rsidRPr="002857F4" w:rsidRDefault="00AE7C27" w:rsidP="00AE7C27">
      <w:pPr>
        <w:pStyle w:val="Heading3"/>
      </w:pPr>
      <w:r w:rsidRPr="002857F4">
        <w:t>Crisis cafes</w:t>
      </w:r>
    </w:p>
    <w:p w14:paraId="33A7E6C4" w14:textId="77777777" w:rsidR="00AE7C27" w:rsidRDefault="00AE7C27" w:rsidP="00CE01F3">
      <w:r w:rsidRPr="002857F4">
        <w:t>Crisis cafes are non-clinical, peer-run cafes for people to visit in times of mental or emotional distress. They provide supportive conversation and de-escalation in a calm setting, offering an alternative to emergency departments. Staff are trained peer support workers with lived experience, and hours often extend into evenings and weekends to make help more accessible.</w:t>
      </w:r>
    </w:p>
    <w:p w14:paraId="26532ABC" w14:textId="77777777" w:rsidR="00CE01F3" w:rsidRPr="002857F4" w:rsidRDefault="00CE01F3" w:rsidP="00CE01F3"/>
    <w:p w14:paraId="4B4CC518" w14:textId="77777777" w:rsidR="00AE7C27" w:rsidRPr="0015007C" w:rsidRDefault="00AE7C27" w:rsidP="00CE01F3">
      <w:r w:rsidRPr="002857F4">
        <w:t xml:space="preserve">Whakatāne has recently opened an expanded crisis recovery support </w:t>
      </w:r>
      <w:r>
        <w:t>c</w:t>
      </w:r>
      <w:r w:rsidRPr="002857F4">
        <w:t>af</w:t>
      </w:r>
      <w:r>
        <w:t>e</w:t>
      </w:r>
      <w:r w:rsidRPr="002857F4">
        <w:t xml:space="preserve"> – the Resilience Café. This is one of six </w:t>
      </w:r>
      <w:r>
        <w:t>c</w:t>
      </w:r>
      <w:r w:rsidRPr="002857F4">
        <w:t xml:space="preserve">risis </w:t>
      </w:r>
      <w:r>
        <w:t>r</w:t>
      </w:r>
      <w:r w:rsidRPr="002857F4">
        <w:t xml:space="preserve">ecovery </w:t>
      </w:r>
      <w:r>
        <w:t>s</w:t>
      </w:r>
      <w:r w:rsidRPr="002857F4">
        <w:t xml:space="preserve">upport </w:t>
      </w:r>
      <w:r>
        <w:t>c</w:t>
      </w:r>
      <w:r w:rsidRPr="002857F4">
        <w:t>af</w:t>
      </w:r>
      <w:r>
        <w:t>e</w:t>
      </w:r>
      <w:r w:rsidRPr="002857F4">
        <w:t>s that were announced in September 2024, to be rolled out across the country by June 2026. Other cafes have been established in Wellington, Whanganui and Palmerston North.</w:t>
      </w:r>
    </w:p>
    <w:p w14:paraId="5B321188" w14:textId="77777777" w:rsidR="00AE7C27" w:rsidRDefault="00AE7C27" w:rsidP="00AE7C27">
      <w:pPr>
        <w:pStyle w:val="Heading2"/>
      </w:pPr>
      <w:bookmarkStart w:id="54" w:name="_Toc216264610"/>
      <w:bookmarkStart w:id="55" w:name="_Toc216591256"/>
      <w:bookmarkStart w:id="56" w:name="_Toc216775112"/>
      <w:r>
        <w:t>Funding and resource allocation</w:t>
      </w:r>
      <w:bookmarkEnd w:id="54"/>
      <w:bookmarkEnd w:id="55"/>
      <w:bookmarkEnd w:id="56"/>
      <w:r>
        <w:t xml:space="preserve"> </w:t>
      </w:r>
    </w:p>
    <w:p w14:paraId="2AD76E77" w14:textId="77777777" w:rsidR="00AE7C27" w:rsidRPr="002857F4" w:rsidRDefault="00AE7C27" w:rsidP="00AE7C27">
      <w:pPr>
        <w:pStyle w:val="Heading3"/>
      </w:pPr>
      <w:r w:rsidRPr="002857F4">
        <w:t xml:space="preserve">Capitation reweighting </w:t>
      </w:r>
    </w:p>
    <w:p w14:paraId="25B59FD4" w14:textId="77777777" w:rsidR="00AE7C27" w:rsidRDefault="00AE7C27" w:rsidP="00CE01F3">
      <w:r w:rsidRPr="002857F4">
        <w:t xml:space="preserve">The government’s funding method for GP clinics, known as capitation, will be updated for the first time in more than 20 years. </w:t>
      </w:r>
      <w:r>
        <w:t>One of the key changes is to include rurality.</w:t>
      </w:r>
    </w:p>
    <w:p w14:paraId="10B975E1" w14:textId="77777777" w:rsidR="00CE01F3" w:rsidRPr="002857F4" w:rsidRDefault="00CE01F3" w:rsidP="00CE01F3"/>
    <w:p w14:paraId="43C13E44" w14:textId="77777777" w:rsidR="00AE7C27" w:rsidRDefault="00AE7C27" w:rsidP="00CE01F3">
      <w:r w:rsidRPr="002857F4">
        <w:t>The current model is outdated and does</w:t>
      </w:r>
      <w:r>
        <w:t xml:space="preserve"> </w:t>
      </w:r>
      <w:r w:rsidRPr="002857F4">
        <w:t>n</w:t>
      </w:r>
      <w:r>
        <w:t>o</w:t>
      </w:r>
      <w:r w:rsidRPr="002857F4">
        <w:t>t reflect the different costs associated with caring for different patient groups. The revised formula will go beyond</w:t>
      </w:r>
      <w:r>
        <w:t xml:space="preserve"> considering only</w:t>
      </w:r>
      <w:r w:rsidRPr="002857F4">
        <w:t xml:space="preserve"> age and sex </w:t>
      </w:r>
      <w:r>
        <w:t xml:space="preserve">groups </w:t>
      </w:r>
      <w:r w:rsidRPr="002857F4">
        <w:t xml:space="preserve">to include rurality, multimorbidity and socioeconomic </w:t>
      </w:r>
      <w:r w:rsidRPr="002857F4">
        <w:lastRenderedPageBreak/>
        <w:t xml:space="preserve">deprivation. More age bands will </w:t>
      </w:r>
      <w:r>
        <w:t xml:space="preserve">also </w:t>
      </w:r>
      <w:r w:rsidRPr="002857F4">
        <w:t xml:space="preserve">be introduced to better recognise the costs of caring for very young or very elderly patients. </w:t>
      </w:r>
    </w:p>
    <w:p w14:paraId="67A35155" w14:textId="77777777" w:rsidR="00CE01F3" w:rsidRPr="002857F4" w:rsidRDefault="00CE01F3" w:rsidP="00CE01F3"/>
    <w:p w14:paraId="677E7DA8" w14:textId="77777777" w:rsidR="00AE7C27" w:rsidRPr="004A3A1A" w:rsidRDefault="00AE7C27" w:rsidP="00CE01F3">
      <w:r w:rsidRPr="00081923">
        <w:t>Subject to negotiation with the primary care sector through the Primary Health Organisation Services Agreement, the revised formula is expected to take effect from 1 July 2026</w:t>
      </w:r>
      <w:r w:rsidRPr="002857F4">
        <w:t xml:space="preserve">. </w:t>
      </w:r>
    </w:p>
    <w:p w14:paraId="7F740789" w14:textId="77777777" w:rsidR="00CE01F3" w:rsidRDefault="00CE01F3" w:rsidP="00AE7C27">
      <w:pPr>
        <w:pStyle w:val="Heading1"/>
        <w:sectPr w:rsidR="00CE01F3" w:rsidSect="00AE7C27">
          <w:pgSz w:w="11907" w:h="16834" w:code="9"/>
          <w:pgMar w:top="1418" w:right="1701" w:bottom="1134" w:left="1843" w:header="284" w:footer="425" w:gutter="284"/>
          <w:cols w:space="720"/>
        </w:sectPr>
      </w:pPr>
      <w:bookmarkStart w:id="57" w:name="_Toc216264611"/>
    </w:p>
    <w:p w14:paraId="7AA796C1" w14:textId="77777777" w:rsidR="00AE7C27" w:rsidRPr="002857F4" w:rsidRDefault="00AE7C27" w:rsidP="00CE01F3">
      <w:pPr>
        <w:pStyle w:val="Heading1"/>
        <w:spacing w:before="0"/>
      </w:pPr>
      <w:bookmarkStart w:id="58" w:name="_Toc216591257"/>
      <w:bookmarkStart w:id="59" w:name="_Toc216775113"/>
      <w:r w:rsidRPr="002857F4">
        <w:lastRenderedPageBreak/>
        <w:t>Broader work</w:t>
      </w:r>
      <w:bookmarkEnd w:id="57"/>
      <w:bookmarkEnd w:id="58"/>
      <w:bookmarkEnd w:id="59"/>
      <w:r w:rsidRPr="002857F4">
        <w:t xml:space="preserve"> </w:t>
      </w:r>
    </w:p>
    <w:p w14:paraId="0A4F6C91" w14:textId="77777777" w:rsidR="00AE7C27" w:rsidRPr="0015007C" w:rsidRDefault="00AE7C27" w:rsidP="00CE01F3">
      <w:r w:rsidRPr="002857F4">
        <w:t xml:space="preserve">Many of the themes highlighted in the roadshow, such as access, workforce and mental health, overlap with key challenges within the broader health system. Addressing these broader health system challenges will ideally have positive effects on rural communities. The insights gained from the roadshows will enhance our understanding of these issues and contribute to ongoing efforts to address them from a rural perspective. </w:t>
      </w:r>
      <w:r>
        <w:t>Initiatives in the following</w:t>
      </w:r>
      <w:r w:rsidRPr="002857F4">
        <w:t xml:space="preserve"> </w:t>
      </w:r>
      <w:r>
        <w:t>areas</w:t>
      </w:r>
      <w:r w:rsidRPr="002857F4">
        <w:t xml:space="preserve"> will also have a positive impact on rural communities. </w:t>
      </w:r>
    </w:p>
    <w:p w14:paraId="2404B34B" w14:textId="77777777" w:rsidR="00AE7C27" w:rsidRPr="00CE01F3" w:rsidRDefault="00AE7C27" w:rsidP="00CE01F3">
      <w:pPr>
        <w:pStyle w:val="Heading2"/>
      </w:pPr>
      <w:bookmarkStart w:id="60" w:name="_Toc216264612"/>
      <w:bookmarkStart w:id="61" w:name="_Toc216591258"/>
      <w:bookmarkStart w:id="62" w:name="_Toc216775114"/>
      <w:r w:rsidRPr="00CE01F3">
        <w:t>Voluntary Bonding Scheme</w:t>
      </w:r>
      <w:bookmarkEnd w:id="60"/>
      <w:bookmarkEnd w:id="61"/>
      <w:bookmarkEnd w:id="62"/>
      <w:r w:rsidRPr="00CE01F3">
        <w:t xml:space="preserve"> </w:t>
      </w:r>
    </w:p>
    <w:p w14:paraId="635F1C0F" w14:textId="77777777" w:rsidR="00AE7C27" w:rsidRDefault="00AE7C27" w:rsidP="00CE01F3">
      <w:r w:rsidRPr="002857F4">
        <w:t>Health NZ operates the Voluntary Bonding Scheme (</w:t>
      </w:r>
      <w:r>
        <w:t>the scheme</w:t>
      </w:r>
      <w:r w:rsidRPr="002857F4">
        <w:t xml:space="preserve">), which provides financial incentives to encourage and retain recently qualified health professionals in specialties, settings and communities that are hardest to staff. While the scheme is not rural-specific, it plays an important role in supporting workforce distribution </w:t>
      </w:r>
      <w:r>
        <w:t xml:space="preserve">across the country </w:t>
      </w:r>
      <w:r w:rsidRPr="002857F4">
        <w:t>and addressing gaps in primary care.</w:t>
      </w:r>
    </w:p>
    <w:p w14:paraId="7E318412" w14:textId="77777777" w:rsidR="00CE01F3" w:rsidRPr="002857F4" w:rsidRDefault="00CE01F3" w:rsidP="00CE01F3"/>
    <w:p w14:paraId="52C46728" w14:textId="77777777" w:rsidR="00AE7C27" w:rsidRDefault="00AE7C27" w:rsidP="00CE01F3">
      <w:r w:rsidRPr="002857F4">
        <w:t xml:space="preserve">The scheme runs annual intakes, and participants who join become eligible for retention payments after three, four and five years of bonded service. These payments are made directly to student loans or as a cash payment to the participant, helping reduce financial barriers and supporting </w:t>
      </w:r>
      <w:r>
        <w:t xml:space="preserve">health professionals to make a </w:t>
      </w:r>
      <w:r w:rsidRPr="002857F4">
        <w:t>long-term commitment to hard-to-staff areas.</w:t>
      </w:r>
    </w:p>
    <w:p w14:paraId="7D44B839" w14:textId="77777777" w:rsidR="00CE01F3" w:rsidRPr="002857F4" w:rsidRDefault="00CE01F3" w:rsidP="00CE01F3"/>
    <w:p w14:paraId="53B63F19" w14:textId="77777777" w:rsidR="00AE7C27" w:rsidRPr="002857F4" w:rsidRDefault="00AE7C27" w:rsidP="00CE01F3">
      <w:r w:rsidRPr="002857F4">
        <w:t>Each year</w:t>
      </w:r>
      <w:r>
        <w:t>,</w:t>
      </w:r>
      <w:r w:rsidRPr="002857F4">
        <w:t xml:space="preserve"> categories are determined based on national workforce priorities</w:t>
      </w:r>
      <w:r>
        <w:t xml:space="preserve"> and </w:t>
      </w:r>
      <w:r w:rsidRPr="002857F4">
        <w:t>hard-to-staff areas</w:t>
      </w:r>
      <w:r>
        <w:t>. T</w:t>
      </w:r>
      <w:r w:rsidRPr="002857F4">
        <w:t xml:space="preserve">he number of places offered depends on available funding. The workforce categories eligible for the 2025 intake of the </w:t>
      </w:r>
      <w:r>
        <w:t>s</w:t>
      </w:r>
      <w:r w:rsidRPr="002857F4">
        <w:t xml:space="preserve">cheme focus on primary care specialties and settings for </w:t>
      </w:r>
      <w:r>
        <w:t>r</w:t>
      </w:r>
      <w:r w:rsidRPr="002857F4">
        <w:t xml:space="preserve">egistered </w:t>
      </w:r>
      <w:r>
        <w:t>n</w:t>
      </w:r>
      <w:r w:rsidRPr="002857F4">
        <w:t xml:space="preserve">urses, </w:t>
      </w:r>
      <w:r>
        <w:t>g</w:t>
      </w:r>
      <w:r w:rsidRPr="002857F4">
        <w:t xml:space="preserve">eneral </w:t>
      </w:r>
      <w:r>
        <w:t>p</w:t>
      </w:r>
      <w:r w:rsidRPr="002857F4">
        <w:t xml:space="preserve">ractice </w:t>
      </w:r>
      <w:r>
        <w:t>t</w:t>
      </w:r>
      <w:r w:rsidRPr="002857F4">
        <w:t xml:space="preserve">rainees and </w:t>
      </w:r>
      <w:r>
        <w:t>p</w:t>
      </w:r>
      <w:r w:rsidRPr="002857F4">
        <w:t xml:space="preserve">harmacists. Nurse </w:t>
      </w:r>
      <w:r>
        <w:t>p</w:t>
      </w:r>
      <w:r w:rsidRPr="002857F4">
        <w:t xml:space="preserve">ractitioners (working in primary care settings) have been added to the </w:t>
      </w:r>
      <w:r>
        <w:t>s</w:t>
      </w:r>
      <w:r w:rsidRPr="002857F4">
        <w:t xml:space="preserve">cheme for the first time. </w:t>
      </w:r>
    </w:p>
    <w:p w14:paraId="119F8C8F" w14:textId="77777777" w:rsidR="00AE7C27" w:rsidRPr="00CE01F3" w:rsidRDefault="00AE7C27" w:rsidP="00CE01F3">
      <w:pPr>
        <w:pStyle w:val="Heading2"/>
      </w:pPr>
      <w:bookmarkStart w:id="63" w:name="_Toc216264613"/>
      <w:bookmarkStart w:id="64" w:name="_Toc216591259"/>
      <w:bookmarkStart w:id="65" w:name="_Toc216775115"/>
      <w:r w:rsidRPr="00CE01F3">
        <w:t>Māori</w:t>
      </w:r>
      <w:bookmarkEnd w:id="63"/>
      <w:bookmarkEnd w:id="64"/>
      <w:bookmarkEnd w:id="65"/>
    </w:p>
    <w:p w14:paraId="30E001B2" w14:textId="77777777" w:rsidR="00AE7C27" w:rsidRDefault="00AE7C27" w:rsidP="00CE01F3">
      <w:r w:rsidRPr="002857F4">
        <w:t xml:space="preserve">Iwi-Māori Partnership Boards (IMPBs) play </w:t>
      </w:r>
      <w:r>
        <w:t>a</w:t>
      </w:r>
      <w:r w:rsidRPr="002857F4">
        <w:t xml:space="preserve">n important role in capturing and advocating for the needs of whānau, hapū and iwi Māori in rural communities. </w:t>
      </w:r>
    </w:p>
    <w:p w14:paraId="1B0691B7" w14:textId="77777777" w:rsidR="00CE01F3" w:rsidRPr="002857F4" w:rsidRDefault="00CE01F3" w:rsidP="00CE01F3"/>
    <w:p w14:paraId="1CADE8E7" w14:textId="77777777" w:rsidR="00AE7C27" w:rsidRDefault="00AE7C27" w:rsidP="00CE01F3">
      <w:r w:rsidRPr="002857F4">
        <w:t>Many of the issues identified through our engagement with Māori (including</w:t>
      </w:r>
      <w:r>
        <w:t xml:space="preserve"> with</w:t>
      </w:r>
      <w:r w:rsidRPr="002857F4">
        <w:t xml:space="preserve"> IMPBs) are the same issues that affect rural communities more broadly. For example, key areas </w:t>
      </w:r>
      <w:r>
        <w:t>that</w:t>
      </w:r>
      <w:r w:rsidRPr="002857F4">
        <w:t xml:space="preserve"> IMPBs</w:t>
      </w:r>
      <w:r>
        <w:t xml:space="preserve"> pointed to</w:t>
      </w:r>
      <w:r w:rsidRPr="002857F4">
        <w:t xml:space="preserve"> in their community health plans </w:t>
      </w:r>
      <w:r>
        <w:t xml:space="preserve">included </w:t>
      </w:r>
      <w:r w:rsidRPr="002857F4">
        <w:t xml:space="preserve">issues with access and proximity to appropriate primary and community care, </w:t>
      </w:r>
      <w:r>
        <w:t xml:space="preserve">as well as the need for </w:t>
      </w:r>
      <w:r w:rsidRPr="002857F4">
        <w:t xml:space="preserve">support for </w:t>
      </w:r>
      <w:proofErr w:type="spellStart"/>
      <w:r w:rsidRPr="002857F4">
        <w:t>hauora</w:t>
      </w:r>
      <w:proofErr w:type="spellEnd"/>
      <w:r w:rsidRPr="002857F4">
        <w:t xml:space="preserve"> </w:t>
      </w:r>
      <w:proofErr w:type="spellStart"/>
      <w:r w:rsidRPr="002857F4">
        <w:t>hinengaro</w:t>
      </w:r>
      <w:proofErr w:type="spellEnd"/>
      <w:r w:rsidRPr="002857F4">
        <w:t xml:space="preserve"> (mental health) and </w:t>
      </w:r>
      <w:r>
        <w:t xml:space="preserve">to </w:t>
      </w:r>
      <w:r w:rsidRPr="002857F4">
        <w:t>reduc</w:t>
      </w:r>
      <w:r>
        <w:t>e</w:t>
      </w:r>
      <w:r w:rsidRPr="002857F4">
        <w:t xml:space="preserve"> harm from substance abuse and vaping. </w:t>
      </w:r>
    </w:p>
    <w:p w14:paraId="763A3B93" w14:textId="77777777" w:rsidR="00CE01F3" w:rsidRPr="002857F4" w:rsidRDefault="00CE01F3" w:rsidP="00CE01F3"/>
    <w:p w14:paraId="56CC9439" w14:textId="77777777" w:rsidR="00AE7C27" w:rsidRPr="004A5B0C" w:rsidRDefault="00AE7C27" w:rsidP="00CE01F3">
      <w:r w:rsidRPr="007B5EEC">
        <w:t>Propos</w:t>
      </w:r>
      <w:r>
        <w:t>ed provisions</w:t>
      </w:r>
      <w:r w:rsidRPr="007B5EEC">
        <w:t xml:space="preserve"> in the Healthy Futures (Pae Ora) Amendment Bill will revise the role of IMPBs in the health system, including </w:t>
      </w:r>
      <w:r>
        <w:t xml:space="preserve">by </w:t>
      </w:r>
      <w:r w:rsidRPr="007B5EEC">
        <w:t>consolidating their focus on wh</w:t>
      </w:r>
      <w:r>
        <w:t>ā</w:t>
      </w:r>
      <w:r w:rsidRPr="007B5EEC">
        <w:t xml:space="preserve">nau </w:t>
      </w:r>
      <w:r w:rsidRPr="007B5EEC">
        <w:lastRenderedPageBreak/>
        <w:t xml:space="preserve">voice, and </w:t>
      </w:r>
      <w:r>
        <w:t xml:space="preserve">will </w:t>
      </w:r>
      <w:r w:rsidRPr="007B5EEC">
        <w:t xml:space="preserve">change the role of </w:t>
      </w:r>
      <w:r>
        <w:t xml:space="preserve">the </w:t>
      </w:r>
      <w:r w:rsidRPr="007B5EEC">
        <w:t>H</w:t>
      </w:r>
      <w:r>
        <w:t>auora Māori Advisory Committee (</w:t>
      </w:r>
      <w:r w:rsidRPr="007B5EEC">
        <w:t>HMAC</w:t>
      </w:r>
      <w:r>
        <w:t>)</w:t>
      </w:r>
      <w:r w:rsidRPr="007B5EEC">
        <w:t xml:space="preserve"> to strengthen its monitoring function. The Ministry is working with IMPBs, HMAC and Health NZ to explore how insights captured through whānau voice can influence local decision</w:t>
      </w:r>
      <w:r>
        <w:t>-</w:t>
      </w:r>
      <w:r w:rsidRPr="007B5EEC">
        <w:t xml:space="preserve">making and commissioning in light of these amendments. </w:t>
      </w:r>
    </w:p>
    <w:p w14:paraId="015F324A" w14:textId="77777777" w:rsidR="00AE7C27" w:rsidRDefault="00AE7C27" w:rsidP="00AE7C27">
      <w:pPr>
        <w:pStyle w:val="Heading2"/>
      </w:pPr>
      <w:bookmarkStart w:id="66" w:name="_Toc216264614"/>
      <w:bookmarkStart w:id="67" w:name="_Toc216591260"/>
      <w:bookmarkStart w:id="68" w:name="_Toc216775116"/>
      <w:r w:rsidRPr="004A5B0C">
        <w:t>Maternity</w:t>
      </w:r>
      <w:bookmarkEnd w:id="66"/>
      <w:bookmarkEnd w:id="67"/>
      <w:bookmarkEnd w:id="68"/>
      <w:r w:rsidRPr="004A5B0C">
        <w:t xml:space="preserve"> </w:t>
      </w:r>
    </w:p>
    <w:p w14:paraId="3C1903B8" w14:textId="77777777" w:rsidR="00AE7C27" w:rsidRDefault="00AE7C27" w:rsidP="00CE01F3">
      <w:r w:rsidRPr="000C63AE">
        <w:t>The Primary Maternity Services Notice 2021, which came into effect on 29 November 2021, introduced the Rural Practice and Travel Supplement (</w:t>
      </w:r>
      <w:proofErr w:type="spellStart"/>
      <w:r w:rsidRPr="000C63AE">
        <w:t>RPaTS</w:t>
      </w:r>
      <w:proofErr w:type="spellEnd"/>
      <w:r w:rsidRPr="000C63AE">
        <w:t xml:space="preserve">) to support equitable access to maternity care in rural areas. This nationwide agreement governs Lead Maternity Carer claims and </w:t>
      </w:r>
      <w:r>
        <w:t>provides</w:t>
      </w:r>
      <w:r w:rsidRPr="000C63AE">
        <w:t xml:space="preserve"> funding for practitioners working in locations with limited access to services. </w:t>
      </w:r>
    </w:p>
    <w:p w14:paraId="1F949CAE" w14:textId="77777777" w:rsidR="00CE01F3" w:rsidRPr="000C63AE" w:rsidRDefault="00CE01F3" w:rsidP="00CE01F3"/>
    <w:p w14:paraId="26B08496" w14:textId="77777777" w:rsidR="00AE7C27" w:rsidRPr="000C63AE" w:rsidRDefault="00AE7C27" w:rsidP="00CE01F3">
      <w:r w:rsidRPr="000C63AE">
        <w:t xml:space="preserve">From 1 July </w:t>
      </w:r>
      <w:r>
        <w:t xml:space="preserve">2025, </w:t>
      </w:r>
      <w:r w:rsidRPr="000C63AE">
        <w:t xml:space="preserve">the </w:t>
      </w:r>
      <w:proofErr w:type="spellStart"/>
      <w:r w:rsidRPr="000C63AE">
        <w:t>RPaTs</w:t>
      </w:r>
      <w:proofErr w:type="spellEnd"/>
      <w:r w:rsidRPr="000C63AE">
        <w:t xml:space="preserve"> was increased by 50%. </w:t>
      </w:r>
    </w:p>
    <w:p w14:paraId="5CDB2C28" w14:textId="77777777" w:rsidR="00AE7C27" w:rsidRPr="002857F4" w:rsidRDefault="00AE7C27" w:rsidP="00AE7C27">
      <w:pPr>
        <w:pStyle w:val="Heading2"/>
      </w:pPr>
      <w:bookmarkStart w:id="69" w:name="_Toc216264615"/>
      <w:bookmarkStart w:id="70" w:name="_Toc216591261"/>
      <w:bookmarkStart w:id="71" w:name="_Toc216775117"/>
      <w:r w:rsidRPr="002857F4">
        <w:t>Oral health</w:t>
      </w:r>
      <w:bookmarkEnd w:id="69"/>
      <w:bookmarkEnd w:id="70"/>
      <w:bookmarkEnd w:id="71"/>
    </w:p>
    <w:p w14:paraId="5F39E72D" w14:textId="77777777" w:rsidR="00AE7C27" w:rsidRDefault="00AE7C27" w:rsidP="00CE01F3">
      <w:r w:rsidRPr="002857F4">
        <w:t xml:space="preserve">Oral health </w:t>
      </w:r>
      <w:r>
        <w:t>is</w:t>
      </w:r>
      <w:r w:rsidRPr="002857F4">
        <w:t xml:space="preserve"> a key issue for rural communities</w:t>
      </w:r>
      <w:r>
        <w:t>, who identified</w:t>
      </w:r>
      <w:r w:rsidRPr="002857F4">
        <w:t xml:space="preserve"> access and cost </w:t>
      </w:r>
      <w:r>
        <w:t>as</w:t>
      </w:r>
      <w:r w:rsidRPr="002857F4">
        <w:t xml:space="preserve"> key barriers to </w:t>
      </w:r>
      <w:r>
        <w:t xml:space="preserve">dental </w:t>
      </w:r>
      <w:r w:rsidRPr="002857F4">
        <w:t xml:space="preserve">care. Workforce challenges are likely </w:t>
      </w:r>
      <w:r>
        <w:t xml:space="preserve">to be </w:t>
      </w:r>
      <w:r w:rsidRPr="002857F4">
        <w:t>a contributing factor, reflecti</w:t>
      </w:r>
      <w:r>
        <w:t>ng</w:t>
      </w:r>
      <w:r w:rsidRPr="002857F4">
        <w:t xml:space="preserve"> national issues </w:t>
      </w:r>
      <w:r>
        <w:t xml:space="preserve">with </w:t>
      </w:r>
      <w:r w:rsidRPr="002857F4">
        <w:t xml:space="preserve">access </w:t>
      </w:r>
      <w:r>
        <w:t>to</w:t>
      </w:r>
      <w:r w:rsidRPr="002857F4">
        <w:t xml:space="preserve"> oral health. </w:t>
      </w:r>
      <w:r>
        <w:t>In</w:t>
      </w:r>
      <w:r w:rsidRPr="002857F4">
        <w:t xml:space="preserve"> some areas</w:t>
      </w:r>
      <w:r>
        <w:t>,</w:t>
      </w:r>
      <w:r w:rsidRPr="002857F4">
        <w:t xml:space="preserve"> such as Taranaki, </w:t>
      </w:r>
      <w:proofErr w:type="spellStart"/>
      <w:r w:rsidRPr="002857F4">
        <w:t>Tair</w:t>
      </w:r>
      <w:r>
        <w:t>ā</w:t>
      </w:r>
      <w:r w:rsidRPr="002857F4">
        <w:t>whiti</w:t>
      </w:r>
      <w:proofErr w:type="spellEnd"/>
      <w:r w:rsidRPr="002857F4">
        <w:t xml:space="preserve"> and West Coast</w:t>
      </w:r>
      <w:r>
        <w:t>,</w:t>
      </w:r>
      <w:r w:rsidRPr="00181917">
        <w:t xml:space="preserve"> </w:t>
      </w:r>
      <w:r w:rsidRPr="002857F4">
        <w:t xml:space="preserve">staffing has been challenging. Staffing issues </w:t>
      </w:r>
      <w:r>
        <w:t>have a direct impact on access</w:t>
      </w:r>
      <w:r w:rsidRPr="002857F4">
        <w:t xml:space="preserve">. </w:t>
      </w:r>
    </w:p>
    <w:p w14:paraId="6FFE250B" w14:textId="77777777" w:rsidR="00CE01F3" w:rsidRPr="002857F4" w:rsidRDefault="00CE01F3" w:rsidP="00CE01F3"/>
    <w:p w14:paraId="4B6691B9" w14:textId="77777777" w:rsidR="00AE7C27" w:rsidRDefault="00AE7C27" w:rsidP="00CE01F3">
      <w:r w:rsidRPr="002857F4">
        <w:t>Dental care for </w:t>
      </w:r>
      <w:proofErr w:type="spellStart"/>
      <w:r w:rsidRPr="002857F4">
        <w:t>tamariki</w:t>
      </w:r>
      <w:proofErr w:type="spellEnd"/>
      <w:r w:rsidRPr="002857F4">
        <w:t> and </w:t>
      </w:r>
      <w:proofErr w:type="spellStart"/>
      <w:r w:rsidRPr="002857F4">
        <w:t>rangatahi</w:t>
      </w:r>
      <w:proofErr w:type="spellEnd"/>
      <w:r w:rsidRPr="002857F4">
        <w:t xml:space="preserve"> is publicly funded. Adults</w:t>
      </w:r>
      <w:r>
        <w:t xml:space="preserve"> aged</w:t>
      </w:r>
      <w:r w:rsidRPr="002857F4">
        <w:t xml:space="preserve"> 18 years and older have to pay privately for most adult dental services. </w:t>
      </w:r>
    </w:p>
    <w:p w14:paraId="42A56237" w14:textId="77777777" w:rsidR="00CE01F3" w:rsidRPr="002857F4" w:rsidRDefault="00CE01F3" w:rsidP="00CE01F3"/>
    <w:p w14:paraId="38F14105" w14:textId="77777777" w:rsidR="00AE7C27" w:rsidRDefault="00AE7C27" w:rsidP="00CE01F3">
      <w:r w:rsidRPr="002857F4">
        <w:t xml:space="preserve">Mobile Health provides significant access for dental </w:t>
      </w:r>
      <w:r>
        <w:t>surgical services</w:t>
      </w:r>
      <w:r w:rsidRPr="002857F4">
        <w:t xml:space="preserve">, particularly rurally. </w:t>
      </w:r>
    </w:p>
    <w:p w14:paraId="1CBBCAC0" w14:textId="77777777" w:rsidR="00CE01F3" w:rsidRPr="002857F4" w:rsidRDefault="00CE01F3" w:rsidP="00CE01F3"/>
    <w:p w14:paraId="1A583C5A" w14:textId="77777777" w:rsidR="00AE7C27" w:rsidRPr="002857F4" w:rsidRDefault="00AE7C27" w:rsidP="00CE01F3">
      <w:r w:rsidRPr="002857F4">
        <w:t>The following initiatives support oral health care for rural communities</w:t>
      </w:r>
      <w:r>
        <w:t>.</w:t>
      </w:r>
    </w:p>
    <w:p w14:paraId="461012E0" w14:textId="77777777" w:rsidR="00AE7C27" w:rsidRPr="00CE01F3" w:rsidRDefault="00AE7C27" w:rsidP="00CE01F3">
      <w:pPr>
        <w:pStyle w:val="Bullet"/>
      </w:pPr>
      <w:r w:rsidRPr="00CE01F3">
        <w:t xml:space="preserve">Community water fluoridation is being extended and has reached an extra 500,000 people since 2022. This includes people in rural areas. </w:t>
      </w:r>
    </w:p>
    <w:p w14:paraId="71B0EE78" w14:textId="77777777" w:rsidR="00AE7C27" w:rsidRPr="00CE01F3" w:rsidRDefault="00AE7C27" w:rsidP="00CE01F3">
      <w:pPr>
        <w:pStyle w:val="Bullet"/>
      </w:pPr>
      <w:r w:rsidRPr="00CE01F3">
        <w:t xml:space="preserve">Health NZ is rolling out extra mobile dental clinics to improve access for children and adolescents. Six have gone to Māori and Pacific providers and one to a community oral health service. </w:t>
      </w:r>
    </w:p>
    <w:p w14:paraId="2BB95C4B" w14:textId="77777777" w:rsidR="00AE7C27" w:rsidRPr="00CE01F3" w:rsidRDefault="00AE7C27" w:rsidP="00CE01F3">
      <w:pPr>
        <w:pStyle w:val="Bullet"/>
      </w:pPr>
      <w:r w:rsidRPr="00CE01F3">
        <w:t xml:space="preserve">Health NZ’s Voluntary Bonding Scheme supports dentists and oral health therapists to work in rural/remote and hard-to-staff areas. </w:t>
      </w:r>
    </w:p>
    <w:p w14:paraId="011675E7" w14:textId="77777777" w:rsidR="00AE7C27" w:rsidRPr="00CE01F3" w:rsidDel="006C75F8" w:rsidRDefault="00AE7C27" w:rsidP="00CE01F3">
      <w:pPr>
        <w:pStyle w:val="Bullet"/>
      </w:pPr>
      <w:r w:rsidRPr="00CE01F3">
        <w:t xml:space="preserve">The intake of students at Otago University’s Dental Faculty includes 60 capped government places, of which 10 must be allocated to rural students. </w:t>
      </w:r>
    </w:p>
    <w:p w14:paraId="34F9BD17" w14:textId="77777777" w:rsidR="00CE01F3" w:rsidRDefault="00CE01F3" w:rsidP="00CE01F3"/>
    <w:p w14:paraId="55B5CB6D" w14:textId="1416424A" w:rsidR="00AE7C27" w:rsidRPr="00FE5D97" w:rsidRDefault="00AE7C27" w:rsidP="00CE01F3">
      <w:r w:rsidRPr="00FE5D97">
        <w:t>Health NZ is initiating a review of oral health services delivered in community</w:t>
      </w:r>
      <w:r>
        <w:t xml:space="preserve"> </w:t>
      </w:r>
      <w:r w:rsidRPr="00FE5D97">
        <w:t xml:space="preserve">settings for </w:t>
      </w:r>
      <w:r>
        <w:t xml:space="preserve">those aged </w:t>
      </w:r>
      <w:r w:rsidRPr="00FE5D97">
        <w:t>0</w:t>
      </w:r>
      <w:r>
        <w:t>–</w:t>
      </w:r>
      <w:r w:rsidRPr="00FE5D97">
        <w:t>17</w:t>
      </w:r>
      <w:r>
        <w:t xml:space="preserve"> </w:t>
      </w:r>
      <w:r w:rsidRPr="00FE5D97">
        <w:t>year</w:t>
      </w:r>
      <w:r>
        <w:t>s</w:t>
      </w:r>
      <w:r w:rsidRPr="00FE5D97">
        <w:t>. The review will focus on what can be implemented within current funding and policy settings for publicly funded oral health services</w:t>
      </w:r>
      <w:r>
        <w:t xml:space="preserve">, as well as </w:t>
      </w:r>
      <w:r w:rsidRPr="00FE5D97">
        <w:t xml:space="preserve">on models of care and commissioning.  </w:t>
      </w:r>
    </w:p>
    <w:p w14:paraId="3A49EA64" w14:textId="77777777" w:rsidR="00AE7C27" w:rsidRPr="00722588" w:rsidRDefault="00AE7C27" w:rsidP="00AE7C27">
      <w:pPr>
        <w:pStyle w:val="Heading2"/>
      </w:pPr>
      <w:bookmarkStart w:id="72" w:name="_Toc216264616"/>
      <w:bookmarkStart w:id="73" w:name="_Toc216591262"/>
      <w:bookmarkStart w:id="74" w:name="_Toc216775118"/>
      <w:r>
        <w:lastRenderedPageBreak/>
        <w:t>Aged</w:t>
      </w:r>
      <w:r w:rsidRPr="00722588">
        <w:t xml:space="preserve"> care</w:t>
      </w:r>
      <w:bookmarkEnd w:id="72"/>
      <w:bookmarkEnd w:id="73"/>
      <w:bookmarkEnd w:id="74"/>
      <w:r w:rsidRPr="00722588">
        <w:t xml:space="preserve"> </w:t>
      </w:r>
    </w:p>
    <w:p w14:paraId="40B1E2CF" w14:textId="77777777" w:rsidR="00AE7C27" w:rsidRDefault="00AE7C27" w:rsidP="000E4449">
      <w:r>
        <w:t>Throughout the roadshow, communities raised t</w:t>
      </w:r>
      <w:r w:rsidRPr="002857F4">
        <w:t>he health and wellbeing of older people as a key theme. Helping people age well in the community, including those living in rural areas</w:t>
      </w:r>
      <w:r>
        <w:t>,</w:t>
      </w:r>
      <w:r w:rsidRPr="002857F4">
        <w:t xml:space="preserve"> is a key priority for the </w:t>
      </w:r>
      <w:r>
        <w:t>G</w:t>
      </w:r>
      <w:r w:rsidRPr="002857F4">
        <w:t>overnment.</w:t>
      </w:r>
    </w:p>
    <w:p w14:paraId="44874E02" w14:textId="77777777" w:rsidR="000E4449" w:rsidRPr="002857F4" w:rsidRDefault="000E4449" w:rsidP="000E4449"/>
    <w:p w14:paraId="0356E8EF" w14:textId="77777777" w:rsidR="00AE7C27" w:rsidRDefault="00AE7C27" w:rsidP="000E4449">
      <w:r w:rsidRPr="002857F4">
        <w:t>The Ministry is leading a work programme to improve health outcomes for older people</w:t>
      </w:r>
      <w:r>
        <w:t>.</w:t>
      </w:r>
      <w:r w:rsidRPr="002857F4">
        <w:t xml:space="preserve"> </w:t>
      </w:r>
      <w:r>
        <w:t>Part of this work has been to</w:t>
      </w:r>
      <w:r w:rsidRPr="002857F4">
        <w:t xml:space="preserve"> establish an Aged Care Ministerial Advisory Group </w:t>
      </w:r>
      <w:r>
        <w:t xml:space="preserve">(the Ministerial Advisory Group) </w:t>
      </w:r>
      <w:r w:rsidRPr="002857F4">
        <w:t>to provide independent recommendations to Ministers on the changes needed to ensure aged care services</w:t>
      </w:r>
      <w:r w:rsidRPr="00971FA2">
        <w:t xml:space="preserve"> </w:t>
      </w:r>
      <w:r>
        <w:t xml:space="preserve">are </w:t>
      </w:r>
      <w:r w:rsidRPr="002857F4">
        <w:t xml:space="preserve">sustainable. </w:t>
      </w:r>
    </w:p>
    <w:p w14:paraId="480C1097" w14:textId="77777777" w:rsidR="000E4449" w:rsidRPr="002857F4" w:rsidRDefault="000E4449" w:rsidP="000E4449"/>
    <w:p w14:paraId="3832C21C" w14:textId="77777777" w:rsidR="00AE7C27" w:rsidRPr="002857F4" w:rsidRDefault="00AE7C27" w:rsidP="000E4449">
      <w:r w:rsidRPr="002857F4">
        <w:t>The Ministerial Advisory Group will provide an independent report and a set of recommendations around three areas</w:t>
      </w:r>
      <w:r>
        <w:t>.</w:t>
      </w:r>
    </w:p>
    <w:p w14:paraId="0E4D893C" w14:textId="77777777" w:rsidR="00AE7C27" w:rsidRPr="000E4449" w:rsidRDefault="00AE7C27" w:rsidP="000E4449">
      <w:pPr>
        <w:pStyle w:val="Bullet"/>
      </w:pPr>
      <w:r w:rsidRPr="000E4449">
        <w:t>What funding model is needed to support sustainable services, particularly a sustainable supply of aged care beds.</w:t>
      </w:r>
    </w:p>
    <w:p w14:paraId="4F968D33" w14:textId="77777777" w:rsidR="00AE7C27" w:rsidRPr="000E4449" w:rsidRDefault="00AE7C27" w:rsidP="000E4449">
      <w:pPr>
        <w:pStyle w:val="Bullet"/>
      </w:pPr>
      <w:r w:rsidRPr="000E4449">
        <w:t>How the costs of providing aged care could be reasonably shared between those receiving care and the Government.</w:t>
      </w:r>
    </w:p>
    <w:p w14:paraId="5DB3C587" w14:textId="77777777" w:rsidR="00AE7C27" w:rsidRPr="000E4449" w:rsidRDefault="00AE7C27" w:rsidP="000E4449">
      <w:pPr>
        <w:pStyle w:val="Bullet"/>
      </w:pPr>
      <w:r w:rsidRPr="000E4449">
        <w:t>What changes are needed to support cohesion and integration between aged care services and health services, and between aged care and disability support services.</w:t>
      </w:r>
    </w:p>
    <w:p w14:paraId="4D5DFBD6" w14:textId="77777777" w:rsidR="000E4449" w:rsidRDefault="000E4449" w:rsidP="000E4449"/>
    <w:p w14:paraId="54ADAA60" w14:textId="29556DB2" w:rsidR="00AE7C27" w:rsidRDefault="00AE7C27" w:rsidP="000E4449">
      <w:r w:rsidRPr="002857F4">
        <w:t>This work will consider what changes are needed to enable sustainable and effective provision of aged care services across different regions of New Zealand, including rural and remote areas.</w:t>
      </w:r>
    </w:p>
    <w:p w14:paraId="0D4FA235" w14:textId="77777777" w:rsidR="000E4449" w:rsidRPr="002857F4" w:rsidRDefault="000E4449" w:rsidP="000E4449"/>
    <w:p w14:paraId="256E1904" w14:textId="77777777" w:rsidR="00AE7C27" w:rsidRPr="002857F4" w:rsidRDefault="00AE7C27" w:rsidP="000E4449">
      <w:r w:rsidRPr="002857F4">
        <w:t>The group is expected to provide recommendations by mid-2026.</w:t>
      </w:r>
    </w:p>
    <w:p w14:paraId="0BC276C3" w14:textId="77777777" w:rsidR="00AE7C27" w:rsidRPr="000E4449" w:rsidRDefault="00AE7C27" w:rsidP="000E4449">
      <w:pPr>
        <w:pStyle w:val="Heading2"/>
      </w:pPr>
      <w:bookmarkStart w:id="75" w:name="_Toc216264617"/>
      <w:bookmarkStart w:id="76" w:name="_Toc216591263"/>
      <w:bookmarkStart w:id="77" w:name="_Toc216775119"/>
      <w:r w:rsidRPr="000E4449">
        <w:t>Youth vaping rates</w:t>
      </w:r>
      <w:bookmarkEnd w:id="75"/>
      <w:bookmarkEnd w:id="76"/>
      <w:bookmarkEnd w:id="77"/>
      <w:r w:rsidRPr="000E4449">
        <w:t xml:space="preserve"> </w:t>
      </w:r>
    </w:p>
    <w:p w14:paraId="3E52D52E" w14:textId="77777777" w:rsidR="00AE7C27" w:rsidRDefault="00AE7C27" w:rsidP="000E4449">
      <w:r w:rsidRPr="002857F4">
        <w:t xml:space="preserve">Vaping was a key </w:t>
      </w:r>
      <w:r>
        <w:t>issue that</w:t>
      </w:r>
      <w:r w:rsidRPr="002857F4">
        <w:t xml:space="preserve"> </w:t>
      </w:r>
      <w:r>
        <w:t xml:space="preserve">communities </w:t>
      </w:r>
      <w:r w:rsidRPr="002857F4">
        <w:t xml:space="preserve">raised </w:t>
      </w:r>
      <w:r>
        <w:t xml:space="preserve">at </w:t>
      </w:r>
      <w:r w:rsidRPr="002857F4">
        <w:t>the roadshows</w:t>
      </w:r>
      <w:r>
        <w:t xml:space="preserve"> (</w:t>
      </w:r>
      <w:proofErr w:type="spellStart"/>
      <w:r w:rsidRPr="000F0733">
        <w:t>eg</w:t>
      </w:r>
      <w:proofErr w:type="spellEnd"/>
      <w:r w:rsidRPr="000F0733">
        <w:t xml:space="preserve">, </w:t>
      </w:r>
      <w:proofErr w:type="spellStart"/>
      <w:r w:rsidRPr="000F0733">
        <w:t>Te</w:t>
      </w:r>
      <w:proofErr w:type="spellEnd"/>
      <w:r w:rsidRPr="000F0733">
        <w:t> </w:t>
      </w:r>
      <w:proofErr w:type="spellStart"/>
      <w:r w:rsidRPr="000F0733">
        <w:t>Kūiti</w:t>
      </w:r>
      <w:proofErr w:type="spellEnd"/>
      <w:r w:rsidRPr="000F0733">
        <w:t xml:space="preserve"> and Levin)</w:t>
      </w:r>
      <w:r>
        <w:t>.</w:t>
      </w:r>
      <w:r w:rsidRPr="002857F4">
        <w:t xml:space="preserve"> </w:t>
      </w:r>
      <w:r>
        <w:t>Many of their</w:t>
      </w:r>
      <w:r w:rsidRPr="002857F4">
        <w:t xml:space="preserve"> concerns </w:t>
      </w:r>
      <w:r>
        <w:t>related to</w:t>
      </w:r>
      <w:r w:rsidRPr="002857F4">
        <w:t xml:space="preserve"> prevention, specifically with youth. </w:t>
      </w:r>
    </w:p>
    <w:p w14:paraId="4DB40136" w14:textId="77777777" w:rsidR="000E4449" w:rsidRPr="002857F4" w:rsidRDefault="000E4449" w:rsidP="000E4449"/>
    <w:p w14:paraId="0AC92459" w14:textId="77777777" w:rsidR="00AE7C27" w:rsidRDefault="00AE7C27" w:rsidP="000E4449">
      <w:r w:rsidRPr="002857F4">
        <w:t>The 202</w:t>
      </w:r>
      <w:r>
        <w:t>5</w:t>
      </w:r>
      <w:r w:rsidRPr="002857F4">
        <w:t xml:space="preserve"> ASH Year 10 Survey, which gathered responses from more than 30,000 students, found that regular vaping among </w:t>
      </w:r>
      <w:r>
        <w:t xml:space="preserve">those aged </w:t>
      </w:r>
      <w:r w:rsidRPr="002857F4">
        <w:t>14–15</w:t>
      </w:r>
      <w:r>
        <w:t xml:space="preserve"> </w:t>
      </w:r>
      <w:r w:rsidRPr="002857F4">
        <w:t>year</w:t>
      </w:r>
      <w:r>
        <w:t>s</w:t>
      </w:r>
      <w:r w:rsidRPr="002857F4">
        <w:t xml:space="preserve"> has continued to fall for the </w:t>
      </w:r>
      <w:r>
        <w:t>fourth</w:t>
      </w:r>
      <w:r w:rsidRPr="002857F4">
        <w:t xml:space="preserve"> consecutive year, dropping to </w:t>
      </w:r>
      <w:r w:rsidRPr="00AD5249">
        <w:t xml:space="preserve">11.2% </w:t>
      </w:r>
      <w:r w:rsidRPr="002857F4">
        <w:t>from a peak of 20.2</w:t>
      </w:r>
      <w:r>
        <w:t>%</w:t>
      </w:r>
      <w:r w:rsidRPr="002857F4">
        <w:t xml:space="preserve"> in 2021.</w:t>
      </w:r>
      <w:r>
        <w:t xml:space="preserve"> </w:t>
      </w:r>
      <w:r w:rsidRPr="002857F4">
        <w:t xml:space="preserve">Daily vaping also decreased to </w:t>
      </w:r>
      <w:r>
        <w:t>7.1%</w:t>
      </w:r>
      <w:r w:rsidRPr="002857F4">
        <w:t xml:space="preserve"> </w:t>
      </w:r>
      <w:r>
        <w:t>from 8.7% in 2024</w:t>
      </w:r>
      <w:r w:rsidRPr="002857F4">
        <w:t>. However, rates remain concerning for some groups</w:t>
      </w:r>
      <w:r>
        <w:t xml:space="preserve">, including </w:t>
      </w:r>
      <w:r w:rsidRPr="002857F4">
        <w:t xml:space="preserve">Māori students </w:t>
      </w:r>
      <w:r>
        <w:t xml:space="preserve">at 16.5% (a decrease from 20.9% in 2024) and Pacific students at 9.4% (a decrease from 11.6% in 2024). </w:t>
      </w:r>
    </w:p>
    <w:p w14:paraId="3629B24D" w14:textId="77777777" w:rsidR="000E4449" w:rsidRPr="002857F4" w:rsidRDefault="000E4449" w:rsidP="000E4449"/>
    <w:p w14:paraId="61842D9E" w14:textId="77777777" w:rsidR="00AE7C27" w:rsidRDefault="00AE7C27" w:rsidP="000E4449">
      <w:r w:rsidRPr="00334D11">
        <w:t>Insights on vaping from the roadshow are valuable and reflect community concerns across the country.</w:t>
      </w:r>
    </w:p>
    <w:p w14:paraId="2FE08ABA" w14:textId="77777777" w:rsidR="000E4449" w:rsidRPr="00334D11" w:rsidRDefault="000E4449" w:rsidP="000E4449"/>
    <w:p w14:paraId="26D6E496" w14:textId="77777777" w:rsidR="00AE7C27" w:rsidRDefault="00AE7C27" w:rsidP="000E4449">
      <w:r>
        <w:t>Data collection for vaping rates</w:t>
      </w:r>
      <w:r w:rsidRPr="002857F4">
        <w:t xml:space="preserve"> </w:t>
      </w:r>
      <w:r>
        <w:t xml:space="preserve">does not distinguish between respondents based on </w:t>
      </w:r>
      <w:r w:rsidRPr="002857F4">
        <w:t>rurality</w:t>
      </w:r>
      <w:r>
        <w:t>.</w:t>
      </w:r>
      <w:r w:rsidRPr="002857F4">
        <w:t xml:space="preserve"> </w:t>
      </w:r>
      <w:r>
        <w:t xml:space="preserve">Rural vaping rates </w:t>
      </w:r>
      <w:r w:rsidRPr="002857F4">
        <w:t>may not reflect national or even regional averages.</w:t>
      </w:r>
    </w:p>
    <w:p w14:paraId="5444C294" w14:textId="77777777" w:rsidR="000E4449" w:rsidRPr="002857F4" w:rsidRDefault="000E4449" w:rsidP="000E4449"/>
    <w:p w14:paraId="1D0C0E55" w14:textId="6CE98F3D" w:rsidR="00AE7C27" w:rsidRPr="002857F4" w:rsidRDefault="00AE7C27" w:rsidP="000E4449">
      <w:r w:rsidRPr="002857F4">
        <w:t>The Government has introduced a number of measures to tackle youth vaping. The Smokefree Environments and Regulated Products Amendment Act 2024 amended the Smokefree Environments and Regulated Products Act 1990 to:</w:t>
      </w:r>
    </w:p>
    <w:p w14:paraId="728EA36D" w14:textId="57291171" w:rsidR="00AE7C27" w:rsidRPr="000E4449" w:rsidRDefault="00AE7C27" w:rsidP="000E4449">
      <w:pPr>
        <w:pStyle w:val="Bullet"/>
      </w:pPr>
      <w:r w:rsidRPr="000E4449">
        <w:lastRenderedPageBreak/>
        <w:t>increase fines for those who sell vapes and other products (</w:t>
      </w:r>
      <w:proofErr w:type="spellStart"/>
      <w:r w:rsidRPr="000E4449">
        <w:t>eg</w:t>
      </w:r>
      <w:proofErr w:type="spellEnd"/>
      <w:r w:rsidRPr="000E4449">
        <w:t xml:space="preserve">, cigarettes) to minors </w:t>
      </w:r>
    </w:p>
    <w:p w14:paraId="6520708D" w14:textId="77777777" w:rsidR="00AE7C27" w:rsidRPr="000E4449" w:rsidRDefault="00AE7C27" w:rsidP="000E4449">
      <w:pPr>
        <w:pStyle w:val="Bullet"/>
      </w:pPr>
      <w:r w:rsidRPr="000E4449">
        <w:t>restrict new specialist vape shops from opening within 100 metres of an early childhood centre</w:t>
      </w:r>
    </w:p>
    <w:p w14:paraId="288AB70D" w14:textId="77777777" w:rsidR="00AE7C27" w:rsidRPr="000E4449" w:rsidRDefault="00AE7C27" w:rsidP="000E4449">
      <w:pPr>
        <w:pStyle w:val="Bullet"/>
      </w:pPr>
      <w:r w:rsidRPr="000E4449">
        <w:t>restrict the visibility of vapes so they are out of the general public’s sight​</w:t>
      </w:r>
    </w:p>
    <w:p w14:paraId="6C9D41CA" w14:textId="5D8F06AC" w:rsidR="00AE7C27" w:rsidRPr="000E4449" w:rsidRDefault="00AE7C27" w:rsidP="000E4449">
      <w:pPr>
        <w:pStyle w:val="Bullet"/>
      </w:pPr>
      <w:r w:rsidRPr="000E4449">
        <w:t>ban disposable vapes.</w:t>
      </w:r>
    </w:p>
    <w:p w14:paraId="6B6C3A24" w14:textId="77777777" w:rsidR="000E4449" w:rsidRDefault="000E4449" w:rsidP="000E4449"/>
    <w:p w14:paraId="67F1DAF1" w14:textId="31FF5843" w:rsidR="00AE7C27" w:rsidRDefault="00AE7C27" w:rsidP="000E4449">
      <w:r w:rsidRPr="002857F4">
        <w:t>The proximity changes and increased penalties came into force on 18 December 2024 and the ban on disposable vapes and retail visibility came into force on 17 June 2025.</w:t>
      </w:r>
    </w:p>
    <w:p w14:paraId="4354FD8B" w14:textId="77777777" w:rsidR="000E4449" w:rsidRPr="002857F4" w:rsidRDefault="000E4449" w:rsidP="000E4449"/>
    <w:p w14:paraId="4469336E" w14:textId="77777777" w:rsidR="00AE7C27" w:rsidRPr="00D96BE2" w:rsidRDefault="00AE7C27" w:rsidP="000E4449">
      <w:r w:rsidRPr="002857F4">
        <w:t xml:space="preserve">These changes are part of the Government’s plan to reduce youth vaping. </w:t>
      </w:r>
      <w:r>
        <w:t>The Government continues</w:t>
      </w:r>
      <w:r w:rsidRPr="002857F4">
        <w:t xml:space="preserve"> to focus on</w:t>
      </w:r>
      <w:r>
        <w:t xml:space="preserve"> achieving a</w:t>
      </w:r>
      <w:r w:rsidRPr="002857F4">
        <w:t xml:space="preserve"> balance between making smoking cessation tools like vapes available for smokers, </w:t>
      </w:r>
      <w:r>
        <w:t>on the one hand, and</w:t>
      </w:r>
      <w:r w:rsidRPr="002857F4">
        <w:t xml:space="preserve"> cracking down on youth vaping</w:t>
      </w:r>
      <w:r>
        <w:t>, on the other</w:t>
      </w:r>
      <w:r w:rsidRPr="002857F4">
        <w:t>.</w:t>
      </w:r>
    </w:p>
    <w:p w14:paraId="12E6E1AC" w14:textId="77777777" w:rsidR="00AE7C27" w:rsidRPr="000E4449" w:rsidRDefault="00AE7C27" w:rsidP="000E4449">
      <w:pPr>
        <w:pStyle w:val="Heading2"/>
      </w:pPr>
      <w:bookmarkStart w:id="78" w:name="_Toc216264618"/>
      <w:bookmarkStart w:id="79" w:name="_Toc216591264"/>
      <w:bookmarkStart w:id="80" w:name="_Toc216775120"/>
      <w:r w:rsidRPr="000E4449">
        <w:t>Telehealth and digital health</w:t>
      </w:r>
      <w:bookmarkEnd w:id="78"/>
      <w:bookmarkEnd w:id="79"/>
      <w:bookmarkEnd w:id="80"/>
      <w:r w:rsidRPr="000E4449">
        <w:t xml:space="preserve"> </w:t>
      </w:r>
    </w:p>
    <w:p w14:paraId="3E6C4DBD" w14:textId="77777777" w:rsidR="00AE7C27" w:rsidRPr="002857F4" w:rsidRDefault="00AE7C27" w:rsidP="000E4449">
      <w:pPr>
        <w:rPr>
          <w:lang w:eastAsia="en-NZ"/>
        </w:rPr>
      </w:pPr>
      <w:r w:rsidRPr="002857F4">
        <w:rPr>
          <w:lang w:eastAsia="en-NZ"/>
        </w:rPr>
        <w:t>Telehealth is helping people in rural areas get access to health</w:t>
      </w:r>
      <w:r>
        <w:rPr>
          <w:lang w:eastAsia="en-NZ"/>
        </w:rPr>
        <w:t xml:space="preserve"> </w:t>
      </w:r>
      <w:r w:rsidRPr="002857F4">
        <w:rPr>
          <w:lang w:eastAsia="en-NZ"/>
        </w:rPr>
        <w:t xml:space="preserve">care services when and where they need it. </w:t>
      </w:r>
      <w:r>
        <w:rPr>
          <w:lang w:eastAsia="en-NZ"/>
        </w:rPr>
        <w:t>Similarly, by using d</w:t>
      </w:r>
      <w:r w:rsidRPr="002857F4">
        <w:rPr>
          <w:lang w:eastAsia="en-NZ"/>
        </w:rPr>
        <w:t>igital services</w:t>
      </w:r>
      <w:r>
        <w:rPr>
          <w:lang w:eastAsia="en-NZ"/>
        </w:rPr>
        <w:t xml:space="preserve">, </w:t>
      </w:r>
      <w:r w:rsidRPr="002857F4">
        <w:rPr>
          <w:lang w:eastAsia="en-NZ"/>
        </w:rPr>
        <w:t>people can access clinical advice and care with</w:t>
      </w:r>
      <w:r>
        <w:rPr>
          <w:lang w:eastAsia="en-NZ"/>
        </w:rPr>
        <w:t xml:space="preserve"> no need to</w:t>
      </w:r>
      <w:r w:rsidRPr="002857F4">
        <w:rPr>
          <w:lang w:eastAsia="en-NZ"/>
        </w:rPr>
        <w:t xml:space="preserve"> travel </w:t>
      </w:r>
      <w:r>
        <w:rPr>
          <w:lang w:eastAsia="en-NZ"/>
        </w:rPr>
        <w:t xml:space="preserve">long distances </w:t>
      </w:r>
      <w:r w:rsidRPr="002857F4">
        <w:rPr>
          <w:lang w:eastAsia="en-NZ"/>
        </w:rPr>
        <w:t>or</w:t>
      </w:r>
      <w:r>
        <w:rPr>
          <w:lang w:eastAsia="en-NZ"/>
        </w:rPr>
        <w:t xml:space="preserve"> to</w:t>
      </w:r>
      <w:r w:rsidRPr="002857F4">
        <w:rPr>
          <w:lang w:eastAsia="en-NZ"/>
        </w:rPr>
        <w:t xml:space="preserve"> wait for local clinics to open.</w:t>
      </w:r>
      <w:r>
        <w:rPr>
          <w:lang w:eastAsia="en-NZ"/>
        </w:rPr>
        <w:t xml:space="preserve"> The following are three major telehealth and digital services available.</w:t>
      </w:r>
    </w:p>
    <w:p w14:paraId="5BEF25B9" w14:textId="77777777" w:rsidR="00AE7C27" w:rsidRPr="002857F4" w:rsidRDefault="00AE7C27" w:rsidP="00AE7C27">
      <w:pPr>
        <w:pStyle w:val="Bullet"/>
        <w:tabs>
          <w:tab w:val="num" w:pos="284"/>
        </w:tabs>
      </w:pPr>
      <w:r w:rsidRPr="00C16A7F">
        <w:rPr>
          <w:b/>
          <w:bCs/>
        </w:rPr>
        <w:t>Healthline</w:t>
      </w:r>
      <w:r w:rsidRPr="002857F4">
        <w:t xml:space="preserve"> </w:t>
      </w:r>
      <w:r>
        <w:t>is a</w:t>
      </w:r>
      <w:r w:rsidRPr="002857F4">
        <w:t xml:space="preserve"> free, 24/7 phone service offering clinical advice and triage support for everyone in New Zealand.</w:t>
      </w:r>
    </w:p>
    <w:p w14:paraId="008710CA" w14:textId="77777777" w:rsidR="00AE7C27" w:rsidRPr="002857F4" w:rsidRDefault="00AE7C27" w:rsidP="00AE7C27">
      <w:pPr>
        <w:pStyle w:val="Bullet"/>
        <w:tabs>
          <w:tab w:val="num" w:pos="284"/>
        </w:tabs>
      </w:pPr>
      <w:r w:rsidRPr="00C16A7F">
        <w:rPr>
          <w:b/>
          <w:bCs/>
        </w:rPr>
        <w:t>Ka Ora Telecare</w:t>
      </w:r>
      <w:r>
        <w:t xml:space="preserve"> is a</w:t>
      </w:r>
      <w:r w:rsidRPr="002857F4">
        <w:t>n after-hours online health service for people living in or visiting rural communities. It provides phone and video consultations 24/7 on weekends and public holidays, and overnight on weekdays (5</w:t>
      </w:r>
      <w:r>
        <w:t xml:space="preserve"> </w:t>
      </w:r>
      <w:r w:rsidRPr="002857F4">
        <w:t>pm</w:t>
      </w:r>
      <w:r>
        <w:t xml:space="preserve"> </w:t>
      </w:r>
      <w:r w:rsidRPr="002857F4">
        <w:t>–</w:t>
      </w:r>
      <w:r>
        <w:t xml:space="preserve"> </w:t>
      </w:r>
      <w:r w:rsidRPr="002857F4">
        <w:t>8</w:t>
      </w:r>
      <w:r>
        <w:t>.</w:t>
      </w:r>
      <w:r w:rsidRPr="002857F4">
        <w:t>30</w:t>
      </w:r>
      <w:r>
        <w:t xml:space="preserve"> </w:t>
      </w:r>
      <w:r w:rsidRPr="002857F4">
        <w:t>am).</w:t>
      </w:r>
    </w:p>
    <w:p w14:paraId="589BBC0B" w14:textId="77777777" w:rsidR="00AE7C27" w:rsidRPr="002857F4" w:rsidRDefault="00AE7C27" w:rsidP="00AE7C27">
      <w:pPr>
        <w:pStyle w:val="Bullet"/>
        <w:tabs>
          <w:tab w:val="num" w:pos="284"/>
        </w:tabs>
      </w:pPr>
      <w:r w:rsidRPr="00C16A7F">
        <w:rPr>
          <w:b/>
          <w:bCs/>
        </w:rPr>
        <w:t>Online GP Care</w:t>
      </w:r>
      <w:r w:rsidRPr="002857F4">
        <w:t xml:space="preserve"> </w:t>
      </w:r>
      <w:r>
        <w:t>is a</w:t>
      </w:r>
      <w:r w:rsidRPr="002857F4">
        <w:t xml:space="preserve"> 24/7 service giving access to registered doctors and nurses </w:t>
      </w:r>
      <w:proofErr w:type="spellStart"/>
      <w:r w:rsidRPr="002857F4">
        <w:t>any</w:t>
      </w:r>
      <w:r>
        <w:t xml:space="preserve"> </w:t>
      </w:r>
      <w:r w:rsidRPr="002857F4">
        <w:t>time</w:t>
      </w:r>
      <w:proofErr w:type="spellEnd"/>
      <w:r w:rsidRPr="002857F4">
        <w:t xml:space="preserve">, anywhere. This is especially helpful when local clinics are </w:t>
      </w:r>
      <w:proofErr w:type="gramStart"/>
      <w:r w:rsidRPr="002857F4">
        <w:t>closed</w:t>
      </w:r>
      <w:proofErr w:type="gramEnd"/>
      <w:r w:rsidRPr="002857F4">
        <w:t xml:space="preserve"> or appointments are not available.</w:t>
      </w:r>
    </w:p>
    <w:p w14:paraId="5C4EC61B" w14:textId="77777777" w:rsidR="000E4449" w:rsidRDefault="000E4449" w:rsidP="000E4449">
      <w:pPr>
        <w:rPr>
          <w:lang w:eastAsia="en-NZ"/>
        </w:rPr>
      </w:pPr>
    </w:p>
    <w:p w14:paraId="6989E7B5" w14:textId="7A3848D3" w:rsidR="00AE7C27" w:rsidRPr="002857F4" w:rsidRDefault="00AE7C27" w:rsidP="000E4449">
      <w:pPr>
        <w:rPr>
          <w:lang w:eastAsia="en-NZ"/>
        </w:rPr>
      </w:pPr>
      <w:r w:rsidRPr="002857F4">
        <w:rPr>
          <w:lang w:eastAsia="en-NZ"/>
        </w:rPr>
        <w:t>These services do not replace local care</w:t>
      </w:r>
      <w:r>
        <w:rPr>
          <w:lang w:eastAsia="en-NZ"/>
        </w:rPr>
        <w:t>. Instead,</w:t>
      </w:r>
      <w:r w:rsidRPr="002857F4">
        <w:rPr>
          <w:lang w:eastAsia="en-NZ"/>
        </w:rPr>
        <w:t xml:space="preserve"> they fill gaps, reduce travel and make sure people can get help when they need it. Telehealth is an important step toward improving access and equity for rural communities.</w:t>
      </w:r>
    </w:p>
    <w:p w14:paraId="6A8AFDC4" w14:textId="5CA53411" w:rsidR="00AE7C27" w:rsidRPr="000E4449" w:rsidRDefault="00AE7C27" w:rsidP="000E4449">
      <w:pPr>
        <w:pStyle w:val="Heading2"/>
      </w:pPr>
      <w:bookmarkStart w:id="81" w:name="_Toc216264619"/>
      <w:bookmarkStart w:id="82" w:name="_Toc216591265"/>
      <w:bookmarkStart w:id="83" w:name="_Toc216775121"/>
      <w:r w:rsidRPr="000E4449">
        <w:t>Digital connectivity</w:t>
      </w:r>
      <w:bookmarkEnd w:id="81"/>
      <w:bookmarkEnd w:id="82"/>
      <w:bookmarkEnd w:id="83"/>
    </w:p>
    <w:p w14:paraId="7136416F" w14:textId="77777777" w:rsidR="00AE7C27" w:rsidRPr="002857F4" w:rsidRDefault="00AE7C27" w:rsidP="000E4449">
      <w:r w:rsidRPr="00057CAD">
        <w:t>Health NZ is exploring options to address connectivity barriers</w:t>
      </w:r>
      <w:r>
        <w:t>. One potential option is to</w:t>
      </w:r>
      <w:r w:rsidRPr="00057CAD">
        <w:t xml:space="preserve"> </w:t>
      </w:r>
      <w:r>
        <w:t>locate</w:t>
      </w:r>
      <w:r w:rsidRPr="00057CAD">
        <w:t xml:space="preserve"> community hubs in pharmacies, urgent care clinics or other local settings where people can access digital health services if they lack devices or internet</w:t>
      </w:r>
      <w:r>
        <w:t xml:space="preserve"> access</w:t>
      </w:r>
      <w:r w:rsidRPr="00057CAD">
        <w:t xml:space="preserve"> at home.</w:t>
      </w:r>
    </w:p>
    <w:p w14:paraId="49793B7B" w14:textId="108F5CFE" w:rsidR="00AE7C27" w:rsidRPr="000E4449" w:rsidRDefault="00AE7C27" w:rsidP="000E4449">
      <w:pPr>
        <w:pStyle w:val="Heading2"/>
      </w:pPr>
      <w:bookmarkStart w:id="84" w:name="_Toc216264620"/>
      <w:bookmarkStart w:id="85" w:name="_Toc216591266"/>
      <w:bookmarkStart w:id="86" w:name="_Toc216775122"/>
      <w:r w:rsidRPr="000E4449">
        <w:t>Community pharmacy</w:t>
      </w:r>
      <w:bookmarkEnd w:id="84"/>
      <w:bookmarkEnd w:id="85"/>
      <w:bookmarkEnd w:id="86"/>
    </w:p>
    <w:p w14:paraId="4AEBB6C6" w14:textId="77777777" w:rsidR="00AE7C27" w:rsidRPr="002857F4" w:rsidRDefault="00AE7C27" w:rsidP="000E4449">
      <w:pPr>
        <w:rPr>
          <w:lang w:eastAsia="en-NZ"/>
        </w:rPr>
      </w:pPr>
      <w:r>
        <w:rPr>
          <w:lang w:eastAsia="en-NZ"/>
        </w:rPr>
        <w:t>Health NZ regional teams are focused on</w:t>
      </w:r>
      <w:r w:rsidRPr="002857F4">
        <w:rPr>
          <w:lang w:eastAsia="en-NZ"/>
        </w:rPr>
        <w:t xml:space="preserve"> ensuring that rural communities have access to adequate and resilient pharmacy services. This includes monitoring the availability </w:t>
      </w:r>
      <w:r w:rsidRPr="002857F4">
        <w:rPr>
          <w:lang w:eastAsia="en-NZ"/>
        </w:rPr>
        <w:lastRenderedPageBreak/>
        <w:t>and sustainability of services provided by locally based pharmacies, as well as those delivered through alternative models such as distant pharmacies offering local delivery or depot arrangements. The focus is on maintaining continuity of care, safeguarding medicine supply chains and supporting equitable access for rural populations.</w:t>
      </w:r>
    </w:p>
    <w:p w14:paraId="320485FA" w14:textId="77777777" w:rsidR="00AE7C27" w:rsidRDefault="00AE7C27" w:rsidP="00E30985"/>
    <w:p w14:paraId="72948CD4" w14:textId="77777777" w:rsidR="000E4449" w:rsidRDefault="000E4449" w:rsidP="00E30985">
      <w:pPr>
        <w:sectPr w:rsidR="000E4449" w:rsidSect="00AE7C27">
          <w:pgSz w:w="11907" w:h="16834" w:code="9"/>
          <w:pgMar w:top="1418" w:right="1701" w:bottom="1134" w:left="1843" w:header="284" w:footer="425" w:gutter="284"/>
          <w:cols w:space="720"/>
        </w:sectPr>
      </w:pPr>
    </w:p>
    <w:p w14:paraId="5498BFD4" w14:textId="77777777" w:rsidR="000E4449" w:rsidRPr="002C1C10" w:rsidRDefault="000E4449" w:rsidP="000E4449">
      <w:pPr>
        <w:pStyle w:val="Heading1"/>
        <w:spacing w:before="0"/>
        <w:rPr>
          <w:rFonts w:eastAsia="Segoe UI" w:cs="Segoe UI"/>
          <w:b w:val="0"/>
          <w:bCs/>
          <w:color w:val="000000" w:themeColor="text1"/>
        </w:rPr>
      </w:pPr>
      <w:bookmarkStart w:id="87" w:name="_Toc216264621"/>
      <w:bookmarkStart w:id="88" w:name="_Toc216591267"/>
      <w:bookmarkStart w:id="89" w:name="_Toc216775123"/>
      <w:r w:rsidRPr="002857F4">
        <w:rPr>
          <w:rFonts w:eastAsia="Segoe UI" w:cs="Segoe UI"/>
        </w:rPr>
        <w:lastRenderedPageBreak/>
        <w:t xml:space="preserve">Appendix One: </w:t>
      </w:r>
      <w:r w:rsidRPr="0097558E">
        <w:t xml:space="preserve">Case </w:t>
      </w:r>
      <w:r>
        <w:t>s</w:t>
      </w:r>
      <w:r w:rsidRPr="0097558E">
        <w:t>tudy</w:t>
      </w:r>
      <w:r>
        <w:t>:</w:t>
      </w:r>
      <w:r w:rsidRPr="002C1C10">
        <w:rPr>
          <w:rFonts w:eastAsia="Segoe UI" w:cs="Segoe UI"/>
          <w:bCs/>
          <w:color w:val="000000" w:themeColor="text1"/>
        </w:rPr>
        <w:t xml:space="preserve"> </w:t>
      </w:r>
      <w:r w:rsidRPr="002857F4">
        <w:t xml:space="preserve">Aligning work at </w:t>
      </w:r>
      <w:proofErr w:type="spellStart"/>
      <w:r w:rsidRPr="002857F4">
        <w:t>Te</w:t>
      </w:r>
      <w:proofErr w:type="spellEnd"/>
      <w:r w:rsidRPr="002857F4">
        <w:t xml:space="preserve"> Aho o </w:t>
      </w:r>
      <w:proofErr w:type="spellStart"/>
      <w:r w:rsidRPr="002857F4">
        <w:t>Te</w:t>
      </w:r>
      <w:proofErr w:type="spellEnd"/>
      <w:r w:rsidRPr="002857F4">
        <w:t xml:space="preserve"> Kahu </w:t>
      </w:r>
      <w:r>
        <w:t>–</w:t>
      </w:r>
      <w:r w:rsidRPr="002857F4">
        <w:t xml:space="preserve"> Cancer Control Agency</w:t>
      </w:r>
      <w:bookmarkEnd w:id="87"/>
      <w:bookmarkEnd w:id="88"/>
      <w:bookmarkEnd w:id="89"/>
      <w:r w:rsidRPr="002C1C10">
        <w:rPr>
          <w:rFonts w:eastAsia="Segoe UI" w:cs="Segoe UI"/>
          <w:bCs/>
          <w:color w:val="000000" w:themeColor="text1"/>
        </w:rPr>
        <w:t xml:space="preserve"> </w:t>
      </w:r>
    </w:p>
    <w:p w14:paraId="030407A1" w14:textId="77777777" w:rsidR="000E4449" w:rsidRPr="002857F4" w:rsidRDefault="000E4449" w:rsidP="000E4449">
      <w:pPr>
        <w:pStyle w:val="Heading3"/>
        <w:rPr>
          <w:b/>
          <w:bCs/>
          <w:i/>
          <w:iCs/>
          <w:color w:val="000000" w:themeColor="text1"/>
        </w:rPr>
      </w:pPr>
      <w:r w:rsidRPr="00A03F84">
        <w:t xml:space="preserve">Supporting </w:t>
      </w:r>
      <w:r>
        <w:t>implementation of</w:t>
      </w:r>
      <w:r w:rsidRPr="00931903">
        <w:t xml:space="preserve"> new cancer medicines and models of care </w:t>
      </w:r>
    </w:p>
    <w:p w14:paraId="4CA55646" w14:textId="77777777" w:rsidR="000E4449" w:rsidRDefault="000E4449" w:rsidP="000E4449">
      <w:r w:rsidRPr="002857F4">
        <w:t>Over the last five years</w:t>
      </w:r>
      <w:r>
        <w:t>,</w:t>
      </w:r>
      <w:r w:rsidRPr="002857F4">
        <w:t xml:space="preserve"> substantial work and investment </w:t>
      </w:r>
      <w:r>
        <w:t>have gone in</w:t>
      </w:r>
      <w:r w:rsidRPr="002857F4">
        <w:t>to improv</w:t>
      </w:r>
      <w:r>
        <w:t>ing</w:t>
      </w:r>
      <w:r w:rsidRPr="002857F4">
        <w:t xml:space="preserve"> access to systemic anti-cancer therapy (SACT). SACT includes chemotherapy, hormonal therapy, immunotherapy and targeted therapies. These therapies can </w:t>
      </w:r>
      <w:r>
        <w:t>cure cancer</w:t>
      </w:r>
      <w:r w:rsidRPr="002857F4">
        <w:t xml:space="preserve"> or prolong</w:t>
      </w:r>
      <w:r>
        <w:t xml:space="preserve"> life</w:t>
      </w:r>
      <w:r w:rsidRPr="002857F4">
        <w:t xml:space="preserve"> and are a critical part of cancer care.</w:t>
      </w:r>
    </w:p>
    <w:p w14:paraId="61720F89" w14:textId="77777777" w:rsidR="000E4449" w:rsidRPr="002857F4" w:rsidRDefault="000E4449" w:rsidP="000E4449"/>
    <w:p w14:paraId="7DEB8A67" w14:textId="77777777" w:rsidR="000E4449" w:rsidRDefault="000E4449" w:rsidP="000E4449">
      <w:r w:rsidRPr="00EA23BE">
        <w:t>Work is now under</w:t>
      </w:r>
      <w:r>
        <w:t xml:space="preserve"> </w:t>
      </w:r>
      <w:r w:rsidRPr="00EA23BE">
        <w:t xml:space="preserve">way to integrate delivery of the newly funded cancer medicines and implement the SACT Model of Care in New Zealand. This includes moving some SACT treatments into the community and closer to where people live. </w:t>
      </w:r>
    </w:p>
    <w:p w14:paraId="55BDDA26" w14:textId="77777777" w:rsidR="000E4449" w:rsidRPr="00EA23BE" w:rsidRDefault="000E4449" w:rsidP="000E4449"/>
    <w:p w14:paraId="5029937E" w14:textId="77777777" w:rsidR="000E4449" w:rsidRPr="002857F4" w:rsidRDefault="000E4449" w:rsidP="000E4449">
      <w:r w:rsidRPr="002857F4">
        <w:t>Several new SACT sites have opened in the last few years, including infusion services in Taupō, Wairoa, the Bay of Islands and Whanganui. These services successfully balance providing patients with care and treatment closer to home, with having the required workforce and physical facilities to safely deliver care.</w:t>
      </w:r>
    </w:p>
    <w:p w14:paraId="660C2F33" w14:textId="77777777" w:rsidR="000E4449" w:rsidRPr="00931903" w:rsidRDefault="000E4449" w:rsidP="000E4449">
      <w:pPr>
        <w:pStyle w:val="Heading3"/>
        <w:rPr>
          <w:rFonts w:eastAsiaTheme="majorEastAsia"/>
        </w:rPr>
      </w:pPr>
      <w:r w:rsidRPr="00931903">
        <w:rPr>
          <w:rFonts w:eastAsiaTheme="majorEastAsia"/>
        </w:rPr>
        <w:t xml:space="preserve">Using </w:t>
      </w:r>
      <w:r>
        <w:rPr>
          <w:rFonts w:eastAsiaTheme="majorEastAsia"/>
        </w:rPr>
        <w:t>the</w:t>
      </w:r>
      <w:r w:rsidRPr="00931903">
        <w:rPr>
          <w:rFonts w:eastAsiaTheme="majorEastAsia"/>
        </w:rPr>
        <w:t xml:space="preserve"> Geographic</w:t>
      </w:r>
      <w:r>
        <w:rPr>
          <w:rFonts w:eastAsiaTheme="majorEastAsia"/>
        </w:rPr>
        <w:t>al</w:t>
      </w:r>
      <w:r w:rsidRPr="00931903">
        <w:rPr>
          <w:rFonts w:eastAsiaTheme="majorEastAsia"/>
        </w:rPr>
        <w:t xml:space="preserve"> Classification for Health to look at cancer outcomes for rural communities </w:t>
      </w:r>
    </w:p>
    <w:p w14:paraId="7C7B9CFA" w14:textId="77777777" w:rsidR="000E4449" w:rsidRDefault="000E4449" w:rsidP="000E4449">
      <w:proofErr w:type="spellStart"/>
      <w:r w:rsidRPr="002857F4">
        <w:t>Te</w:t>
      </w:r>
      <w:proofErr w:type="spellEnd"/>
      <w:r w:rsidRPr="002857F4">
        <w:t xml:space="preserve"> Aho o </w:t>
      </w:r>
      <w:proofErr w:type="spellStart"/>
      <w:r w:rsidRPr="002857F4">
        <w:t>Te</w:t>
      </w:r>
      <w:proofErr w:type="spellEnd"/>
      <w:r w:rsidRPr="002857F4">
        <w:t xml:space="preserve"> Kahu </w:t>
      </w:r>
      <w:r>
        <w:t>–</w:t>
      </w:r>
      <w:r w:rsidRPr="002857F4">
        <w:t xml:space="preserve"> Cancer Control </w:t>
      </w:r>
      <w:r w:rsidRPr="00EA23BE">
        <w:t xml:space="preserve">Agency is due to release </w:t>
      </w:r>
      <w:r w:rsidRPr="00D95A67">
        <w:rPr>
          <w:i/>
          <w:iCs/>
        </w:rPr>
        <w:t>The State of Cancer in New Zealand 2025</w:t>
      </w:r>
      <w:r w:rsidRPr="00EA23BE">
        <w:t xml:space="preserve"> in December</w:t>
      </w:r>
      <w:r>
        <w:t xml:space="preserve"> 2025</w:t>
      </w:r>
      <w:r w:rsidRPr="00EA23BE">
        <w:t xml:space="preserve">. </w:t>
      </w:r>
      <w:r>
        <w:t>Each year, this report</w:t>
      </w:r>
      <w:r w:rsidRPr="00EA23BE">
        <w:t xml:space="preserve"> provides detailed insights on cancer trends in this country. For the first time, the 2025 report includes analysis using the </w:t>
      </w:r>
      <w:r>
        <w:t>Geographical Classification for Health (</w:t>
      </w:r>
      <w:r w:rsidRPr="00EA23BE">
        <w:t>GCH</w:t>
      </w:r>
      <w:r>
        <w:t>)</w:t>
      </w:r>
      <w:r w:rsidRPr="00EA23BE">
        <w:t>. This analysis highlighted some emerging evidence on cancer outcomes for rural communities.</w:t>
      </w:r>
    </w:p>
    <w:p w14:paraId="713EFF63" w14:textId="77777777" w:rsidR="000E4449" w:rsidRPr="00EA23BE" w:rsidRDefault="000E4449" w:rsidP="000E4449"/>
    <w:p w14:paraId="2D4220C7" w14:textId="77777777" w:rsidR="000E4449" w:rsidRDefault="000E4449" w:rsidP="000E4449">
      <w:r w:rsidRPr="00EA23BE">
        <w:t xml:space="preserve">While the pattern of cancer incidence (who is diagnosed with cancer) and mortality (who dies due to cancer) for rural communities </w:t>
      </w:r>
      <w:r>
        <w:t>was</w:t>
      </w:r>
      <w:r w:rsidRPr="00EA23BE">
        <w:t xml:space="preserve"> largely similar </w:t>
      </w:r>
      <w:r>
        <w:t>to the pattern</w:t>
      </w:r>
      <w:r w:rsidRPr="00EA23BE">
        <w:t xml:space="preserve"> for the general population, some differences </w:t>
      </w:r>
      <w:r>
        <w:t xml:space="preserve">in </w:t>
      </w:r>
      <w:r w:rsidRPr="00EA23BE">
        <w:t>incidence and mortality between rural and urban populations</w:t>
      </w:r>
      <w:r>
        <w:t xml:space="preserve"> were evident</w:t>
      </w:r>
      <w:r w:rsidRPr="00EA23BE">
        <w:t xml:space="preserve">. The report will show that rural populations experienced a higher incidence of some cancers, such as bowel and lung cancer, </w:t>
      </w:r>
      <w:r>
        <w:t>but</w:t>
      </w:r>
      <w:r w:rsidRPr="00EA23BE">
        <w:t xml:space="preserve"> a lower incidence </w:t>
      </w:r>
      <w:r>
        <w:t>of</w:t>
      </w:r>
      <w:r w:rsidRPr="00EA23BE">
        <w:t xml:space="preserve"> others, such as uterine cancer. </w:t>
      </w:r>
      <w:r>
        <w:t>For some cancers where there were</w:t>
      </w:r>
      <w:r w:rsidRPr="001710AF">
        <w:t xml:space="preserve"> </w:t>
      </w:r>
      <w:r w:rsidRPr="00EA23BE">
        <w:lastRenderedPageBreak/>
        <w:t>rural</w:t>
      </w:r>
      <w:r>
        <w:t>–</w:t>
      </w:r>
      <w:r w:rsidRPr="00EA23BE">
        <w:t>urban</w:t>
      </w:r>
      <w:r>
        <w:t xml:space="preserve"> differences in incidence, the differences appeared to be more marked for</w:t>
      </w:r>
      <w:r w:rsidRPr="00EA23BE">
        <w:t xml:space="preserve"> mortality. </w:t>
      </w:r>
    </w:p>
    <w:p w14:paraId="423D48EC" w14:textId="77777777" w:rsidR="000E4449" w:rsidRPr="00EA23BE" w:rsidRDefault="000E4449" w:rsidP="000E4449"/>
    <w:p w14:paraId="5CF032CE" w14:textId="77777777" w:rsidR="000E4449" w:rsidRPr="002857F4" w:rsidRDefault="000E4449" w:rsidP="000E4449">
      <w:r w:rsidRPr="002857F4">
        <w:t xml:space="preserve">The causes of the differences observed between rural and urban populations are not yet understood and require further exploration. </w:t>
      </w:r>
      <w:r>
        <w:t>A</w:t>
      </w:r>
      <w:r w:rsidRPr="002857F4">
        <w:t xml:space="preserve"> range of factors</w:t>
      </w:r>
      <w:r>
        <w:t xml:space="preserve"> is likely to contribute,</w:t>
      </w:r>
      <w:r w:rsidRPr="002857F4">
        <w:t xml:space="preserve"> including demographic differences between the two groups, but also potentially challenges </w:t>
      </w:r>
      <w:r>
        <w:t>that</w:t>
      </w:r>
      <w:r w:rsidRPr="002857F4">
        <w:t xml:space="preserve"> rural communities </w:t>
      </w:r>
      <w:r>
        <w:t xml:space="preserve">face </w:t>
      </w:r>
      <w:r w:rsidRPr="002857F4">
        <w:t xml:space="preserve">in accessing health and treatment services. </w:t>
      </w:r>
    </w:p>
    <w:p w14:paraId="05D9F1BD" w14:textId="77777777" w:rsidR="000E4449" w:rsidRPr="000E4449" w:rsidRDefault="000E4449" w:rsidP="000E4449">
      <w:pPr>
        <w:pStyle w:val="Heading3"/>
      </w:pPr>
      <w:r w:rsidRPr="000E4449">
        <w:t xml:space="preserve">Investing in cancer navigation services </w:t>
      </w:r>
    </w:p>
    <w:p w14:paraId="151B9E87" w14:textId="77777777" w:rsidR="000E4449" w:rsidRDefault="000E4449" w:rsidP="000E4449">
      <w:r w:rsidRPr="00EA23BE">
        <w:t>Cancer navigators support people to navigate the many pathways of cancer diagnosis and treatment. They also support people to access other parts of the cancer continuum such as prevention, screening, survivorship and</w:t>
      </w:r>
      <w:r>
        <w:t>,</w:t>
      </w:r>
      <w:r w:rsidRPr="00EA23BE">
        <w:t xml:space="preserve"> in some cases</w:t>
      </w:r>
      <w:r>
        <w:t>,</w:t>
      </w:r>
      <w:r w:rsidRPr="00EA23BE">
        <w:t xml:space="preserve"> end</w:t>
      </w:r>
      <w:r>
        <w:t>-</w:t>
      </w:r>
      <w:r w:rsidRPr="00EA23BE">
        <w:t>of</w:t>
      </w:r>
      <w:r>
        <w:t>-</w:t>
      </w:r>
      <w:r w:rsidRPr="00EA23BE">
        <w:t xml:space="preserve">life care. Cancer navigators can improve continuity of care and coverage of chemotherapy, reduce time to surgery and improve the experience of care for patients and whānau. They are particularly beneficial for population groups who experience inequitable cancer outcomes. </w:t>
      </w:r>
    </w:p>
    <w:p w14:paraId="65383ACA" w14:textId="77777777" w:rsidR="000E4449" w:rsidRPr="00EA23BE" w:rsidRDefault="000E4449" w:rsidP="000E4449"/>
    <w:p w14:paraId="5F9D63BA" w14:textId="77777777" w:rsidR="000E4449" w:rsidRDefault="000E4449" w:rsidP="000E4449">
      <w:r w:rsidRPr="00EA23BE">
        <w:t>Cancer navigation can be delivered by both clinical and non-clinical specialists based in a range of settings</w:t>
      </w:r>
      <w:r>
        <w:t>,</w:t>
      </w:r>
      <w:r w:rsidRPr="00EA23BE">
        <w:t xml:space="preserve"> including primary care, hospital and specialist care and </w:t>
      </w:r>
      <w:proofErr w:type="spellStart"/>
      <w:r w:rsidRPr="00EA23BE">
        <w:t>kaupapa</w:t>
      </w:r>
      <w:proofErr w:type="spellEnd"/>
      <w:r w:rsidRPr="00EA23BE">
        <w:t xml:space="preserve"> Māori organisations. </w:t>
      </w:r>
    </w:p>
    <w:p w14:paraId="231A7755" w14:textId="77777777" w:rsidR="000E4449" w:rsidRPr="00EA23BE" w:rsidRDefault="000E4449" w:rsidP="000E4449"/>
    <w:p w14:paraId="3407C9BC" w14:textId="77777777" w:rsidR="000E4449" w:rsidRPr="00F70C8C" w:rsidRDefault="000E4449" w:rsidP="000E4449">
      <w:pPr>
        <w:rPr>
          <w:b/>
        </w:rPr>
      </w:pPr>
      <w:r w:rsidRPr="00EA23BE">
        <w:t xml:space="preserve">While most hospitals have offered in-house navigation services for many years, historically there has been limited Government investment in community-based cancer navigation services. This changed in 2023 when </w:t>
      </w:r>
      <w:proofErr w:type="spellStart"/>
      <w:r w:rsidRPr="00EA23BE">
        <w:t>Te</w:t>
      </w:r>
      <w:proofErr w:type="spellEnd"/>
      <w:r w:rsidRPr="00EA23BE">
        <w:t xml:space="preserve"> Aka </w:t>
      </w:r>
      <w:proofErr w:type="spellStart"/>
      <w:r w:rsidRPr="00EA23BE">
        <w:t>Whai</w:t>
      </w:r>
      <w:proofErr w:type="spellEnd"/>
      <w:r w:rsidRPr="00EA23BE">
        <w:t xml:space="preserve"> Ora </w:t>
      </w:r>
      <w:r>
        <w:t>–</w:t>
      </w:r>
      <w:r w:rsidRPr="00EA23BE">
        <w:t xml:space="preserve"> Māori Health Authority (now the Hauora Māori Services group within Health NZ) invested $6.2 million in community-based cancer navigation services. A further $1.9 million was invested in 2025. </w:t>
      </w:r>
      <w:r w:rsidRPr="002857F4">
        <w:t xml:space="preserve">This allowed 27 </w:t>
      </w:r>
      <w:proofErr w:type="spellStart"/>
      <w:r w:rsidRPr="002857F4">
        <w:t>hauora</w:t>
      </w:r>
      <w:proofErr w:type="spellEnd"/>
      <w:r w:rsidRPr="002857F4">
        <w:t xml:space="preserve"> Māori organisations to establish or scale up these services and support whānau through their cancer treatment every year. </w:t>
      </w:r>
    </w:p>
    <w:p w14:paraId="29D3121B" w14:textId="77777777" w:rsidR="000E4449" w:rsidRPr="007D11A7" w:rsidRDefault="000E4449" w:rsidP="000E4449">
      <w:pPr>
        <w:pStyle w:val="Heading3"/>
      </w:pPr>
      <w:r w:rsidRPr="007D11A7">
        <w:t xml:space="preserve">Additional </w:t>
      </w:r>
      <w:r>
        <w:t>work under way to improve cancer outcomes for rural communities</w:t>
      </w:r>
    </w:p>
    <w:p w14:paraId="216A635D" w14:textId="77777777" w:rsidR="000E4449" w:rsidRPr="00DD2606" w:rsidRDefault="000E4449" w:rsidP="000E4449">
      <w:r>
        <w:t>M</w:t>
      </w:r>
      <w:r w:rsidRPr="00DD2606">
        <w:t>any other pieces of work under</w:t>
      </w:r>
      <w:r>
        <w:t xml:space="preserve"> </w:t>
      </w:r>
      <w:r w:rsidRPr="00DD2606">
        <w:t>way across the health sector could improve cancer outcomes for rural communities. These include:</w:t>
      </w:r>
    </w:p>
    <w:p w14:paraId="09729A31" w14:textId="77777777" w:rsidR="000E4449" w:rsidRPr="000E4449" w:rsidRDefault="000E4449" w:rsidP="000E4449">
      <w:pPr>
        <w:pStyle w:val="Bullet"/>
      </w:pPr>
      <w:r w:rsidRPr="000E4449">
        <w:t>reducing travel barriers through the use of at-home tests in national bowel and cervical cancer screening programmes</w:t>
      </w:r>
    </w:p>
    <w:p w14:paraId="0C91EE25" w14:textId="77777777" w:rsidR="000E4449" w:rsidRPr="000E4449" w:rsidRDefault="000E4449" w:rsidP="000E4449">
      <w:pPr>
        <w:pStyle w:val="Bullet"/>
      </w:pPr>
      <w:r w:rsidRPr="000E4449">
        <w:t>promoting healthy lifestyles to prevent cancer, including through a focus on improved nutrition and exercise, and on reducing alcohol consumption, smoking and exposure to ultraviolet radiation</w:t>
      </w:r>
    </w:p>
    <w:p w14:paraId="5569B896" w14:textId="77777777" w:rsidR="000E4449" w:rsidRPr="000E4449" w:rsidRDefault="000E4449" w:rsidP="000E4449">
      <w:pPr>
        <w:pStyle w:val="Bullet"/>
      </w:pPr>
      <w:r w:rsidRPr="000E4449">
        <w:t>running pilot programmes that support primary care professionals to directly request diagnostics where a patient is suspected of having cancer.</w:t>
      </w:r>
    </w:p>
    <w:p w14:paraId="508FB9C6" w14:textId="77777777" w:rsidR="000E4449" w:rsidRDefault="000E4449" w:rsidP="000E4449"/>
    <w:p w14:paraId="53DB46B5" w14:textId="7581ABDF" w:rsidR="000E4449" w:rsidRPr="001468BF" w:rsidRDefault="000E4449" w:rsidP="000E4449"/>
    <w:p w14:paraId="28235804" w14:textId="34D6AE42" w:rsidR="009A42D5" w:rsidRDefault="009A42D5" w:rsidP="000E4449"/>
    <w:sectPr w:rsidR="009A42D5" w:rsidSect="007C184C">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E3FD" w14:textId="77777777" w:rsidR="0098639B" w:rsidRDefault="0098639B">
      <w:r>
        <w:separator/>
      </w:r>
    </w:p>
    <w:p w14:paraId="5A2F4FA7" w14:textId="77777777" w:rsidR="0098639B" w:rsidRDefault="0098639B"/>
  </w:endnote>
  <w:endnote w:type="continuationSeparator" w:id="0">
    <w:p w14:paraId="4746D51E" w14:textId="77777777" w:rsidR="0098639B" w:rsidRDefault="0098639B">
      <w:r>
        <w:continuationSeparator/>
      </w:r>
    </w:p>
    <w:p w14:paraId="036AC9ED" w14:textId="77777777" w:rsidR="0098639B" w:rsidRDefault="00986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72277949"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AE7C27">
      <w:rPr>
        <w:b/>
      </w:rPr>
      <w:t>5</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0A037CB2" w:rsidR="00D662F8" w:rsidRDefault="0082689B" w:rsidP="00926083">
          <w:pPr>
            <w:pStyle w:val="RectoFooter"/>
            <w:jc w:val="left"/>
          </w:pPr>
          <w:r w:rsidRPr="00AE7C27">
            <w:t>Rural Health Roadshow Insights Report</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49F85556" w:rsidR="00D662F8" w:rsidRDefault="00AE7C27" w:rsidP="00926083">
          <w:pPr>
            <w:pStyle w:val="RectoFooter"/>
          </w:pPr>
          <w:r w:rsidRPr="00AE7C27">
            <w:t>Rural Health Roadshow Insights Report</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680F1662" w:rsidR="00D662F8" w:rsidRDefault="00AE7C27" w:rsidP="000D58DD">
          <w:pPr>
            <w:pStyle w:val="RectoFooter"/>
            <w:jc w:val="left"/>
          </w:pPr>
          <w:r w:rsidRPr="00AE7C27">
            <w:t>Rural Health Roadshow Insights Report</w:t>
          </w:r>
        </w:p>
      </w:tc>
    </w:tr>
  </w:tbl>
  <w:p w14:paraId="5177CEA2"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56951214" w:rsidR="00D662F8" w:rsidRDefault="00AE7C27" w:rsidP="00931466">
          <w:pPr>
            <w:pStyle w:val="RectoFooter"/>
          </w:pPr>
          <w:r w:rsidRPr="00AE7C27">
            <w:t>Rural Health Roadshow Insights Report</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0BA6" w14:textId="77777777" w:rsidR="0098639B" w:rsidRPr="00A26E6B" w:rsidRDefault="0098639B" w:rsidP="00A26E6B"/>
  </w:footnote>
  <w:footnote w:type="continuationSeparator" w:id="0">
    <w:p w14:paraId="050712D3" w14:textId="77777777" w:rsidR="0098639B" w:rsidRDefault="0098639B">
      <w:r>
        <w:continuationSeparator/>
      </w:r>
    </w:p>
    <w:p w14:paraId="7B69CA38" w14:textId="77777777" w:rsidR="0098639B" w:rsidRDefault="0098639B"/>
  </w:footnote>
  <w:footnote w:id="1">
    <w:p w14:paraId="4FCFA2A5" w14:textId="77777777" w:rsidR="00AE7C27" w:rsidRPr="000F0733" w:rsidRDefault="00AE7C27" w:rsidP="00AE7C27">
      <w:pPr>
        <w:pStyle w:val="FootnoteText"/>
        <w:rPr>
          <w:sz w:val="16"/>
          <w:szCs w:val="16"/>
        </w:rPr>
      </w:pPr>
      <w:r w:rsidRPr="000F0733">
        <w:rPr>
          <w:rStyle w:val="FootnoteReference"/>
          <w:sz w:val="16"/>
          <w:szCs w:val="16"/>
        </w:rPr>
        <w:footnoteRef/>
      </w:r>
      <w:r w:rsidRPr="000F0733">
        <w:rPr>
          <w:sz w:val="16"/>
          <w:szCs w:val="16"/>
        </w:rPr>
        <w:t xml:space="preserve"> </w:t>
      </w:r>
      <w:r w:rsidRPr="000F0733">
        <w:rPr>
          <w:rFonts w:eastAsia="Segoe UI" w:cs="Segoe UI"/>
          <w:color w:val="000000" w:themeColor="text1"/>
          <w:kern w:val="22"/>
          <w:sz w:val="18"/>
          <w:szCs w:val="18"/>
        </w:rPr>
        <w:t>New Zealand Mortality Collection; data from 2016 to 2018</w:t>
      </w:r>
      <w:r>
        <w:rPr>
          <w:rFonts w:eastAsia="Segoe UI" w:cs="Segoe UI"/>
          <w:color w:val="000000" w:themeColor="text1"/>
          <w:kern w:val="22"/>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558CCE0D" w:rsidR="005A79E5" w:rsidRDefault="005A79E5" w:rsidP="00B26F0F">
          <w:pPr>
            <w:pStyle w:val="Header"/>
          </w:pPr>
        </w:p>
      </w:tc>
      <w:tc>
        <w:tcPr>
          <w:tcW w:w="4429" w:type="dxa"/>
          <w:vAlign w:val="center"/>
        </w:tcPr>
        <w:p w14:paraId="06193D58" w14:textId="15C9AACF" w:rsidR="005A79E5" w:rsidRDefault="005A79E5" w:rsidP="00301815">
          <w:pPr>
            <w:pStyle w:val="Header"/>
            <w:jc w:val="right"/>
          </w:pP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18"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19"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1"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2"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3"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4"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5"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6"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28"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0"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1"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0607381">
    <w:abstractNumId w:val="29"/>
  </w:num>
  <w:num w:numId="2" w16cid:durableId="1299142910">
    <w:abstractNumId w:val="22"/>
  </w:num>
  <w:num w:numId="3" w16cid:durableId="72776646">
    <w:abstractNumId w:val="15"/>
  </w:num>
  <w:num w:numId="4" w16cid:durableId="1477456725">
    <w:abstractNumId w:val="16"/>
  </w:num>
  <w:num w:numId="5" w16cid:durableId="1664773935">
    <w:abstractNumId w:val="0"/>
  </w:num>
  <w:num w:numId="6" w16cid:durableId="363792276">
    <w:abstractNumId w:val="31"/>
  </w:num>
  <w:num w:numId="7" w16cid:durableId="2071537467">
    <w:abstractNumId w:val="12"/>
  </w:num>
  <w:num w:numId="8" w16cid:durableId="1552958358">
    <w:abstractNumId w:val="2"/>
  </w:num>
  <w:num w:numId="9" w16cid:durableId="1156530229">
    <w:abstractNumId w:val="28"/>
  </w:num>
  <w:num w:numId="10" w16cid:durableId="1809742265">
    <w:abstractNumId w:val="1"/>
  </w:num>
  <w:num w:numId="11" w16cid:durableId="1629777450">
    <w:abstractNumId w:val="26"/>
  </w:num>
  <w:num w:numId="12" w16cid:durableId="498736084">
    <w:abstractNumId w:val="3"/>
  </w:num>
  <w:num w:numId="13" w16cid:durableId="763575637">
    <w:abstractNumId w:val="7"/>
  </w:num>
  <w:num w:numId="14" w16cid:durableId="1359962425">
    <w:abstractNumId w:val="5"/>
  </w:num>
  <w:num w:numId="15" w16cid:durableId="1677465981">
    <w:abstractNumId w:val="8"/>
  </w:num>
  <w:num w:numId="16" w16cid:durableId="1361590274">
    <w:abstractNumId w:val="19"/>
  </w:num>
  <w:num w:numId="17" w16cid:durableId="497965942">
    <w:abstractNumId w:val="10"/>
  </w:num>
  <w:num w:numId="18" w16cid:durableId="1437746333">
    <w:abstractNumId w:val="24"/>
  </w:num>
  <w:num w:numId="19" w16cid:durableId="1692991923">
    <w:abstractNumId w:val="11"/>
  </w:num>
  <w:num w:numId="20" w16cid:durableId="1311253080">
    <w:abstractNumId w:val="18"/>
  </w:num>
  <w:num w:numId="21" w16cid:durableId="1626303646">
    <w:abstractNumId w:val="6"/>
  </w:num>
  <w:num w:numId="22" w16cid:durableId="360280838">
    <w:abstractNumId w:val="4"/>
  </w:num>
  <w:num w:numId="23" w16cid:durableId="818886818">
    <w:abstractNumId w:val="21"/>
  </w:num>
  <w:num w:numId="24" w16cid:durableId="1116026015">
    <w:abstractNumId w:val="20"/>
  </w:num>
  <w:num w:numId="25" w16cid:durableId="598099598">
    <w:abstractNumId w:val="30"/>
  </w:num>
  <w:num w:numId="26" w16cid:durableId="301272434">
    <w:abstractNumId w:val="13"/>
  </w:num>
  <w:num w:numId="27" w16cid:durableId="510340758">
    <w:abstractNumId w:val="25"/>
  </w:num>
  <w:num w:numId="28" w16cid:durableId="2125074591">
    <w:abstractNumId w:val="23"/>
  </w:num>
  <w:num w:numId="29" w16cid:durableId="518390692">
    <w:abstractNumId w:val="17"/>
  </w:num>
  <w:num w:numId="30" w16cid:durableId="1540901413">
    <w:abstractNumId w:val="9"/>
  </w:num>
  <w:num w:numId="31" w16cid:durableId="1527795144">
    <w:abstractNumId w:val="27"/>
  </w:num>
  <w:num w:numId="32" w16cid:durableId="187473354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72BD6"/>
    <w:rsid w:val="00075B78"/>
    <w:rsid w:val="000763E9"/>
    <w:rsid w:val="00082CD6"/>
    <w:rsid w:val="0008437D"/>
    <w:rsid w:val="00085AFE"/>
    <w:rsid w:val="00091A6A"/>
    <w:rsid w:val="00094800"/>
    <w:rsid w:val="000A41ED"/>
    <w:rsid w:val="000B0730"/>
    <w:rsid w:val="000D19F4"/>
    <w:rsid w:val="000D58DD"/>
    <w:rsid w:val="000E4449"/>
    <w:rsid w:val="000F2AE2"/>
    <w:rsid w:val="000F2BFF"/>
    <w:rsid w:val="00102063"/>
    <w:rsid w:val="0010541C"/>
    <w:rsid w:val="00106F93"/>
    <w:rsid w:val="00111D50"/>
    <w:rsid w:val="00113B8E"/>
    <w:rsid w:val="00113F62"/>
    <w:rsid w:val="0012053C"/>
    <w:rsid w:val="00122363"/>
    <w:rsid w:val="001342C7"/>
    <w:rsid w:val="0013585C"/>
    <w:rsid w:val="00142261"/>
    <w:rsid w:val="00142954"/>
    <w:rsid w:val="001460E0"/>
    <w:rsid w:val="001472F0"/>
    <w:rsid w:val="00147F71"/>
    <w:rsid w:val="00150A6E"/>
    <w:rsid w:val="0016304B"/>
    <w:rsid w:val="0016468A"/>
    <w:rsid w:val="00174B4B"/>
    <w:rsid w:val="0018662D"/>
    <w:rsid w:val="00197427"/>
    <w:rsid w:val="001A21B4"/>
    <w:rsid w:val="001A5CF5"/>
    <w:rsid w:val="001B39D2"/>
    <w:rsid w:val="001B4BF8"/>
    <w:rsid w:val="001C32AF"/>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C522D"/>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436F"/>
    <w:rsid w:val="00377264"/>
    <w:rsid w:val="003779D2"/>
    <w:rsid w:val="00385E38"/>
    <w:rsid w:val="003A26A5"/>
    <w:rsid w:val="003A3761"/>
    <w:rsid w:val="003A512D"/>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3021"/>
    <w:rsid w:val="004301C6"/>
    <w:rsid w:val="0043478F"/>
    <w:rsid w:val="0043602B"/>
    <w:rsid w:val="00440BE0"/>
    <w:rsid w:val="00442C1C"/>
    <w:rsid w:val="0044584B"/>
    <w:rsid w:val="00447CB7"/>
    <w:rsid w:val="00455CC9"/>
    <w:rsid w:val="00460826"/>
    <w:rsid w:val="00460EA7"/>
    <w:rsid w:val="0046195B"/>
    <w:rsid w:val="0046362D"/>
    <w:rsid w:val="0046596D"/>
    <w:rsid w:val="00487C04"/>
    <w:rsid w:val="004907E1"/>
    <w:rsid w:val="004A035B"/>
    <w:rsid w:val="004A2108"/>
    <w:rsid w:val="004A38D7"/>
    <w:rsid w:val="004A778C"/>
    <w:rsid w:val="004B43AB"/>
    <w:rsid w:val="004B48C7"/>
    <w:rsid w:val="004C2E6A"/>
    <w:rsid w:val="004C64B8"/>
    <w:rsid w:val="004D2A2D"/>
    <w:rsid w:val="004D479F"/>
    <w:rsid w:val="004D6689"/>
    <w:rsid w:val="004E1D1D"/>
    <w:rsid w:val="004E7AC8"/>
    <w:rsid w:val="004F0C94"/>
    <w:rsid w:val="005019AE"/>
    <w:rsid w:val="00503749"/>
    <w:rsid w:val="00504CF4"/>
    <w:rsid w:val="0050635B"/>
    <w:rsid w:val="005151C2"/>
    <w:rsid w:val="0053199F"/>
    <w:rsid w:val="00531E12"/>
    <w:rsid w:val="00533B90"/>
    <w:rsid w:val="005410F8"/>
    <w:rsid w:val="00541351"/>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9697E"/>
    <w:rsid w:val="005A27CA"/>
    <w:rsid w:val="005A43BD"/>
    <w:rsid w:val="005A79E5"/>
    <w:rsid w:val="005D034C"/>
    <w:rsid w:val="005E226E"/>
    <w:rsid w:val="005E2636"/>
    <w:rsid w:val="005E4B47"/>
    <w:rsid w:val="005F77FC"/>
    <w:rsid w:val="006015D7"/>
    <w:rsid w:val="00601B21"/>
    <w:rsid w:val="006041F0"/>
    <w:rsid w:val="00604E01"/>
    <w:rsid w:val="00605C6D"/>
    <w:rsid w:val="006120CA"/>
    <w:rsid w:val="00624174"/>
    <w:rsid w:val="00626CF8"/>
    <w:rsid w:val="006314AF"/>
    <w:rsid w:val="00634ED8"/>
    <w:rsid w:val="00636D7D"/>
    <w:rsid w:val="00637408"/>
    <w:rsid w:val="00642868"/>
    <w:rsid w:val="00647AFE"/>
    <w:rsid w:val="006512BC"/>
    <w:rsid w:val="00651B6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666"/>
    <w:rsid w:val="006B7B2E"/>
    <w:rsid w:val="006C78EB"/>
    <w:rsid w:val="006D1660"/>
    <w:rsid w:val="006D63E5"/>
    <w:rsid w:val="006E1753"/>
    <w:rsid w:val="006E3911"/>
    <w:rsid w:val="006F1B67"/>
    <w:rsid w:val="006F4D9C"/>
    <w:rsid w:val="0070091D"/>
    <w:rsid w:val="00702854"/>
    <w:rsid w:val="0071741C"/>
    <w:rsid w:val="007264AD"/>
    <w:rsid w:val="00742B90"/>
    <w:rsid w:val="0074434D"/>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C184C"/>
    <w:rsid w:val="007D0F84"/>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5765"/>
    <w:rsid w:val="00820368"/>
    <w:rsid w:val="00821491"/>
    <w:rsid w:val="00822F2C"/>
    <w:rsid w:val="00823DEE"/>
    <w:rsid w:val="0082689B"/>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4A48"/>
    <w:rsid w:val="00A87C05"/>
    <w:rsid w:val="00A9169D"/>
    <w:rsid w:val="00A92A82"/>
    <w:rsid w:val="00AA240C"/>
    <w:rsid w:val="00AC101C"/>
    <w:rsid w:val="00AD4CF1"/>
    <w:rsid w:val="00AD5988"/>
    <w:rsid w:val="00AD6293"/>
    <w:rsid w:val="00AE7C27"/>
    <w:rsid w:val="00AF1BA8"/>
    <w:rsid w:val="00AF7800"/>
    <w:rsid w:val="00B00CF5"/>
    <w:rsid w:val="00B072E0"/>
    <w:rsid w:val="00B1007E"/>
    <w:rsid w:val="00B253F6"/>
    <w:rsid w:val="00B26675"/>
    <w:rsid w:val="00B26F0F"/>
    <w:rsid w:val="00B305DB"/>
    <w:rsid w:val="00B332F8"/>
    <w:rsid w:val="00B3492B"/>
    <w:rsid w:val="00B4646F"/>
    <w:rsid w:val="00B55C7D"/>
    <w:rsid w:val="00B63038"/>
    <w:rsid w:val="00B64BD8"/>
    <w:rsid w:val="00B701D1"/>
    <w:rsid w:val="00B71818"/>
    <w:rsid w:val="00B73AF2"/>
    <w:rsid w:val="00B7551A"/>
    <w:rsid w:val="00B773F1"/>
    <w:rsid w:val="00B86AB1"/>
    <w:rsid w:val="00B97F07"/>
    <w:rsid w:val="00BA7EBA"/>
    <w:rsid w:val="00BB2A06"/>
    <w:rsid w:val="00BB2CBB"/>
    <w:rsid w:val="00BB4198"/>
    <w:rsid w:val="00BC03EE"/>
    <w:rsid w:val="00BC59F1"/>
    <w:rsid w:val="00BE6945"/>
    <w:rsid w:val="00BF3DE1"/>
    <w:rsid w:val="00BF4843"/>
    <w:rsid w:val="00BF5205"/>
    <w:rsid w:val="00C05132"/>
    <w:rsid w:val="00C12508"/>
    <w:rsid w:val="00C23728"/>
    <w:rsid w:val="00C3026C"/>
    <w:rsid w:val="00C313A9"/>
    <w:rsid w:val="00C31616"/>
    <w:rsid w:val="00C441CF"/>
    <w:rsid w:val="00C45AA2"/>
    <w:rsid w:val="00C4792C"/>
    <w:rsid w:val="00C55BEF"/>
    <w:rsid w:val="00C57429"/>
    <w:rsid w:val="00C601AF"/>
    <w:rsid w:val="00C61A63"/>
    <w:rsid w:val="00C66296"/>
    <w:rsid w:val="00C7394D"/>
    <w:rsid w:val="00C77282"/>
    <w:rsid w:val="00C84DE5"/>
    <w:rsid w:val="00C86248"/>
    <w:rsid w:val="00C90B31"/>
    <w:rsid w:val="00CA0D6F"/>
    <w:rsid w:val="00CA4C33"/>
    <w:rsid w:val="00CA6F4A"/>
    <w:rsid w:val="00CB6427"/>
    <w:rsid w:val="00CC0FBE"/>
    <w:rsid w:val="00CD2119"/>
    <w:rsid w:val="00CD237A"/>
    <w:rsid w:val="00CD36AC"/>
    <w:rsid w:val="00CE01F3"/>
    <w:rsid w:val="00CE13A3"/>
    <w:rsid w:val="00CE36BC"/>
    <w:rsid w:val="00CE6C88"/>
    <w:rsid w:val="00CF1747"/>
    <w:rsid w:val="00CF60ED"/>
    <w:rsid w:val="00D05D74"/>
    <w:rsid w:val="00D20C59"/>
    <w:rsid w:val="00D23323"/>
    <w:rsid w:val="00D2392A"/>
    <w:rsid w:val="00D25FFE"/>
    <w:rsid w:val="00D37D80"/>
    <w:rsid w:val="00D4476F"/>
    <w:rsid w:val="00D50573"/>
    <w:rsid w:val="00D54D50"/>
    <w:rsid w:val="00D560B4"/>
    <w:rsid w:val="00D662F8"/>
    <w:rsid w:val="00D66797"/>
    <w:rsid w:val="00D7074B"/>
    <w:rsid w:val="00D7087C"/>
    <w:rsid w:val="00D70C3C"/>
    <w:rsid w:val="00D71DF7"/>
    <w:rsid w:val="00D72BE5"/>
    <w:rsid w:val="00D761D7"/>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3B20"/>
    <w:rsid w:val="00DE6C94"/>
    <w:rsid w:val="00DE6FD7"/>
    <w:rsid w:val="00E11B99"/>
    <w:rsid w:val="00E23271"/>
    <w:rsid w:val="00E24F80"/>
    <w:rsid w:val="00E259F3"/>
    <w:rsid w:val="00E30985"/>
    <w:rsid w:val="00E33238"/>
    <w:rsid w:val="00E376B7"/>
    <w:rsid w:val="00E42F5D"/>
    <w:rsid w:val="00E4486C"/>
    <w:rsid w:val="00E460B6"/>
    <w:rsid w:val="00E511D5"/>
    <w:rsid w:val="00E53A9F"/>
    <w:rsid w:val="00E60249"/>
    <w:rsid w:val="00E65269"/>
    <w:rsid w:val="00E76D66"/>
    <w:rsid w:val="00EA608C"/>
    <w:rsid w:val="00EA796A"/>
    <w:rsid w:val="00EB090D"/>
    <w:rsid w:val="00EB1856"/>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5180D"/>
    <w:rsid w:val="00F63781"/>
    <w:rsid w:val="00F67496"/>
    <w:rsid w:val="00F801BA"/>
    <w:rsid w:val="00F9366A"/>
    <w:rsid w:val="00F946C9"/>
    <w:rsid w:val="00FA0EA5"/>
    <w:rsid w:val="00FA74EE"/>
    <w:rsid w:val="00FB660B"/>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customStyle="1" w:styleId="ReportBody-MOH">
    <w:name w:val="Report Body - MOH"/>
    <w:basedOn w:val="Normal"/>
    <w:link w:val="ReportBody-MOHChar"/>
    <w:qFormat/>
    <w:rsid w:val="00AE7C27"/>
    <w:pPr>
      <w:spacing w:before="240" w:after="240"/>
    </w:pPr>
    <w:rPr>
      <w:rFonts w:asciiTheme="minorHAnsi" w:eastAsia="Segoe UI" w:hAnsiTheme="minorHAnsi" w:cs="Segoe UI"/>
      <w:color w:val="000000" w:themeColor="text1"/>
      <w:kern w:val="22"/>
      <w:sz w:val="22"/>
      <w:szCs w:val="22"/>
      <w:lang w:eastAsia="en-NZ"/>
    </w:rPr>
  </w:style>
  <w:style w:type="character" w:customStyle="1" w:styleId="ReportBody-MOHChar">
    <w:name w:val="Report Body - MOH Char"/>
    <w:basedOn w:val="DefaultParagraphFont"/>
    <w:link w:val="ReportBody-MOH"/>
    <w:rsid w:val="00AE7C27"/>
    <w:rPr>
      <w:rFonts w:asciiTheme="minorHAnsi" w:eastAsia="Segoe UI" w:hAnsiTheme="minorHAnsi" w:cs="Segoe UI"/>
      <w:color w:val="000000" w:themeColor="text1"/>
      <w:kern w:val="22"/>
      <w:sz w:val="22"/>
      <w:szCs w:val="22"/>
    </w:rPr>
  </w:style>
  <w:style w:type="paragraph" w:styleId="Caption">
    <w:name w:val="caption"/>
    <w:basedOn w:val="Normal"/>
    <w:next w:val="Normal"/>
    <w:unhideWhenUsed/>
    <w:qFormat/>
    <w:rsid w:val="00AE7C27"/>
    <w:pPr>
      <w:spacing w:after="200"/>
    </w:pPr>
    <w:rPr>
      <w:i/>
      <w:iCs/>
      <w:color w:val="1F497D" w:themeColor="text2"/>
      <w:sz w:val="18"/>
      <w:szCs w:val="18"/>
    </w:rPr>
  </w:style>
  <w:style w:type="paragraph" w:customStyle="1" w:styleId="xmsolistparagraph">
    <w:name w:val="x_msolistparagraph"/>
    <w:basedOn w:val="Normal"/>
    <w:rsid w:val="00AE7C27"/>
    <w:pPr>
      <w:spacing w:before="100" w:beforeAutospacing="1" w:after="100" w:afterAutospacing="1"/>
    </w:pPr>
    <w:rPr>
      <w:rFonts w:ascii="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3.xml><?xml version="1.0" encoding="utf-8"?>
<ds:datastoreItem xmlns:ds="http://schemas.openxmlformats.org/officeDocument/2006/customXml" ds:itemID="{4577FFB0-260E-4BEB-AB23-5A43F0263A51}">
  <ds:schemaRefs>
    <ds:schemaRef ds:uri="4f9c820c-e7e2-444d-97ee-45f2b3485c1d"/>
    <ds:schemaRef ds:uri="c91a514c-9034-4fa3-897a-8352025b26ed"/>
    <ds:schemaRef ds:uri="http://purl.org/dc/terms/"/>
    <ds:schemaRef ds:uri="http://www.w3.org/XML/1998/namespace"/>
    <ds:schemaRef ds:uri="http://schemas.microsoft.com/office/2006/documentManagement/types"/>
    <ds:schemaRef ds:uri="http://schemas.microsoft.com/office/infopath/2007/PartnerControls"/>
    <ds:schemaRef ds:uri="77fc9259-9bdd-4436-bdca-cbe80b037127"/>
    <ds:schemaRef ds:uri="http://purl.org/dc/dcmitype/"/>
    <ds:schemaRef ds:uri="http://purl.org/dc/elements/1.1/"/>
    <ds:schemaRef ds:uri="http://schemas.openxmlformats.org/package/2006/metadata/core-properties"/>
    <ds:schemaRef ds:uri="http://schemas.microsoft.com/office/2006/metadata/properties"/>
    <ds:schemaRef ds:uri="a92161ee-a867-43fa-afc4-ef021add4eae"/>
    <ds:schemaRef ds:uri="725c79e5-42ce-4aa0-ac78-b6418001f0d2"/>
    <ds:schemaRef ds:uri="15ffb055-6eb4-45a1-bc20-bf2ac0d420da"/>
    <ds:schemaRef ds:uri="184c05c4-c568-455d-94a4-7e009b164348"/>
    <ds:schemaRef ds:uri="d0b61010-d6f3-4072-b934-7bbb13e97771"/>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27</Pages>
  <Words>7314</Words>
  <Characters>41693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Health Roadshow Insights Report</dc:title>
  <dc:creator>Ministry of Health</dc:creator>
  <cp:lastModifiedBy>Ministry of Health</cp:lastModifiedBy>
  <cp:revision>2</cp:revision>
  <cp:lastPrinted>2025-12-15T21:59:00Z</cp:lastPrinted>
  <dcterms:created xsi:type="dcterms:W3CDTF">2025-12-21T19:44:00Z</dcterms:created>
  <dcterms:modified xsi:type="dcterms:W3CDTF">2025-12-21T19:44:00Z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