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08822" w14:textId="77777777" w:rsidR="00407FBB" w:rsidRDefault="00407FBB" w:rsidP="00926083">
      <w:pPr>
        <w:pStyle w:val="Title"/>
        <w:rPr>
          <w:sz w:val="52"/>
          <w:szCs w:val="52"/>
        </w:rPr>
      </w:pPr>
      <w:r w:rsidRPr="00407FBB">
        <w:rPr>
          <w:sz w:val="52"/>
          <w:szCs w:val="52"/>
        </w:rPr>
        <w:t xml:space="preserve">Māori Years of Life Lost: Estimates from the Global Burden of Disease Study, 2021 </w:t>
      </w:r>
    </w:p>
    <w:p w14:paraId="6333295E" w14:textId="77777777" w:rsidR="00407FBB" w:rsidRDefault="00407FBB" w:rsidP="00926083">
      <w:pPr>
        <w:pStyle w:val="Title"/>
        <w:rPr>
          <w:sz w:val="52"/>
          <w:szCs w:val="52"/>
        </w:rPr>
      </w:pPr>
    </w:p>
    <w:p w14:paraId="11455161" w14:textId="3CF37743" w:rsidR="00C86248" w:rsidRPr="00407FBB" w:rsidRDefault="00407FBB" w:rsidP="00926083">
      <w:pPr>
        <w:pStyle w:val="Title"/>
        <w:rPr>
          <w:sz w:val="52"/>
          <w:szCs w:val="52"/>
        </w:rPr>
      </w:pPr>
      <w:r w:rsidRPr="00407FBB">
        <w:rPr>
          <w:sz w:val="52"/>
          <w:szCs w:val="52"/>
        </w:rPr>
        <w:t>Ngā Tau i Ngaro mō te Oranga o Ngāi Māori: He Whakatau Tata nō te Rangahau mō te Taumahatanga Tahumaero ā-Ao, 2021</w:t>
      </w:r>
    </w:p>
    <w:p w14:paraId="1A2285C5" w14:textId="77777777" w:rsidR="00407FBB" w:rsidRPr="00407FBB" w:rsidRDefault="00407FBB" w:rsidP="00407FBB"/>
    <w:p w14:paraId="05E570D1" w14:textId="77777777" w:rsidR="00407FBB" w:rsidRPr="00407FBB" w:rsidRDefault="00407FBB" w:rsidP="00407FBB"/>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62F9D52A"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164167">
        <w:rPr>
          <w:rFonts w:cs="Segoe UI"/>
        </w:rPr>
        <w:t>2025</w:t>
      </w:r>
      <w:r w:rsidR="00442C1C" w:rsidRPr="00C05132">
        <w:rPr>
          <w:rFonts w:cs="Segoe UI"/>
        </w:rPr>
        <w:t xml:space="preserve">. </w:t>
      </w:r>
      <w:r w:rsidR="00407FBB" w:rsidRPr="00407FBB">
        <w:rPr>
          <w:rFonts w:cs="Segoe UI"/>
          <w:i/>
        </w:rPr>
        <w:t>Māori Years of Life Lost: Estimates from the Global Burden of Disease Study, 2021</w:t>
      </w:r>
      <w:r w:rsidR="00442C1C" w:rsidRPr="00C05132">
        <w:rPr>
          <w:rFonts w:cs="Segoe UI"/>
        </w:rPr>
        <w:t>. Wellington: Ministry of Health.</w:t>
      </w:r>
    </w:p>
    <w:p w14:paraId="7909192E" w14:textId="1D0066F2" w:rsidR="00C86248" w:rsidRDefault="00C86248">
      <w:pPr>
        <w:pStyle w:val="Imprint"/>
      </w:pPr>
      <w:r>
        <w:t xml:space="preserve">Published in </w:t>
      </w:r>
      <w:r w:rsidR="00407FBB" w:rsidRPr="00164167">
        <w:t>December</w:t>
      </w:r>
      <w:r w:rsidR="009A42D5" w:rsidRPr="00164167">
        <w:t xml:space="preserve"> </w:t>
      </w:r>
      <w:r w:rsidR="00407FBB" w:rsidRPr="00164167">
        <w:t>2025</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20C400B4" w:rsidR="00082CD6" w:rsidRPr="009C0F2D" w:rsidRDefault="009A42D5" w:rsidP="00082CD6">
      <w:pPr>
        <w:pStyle w:val="Imprint"/>
      </w:pPr>
      <w:r w:rsidRPr="00164167">
        <w:t xml:space="preserve">ISBN </w:t>
      </w:r>
      <w:r w:rsidR="006556D0" w:rsidRPr="006556D0">
        <w:t>978-1-991324-67-2</w:t>
      </w:r>
      <w:r w:rsidRPr="00164167">
        <w:t xml:space="preserve"> </w:t>
      </w:r>
      <w:r w:rsidR="00D863D0" w:rsidRPr="00164167">
        <w:t>(</w:t>
      </w:r>
      <w:r w:rsidR="00442C1C" w:rsidRPr="00164167">
        <w:t>online</w:t>
      </w:r>
      <w:r w:rsidR="00D863D0" w:rsidRPr="00164167">
        <w:t>)</w:t>
      </w:r>
      <w:r w:rsidR="00082CD6" w:rsidRPr="00164167">
        <w:br/>
        <w:t xml:space="preserve">HP </w:t>
      </w:r>
      <w:r w:rsidR="00CD5751">
        <w:t>9151</w:t>
      </w:r>
    </w:p>
    <w:p w14:paraId="48DBDA36" w14:textId="7263F306" w:rsidR="00C86248" w:rsidRDefault="00EA608C" w:rsidP="00A63DFF">
      <w:r w:rsidRPr="003D7765">
        <w:rPr>
          <w:noProof/>
        </w:rPr>
        <w:drawing>
          <wp:inline distT="0" distB="0" distL="0" distR="0" wp14:anchorId="7F6F146D" wp14:editId="1389585C">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3AAB139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13E3A6E4"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7620E009" w14:textId="63B59B6D" w:rsidR="00281280" w:rsidRPr="00DD4091" w:rsidRDefault="00281280" w:rsidP="00DD4091">
      <w:pPr>
        <w:pStyle w:val="Heading1"/>
      </w:pPr>
      <w:bookmarkStart w:id="0" w:name="_Toc216376538"/>
      <w:bookmarkStart w:id="1" w:name="_Toc405792991"/>
      <w:bookmarkStart w:id="2" w:name="_Toc405793224"/>
      <w:r w:rsidRPr="00DD4091">
        <w:lastRenderedPageBreak/>
        <w:t>Karakia</w:t>
      </w:r>
      <w:bookmarkEnd w:id="0"/>
    </w:p>
    <w:p w14:paraId="4318A68C" w14:textId="4BE27E6B" w:rsidR="00A75CF3" w:rsidRPr="00DE02C7" w:rsidRDefault="00A75CF3" w:rsidP="006242A5">
      <w:pPr>
        <w:tabs>
          <w:tab w:val="left" w:pos="2694"/>
        </w:tabs>
        <w:rPr>
          <w:b/>
          <w:bCs/>
          <w:lang w:val="mi-NZ"/>
        </w:rPr>
      </w:pPr>
      <w:r w:rsidRPr="00DE02C7">
        <w:rPr>
          <w:b/>
          <w:bCs/>
          <w:lang w:val="mi-NZ"/>
        </w:rPr>
        <w:t>Whakarongo ake au ki te tangi a te manu nei,</w:t>
      </w:r>
    </w:p>
    <w:p w14:paraId="23BA136A" w14:textId="0E37E6D5" w:rsidR="00A75CF3" w:rsidRPr="00DE02C7" w:rsidRDefault="00A75CF3" w:rsidP="006242A5">
      <w:pPr>
        <w:tabs>
          <w:tab w:val="left" w:pos="2694"/>
        </w:tabs>
        <w:rPr>
          <w:b/>
          <w:bCs/>
          <w:lang w:val="mi-NZ"/>
        </w:rPr>
      </w:pPr>
      <w:r w:rsidRPr="00DE02C7">
        <w:rPr>
          <w:b/>
          <w:bCs/>
          <w:lang w:val="mi-NZ"/>
        </w:rPr>
        <w:t>Tui, tui, tuituia</w:t>
      </w:r>
    </w:p>
    <w:p w14:paraId="34879915" w14:textId="24012E4A" w:rsidR="00A75CF3" w:rsidRPr="00DE02C7" w:rsidRDefault="00A75CF3" w:rsidP="006242A5">
      <w:pPr>
        <w:tabs>
          <w:tab w:val="left" w:pos="2694"/>
        </w:tabs>
        <w:rPr>
          <w:b/>
          <w:bCs/>
          <w:lang w:val="mi-NZ"/>
        </w:rPr>
      </w:pPr>
      <w:r w:rsidRPr="00DE02C7">
        <w:rPr>
          <w:b/>
          <w:bCs/>
          <w:lang w:val="mi-NZ"/>
        </w:rPr>
        <w:t>Tuia ngā whakaaro, tuia ngā kōrero,</w:t>
      </w:r>
    </w:p>
    <w:p w14:paraId="510890B9" w14:textId="75E23E70" w:rsidR="00A75CF3" w:rsidRPr="00DE02C7" w:rsidRDefault="00A75CF3" w:rsidP="006242A5">
      <w:pPr>
        <w:tabs>
          <w:tab w:val="left" w:pos="2694"/>
        </w:tabs>
        <w:rPr>
          <w:b/>
          <w:bCs/>
          <w:lang w:val="mi-NZ"/>
        </w:rPr>
      </w:pPr>
      <w:r w:rsidRPr="00DE02C7">
        <w:rPr>
          <w:b/>
          <w:bCs/>
          <w:lang w:val="mi-NZ"/>
        </w:rPr>
        <w:t>Tuia ngā maharatanga o te hunga kua riro ki tua o te ārai.</w:t>
      </w:r>
    </w:p>
    <w:p w14:paraId="50A4D7BB" w14:textId="36D78CA5" w:rsidR="00A75CF3" w:rsidRPr="00DE02C7" w:rsidRDefault="00A75CF3" w:rsidP="006242A5">
      <w:pPr>
        <w:tabs>
          <w:tab w:val="left" w:pos="2694"/>
        </w:tabs>
        <w:rPr>
          <w:b/>
          <w:bCs/>
          <w:lang w:val="mi-NZ"/>
        </w:rPr>
      </w:pPr>
      <w:r w:rsidRPr="00DE02C7">
        <w:rPr>
          <w:b/>
          <w:bCs/>
          <w:lang w:val="mi-NZ"/>
        </w:rPr>
        <w:t>Kia tau te mauri, kia tau te wairua,</w:t>
      </w:r>
    </w:p>
    <w:p w14:paraId="5EF5088F" w14:textId="30E8C114" w:rsidR="00A75CF3" w:rsidRPr="00DE02C7" w:rsidRDefault="00A75CF3" w:rsidP="006242A5">
      <w:pPr>
        <w:tabs>
          <w:tab w:val="left" w:pos="2694"/>
        </w:tabs>
        <w:rPr>
          <w:b/>
          <w:bCs/>
          <w:lang w:val="mi-NZ"/>
        </w:rPr>
      </w:pPr>
      <w:r w:rsidRPr="00DE02C7">
        <w:rPr>
          <w:b/>
          <w:bCs/>
          <w:lang w:val="mi-NZ"/>
        </w:rPr>
        <w:t>Hei arahi i a tātou ki te pae ora, ki te ao mārama.</w:t>
      </w:r>
    </w:p>
    <w:p w14:paraId="795637CD" w14:textId="06DD94A1" w:rsidR="00A75CF3" w:rsidRPr="00DE02C7" w:rsidRDefault="00A75CF3" w:rsidP="006242A5">
      <w:pPr>
        <w:tabs>
          <w:tab w:val="left" w:pos="2694"/>
        </w:tabs>
        <w:rPr>
          <w:b/>
          <w:bCs/>
          <w:lang w:val="mi-NZ"/>
        </w:rPr>
      </w:pPr>
      <w:r w:rsidRPr="00DE02C7">
        <w:rPr>
          <w:b/>
          <w:bCs/>
          <w:lang w:val="mi-NZ"/>
        </w:rPr>
        <w:t>Whakakotahihia ngā ngākau, kia ū, kia mau,</w:t>
      </w:r>
    </w:p>
    <w:p w14:paraId="7BA7BC37" w14:textId="56D69CBE" w:rsidR="00A75CF3" w:rsidRPr="00DE02C7" w:rsidRDefault="00A75CF3" w:rsidP="006242A5">
      <w:pPr>
        <w:tabs>
          <w:tab w:val="left" w:pos="2694"/>
        </w:tabs>
        <w:rPr>
          <w:b/>
          <w:bCs/>
          <w:lang w:val="mi-NZ"/>
        </w:rPr>
      </w:pPr>
      <w:r w:rsidRPr="00DE02C7">
        <w:rPr>
          <w:b/>
          <w:bCs/>
          <w:lang w:val="mi-NZ"/>
        </w:rPr>
        <w:t>Hei oranga mō ngā uri whakatipu.</w:t>
      </w:r>
    </w:p>
    <w:p w14:paraId="6CEC76D9" w14:textId="22DA89FD" w:rsidR="00A75CF3" w:rsidRPr="00DE02C7" w:rsidRDefault="00A75CF3" w:rsidP="006242A5">
      <w:pPr>
        <w:tabs>
          <w:tab w:val="left" w:pos="2694"/>
        </w:tabs>
        <w:rPr>
          <w:b/>
          <w:bCs/>
          <w:lang w:val="mi-NZ"/>
        </w:rPr>
      </w:pPr>
      <w:r w:rsidRPr="00DE02C7">
        <w:rPr>
          <w:b/>
          <w:bCs/>
          <w:lang w:val="mi-NZ"/>
        </w:rPr>
        <w:t>Haumi ē, hui ē, tāiki ē!</w:t>
      </w:r>
    </w:p>
    <w:p w14:paraId="46986030" w14:textId="34EC7439" w:rsidR="00A75CF3" w:rsidRPr="00A75CF3" w:rsidRDefault="00A75CF3" w:rsidP="006242A5">
      <w:pPr>
        <w:tabs>
          <w:tab w:val="left" w:pos="2694"/>
        </w:tabs>
      </w:pPr>
    </w:p>
    <w:p w14:paraId="5EAEE6EE" w14:textId="47D6CDE1" w:rsidR="00A75CF3" w:rsidRPr="00A75CF3" w:rsidRDefault="00A75CF3" w:rsidP="006242A5">
      <w:pPr>
        <w:tabs>
          <w:tab w:val="left" w:pos="2694"/>
        </w:tabs>
      </w:pPr>
      <w:r w:rsidRPr="00A75CF3">
        <w:t>I listen to the call of the bird,</w:t>
      </w:r>
    </w:p>
    <w:p w14:paraId="76DE1BF6" w14:textId="54D89E55" w:rsidR="00A75CF3" w:rsidRPr="00A75CF3" w:rsidRDefault="00A75CF3" w:rsidP="006242A5">
      <w:pPr>
        <w:tabs>
          <w:tab w:val="left" w:pos="2694"/>
        </w:tabs>
      </w:pPr>
      <w:r w:rsidRPr="00A75CF3">
        <w:t>Bind, bind, let us be bound together.</w:t>
      </w:r>
    </w:p>
    <w:p w14:paraId="41E3B4F6" w14:textId="2ECD955C" w:rsidR="00A75CF3" w:rsidRPr="00A75CF3" w:rsidRDefault="00A75CF3" w:rsidP="006242A5">
      <w:pPr>
        <w:tabs>
          <w:tab w:val="left" w:pos="2694"/>
        </w:tabs>
      </w:pPr>
      <w:r w:rsidRPr="00A75CF3">
        <w:t>Bind together our thoughts, bind together our words,</w:t>
      </w:r>
    </w:p>
    <w:p w14:paraId="57A2204D" w14:textId="1619B5C7" w:rsidR="00A75CF3" w:rsidRPr="00A75CF3" w:rsidRDefault="00A75CF3" w:rsidP="006242A5">
      <w:pPr>
        <w:tabs>
          <w:tab w:val="left" w:pos="2694"/>
        </w:tabs>
      </w:pPr>
      <w:r w:rsidRPr="00A75CF3">
        <w:t>Bind together the memories of those who have passed beyond the veil.</w:t>
      </w:r>
    </w:p>
    <w:p w14:paraId="01BE0923" w14:textId="2B35EDB4" w:rsidR="00A75CF3" w:rsidRPr="00A75CF3" w:rsidRDefault="00A75CF3" w:rsidP="006242A5">
      <w:pPr>
        <w:tabs>
          <w:tab w:val="left" w:pos="2694"/>
        </w:tabs>
      </w:pPr>
      <w:r w:rsidRPr="00A75CF3">
        <w:t>Let the life force settle, let the spirit be at peace,</w:t>
      </w:r>
    </w:p>
    <w:p w14:paraId="72712B0D" w14:textId="6EF38A59" w:rsidR="00A75CF3" w:rsidRPr="00A75CF3" w:rsidRDefault="00A75CF3" w:rsidP="006242A5">
      <w:pPr>
        <w:tabs>
          <w:tab w:val="left" w:pos="2694"/>
        </w:tabs>
      </w:pPr>
      <w:r w:rsidRPr="00A75CF3">
        <w:t>To guide us toward healthy futures, toward the world of light.</w:t>
      </w:r>
    </w:p>
    <w:p w14:paraId="7A8D796C" w14:textId="3C22B66E" w:rsidR="00A75CF3" w:rsidRPr="00A75CF3" w:rsidRDefault="00A75CF3" w:rsidP="006242A5">
      <w:pPr>
        <w:tabs>
          <w:tab w:val="left" w:pos="2694"/>
        </w:tabs>
      </w:pPr>
      <w:r w:rsidRPr="00A75CF3">
        <w:t>Unite our hearts, steadfast and strong,</w:t>
      </w:r>
    </w:p>
    <w:p w14:paraId="20782424" w14:textId="72832075" w:rsidR="00A75CF3" w:rsidRPr="00A75CF3" w:rsidRDefault="00A75CF3" w:rsidP="006242A5">
      <w:pPr>
        <w:tabs>
          <w:tab w:val="left" w:pos="2694"/>
        </w:tabs>
      </w:pPr>
      <w:r w:rsidRPr="00A75CF3">
        <w:t>For the wellbeing of generations to come.</w:t>
      </w:r>
    </w:p>
    <w:p w14:paraId="3C0F2EF4" w14:textId="15C410EA" w:rsidR="00A75CF3" w:rsidRPr="00A75CF3" w:rsidRDefault="00A75CF3" w:rsidP="006242A5">
      <w:pPr>
        <w:tabs>
          <w:tab w:val="left" w:pos="2694"/>
        </w:tabs>
      </w:pPr>
      <w:r w:rsidRPr="00A75CF3">
        <w:t>Join, gather, it is done!</w:t>
      </w:r>
    </w:p>
    <w:p w14:paraId="35DC31F5" w14:textId="5A354080" w:rsidR="00281280" w:rsidRDefault="00281280" w:rsidP="006242A5">
      <w:pPr>
        <w:tabs>
          <w:tab w:val="left" w:pos="2694"/>
        </w:tabs>
        <w:rPr>
          <w:b/>
          <w:color w:val="23305D"/>
          <w:spacing w:val="-10"/>
          <w:sz w:val="56"/>
          <w:szCs w:val="56"/>
        </w:rPr>
      </w:pPr>
      <w:r>
        <w:br w:type="page"/>
      </w:r>
    </w:p>
    <w:p w14:paraId="4ADDDB84" w14:textId="3E81A078" w:rsidR="00892087" w:rsidRPr="00DD4091" w:rsidRDefault="00892087" w:rsidP="00DD4091">
      <w:pPr>
        <w:pStyle w:val="Heading1"/>
      </w:pPr>
      <w:bookmarkStart w:id="3" w:name="_Toc216376539"/>
      <w:r w:rsidRPr="00DD4091">
        <w:lastRenderedPageBreak/>
        <w:t>Foreword</w:t>
      </w:r>
      <w:bookmarkEnd w:id="3"/>
    </w:p>
    <w:p w14:paraId="6FD77BC9" w14:textId="77777777" w:rsidR="00E029EB" w:rsidRPr="00E029EB" w:rsidRDefault="00E029EB" w:rsidP="00E029EB">
      <w:pPr>
        <w:spacing w:after="160" w:line="256" w:lineRule="auto"/>
        <w:rPr>
          <w:rFonts w:cs="Segoe UI"/>
        </w:rPr>
      </w:pPr>
      <w:r w:rsidRPr="00E029EB">
        <w:rPr>
          <w:rFonts w:cs="Segoe UI"/>
        </w:rPr>
        <w:t xml:space="preserve">This report, </w:t>
      </w:r>
      <w:r w:rsidRPr="008414B1">
        <w:rPr>
          <w:rFonts w:cs="Segoe UI"/>
          <w:i/>
          <w:iCs/>
        </w:rPr>
        <w:t>Māori Years of Life Lost: Estimates from the Global Burden of Disease Study, 2021</w:t>
      </w:r>
      <w:r w:rsidRPr="00E029EB">
        <w:rPr>
          <w:rFonts w:cs="Segoe UI"/>
        </w:rPr>
        <w:t>, represents a significant milestone. This is the first time the Global Burden of Disease framework has been applied to Māori, and to any Indigenous population, globally. It provides a clear picture of premature mortality and the health inequities that persist for Māori in New Zealand.</w:t>
      </w:r>
    </w:p>
    <w:p w14:paraId="38B4CD66" w14:textId="77777777" w:rsidR="00E029EB" w:rsidRPr="00E029EB" w:rsidRDefault="00E029EB" w:rsidP="00E029EB">
      <w:pPr>
        <w:spacing w:after="160" w:line="256" w:lineRule="auto"/>
        <w:rPr>
          <w:rFonts w:cs="Segoe UI"/>
        </w:rPr>
      </w:pPr>
      <w:r w:rsidRPr="00E029EB">
        <w:rPr>
          <w:rFonts w:cs="Segoe UI"/>
        </w:rPr>
        <w:t xml:space="preserve">While life expectancy for Māori has increased, and there have been improvements over time in key health statistics, the data finds Māori have roughly twice the rate of early death compared to non-Māori. Non-communicable diseases accounted for most of this, with cancers contributing 29% and cardiovascular diseases 22%. Beyond non-communicable diseases, injuries, including self-harm, accounted for 17% of years of life lost prematurely compared to 9% for non-Māori. </w:t>
      </w:r>
    </w:p>
    <w:p w14:paraId="0B3893CE" w14:textId="77777777" w:rsidR="00E029EB" w:rsidRPr="00E029EB" w:rsidRDefault="00E029EB" w:rsidP="00E029EB">
      <w:pPr>
        <w:spacing w:after="160" w:line="256" w:lineRule="auto"/>
        <w:rPr>
          <w:rFonts w:cs="Segoe UI"/>
        </w:rPr>
      </w:pPr>
      <w:r w:rsidRPr="00E029EB">
        <w:rPr>
          <w:rFonts w:cs="Segoe UI"/>
        </w:rPr>
        <w:t xml:space="preserve">These differences highlight the importance of delivering the basics of health care well across New Zealand. Ensuring all populations receive the care they need is a priority for the health system and critical for improving health outcomes for Māori. </w:t>
      </w:r>
    </w:p>
    <w:p w14:paraId="65B6585F" w14:textId="320B3E4F" w:rsidR="002056EB" w:rsidRPr="00761EB9" w:rsidRDefault="00E029EB" w:rsidP="00E029EB">
      <w:pPr>
        <w:spacing w:after="160" w:line="256" w:lineRule="auto"/>
        <w:rPr>
          <w:rFonts w:cs="Segoe UI"/>
        </w:rPr>
      </w:pPr>
      <w:r w:rsidRPr="00E029EB">
        <w:rPr>
          <w:rFonts w:cs="Segoe UI"/>
        </w:rPr>
        <w:t>These figures are not just numbers; they represent lives shortened, whānau disrupted and communities carrying the weight of early loss – each number is a person, a whānau, and a story. We acknowledge with deep respect those whose lives are represented in these statistics. We also acknowledge those who shared their knowledge, experiences and expertise to shape this report. Your voices ensure that these findings are not just data points, but insights grounded in lived reality.</w:t>
      </w:r>
    </w:p>
    <w:p w14:paraId="5B6C7FCA" w14:textId="354C1C9D" w:rsidR="0071571F" w:rsidRDefault="0071571F" w:rsidP="0071571F">
      <w:pPr>
        <w:rPr>
          <w:rFonts w:cs="Segoe UI"/>
        </w:rPr>
      </w:pPr>
      <w:r w:rsidRPr="00761EB9">
        <w:rPr>
          <w:rFonts w:cs="Segoe UI"/>
        </w:rPr>
        <w:t xml:space="preserve">The whakataukī </w:t>
      </w:r>
      <w:r w:rsidR="00D555F7">
        <w:rPr>
          <w:rFonts w:cs="Segoe UI"/>
          <w:b/>
          <w:bCs/>
        </w:rPr>
        <w:t>’</w:t>
      </w:r>
      <w:r w:rsidRPr="00761EB9">
        <w:rPr>
          <w:rFonts w:cs="Segoe UI"/>
          <w:b/>
          <w:bCs/>
        </w:rPr>
        <w:t>He oranga ngākau, he pikinga waiora</w:t>
      </w:r>
      <w:r w:rsidR="00D555F7">
        <w:rPr>
          <w:rFonts w:cs="Segoe UI"/>
          <w:b/>
          <w:bCs/>
        </w:rPr>
        <w:t>’</w:t>
      </w:r>
      <w:r w:rsidRPr="00761EB9">
        <w:rPr>
          <w:rFonts w:cs="Segoe UI"/>
        </w:rPr>
        <w:t xml:space="preserve"> – </w:t>
      </w:r>
      <w:r w:rsidRPr="00E029EB">
        <w:rPr>
          <w:rFonts w:cs="Segoe UI"/>
        </w:rPr>
        <w:t>A healthy heart leads to a fulfilling life</w:t>
      </w:r>
      <w:r w:rsidRPr="00761EB9">
        <w:rPr>
          <w:rFonts w:cs="Segoe UI"/>
        </w:rPr>
        <w:t xml:space="preserve"> – captures the aspiration behind this work. It reminds us that wellbeing begins within and radiates outward, strengthening whānau, hapū and iwi. Let this report be a catalyst for change so that future generations of Māori may live longer, healthier and more fulfilling lives.</w:t>
      </w:r>
    </w:p>
    <w:p w14:paraId="2B6BCDD9" w14:textId="77777777" w:rsidR="00DF6956" w:rsidRPr="00761EB9" w:rsidRDefault="00DF6956" w:rsidP="0071571F">
      <w:pPr>
        <w:rPr>
          <w:rFonts w:cs="Segoe UI"/>
        </w:rPr>
      </w:pPr>
    </w:p>
    <w:p w14:paraId="60497BDB" w14:textId="77777777" w:rsidR="0071571F" w:rsidRDefault="0071571F" w:rsidP="0071571F">
      <w:r>
        <w:t>Ngā mihi</w:t>
      </w:r>
    </w:p>
    <w:p w14:paraId="7E21797D" w14:textId="77777777" w:rsidR="0071571F" w:rsidRPr="00DF6956" w:rsidRDefault="0071571F" w:rsidP="0071571F">
      <w:pPr>
        <w:rPr>
          <w:b/>
          <w:bCs/>
        </w:rPr>
      </w:pPr>
      <w:r w:rsidRPr="00DF6956">
        <w:rPr>
          <w:b/>
          <w:bCs/>
        </w:rPr>
        <w:t>John Whaanga</w:t>
      </w:r>
    </w:p>
    <w:p w14:paraId="653EB70E" w14:textId="77777777" w:rsidR="0071571F" w:rsidRPr="002652DD" w:rsidRDefault="0071571F" w:rsidP="0071571F">
      <w:r>
        <w:t>Deputy Director-General, Māori Health</w:t>
      </w:r>
    </w:p>
    <w:p w14:paraId="32017DA9" w14:textId="77777777" w:rsidR="0071571F" w:rsidRDefault="0071571F" w:rsidP="0071571F">
      <w:pPr>
        <w:rPr>
          <w:b/>
          <w:color w:val="23305D"/>
          <w:spacing w:val="-10"/>
          <w:sz w:val="56"/>
          <w:szCs w:val="56"/>
        </w:rPr>
      </w:pPr>
      <w:r>
        <w:br w:type="page"/>
      </w:r>
    </w:p>
    <w:p w14:paraId="6625C45C" w14:textId="08B31D55" w:rsidR="00A33BA2" w:rsidRPr="00DD4091" w:rsidRDefault="00F72693" w:rsidP="00DD4091">
      <w:pPr>
        <w:pStyle w:val="Heading1"/>
      </w:pPr>
      <w:bookmarkStart w:id="4" w:name="_Toc216376540"/>
      <w:r w:rsidRPr="00DD4091">
        <w:lastRenderedPageBreak/>
        <w:t xml:space="preserve">He </w:t>
      </w:r>
      <w:r w:rsidR="00BF4574" w:rsidRPr="00DD4091">
        <w:t>wāhinga kōrero</w:t>
      </w:r>
      <w:bookmarkEnd w:id="4"/>
    </w:p>
    <w:p w14:paraId="1D79C289" w14:textId="715249D1" w:rsidR="001F2145" w:rsidRPr="00297BCA" w:rsidRDefault="00E4551B" w:rsidP="00297BCA">
      <w:pPr>
        <w:spacing w:after="160" w:line="256" w:lineRule="auto"/>
        <w:rPr>
          <w:rFonts w:cs="Segoe UI"/>
        </w:rPr>
      </w:pPr>
      <w:r>
        <w:t xml:space="preserve">He whakatutukinga whakahirahira te pūrongo nei, </w:t>
      </w:r>
      <w:r w:rsidRPr="00297BCA">
        <w:rPr>
          <w:rFonts w:cs="Segoe UI"/>
        </w:rPr>
        <w:t>Ngā Tau i Ngaro mō te Oranga o Ngāi Māori: He Whakatau Tata nō te Rangahau mō te Taumahatanga Tahumaero ā-Ao, 2021.</w:t>
      </w:r>
      <w:r>
        <w:t xml:space="preserve"> Koinei te wā tuatahi i whakahāngaitia te pou tarāwaho Taumahatanga Tahumaero ā-Ao, ki ngāi Māori, waihoki he tuatahitanga mō tētahi taupori Iwi Taketake puta noa i te ao. Kei roto he whakaahua mārama o te mate kokoti tau me ngā tautika-kore ā-hauora e pā tonu ana ki ngāi Māori i Aotearoa nei.</w:t>
      </w:r>
    </w:p>
    <w:p w14:paraId="526B6B55" w14:textId="7160B5DC" w:rsidR="00E4551B" w:rsidRDefault="00E4551B" w:rsidP="00297BCA">
      <w:pPr>
        <w:spacing w:after="160" w:line="256" w:lineRule="auto"/>
        <w:rPr>
          <w:rFonts w:cs="Segoe UI"/>
        </w:rPr>
      </w:pPr>
      <w:r>
        <w:t xml:space="preserve">Ahakoa kua piki te wāora mō ngāi Māori, ā, nāwai rā kua pai ake hoki ngā tauanga hauora matua, ko te kitenga i roto i ngā raraunga ka tata huarua te matenga tōmua o ngāi Māori ina whakatairitea ki tauiwi. Nā ngā tahumaero whakawhiti kore te take mō te nuinga o tēnei āhuatanga. Ko te wāhi ki ngā mate pukupuku e 29 ōrau, ko te wāhi ki ngā tahumaero ia-manawa 22 ōrau.  I tua atu i ngā tahumaero whakawhiti kore, nā ngā wharanga, tae atu ki te whakakino whaiaro, te 17 ōrau o ngā tau oranga i ngaro tōmua ina whakatairitea ki te 9 ōrau o tauiwi. </w:t>
      </w:r>
    </w:p>
    <w:p w14:paraId="762A1C16" w14:textId="14016896" w:rsidR="001F2145" w:rsidRDefault="00E4551B" w:rsidP="00297BCA">
      <w:pPr>
        <w:spacing w:after="160" w:line="256" w:lineRule="auto"/>
        <w:rPr>
          <w:rFonts w:cs="Segoe UI"/>
        </w:rPr>
      </w:pPr>
      <w:r>
        <w:t xml:space="preserve">Nā runga anō i ēnei rerekētanga he mea nui kia pai te whakarato i ngā āhuatanga waiwai o te ratonga hauora puta noa i Aotearoa. He kaupapa whakaarotau mō te pūnaha hauora te whakatūturu e whiwhi ai ngā taupori katoa ki te tiaki e hiahiatia ana, ā, he waiwai kia whakapai ake i ngā putanga hauora mō ngāi Māori. </w:t>
      </w:r>
    </w:p>
    <w:p w14:paraId="0F8C1562" w14:textId="6276B8E2" w:rsidR="00E4551B" w:rsidRDefault="00E4551B" w:rsidP="00297BCA">
      <w:pPr>
        <w:spacing w:after="160" w:line="256" w:lineRule="auto"/>
        <w:rPr>
          <w:rFonts w:cs="Segoe UI"/>
        </w:rPr>
      </w:pPr>
      <w:r>
        <w:t>Ehara ēnei whika i te nama noa iho; e tohu ana i ngā oranga i whakapotohia, ngā whānau i whakatōhenehenetia me ngā hapori e kawe ana i te taumahatanga o te ngaromanga tōmua – kei tēnā nama, kei tēnā nama he tangata, he whānau, he kōrero anō hoki. E mihi ana mātou ki te hunga e whakaatuhia ana ō rātou ao i roto i ēnei tauanga i runga i te whakaute hōhonu. E mihi ana hoki mātou ki te hunga i homai ō rātou mātauranga, wheako, mātanga hoki hei tārai i te pūrongo nei. Nā ō koutou reo i whakatūturu he māramatanga i puta mai i te ao wheako ēnei kitenga, ehara i te ira raraunga noa iho.</w:t>
      </w:r>
    </w:p>
    <w:p w14:paraId="0E3751FD" w14:textId="39C95A4B" w:rsidR="00E4551B" w:rsidRDefault="00E4551B" w:rsidP="00297BCA">
      <w:pPr>
        <w:spacing w:after="160" w:line="256" w:lineRule="auto"/>
        <w:rPr>
          <w:rFonts w:cs="Segoe UI"/>
        </w:rPr>
      </w:pPr>
      <w:r>
        <w:t xml:space="preserve">E hopu ana te whakataukī </w:t>
      </w:r>
      <w:r w:rsidR="00297BCA" w:rsidRPr="00297BCA">
        <w:rPr>
          <w:rFonts w:cs="Segoe UI"/>
          <w:b/>
          <w:bCs/>
        </w:rPr>
        <w:t>‘</w:t>
      </w:r>
      <w:r>
        <w:rPr>
          <w:b/>
        </w:rPr>
        <w:t xml:space="preserve">He oranga ngākau, he pikinga </w:t>
      </w:r>
      <w:r w:rsidRPr="00297BCA">
        <w:rPr>
          <w:rFonts w:cs="Segoe UI"/>
          <w:b/>
          <w:bCs/>
        </w:rPr>
        <w:t>waiora</w:t>
      </w:r>
      <w:r w:rsidR="00297BCA" w:rsidRPr="00297BCA">
        <w:rPr>
          <w:rFonts w:cs="Segoe UI"/>
          <w:b/>
          <w:bCs/>
        </w:rPr>
        <w:t>’</w:t>
      </w:r>
      <w:r>
        <w:t xml:space="preserve"> i te tino wawata o te mahi nei. He mea hei whakamaumahara i a tātou ka tīmata te oranga ki roto o te tangata, ā, ka whakawhiti atu ki waho, e whakapakari ana i ngā whānau, ngā hapū me ngā iwi. Kia noho te pūrongo nei hei tūāpapa mō te panonitanga kia roa ake te wāora, kia kounga te hauora, ā, kia whakatūtatakihia ngā ao o ngā whakatipuranga Māori haere ake nei.</w:t>
      </w:r>
    </w:p>
    <w:p w14:paraId="6358781A" w14:textId="77777777" w:rsidR="00E029EB" w:rsidRPr="00761EB9" w:rsidRDefault="00E029EB" w:rsidP="00E029EB">
      <w:pPr>
        <w:rPr>
          <w:rFonts w:cs="Segoe UI"/>
        </w:rPr>
      </w:pPr>
    </w:p>
    <w:p w14:paraId="540466B8" w14:textId="77777777" w:rsidR="00E029EB" w:rsidRDefault="00E029EB" w:rsidP="00E029EB">
      <w:r>
        <w:t>Ngā mihi</w:t>
      </w:r>
    </w:p>
    <w:p w14:paraId="47E5828D" w14:textId="77777777" w:rsidR="00E029EB" w:rsidRPr="00DF6956" w:rsidRDefault="00E029EB" w:rsidP="00E029EB">
      <w:pPr>
        <w:rPr>
          <w:b/>
          <w:bCs/>
        </w:rPr>
      </w:pPr>
      <w:r w:rsidRPr="00DF6956">
        <w:rPr>
          <w:b/>
          <w:bCs/>
        </w:rPr>
        <w:t>John Whaanga</w:t>
      </w:r>
    </w:p>
    <w:p w14:paraId="2CB3C25C" w14:textId="0AD0D4D7" w:rsidR="00381EED" w:rsidRPr="002652DD" w:rsidRDefault="00381EED" w:rsidP="00381EED">
      <w:r>
        <w:t xml:space="preserve">Deputy Director-General, </w:t>
      </w:r>
      <w:r w:rsidR="006C1FD6">
        <w:t>Te Pou Hauora Māori</w:t>
      </w:r>
    </w:p>
    <w:p w14:paraId="3A9B8824" w14:textId="5CDFBD6D" w:rsidR="00A33BA2" w:rsidRDefault="00A33BA2">
      <w:pPr>
        <w:rPr>
          <w:b/>
          <w:color w:val="23305D"/>
          <w:spacing w:val="-10"/>
          <w:sz w:val="56"/>
          <w:szCs w:val="56"/>
        </w:rPr>
      </w:pPr>
      <w:r>
        <w:br w:type="page"/>
      </w:r>
    </w:p>
    <w:p w14:paraId="715E2FEE" w14:textId="77777777" w:rsidR="00BB182D" w:rsidRDefault="00BB182D" w:rsidP="00AE4FDA">
      <w:pPr>
        <w:pStyle w:val="IntroHead"/>
      </w:pPr>
    </w:p>
    <w:p w14:paraId="4F1552C4" w14:textId="77777777" w:rsidR="00BB182D" w:rsidRDefault="00BB182D">
      <w:pPr>
        <w:rPr>
          <w:b/>
          <w:color w:val="23305D"/>
          <w:spacing w:val="-10"/>
          <w:sz w:val="56"/>
          <w:szCs w:val="56"/>
        </w:rPr>
      </w:pPr>
      <w:r>
        <w:br w:type="page"/>
      </w:r>
    </w:p>
    <w:p w14:paraId="648D4F84" w14:textId="4561AC21" w:rsidR="00C86248" w:rsidRDefault="00C86248" w:rsidP="00AE4FDA">
      <w:pPr>
        <w:pStyle w:val="IntroHead"/>
      </w:pPr>
      <w:r>
        <w:lastRenderedPageBreak/>
        <w:t>Contents</w:t>
      </w:r>
      <w:bookmarkEnd w:id="1"/>
      <w:bookmarkEnd w:id="2"/>
    </w:p>
    <w:p w14:paraId="09497693" w14:textId="63FF341E" w:rsidR="00523060" w:rsidRDefault="00D96C33">
      <w:pPr>
        <w:pStyle w:val="TOC1"/>
        <w:rPr>
          <w:rFonts w:asciiTheme="minorHAnsi" w:eastAsiaTheme="minorEastAsia" w:hAnsiTheme="minorHAnsi" w:cstheme="minorBidi"/>
          <w:noProof/>
          <w:kern w:val="2"/>
          <w:szCs w:val="24"/>
          <w:lang w:eastAsia="en-NZ"/>
          <w14:ligatures w14:val="standardContextual"/>
        </w:rPr>
      </w:pPr>
      <w:r>
        <w:rPr>
          <w:b/>
        </w:rPr>
        <w:fldChar w:fldCharType="begin"/>
      </w:r>
      <w:r>
        <w:rPr>
          <w:b/>
        </w:rPr>
        <w:instrText xml:space="preserve"> TOC \o "1-2" \h \z </w:instrText>
      </w:r>
      <w:r>
        <w:rPr>
          <w:b/>
        </w:rPr>
        <w:fldChar w:fldCharType="separate"/>
      </w:r>
      <w:hyperlink w:anchor="_Toc216376538" w:history="1">
        <w:r w:rsidR="00523060" w:rsidRPr="0030162D">
          <w:rPr>
            <w:rStyle w:val="Hyperlink"/>
            <w:noProof/>
          </w:rPr>
          <w:t>Karakia</w:t>
        </w:r>
        <w:r w:rsidR="00523060">
          <w:rPr>
            <w:noProof/>
            <w:webHidden/>
          </w:rPr>
          <w:tab/>
        </w:r>
        <w:r w:rsidR="00523060">
          <w:rPr>
            <w:noProof/>
            <w:webHidden/>
          </w:rPr>
          <w:fldChar w:fldCharType="begin"/>
        </w:r>
        <w:r w:rsidR="00523060">
          <w:rPr>
            <w:noProof/>
            <w:webHidden/>
          </w:rPr>
          <w:instrText xml:space="preserve"> PAGEREF _Toc216376538 \h </w:instrText>
        </w:r>
        <w:r w:rsidR="00523060">
          <w:rPr>
            <w:noProof/>
            <w:webHidden/>
          </w:rPr>
        </w:r>
        <w:r w:rsidR="00523060">
          <w:rPr>
            <w:noProof/>
            <w:webHidden/>
          </w:rPr>
          <w:fldChar w:fldCharType="separate"/>
        </w:r>
        <w:r w:rsidR="000E725A">
          <w:rPr>
            <w:noProof/>
            <w:webHidden/>
          </w:rPr>
          <w:t>iii</w:t>
        </w:r>
        <w:r w:rsidR="00523060">
          <w:rPr>
            <w:noProof/>
            <w:webHidden/>
          </w:rPr>
          <w:fldChar w:fldCharType="end"/>
        </w:r>
      </w:hyperlink>
    </w:p>
    <w:p w14:paraId="625699ED" w14:textId="28733D46"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39" w:history="1">
        <w:r w:rsidRPr="0030162D">
          <w:rPr>
            <w:rStyle w:val="Hyperlink"/>
            <w:noProof/>
          </w:rPr>
          <w:t>Foreword</w:t>
        </w:r>
        <w:r>
          <w:rPr>
            <w:noProof/>
            <w:webHidden/>
          </w:rPr>
          <w:tab/>
        </w:r>
        <w:r>
          <w:rPr>
            <w:noProof/>
            <w:webHidden/>
          </w:rPr>
          <w:fldChar w:fldCharType="begin"/>
        </w:r>
        <w:r>
          <w:rPr>
            <w:noProof/>
            <w:webHidden/>
          </w:rPr>
          <w:instrText xml:space="preserve"> PAGEREF _Toc216376539 \h </w:instrText>
        </w:r>
        <w:r>
          <w:rPr>
            <w:noProof/>
            <w:webHidden/>
          </w:rPr>
        </w:r>
        <w:r>
          <w:rPr>
            <w:noProof/>
            <w:webHidden/>
          </w:rPr>
          <w:fldChar w:fldCharType="separate"/>
        </w:r>
        <w:r w:rsidR="000E725A">
          <w:rPr>
            <w:noProof/>
            <w:webHidden/>
          </w:rPr>
          <w:t>iv</w:t>
        </w:r>
        <w:r>
          <w:rPr>
            <w:noProof/>
            <w:webHidden/>
          </w:rPr>
          <w:fldChar w:fldCharType="end"/>
        </w:r>
      </w:hyperlink>
    </w:p>
    <w:p w14:paraId="2F5BFF9A" w14:textId="402B4954"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40" w:history="1">
        <w:r w:rsidRPr="0030162D">
          <w:rPr>
            <w:rStyle w:val="Hyperlink"/>
            <w:noProof/>
          </w:rPr>
          <w:t>He wāhinga kōrero</w:t>
        </w:r>
        <w:r>
          <w:rPr>
            <w:noProof/>
            <w:webHidden/>
          </w:rPr>
          <w:tab/>
        </w:r>
        <w:r>
          <w:rPr>
            <w:noProof/>
            <w:webHidden/>
          </w:rPr>
          <w:fldChar w:fldCharType="begin"/>
        </w:r>
        <w:r>
          <w:rPr>
            <w:noProof/>
            <w:webHidden/>
          </w:rPr>
          <w:instrText xml:space="preserve"> PAGEREF _Toc216376540 \h </w:instrText>
        </w:r>
        <w:r>
          <w:rPr>
            <w:noProof/>
            <w:webHidden/>
          </w:rPr>
        </w:r>
        <w:r>
          <w:rPr>
            <w:noProof/>
            <w:webHidden/>
          </w:rPr>
          <w:fldChar w:fldCharType="separate"/>
        </w:r>
        <w:r w:rsidR="000E725A">
          <w:rPr>
            <w:noProof/>
            <w:webHidden/>
          </w:rPr>
          <w:t>v</w:t>
        </w:r>
        <w:r>
          <w:rPr>
            <w:noProof/>
            <w:webHidden/>
          </w:rPr>
          <w:fldChar w:fldCharType="end"/>
        </w:r>
      </w:hyperlink>
    </w:p>
    <w:p w14:paraId="77697D00" w14:textId="082FB1DB"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41" w:history="1">
        <w:r w:rsidRPr="0030162D">
          <w:rPr>
            <w:rStyle w:val="Hyperlink"/>
            <w:noProof/>
          </w:rPr>
          <w:t>Executive summary – Whakarāpopototanga matua</w:t>
        </w:r>
        <w:r>
          <w:rPr>
            <w:noProof/>
            <w:webHidden/>
          </w:rPr>
          <w:tab/>
        </w:r>
        <w:r>
          <w:rPr>
            <w:noProof/>
            <w:webHidden/>
          </w:rPr>
          <w:fldChar w:fldCharType="begin"/>
        </w:r>
        <w:r>
          <w:rPr>
            <w:noProof/>
            <w:webHidden/>
          </w:rPr>
          <w:instrText xml:space="preserve"> PAGEREF _Toc216376541 \h </w:instrText>
        </w:r>
        <w:r>
          <w:rPr>
            <w:noProof/>
            <w:webHidden/>
          </w:rPr>
        </w:r>
        <w:r>
          <w:rPr>
            <w:noProof/>
            <w:webHidden/>
          </w:rPr>
          <w:fldChar w:fldCharType="separate"/>
        </w:r>
        <w:r w:rsidR="000E725A">
          <w:rPr>
            <w:noProof/>
            <w:webHidden/>
          </w:rPr>
          <w:t>1</w:t>
        </w:r>
        <w:r>
          <w:rPr>
            <w:noProof/>
            <w:webHidden/>
          </w:rPr>
          <w:fldChar w:fldCharType="end"/>
        </w:r>
      </w:hyperlink>
    </w:p>
    <w:p w14:paraId="24ED62D6" w14:textId="6D1B8475"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42" w:history="1">
        <w:r w:rsidRPr="0030162D">
          <w:rPr>
            <w:rStyle w:val="Hyperlink"/>
            <w:noProof/>
            <w:lang w:eastAsia="en-NZ"/>
          </w:rPr>
          <w:t>The leading causes of years of life lost for Māori</w:t>
        </w:r>
        <w:r>
          <w:rPr>
            <w:noProof/>
            <w:webHidden/>
          </w:rPr>
          <w:tab/>
        </w:r>
        <w:r>
          <w:rPr>
            <w:noProof/>
            <w:webHidden/>
          </w:rPr>
          <w:fldChar w:fldCharType="begin"/>
        </w:r>
        <w:r>
          <w:rPr>
            <w:noProof/>
            <w:webHidden/>
          </w:rPr>
          <w:instrText xml:space="preserve"> PAGEREF _Toc216376542 \h </w:instrText>
        </w:r>
        <w:r>
          <w:rPr>
            <w:noProof/>
            <w:webHidden/>
          </w:rPr>
        </w:r>
        <w:r>
          <w:rPr>
            <w:noProof/>
            <w:webHidden/>
          </w:rPr>
          <w:fldChar w:fldCharType="separate"/>
        </w:r>
        <w:r w:rsidR="000E725A">
          <w:rPr>
            <w:noProof/>
            <w:webHidden/>
          </w:rPr>
          <w:t>1</w:t>
        </w:r>
        <w:r>
          <w:rPr>
            <w:noProof/>
            <w:webHidden/>
          </w:rPr>
          <w:fldChar w:fldCharType="end"/>
        </w:r>
      </w:hyperlink>
    </w:p>
    <w:p w14:paraId="41F56CB5" w14:textId="73CBC584"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43" w:history="1">
        <w:r w:rsidRPr="0030162D">
          <w:rPr>
            <w:rStyle w:val="Hyperlink"/>
            <w:noProof/>
            <w:w w:val="105"/>
          </w:rPr>
          <w:t>Introduction – Kupu whakataki</w:t>
        </w:r>
        <w:r>
          <w:rPr>
            <w:noProof/>
            <w:webHidden/>
          </w:rPr>
          <w:tab/>
        </w:r>
        <w:r>
          <w:rPr>
            <w:noProof/>
            <w:webHidden/>
          </w:rPr>
          <w:fldChar w:fldCharType="begin"/>
        </w:r>
        <w:r>
          <w:rPr>
            <w:noProof/>
            <w:webHidden/>
          </w:rPr>
          <w:instrText xml:space="preserve"> PAGEREF _Toc216376543 \h </w:instrText>
        </w:r>
        <w:r>
          <w:rPr>
            <w:noProof/>
            <w:webHidden/>
          </w:rPr>
        </w:r>
        <w:r>
          <w:rPr>
            <w:noProof/>
            <w:webHidden/>
          </w:rPr>
          <w:fldChar w:fldCharType="separate"/>
        </w:r>
        <w:r w:rsidR="000E725A">
          <w:rPr>
            <w:noProof/>
            <w:webHidden/>
          </w:rPr>
          <w:t>3</w:t>
        </w:r>
        <w:r>
          <w:rPr>
            <w:noProof/>
            <w:webHidden/>
          </w:rPr>
          <w:fldChar w:fldCharType="end"/>
        </w:r>
      </w:hyperlink>
    </w:p>
    <w:p w14:paraId="7F5821BC" w14:textId="29201075"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44" w:history="1">
        <w:r w:rsidRPr="0030162D">
          <w:rPr>
            <w:rStyle w:val="Hyperlink"/>
            <w:rFonts w:cs="Segoe UI"/>
            <w:noProof/>
          </w:rPr>
          <w:t>The Global Burden of Disease study</w:t>
        </w:r>
        <w:r>
          <w:rPr>
            <w:noProof/>
            <w:webHidden/>
          </w:rPr>
          <w:tab/>
        </w:r>
        <w:r>
          <w:rPr>
            <w:noProof/>
            <w:webHidden/>
          </w:rPr>
          <w:fldChar w:fldCharType="begin"/>
        </w:r>
        <w:r>
          <w:rPr>
            <w:noProof/>
            <w:webHidden/>
          </w:rPr>
          <w:instrText xml:space="preserve"> PAGEREF _Toc216376544 \h </w:instrText>
        </w:r>
        <w:r>
          <w:rPr>
            <w:noProof/>
            <w:webHidden/>
          </w:rPr>
        </w:r>
        <w:r>
          <w:rPr>
            <w:noProof/>
            <w:webHidden/>
          </w:rPr>
          <w:fldChar w:fldCharType="separate"/>
        </w:r>
        <w:r w:rsidR="000E725A">
          <w:rPr>
            <w:noProof/>
            <w:webHidden/>
          </w:rPr>
          <w:t>3</w:t>
        </w:r>
        <w:r>
          <w:rPr>
            <w:noProof/>
            <w:webHidden/>
          </w:rPr>
          <w:fldChar w:fldCharType="end"/>
        </w:r>
      </w:hyperlink>
    </w:p>
    <w:p w14:paraId="73131C29" w14:textId="59DAD79C"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45" w:history="1">
        <w:r w:rsidRPr="0030162D">
          <w:rPr>
            <w:rStyle w:val="Hyperlink"/>
            <w:noProof/>
          </w:rPr>
          <w:t>Positioning and use of the estimates – Te ara whakamahi i ngā whakatau tata mō te Rangahau Taumahatanga Tahumaero ā-Ao mō te Māori</w:t>
        </w:r>
        <w:r>
          <w:rPr>
            <w:noProof/>
            <w:webHidden/>
          </w:rPr>
          <w:tab/>
        </w:r>
        <w:r>
          <w:rPr>
            <w:noProof/>
            <w:webHidden/>
          </w:rPr>
          <w:fldChar w:fldCharType="begin"/>
        </w:r>
        <w:r>
          <w:rPr>
            <w:noProof/>
            <w:webHidden/>
          </w:rPr>
          <w:instrText xml:space="preserve"> PAGEREF _Toc216376545 \h </w:instrText>
        </w:r>
        <w:r>
          <w:rPr>
            <w:noProof/>
            <w:webHidden/>
          </w:rPr>
        </w:r>
        <w:r>
          <w:rPr>
            <w:noProof/>
            <w:webHidden/>
          </w:rPr>
          <w:fldChar w:fldCharType="separate"/>
        </w:r>
        <w:r w:rsidR="000E725A">
          <w:rPr>
            <w:noProof/>
            <w:webHidden/>
          </w:rPr>
          <w:t>5</w:t>
        </w:r>
        <w:r>
          <w:rPr>
            <w:noProof/>
            <w:webHidden/>
          </w:rPr>
          <w:fldChar w:fldCharType="end"/>
        </w:r>
      </w:hyperlink>
    </w:p>
    <w:p w14:paraId="3F2C3C44" w14:textId="61647260"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46" w:history="1">
        <w:r w:rsidRPr="0030162D">
          <w:rPr>
            <w:rStyle w:val="Hyperlink"/>
            <w:rFonts w:cs="Segoe UI"/>
            <w:noProof/>
          </w:rPr>
          <w:t>Worldviews and determinants of health</w:t>
        </w:r>
        <w:r>
          <w:rPr>
            <w:noProof/>
            <w:webHidden/>
          </w:rPr>
          <w:tab/>
        </w:r>
        <w:r>
          <w:rPr>
            <w:noProof/>
            <w:webHidden/>
          </w:rPr>
          <w:fldChar w:fldCharType="begin"/>
        </w:r>
        <w:r>
          <w:rPr>
            <w:noProof/>
            <w:webHidden/>
          </w:rPr>
          <w:instrText xml:space="preserve"> PAGEREF _Toc216376546 \h </w:instrText>
        </w:r>
        <w:r>
          <w:rPr>
            <w:noProof/>
            <w:webHidden/>
          </w:rPr>
        </w:r>
        <w:r>
          <w:rPr>
            <w:noProof/>
            <w:webHidden/>
          </w:rPr>
          <w:fldChar w:fldCharType="separate"/>
        </w:r>
        <w:r w:rsidR="000E725A">
          <w:rPr>
            <w:noProof/>
            <w:webHidden/>
          </w:rPr>
          <w:t>5</w:t>
        </w:r>
        <w:r>
          <w:rPr>
            <w:noProof/>
            <w:webHidden/>
          </w:rPr>
          <w:fldChar w:fldCharType="end"/>
        </w:r>
      </w:hyperlink>
    </w:p>
    <w:p w14:paraId="1F10E1C9" w14:textId="31D65449"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47" w:history="1">
        <w:r w:rsidRPr="0030162D">
          <w:rPr>
            <w:rStyle w:val="Hyperlink"/>
            <w:rFonts w:cs="Segoe UI"/>
            <w:noProof/>
          </w:rPr>
          <w:t>Māori data governance</w:t>
        </w:r>
        <w:r>
          <w:rPr>
            <w:noProof/>
            <w:webHidden/>
          </w:rPr>
          <w:tab/>
        </w:r>
        <w:r>
          <w:rPr>
            <w:noProof/>
            <w:webHidden/>
          </w:rPr>
          <w:fldChar w:fldCharType="begin"/>
        </w:r>
        <w:r>
          <w:rPr>
            <w:noProof/>
            <w:webHidden/>
          </w:rPr>
          <w:instrText xml:space="preserve"> PAGEREF _Toc216376547 \h </w:instrText>
        </w:r>
        <w:r>
          <w:rPr>
            <w:noProof/>
            <w:webHidden/>
          </w:rPr>
        </w:r>
        <w:r>
          <w:rPr>
            <w:noProof/>
            <w:webHidden/>
          </w:rPr>
          <w:fldChar w:fldCharType="separate"/>
        </w:r>
        <w:r w:rsidR="000E725A">
          <w:rPr>
            <w:noProof/>
            <w:webHidden/>
          </w:rPr>
          <w:t>6</w:t>
        </w:r>
        <w:r>
          <w:rPr>
            <w:noProof/>
            <w:webHidden/>
          </w:rPr>
          <w:fldChar w:fldCharType="end"/>
        </w:r>
      </w:hyperlink>
    </w:p>
    <w:p w14:paraId="65B290C4" w14:textId="019FCCC6"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48" w:history="1">
        <w:r w:rsidRPr="0030162D">
          <w:rPr>
            <w:rStyle w:val="Hyperlink"/>
            <w:noProof/>
          </w:rPr>
          <w:t>Other considerations</w:t>
        </w:r>
        <w:r>
          <w:rPr>
            <w:noProof/>
            <w:webHidden/>
          </w:rPr>
          <w:tab/>
        </w:r>
        <w:r>
          <w:rPr>
            <w:noProof/>
            <w:webHidden/>
          </w:rPr>
          <w:fldChar w:fldCharType="begin"/>
        </w:r>
        <w:r>
          <w:rPr>
            <w:noProof/>
            <w:webHidden/>
          </w:rPr>
          <w:instrText xml:space="preserve"> PAGEREF _Toc216376548 \h </w:instrText>
        </w:r>
        <w:r>
          <w:rPr>
            <w:noProof/>
            <w:webHidden/>
          </w:rPr>
        </w:r>
        <w:r>
          <w:rPr>
            <w:noProof/>
            <w:webHidden/>
          </w:rPr>
          <w:fldChar w:fldCharType="separate"/>
        </w:r>
        <w:r w:rsidR="000E725A">
          <w:rPr>
            <w:noProof/>
            <w:webHidden/>
          </w:rPr>
          <w:t>6</w:t>
        </w:r>
        <w:r>
          <w:rPr>
            <w:noProof/>
            <w:webHidden/>
          </w:rPr>
          <w:fldChar w:fldCharType="end"/>
        </w:r>
      </w:hyperlink>
    </w:p>
    <w:p w14:paraId="0E68AA9D" w14:textId="378B9802"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49" w:history="1">
        <w:r w:rsidRPr="0030162D">
          <w:rPr>
            <w:rStyle w:val="Hyperlink"/>
            <w:noProof/>
          </w:rPr>
          <w:t>Methodology – Tikanga mahi</w:t>
        </w:r>
        <w:r>
          <w:rPr>
            <w:noProof/>
            <w:webHidden/>
          </w:rPr>
          <w:tab/>
        </w:r>
        <w:r>
          <w:rPr>
            <w:noProof/>
            <w:webHidden/>
          </w:rPr>
          <w:fldChar w:fldCharType="begin"/>
        </w:r>
        <w:r>
          <w:rPr>
            <w:noProof/>
            <w:webHidden/>
          </w:rPr>
          <w:instrText xml:space="preserve"> PAGEREF _Toc216376549 \h </w:instrText>
        </w:r>
        <w:r>
          <w:rPr>
            <w:noProof/>
            <w:webHidden/>
          </w:rPr>
        </w:r>
        <w:r>
          <w:rPr>
            <w:noProof/>
            <w:webHidden/>
          </w:rPr>
          <w:fldChar w:fldCharType="separate"/>
        </w:r>
        <w:r w:rsidR="000E725A">
          <w:rPr>
            <w:noProof/>
            <w:webHidden/>
          </w:rPr>
          <w:t>8</w:t>
        </w:r>
        <w:r>
          <w:rPr>
            <w:noProof/>
            <w:webHidden/>
          </w:rPr>
          <w:fldChar w:fldCharType="end"/>
        </w:r>
      </w:hyperlink>
    </w:p>
    <w:p w14:paraId="606602BA" w14:textId="73EFEE69"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0" w:history="1">
        <w:r w:rsidRPr="0030162D">
          <w:rPr>
            <w:rStyle w:val="Hyperlink"/>
            <w:noProof/>
          </w:rPr>
          <w:t>Estimates and modelling</w:t>
        </w:r>
        <w:r>
          <w:rPr>
            <w:noProof/>
            <w:webHidden/>
          </w:rPr>
          <w:tab/>
        </w:r>
        <w:r>
          <w:rPr>
            <w:noProof/>
            <w:webHidden/>
          </w:rPr>
          <w:fldChar w:fldCharType="begin"/>
        </w:r>
        <w:r>
          <w:rPr>
            <w:noProof/>
            <w:webHidden/>
          </w:rPr>
          <w:instrText xml:space="preserve"> PAGEREF _Toc216376550 \h </w:instrText>
        </w:r>
        <w:r>
          <w:rPr>
            <w:noProof/>
            <w:webHidden/>
          </w:rPr>
        </w:r>
        <w:r>
          <w:rPr>
            <w:noProof/>
            <w:webHidden/>
          </w:rPr>
          <w:fldChar w:fldCharType="separate"/>
        </w:r>
        <w:r w:rsidR="000E725A">
          <w:rPr>
            <w:noProof/>
            <w:webHidden/>
          </w:rPr>
          <w:t>8</w:t>
        </w:r>
        <w:r>
          <w:rPr>
            <w:noProof/>
            <w:webHidden/>
          </w:rPr>
          <w:fldChar w:fldCharType="end"/>
        </w:r>
      </w:hyperlink>
    </w:p>
    <w:p w14:paraId="44839487" w14:textId="70826BF8"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1" w:history="1">
        <w:r w:rsidRPr="0030162D">
          <w:rPr>
            <w:rStyle w:val="Hyperlink"/>
            <w:noProof/>
          </w:rPr>
          <w:t>Years of life lost as a measure of premature death</w:t>
        </w:r>
        <w:r>
          <w:rPr>
            <w:noProof/>
            <w:webHidden/>
          </w:rPr>
          <w:tab/>
        </w:r>
        <w:r>
          <w:rPr>
            <w:noProof/>
            <w:webHidden/>
          </w:rPr>
          <w:fldChar w:fldCharType="begin"/>
        </w:r>
        <w:r>
          <w:rPr>
            <w:noProof/>
            <w:webHidden/>
          </w:rPr>
          <w:instrText xml:space="preserve"> PAGEREF _Toc216376551 \h </w:instrText>
        </w:r>
        <w:r>
          <w:rPr>
            <w:noProof/>
            <w:webHidden/>
          </w:rPr>
        </w:r>
        <w:r>
          <w:rPr>
            <w:noProof/>
            <w:webHidden/>
          </w:rPr>
          <w:fldChar w:fldCharType="separate"/>
        </w:r>
        <w:r w:rsidR="000E725A">
          <w:rPr>
            <w:noProof/>
            <w:webHidden/>
          </w:rPr>
          <w:t>8</w:t>
        </w:r>
        <w:r>
          <w:rPr>
            <w:noProof/>
            <w:webHidden/>
          </w:rPr>
          <w:fldChar w:fldCharType="end"/>
        </w:r>
      </w:hyperlink>
    </w:p>
    <w:p w14:paraId="06E5DBA8" w14:textId="6037F9B5"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2" w:history="1">
        <w:r w:rsidRPr="0030162D">
          <w:rPr>
            <w:rStyle w:val="Hyperlink"/>
            <w:noProof/>
          </w:rPr>
          <w:t>Data sources</w:t>
        </w:r>
        <w:r>
          <w:rPr>
            <w:noProof/>
            <w:webHidden/>
          </w:rPr>
          <w:tab/>
        </w:r>
        <w:r>
          <w:rPr>
            <w:noProof/>
            <w:webHidden/>
          </w:rPr>
          <w:fldChar w:fldCharType="begin"/>
        </w:r>
        <w:r>
          <w:rPr>
            <w:noProof/>
            <w:webHidden/>
          </w:rPr>
          <w:instrText xml:space="preserve"> PAGEREF _Toc216376552 \h </w:instrText>
        </w:r>
        <w:r>
          <w:rPr>
            <w:noProof/>
            <w:webHidden/>
          </w:rPr>
        </w:r>
        <w:r>
          <w:rPr>
            <w:noProof/>
            <w:webHidden/>
          </w:rPr>
          <w:fldChar w:fldCharType="separate"/>
        </w:r>
        <w:r w:rsidR="000E725A">
          <w:rPr>
            <w:noProof/>
            <w:webHidden/>
          </w:rPr>
          <w:t>8</w:t>
        </w:r>
        <w:r>
          <w:rPr>
            <w:noProof/>
            <w:webHidden/>
          </w:rPr>
          <w:fldChar w:fldCharType="end"/>
        </w:r>
      </w:hyperlink>
    </w:p>
    <w:p w14:paraId="3B2882FD" w14:textId="0DEDA8D1"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3" w:history="1">
        <w:r w:rsidRPr="0030162D">
          <w:rPr>
            <w:rStyle w:val="Hyperlink"/>
            <w:noProof/>
          </w:rPr>
          <w:t>Data classifications</w:t>
        </w:r>
        <w:r>
          <w:rPr>
            <w:noProof/>
            <w:webHidden/>
          </w:rPr>
          <w:tab/>
        </w:r>
        <w:r>
          <w:rPr>
            <w:noProof/>
            <w:webHidden/>
          </w:rPr>
          <w:fldChar w:fldCharType="begin"/>
        </w:r>
        <w:r>
          <w:rPr>
            <w:noProof/>
            <w:webHidden/>
          </w:rPr>
          <w:instrText xml:space="preserve"> PAGEREF _Toc216376553 \h </w:instrText>
        </w:r>
        <w:r>
          <w:rPr>
            <w:noProof/>
            <w:webHidden/>
          </w:rPr>
        </w:r>
        <w:r>
          <w:rPr>
            <w:noProof/>
            <w:webHidden/>
          </w:rPr>
          <w:fldChar w:fldCharType="separate"/>
        </w:r>
        <w:r w:rsidR="000E725A">
          <w:rPr>
            <w:noProof/>
            <w:webHidden/>
          </w:rPr>
          <w:t>9</w:t>
        </w:r>
        <w:r>
          <w:rPr>
            <w:noProof/>
            <w:webHidden/>
          </w:rPr>
          <w:fldChar w:fldCharType="end"/>
        </w:r>
      </w:hyperlink>
    </w:p>
    <w:p w14:paraId="1C35FE47" w14:textId="3F1FDE19"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4" w:history="1">
        <w:r w:rsidRPr="0030162D">
          <w:rPr>
            <w:rStyle w:val="Hyperlink"/>
            <w:noProof/>
          </w:rPr>
          <w:t>Age standardisation</w:t>
        </w:r>
        <w:r>
          <w:rPr>
            <w:noProof/>
            <w:webHidden/>
          </w:rPr>
          <w:tab/>
        </w:r>
        <w:r>
          <w:rPr>
            <w:noProof/>
            <w:webHidden/>
          </w:rPr>
          <w:fldChar w:fldCharType="begin"/>
        </w:r>
        <w:r>
          <w:rPr>
            <w:noProof/>
            <w:webHidden/>
          </w:rPr>
          <w:instrText xml:space="preserve"> PAGEREF _Toc216376554 \h </w:instrText>
        </w:r>
        <w:r>
          <w:rPr>
            <w:noProof/>
            <w:webHidden/>
          </w:rPr>
        </w:r>
        <w:r>
          <w:rPr>
            <w:noProof/>
            <w:webHidden/>
          </w:rPr>
          <w:fldChar w:fldCharType="separate"/>
        </w:r>
        <w:r w:rsidR="000E725A">
          <w:rPr>
            <w:noProof/>
            <w:webHidden/>
          </w:rPr>
          <w:t>11</w:t>
        </w:r>
        <w:r>
          <w:rPr>
            <w:noProof/>
            <w:webHidden/>
          </w:rPr>
          <w:fldChar w:fldCharType="end"/>
        </w:r>
      </w:hyperlink>
    </w:p>
    <w:p w14:paraId="5E689F84" w14:textId="218A2033"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5" w:history="1">
        <w:r w:rsidRPr="0030162D">
          <w:rPr>
            <w:rStyle w:val="Hyperlink"/>
            <w:rFonts w:cs="Segoe UI"/>
            <w:noProof/>
          </w:rPr>
          <w:t>Numerators and denominators</w:t>
        </w:r>
        <w:r>
          <w:rPr>
            <w:noProof/>
            <w:webHidden/>
          </w:rPr>
          <w:tab/>
        </w:r>
        <w:r>
          <w:rPr>
            <w:noProof/>
            <w:webHidden/>
          </w:rPr>
          <w:fldChar w:fldCharType="begin"/>
        </w:r>
        <w:r>
          <w:rPr>
            <w:noProof/>
            <w:webHidden/>
          </w:rPr>
          <w:instrText xml:space="preserve"> PAGEREF _Toc216376555 \h </w:instrText>
        </w:r>
        <w:r>
          <w:rPr>
            <w:noProof/>
            <w:webHidden/>
          </w:rPr>
        </w:r>
        <w:r>
          <w:rPr>
            <w:noProof/>
            <w:webHidden/>
          </w:rPr>
          <w:fldChar w:fldCharType="separate"/>
        </w:r>
        <w:r w:rsidR="000E725A">
          <w:rPr>
            <w:noProof/>
            <w:webHidden/>
          </w:rPr>
          <w:t>11</w:t>
        </w:r>
        <w:r>
          <w:rPr>
            <w:noProof/>
            <w:webHidden/>
          </w:rPr>
          <w:fldChar w:fldCharType="end"/>
        </w:r>
      </w:hyperlink>
    </w:p>
    <w:p w14:paraId="6EBC6DDB" w14:textId="27B63777"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6" w:history="1">
        <w:r w:rsidRPr="0030162D">
          <w:rPr>
            <w:rStyle w:val="Hyperlink"/>
            <w:rFonts w:cs="Segoe UI"/>
            <w:noProof/>
          </w:rPr>
          <w:t>Uncertainty intervals</w:t>
        </w:r>
        <w:r>
          <w:rPr>
            <w:noProof/>
            <w:webHidden/>
          </w:rPr>
          <w:tab/>
        </w:r>
        <w:r>
          <w:rPr>
            <w:noProof/>
            <w:webHidden/>
          </w:rPr>
          <w:fldChar w:fldCharType="begin"/>
        </w:r>
        <w:r>
          <w:rPr>
            <w:noProof/>
            <w:webHidden/>
          </w:rPr>
          <w:instrText xml:space="preserve"> PAGEREF _Toc216376556 \h </w:instrText>
        </w:r>
        <w:r>
          <w:rPr>
            <w:noProof/>
            <w:webHidden/>
          </w:rPr>
        </w:r>
        <w:r>
          <w:rPr>
            <w:noProof/>
            <w:webHidden/>
          </w:rPr>
          <w:fldChar w:fldCharType="separate"/>
        </w:r>
        <w:r w:rsidR="000E725A">
          <w:rPr>
            <w:noProof/>
            <w:webHidden/>
          </w:rPr>
          <w:t>12</w:t>
        </w:r>
        <w:r>
          <w:rPr>
            <w:noProof/>
            <w:webHidden/>
          </w:rPr>
          <w:fldChar w:fldCharType="end"/>
        </w:r>
      </w:hyperlink>
    </w:p>
    <w:p w14:paraId="4DCF61C5" w14:textId="3E6E6225"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7" w:history="1">
        <w:r w:rsidRPr="0030162D">
          <w:rPr>
            <w:rStyle w:val="Hyperlink"/>
            <w:rFonts w:cs="Segoe UI"/>
            <w:noProof/>
          </w:rPr>
          <w:t>Data updates and methodology changes</w:t>
        </w:r>
        <w:r>
          <w:rPr>
            <w:noProof/>
            <w:webHidden/>
          </w:rPr>
          <w:tab/>
        </w:r>
        <w:r>
          <w:rPr>
            <w:noProof/>
            <w:webHidden/>
          </w:rPr>
          <w:fldChar w:fldCharType="begin"/>
        </w:r>
        <w:r>
          <w:rPr>
            <w:noProof/>
            <w:webHidden/>
          </w:rPr>
          <w:instrText xml:space="preserve"> PAGEREF _Toc216376557 \h </w:instrText>
        </w:r>
        <w:r>
          <w:rPr>
            <w:noProof/>
            <w:webHidden/>
          </w:rPr>
        </w:r>
        <w:r>
          <w:rPr>
            <w:noProof/>
            <w:webHidden/>
          </w:rPr>
          <w:fldChar w:fldCharType="separate"/>
        </w:r>
        <w:r w:rsidR="000E725A">
          <w:rPr>
            <w:noProof/>
            <w:webHidden/>
          </w:rPr>
          <w:t>12</w:t>
        </w:r>
        <w:r>
          <w:rPr>
            <w:noProof/>
            <w:webHidden/>
          </w:rPr>
          <w:fldChar w:fldCharType="end"/>
        </w:r>
      </w:hyperlink>
    </w:p>
    <w:p w14:paraId="27E69C1C" w14:textId="4DE2F227"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58" w:history="1">
        <w:r w:rsidRPr="0030162D">
          <w:rPr>
            <w:rStyle w:val="Hyperlink"/>
            <w:noProof/>
          </w:rPr>
          <w:t>Premature death in New Zealand – Mate kokoti tau i Aotearoa</w:t>
        </w:r>
        <w:r>
          <w:rPr>
            <w:noProof/>
            <w:webHidden/>
          </w:rPr>
          <w:tab/>
        </w:r>
        <w:r>
          <w:rPr>
            <w:noProof/>
            <w:webHidden/>
          </w:rPr>
          <w:fldChar w:fldCharType="begin"/>
        </w:r>
        <w:r>
          <w:rPr>
            <w:noProof/>
            <w:webHidden/>
          </w:rPr>
          <w:instrText xml:space="preserve"> PAGEREF _Toc216376558 \h </w:instrText>
        </w:r>
        <w:r>
          <w:rPr>
            <w:noProof/>
            <w:webHidden/>
          </w:rPr>
        </w:r>
        <w:r>
          <w:rPr>
            <w:noProof/>
            <w:webHidden/>
          </w:rPr>
          <w:fldChar w:fldCharType="separate"/>
        </w:r>
        <w:r w:rsidR="000E725A">
          <w:rPr>
            <w:noProof/>
            <w:webHidden/>
          </w:rPr>
          <w:t>13</w:t>
        </w:r>
        <w:r>
          <w:rPr>
            <w:noProof/>
            <w:webHidden/>
          </w:rPr>
          <w:fldChar w:fldCharType="end"/>
        </w:r>
      </w:hyperlink>
    </w:p>
    <w:p w14:paraId="54FF93F8" w14:textId="7BC42BE0"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59" w:history="1">
        <w:r w:rsidRPr="0030162D">
          <w:rPr>
            <w:rStyle w:val="Hyperlink"/>
            <w:rFonts w:cs="Segoe UI"/>
            <w:noProof/>
          </w:rPr>
          <w:t>Top conditions contributing to premature death for Māori</w:t>
        </w:r>
        <w:r>
          <w:rPr>
            <w:noProof/>
            <w:webHidden/>
          </w:rPr>
          <w:tab/>
        </w:r>
        <w:r>
          <w:rPr>
            <w:noProof/>
            <w:webHidden/>
          </w:rPr>
          <w:fldChar w:fldCharType="begin"/>
        </w:r>
        <w:r>
          <w:rPr>
            <w:noProof/>
            <w:webHidden/>
          </w:rPr>
          <w:instrText xml:space="preserve"> PAGEREF _Toc216376559 \h </w:instrText>
        </w:r>
        <w:r>
          <w:rPr>
            <w:noProof/>
            <w:webHidden/>
          </w:rPr>
        </w:r>
        <w:r>
          <w:rPr>
            <w:noProof/>
            <w:webHidden/>
          </w:rPr>
          <w:fldChar w:fldCharType="separate"/>
        </w:r>
        <w:r w:rsidR="000E725A">
          <w:rPr>
            <w:noProof/>
            <w:webHidden/>
          </w:rPr>
          <w:t>17</w:t>
        </w:r>
        <w:r>
          <w:rPr>
            <w:noProof/>
            <w:webHidden/>
          </w:rPr>
          <w:fldChar w:fldCharType="end"/>
        </w:r>
      </w:hyperlink>
    </w:p>
    <w:p w14:paraId="6BDC7AF7" w14:textId="7841C790"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0" w:history="1">
        <w:r w:rsidRPr="0030162D">
          <w:rPr>
            <w:rStyle w:val="Hyperlink"/>
            <w:rFonts w:cs="Segoe UI"/>
            <w:noProof/>
          </w:rPr>
          <w:t>Premature death for Māori across life stages</w:t>
        </w:r>
        <w:r>
          <w:rPr>
            <w:noProof/>
            <w:webHidden/>
          </w:rPr>
          <w:tab/>
        </w:r>
        <w:r>
          <w:rPr>
            <w:noProof/>
            <w:webHidden/>
          </w:rPr>
          <w:fldChar w:fldCharType="begin"/>
        </w:r>
        <w:r>
          <w:rPr>
            <w:noProof/>
            <w:webHidden/>
          </w:rPr>
          <w:instrText xml:space="preserve"> PAGEREF _Toc216376560 \h </w:instrText>
        </w:r>
        <w:r>
          <w:rPr>
            <w:noProof/>
            <w:webHidden/>
          </w:rPr>
        </w:r>
        <w:r>
          <w:rPr>
            <w:noProof/>
            <w:webHidden/>
          </w:rPr>
          <w:fldChar w:fldCharType="separate"/>
        </w:r>
        <w:r w:rsidR="000E725A">
          <w:rPr>
            <w:noProof/>
            <w:webHidden/>
          </w:rPr>
          <w:t>18</w:t>
        </w:r>
        <w:r>
          <w:rPr>
            <w:noProof/>
            <w:webHidden/>
          </w:rPr>
          <w:fldChar w:fldCharType="end"/>
        </w:r>
      </w:hyperlink>
    </w:p>
    <w:p w14:paraId="046648D3" w14:textId="0E15F2AC"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61" w:history="1">
        <w:r w:rsidRPr="0030162D">
          <w:rPr>
            <w:rStyle w:val="Hyperlink"/>
            <w:noProof/>
          </w:rPr>
          <w:t>Leading contributors to years of life lost for Māori – Ngā take matua mō te ngaromanga o ngā tau oranga o ngāi Māori</w:t>
        </w:r>
        <w:r>
          <w:rPr>
            <w:noProof/>
            <w:webHidden/>
          </w:rPr>
          <w:tab/>
        </w:r>
        <w:r>
          <w:rPr>
            <w:noProof/>
            <w:webHidden/>
          </w:rPr>
          <w:fldChar w:fldCharType="begin"/>
        </w:r>
        <w:r>
          <w:rPr>
            <w:noProof/>
            <w:webHidden/>
          </w:rPr>
          <w:instrText xml:space="preserve"> PAGEREF _Toc216376561 \h </w:instrText>
        </w:r>
        <w:r>
          <w:rPr>
            <w:noProof/>
            <w:webHidden/>
          </w:rPr>
        </w:r>
        <w:r>
          <w:rPr>
            <w:noProof/>
            <w:webHidden/>
          </w:rPr>
          <w:fldChar w:fldCharType="separate"/>
        </w:r>
        <w:r w:rsidR="000E725A">
          <w:rPr>
            <w:noProof/>
            <w:webHidden/>
          </w:rPr>
          <w:t>24</w:t>
        </w:r>
        <w:r>
          <w:rPr>
            <w:noProof/>
            <w:webHidden/>
          </w:rPr>
          <w:fldChar w:fldCharType="end"/>
        </w:r>
      </w:hyperlink>
    </w:p>
    <w:p w14:paraId="63047A20" w14:textId="7D65D8CA"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2" w:history="1">
        <w:r w:rsidRPr="0030162D">
          <w:rPr>
            <w:rStyle w:val="Hyperlink"/>
            <w:rFonts w:cs="Segoe UI"/>
            <w:noProof/>
          </w:rPr>
          <w:t>Cancers</w:t>
        </w:r>
        <w:r>
          <w:rPr>
            <w:noProof/>
            <w:webHidden/>
          </w:rPr>
          <w:tab/>
        </w:r>
        <w:r>
          <w:rPr>
            <w:noProof/>
            <w:webHidden/>
          </w:rPr>
          <w:fldChar w:fldCharType="begin"/>
        </w:r>
        <w:r>
          <w:rPr>
            <w:noProof/>
            <w:webHidden/>
          </w:rPr>
          <w:instrText xml:space="preserve"> PAGEREF _Toc216376562 \h </w:instrText>
        </w:r>
        <w:r>
          <w:rPr>
            <w:noProof/>
            <w:webHidden/>
          </w:rPr>
        </w:r>
        <w:r>
          <w:rPr>
            <w:noProof/>
            <w:webHidden/>
          </w:rPr>
          <w:fldChar w:fldCharType="separate"/>
        </w:r>
        <w:r w:rsidR="000E725A">
          <w:rPr>
            <w:noProof/>
            <w:webHidden/>
          </w:rPr>
          <w:t>24</w:t>
        </w:r>
        <w:r>
          <w:rPr>
            <w:noProof/>
            <w:webHidden/>
          </w:rPr>
          <w:fldChar w:fldCharType="end"/>
        </w:r>
      </w:hyperlink>
    </w:p>
    <w:p w14:paraId="3DCE15A9" w14:textId="3109D1F3"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3" w:history="1">
        <w:r w:rsidRPr="0030162D">
          <w:rPr>
            <w:rStyle w:val="Hyperlink"/>
            <w:rFonts w:cs="Segoe UI"/>
            <w:noProof/>
          </w:rPr>
          <w:t>Ischaemic heart disease</w:t>
        </w:r>
        <w:r>
          <w:rPr>
            <w:noProof/>
            <w:webHidden/>
          </w:rPr>
          <w:tab/>
        </w:r>
        <w:r>
          <w:rPr>
            <w:noProof/>
            <w:webHidden/>
          </w:rPr>
          <w:fldChar w:fldCharType="begin"/>
        </w:r>
        <w:r>
          <w:rPr>
            <w:noProof/>
            <w:webHidden/>
          </w:rPr>
          <w:instrText xml:space="preserve"> PAGEREF _Toc216376563 \h </w:instrText>
        </w:r>
        <w:r>
          <w:rPr>
            <w:noProof/>
            <w:webHidden/>
          </w:rPr>
        </w:r>
        <w:r>
          <w:rPr>
            <w:noProof/>
            <w:webHidden/>
          </w:rPr>
          <w:fldChar w:fldCharType="separate"/>
        </w:r>
        <w:r w:rsidR="000E725A">
          <w:rPr>
            <w:noProof/>
            <w:webHidden/>
          </w:rPr>
          <w:t>32</w:t>
        </w:r>
        <w:r>
          <w:rPr>
            <w:noProof/>
            <w:webHidden/>
          </w:rPr>
          <w:fldChar w:fldCharType="end"/>
        </w:r>
      </w:hyperlink>
    </w:p>
    <w:p w14:paraId="2621CDC9" w14:textId="7B2AFC67"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4" w:history="1">
        <w:r w:rsidRPr="0030162D">
          <w:rPr>
            <w:rStyle w:val="Hyperlink"/>
            <w:rFonts w:cs="Segoe UI"/>
            <w:noProof/>
          </w:rPr>
          <w:t>Self-harm</w:t>
        </w:r>
        <w:r>
          <w:rPr>
            <w:noProof/>
            <w:webHidden/>
          </w:rPr>
          <w:tab/>
        </w:r>
        <w:r>
          <w:rPr>
            <w:noProof/>
            <w:webHidden/>
          </w:rPr>
          <w:fldChar w:fldCharType="begin"/>
        </w:r>
        <w:r>
          <w:rPr>
            <w:noProof/>
            <w:webHidden/>
          </w:rPr>
          <w:instrText xml:space="preserve"> PAGEREF _Toc216376564 \h </w:instrText>
        </w:r>
        <w:r>
          <w:rPr>
            <w:noProof/>
            <w:webHidden/>
          </w:rPr>
        </w:r>
        <w:r>
          <w:rPr>
            <w:noProof/>
            <w:webHidden/>
          </w:rPr>
          <w:fldChar w:fldCharType="separate"/>
        </w:r>
        <w:r w:rsidR="000E725A">
          <w:rPr>
            <w:noProof/>
            <w:webHidden/>
          </w:rPr>
          <w:t>35</w:t>
        </w:r>
        <w:r>
          <w:rPr>
            <w:noProof/>
            <w:webHidden/>
          </w:rPr>
          <w:fldChar w:fldCharType="end"/>
        </w:r>
      </w:hyperlink>
    </w:p>
    <w:p w14:paraId="79E0663E" w14:textId="21DE732A"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5" w:history="1">
        <w:r w:rsidRPr="0030162D">
          <w:rPr>
            <w:rStyle w:val="Hyperlink"/>
            <w:rFonts w:cs="Segoe UI"/>
            <w:noProof/>
          </w:rPr>
          <w:t>Chronic obstructive pulmonary disease</w:t>
        </w:r>
        <w:r>
          <w:rPr>
            <w:noProof/>
            <w:webHidden/>
          </w:rPr>
          <w:tab/>
        </w:r>
        <w:r>
          <w:rPr>
            <w:noProof/>
            <w:webHidden/>
          </w:rPr>
          <w:fldChar w:fldCharType="begin"/>
        </w:r>
        <w:r>
          <w:rPr>
            <w:noProof/>
            <w:webHidden/>
          </w:rPr>
          <w:instrText xml:space="preserve"> PAGEREF _Toc216376565 \h </w:instrText>
        </w:r>
        <w:r>
          <w:rPr>
            <w:noProof/>
            <w:webHidden/>
          </w:rPr>
        </w:r>
        <w:r>
          <w:rPr>
            <w:noProof/>
            <w:webHidden/>
          </w:rPr>
          <w:fldChar w:fldCharType="separate"/>
        </w:r>
        <w:r w:rsidR="000E725A">
          <w:rPr>
            <w:noProof/>
            <w:webHidden/>
          </w:rPr>
          <w:t>38</w:t>
        </w:r>
        <w:r>
          <w:rPr>
            <w:noProof/>
            <w:webHidden/>
          </w:rPr>
          <w:fldChar w:fldCharType="end"/>
        </w:r>
      </w:hyperlink>
    </w:p>
    <w:p w14:paraId="30BF4AA4" w14:textId="634CA3B7"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6" w:history="1">
        <w:r w:rsidRPr="0030162D">
          <w:rPr>
            <w:rStyle w:val="Hyperlink"/>
            <w:rFonts w:cs="Segoe UI"/>
            <w:noProof/>
          </w:rPr>
          <w:t>Chronic kidney disease</w:t>
        </w:r>
        <w:r>
          <w:rPr>
            <w:noProof/>
            <w:webHidden/>
          </w:rPr>
          <w:tab/>
        </w:r>
        <w:r>
          <w:rPr>
            <w:noProof/>
            <w:webHidden/>
          </w:rPr>
          <w:fldChar w:fldCharType="begin"/>
        </w:r>
        <w:r>
          <w:rPr>
            <w:noProof/>
            <w:webHidden/>
          </w:rPr>
          <w:instrText xml:space="preserve"> PAGEREF _Toc216376566 \h </w:instrText>
        </w:r>
        <w:r>
          <w:rPr>
            <w:noProof/>
            <w:webHidden/>
          </w:rPr>
        </w:r>
        <w:r>
          <w:rPr>
            <w:noProof/>
            <w:webHidden/>
          </w:rPr>
          <w:fldChar w:fldCharType="separate"/>
        </w:r>
        <w:r w:rsidR="000E725A">
          <w:rPr>
            <w:noProof/>
            <w:webHidden/>
          </w:rPr>
          <w:t>41</w:t>
        </w:r>
        <w:r>
          <w:rPr>
            <w:noProof/>
            <w:webHidden/>
          </w:rPr>
          <w:fldChar w:fldCharType="end"/>
        </w:r>
      </w:hyperlink>
    </w:p>
    <w:p w14:paraId="359F41A2" w14:textId="1F5619C9"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7" w:history="1">
        <w:r w:rsidRPr="0030162D">
          <w:rPr>
            <w:rStyle w:val="Hyperlink"/>
            <w:rFonts w:cs="Segoe UI"/>
            <w:noProof/>
          </w:rPr>
          <w:t>Stroke</w:t>
        </w:r>
        <w:r>
          <w:rPr>
            <w:noProof/>
            <w:webHidden/>
          </w:rPr>
          <w:tab/>
        </w:r>
        <w:r>
          <w:rPr>
            <w:noProof/>
            <w:webHidden/>
          </w:rPr>
          <w:fldChar w:fldCharType="begin"/>
        </w:r>
        <w:r>
          <w:rPr>
            <w:noProof/>
            <w:webHidden/>
          </w:rPr>
          <w:instrText xml:space="preserve"> PAGEREF _Toc216376567 \h </w:instrText>
        </w:r>
        <w:r>
          <w:rPr>
            <w:noProof/>
            <w:webHidden/>
          </w:rPr>
        </w:r>
        <w:r>
          <w:rPr>
            <w:noProof/>
            <w:webHidden/>
          </w:rPr>
          <w:fldChar w:fldCharType="separate"/>
        </w:r>
        <w:r w:rsidR="000E725A">
          <w:rPr>
            <w:noProof/>
            <w:webHidden/>
          </w:rPr>
          <w:t>44</w:t>
        </w:r>
        <w:r>
          <w:rPr>
            <w:noProof/>
            <w:webHidden/>
          </w:rPr>
          <w:fldChar w:fldCharType="end"/>
        </w:r>
      </w:hyperlink>
    </w:p>
    <w:p w14:paraId="39A5A557" w14:textId="2A02211E"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68" w:history="1">
        <w:r w:rsidRPr="0030162D">
          <w:rPr>
            <w:rStyle w:val="Hyperlink"/>
            <w:rFonts w:cs="Segoe UI"/>
            <w:noProof/>
          </w:rPr>
          <w:t>Diabetes</w:t>
        </w:r>
        <w:r>
          <w:rPr>
            <w:noProof/>
            <w:webHidden/>
          </w:rPr>
          <w:tab/>
        </w:r>
        <w:r>
          <w:rPr>
            <w:noProof/>
            <w:webHidden/>
          </w:rPr>
          <w:fldChar w:fldCharType="begin"/>
        </w:r>
        <w:r>
          <w:rPr>
            <w:noProof/>
            <w:webHidden/>
          </w:rPr>
          <w:instrText xml:space="preserve"> PAGEREF _Toc216376568 \h </w:instrText>
        </w:r>
        <w:r>
          <w:rPr>
            <w:noProof/>
            <w:webHidden/>
          </w:rPr>
        </w:r>
        <w:r>
          <w:rPr>
            <w:noProof/>
            <w:webHidden/>
          </w:rPr>
          <w:fldChar w:fldCharType="separate"/>
        </w:r>
        <w:r w:rsidR="000E725A">
          <w:rPr>
            <w:noProof/>
            <w:webHidden/>
          </w:rPr>
          <w:t>47</w:t>
        </w:r>
        <w:r>
          <w:rPr>
            <w:noProof/>
            <w:webHidden/>
          </w:rPr>
          <w:fldChar w:fldCharType="end"/>
        </w:r>
      </w:hyperlink>
    </w:p>
    <w:p w14:paraId="22C4CB01" w14:textId="2CC3710C"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69" w:history="1">
        <w:r w:rsidRPr="0030162D">
          <w:rPr>
            <w:rStyle w:val="Hyperlink"/>
            <w:noProof/>
          </w:rPr>
          <w:t>Discussion of main findings – He matapaki i ngā kitenga matua</w:t>
        </w:r>
        <w:r>
          <w:rPr>
            <w:noProof/>
            <w:webHidden/>
          </w:rPr>
          <w:tab/>
        </w:r>
        <w:r>
          <w:rPr>
            <w:noProof/>
            <w:webHidden/>
          </w:rPr>
          <w:fldChar w:fldCharType="begin"/>
        </w:r>
        <w:r>
          <w:rPr>
            <w:noProof/>
            <w:webHidden/>
          </w:rPr>
          <w:instrText xml:space="preserve"> PAGEREF _Toc216376569 \h </w:instrText>
        </w:r>
        <w:r>
          <w:rPr>
            <w:noProof/>
            <w:webHidden/>
          </w:rPr>
        </w:r>
        <w:r>
          <w:rPr>
            <w:noProof/>
            <w:webHidden/>
          </w:rPr>
          <w:fldChar w:fldCharType="separate"/>
        </w:r>
        <w:r w:rsidR="000E725A">
          <w:rPr>
            <w:noProof/>
            <w:webHidden/>
          </w:rPr>
          <w:t>50</w:t>
        </w:r>
        <w:r>
          <w:rPr>
            <w:noProof/>
            <w:webHidden/>
          </w:rPr>
          <w:fldChar w:fldCharType="end"/>
        </w:r>
      </w:hyperlink>
    </w:p>
    <w:p w14:paraId="72ACBB61" w14:textId="56E0ABC1"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70" w:history="1">
        <w:r w:rsidRPr="0030162D">
          <w:rPr>
            <w:rStyle w:val="Hyperlink"/>
            <w:noProof/>
          </w:rPr>
          <w:t>Cancer</w:t>
        </w:r>
        <w:r>
          <w:rPr>
            <w:noProof/>
            <w:webHidden/>
          </w:rPr>
          <w:tab/>
        </w:r>
        <w:r>
          <w:rPr>
            <w:noProof/>
            <w:webHidden/>
          </w:rPr>
          <w:fldChar w:fldCharType="begin"/>
        </w:r>
        <w:r>
          <w:rPr>
            <w:noProof/>
            <w:webHidden/>
          </w:rPr>
          <w:instrText xml:space="preserve"> PAGEREF _Toc216376570 \h </w:instrText>
        </w:r>
        <w:r>
          <w:rPr>
            <w:noProof/>
            <w:webHidden/>
          </w:rPr>
        </w:r>
        <w:r>
          <w:rPr>
            <w:noProof/>
            <w:webHidden/>
          </w:rPr>
          <w:fldChar w:fldCharType="separate"/>
        </w:r>
        <w:r w:rsidR="000E725A">
          <w:rPr>
            <w:noProof/>
            <w:webHidden/>
          </w:rPr>
          <w:t>50</w:t>
        </w:r>
        <w:r>
          <w:rPr>
            <w:noProof/>
            <w:webHidden/>
          </w:rPr>
          <w:fldChar w:fldCharType="end"/>
        </w:r>
      </w:hyperlink>
    </w:p>
    <w:p w14:paraId="679D6628" w14:textId="5A0CCA99"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71" w:history="1">
        <w:r w:rsidRPr="0030162D">
          <w:rPr>
            <w:rStyle w:val="Hyperlink"/>
            <w:noProof/>
          </w:rPr>
          <w:t>Cardiovascular diseases</w:t>
        </w:r>
        <w:r>
          <w:rPr>
            <w:noProof/>
            <w:webHidden/>
          </w:rPr>
          <w:tab/>
        </w:r>
        <w:r>
          <w:rPr>
            <w:noProof/>
            <w:webHidden/>
          </w:rPr>
          <w:fldChar w:fldCharType="begin"/>
        </w:r>
        <w:r>
          <w:rPr>
            <w:noProof/>
            <w:webHidden/>
          </w:rPr>
          <w:instrText xml:space="preserve"> PAGEREF _Toc216376571 \h </w:instrText>
        </w:r>
        <w:r>
          <w:rPr>
            <w:noProof/>
            <w:webHidden/>
          </w:rPr>
        </w:r>
        <w:r>
          <w:rPr>
            <w:noProof/>
            <w:webHidden/>
          </w:rPr>
          <w:fldChar w:fldCharType="separate"/>
        </w:r>
        <w:r w:rsidR="000E725A">
          <w:rPr>
            <w:noProof/>
            <w:webHidden/>
          </w:rPr>
          <w:t>50</w:t>
        </w:r>
        <w:r>
          <w:rPr>
            <w:noProof/>
            <w:webHidden/>
          </w:rPr>
          <w:fldChar w:fldCharType="end"/>
        </w:r>
      </w:hyperlink>
    </w:p>
    <w:p w14:paraId="1C64F85B" w14:textId="25BB38E7"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72" w:history="1">
        <w:r w:rsidRPr="0030162D">
          <w:rPr>
            <w:rStyle w:val="Hyperlink"/>
            <w:noProof/>
          </w:rPr>
          <w:t>Self-harm</w:t>
        </w:r>
        <w:r>
          <w:rPr>
            <w:noProof/>
            <w:webHidden/>
          </w:rPr>
          <w:tab/>
        </w:r>
        <w:r>
          <w:rPr>
            <w:noProof/>
            <w:webHidden/>
          </w:rPr>
          <w:fldChar w:fldCharType="begin"/>
        </w:r>
        <w:r>
          <w:rPr>
            <w:noProof/>
            <w:webHidden/>
          </w:rPr>
          <w:instrText xml:space="preserve"> PAGEREF _Toc216376572 \h </w:instrText>
        </w:r>
        <w:r>
          <w:rPr>
            <w:noProof/>
            <w:webHidden/>
          </w:rPr>
        </w:r>
        <w:r>
          <w:rPr>
            <w:noProof/>
            <w:webHidden/>
          </w:rPr>
          <w:fldChar w:fldCharType="separate"/>
        </w:r>
        <w:r w:rsidR="000E725A">
          <w:rPr>
            <w:noProof/>
            <w:webHidden/>
          </w:rPr>
          <w:t>51</w:t>
        </w:r>
        <w:r>
          <w:rPr>
            <w:noProof/>
            <w:webHidden/>
          </w:rPr>
          <w:fldChar w:fldCharType="end"/>
        </w:r>
      </w:hyperlink>
    </w:p>
    <w:p w14:paraId="68987D25" w14:textId="25247146"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73" w:history="1">
        <w:r w:rsidRPr="0030162D">
          <w:rPr>
            <w:rStyle w:val="Hyperlink"/>
            <w:noProof/>
          </w:rPr>
          <w:t>Chronic obstructive pulmonary disease</w:t>
        </w:r>
        <w:r>
          <w:rPr>
            <w:noProof/>
            <w:webHidden/>
          </w:rPr>
          <w:tab/>
        </w:r>
        <w:r>
          <w:rPr>
            <w:noProof/>
            <w:webHidden/>
          </w:rPr>
          <w:fldChar w:fldCharType="begin"/>
        </w:r>
        <w:r>
          <w:rPr>
            <w:noProof/>
            <w:webHidden/>
          </w:rPr>
          <w:instrText xml:space="preserve"> PAGEREF _Toc216376573 \h </w:instrText>
        </w:r>
        <w:r>
          <w:rPr>
            <w:noProof/>
            <w:webHidden/>
          </w:rPr>
        </w:r>
        <w:r>
          <w:rPr>
            <w:noProof/>
            <w:webHidden/>
          </w:rPr>
          <w:fldChar w:fldCharType="separate"/>
        </w:r>
        <w:r w:rsidR="000E725A">
          <w:rPr>
            <w:noProof/>
            <w:webHidden/>
          </w:rPr>
          <w:t>51</w:t>
        </w:r>
        <w:r>
          <w:rPr>
            <w:noProof/>
            <w:webHidden/>
          </w:rPr>
          <w:fldChar w:fldCharType="end"/>
        </w:r>
      </w:hyperlink>
    </w:p>
    <w:p w14:paraId="3D05D639" w14:textId="47B9916E"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74" w:history="1">
        <w:r w:rsidRPr="0030162D">
          <w:rPr>
            <w:rStyle w:val="Hyperlink"/>
            <w:noProof/>
          </w:rPr>
          <w:t>Diabetes and chronic kidney disease</w:t>
        </w:r>
        <w:r>
          <w:rPr>
            <w:noProof/>
            <w:webHidden/>
          </w:rPr>
          <w:tab/>
        </w:r>
        <w:r>
          <w:rPr>
            <w:noProof/>
            <w:webHidden/>
          </w:rPr>
          <w:fldChar w:fldCharType="begin"/>
        </w:r>
        <w:r>
          <w:rPr>
            <w:noProof/>
            <w:webHidden/>
          </w:rPr>
          <w:instrText xml:space="preserve"> PAGEREF _Toc216376574 \h </w:instrText>
        </w:r>
        <w:r>
          <w:rPr>
            <w:noProof/>
            <w:webHidden/>
          </w:rPr>
        </w:r>
        <w:r>
          <w:rPr>
            <w:noProof/>
            <w:webHidden/>
          </w:rPr>
          <w:fldChar w:fldCharType="separate"/>
        </w:r>
        <w:r w:rsidR="000E725A">
          <w:rPr>
            <w:noProof/>
            <w:webHidden/>
          </w:rPr>
          <w:t>51</w:t>
        </w:r>
        <w:r>
          <w:rPr>
            <w:noProof/>
            <w:webHidden/>
          </w:rPr>
          <w:fldChar w:fldCharType="end"/>
        </w:r>
      </w:hyperlink>
    </w:p>
    <w:p w14:paraId="23F8241F" w14:textId="50340F82" w:rsidR="00523060" w:rsidRDefault="00523060">
      <w:pPr>
        <w:pStyle w:val="TOC2"/>
        <w:rPr>
          <w:rFonts w:asciiTheme="minorHAnsi" w:eastAsiaTheme="minorEastAsia" w:hAnsiTheme="minorHAnsi" w:cstheme="minorBidi"/>
          <w:noProof/>
          <w:kern w:val="2"/>
          <w:sz w:val="24"/>
          <w:szCs w:val="24"/>
          <w:lang w:eastAsia="en-NZ"/>
          <w14:ligatures w14:val="standardContextual"/>
        </w:rPr>
      </w:pPr>
      <w:hyperlink w:anchor="_Toc216376575" w:history="1">
        <w:r w:rsidRPr="0030162D">
          <w:rPr>
            <w:rStyle w:val="Hyperlink"/>
            <w:noProof/>
          </w:rPr>
          <w:t>Implications of these findings</w:t>
        </w:r>
        <w:r>
          <w:rPr>
            <w:noProof/>
            <w:webHidden/>
          </w:rPr>
          <w:tab/>
        </w:r>
        <w:r>
          <w:rPr>
            <w:noProof/>
            <w:webHidden/>
          </w:rPr>
          <w:fldChar w:fldCharType="begin"/>
        </w:r>
        <w:r>
          <w:rPr>
            <w:noProof/>
            <w:webHidden/>
          </w:rPr>
          <w:instrText xml:space="preserve"> PAGEREF _Toc216376575 \h </w:instrText>
        </w:r>
        <w:r>
          <w:rPr>
            <w:noProof/>
            <w:webHidden/>
          </w:rPr>
        </w:r>
        <w:r>
          <w:rPr>
            <w:noProof/>
            <w:webHidden/>
          </w:rPr>
          <w:fldChar w:fldCharType="separate"/>
        </w:r>
        <w:r w:rsidR="000E725A">
          <w:rPr>
            <w:noProof/>
            <w:webHidden/>
          </w:rPr>
          <w:t>52</w:t>
        </w:r>
        <w:r>
          <w:rPr>
            <w:noProof/>
            <w:webHidden/>
          </w:rPr>
          <w:fldChar w:fldCharType="end"/>
        </w:r>
      </w:hyperlink>
    </w:p>
    <w:p w14:paraId="018E83D2" w14:textId="5BDAA049"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76" w:history="1">
        <w:r w:rsidRPr="0030162D">
          <w:rPr>
            <w:rStyle w:val="Hyperlink"/>
            <w:noProof/>
          </w:rPr>
          <w:t>Appendix 1 – Tāpiritanga 1</w:t>
        </w:r>
        <w:r>
          <w:rPr>
            <w:noProof/>
            <w:webHidden/>
          </w:rPr>
          <w:tab/>
        </w:r>
        <w:r>
          <w:rPr>
            <w:noProof/>
            <w:webHidden/>
          </w:rPr>
          <w:fldChar w:fldCharType="begin"/>
        </w:r>
        <w:r>
          <w:rPr>
            <w:noProof/>
            <w:webHidden/>
          </w:rPr>
          <w:instrText xml:space="preserve"> PAGEREF _Toc216376576 \h </w:instrText>
        </w:r>
        <w:r>
          <w:rPr>
            <w:noProof/>
            <w:webHidden/>
          </w:rPr>
        </w:r>
        <w:r>
          <w:rPr>
            <w:noProof/>
            <w:webHidden/>
          </w:rPr>
          <w:fldChar w:fldCharType="separate"/>
        </w:r>
        <w:r w:rsidR="000E725A">
          <w:rPr>
            <w:noProof/>
            <w:webHidden/>
          </w:rPr>
          <w:t>53</w:t>
        </w:r>
        <w:r>
          <w:rPr>
            <w:noProof/>
            <w:webHidden/>
          </w:rPr>
          <w:fldChar w:fldCharType="end"/>
        </w:r>
      </w:hyperlink>
    </w:p>
    <w:p w14:paraId="5363B880" w14:textId="63A4C485"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77" w:history="1">
        <w:r w:rsidRPr="0030162D">
          <w:rPr>
            <w:rStyle w:val="Hyperlink"/>
            <w:noProof/>
          </w:rPr>
          <w:t>Appendix 2 – Tāpiritanga 2</w:t>
        </w:r>
        <w:r>
          <w:rPr>
            <w:noProof/>
            <w:webHidden/>
          </w:rPr>
          <w:tab/>
        </w:r>
        <w:r>
          <w:rPr>
            <w:noProof/>
            <w:webHidden/>
          </w:rPr>
          <w:fldChar w:fldCharType="begin"/>
        </w:r>
        <w:r>
          <w:rPr>
            <w:noProof/>
            <w:webHidden/>
          </w:rPr>
          <w:instrText xml:space="preserve"> PAGEREF _Toc216376577 \h </w:instrText>
        </w:r>
        <w:r>
          <w:rPr>
            <w:noProof/>
            <w:webHidden/>
          </w:rPr>
        </w:r>
        <w:r>
          <w:rPr>
            <w:noProof/>
            <w:webHidden/>
          </w:rPr>
          <w:fldChar w:fldCharType="separate"/>
        </w:r>
        <w:r w:rsidR="000E725A">
          <w:rPr>
            <w:noProof/>
            <w:webHidden/>
          </w:rPr>
          <w:t>54</w:t>
        </w:r>
        <w:r>
          <w:rPr>
            <w:noProof/>
            <w:webHidden/>
          </w:rPr>
          <w:fldChar w:fldCharType="end"/>
        </w:r>
      </w:hyperlink>
    </w:p>
    <w:p w14:paraId="33A9DC98" w14:textId="741035EB" w:rsidR="00523060" w:rsidRDefault="00523060">
      <w:pPr>
        <w:pStyle w:val="TOC1"/>
        <w:rPr>
          <w:rFonts w:asciiTheme="minorHAnsi" w:eastAsiaTheme="minorEastAsia" w:hAnsiTheme="minorHAnsi" w:cstheme="minorBidi"/>
          <w:noProof/>
          <w:kern w:val="2"/>
          <w:szCs w:val="24"/>
          <w:lang w:eastAsia="en-NZ"/>
          <w14:ligatures w14:val="standardContextual"/>
        </w:rPr>
      </w:pPr>
      <w:hyperlink w:anchor="_Toc216376578" w:history="1">
        <w:r w:rsidRPr="0030162D">
          <w:rPr>
            <w:rStyle w:val="Hyperlink"/>
            <w:noProof/>
          </w:rPr>
          <w:t>References – Ngā tohutoro</w:t>
        </w:r>
        <w:r>
          <w:rPr>
            <w:noProof/>
            <w:webHidden/>
          </w:rPr>
          <w:tab/>
        </w:r>
        <w:r>
          <w:rPr>
            <w:noProof/>
            <w:webHidden/>
          </w:rPr>
          <w:fldChar w:fldCharType="begin"/>
        </w:r>
        <w:r>
          <w:rPr>
            <w:noProof/>
            <w:webHidden/>
          </w:rPr>
          <w:instrText xml:space="preserve"> PAGEREF _Toc216376578 \h </w:instrText>
        </w:r>
        <w:r>
          <w:rPr>
            <w:noProof/>
            <w:webHidden/>
          </w:rPr>
        </w:r>
        <w:r>
          <w:rPr>
            <w:noProof/>
            <w:webHidden/>
          </w:rPr>
          <w:fldChar w:fldCharType="separate"/>
        </w:r>
        <w:r w:rsidR="000E725A">
          <w:rPr>
            <w:noProof/>
            <w:webHidden/>
          </w:rPr>
          <w:t>56</w:t>
        </w:r>
        <w:r>
          <w:rPr>
            <w:noProof/>
            <w:webHidden/>
          </w:rPr>
          <w:fldChar w:fldCharType="end"/>
        </w:r>
      </w:hyperlink>
    </w:p>
    <w:p w14:paraId="133A9219" w14:textId="16808D36" w:rsidR="00C86248" w:rsidRDefault="00D96C33">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423ECA11" w14:textId="29B9A627" w:rsidR="00A67B82" w:rsidRDefault="003A5FEA">
      <w:pPr>
        <w:pStyle w:val="TOC3"/>
        <w:rPr>
          <w:rFonts w:asciiTheme="minorHAnsi" w:eastAsiaTheme="minorEastAsia" w:hAnsiTheme="minorHAnsi" w:cstheme="minorBidi"/>
          <w:noProof/>
          <w:kern w:val="2"/>
          <w:sz w:val="24"/>
          <w:szCs w:val="24"/>
          <w:lang w:eastAsia="en-NZ"/>
          <w14:ligatures w14:val="standardContextual"/>
        </w:rPr>
      </w:pPr>
      <w:r>
        <w:fldChar w:fldCharType="begin"/>
      </w:r>
      <w:r>
        <w:instrText xml:space="preserve"> TOC \t "Figure,3" </w:instrText>
      </w:r>
      <w:r>
        <w:fldChar w:fldCharType="separate"/>
      </w:r>
      <w:r w:rsidR="00A67B82">
        <w:rPr>
          <w:noProof/>
        </w:rPr>
        <w:t>Figure 1: Examples of GBD cause levels 1–4</w:t>
      </w:r>
      <w:r w:rsidR="00A67B82">
        <w:rPr>
          <w:noProof/>
        </w:rPr>
        <w:tab/>
      </w:r>
      <w:r w:rsidR="00A67B82">
        <w:rPr>
          <w:noProof/>
        </w:rPr>
        <w:fldChar w:fldCharType="begin"/>
      </w:r>
      <w:r w:rsidR="00A67B82">
        <w:rPr>
          <w:noProof/>
        </w:rPr>
        <w:instrText xml:space="preserve"> PAGEREF _Toc216377186 \h </w:instrText>
      </w:r>
      <w:r w:rsidR="00A67B82">
        <w:rPr>
          <w:noProof/>
        </w:rPr>
      </w:r>
      <w:r w:rsidR="00A67B82">
        <w:rPr>
          <w:noProof/>
        </w:rPr>
        <w:fldChar w:fldCharType="separate"/>
      </w:r>
      <w:r w:rsidR="000E725A">
        <w:rPr>
          <w:noProof/>
        </w:rPr>
        <w:t>10</w:t>
      </w:r>
      <w:r w:rsidR="00A67B82">
        <w:rPr>
          <w:noProof/>
        </w:rPr>
        <w:fldChar w:fldCharType="end"/>
      </w:r>
    </w:p>
    <w:p w14:paraId="7DDAD4AD" w14:textId="5E5C7A89"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 All causes: Māori and non-Māori age-standardised years of life lost, 1996–2021</w:t>
      </w:r>
      <w:r>
        <w:rPr>
          <w:noProof/>
        </w:rPr>
        <w:tab/>
      </w:r>
      <w:r>
        <w:rPr>
          <w:noProof/>
        </w:rPr>
        <w:fldChar w:fldCharType="begin"/>
      </w:r>
      <w:r>
        <w:rPr>
          <w:noProof/>
        </w:rPr>
        <w:instrText xml:space="preserve"> PAGEREF _Toc216377187 \h </w:instrText>
      </w:r>
      <w:r>
        <w:rPr>
          <w:noProof/>
        </w:rPr>
      </w:r>
      <w:r>
        <w:rPr>
          <w:noProof/>
        </w:rPr>
        <w:fldChar w:fldCharType="separate"/>
      </w:r>
      <w:r w:rsidR="000E725A">
        <w:rPr>
          <w:noProof/>
        </w:rPr>
        <w:t>13</w:t>
      </w:r>
      <w:r>
        <w:rPr>
          <w:noProof/>
        </w:rPr>
        <w:fldChar w:fldCharType="end"/>
      </w:r>
    </w:p>
    <w:p w14:paraId="4F1DDD45" w14:textId="4CFF1D5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 All causes: Māori/non-Māori age-standardised years of life lost rate ratio, 1996–2021</w:t>
      </w:r>
      <w:r>
        <w:rPr>
          <w:noProof/>
        </w:rPr>
        <w:tab/>
      </w:r>
      <w:r>
        <w:rPr>
          <w:noProof/>
        </w:rPr>
        <w:fldChar w:fldCharType="begin"/>
      </w:r>
      <w:r>
        <w:rPr>
          <w:noProof/>
        </w:rPr>
        <w:instrText xml:space="preserve"> PAGEREF _Toc216377188 \h </w:instrText>
      </w:r>
      <w:r>
        <w:rPr>
          <w:noProof/>
        </w:rPr>
      </w:r>
      <w:r>
        <w:rPr>
          <w:noProof/>
        </w:rPr>
        <w:fldChar w:fldCharType="separate"/>
      </w:r>
      <w:r w:rsidR="000E725A">
        <w:rPr>
          <w:noProof/>
        </w:rPr>
        <w:t>14</w:t>
      </w:r>
      <w:r>
        <w:rPr>
          <w:noProof/>
        </w:rPr>
        <w:fldChar w:fldCharType="end"/>
      </w:r>
    </w:p>
    <w:p w14:paraId="47BE739C" w14:textId="4E01E75C"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 All causes: tāne and wāhine Māori age-standardised years of life lost rates, 1996–2021</w:t>
      </w:r>
      <w:r>
        <w:rPr>
          <w:noProof/>
        </w:rPr>
        <w:tab/>
      </w:r>
      <w:r>
        <w:rPr>
          <w:noProof/>
        </w:rPr>
        <w:fldChar w:fldCharType="begin"/>
      </w:r>
      <w:r>
        <w:rPr>
          <w:noProof/>
        </w:rPr>
        <w:instrText xml:space="preserve"> PAGEREF _Toc216377189 \h </w:instrText>
      </w:r>
      <w:r>
        <w:rPr>
          <w:noProof/>
        </w:rPr>
      </w:r>
      <w:r>
        <w:rPr>
          <w:noProof/>
        </w:rPr>
        <w:fldChar w:fldCharType="separate"/>
      </w:r>
      <w:r w:rsidR="000E725A">
        <w:rPr>
          <w:noProof/>
        </w:rPr>
        <w:t>14</w:t>
      </w:r>
      <w:r>
        <w:rPr>
          <w:noProof/>
        </w:rPr>
        <w:fldChar w:fldCharType="end"/>
      </w:r>
    </w:p>
    <w:p w14:paraId="706615D0" w14:textId="6AC29232"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5: Proportion of years of life lost by level 1 and 2 disease categories for Māori, 2021</w:t>
      </w:r>
      <w:r>
        <w:rPr>
          <w:noProof/>
        </w:rPr>
        <w:tab/>
      </w:r>
      <w:r>
        <w:rPr>
          <w:noProof/>
        </w:rPr>
        <w:fldChar w:fldCharType="begin"/>
      </w:r>
      <w:r>
        <w:rPr>
          <w:noProof/>
        </w:rPr>
        <w:instrText xml:space="preserve"> PAGEREF _Toc216377190 \h </w:instrText>
      </w:r>
      <w:r>
        <w:rPr>
          <w:noProof/>
        </w:rPr>
      </w:r>
      <w:r>
        <w:rPr>
          <w:noProof/>
        </w:rPr>
        <w:fldChar w:fldCharType="separate"/>
      </w:r>
      <w:r w:rsidR="000E725A">
        <w:rPr>
          <w:noProof/>
        </w:rPr>
        <w:t>15</w:t>
      </w:r>
      <w:r>
        <w:rPr>
          <w:noProof/>
        </w:rPr>
        <w:fldChar w:fldCharType="end"/>
      </w:r>
    </w:p>
    <w:p w14:paraId="175FCD38" w14:textId="604B6CC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6: Ten leading contributors to years of life lost (proportion %) for tāne and wāhine Māori, 2021</w:t>
      </w:r>
      <w:r>
        <w:rPr>
          <w:noProof/>
        </w:rPr>
        <w:tab/>
      </w:r>
      <w:r>
        <w:rPr>
          <w:noProof/>
        </w:rPr>
        <w:fldChar w:fldCharType="begin"/>
      </w:r>
      <w:r>
        <w:rPr>
          <w:noProof/>
        </w:rPr>
        <w:instrText xml:space="preserve"> PAGEREF _Toc216377191 \h </w:instrText>
      </w:r>
      <w:r>
        <w:rPr>
          <w:noProof/>
        </w:rPr>
      </w:r>
      <w:r>
        <w:rPr>
          <w:noProof/>
        </w:rPr>
        <w:fldChar w:fldCharType="separate"/>
      </w:r>
      <w:r w:rsidR="000E725A">
        <w:rPr>
          <w:noProof/>
        </w:rPr>
        <w:t>16</w:t>
      </w:r>
      <w:r>
        <w:rPr>
          <w:noProof/>
        </w:rPr>
        <w:fldChar w:fldCharType="end"/>
      </w:r>
    </w:p>
    <w:p w14:paraId="51508C2C" w14:textId="3E982804"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7: Māori and non-Māori age-standardised years of life lost rates by ten leading level 2 causes, 2021</w:t>
      </w:r>
      <w:r>
        <w:rPr>
          <w:noProof/>
        </w:rPr>
        <w:tab/>
      </w:r>
      <w:r>
        <w:rPr>
          <w:noProof/>
        </w:rPr>
        <w:fldChar w:fldCharType="begin"/>
      </w:r>
      <w:r>
        <w:rPr>
          <w:noProof/>
        </w:rPr>
        <w:instrText xml:space="preserve"> PAGEREF _Toc216377192 \h </w:instrText>
      </w:r>
      <w:r>
        <w:rPr>
          <w:noProof/>
        </w:rPr>
      </w:r>
      <w:r>
        <w:rPr>
          <w:noProof/>
        </w:rPr>
        <w:fldChar w:fldCharType="separate"/>
      </w:r>
      <w:r w:rsidR="000E725A">
        <w:rPr>
          <w:noProof/>
        </w:rPr>
        <w:t>17</w:t>
      </w:r>
      <w:r>
        <w:rPr>
          <w:noProof/>
        </w:rPr>
        <w:fldChar w:fldCharType="end"/>
      </w:r>
    </w:p>
    <w:p w14:paraId="1A1E61FB" w14:textId="422BB0FC"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8: Māori/non-Māori years of life lost age-standardised rate ratios for 10 leading level 2 causes, 2021</w:t>
      </w:r>
      <w:r>
        <w:rPr>
          <w:noProof/>
        </w:rPr>
        <w:tab/>
      </w:r>
      <w:r>
        <w:rPr>
          <w:noProof/>
        </w:rPr>
        <w:fldChar w:fldCharType="begin"/>
      </w:r>
      <w:r>
        <w:rPr>
          <w:noProof/>
        </w:rPr>
        <w:instrText xml:space="preserve"> PAGEREF _Toc216377193 \h </w:instrText>
      </w:r>
      <w:r>
        <w:rPr>
          <w:noProof/>
        </w:rPr>
      </w:r>
      <w:r>
        <w:rPr>
          <w:noProof/>
        </w:rPr>
        <w:fldChar w:fldCharType="separate"/>
      </w:r>
      <w:r w:rsidR="000E725A">
        <w:rPr>
          <w:noProof/>
        </w:rPr>
        <w:t>18</w:t>
      </w:r>
      <w:r>
        <w:rPr>
          <w:noProof/>
        </w:rPr>
        <w:fldChar w:fldCharType="end"/>
      </w:r>
    </w:p>
    <w:p w14:paraId="1AA1A68A" w14:textId="0679D016"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9: Proportion of years of life lost for Māori and non-Māori by age group, 2021</w:t>
      </w:r>
      <w:r>
        <w:rPr>
          <w:noProof/>
        </w:rPr>
        <w:tab/>
      </w:r>
      <w:r>
        <w:rPr>
          <w:noProof/>
        </w:rPr>
        <w:fldChar w:fldCharType="begin"/>
      </w:r>
      <w:r>
        <w:rPr>
          <w:noProof/>
        </w:rPr>
        <w:instrText xml:space="preserve"> PAGEREF _Toc216377194 \h </w:instrText>
      </w:r>
      <w:r>
        <w:rPr>
          <w:noProof/>
        </w:rPr>
      </w:r>
      <w:r>
        <w:rPr>
          <w:noProof/>
        </w:rPr>
        <w:fldChar w:fldCharType="separate"/>
      </w:r>
      <w:r w:rsidR="000E725A">
        <w:rPr>
          <w:noProof/>
        </w:rPr>
        <w:t>19</w:t>
      </w:r>
      <w:r>
        <w:rPr>
          <w:noProof/>
        </w:rPr>
        <w:fldChar w:fldCharType="end"/>
      </w:r>
    </w:p>
    <w:p w14:paraId="467EB321" w14:textId="055B707E"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10: Number of years of life lost for Māori, by life stage, 2021</w:t>
      </w:r>
      <w:r>
        <w:rPr>
          <w:noProof/>
        </w:rPr>
        <w:tab/>
      </w:r>
      <w:r>
        <w:rPr>
          <w:noProof/>
        </w:rPr>
        <w:fldChar w:fldCharType="begin"/>
      </w:r>
      <w:r>
        <w:rPr>
          <w:noProof/>
        </w:rPr>
        <w:instrText xml:space="preserve"> PAGEREF _Toc216377195 \h </w:instrText>
      </w:r>
      <w:r>
        <w:rPr>
          <w:noProof/>
        </w:rPr>
      </w:r>
      <w:r>
        <w:rPr>
          <w:noProof/>
        </w:rPr>
        <w:fldChar w:fldCharType="separate"/>
      </w:r>
      <w:r w:rsidR="000E725A">
        <w:rPr>
          <w:noProof/>
        </w:rPr>
        <w:t>19</w:t>
      </w:r>
      <w:r>
        <w:rPr>
          <w:noProof/>
        </w:rPr>
        <w:fldChar w:fldCharType="end"/>
      </w:r>
    </w:p>
    <w:p w14:paraId="05AADF45" w14:textId="6B7C01AE"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11: Rate of years of life lost per 100,000 for Māori and non-Māori by age group, 2021</w:t>
      </w:r>
      <w:r>
        <w:rPr>
          <w:noProof/>
        </w:rPr>
        <w:tab/>
      </w:r>
      <w:r>
        <w:rPr>
          <w:noProof/>
        </w:rPr>
        <w:fldChar w:fldCharType="begin"/>
      </w:r>
      <w:r>
        <w:rPr>
          <w:noProof/>
        </w:rPr>
        <w:instrText xml:space="preserve"> PAGEREF _Toc216377196 \h </w:instrText>
      </w:r>
      <w:r>
        <w:rPr>
          <w:noProof/>
        </w:rPr>
      </w:r>
      <w:r>
        <w:rPr>
          <w:noProof/>
        </w:rPr>
        <w:fldChar w:fldCharType="separate"/>
      </w:r>
      <w:r w:rsidR="000E725A">
        <w:rPr>
          <w:noProof/>
        </w:rPr>
        <w:t>20</w:t>
      </w:r>
      <w:r>
        <w:rPr>
          <w:noProof/>
        </w:rPr>
        <w:fldChar w:fldCharType="end"/>
      </w:r>
    </w:p>
    <w:p w14:paraId="07440B39" w14:textId="71F8C9C2"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12: Relative contribution of the top six conditions to years of life lost, by life stage (0–24 years), 2021</w:t>
      </w:r>
      <w:r>
        <w:rPr>
          <w:noProof/>
        </w:rPr>
        <w:tab/>
      </w:r>
      <w:r>
        <w:rPr>
          <w:noProof/>
        </w:rPr>
        <w:fldChar w:fldCharType="begin"/>
      </w:r>
      <w:r>
        <w:rPr>
          <w:noProof/>
        </w:rPr>
        <w:instrText xml:space="preserve"> PAGEREF _Toc216377197 \h </w:instrText>
      </w:r>
      <w:r>
        <w:rPr>
          <w:noProof/>
        </w:rPr>
      </w:r>
      <w:r>
        <w:rPr>
          <w:noProof/>
        </w:rPr>
        <w:fldChar w:fldCharType="separate"/>
      </w:r>
      <w:r w:rsidR="000E725A">
        <w:rPr>
          <w:noProof/>
        </w:rPr>
        <w:t>21</w:t>
      </w:r>
      <w:r>
        <w:rPr>
          <w:noProof/>
        </w:rPr>
        <w:fldChar w:fldCharType="end"/>
      </w:r>
    </w:p>
    <w:p w14:paraId="586F432D" w14:textId="53F0CCC2"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lastRenderedPageBreak/>
        <w:t>Figure 13: Relative contribution of the top six conditions to years of life lost, by life stage (25+ years), 2021</w:t>
      </w:r>
      <w:r>
        <w:rPr>
          <w:noProof/>
        </w:rPr>
        <w:tab/>
      </w:r>
      <w:r>
        <w:rPr>
          <w:noProof/>
        </w:rPr>
        <w:fldChar w:fldCharType="begin"/>
      </w:r>
      <w:r>
        <w:rPr>
          <w:noProof/>
        </w:rPr>
        <w:instrText xml:space="preserve"> PAGEREF _Toc216377198 \h </w:instrText>
      </w:r>
      <w:r>
        <w:rPr>
          <w:noProof/>
        </w:rPr>
      </w:r>
      <w:r>
        <w:rPr>
          <w:noProof/>
        </w:rPr>
        <w:fldChar w:fldCharType="separate"/>
      </w:r>
      <w:r w:rsidR="000E725A">
        <w:rPr>
          <w:noProof/>
        </w:rPr>
        <w:t>22</w:t>
      </w:r>
      <w:r>
        <w:rPr>
          <w:noProof/>
        </w:rPr>
        <w:fldChar w:fldCharType="end"/>
      </w:r>
    </w:p>
    <w:p w14:paraId="3F70FB66" w14:textId="168ECB83"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14: Five leading contributors to years of life lost for pakeke Māori aged 25–64 years, number of years of life lost by age group and gender, 2021</w:t>
      </w:r>
      <w:r>
        <w:rPr>
          <w:noProof/>
        </w:rPr>
        <w:tab/>
      </w:r>
      <w:r>
        <w:rPr>
          <w:noProof/>
        </w:rPr>
        <w:fldChar w:fldCharType="begin"/>
      </w:r>
      <w:r>
        <w:rPr>
          <w:noProof/>
        </w:rPr>
        <w:instrText xml:space="preserve"> PAGEREF _Toc216377199 \h </w:instrText>
      </w:r>
      <w:r>
        <w:rPr>
          <w:noProof/>
        </w:rPr>
      </w:r>
      <w:r>
        <w:rPr>
          <w:noProof/>
        </w:rPr>
        <w:fldChar w:fldCharType="separate"/>
      </w:r>
      <w:r w:rsidR="000E725A">
        <w:rPr>
          <w:noProof/>
        </w:rPr>
        <w:t>23</w:t>
      </w:r>
      <w:r>
        <w:rPr>
          <w:noProof/>
        </w:rPr>
        <w:fldChar w:fldCharType="end"/>
      </w:r>
    </w:p>
    <w:p w14:paraId="6C696107" w14:textId="5B9648C2"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15: Māori and non-Māori age-standardised years of life lost rates for the 15 leading cancer types, 2021</w:t>
      </w:r>
      <w:r>
        <w:rPr>
          <w:noProof/>
        </w:rPr>
        <w:tab/>
      </w:r>
      <w:r>
        <w:rPr>
          <w:noProof/>
        </w:rPr>
        <w:fldChar w:fldCharType="begin"/>
      </w:r>
      <w:r>
        <w:rPr>
          <w:noProof/>
        </w:rPr>
        <w:instrText xml:space="preserve"> PAGEREF _Toc216377200 \h </w:instrText>
      </w:r>
      <w:r>
        <w:rPr>
          <w:noProof/>
        </w:rPr>
      </w:r>
      <w:r>
        <w:rPr>
          <w:noProof/>
        </w:rPr>
        <w:fldChar w:fldCharType="separate"/>
      </w:r>
      <w:r w:rsidR="000E725A">
        <w:rPr>
          <w:noProof/>
        </w:rPr>
        <w:t>25</w:t>
      </w:r>
      <w:r>
        <w:rPr>
          <w:noProof/>
        </w:rPr>
        <w:fldChar w:fldCharType="end"/>
      </w:r>
    </w:p>
    <w:p w14:paraId="21BC35BE" w14:textId="475CAF45"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16: Māori/non-Māori age-standardised years of life lost rate ratios for the 15 leading cancer types, 2021</w:t>
      </w:r>
      <w:r>
        <w:rPr>
          <w:noProof/>
        </w:rPr>
        <w:tab/>
      </w:r>
      <w:r>
        <w:rPr>
          <w:noProof/>
        </w:rPr>
        <w:fldChar w:fldCharType="begin"/>
      </w:r>
      <w:r>
        <w:rPr>
          <w:noProof/>
        </w:rPr>
        <w:instrText xml:space="preserve"> PAGEREF _Toc216377201 \h </w:instrText>
      </w:r>
      <w:r>
        <w:rPr>
          <w:noProof/>
        </w:rPr>
      </w:r>
      <w:r>
        <w:rPr>
          <w:noProof/>
        </w:rPr>
        <w:fldChar w:fldCharType="separate"/>
      </w:r>
      <w:r w:rsidR="000E725A">
        <w:rPr>
          <w:noProof/>
        </w:rPr>
        <w:t>26</w:t>
      </w:r>
      <w:r>
        <w:rPr>
          <w:noProof/>
        </w:rPr>
        <w:fldChar w:fldCharType="end"/>
      </w:r>
    </w:p>
    <w:p w14:paraId="4C667897" w14:textId="68B1B897"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17: All cancer: tāne and wāhine Māori, age-specific years of life lost rates, 2021</w:t>
      </w:r>
      <w:r>
        <w:rPr>
          <w:noProof/>
        </w:rPr>
        <w:tab/>
      </w:r>
      <w:r>
        <w:rPr>
          <w:noProof/>
        </w:rPr>
        <w:fldChar w:fldCharType="begin"/>
      </w:r>
      <w:r>
        <w:rPr>
          <w:noProof/>
        </w:rPr>
        <w:instrText xml:space="preserve"> PAGEREF _Toc216377202 \h </w:instrText>
      </w:r>
      <w:r>
        <w:rPr>
          <w:noProof/>
        </w:rPr>
      </w:r>
      <w:r>
        <w:rPr>
          <w:noProof/>
        </w:rPr>
        <w:fldChar w:fldCharType="separate"/>
      </w:r>
      <w:r w:rsidR="000E725A">
        <w:rPr>
          <w:noProof/>
        </w:rPr>
        <w:t>26</w:t>
      </w:r>
      <w:r>
        <w:rPr>
          <w:noProof/>
        </w:rPr>
        <w:fldChar w:fldCharType="end"/>
      </w:r>
    </w:p>
    <w:p w14:paraId="122D0609" w14:textId="6F4E1CE1"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18: Top 10 leading cancers contributing to years of life lost from cancer for tāne and wāhine Māori, 2021</w:t>
      </w:r>
      <w:r>
        <w:rPr>
          <w:noProof/>
        </w:rPr>
        <w:tab/>
      </w:r>
      <w:r>
        <w:rPr>
          <w:noProof/>
        </w:rPr>
        <w:fldChar w:fldCharType="begin"/>
      </w:r>
      <w:r>
        <w:rPr>
          <w:noProof/>
        </w:rPr>
        <w:instrText xml:space="preserve"> PAGEREF _Toc216377203 \h </w:instrText>
      </w:r>
      <w:r>
        <w:rPr>
          <w:noProof/>
        </w:rPr>
      </w:r>
      <w:r>
        <w:rPr>
          <w:noProof/>
        </w:rPr>
        <w:fldChar w:fldCharType="separate"/>
      </w:r>
      <w:r w:rsidR="000E725A">
        <w:rPr>
          <w:noProof/>
        </w:rPr>
        <w:t>27</w:t>
      </w:r>
      <w:r>
        <w:rPr>
          <w:noProof/>
        </w:rPr>
        <w:fldChar w:fldCharType="end"/>
      </w:r>
    </w:p>
    <w:p w14:paraId="644D3E31" w14:textId="5CB82D48"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19: Lung cancer: Māori and non-Māori age-standardised years of life lost rates, 1996–2021</w:t>
      </w:r>
      <w:r>
        <w:rPr>
          <w:noProof/>
        </w:rPr>
        <w:tab/>
      </w:r>
      <w:r>
        <w:rPr>
          <w:noProof/>
        </w:rPr>
        <w:fldChar w:fldCharType="begin"/>
      </w:r>
      <w:r>
        <w:rPr>
          <w:noProof/>
        </w:rPr>
        <w:instrText xml:space="preserve"> PAGEREF _Toc216377204 \h </w:instrText>
      </w:r>
      <w:r>
        <w:rPr>
          <w:noProof/>
        </w:rPr>
      </w:r>
      <w:r>
        <w:rPr>
          <w:noProof/>
        </w:rPr>
        <w:fldChar w:fldCharType="separate"/>
      </w:r>
      <w:r w:rsidR="000E725A">
        <w:rPr>
          <w:noProof/>
        </w:rPr>
        <w:t>28</w:t>
      </w:r>
      <w:r>
        <w:rPr>
          <w:noProof/>
        </w:rPr>
        <w:fldChar w:fldCharType="end"/>
      </w:r>
    </w:p>
    <w:p w14:paraId="0257BD1D" w14:textId="4DA4763F"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20: Lung cancer: Māori/non-Māori age-standardised years of life lost rate ratios, 1996–2021</w:t>
      </w:r>
      <w:r>
        <w:rPr>
          <w:noProof/>
        </w:rPr>
        <w:tab/>
      </w:r>
      <w:r>
        <w:rPr>
          <w:noProof/>
        </w:rPr>
        <w:fldChar w:fldCharType="begin"/>
      </w:r>
      <w:r>
        <w:rPr>
          <w:noProof/>
        </w:rPr>
        <w:instrText xml:space="preserve"> PAGEREF _Toc216377205 \h </w:instrText>
      </w:r>
      <w:r>
        <w:rPr>
          <w:noProof/>
        </w:rPr>
      </w:r>
      <w:r>
        <w:rPr>
          <w:noProof/>
        </w:rPr>
        <w:fldChar w:fldCharType="separate"/>
      </w:r>
      <w:r w:rsidR="000E725A">
        <w:rPr>
          <w:noProof/>
        </w:rPr>
        <w:t>28</w:t>
      </w:r>
      <w:r>
        <w:rPr>
          <w:noProof/>
        </w:rPr>
        <w:fldChar w:fldCharType="end"/>
      </w:r>
    </w:p>
    <w:p w14:paraId="7AFEB6CE" w14:textId="2FEEB18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21: Lung cancer: tāne and wāhine Māori age-standardised years of life lost rates, 1996–2021</w:t>
      </w:r>
      <w:r>
        <w:rPr>
          <w:noProof/>
        </w:rPr>
        <w:tab/>
      </w:r>
      <w:r>
        <w:rPr>
          <w:noProof/>
        </w:rPr>
        <w:fldChar w:fldCharType="begin"/>
      </w:r>
      <w:r>
        <w:rPr>
          <w:noProof/>
        </w:rPr>
        <w:instrText xml:space="preserve"> PAGEREF _Toc216377206 \h </w:instrText>
      </w:r>
      <w:r>
        <w:rPr>
          <w:noProof/>
        </w:rPr>
      </w:r>
      <w:r>
        <w:rPr>
          <w:noProof/>
        </w:rPr>
        <w:fldChar w:fldCharType="separate"/>
      </w:r>
      <w:r w:rsidR="000E725A">
        <w:rPr>
          <w:noProof/>
        </w:rPr>
        <w:t>29</w:t>
      </w:r>
      <w:r>
        <w:rPr>
          <w:noProof/>
        </w:rPr>
        <w:fldChar w:fldCharType="end"/>
      </w:r>
    </w:p>
    <w:p w14:paraId="18B802AA" w14:textId="5A8E857B"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22: Lung cancer: Māori and non-Māori years of life lost rates, by age group, 2021</w:t>
      </w:r>
      <w:r>
        <w:rPr>
          <w:noProof/>
        </w:rPr>
        <w:tab/>
      </w:r>
      <w:r>
        <w:rPr>
          <w:noProof/>
        </w:rPr>
        <w:fldChar w:fldCharType="begin"/>
      </w:r>
      <w:r>
        <w:rPr>
          <w:noProof/>
        </w:rPr>
        <w:instrText xml:space="preserve"> PAGEREF _Toc216377207 \h </w:instrText>
      </w:r>
      <w:r>
        <w:rPr>
          <w:noProof/>
        </w:rPr>
      </w:r>
      <w:r>
        <w:rPr>
          <w:noProof/>
        </w:rPr>
        <w:fldChar w:fldCharType="separate"/>
      </w:r>
      <w:r w:rsidR="000E725A">
        <w:rPr>
          <w:noProof/>
        </w:rPr>
        <w:t>29</w:t>
      </w:r>
      <w:r>
        <w:rPr>
          <w:noProof/>
        </w:rPr>
        <w:fldChar w:fldCharType="end"/>
      </w:r>
    </w:p>
    <w:p w14:paraId="664AE7AE" w14:textId="29E05D59"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23: Lung cancer: tāne and wāhine Māori years of life lost rates by age group, 2021</w:t>
      </w:r>
      <w:r>
        <w:rPr>
          <w:noProof/>
        </w:rPr>
        <w:tab/>
      </w:r>
      <w:r>
        <w:rPr>
          <w:noProof/>
        </w:rPr>
        <w:fldChar w:fldCharType="begin"/>
      </w:r>
      <w:r>
        <w:rPr>
          <w:noProof/>
        </w:rPr>
        <w:instrText xml:space="preserve"> PAGEREF _Toc216377208 \h </w:instrText>
      </w:r>
      <w:r>
        <w:rPr>
          <w:noProof/>
        </w:rPr>
      </w:r>
      <w:r>
        <w:rPr>
          <w:noProof/>
        </w:rPr>
        <w:fldChar w:fldCharType="separate"/>
      </w:r>
      <w:r w:rsidR="000E725A">
        <w:rPr>
          <w:noProof/>
        </w:rPr>
        <w:t>30</w:t>
      </w:r>
      <w:r>
        <w:rPr>
          <w:noProof/>
        </w:rPr>
        <w:fldChar w:fldCharType="end"/>
      </w:r>
    </w:p>
    <w:p w14:paraId="62A6F9B1" w14:textId="3FEA9A42"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24: Breast cancer: Māori and non-Māori wāhine age-standardised years of life lost rates, 1996–2021</w:t>
      </w:r>
      <w:r>
        <w:rPr>
          <w:noProof/>
        </w:rPr>
        <w:tab/>
      </w:r>
      <w:r>
        <w:rPr>
          <w:noProof/>
        </w:rPr>
        <w:fldChar w:fldCharType="begin"/>
      </w:r>
      <w:r>
        <w:rPr>
          <w:noProof/>
        </w:rPr>
        <w:instrText xml:space="preserve"> PAGEREF _Toc216377209 \h </w:instrText>
      </w:r>
      <w:r>
        <w:rPr>
          <w:noProof/>
        </w:rPr>
      </w:r>
      <w:r>
        <w:rPr>
          <w:noProof/>
        </w:rPr>
        <w:fldChar w:fldCharType="separate"/>
      </w:r>
      <w:r w:rsidR="000E725A">
        <w:rPr>
          <w:noProof/>
        </w:rPr>
        <w:t>30</w:t>
      </w:r>
      <w:r>
        <w:rPr>
          <w:noProof/>
        </w:rPr>
        <w:fldChar w:fldCharType="end"/>
      </w:r>
    </w:p>
    <w:p w14:paraId="3AC5E254" w14:textId="1D50205B"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25: Breast cancer: Māori/non-Māori wāhine age-standardised years of life lost rate ratios, 1996–2021</w:t>
      </w:r>
      <w:r>
        <w:rPr>
          <w:noProof/>
        </w:rPr>
        <w:tab/>
      </w:r>
      <w:r>
        <w:rPr>
          <w:noProof/>
        </w:rPr>
        <w:fldChar w:fldCharType="begin"/>
      </w:r>
      <w:r>
        <w:rPr>
          <w:noProof/>
        </w:rPr>
        <w:instrText xml:space="preserve"> PAGEREF _Toc216377210 \h </w:instrText>
      </w:r>
      <w:r>
        <w:rPr>
          <w:noProof/>
        </w:rPr>
      </w:r>
      <w:r>
        <w:rPr>
          <w:noProof/>
        </w:rPr>
        <w:fldChar w:fldCharType="separate"/>
      </w:r>
      <w:r w:rsidR="000E725A">
        <w:rPr>
          <w:noProof/>
        </w:rPr>
        <w:t>31</w:t>
      </w:r>
      <w:r>
        <w:rPr>
          <w:noProof/>
        </w:rPr>
        <w:fldChar w:fldCharType="end"/>
      </w:r>
    </w:p>
    <w:p w14:paraId="548880FD" w14:textId="6AF0D58E"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26: Breast cancer: Māori and non-Māori years of life lost rates by age group, 2021</w:t>
      </w:r>
      <w:r>
        <w:rPr>
          <w:noProof/>
        </w:rPr>
        <w:tab/>
      </w:r>
      <w:r>
        <w:rPr>
          <w:noProof/>
        </w:rPr>
        <w:fldChar w:fldCharType="begin"/>
      </w:r>
      <w:r>
        <w:rPr>
          <w:noProof/>
        </w:rPr>
        <w:instrText xml:space="preserve"> PAGEREF _Toc216377211 \h </w:instrText>
      </w:r>
      <w:r>
        <w:rPr>
          <w:noProof/>
        </w:rPr>
      </w:r>
      <w:r>
        <w:rPr>
          <w:noProof/>
        </w:rPr>
        <w:fldChar w:fldCharType="separate"/>
      </w:r>
      <w:r w:rsidR="000E725A">
        <w:rPr>
          <w:noProof/>
        </w:rPr>
        <w:t>31</w:t>
      </w:r>
      <w:r>
        <w:rPr>
          <w:noProof/>
        </w:rPr>
        <w:fldChar w:fldCharType="end"/>
      </w:r>
    </w:p>
    <w:p w14:paraId="13C946E6" w14:textId="3B9B297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 xml:space="preserve">Figure 27: </w:t>
      </w:r>
      <w:r w:rsidRPr="003E2050">
        <w:rPr>
          <w:rFonts w:cs="Segoe UI"/>
          <w:noProof/>
        </w:rPr>
        <w:t xml:space="preserve">Ischaemic </w:t>
      </w:r>
      <w:r>
        <w:rPr>
          <w:noProof/>
        </w:rPr>
        <w:t>heart disease: Māori and non-Māori age-standardised years of life lost rates, 1996–2021</w:t>
      </w:r>
      <w:r>
        <w:rPr>
          <w:noProof/>
        </w:rPr>
        <w:tab/>
      </w:r>
      <w:r>
        <w:rPr>
          <w:noProof/>
        </w:rPr>
        <w:fldChar w:fldCharType="begin"/>
      </w:r>
      <w:r>
        <w:rPr>
          <w:noProof/>
        </w:rPr>
        <w:instrText xml:space="preserve"> PAGEREF _Toc216377212 \h </w:instrText>
      </w:r>
      <w:r>
        <w:rPr>
          <w:noProof/>
        </w:rPr>
      </w:r>
      <w:r>
        <w:rPr>
          <w:noProof/>
        </w:rPr>
        <w:fldChar w:fldCharType="separate"/>
      </w:r>
      <w:r w:rsidR="000E725A">
        <w:rPr>
          <w:noProof/>
        </w:rPr>
        <w:t>32</w:t>
      </w:r>
      <w:r>
        <w:rPr>
          <w:noProof/>
        </w:rPr>
        <w:fldChar w:fldCharType="end"/>
      </w:r>
    </w:p>
    <w:p w14:paraId="2BB1A8FE" w14:textId="042AB138"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28: Ischaemic heart disease: Māori/non-Māori age-standardised years of life lost rate ratios, 1996–2021</w:t>
      </w:r>
      <w:r>
        <w:rPr>
          <w:noProof/>
        </w:rPr>
        <w:tab/>
      </w:r>
      <w:r>
        <w:rPr>
          <w:noProof/>
        </w:rPr>
        <w:fldChar w:fldCharType="begin"/>
      </w:r>
      <w:r>
        <w:rPr>
          <w:noProof/>
        </w:rPr>
        <w:instrText xml:space="preserve"> PAGEREF _Toc216377213 \h </w:instrText>
      </w:r>
      <w:r>
        <w:rPr>
          <w:noProof/>
        </w:rPr>
      </w:r>
      <w:r>
        <w:rPr>
          <w:noProof/>
        </w:rPr>
        <w:fldChar w:fldCharType="separate"/>
      </w:r>
      <w:r w:rsidR="000E725A">
        <w:rPr>
          <w:noProof/>
        </w:rPr>
        <w:t>33</w:t>
      </w:r>
      <w:r>
        <w:rPr>
          <w:noProof/>
        </w:rPr>
        <w:fldChar w:fldCharType="end"/>
      </w:r>
    </w:p>
    <w:p w14:paraId="59ACDE08" w14:textId="6C5D7EDD"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29: Ischaemic heart disease: Māori tāne and wāhine age-standardised years of life lost rates, 1996–2021</w:t>
      </w:r>
      <w:r>
        <w:rPr>
          <w:noProof/>
        </w:rPr>
        <w:tab/>
      </w:r>
      <w:r>
        <w:rPr>
          <w:noProof/>
        </w:rPr>
        <w:fldChar w:fldCharType="begin"/>
      </w:r>
      <w:r>
        <w:rPr>
          <w:noProof/>
        </w:rPr>
        <w:instrText xml:space="preserve"> PAGEREF _Toc216377214 \h </w:instrText>
      </w:r>
      <w:r>
        <w:rPr>
          <w:noProof/>
        </w:rPr>
      </w:r>
      <w:r>
        <w:rPr>
          <w:noProof/>
        </w:rPr>
        <w:fldChar w:fldCharType="separate"/>
      </w:r>
      <w:r w:rsidR="000E725A">
        <w:rPr>
          <w:noProof/>
        </w:rPr>
        <w:t>33</w:t>
      </w:r>
      <w:r>
        <w:rPr>
          <w:noProof/>
        </w:rPr>
        <w:fldChar w:fldCharType="end"/>
      </w:r>
    </w:p>
    <w:p w14:paraId="57CEB6DD" w14:textId="6F46F23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30: Ischaemic heart disease: Māori and non-Māori years of life lost rates by age group, 2021</w:t>
      </w:r>
      <w:r>
        <w:rPr>
          <w:noProof/>
        </w:rPr>
        <w:tab/>
      </w:r>
      <w:r>
        <w:rPr>
          <w:noProof/>
        </w:rPr>
        <w:fldChar w:fldCharType="begin"/>
      </w:r>
      <w:r>
        <w:rPr>
          <w:noProof/>
        </w:rPr>
        <w:instrText xml:space="preserve"> PAGEREF _Toc216377215 \h </w:instrText>
      </w:r>
      <w:r>
        <w:rPr>
          <w:noProof/>
        </w:rPr>
      </w:r>
      <w:r>
        <w:rPr>
          <w:noProof/>
        </w:rPr>
        <w:fldChar w:fldCharType="separate"/>
      </w:r>
      <w:r w:rsidR="000E725A">
        <w:rPr>
          <w:noProof/>
        </w:rPr>
        <w:t>34</w:t>
      </w:r>
      <w:r>
        <w:rPr>
          <w:noProof/>
        </w:rPr>
        <w:fldChar w:fldCharType="end"/>
      </w:r>
    </w:p>
    <w:p w14:paraId="304A33F2" w14:textId="73DF6950"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31: Ischaemic heart disease: Māori tāne and wāhine years of life lost rates by age group, 2021</w:t>
      </w:r>
      <w:r>
        <w:rPr>
          <w:noProof/>
        </w:rPr>
        <w:tab/>
      </w:r>
      <w:r>
        <w:rPr>
          <w:noProof/>
        </w:rPr>
        <w:fldChar w:fldCharType="begin"/>
      </w:r>
      <w:r>
        <w:rPr>
          <w:noProof/>
        </w:rPr>
        <w:instrText xml:space="preserve"> PAGEREF _Toc216377216 \h </w:instrText>
      </w:r>
      <w:r>
        <w:rPr>
          <w:noProof/>
        </w:rPr>
      </w:r>
      <w:r>
        <w:rPr>
          <w:noProof/>
        </w:rPr>
        <w:fldChar w:fldCharType="separate"/>
      </w:r>
      <w:r w:rsidR="000E725A">
        <w:rPr>
          <w:noProof/>
        </w:rPr>
        <w:t>35</w:t>
      </w:r>
      <w:r>
        <w:rPr>
          <w:noProof/>
        </w:rPr>
        <w:fldChar w:fldCharType="end"/>
      </w:r>
    </w:p>
    <w:p w14:paraId="29B7A7D4" w14:textId="6B5C7460"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32: Self-harm: Māori and non-Māori age-standardised years of life lost rates, 1996–2021</w:t>
      </w:r>
      <w:r>
        <w:rPr>
          <w:noProof/>
        </w:rPr>
        <w:tab/>
      </w:r>
      <w:r>
        <w:rPr>
          <w:noProof/>
        </w:rPr>
        <w:fldChar w:fldCharType="begin"/>
      </w:r>
      <w:r>
        <w:rPr>
          <w:noProof/>
        </w:rPr>
        <w:instrText xml:space="preserve"> PAGEREF _Toc216377217 \h </w:instrText>
      </w:r>
      <w:r>
        <w:rPr>
          <w:noProof/>
        </w:rPr>
      </w:r>
      <w:r>
        <w:rPr>
          <w:noProof/>
        </w:rPr>
        <w:fldChar w:fldCharType="separate"/>
      </w:r>
      <w:r w:rsidR="000E725A">
        <w:rPr>
          <w:noProof/>
        </w:rPr>
        <w:t>35</w:t>
      </w:r>
      <w:r>
        <w:rPr>
          <w:noProof/>
        </w:rPr>
        <w:fldChar w:fldCharType="end"/>
      </w:r>
    </w:p>
    <w:p w14:paraId="05AE2C7D" w14:textId="1B8B97A3"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lastRenderedPageBreak/>
        <w:t>Figure 33: Self-harm: Māori/non-Māori age-standardised years of life lost rate ratios, 1996–2021</w:t>
      </w:r>
      <w:r>
        <w:rPr>
          <w:noProof/>
        </w:rPr>
        <w:tab/>
      </w:r>
      <w:r>
        <w:rPr>
          <w:noProof/>
        </w:rPr>
        <w:fldChar w:fldCharType="begin"/>
      </w:r>
      <w:r>
        <w:rPr>
          <w:noProof/>
        </w:rPr>
        <w:instrText xml:space="preserve"> PAGEREF _Toc216377218 \h </w:instrText>
      </w:r>
      <w:r>
        <w:rPr>
          <w:noProof/>
        </w:rPr>
      </w:r>
      <w:r>
        <w:rPr>
          <w:noProof/>
        </w:rPr>
        <w:fldChar w:fldCharType="separate"/>
      </w:r>
      <w:r w:rsidR="000E725A">
        <w:rPr>
          <w:noProof/>
        </w:rPr>
        <w:t>36</w:t>
      </w:r>
      <w:r>
        <w:rPr>
          <w:noProof/>
        </w:rPr>
        <w:fldChar w:fldCharType="end"/>
      </w:r>
    </w:p>
    <w:p w14:paraId="05ED5AEE" w14:textId="53CE9795"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34: Self-harm: tāne and wāhine Māori age-standardised years of life lost rates, 1996–2021</w:t>
      </w:r>
      <w:r>
        <w:rPr>
          <w:noProof/>
        </w:rPr>
        <w:tab/>
      </w:r>
      <w:r>
        <w:rPr>
          <w:noProof/>
        </w:rPr>
        <w:fldChar w:fldCharType="begin"/>
      </w:r>
      <w:r>
        <w:rPr>
          <w:noProof/>
        </w:rPr>
        <w:instrText xml:space="preserve"> PAGEREF _Toc216377219 \h </w:instrText>
      </w:r>
      <w:r>
        <w:rPr>
          <w:noProof/>
        </w:rPr>
      </w:r>
      <w:r>
        <w:rPr>
          <w:noProof/>
        </w:rPr>
        <w:fldChar w:fldCharType="separate"/>
      </w:r>
      <w:r w:rsidR="000E725A">
        <w:rPr>
          <w:noProof/>
        </w:rPr>
        <w:t>36</w:t>
      </w:r>
      <w:r>
        <w:rPr>
          <w:noProof/>
        </w:rPr>
        <w:fldChar w:fldCharType="end"/>
      </w:r>
    </w:p>
    <w:p w14:paraId="7DC613AE" w14:textId="2C84B630"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35: Self-harm: Māori and non-Māori years of life lost rates by age group, 2021</w:t>
      </w:r>
      <w:r>
        <w:rPr>
          <w:noProof/>
        </w:rPr>
        <w:tab/>
      </w:r>
      <w:r>
        <w:rPr>
          <w:noProof/>
        </w:rPr>
        <w:fldChar w:fldCharType="begin"/>
      </w:r>
      <w:r>
        <w:rPr>
          <w:noProof/>
        </w:rPr>
        <w:instrText xml:space="preserve"> PAGEREF _Toc216377220 \h </w:instrText>
      </w:r>
      <w:r>
        <w:rPr>
          <w:noProof/>
        </w:rPr>
      </w:r>
      <w:r>
        <w:rPr>
          <w:noProof/>
        </w:rPr>
        <w:fldChar w:fldCharType="separate"/>
      </w:r>
      <w:r w:rsidR="000E725A">
        <w:rPr>
          <w:noProof/>
        </w:rPr>
        <w:t>37</w:t>
      </w:r>
      <w:r>
        <w:rPr>
          <w:noProof/>
        </w:rPr>
        <w:fldChar w:fldCharType="end"/>
      </w:r>
    </w:p>
    <w:p w14:paraId="32EDF565" w14:textId="21E60DBD"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36: Self-harm: tāne and wāhine Māori years of life lost rates by age group, 2021</w:t>
      </w:r>
      <w:r>
        <w:rPr>
          <w:noProof/>
        </w:rPr>
        <w:tab/>
      </w:r>
      <w:r>
        <w:rPr>
          <w:noProof/>
        </w:rPr>
        <w:fldChar w:fldCharType="begin"/>
      </w:r>
      <w:r>
        <w:rPr>
          <w:noProof/>
        </w:rPr>
        <w:instrText xml:space="preserve"> PAGEREF _Toc216377221 \h </w:instrText>
      </w:r>
      <w:r>
        <w:rPr>
          <w:noProof/>
        </w:rPr>
      </w:r>
      <w:r>
        <w:rPr>
          <w:noProof/>
        </w:rPr>
        <w:fldChar w:fldCharType="separate"/>
      </w:r>
      <w:r w:rsidR="000E725A">
        <w:rPr>
          <w:noProof/>
        </w:rPr>
        <w:t>37</w:t>
      </w:r>
      <w:r>
        <w:rPr>
          <w:noProof/>
        </w:rPr>
        <w:fldChar w:fldCharType="end"/>
      </w:r>
    </w:p>
    <w:p w14:paraId="6DEBEED8" w14:textId="3810B3A5"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37: Chronic obstructive pulmonary disease: Māori and non-Māori age-standardised years of life lost rates, 1996–2021</w:t>
      </w:r>
      <w:r>
        <w:rPr>
          <w:noProof/>
        </w:rPr>
        <w:tab/>
      </w:r>
      <w:r>
        <w:rPr>
          <w:noProof/>
        </w:rPr>
        <w:fldChar w:fldCharType="begin"/>
      </w:r>
      <w:r>
        <w:rPr>
          <w:noProof/>
        </w:rPr>
        <w:instrText xml:space="preserve"> PAGEREF _Toc216377222 \h </w:instrText>
      </w:r>
      <w:r>
        <w:rPr>
          <w:noProof/>
        </w:rPr>
      </w:r>
      <w:r>
        <w:rPr>
          <w:noProof/>
        </w:rPr>
        <w:fldChar w:fldCharType="separate"/>
      </w:r>
      <w:r w:rsidR="000E725A">
        <w:rPr>
          <w:noProof/>
        </w:rPr>
        <w:t>38</w:t>
      </w:r>
      <w:r>
        <w:rPr>
          <w:noProof/>
        </w:rPr>
        <w:fldChar w:fldCharType="end"/>
      </w:r>
    </w:p>
    <w:p w14:paraId="0F36B56E" w14:textId="7311AEE0"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38: Chronic obstructive pulmonary disease: Māori/non-Māori age-standardised years of life lost rate ratios, 1996–2021</w:t>
      </w:r>
      <w:r>
        <w:rPr>
          <w:noProof/>
        </w:rPr>
        <w:tab/>
      </w:r>
      <w:r>
        <w:rPr>
          <w:noProof/>
        </w:rPr>
        <w:fldChar w:fldCharType="begin"/>
      </w:r>
      <w:r>
        <w:rPr>
          <w:noProof/>
        </w:rPr>
        <w:instrText xml:space="preserve"> PAGEREF _Toc216377223 \h </w:instrText>
      </w:r>
      <w:r>
        <w:rPr>
          <w:noProof/>
        </w:rPr>
      </w:r>
      <w:r>
        <w:rPr>
          <w:noProof/>
        </w:rPr>
        <w:fldChar w:fldCharType="separate"/>
      </w:r>
      <w:r w:rsidR="000E725A">
        <w:rPr>
          <w:noProof/>
        </w:rPr>
        <w:t>39</w:t>
      </w:r>
      <w:r>
        <w:rPr>
          <w:noProof/>
        </w:rPr>
        <w:fldChar w:fldCharType="end"/>
      </w:r>
    </w:p>
    <w:p w14:paraId="40DAF23C" w14:textId="1BE2D66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39: Chronic obstructive pulmonary disease: tāne and wāhine Māori age-standardised years of life lost rates, 1996–2021</w:t>
      </w:r>
      <w:r>
        <w:rPr>
          <w:noProof/>
        </w:rPr>
        <w:tab/>
      </w:r>
      <w:r>
        <w:rPr>
          <w:noProof/>
        </w:rPr>
        <w:fldChar w:fldCharType="begin"/>
      </w:r>
      <w:r>
        <w:rPr>
          <w:noProof/>
        </w:rPr>
        <w:instrText xml:space="preserve"> PAGEREF _Toc216377224 \h </w:instrText>
      </w:r>
      <w:r>
        <w:rPr>
          <w:noProof/>
        </w:rPr>
      </w:r>
      <w:r>
        <w:rPr>
          <w:noProof/>
        </w:rPr>
        <w:fldChar w:fldCharType="separate"/>
      </w:r>
      <w:r w:rsidR="000E725A">
        <w:rPr>
          <w:noProof/>
        </w:rPr>
        <w:t>39</w:t>
      </w:r>
      <w:r>
        <w:rPr>
          <w:noProof/>
        </w:rPr>
        <w:fldChar w:fldCharType="end"/>
      </w:r>
    </w:p>
    <w:p w14:paraId="2A8BC742" w14:textId="3A1858B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40: Chronic obstructive pulmonary disease: Māori and non-Māori years of life lost rates by age group, 2021</w:t>
      </w:r>
      <w:r>
        <w:rPr>
          <w:noProof/>
        </w:rPr>
        <w:tab/>
      </w:r>
      <w:r>
        <w:rPr>
          <w:noProof/>
        </w:rPr>
        <w:fldChar w:fldCharType="begin"/>
      </w:r>
      <w:r>
        <w:rPr>
          <w:noProof/>
        </w:rPr>
        <w:instrText xml:space="preserve"> PAGEREF _Toc216377225 \h </w:instrText>
      </w:r>
      <w:r>
        <w:rPr>
          <w:noProof/>
        </w:rPr>
      </w:r>
      <w:r>
        <w:rPr>
          <w:noProof/>
        </w:rPr>
        <w:fldChar w:fldCharType="separate"/>
      </w:r>
      <w:r w:rsidR="000E725A">
        <w:rPr>
          <w:noProof/>
        </w:rPr>
        <w:t>40</w:t>
      </w:r>
      <w:r>
        <w:rPr>
          <w:noProof/>
        </w:rPr>
        <w:fldChar w:fldCharType="end"/>
      </w:r>
    </w:p>
    <w:p w14:paraId="4F67F230" w14:textId="42F434FF"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41: Chronic obstructive pulmonary disease: tāne and wāhine Māori years of life lost rates by age group, 2021</w:t>
      </w:r>
      <w:r>
        <w:rPr>
          <w:noProof/>
        </w:rPr>
        <w:tab/>
      </w:r>
      <w:r>
        <w:rPr>
          <w:noProof/>
        </w:rPr>
        <w:fldChar w:fldCharType="begin"/>
      </w:r>
      <w:r>
        <w:rPr>
          <w:noProof/>
        </w:rPr>
        <w:instrText xml:space="preserve"> PAGEREF _Toc216377226 \h </w:instrText>
      </w:r>
      <w:r>
        <w:rPr>
          <w:noProof/>
        </w:rPr>
      </w:r>
      <w:r>
        <w:rPr>
          <w:noProof/>
        </w:rPr>
        <w:fldChar w:fldCharType="separate"/>
      </w:r>
      <w:r w:rsidR="000E725A">
        <w:rPr>
          <w:noProof/>
        </w:rPr>
        <w:t>40</w:t>
      </w:r>
      <w:r>
        <w:rPr>
          <w:noProof/>
        </w:rPr>
        <w:fldChar w:fldCharType="end"/>
      </w:r>
    </w:p>
    <w:p w14:paraId="61C2F2A7" w14:textId="3A0FD3C7"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42: Chronic kidney disease: Māori and non-Māori age-standardised years of life lost rates, 1996–2021</w:t>
      </w:r>
      <w:r>
        <w:rPr>
          <w:noProof/>
        </w:rPr>
        <w:tab/>
      </w:r>
      <w:r>
        <w:rPr>
          <w:noProof/>
        </w:rPr>
        <w:fldChar w:fldCharType="begin"/>
      </w:r>
      <w:r>
        <w:rPr>
          <w:noProof/>
        </w:rPr>
        <w:instrText xml:space="preserve"> PAGEREF _Toc216377227 \h </w:instrText>
      </w:r>
      <w:r>
        <w:rPr>
          <w:noProof/>
        </w:rPr>
      </w:r>
      <w:r>
        <w:rPr>
          <w:noProof/>
        </w:rPr>
        <w:fldChar w:fldCharType="separate"/>
      </w:r>
      <w:r w:rsidR="000E725A">
        <w:rPr>
          <w:noProof/>
        </w:rPr>
        <w:t>41</w:t>
      </w:r>
      <w:r>
        <w:rPr>
          <w:noProof/>
        </w:rPr>
        <w:fldChar w:fldCharType="end"/>
      </w:r>
    </w:p>
    <w:p w14:paraId="0EE3DAFF" w14:textId="7E7111FF"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43: Chronic kidney disease: Māori/non-Māori age-standardised years of life lost rate ratios, 1996–2021</w:t>
      </w:r>
      <w:r>
        <w:rPr>
          <w:noProof/>
        </w:rPr>
        <w:tab/>
      </w:r>
      <w:r>
        <w:rPr>
          <w:noProof/>
        </w:rPr>
        <w:fldChar w:fldCharType="begin"/>
      </w:r>
      <w:r>
        <w:rPr>
          <w:noProof/>
        </w:rPr>
        <w:instrText xml:space="preserve"> PAGEREF _Toc216377228 \h </w:instrText>
      </w:r>
      <w:r>
        <w:rPr>
          <w:noProof/>
        </w:rPr>
      </w:r>
      <w:r>
        <w:rPr>
          <w:noProof/>
        </w:rPr>
        <w:fldChar w:fldCharType="separate"/>
      </w:r>
      <w:r w:rsidR="000E725A">
        <w:rPr>
          <w:noProof/>
        </w:rPr>
        <w:t>42</w:t>
      </w:r>
      <w:r>
        <w:rPr>
          <w:noProof/>
        </w:rPr>
        <w:fldChar w:fldCharType="end"/>
      </w:r>
    </w:p>
    <w:p w14:paraId="56551272" w14:textId="084F87B6"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44: Chronic kidney disease: Māori and non-Māori years of life lost rates by age group, 2021</w:t>
      </w:r>
      <w:r>
        <w:rPr>
          <w:noProof/>
        </w:rPr>
        <w:tab/>
      </w:r>
      <w:r>
        <w:rPr>
          <w:noProof/>
        </w:rPr>
        <w:fldChar w:fldCharType="begin"/>
      </w:r>
      <w:r>
        <w:rPr>
          <w:noProof/>
        </w:rPr>
        <w:instrText xml:space="preserve"> PAGEREF _Toc216377229 \h </w:instrText>
      </w:r>
      <w:r>
        <w:rPr>
          <w:noProof/>
        </w:rPr>
      </w:r>
      <w:r>
        <w:rPr>
          <w:noProof/>
        </w:rPr>
        <w:fldChar w:fldCharType="separate"/>
      </w:r>
      <w:r w:rsidR="000E725A">
        <w:rPr>
          <w:noProof/>
        </w:rPr>
        <w:t>42</w:t>
      </w:r>
      <w:r>
        <w:rPr>
          <w:noProof/>
        </w:rPr>
        <w:fldChar w:fldCharType="end"/>
      </w:r>
    </w:p>
    <w:p w14:paraId="18B186E5" w14:textId="600E121E"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45: Chronic kidney disease: tāne and wāhine Māori age-standardised years of life lost rates, 1996–2021</w:t>
      </w:r>
      <w:r>
        <w:rPr>
          <w:noProof/>
        </w:rPr>
        <w:tab/>
      </w:r>
      <w:r>
        <w:rPr>
          <w:noProof/>
        </w:rPr>
        <w:fldChar w:fldCharType="begin"/>
      </w:r>
      <w:r>
        <w:rPr>
          <w:noProof/>
        </w:rPr>
        <w:instrText xml:space="preserve"> PAGEREF _Toc216377230 \h </w:instrText>
      </w:r>
      <w:r>
        <w:rPr>
          <w:noProof/>
        </w:rPr>
      </w:r>
      <w:r>
        <w:rPr>
          <w:noProof/>
        </w:rPr>
        <w:fldChar w:fldCharType="separate"/>
      </w:r>
      <w:r w:rsidR="000E725A">
        <w:rPr>
          <w:noProof/>
        </w:rPr>
        <w:t>43</w:t>
      </w:r>
      <w:r>
        <w:rPr>
          <w:noProof/>
        </w:rPr>
        <w:fldChar w:fldCharType="end"/>
      </w:r>
    </w:p>
    <w:p w14:paraId="6D90ACBF" w14:textId="4431CC6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46: Chronic kidney disease: tāne and wāhine Māori years of life lost rates by age group, 2021</w:t>
      </w:r>
      <w:r>
        <w:rPr>
          <w:noProof/>
        </w:rPr>
        <w:tab/>
      </w:r>
      <w:r>
        <w:rPr>
          <w:noProof/>
        </w:rPr>
        <w:fldChar w:fldCharType="begin"/>
      </w:r>
      <w:r>
        <w:rPr>
          <w:noProof/>
        </w:rPr>
        <w:instrText xml:space="preserve"> PAGEREF _Toc216377231 \h </w:instrText>
      </w:r>
      <w:r>
        <w:rPr>
          <w:noProof/>
        </w:rPr>
      </w:r>
      <w:r>
        <w:rPr>
          <w:noProof/>
        </w:rPr>
        <w:fldChar w:fldCharType="separate"/>
      </w:r>
      <w:r w:rsidR="000E725A">
        <w:rPr>
          <w:noProof/>
        </w:rPr>
        <w:t>43</w:t>
      </w:r>
      <w:r>
        <w:rPr>
          <w:noProof/>
        </w:rPr>
        <w:fldChar w:fldCharType="end"/>
      </w:r>
    </w:p>
    <w:p w14:paraId="62400602" w14:textId="386A3F8F"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47: Stroke: Māori and non-Māori age-standardised years of life lost rates, 1996–2021</w:t>
      </w:r>
      <w:r>
        <w:rPr>
          <w:noProof/>
        </w:rPr>
        <w:tab/>
      </w:r>
      <w:r>
        <w:rPr>
          <w:noProof/>
        </w:rPr>
        <w:fldChar w:fldCharType="begin"/>
      </w:r>
      <w:r>
        <w:rPr>
          <w:noProof/>
        </w:rPr>
        <w:instrText xml:space="preserve"> PAGEREF _Toc216377232 \h </w:instrText>
      </w:r>
      <w:r>
        <w:rPr>
          <w:noProof/>
        </w:rPr>
      </w:r>
      <w:r>
        <w:rPr>
          <w:noProof/>
        </w:rPr>
        <w:fldChar w:fldCharType="separate"/>
      </w:r>
      <w:r w:rsidR="000E725A">
        <w:rPr>
          <w:noProof/>
        </w:rPr>
        <w:t>44</w:t>
      </w:r>
      <w:r>
        <w:rPr>
          <w:noProof/>
        </w:rPr>
        <w:fldChar w:fldCharType="end"/>
      </w:r>
    </w:p>
    <w:p w14:paraId="4D3366D9" w14:textId="4B3C8BDD"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48: Stroke: Māori/non-Māori age-standardised years of life lost rate ratios, 1996–2021</w:t>
      </w:r>
      <w:r>
        <w:rPr>
          <w:noProof/>
        </w:rPr>
        <w:tab/>
      </w:r>
      <w:r>
        <w:rPr>
          <w:noProof/>
        </w:rPr>
        <w:fldChar w:fldCharType="begin"/>
      </w:r>
      <w:r>
        <w:rPr>
          <w:noProof/>
        </w:rPr>
        <w:instrText xml:space="preserve"> PAGEREF _Toc216377233 \h </w:instrText>
      </w:r>
      <w:r>
        <w:rPr>
          <w:noProof/>
        </w:rPr>
      </w:r>
      <w:r>
        <w:rPr>
          <w:noProof/>
        </w:rPr>
        <w:fldChar w:fldCharType="separate"/>
      </w:r>
      <w:r w:rsidR="000E725A">
        <w:rPr>
          <w:noProof/>
        </w:rPr>
        <w:t>45</w:t>
      </w:r>
      <w:r>
        <w:rPr>
          <w:noProof/>
        </w:rPr>
        <w:fldChar w:fldCharType="end"/>
      </w:r>
    </w:p>
    <w:p w14:paraId="47FD70CB" w14:textId="47EAD63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49: Stroke: Māori and non-Māori years of life lost rates by age group, 2021</w:t>
      </w:r>
      <w:r>
        <w:rPr>
          <w:noProof/>
        </w:rPr>
        <w:tab/>
      </w:r>
      <w:r>
        <w:rPr>
          <w:noProof/>
        </w:rPr>
        <w:fldChar w:fldCharType="begin"/>
      </w:r>
      <w:r>
        <w:rPr>
          <w:noProof/>
        </w:rPr>
        <w:instrText xml:space="preserve"> PAGEREF _Toc216377234 \h </w:instrText>
      </w:r>
      <w:r>
        <w:rPr>
          <w:noProof/>
        </w:rPr>
      </w:r>
      <w:r>
        <w:rPr>
          <w:noProof/>
        </w:rPr>
        <w:fldChar w:fldCharType="separate"/>
      </w:r>
      <w:r w:rsidR="000E725A">
        <w:rPr>
          <w:noProof/>
        </w:rPr>
        <w:t>45</w:t>
      </w:r>
      <w:r>
        <w:rPr>
          <w:noProof/>
        </w:rPr>
        <w:fldChar w:fldCharType="end"/>
      </w:r>
    </w:p>
    <w:p w14:paraId="60DCED0B" w14:textId="27715236"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50: Stroke: tāne and wāhine Māori age-standardised years of life lost rates, 1996–2021</w:t>
      </w:r>
      <w:r>
        <w:rPr>
          <w:noProof/>
        </w:rPr>
        <w:tab/>
      </w:r>
      <w:r>
        <w:rPr>
          <w:noProof/>
        </w:rPr>
        <w:fldChar w:fldCharType="begin"/>
      </w:r>
      <w:r>
        <w:rPr>
          <w:noProof/>
        </w:rPr>
        <w:instrText xml:space="preserve"> PAGEREF _Toc216377235 \h </w:instrText>
      </w:r>
      <w:r>
        <w:rPr>
          <w:noProof/>
        </w:rPr>
      </w:r>
      <w:r>
        <w:rPr>
          <w:noProof/>
        </w:rPr>
        <w:fldChar w:fldCharType="separate"/>
      </w:r>
      <w:r w:rsidR="000E725A">
        <w:rPr>
          <w:noProof/>
        </w:rPr>
        <w:t>46</w:t>
      </w:r>
      <w:r>
        <w:rPr>
          <w:noProof/>
        </w:rPr>
        <w:fldChar w:fldCharType="end"/>
      </w:r>
    </w:p>
    <w:p w14:paraId="167E9BE9" w14:textId="5CB88C89"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51: Stroke: tāne and wāhine Māori years of life lost rates by age group, 2021</w:t>
      </w:r>
      <w:r>
        <w:rPr>
          <w:noProof/>
        </w:rPr>
        <w:tab/>
      </w:r>
      <w:r>
        <w:rPr>
          <w:noProof/>
        </w:rPr>
        <w:fldChar w:fldCharType="begin"/>
      </w:r>
      <w:r>
        <w:rPr>
          <w:noProof/>
        </w:rPr>
        <w:instrText xml:space="preserve"> PAGEREF _Toc216377236 \h </w:instrText>
      </w:r>
      <w:r>
        <w:rPr>
          <w:noProof/>
        </w:rPr>
      </w:r>
      <w:r>
        <w:rPr>
          <w:noProof/>
        </w:rPr>
        <w:fldChar w:fldCharType="separate"/>
      </w:r>
      <w:r w:rsidR="000E725A">
        <w:rPr>
          <w:noProof/>
        </w:rPr>
        <w:t>46</w:t>
      </w:r>
      <w:r>
        <w:rPr>
          <w:noProof/>
        </w:rPr>
        <w:fldChar w:fldCharType="end"/>
      </w:r>
    </w:p>
    <w:p w14:paraId="122FF61D" w14:textId="6F6A279C"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52: Diabetes: Māori and non-Māori age-standardised years of life lost rates, 1996–2021</w:t>
      </w:r>
      <w:r>
        <w:rPr>
          <w:noProof/>
        </w:rPr>
        <w:tab/>
      </w:r>
      <w:r>
        <w:rPr>
          <w:noProof/>
        </w:rPr>
        <w:fldChar w:fldCharType="begin"/>
      </w:r>
      <w:r>
        <w:rPr>
          <w:noProof/>
        </w:rPr>
        <w:instrText xml:space="preserve"> PAGEREF _Toc216377237 \h </w:instrText>
      </w:r>
      <w:r>
        <w:rPr>
          <w:noProof/>
        </w:rPr>
      </w:r>
      <w:r>
        <w:rPr>
          <w:noProof/>
        </w:rPr>
        <w:fldChar w:fldCharType="separate"/>
      </w:r>
      <w:r w:rsidR="000E725A">
        <w:rPr>
          <w:noProof/>
        </w:rPr>
        <w:t>47</w:t>
      </w:r>
      <w:r>
        <w:rPr>
          <w:noProof/>
        </w:rPr>
        <w:fldChar w:fldCharType="end"/>
      </w:r>
    </w:p>
    <w:p w14:paraId="5501806A" w14:textId="4FE5A0D4"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53: Diabetes: Māori/non-Māori age-standardised years of life lost rate ratios, 1996–2021</w:t>
      </w:r>
      <w:r>
        <w:rPr>
          <w:noProof/>
        </w:rPr>
        <w:tab/>
      </w:r>
      <w:r>
        <w:rPr>
          <w:noProof/>
        </w:rPr>
        <w:fldChar w:fldCharType="begin"/>
      </w:r>
      <w:r>
        <w:rPr>
          <w:noProof/>
        </w:rPr>
        <w:instrText xml:space="preserve"> PAGEREF _Toc216377238 \h </w:instrText>
      </w:r>
      <w:r>
        <w:rPr>
          <w:noProof/>
        </w:rPr>
      </w:r>
      <w:r>
        <w:rPr>
          <w:noProof/>
        </w:rPr>
        <w:fldChar w:fldCharType="separate"/>
      </w:r>
      <w:r w:rsidR="000E725A">
        <w:rPr>
          <w:noProof/>
        </w:rPr>
        <w:t>48</w:t>
      </w:r>
      <w:r>
        <w:rPr>
          <w:noProof/>
        </w:rPr>
        <w:fldChar w:fldCharType="end"/>
      </w:r>
    </w:p>
    <w:p w14:paraId="35A84018" w14:textId="3CCE82E5"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lastRenderedPageBreak/>
        <w:t>Figure 54: Diabetes: tāne and wāhine Māori age-standardised years of life lost rates, 1996–2021</w:t>
      </w:r>
      <w:r>
        <w:rPr>
          <w:noProof/>
        </w:rPr>
        <w:tab/>
      </w:r>
      <w:r>
        <w:rPr>
          <w:noProof/>
        </w:rPr>
        <w:fldChar w:fldCharType="begin"/>
      </w:r>
      <w:r>
        <w:rPr>
          <w:noProof/>
        </w:rPr>
        <w:instrText xml:space="preserve"> PAGEREF _Toc216377239 \h </w:instrText>
      </w:r>
      <w:r>
        <w:rPr>
          <w:noProof/>
        </w:rPr>
      </w:r>
      <w:r>
        <w:rPr>
          <w:noProof/>
        </w:rPr>
        <w:fldChar w:fldCharType="separate"/>
      </w:r>
      <w:r w:rsidR="000E725A">
        <w:rPr>
          <w:noProof/>
        </w:rPr>
        <w:t>48</w:t>
      </w:r>
      <w:r>
        <w:rPr>
          <w:noProof/>
        </w:rPr>
        <w:fldChar w:fldCharType="end"/>
      </w:r>
    </w:p>
    <w:p w14:paraId="12AFAD8A" w14:textId="2C1B67D1"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55: Diabetes: Māori and non-Māori years of life lost rates by age group, 2021</w:t>
      </w:r>
      <w:r>
        <w:rPr>
          <w:noProof/>
        </w:rPr>
        <w:tab/>
      </w:r>
      <w:r>
        <w:rPr>
          <w:noProof/>
        </w:rPr>
        <w:fldChar w:fldCharType="begin"/>
      </w:r>
      <w:r>
        <w:rPr>
          <w:noProof/>
        </w:rPr>
        <w:instrText xml:space="preserve"> PAGEREF _Toc216377240 \h </w:instrText>
      </w:r>
      <w:r>
        <w:rPr>
          <w:noProof/>
        </w:rPr>
      </w:r>
      <w:r>
        <w:rPr>
          <w:noProof/>
        </w:rPr>
        <w:fldChar w:fldCharType="separate"/>
      </w:r>
      <w:r w:rsidR="000E725A">
        <w:rPr>
          <w:noProof/>
        </w:rPr>
        <w:t>49</w:t>
      </w:r>
      <w:r>
        <w:rPr>
          <w:noProof/>
        </w:rPr>
        <w:fldChar w:fldCharType="end"/>
      </w:r>
    </w:p>
    <w:p w14:paraId="78A15248" w14:textId="392D482B"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56: Diabetes: tāne and wāhine Māori years of life lost age-standardised rates by gender and age group, 2021</w:t>
      </w:r>
      <w:r>
        <w:rPr>
          <w:noProof/>
        </w:rPr>
        <w:tab/>
      </w:r>
      <w:r>
        <w:rPr>
          <w:noProof/>
        </w:rPr>
        <w:fldChar w:fldCharType="begin"/>
      </w:r>
      <w:r>
        <w:rPr>
          <w:noProof/>
        </w:rPr>
        <w:instrText xml:space="preserve"> PAGEREF _Toc216377241 \h </w:instrText>
      </w:r>
      <w:r>
        <w:rPr>
          <w:noProof/>
        </w:rPr>
      </w:r>
      <w:r>
        <w:rPr>
          <w:noProof/>
        </w:rPr>
        <w:fldChar w:fldCharType="separate"/>
      </w:r>
      <w:r w:rsidR="000E725A">
        <w:rPr>
          <w:noProof/>
        </w:rPr>
        <w:t>49</w:t>
      </w:r>
      <w:r>
        <w:rPr>
          <w:noProof/>
        </w:rPr>
        <w:fldChar w:fldCharType="end"/>
      </w:r>
    </w:p>
    <w:p w14:paraId="5FDE9B7A" w14:textId="5688839A"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Figure S1: IHME estimated New Zealand population for Māori and non-Māori, 2020</w:t>
      </w:r>
      <w:r>
        <w:rPr>
          <w:noProof/>
        </w:rPr>
        <w:tab/>
      </w:r>
      <w:r>
        <w:rPr>
          <w:noProof/>
        </w:rPr>
        <w:fldChar w:fldCharType="begin"/>
      </w:r>
      <w:r>
        <w:rPr>
          <w:noProof/>
        </w:rPr>
        <w:instrText xml:space="preserve"> PAGEREF _Toc216377242 \h </w:instrText>
      </w:r>
      <w:r>
        <w:rPr>
          <w:noProof/>
        </w:rPr>
      </w:r>
      <w:r>
        <w:rPr>
          <w:noProof/>
        </w:rPr>
        <w:fldChar w:fldCharType="separate"/>
      </w:r>
      <w:r w:rsidR="000E725A">
        <w:rPr>
          <w:noProof/>
        </w:rPr>
        <w:t>55</w:t>
      </w:r>
      <w:r>
        <w:rPr>
          <w:noProof/>
        </w:rPr>
        <w:fldChar w:fldCharType="end"/>
      </w:r>
    </w:p>
    <w:p w14:paraId="05CC63FD" w14:textId="79FF72F4" w:rsidR="003A5FEA" w:rsidRDefault="003A5FEA" w:rsidP="003A5FEA">
      <w:r>
        <w:fldChar w:fldCharType="end"/>
      </w:r>
    </w:p>
    <w:p w14:paraId="0D248541" w14:textId="77777777" w:rsidR="002B76A7" w:rsidRDefault="002B76A7" w:rsidP="002B76A7">
      <w:pPr>
        <w:pStyle w:val="TOC1"/>
        <w:keepNext/>
      </w:pPr>
      <w:r>
        <w:t>List of Tables</w:t>
      </w:r>
    </w:p>
    <w:p w14:paraId="0B78949C" w14:textId="4503B0E8" w:rsidR="00A67B82" w:rsidRDefault="002B76A7">
      <w:pPr>
        <w:pStyle w:val="TOC3"/>
        <w:rPr>
          <w:rFonts w:asciiTheme="minorHAnsi" w:eastAsiaTheme="minorEastAsia" w:hAnsiTheme="minorHAnsi" w:cstheme="minorBidi"/>
          <w:noProof/>
          <w:kern w:val="2"/>
          <w:sz w:val="24"/>
          <w:szCs w:val="24"/>
          <w:lang w:eastAsia="en-NZ"/>
          <w14:ligatures w14:val="standardContextual"/>
        </w:rPr>
      </w:pPr>
      <w:r>
        <w:rPr>
          <w:sz w:val="20"/>
        </w:rPr>
        <w:fldChar w:fldCharType="begin"/>
      </w:r>
      <w:r>
        <w:instrText xml:space="preserve"> TOC \t "Table,3" </w:instrText>
      </w:r>
      <w:r>
        <w:rPr>
          <w:sz w:val="20"/>
        </w:rPr>
        <w:fldChar w:fldCharType="separate"/>
      </w:r>
      <w:r w:rsidR="00A67B82">
        <w:rPr>
          <w:noProof/>
        </w:rPr>
        <w:t>Table S1: Risk factors included in the Global Burden of Disease study at levels 2 and 3</w:t>
      </w:r>
      <w:r w:rsidR="00A67B82">
        <w:rPr>
          <w:noProof/>
        </w:rPr>
        <w:tab/>
      </w:r>
      <w:r w:rsidR="00A67B82">
        <w:rPr>
          <w:noProof/>
        </w:rPr>
        <w:fldChar w:fldCharType="begin"/>
      </w:r>
      <w:r w:rsidR="00A67B82">
        <w:rPr>
          <w:noProof/>
        </w:rPr>
        <w:instrText xml:space="preserve"> PAGEREF _Toc216377243 \h </w:instrText>
      </w:r>
      <w:r w:rsidR="00A67B82">
        <w:rPr>
          <w:noProof/>
        </w:rPr>
      </w:r>
      <w:r w:rsidR="00A67B82">
        <w:rPr>
          <w:noProof/>
        </w:rPr>
        <w:fldChar w:fldCharType="separate"/>
      </w:r>
      <w:r w:rsidR="000E725A">
        <w:rPr>
          <w:noProof/>
        </w:rPr>
        <w:t>53</w:t>
      </w:r>
      <w:r w:rsidR="00A67B82">
        <w:rPr>
          <w:noProof/>
        </w:rPr>
        <w:fldChar w:fldCharType="end"/>
      </w:r>
    </w:p>
    <w:p w14:paraId="2BE9CC4F" w14:textId="4314CA8D" w:rsidR="00A67B82" w:rsidRDefault="00A67B82">
      <w:pPr>
        <w:pStyle w:val="TOC3"/>
        <w:rPr>
          <w:rFonts w:asciiTheme="minorHAnsi" w:eastAsiaTheme="minorEastAsia" w:hAnsiTheme="minorHAnsi" w:cstheme="minorBidi"/>
          <w:noProof/>
          <w:kern w:val="2"/>
          <w:sz w:val="24"/>
          <w:szCs w:val="24"/>
          <w:lang w:eastAsia="en-NZ"/>
          <w14:ligatures w14:val="standardContextual"/>
        </w:rPr>
      </w:pPr>
      <w:r>
        <w:rPr>
          <w:noProof/>
        </w:rPr>
        <w:t>Table S2: Differences between the Stats NZ Māori population and the IHME Māori population</w:t>
      </w:r>
      <w:r>
        <w:rPr>
          <w:noProof/>
        </w:rPr>
        <w:tab/>
      </w:r>
      <w:r>
        <w:rPr>
          <w:noProof/>
        </w:rPr>
        <w:fldChar w:fldCharType="begin"/>
      </w:r>
      <w:r>
        <w:rPr>
          <w:noProof/>
        </w:rPr>
        <w:instrText xml:space="preserve"> PAGEREF _Toc216377244 \h </w:instrText>
      </w:r>
      <w:r>
        <w:rPr>
          <w:noProof/>
        </w:rPr>
      </w:r>
      <w:r>
        <w:rPr>
          <w:noProof/>
        </w:rPr>
        <w:fldChar w:fldCharType="separate"/>
      </w:r>
      <w:r w:rsidR="000E725A">
        <w:rPr>
          <w:noProof/>
        </w:rPr>
        <w:t>54</w:t>
      </w:r>
      <w:r>
        <w:rPr>
          <w:noProof/>
        </w:rPr>
        <w:fldChar w:fldCharType="end"/>
      </w:r>
    </w:p>
    <w:p w14:paraId="4A6797B1" w14:textId="434FCFE9" w:rsidR="002B76A7" w:rsidRDefault="002B76A7" w:rsidP="003A5FEA">
      <w:r>
        <w:fldChar w:fldCharType="end"/>
      </w:r>
    </w:p>
    <w:p w14:paraId="03333094" w14:textId="3938F450" w:rsidR="00155A8C" w:rsidRDefault="00155A8C" w:rsidP="003A5FEA">
      <w:r>
        <w:br w:type="page"/>
      </w:r>
    </w:p>
    <w:p w14:paraId="59016399"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2556C9D0" w14:textId="77777777" w:rsidR="00155A8C" w:rsidRDefault="00155A8C" w:rsidP="00AE4FDA">
      <w:pPr>
        <w:pStyle w:val="Heading1"/>
        <w:sectPr w:rsidR="00155A8C" w:rsidSect="00155A8C">
          <w:footerReference w:type="even" r:id="rId22"/>
          <w:footerReference w:type="default" r:id="rId23"/>
          <w:pgSz w:w="11907" w:h="16840" w:code="9"/>
          <w:pgMar w:top="1418" w:right="1701" w:bottom="1134" w:left="1843" w:header="284" w:footer="425" w:gutter="284"/>
          <w:pgNumType w:fmt="lowerRoman"/>
          <w:cols w:space="720"/>
        </w:sectPr>
      </w:pPr>
    </w:p>
    <w:p w14:paraId="0A056DB8" w14:textId="7B45B863" w:rsidR="009A42D5" w:rsidRPr="00407FBB" w:rsidRDefault="009A42D5" w:rsidP="00AE4FDA">
      <w:pPr>
        <w:pStyle w:val="Heading1"/>
      </w:pPr>
      <w:bookmarkStart w:id="5" w:name="_Toc216376541"/>
      <w:r w:rsidRPr="00407FBB">
        <w:lastRenderedPageBreak/>
        <w:t>Executive summary</w:t>
      </w:r>
      <w:r w:rsidR="00407FBB" w:rsidRPr="00407FBB">
        <w:t xml:space="preserve"> – Whakarāpopototanga matua</w:t>
      </w:r>
      <w:bookmarkEnd w:id="5"/>
    </w:p>
    <w:p w14:paraId="1B80F432" w14:textId="77777777" w:rsidR="00407FBB" w:rsidRPr="008A4982" w:rsidRDefault="00407FBB" w:rsidP="00407FBB">
      <w:pPr>
        <w:spacing w:before="100" w:beforeAutospacing="1" w:after="100" w:afterAutospacing="1"/>
        <w:rPr>
          <w:rFonts w:cs="Segoe UI"/>
          <w:szCs w:val="22"/>
          <w:lang w:eastAsia="en-NZ"/>
        </w:rPr>
      </w:pPr>
      <w:r w:rsidRPr="041F2DB3">
        <w:rPr>
          <w:rFonts w:cs="Segoe UI"/>
          <w:lang w:eastAsia="en-NZ"/>
        </w:rPr>
        <w:t xml:space="preserve">This report presents findings from the Global Burden of Disease (GBD) Study 2021, focusing on </w:t>
      </w:r>
      <w:r>
        <w:rPr>
          <w:rFonts w:cs="Segoe UI"/>
          <w:lang w:eastAsia="en-NZ"/>
        </w:rPr>
        <w:t>y</w:t>
      </w:r>
      <w:r w:rsidRPr="041F2DB3">
        <w:rPr>
          <w:rFonts w:cs="Segoe UI"/>
          <w:lang w:eastAsia="en-NZ"/>
        </w:rPr>
        <w:t xml:space="preserve">ears of </w:t>
      </w:r>
      <w:r>
        <w:rPr>
          <w:rFonts w:cs="Segoe UI"/>
          <w:lang w:eastAsia="en-NZ"/>
        </w:rPr>
        <w:t>l</w:t>
      </w:r>
      <w:r w:rsidRPr="041F2DB3">
        <w:rPr>
          <w:rFonts w:cs="Segoe UI"/>
          <w:lang w:eastAsia="en-NZ"/>
        </w:rPr>
        <w:t xml:space="preserve">ife </w:t>
      </w:r>
      <w:r>
        <w:rPr>
          <w:rFonts w:cs="Segoe UI"/>
          <w:lang w:eastAsia="en-NZ"/>
        </w:rPr>
        <w:t>l</w:t>
      </w:r>
      <w:r w:rsidRPr="041F2DB3">
        <w:rPr>
          <w:rFonts w:cs="Segoe UI"/>
          <w:lang w:eastAsia="en-NZ"/>
        </w:rPr>
        <w:t>ost (YLL) for Māori in Aotearoa New Zealand. It highlights the leading causes of premature death for Māori and significant health disparities between the Māori and non-Māori populations.</w:t>
      </w:r>
    </w:p>
    <w:p w14:paraId="3D24DBC9" w14:textId="144DDE4F" w:rsidR="00407FBB" w:rsidRPr="008A4982" w:rsidRDefault="009C6738" w:rsidP="00407FBB">
      <w:pPr>
        <w:spacing w:before="100" w:beforeAutospacing="1" w:after="100" w:afterAutospacing="1"/>
        <w:rPr>
          <w:rFonts w:cs="Segoe UI"/>
          <w:lang w:eastAsia="en-NZ"/>
        </w:rPr>
      </w:pPr>
      <w:r>
        <w:rPr>
          <w:rFonts w:cs="Segoe UI"/>
          <w:lang w:eastAsia="en-NZ"/>
        </w:rPr>
        <w:t>The GBD estimates that i</w:t>
      </w:r>
      <w:r w:rsidRPr="31B1C99C" w:rsidDel="00603B78">
        <w:rPr>
          <w:rFonts w:cs="Segoe UI"/>
          <w:lang w:eastAsia="en-NZ"/>
        </w:rPr>
        <w:t xml:space="preserve">n 2021 </w:t>
      </w:r>
      <w:r w:rsidRPr="31B1C99C">
        <w:rPr>
          <w:rFonts w:cs="Segoe UI"/>
          <w:lang w:eastAsia="en-NZ"/>
        </w:rPr>
        <w:t xml:space="preserve">a total of 123,685 years of </w:t>
      </w:r>
      <w:r>
        <w:rPr>
          <w:rFonts w:cs="Segoe UI"/>
          <w:lang w:eastAsia="en-NZ"/>
        </w:rPr>
        <w:t xml:space="preserve">Māori </w:t>
      </w:r>
      <w:r w:rsidRPr="31B1C99C">
        <w:rPr>
          <w:rFonts w:cs="Segoe UI"/>
          <w:lang w:eastAsia="en-NZ"/>
        </w:rPr>
        <w:t xml:space="preserve">life </w:t>
      </w:r>
      <w:r>
        <w:rPr>
          <w:rFonts w:cs="Segoe UI"/>
          <w:lang w:eastAsia="en-NZ"/>
        </w:rPr>
        <w:t xml:space="preserve">were </w:t>
      </w:r>
      <w:r w:rsidRPr="31B1C99C">
        <w:rPr>
          <w:rFonts w:cs="Segoe UI"/>
          <w:lang w:eastAsia="en-NZ"/>
        </w:rPr>
        <w:t>lost</w:t>
      </w:r>
      <w:r>
        <w:rPr>
          <w:rFonts w:cs="Segoe UI"/>
          <w:lang w:eastAsia="en-NZ"/>
        </w:rPr>
        <w:t xml:space="preserve"> prematurely</w:t>
      </w:r>
      <w:r w:rsidR="00407FBB" w:rsidRPr="31B1C99C">
        <w:rPr>
          <w:rFonts w:cs="Segoe UI"/>
          <w:lang w:eastAsia="en-NZ"/>
        </w:rPr>
        <w:t xml:space="preserve">. </w:t>
      </w:r>
      <w:r w:rsidR="00407FBB" w:rsidRPr="00F52CDD">
        <w:t xml:space="preserve">Over the last two decades, Māori had </w:t>
      </w:r>
      <w:r w:rsidR="00407FBB">
        <w:t xml:space="preserve">around </w:t>
      </w:r>
      <w:r w:rsidR="00407FBB" w:rsidRPr="00F52CDD">
        <w:t xml:space="preserve">twice </w:t>
      </w:r>
      <w:r w:rsidR="00407FBB">
        <w:t xml:space="preserve">the YLL rate of </w:t>
      </w:r>
      <w:r w:rsidR="00407FBB" w:rsidRPr="00F52CDD">
        <w:t>non-Māori.</w:t>
      </w:r>
      <w:r w:rsidR="00407FBB" w:rsidRPr="31B1C99C">
        <w:rPr>
          <w:rFonts w:cs="Segoe UI"/>
          <w:lang w:eastAsia="en-NZ"/>
        </w:rPr>
        <w:t xml:space="preserve"> Non-communicable diseases accounted for 78% of YLL for Māori, cancers (</w:t>
      </w:r>
      <w:r w:rsidR="00407FBB">
        <w:rPr>
          <w:rFonts w:cs="Segoe UI"/>
          <w:lang w:eastAsia="en-NZ"/>
        </w:rPr>
        <w:t>29</w:t>
      </w:r>
      <w:r w:rsidR="00407FBB" w:rsidRPr="31B1C99C">
        <w:rPr>
          <w:rFonts w:cs="Segoe UI"/>
          <w:lang w:eastAsia="en-NZ"/>
        </w:rPr>
        <w:t>%) and cardiovascular diseases (22%) being the leading contributors. Injuries, including self-harm, made up 17% of YLL.</w:t>
      </w:r>
    </w:p>
    <w:p w14:paraId="756449AC" w14:textId="77777777" w:rsidR="00407FBB" w:rsidRPr="004F6B40" w:rsidRDefault="00407FBB" w:rsidP="00407FBB">
      <w:pPr>
        <w:pStyle w:val="Heading2"/>
        <w:rPr>
          <w:lang w:eastAsia="en-NZ"/>
        </w:rPr>
      </w:pPr>
      <w:bookmarkStart w:id="6" w:name="_Toc215236506"/>
      <w:bookmarkStart w:id="7" w:name="_Toc216376542"/>
      <w:r w:rsidRPr="004F6B40">
        <w:rPr>
          <w:lang w:eastAsia="en-NZ"/>
        </w:rPr>
        <w:t xml:space="preserve">The leading causes of </w:t>
      </w:r>
      <w:r>
        <w:rPr>
          <w:lang w:eastAsia="en-NZ"/>
        </w:rPr>
        <w:t xml:space="preserve">years of life lost </w:t>
      </w:r>
      <w:r w:rsidRPr="004F6B40">
        <w:rPr>
          <w:lang w:eastAsia="en-NZ"/>
        </w:rPr>
        <w:t>for Māori</w:t>
      </w:r>
      <w:bookmarkEnd w:id="6"/>
      <w:bookmarkEnd w:id="7"/>
    </w:p>
    <w:p w14:paraId="236B386F" w14:textId="77777777" w:rsidR="00407FBB" w:rsidRPr="00407FBB" w:rsidRDefault="00407FBB" w:rsidP="00407FBB">
      <w:pPr>
        <w:pStyle w:val="Heading3"/>
      </w:pPr>
      <w:bookmarkStart w:id="8" w:name="_Toc215236507"/>
      <w:r w:rsidRPr="00407FBB">
        <w:t>Cancer</w:t>
      </w:r>
      <w:bookmarkEnd w:id="8"/>
    </w:p>
    <w:p w14:paraId="6360B1FE" w14:textId="77777777" w:rsidR="00407FBB" w:rsidRDefault="00407FBB" w:rsidP="00407FBB">
      <w:pPr>
        <w:pStyle w:val="Bullet"/>
        <w:rPr>
          <w:lang w:eastAsia="en-NZ"/>
        </w:rPr>
      </w:pPr>
      <w:r w:rsidRPr="008A4982">
        <w:rPr>
          <w:lang w:eastAsia="en-NZ"/>
        </w:rPr>
        <w:t>Māori had higher YLL rates for nearly all cancer types</w:t>
      </w:r>
      <w:r>
        <w:rPr>
          <w:lang w:eastAsia="en-NZ"/>
        </w:rPr>
        <w:t>;</w:t>
      </w:r>
      <w:r w:rsidRPr="008A4982">
        <w:rPr>
          <w:lang w:eastAsia="en-NZ"/>
        </w:rPr>
        <w:t xml:space="preserve"> liver, lung and cervical cancers show</w:t>
      </w:r>
      <w:r>
        <w:rPr>
          <w:lang w:eastAsia="en-NZ"/>
        </w:rPr>
        <w:t>ed</w:t>
      </w:r>
      <w:r w:rsidRPr="008A4982">
        <w:rPr>
          <w:lang w:eastAsia="en-NZ"/>
        </w:rPr>
        <w:t xml:space="preserve"> the greatest inequities.</w:t>
      </w:r>
      <w:r>
        <w:rPr>
          <w:lang w:eastAsia="en-NZ"/>
        </w:rPr>
        <w:t xml:space="preserve"> </w:t>
      </w:r>
    </w:p>
    <w:p w14:paraId="0F995BE8" w14:textId="77777777" w:rsidR="00407FBB" w:rsidRPr="00DC0657" w:rsidRDefault="00407FBB" w:rsidP="00407FBB">
      <w:pPr>
        <w:pStyle w:val="Bullet"/>
        <w:rPr>
          <w:lang w:eastAsia="en-NZ"/>
        </w:rPr>
      </w:pPr>
      <w:r w:rsidRPr="00DD7BB1">
        <w:rPr>
          <w:lang w:eastAsia="en-NZ"/>
        </w:rPr>
        <w:t xml:space="preserve">Lung cancer </w:t>
      </w:r>
      <w:r>
        <w:rPr>
          <w:lang w:eastAsia="en-NZ"/>
        </w:rPr>
        <w:t xml:space="preserve">was the leading cancer contributing to YLL for Māori, with a large equity gap (an age-standardised rate 3.3 times higher) between Māori and non-Māori. </w:t>
      </w:r>
    </w:p>
    <w:p w14:paraId="096785B6" w14:textId="77777777" w:rsidR="00407FBB" w:rsidRDefault="00407FBB" w:rsidP="00407FBB">
      <w:pPr>
        <w:pStyle w:val="Bullet"/>
        <w:rPr>
          <w:lang w:eastAsia="en-NZ"/>
        </w:rPr>
      </w:pPr>
      <w:r w:rsidRPr="0E0DA953">
        <w:rPr>
          <w:lang w:eastAsia="en-NZ"/>
        </w:rPr>
        <w:t xml:space="preserve">Lung cancer was the leading contributor of YLL for wāhine Māori, contributing 11% of total YLL and the third leading cause for tāne Māori, contributing 7%. </w:t>
      </w:r>
    </w:p>
    <w:p w14:paraId="638153F5" w14:textId="77777777" w:rsidR="00407FBB" w:rsidRDefault="00407FBB" w:rsidP="00407FBB">
      <w:pPr>
        <w:pStyle w:val="Bullet"/>
        <w:rPr>
          <w:lang w:eastAsia="en-NZ"/>
        </w:rPr>
      </w:pPr>
      <w:r>
        <w:rPr>
          <w:lang w:eastAsia="en-NZ"/>
        </w:rPr>
        <w:t xml:space="preserve">Breast cancer was the fourth leading cause of YLL for Māori; the age-standardised rate was 1.5 times higher than that of non-Māori. </w:t>
      </w:r>
    </w:p>
    <w:p w14:paraId="737ECAB9" w14:textId="77777777" w:rsidR="00407FBB" w:rsidRPr="00407FBB" w:rsidRDefault="00407FBB" w:rsidP="00407FBB">
      <w:pPr>
        <w:pStyle w:val="Heading3"/>
      </w:pPr>
      <w:bookmarkStart w:id="9" w:name="_Toc215236508"/>
      <w:r w:rsidRPr="00407FBB">
        <w:t>Ischaemic heart disease and stroke</w:t>
      </w:r>
      <w:bookmarkEnd w:id="9"/>
    </w:p>
    <w:p w14:paraId="62340A8C" w14:textId="77777777" w:rsidR="00407FBB" w:rsidRPr="00E45704" w:rsidRDefault="00407FBB" w:rsidP="00407FBB">
      <w:pPr>
        <w:pStyle w:val="Bullet"/>
      </w:pPr>
      <w:r w:rsidRPr="00E45704">
        <w:rPr>
          <w:lang w:eastAsia="en-NZ"/>
        </w:rPr>
        <w:t xml:space="preserve">Ischaemic heart disease </w:t>
      </w:r>
      <w:r>
        <w:rPr>
          <w:lang w:eastAsia="en-NZ"/>
        </w:rPr>
        <w:t xml:space="preserve">(IHD) </w:t>
      </w:r>
      <w:r w:rsidRPr="00E45704">
        <w:rPr>
          <w:lang w:eastAsia="en-NZ"/>
        </w:rPr>
        <w:t xml:space="preserve">was the top cause of premature death for tāne Māori, contributing 15% of YLL, and the second leading cause for wāhine Māori, contributing 8% of YLL. </w:t>
      </w:r>
    </w:p>
    <w:p w14:paraId="01859A12" w14:textId="77777777" w:rsidR="00407FBB" w:rsidRPr="008D2C09" w:rsidRDefault="00407FBB" w:rsidP="00407FBB">
      <w:pPr>
        <w:pStyle w:val="Bullet"/>
      </w:pPr>
      <w:r w:rsidRPr="00E45704">
        <w:rPr>
          <w:lang w:eastAsia="en-NZ"/>
        </w:rPr>
        <w:t xml:space="preserve">Stroke </w:t>
      </w:r>
      <w:r>
        <w:rPr>
          <w:lang w:eastAsia="en-NZ"/>
        </w:rPr>
        <w:t>was</w:t>
      </w:r>
      <w:r w:rsidRPr="00E45704">
        <w:rPr>
          <w:lang w:eastAsia="en-NZ"/>
        </w:rPr>
        <w:t xml:space="preserve"> the fourth leading cause of premature death for kaumātua Māori aged 65+ </w:t>
      </w:r>
      <w:r w:rsidRPr="008D2C09">
        <w:rPr>
          <w:lang w:eastAsia="en-NZ"/>
        </w:rPr>
        <w:t>years and affect</w:t>
      </w:r>
      <w:r>
        <w:rPr>
          <w:lang w:eastAsia="en-NZ"/>
        </w:rPr>
        <w:t>ed</w:t>
      </w:r>
      <w:r w:rsidRPr="008D2C09">
        <w:rPr>
          <w:lang w:eastAsia="en-NZ"/>
        </w:rPr>
        <w:t xml:space="preserve"> wāhine Māori more than tāne Māori (</w:t>
      </w:r>
      <w:r>
        <w:rPr>
          <w:lang w:eastAsia="en-NZ"/>
        </w:rPr>
        <w:t xml:space="preserve">making up 5% and </w:t>
      </w:r>
      <w:r w:rsidRPr="008D2C09">
        <w:rPr>
          <w:lang w:eastAsia="en-NZ"/>
        </w:rPr>
        <w:t>3%</w:t>
      </w:r>
      <w:r>
        <w:rPr>
          <w:lang w:eastAsia="en-NZ"/>
        </w:rPr>
        <w:t xml:space="preserve"> of YLL respectively</w:t>
      </w:r>
      <w:r w:rsidRPr="008D2C09">
        <w:rPr>
          <w:lang w:eastAsia="en-NZ"/>
        </w:rPr>
        <w:t>).</w:t>
      </w:r>
    </w:p>
    <w:p w14:paraId="7D7445A7" w14:textId="77777777" w:rsidR="00407FBB" w:rsidRPr="00407FBB" w:rsidRDefault="00407FBB" w:rsidP="00407FBB">
      <w:pPr>
        <w:pStyle w:val="Heading3"/>
      </w:pPr>
      <w:bookmarkStart w:id="10" w:name="_Toc215236509"/>
      <w:r w:rsidRPr="00407FBB">
        <w:lastRenderedPageBreak/>
        <w:t>Self-harm</w:t>
      </w:r>
      <w:bookmarkEnd w:id="10"/>
      <w:r w:rsidRPr="00407FBB">
        <w:t xml:space="preserve"> </w:t>
      </w:r>
    </w:p>
    <w:p w14:paraId="70A122CF" w14:textId="77777777" w:rsidR="00407FBB" w:rsidRPr="008A4982" w:rsidRDefault="00407FBB" w:rsidP="00407FBB">
      <w:pPr>
        <w:pStyle w:val="Bullet"/>
        <w:rPr>
          <w:lang w:eastAsia="en-NZ"/>
        </w:rPr>
      </w:pPr>
      <w:r w:rsidRPr="008D2C09">
        <w:rPr>
          <w:lang w:eastAsia="en-NZ"/>
        </w:rPr>
        <w:t xml:space="preserve">Self-harm as a cause of death </w:t>
      </w:r>
      <w:r>
        <w:rPr>
          <w:lang w:eastAsia="en-NZ"/>
        </w:rPr>
        <w:t xml:space="preserve">was </w:t>
      </w:r>
      <w:r w:rsidRPr="008A4982">
        <w:rPr>
          <w:lang w:eastAsia="en-NZ"/>
        </w:rPr>
        <w:t xml:space="preserve">the </w:t>
      </w:r>
      <w:r w:rsidRPr="008D2C09">
        <w:rPr>
          <w:lang w:eastAsia="en-NZ"/>
        </w:rPr>
        <w:t xml:space="preserve">third overall contributor of YLL for Māori, and the </w:t>
      </w:r>
      <w:r w:rsidRPr="008A4982">
        <w:rPr>
          <w:lang w:eastAsia="en-NZ"/>
        </w:rPr>
        <w:t>leading cause of YLL among rangatahi (</w:t>
      </w:r>
      <w:r>
        <w:rPr>
          <w:lang w:eastAsia="en-NZ"/>
        </w:rPr>
        <w:t xml:space="preserve">those aged </w:t>
      </w:r>
      <w:r w:rsidRPr="008A4982">
        <w:rPr>
          <w:lang w:eastAsia="en-NZ"/>
        </w:rPr>
        <w:t xml:space="preserve">15–24 years) and pakeke </w:t>
      </w:r>
      <w:r>
        <w:rPr>
          <w:lang w:eastAsia="en-NZ"/>
        </w:rPr>
        <w:t xml:space="preserve">aged </w:t>
      </w:r>
      <w:r w:rsidRPr="008A4982">
        <w:rPr>
          <w:lang w:eastAsia="en-NZ"/>
        </w:rPr>
        <w:t xml:space="preserve">25–44 years, </w:t>
      </w:r>
      <w:r w:rsidRPr="008D2C09">
        <w:rPr>
          <w:lang w:eastAsia="en-NZ"/>
        </w:rPr>
        <w:t xml:space="preserve">which </w:t>
      </w:r>
      <w:r w:rsidRPr="008A4982">
        <w:rPr>
          <w:lang w:eastAsia="en-NZ"/>
        </w:rPr>
        <w:t>highlight</w:t>
      </w:r>
      <w:r w:rsidRPr="008D2C09">
        <w:rPr>
          <w:lang w:eastAsia="en-NZ"/>
        </w:rPr>
        <w:t>s</w:t>
      </w:r>
      <w:r w:rsidRPr="008A4982">
        <w:rPr>
          <w:lang w:eastAsia="en-NZ"/>
        </w:rPr>
        <w:t xml:space="preserve"> urgent mental health needs.</w:t>
      </w:r>
      <w:r w:rsidRPr="008D2C09">
        <w:rPr>
          <w:lang w:eastAsia="en-NZ"/>
        </w:rPr>
        <w:t xml:space="preserve"> </w:t>
      </w:r>
    </w:p>
    <w:p w14:paraId="70C1506A" w14:textId="77777777" w:rsidR="00407FBB" w:rsidRPr="007965E5" w:rsidRDefault="00407FBB" w:rsidP="00407FBB">
      <w:pPr>
        <w:pStyle w:val="Heading3"/>
        <w:rPr>
          <w:rFonts w:cs="Segoe UI"/>
          <w:b/>
          <w:szCs w:val="22"/>
          <w:lang w:eastAsia="en-NZ"/>
        </w:rPr>
      </w:pPr>
      <w:bookmarkStart w:id="11" w:name="_Toc215236510"/>
      <w:r w:rsidRPr="007965E5">
        <w:rPr>
          <w:rFonts w:cs="Segoe UI"/>
          <w:szCs w:val="22"/>
          <w:lang w:eastAsia="en-NZ"/>
        </w:rPr>
        <w:t>Other major long-term conditions</w:t>
      </w:r>
      <w:bookmarkEnd w:id="11"/>
    </w:p>
    <w:p w14:paraId="4336DE08" w14:textId="77777777" w:rsidR="00407FBB" w:rsidRPr="00A24190" w:rsidRDefault="00407FBB" w:rsidP="00407FBB">
      <w:pPr>
        <w:pStyle w:val="Bullet"/>
        <w:rPr>
          <w:lang w:eastAsia="en-NZ"/>
        </w:rPr>
      </w:pPr>
      <w:r>
        <w:rPr>
          <w:lang w:eastAsia="en-NZ"/>
        </w:rPr>
        <w:t xml:space="preserve">While chronic kidney disease (CKD), </w:t>
      </w:r>
      <w:r w:rsidRPr="00A24190">
        <w:rPr>
          <w:lang w:eastAsia="en-NZ"/>
        </w:rPr>
        <w:t>chronic obstructive pulmonary disease</w:t>
      </w:r>
      <w:r>
        <w:rPr>
          <w:lang w:eastAsia="en-NZ"/>
        </w:rPr>
        <w:t xml:space="preserve"> (COPD) and diabetes contributed less to total YLL for Māori compared to the leading causes of YLL (cancer, IHD, stroke and self-harm), YLL rates for these conditions showed the greatest disparity when comparing Māori to non-Māori. </w:t>
      </w:r>
    </w:p>
    <w:p w14:paraId="2AF0A58F" w14:textId="77777777" w:rsidR="00407FBB" w:rsidRDefault="00407FBB" w:rsidP="00407FBB">
      <w:pPr>
        <w:pStyle w:val="Bullet"/>
        <w:rPr>
          <w:lang w:eastAsia="en-NZ"/>
        </w:rPr>
      </w:pPr>
      <w:r>
        <w:rPr>
          <w:lang w:eastAsia="en-NZ"/>
        </w:rPr>
        <w:t xml:space="preserve">Māori experienced twice the rate of YLL from COPD compared to non-Māori. </w:t>
      </w:r>
      <w:r w:rsidRPr="00A24190">
        <w:rPr>
          <w:lang w:eastAsia="en-NZ"/>
        </w:rPr>
        <w:t xml:space="preserve">COPD </w:t>
      </w:r>
      <w:r>
        <w:rPr>
          <w:lang w:eastAsia="en-NZ"/>
        </w:rPr>
        <w:t>had a greater impact on wāhine Māori: it was the third leading cause of YLL and contributed 7% of the total YLL for wāhine Māori.</w:t>
      </w:r>
    </w:p>
    <w:p w14:paraId="6D0C31D1" w14:textId="77777777" w:rsidR="00407FBB" w:rsidRDefault="00407FBB" w:rsidP="00407FBB">
      <w:pPr>
        <w:pStyle w:val="Bullet"/>
        <w:rPr>
          <w:lang w:eastAsia="en-NZ"/>
        </w:rPr>
      </w:pPr>
      <w:r>
        <w:rPr>
          <w:lang w:eastAsia="en-NZ"/>
        </w:rPr>
        <w:t>C</w:t>
      </w:r>
      <w:r w:rsidRPr="008A4982">
        <w:rPr>
          <w:lang w:eastAsia="en-NZ"/>
        </w:rPr>
        <w:t xml:space="preserve">hronic kidney disease </w:t>
      </w:r>
      <w:r>
        <w:rPr>
          <w:lang w:eastAsia="en-NZ"/>
        </w:rPr>
        <w:t xml:space="preserve">and diabetes </w:t>
      </w:r>
      <w:r w:rsidRPr="008A4982">
        <w:rPr>
          <w:lang w:eastAsia="en-NZ"/>
        </w:rPr>
        <w:t xml:space="preserve">rates </w:t>
      </w:r>
      <w:r>
        <w:rPr>
          <w:lang w:eastAsia="en-NZ"/>
        </w:rPr>
        <w:t>were</w:t>
      </w:r>
      <w:r w:rsidRPr="008A4982">
        <w:rPr>
          <w:lang w:eastAsia="en-NZ"/>
        </w:rPr>
        <w:t xml:space="preserve"> over four times higher </w:t>
      </w:r>
      <w:r>
        <w:rPr>
          <w:lang w:eastAsia="en-NZ"/>
        </w:rPr>
        <w:t xml:space="preserve">for Māori </w:t>
      </w:r>
      <w:r w:rsidRPr="008A4982">
        <w:rPr>
          <w:lang w:eastAsia="en-NZ"/>
        </w:rPr>
        <w:t xml:space="preserve">than </w:t>
      </w:r>
      <w:r>
        <w:rPr>
          <w:lang w:eastAsia="en-NZ"/>
        </w:rPr>
        <w:t xml:space="preserve">they were for </w:t>
      </w:r>
      <w:r w:rsidRPr="008A4982">
        <w:rPr>
          <w:lang w:eastAsia="en-NZ"/>
        </w:rPr>
        <w:t>non-Māori.</w:t>
      </w:r>
      <w:r>
        <w:rPr>
          <w:lang w:eastAsia="en-NZ"/>
        </w:rPr>
        <w:t xml:space="preserve"> When combined, diabetes and CKD contributed 7% to overall YLL for Māori.</w:t>
      </w:r>
    </w:p>
    <w:p w14:paraId="0D64ACCC" w14:textId="77777777" w:rsidR="00407FBB" w:rsidRDefault="00407FBB" w:rsidP="00407FBB">
      <w:pPr>
        <w:rPr>
          <w:lang w:eastAsia="en-NZ"/>
        </w:rPr>
      </w:pPr>
    </w:p>
    <w:p w14:paraId="3A88DCA6" w14:textId="703EA0B6" w:rsidR="009C6738" w:rsidRDefault="00407FBB" w:rsidP="009C6738">
      <w:pPr>
        <w:spacing w:beforeAutospacing="1" w:afterAutospacing="1"/>
        <w:rPr>
          <w:rFonts w:cs="Segoe UI"/>
          <w:lang w:eastAsia="en-NZ"/>
        </w:rPr>
      </w:pPr>
      <w:r w:rsidRPr="00A67E65">
        <w:rPr>
          <w:lang w:eastAsia="en-NZ"/>
        </w:rPr>
        <w:t>The GBD study provides insights into some of the health challenges faced by Māori. This report concludes that Māori continue to experience a disproportionate burden of premature death</w:t>
      </w:r>
      <w:r w:rsidR="009C6E2A">
        <w:rPr>
          <w:lang w:eastAsia="en-NZ"/>
        </w:rPr>
        <w:t>.</w:t>
      </w:r>
      <w:r w:rsidR="009C6738">
        <w:rPr>
          <w:rFonts w:cs="Segoe UI"/>
          <w:lang w:eastAsia="en-NZ"/>
        </w:rPr>
        <w:t xml:space="preserve"> </w:t>
      </w:r>
      <w:r w:rsidR="009C6E2A">
        <w:rPr>
          <w:rFonts w:cs="Segoe UI"/>
          <w:lang w:eastAsia="en-NZ"/>
        </w:rPr>
        <w:t xml:space="preserve">The </w:t>
      </w:r>
      <w:r w:rsidR="009C6738">
        <w:rPr>
          <w:rFonts w:cs="Segoe UI"/>
          <w:lang w:eastAsia="en-NZ"/>
        </w:rPr>
        <w:t>information present</w:t>
      </w:r>
      <w:r w:rsidR="009C6E2A">
        <w:rPr>
          <w:rFonts w:cs="Segoe UI"/>
          <w:lang w:eastAsia="en-NZ"/>
        </w:rPr>
        <w:t>ed</w:t>
      </w:r>
      <w:r w:rsidR="009C6738">
        <w:rPr>
          <w:rFonts w:cs="Segoe UI"/>
          <w:lang w:eastAsia="en-NZ"/>
        </w:rPr>
        <w:t xml:space="preserve"> can be used alongside other evidence </w:t>
      </w:r>
      <w:r w:rsidR="009C6E2A">
        <w:rPr>
          <w:rFonts w:cs="Segoe UI"/>
          <w:lang w:eastAsia="en-NZ"/>
        </w:rPr>
        <w:t>to support</w:t>
      </w:r>
      <w:r w:rsidR="009C6738" w:rsidRPr="00AD7346">
        <w:rPr>
          <w:rFonts w:cs="Segoe UI"/>
          <w:lang w:eastAsia="en-NZ"/>
        </w:rPr>
        <w:t xml:space="preserve"> targeted policies and effective health interventions for Māori</w:t>
      </w:r>
      <w:r w:rsidR="009C6738">
        <w:rPr>
          <w:rFonts w:cs="Segoe UI"/>
          <w:lang w:eastAsia="en-NZ"/>
        </w:rPr>
        <w:t>.</w:t>
      </w:r>
    </w:p>
    <w:p w14:paraId="474DD930" w14:textId="77777777" w:rsidR="00407FBB" w:rsidRDefault="00407FBB" w:rsidP="00926083">
      <w:pPr>
        <w:rPr>
          <w:w w:val="105"/>
        </w:rPr>
      </w:pPr>
    </w:p>
    <w:p w14:paraId="3D41AC6F" w14:textId="77777777" w:rsidR="00407FBB" w:rsidRDefault="00407FBB" w:rsidP="00926083">
      <w:pPr>
        <w:rPr>
          <w:w w:val="105"/>
        </w:rPr>
      </w:pPr>
      <w:r>
        <w:rPr>
          <w:w w:val="105"/>
        </w:rPr>
        <w:br w:type="page"/>
      </w:r>
    </w:p>
    <w:p w14:paraId="6EA79AD0" w14:textId="1DA8A932" w:rsidR="00EA3C47" w:rsidRDefault="00EA3C47" w:rsidP="00AE4FDA">
      <w:pPr>
        <w:pStyle w:val="Heading1"/>
        <w:rPr>
          <w:w w:val="105"/>
        </w:rPr>
      </w:pPr>
      <w:bookmarkStart w:id="12" w:name="_Toc216376543"/>
      <w:r w:rsidRPr="00EA3C47">
        <w:rPr>
          <w:w w:val="105"/>
        </w:rPr>
        <w:lastRenderedPageBreak/>
        <w:t xml:space="preserve">Introduction – Kupu </w:t>
      </w:r>
      <w:r w:rsidR="006D65E2">
        <w:rPr>
          <w:w w:val="105"/>
        </w:rPr>
        <w:t>w</w:t>
      </w:r>
      <w:r w:rsidRPr="00EA3C47">
        <w:rPr>
          <w:w w:val="105"/>
        </w:rPr>
        <w:t>hakataki</w:t>
      </w:r>
      <w:bookmarkEnd w:id="12"/>
    </w:p>
    <w:p w14:paraId="1732CA7E" w14:textId="77777777" w:rsidR="00EA3C47" w:rsidRDefault="00EA3C47" w:rsidP="00EA3C47">
      <w:pPr>
        <w:rPr>
          <w:rFonts w:cs="Segoe UI"/>
        </w:rPr>
      </w:pPr>
      <w:r w:rsidRPr="00EA17ED">
        <w:rPr>
          <w:rFonts w:cs="Segoe UI"/>
        </w:rPr>
        <w:t xml:space="preserve">The </w:t>
      </w:r>
      <w:r>
        <w:rPr>
          <w:rFonts w:cs="Segoe UI"/>
        </w:rPr>
        <w:t>Global Burden of Disease (</w:t>
      </w:r>
      <w:r w:rsidRPr="00EA17ED">
        <w:rPr>
          <w:rFonts w:cs="Segoe UI"/>
        </w:rPr>
        <w:t>GBD</w:t>
      </w:r>
      <w:r>
        <w:rPr>
          <w:rFonts w:cs="Segoe UI"/>
        </w:rPr>
        <w:t>)</w:t>
      </w:r>
      <w:r w:rsidRPr="00EA17ED">
        <w:rPr>
          <w:rFonts w:cs="Segoe UI"/>
        </w:rPr>
        <w:t xml:space="preserve"> study provides a framework for comparing estimates of health loss between countries, over time and by age and sex. The 2021 cycle of the GBD for Aotearoa New Zealand </w:t>
      </w:r>
      <w:r>
        <w:rPr>
          <w:rFonts w:cs="Segoe UI"/>
        </w:rPr>
        <w:t xml:space="preserve">was </w:t>
      </w:r>
      <w:r w:rsidRPr="00EA17ED">
        <w:rPr>
          <w:rFonts w:cs="Segoe UI"/>
        </w:rPr>
        <w:t>the first time the GBD study ha</w:t>
      </w:r>
      <w:r>
        <w:rPr>
          <w:rFonts w:cs="Segoe UI"/>
        </w:rPr>
        <w:t>d</w:t>
      </w:r>
      <w:r w:rsidRPr="00EA17ED">
        <w:rPr>
          <w:rFonts w:cs="Segoe UI"/>
        </w:rPr>
        <w:t xml:space="preserve"> provided estimates of health loss for Māori. </w:t>
      </w:r>
      <w:r w:rsidRPr="42228B87">
        <w:rPr>
          <w:rFonts w:cs="Segoe UI"/>
        </w:rPr>
        <w:t>The GBD measures total health</w:t>
      </w:r>
      <w:r>
        <w:rPr>
          <w:rFonts w:cs="Segoe UI"/>
        </w:rPr>
        <w:t xml:space="preserve"> loss </w:t>
      </w:r>
      <w:r w:rsidRPr="42228B87">
        <w:rPr>
          <w:rFonts w:cs="Segoe UI"/>
        </w:rPr>
        <w:t xml:space="preserve">as the combination of </w:t>
      </w:r>
      <w:r>
        <w:rPr>
          <w:rFonts w:cs="Segoe UI"/>
        </w:rPr>
        <w:t xml:space="preserve">early death </w:t>
      </w:r>
      <w:r w:rsidRPr="42228B87">
        <w:rPr>
          <w:rFonts w:cs="Segoe UI"/>
        </w:rPr>
        <w:t xml:space="preserve">(mortality) </w:t>
      </w:r>
      <w:r>
        <w:rPr>
          <w:rFonts w:cs="Segoe UI"/>
        </w:rPr>
        <w:t xml:space="preserve">and </w:t>
      </w:r>
      <w:r w:rsidRPr="42228B87">
        <w:rPr>
          <w:rFonts w:cs="Segoe UI"/>
        </w:rPr>
        <w:t>living with disease or injury (</w:t>
      </w:r>
      <w:r>
        <w:rPr>
          <w:rFonts w:cs="Segoe UI"/>
        </w:rPr>
        <w:t>morbidity</w:t>
      </w:r>
      <w:r w:rsidRPr="42228B87">
        <w:rPr>
          <w:rFonts w:cs="Segoe UI"/>
        </w:rPr>
        <w:t>).</w:t>
      </w:r>
    </w:p>
    <w:p w14:paraId="5F817666" w14:textId="77777777" w:rsidR="00061F98" w:rsidRDefault="00061F98" w:rsidP="00EA3C47">
      <w:pPr>
        <w:rPr>
          <w:rFonts w:cs="Segoe UI"/>
        </w:rPr>
      </w:pPr>
    </w:p>
    <w:p w14:paraId="128F0663" w14:textId="77777777" w:rsidR="00EA3C47" w:rsidRDefault="00EA3C47" w:rsidP="00EA3C47">
      <w:pPr>
        <w:rPr>
          <w:rFonts w:cs="Segoe UI"/>
        </w:rPr>
      </w:pPr>
      <w:r w:rsidRPr="42228B87">
        <w:rPr>
          <w:rFonts w:cs="Segoe UI"/>
        </w:rPr>
        <w:t xml:space="preserve">Early </w:t>
      </w:r>
      <w:r>
        <w:rPr>
          <w:rFonts w:cs="Segoe UI"/>
        </w:rPr>
        <w:t xml:space="preserve">death is measured </w:t>
      </w:r>
      <w:r w:rsidRPr="42228B87">
        <w:rPr>
          <w:rFonts w:cs="Segoe UI"/>
        </w:rPr>
        <w:t xml:space="preserve">as </w:t>
      </w:r>
      <w:r w:rsidRPr="00190CB2">
        <w:rPr>
          <w:rFonts w:cs="Segoe UI"/>
          <w:iCs/>
        </w:rPr>
        <w:t>years of life lost</w:t>
      </w:r>
      <w:r>
        <w:rPr>
          <w:rFonts w:cs="Segoe UI"/>
        </w:rPr>
        <w:t xml:space="preserve"> (YLL</w:t>
      </w:r>
      <w:r w:rsidRPr="42228B87">
        <w:rPr>
          <w:rFonts w:cs="Segoe UI"/>
        </w:rPr>
        <w:t>)</w:t>
      </w:r>
      <w:r>
        <w:rPr>
          <w:rFonts w:cs="Segoe UI"/>
        </w:rPr>
        <w:t xml:space="preserve"> and </w:t>
      </w:r>
      <w:r w:rsidRPr="42228B87">
        <w:rPr>
          <w:rFonts w:cs="Segoe UI"/>
        </w:rPr>
        <w:t xml:space="preserve">living with disease or injury </w:t>
      </w:r>
      <w:r>
        <w:rPr>
          <w:rFonts w:cs="Segoe UI"/>
        </w:rPr>
        <w:t xml:space="preserve">is measured </w:t>
      </w:r>
      <w:r w:rsidRPr="42228B87">
        <w:rPr>
          <w:rFonts w:cs="Segoe UI"/>
        </w:rPr>
        <w:t>as</w:t>
      </w:r>
      <w:r>
        <w:rPr>
          <w:rFonts w:cs="Segoe UI"/>
        </w:rPr>
        <w:t xml:space="preserve"> </w:t>
      </w:r>
      <w:r w:rsidRPr="00190CB2">
        <w:rPr>
          <w:rFonts w:cs="Segoe UI"/>
          <w:iCs/>
        </w:rPr>
        <w:t>years lived with disability</w:t>
      </w:r>
      <w:r>
        <w:rPr>
          <w:rFonts w:cs="Segoe UI"/>
        </w:rPr>
        <w:t xml:space="preserve"> </w:t>
      </w:r>
      <w:r w:rsidRPr="42228B87">
        <w:rPr>
          <w:rFonts w:cs="Segoe UI"/>
        </w:rPr>
        <w:t>(Y</w:t>
      </w:r>
      <w:r w:rsidRPr="00E93D29">
        <w:rPr>
          <w:rFonts w:cs="Segoe UI"/>
        </w:rPr>
        <w:t>LD) (IHME 2025). YLL is</w:t>
      </w:r>
      <w:r w:rsidRPr="00EA17ED">
        <w:rPr>
          <w:rFonts w:cs="Segoe UI"/>
        </w:rPr>
        <w:t xml:space="preserve"> a measure that shows the impact of early death within a population, highlighting </w:t>
      </w:r>
      <w:r>
        <w:rPr>
          <w:rFonts w:cs="Segoe UI"/>
        </w:rPr>
        <w:t xml:space="preserve">the </w:t>
      </w:r>
      <w:r w:rsidRPr="00EA17ED">
        <w:rPr>
          <w:rFonts w:cs="Segoe UI"/>
        </w:rPr>
        <w:t xml:space="preserve">diseases and injuries that lead to untimely deaths. </w:t>
      </w:r>
    </w:p>
    <w:p w14:paraId="2E24DE14" w14:textId="77777777" w:rsidR="00EA3C47" w:rsidRPr="00EA17ED" w:rsidRDefault="00EA3C47" w:rsidP="00EA3C47">
      <w:pPr>
        <w:rPr>
          <w:rFonts w:cs="Segoe UI"/>
        </w:rPr>
      </w:pPr>
    </w:p>
    <w:p w14:paraId="13F4C9CD" w14:textId="2A04D139" w:rsidR="00EA3C47" w:rsidRDefault="00EA3C47" w:rsidP="00EA3C47">
      <w:pPr>
        <w:rPr>
          <w:rFonts w:cs="Segoe UI"/>
        </w:rPr>
      </w:pPr>
      <w:r>
        <w:rPr>
          <w:rFonts w:cs="Segoe UI"/>
        </w:rPr>
        <w:t>T</w:t>
      </w:r>
      <w:r w:rsidRPr="42228B87">
        <w:rPr>
          <w:rFonts w:cs="Segoe UI"/>
        </w:rPr>
        <w:t>his report focuses</w:t>
      </w:r>
      <w:r>
        <w:rPr>
          <w:rFonts w:cs="Segoe UI"/>
        </w:rPr>
        <w:t xml:space="preserve"> on </w:t>
      </w:r>
      <w:r w:rsidRPr="42228B87">
        <w:rPr>
          <w:rFonts w:cs="Segoe UI"/>
        </w:rPr>
        <w:t>early death</w:t>
      </w:r>
      <w:r>
        <w:rPr>
          <w:rFonts w:cs="Segoe UI"/>
        </w:rPr>
        <w:t>. However</w:t>
      </w:r>
      <w:r w:rsidRPr="42228B87">
        <w:rPr>
          <w:rFonts w:cs="Segoe UI"/>
        </w:rPr>
        <w:t xml:space="preserve">, </w:t>
      </w:r>
      <w:r>
        <w:rPr>
          <w:rFonts w:cs="Segoe UI"/>
        </w:rPr>
        <w:t xml:space="preserve">it is critical to </w:t>
      </w:r>
      <w:r w:rsidRPr="42228B87">
        <w:rPr>
          <w:rFonts w:cs="Segoe UI"/>
        </w:rPr>
        <w:t xml:space="preserve">consider </w:t>
      </w:r>
      <w:r>
        <w:rPr>
          <w:rFonts w:cs="Segoe UI"/>
        </w:rPr>
        <w:t xml:space="preserve">this information alongside </w:t>
      </w:r>
      <w:r w:rsidRPr="42228B87">
        <w:rPr>
          <w:rFonts w:cs="Segoe UI"/>
        </w:rPr>
        <w:t>non</w:t>
      </w:r>
      <w:r>
        <w:rPr>
          <w:rFonts w:cs="Segoe UI"/>
        </w:rPr>
        <w:t>-fatal health loss and the impact of this on quality of life.</w:t>
      </w:r>
      <w:r w:rsidRPr="42228B87">
        <w:rPr>
          <w:rFonts w:cs="Segoe UI"/>
        </w:rPr>
        <w:t xml:space="preserve"> </w:t>
      </w:r>
      <w:r>
        <w:rPr>
          <w:rFonts w:cs="Segoe UI"/>
        </w:rPr>
        <w:t>F</w:t>
      </w:r>
      <w:r w:rsidRPr="000D1BD2">
        <w:rPr>
          <w:rFonts w:cs="Segoe UI"/>
        </w:rPr>
        <w:t xml:space="preserve">atal outcomes </w:t>
      </w:r>
      <w:r>
        <w:rPr>
          <w:rFonts w:cs="Segoe UI"/>
        </w:rPr>
        <w:t xml:space="preserve">alone do not represent the full picture of health loss. Estimates for early death (YLL), </w:t>
      </w:r>
      <w:r w:rsidRPr="42228B87">
        <w:rPr>
          <w:rFonts w:cs="Segoe UI"/>
        </w:rPr>
        <w:t>living with disease or injury</w:t>
      </w:r>
      <w:r>
        <w:rPr>
          <w:rFonts w:cs="Segoe UI"/>
        </w:rPr>
        <w:t xml:space="preserve"> (YLD) and the combined metric </w:t>
      </w:r>
      <w:r w:rsidRPr="00C96FBD">
        <w:rPr>
          <w:rFonts w:cs="Segoe UI"/>
        </w:rPr>
        <w:t>disability-adjusted life year</w:t>
      </w:r>
      <w:r>
        <w:rPr>
          <w:rFonts w:cs="Segoe UI"/>
        </w:rPr>
        <w:t>s</w:t>
      </w:r>
      <w:r w:rsidRPr="00C96FBD">
        <w:rPr>
          <w:rFonts w:cs="Segoe UI"/>
        </w:rPr>
        <w:t xml:space="preserve"> </w:t>
      </w:r>
      <w:r>
        <w:rPr>
          <w:rFonts w:cs="Segoe UI"/>
        </w:rPr>
        <w:t>(</w:t>
      </w:r>
      <w:r w:rsidRPr="000705CF">
        <w:rPr>
          <w:rFonts w:cs="Segoe UI"/>
        </w:rPr>
        <w:t xml:space="preserve">DALY) are available on the </w:t>
      </w:r>
      <w:r w:rsidRPr="000705CF">
        <w:rPr>
          <w:rFonts w:eastAsia="Aptos" w:cs="Segoe UI"/>
        </w:rPr>
        <w:t>Institute of Health Metrics and Evaluation</w:t>
      </w:r>
      <w:r w:rsidRPr="000705CF">
        <w:rPr>
          <w:rFonts w:cs="Segoe UI"/>
        </w:rPr>
        <w:t xml:space="preserve"> (IHME)’s website (</w:t>
      </w:r>
      <w:hyperlink r:id="rId24">
        <w:r w:rsidRPr="00750EC0">
          <w:rPr>
            <w:rStyle w:val="Hyperlink"/>
            <w:rFonts w:cs="Segoe UI"/>
            <w:shd w:val="clear" w:color="auto" w:fill="FFFFFF"/>
          </w:rPr>
          <w:t>GBD 2021 Results tool</w:t>
        </w:r>
      </w:hyperlink>
      <w:r w:rsidRPr="000705CF">
        <w:t>)</w:t>
      </w:r>
      <w:r w:rsidRPr="000705CF">
        <w:rPr>
          <w:rFonts w:cs="Segoe UI"/>
        </w:rPr>
        <w:t>.</w:t>
      </w:r>
    </w:p>
    <w:p w14:paraId="5CD2F825" w14:textId="77777777" w:rsidR="00EA3C47" w:rsidRPr="00EA17ED" w:rsidRDefault="00EA3C47" w:rsidP="00EA3C47">
      <w:pPr>
        <w:rPr>
          <w:rFonts w:cs="Segoe UI"/>
        </w:rPr>
      </w:pPr>
    </w:p>
    <w:p w14:paraId="30EE7C0A" w14:textId="77777777" w:rsidR="00EA3C47" w:rsidRPr="002C44F6" w:rsidRDefault="00EA3C47" w:rsidP="00EA3C47">
      <w:pPr>
        <w:rPr>
          <w:rStyle w:val="Strong"/>
          <w:b w:val="0"/>
          <w:bCs w:val="0"/>
        </w:rPr>
      </w:pPr>
      <w:r w:rsidRPr="002C44F6">
        <w:rPr>
          <w:rStyle w:val="Strong"/>
        </w:rPr>
        <w:t>This report aims to:</w:t>
      </w:r>
    </w:p>
    <w:p w14:paraId="481958CF" w14:textId="77777777" w:rsidR="00EA3C47" w:rsidRPr="00EA17ED" w:rsidRDefault="00EA3C47" w:rsidP="003A63FA">
      <w:pPr>
        <w:pStyle w:val="Bullet"/>
        <w:numPr>
          <w:ilvl w:val="0"/>
          <w:numId w:val="7"/>
        </w:numPr>
        <w:ind w:left="426" w:hanging="426"/>
      </w:pPr>
      <w:r w:rsidRPr="00EA17ED">
        <w:t>highlight the leading causes of premature death for Māori</w:t>
      </w:r>
    </w:p>
    <w:p w14:paraId="0F70DA7D" w14:textId="77777777" w:rsidR="00EA3C47" w:rsidRPr="00EA17ED" w:rsidRDefault="00EA3C47" w:rsidP="003A63FA">
      <w:pPr>
        <w:pStyle w:val="Bullet"/>
        <w:numPr>
          <w:ilvl w:val="0"/>
          <w:numId w:val="7"/>
        </w:numPr>
        <w:ind w:left="426" w:hanging="426"/>
      </w:pPr>
      <w:r w:rsidRPr="00EA17ED">
        <w:t xml:space="preserve">add to the existing evidence on Māori health inequities to inform evidence-based decision making </w:t>
      </w:r>
      <w:r>
        <w:t xml:space="preserve">and thereby </w:t>
      </w:r>
      <w:r w:rsidRPr="00EA17ED">
        <w:t>support pae ora (healthy futures) for Māori.</w:t>
      </w:r>
    </w:p>
    <w:p w14:paraId="374CCCB2" w14:textId="77777777" w:rsidR="00EA3C47" w:rsidRPr="00EA17ED" w:rsidRDefault="00EA3C47" w:rsidP="00EA3C47">
      <w:pPr>
        <w:pStyle w:val="Heading2"/>
        <w:rPr>
          <w:rFonts w:cs="Segoe UI"/>
        </w:rPr>
      </w:pPr>
      <w:bookmarkStart w:id="13" w:name="_Toc187999514"/>
      <w:bookmarkStart w:id="14" w:name="_Toc215236512"/>
      <w:bookmarkStart w:id="15" w:name="_Toc216376544"/>
      <w:r w:rsidRPr="00EA17ED">
        <w:rPr>
          <w:rFonts w:cs="Segoe UI"/>
        </w:rPr>
        <w:t xml:space="preserve">The Global Burden of Disease </w:t>
      </w:r>
      <w:r>
        <w:rPr>
          <w:rFonts w:cs="Segoe UI"/>
        </w:rPr>
        <w:t>s</w:t>
      </w:r>
      <w:r w:rsidRPr="00EA17ED">
        <w:rPr>
          <w:rFonts w:cs="Segoe UI"/>
        </w:rPr>
        <w:t>tudy</w:t>
      </w:r>
      <w:bookmarkEnd w:id="13"/>
      <w:bookmarkEnd w:id="14"/>
      <w:bookmarkEnd w:id="15"/>
    </w:p>
    <w:p w14:paraId="1855A833" w14:textId="77777777" w:rsidR="00EA3C47" w:rsidRDefault="00EA3C47" w:rsidP="00EA3C47">
      <w:pPr>
        <w:rPr>
          <w:rFonts w:eastAsia="Aptos"/>
        </w:rPr>
      </w:pPr>
      <w:r w:rsidRPr="00EA17ED">
        <w:rPr>
          <w:rFonts w:eastAsia="Aptos"/>
        </w:rPr>
        <w:t xml:space="preserve">The GBD study is the largest and most comprehensive effort to quantify health loss globally. The study provides a comprehensive picture of health loss across 204 countries and territories. It covers 371 diseases and injuries and 88 risk factors, using a standard methodology and a wide range of morbidity and mortality data sources. </w:t>
      </w:r>
    </w:p>
    <w:p w14:paraId="3FA99B29" w14:textId="77777777" w:rsidR="00061F98" w:rsidRPr="00EA17ED" w:rsidRDefault="00061F98" w:rsidP="00EA3C47">
      <w:pPr>
        <w:rPr>
          <w:rFonts w:eastAsia="Aptos"/>
        </w:rPr>
      </w:pPr>
    </w:p>
    <w:p w14:paraId="292276B5" w14:textId="77777777" w:rsidR="00EA3C47" w:rsidRDefault="00EA3C47" w:rsidP="00EA3C47">
      <w:pPr>
        <w:rPr>
          <w:rFonts w:eastAsia="Aptos"/>
        </w:rPr>
      </w:pPr>
      <w:r w:rsidRPr="00EA17ED">
        <w:t>The study began in 1990</w:t>
      </w:r>
      <w:r>
        <w:t xml:space="preserve"> when it was </w:t>
      </w:r>
      <w:r w:rsidRPr="00EA17ED">
        <w:t>commissioned by the World Bank and established at the World Health Organi</w:t>
      </w:r>
      <w:r>
        <w:t>z</w:t>
      </w:r>
      <w:r w:rsidRPr="00EA17ED">
        <w:t xml:space="preserve">ation (WHO). </w:t>
      </w:r>
      <w:r w:rsidRPr="00EA17ED">
        <w:rPr>
          <w:rFonts w:eastAsia="Aptos"/>
        </w:rPr>
        <w:t xml:space="preserve">It is currently funded by the Gates Foundation </w:t>
      </w:r>
      <w:r>
        <w:rPr>
          <w:rFonts w:eastAsia="Aptos"/>
        </w:rPr>
        <w:t xml:space="preserve">(previously Bill and Melinda Gates Foundation) </w:t>
      </w:r>
      <w:r w:rsidRPr="00EA17ED">
        <w:rPr>
          <w:rFonts w:eastAsia="Aptos"/>
        </w:rPr>
        <w:t>and coordinated by the IHME</w:t>
      </w:r>
      <w:r>
        <w:rPr>
          <w:rFonts w:eastAsia="Aptos"/>
        </w:rPr>
        <w:t>,</w:t>
      </w:r>
      <w:r w:rsidRPr="00EA17ED">
        <w:rPr>
          <w:rFonts w:eastAsia="Aptos"/>
        </w:rPr>
        <w:t xml:space="preserve"> based in</w:t>
      </w:r>
      <w:r>
        <w:rPr>
          <w:rFonts w:eastAsia="Aptos"/>
        </w:rPr>
        <w:t xml:space="preserve"> the state of </w:t>
      </w:r>
      <w:r w:rsidRPr="00EA17ED">
        <w:rPr>
          <w:rFonts w:eastAsia="Aptos"/>
        </w:rPr>
        <w:t xml:space="preserve">Washington, USA. Information on the study’s history can be found </w:t>
      </w:r>
      <w:r>
        <w:rPr>
          <w:rFonts w:eastAsia="Aptos"/>
        </w:rPr>
        <w:t>on</w:t>
      </w:r>
      <w:r w:rsidRPr="00EA17ED">
        <w:rPr>
          <w:rFonts w:eastAsia="Aptos"/>
        </w:rPr>
        <w:t xml:space="preserve"> the IHME </w:t>
      </w:r>
      <w:r w:rsidRPr="00E93D29">
        <w:rPr>
          <w:rFonts w:eastAsia="Aptos"/>
        </w:rPr>
        <w:t>website (IHME 2025).</w:t>
      </w:r>
    </w:p>
    <w:p w14:paraId="493E1CA2" w14:textId="77777777" w:rsidR="00EA3C47" w:rsidRPr="00EA17ED" w:rsidRDefault="00EA3C47" w:rsidP="00EA3C47">
      <w:pPr>
        <w:rPr>
          <w:rFonts w:eastAsia="Aptos"/>
        </w:rPr>
      </w:pPr>
    </w:p>
    <w:p w14:paraId="2A30D0DA" w14:textId="77777777" w:rsidR="00EA3C47" w:rsidRDefault="00EA3C47" w:rsidP="00EA3C47">
      <w:pPr>
        <w:rPr>
          <w:rFonts w:eastAsia="Aptos"/>
        </w:rPr>
      </w:pPr>
      <w:r>
        <w:rPr>
          <w:rFonts w:eastAsia="Aptos"/>
        </w:rPr>
        <w:t>G</w:t>
      </w:r>
      <w:r w:rsidRPr="00EA17ED">
        <w:rPr>
          <w:rFonts w:eastAsia="Aptos"/>
        </w:rPr>
        <w:t xml:space="preserve">overnments, policy makers, clinicians and researchers </w:t>
      </w:r>
      <w:r>
        <w:rPr>
          <w:rFonts w:eastAsia="Aptos"/>
        </w:rPr>
        <w:t xml:space="preserve">use the GBD study to find out about </w:t>
      </w:r>
      <w:r w:rsidRPr="00EA17ED">
        <w:rPr>
          <w:rFonts w:eastAsia="Aptos"/>
        </w:rPr>
        <w:t>the causes of health loss and trends over time</w:t>
      </w:r>
      <w:r>
        <w:rPr>
          <w:rFonts w:eastAsia="Aptos"/>
        </w:rPr>
        <w:t xml:space="preserve">, which helps them </w:t>
      </w:r>
      <w:r w:rsidRPr="00EA17ED">
        <w:rPr>
          <w:rFonts w:eastAsia="Aptos"/>
        </w:rPr>
        <w:t>improve health systems and address inequities. With each GBD release, the whole time series back to 1990 is re-estimated</w:t>
      </w:r>
      <w:r>
        <w:rPr>
          <w:rFonts w:eastAsia="Aptos"/>
        </w:rPr>
        <w:t>,</w:t>
      </w:r>
      <w:r w:rsidRPr="00EA17ED">
        <w:rPr>
          <w:rFonts w:eastAsia="Aptos"/>
        </w:rPr>
        <w:t xml:space="preserve"> to make sure all estimates in the release are up-to-date and comparable.</w:t>
      </w:r>
    </w:p>
    <w:p w14:paraId="30715D77" w14:textId="77777777" w:rsidR="00EA3C47" w:rsidRDefault="00EA3C47" w:rsidP="00EA3C47">
      <w:pPr>
        <w:rPr>
          <w:rFonts w:eastAsia="Aptos"/>
        </w:rPr>
      </w:pPr>
    </w:p>
    <w:p w14:paraId="2DC8FF88" w14:textId="081B6843" w:rsidR="00EA3C47" w:rsidRPr="004F6B40" w:rsidRDefault="00EA3C47" w:rsidP="00EA3C47">
      <w:pPr>
        <w:pStyle w:val="Heading3"/>
        <w:rPr>
          <w:rStyle w:val="Strong"/>
        </w:rPr>
      </w:pPr>
      <w:r w:rsidRPr="004F6B40">
        <w:rPr>
          <w:rStyle w:val="Strong"/>
        </w:rPr>
        <w:lastRenderedPageBreak/>
        <w:t xml:space="preserve">Release of the full set of Māori/non-Māori </w:t>
      </w:r>
      <w:r>
        <w:rPr>
          <w:rStyle w:val="Strong"/>
        </w:rPr>
        <w:t xml:space="preserve">Global Burden of Disease </w:t>
      </w:r>
      <w:r w:rsidRPr="004F6B40">
        <w:rPr>
          <w:rStyle w:val="Strong"/>
        </w:rPr>
        <w:t xml:space="preserve">estimates </w:t>
      </w:r>
    </w:p>
    <w:p w14:paraId="12FFD110" w14:textId="40B23701" w:rsidR="00EA3C47" w:rsidRPr="00EA17ED" w:rsidRDefault="00EA3C47" w:rsidP="00EA3C47">
      <w:pPr>
        <w:rPr>
          <w:rFonts w:eastAsia="Aptos"/>
        </w:rPr>
      </w:pPr>
      <w:r w:rsidRPr="00EA17ED">
        <w:rPr>
          <w:rFonts w:eastAsia="Aptos"/>
        </w:rPr>
        <w:t xml:space="preserve">The IHME released the full set of GBD 2021 estimates for Māori </w:t>
      </w:r>
      <w:r w:rsidRPr="002F07CF">
        <w:rPr>
          <w:rFonts w:eastAsia="Aptos"/>
        </w:rPr>
        <w:t>in December 2025</w:t>
      </w:r>
      <w:r w:rsidRPr="00BF21D0">
        <w:rPr>
          <w:rFonts w:eastAsia="Aptos"/>
        </w:rPr>
        <w:t>.</w:t>
      </w:r>
      <w:r w:rsidRPr="00EA17ED">
        <w:rPr>
          <w:rFonts w:eastAsia="Aptos"/>
        </w:rPr>
        <w:t xml:space="preserve"> Further information on the background and the estimates released can be found </w:t>
      </w:r>
      <w:r>
        <w:rPr>
          <w:rFonts w:eastAsia="Aptos"/>
        </w:rPr>
        <w:t xml:space="preserve">on the Ministry of Health </w:t>
      </w:r>
      <w:r w:rsidRPr="000705CF">
        <w:rPr>
          <w:rFonts w:eastAsia="Aptos"/>
        </w:rPr>
        <w:t xml:space="preserve">Statistics and research page </w:t>
      </w:r>
      <w:r w:rsidRPr="000705CF">
        <w:t>(Ministry of Health 2025)</w:t>
      </w:r>
      <w:r w:rsidRPr="000705CF">
        <w:rPr>
          <w:rFonts w:eastAsia="Aptos"/>
        </w:rPr>
        <w:t>. The estimates are available here</w:t>
      </w:r>
      <w:r w:rsidRPr="00860A4F">
        <w:rPr>
          <w:rFonts w:eastAsia="Aptos"/>
        </w:rPr>
        <w:t xml:space="preserve">: </w:t>
      </w:r>
      <w:hyperlink r:id="rId25">
        <w:r w:rsidRPr="00860A4F">
          <w:rPr>
            <w:rStyle w:val="Hyperlink"/>
            <w:rFonts w:cs="Segoe UI"/>
            <w:shd w:val="clear" w:color="auto" w:fill="FFFFFF"/>
          </w:rPr>
          <w:t>GBD 2021 Compare tool</w:t>
        </w:r>
      </w:hyperlink>
      <w:r w:rsidRPr="00860A4F">
        <w:rPr>
          <w:rFonts w:eastAsia="Aptos"/>
        </w:rPr>
        <w:t>.</w:t>
      </w:r>
    </w:p>
    <w:p w14:paraId="7B03FF51" w14:textId="77777777" w:rsidR="00EA3C47" w:rsidRPr="004F6B40" w:rsidRDefault="00EA3C47" w:rsidP="00EA3C47">
      <w:pPr>
        <w:pStyle w:val="Heading3"/>
        <w:rPr>
          <w:rStyle w:val="Strong"/>
        </w:rPr>
      </w:pPr>
      <w:r w:rsidRPr="004F6B40">
        <w:rPr>
          <w:rStyle w:val="Strong"/>
        </w:rPr>
        <w:t xml:space="preserve">Previous total population health loss estimates </w:t>
      </w:r>
    </w:p>
    <w:p w14:paraId="6366C295" w14:textId="77777777" w:rsidR="00EA3C47" w:rsidRPr="000705CF" w:rsidRDefault="00EA3C47" w:rsidP="00EA3C47">
      <w:pPr>
        <w:rPr>
          <w:rFonts w:eastAsia="Aptos"/>
        </w:rPr>
      </w:pPr>
      <w:r w:rsidRPr="000705CF">
        <w:rPr>
          <w:rFonts w:eastAsia="Aptos"/>
        </w:rPr>
        <w:t>The IHME regularly releases estimates for the total national population. These are available in the</w:t>
      </w:r>
      <w:r w:rsidRPr="000705CF">
        <w:t xml:space="preserve"> </w:t>
      </w:r>
      <w:hyperlink r:id="rId26" w:history="1">
        <w:r w:rsidRPr="00D70466">
          <w:rPr>
            <w:rStyle w:val="Hyperlink"/>
            <w:rFonts w:cs="Segoe UI"/>
            <w:shd w:val="clear" w:color="auto" w:fill="FFFFFF"/>
          </w:rPr>
          <w:t>GBD Compare tool</w:t>
        </w:r>
      </w:hyperlink>
      <w:r w:rsidRPr="00D70466">
        <w:rPr>
          <w:rStyle w:val="Hyperlink"/>
          <w:rFonts w:cs="Segoe UI"/>
          <w:b w:val="0"/>
          <w:bCs/>
          <w:color w:val="auto"/>
          <w:shd w:val="clear" w:color="auto" w:fill="FFFFFF"/>
        </w:rPr>
        <w:t>.</w:t>
      </w:r>
      <w:r w:rsidRPr="000705CF">
        <w:rPr>
          <w:rFonts w:eastAsia="Aptos"/>
        </w:rPr>
        <w:t xml:space="preserve"> </w:t>
      </w:r>
    </w:p>
    <w:p w14:paraId="7223FAA1" w14:textId="77777777" w:rsidR="00EA3C47" w:rsidRPr="00EA17ED" w:rsidRDefault="00EA3C47" w:rsidP="00EA3C47">
      <w:pPr>
        <w:rPr>
          <w:rFonts w:eastAsia="Aptos"/>
        </w:rPr>
      </w:pPr>
    </w:p>
    <w:p w14:paraId="7843A737" w14:textId="77777777" w:rsidR="00EA3C47" w:rsidRDefault="00EA3C47" w:rsidP="00EA3C47">
      <w:pPr>
        <w:rPr>
          <w:rFonts w:eastAsia="Aptos"/>
          <w:szCs w:val="22"/>
        </w:rPr>
      </w:pPr>
      <w:r w:rsidRPr="00EA17ED">
        <w:rPr>
          <w:rFonts w:eastAsia="Aptos"/>
          <w:szCs w:val="22"/>
        </w:rPr>
        <w:t xml:space="preserve">The report </w:t>
      </w:r>
      <w:r w:rsidRPr="00EA17ED">
        <w:rPr>
          <w:rFonts w:eastAsia="Aptos"/>
          <w:i/>
          <w:szCs w:val="22"/>
        </w:rPr>
        <w:t>Longer, Healthier Lives: New Zealand’s Health 1990</w:t>
      </w:r>
      <w:r>
        <w:rPr>
          <w:rFonts w:eastAsia="Aptos"/>
          <w:i/>
          <w:szCs w:val="22"/>
        </w:rPr>
        <w:t>–</w:t>
      </w:r>
      <w:r w:rsidRPr="00EA17ED">
        <w:rPr>
          <w:rFonts w:eastAsia="Aptos"/>
          <w:i/>
          <w:szCs w:val="22"/>
        </w:rPr>
        <w:t>2017</w:t>
      </w:r>
      <w:r w:rsidRPr="00EA17ED">
        <w:rPr>
          <w:rFonts w:eastAsia="Aptos"/>
          <w:szCs w:val="22"/>
        </w:rPr>
        <w:t xml:space="preserve"> </w:t>
      </w:r>
      <w:r>
        <w:rPr>
          <w:rFonts w:eastAsia="Aptos"/>
          <w:szCs w:val="22"/>
        </w:rPr>
        <w:t xml:space="preserve">(Ministry of Health 2020) </w:t>
      </w:r>
      <w:r w:rsidRPr="00EA17ED">
        <w:rPr>
          <w:rFonts w:eastAsia="Aptos"/>
          <w:szCs w:val="22"/>
        </w:rPr>
        <w:t>provides a summary of total population estimates</w:t>
      </w:r>
      <w:r>
        <w:rPr>
          <w:rFonts w:eastAsia="Aptos"/>
          <w:szCs w:val="22"/>
        </w:rPr>
        <w:t>;</w:t>
      </w:r>
      <w:r w:rsidRPr="00EA17ED">
        <w:rPr>
          <w:rFonts w:eastAsia="Aptos"/>
          <w:szCs w:val="22"/>
        </w:rPr>
        <w:t xml:space="preserve"> </w:t>
      </w:r>
      <w:r>
        <w:rPr>
          <w:rFonts w:eastAsia="Aptos"/>
          <w:szCs w:val="22"/>
        </w:rPr>
        <w:t xml:space="preserve">it </w:t>
      </w:r>
      <w:r w:rsidRPr="00EA17ED">
        <w:rPr>
          <w:rFonts w:eastAsia="Aptos"/>
          <w:szCs w:val="22"/>
        </w:rPr>
        <w:t>us</w:t>
      </w:r>
      <w:r>
        <w:rPr>
          <w:rFonts w:eastAsia="Aptos"/>
          <w:szCs w:val="22"/>
        </w:rPr>
        <w:t>es</w:t>
      </w:r>
      <w:r w:rsidRPr="00EA17ED">
        <w:rPr>
          <w:rFonts w:eastAsia="Aptos"/>
          <w:szCs w:val="22"/>
        </w:rPr>
        <w:t xml:space="preserve"> the 2017 </w:t>
      </w:r>
      <w:r>
        <w:rPr>
          <w:rFonts w:eastAsia="Aptos"/>
          <w:szCs w:val="22"/>
        </w:rPr>
        <w:t>GBD data</w:t>
      </w:r>
      <w:r w:rsidRPr="00EA17ED">
        <w:rPr>
          <w:rFonts w:eastAsia="Aptos"/>
          <w:szCs w:val="22"/>
        </w:rPr>
        <w:t>.</w:t>
      </w:r>
    </w:p>
    <w:p w14:paraId="103E61E7" w14:textId="77777777" w:rsidR="00EA3C47" w:rsidRDefault="00EA3C47" w:rsidP="00EA3C47">
      <w:pPr>
        <w:rPr>
          <w:rFonts w:eastAsia="Aptos"/>
          <w:szCs w:val="22"/>
        </w:rPr>
        <w:sectPr w:rsidR="00EA3C47" w:rsidSect="00EA3C47">
          <w:pgSz w:w="11907" w:h="16840" w:code="9"/>
          <w:pgMar w:top="1418" w:right="1701" w:bottom="1134" w:left="1843" w:header="284" w:footer="425" w:gutter="284"/>
          <w:pgNumType w:start="1"/>
          <w:cols w:space="720"/>
        </w:sectPr>
      </w:pPr>
    </w:p>
    <w:p w14:paraId="301D1C87" w14:textId="02F76E08" w:rsidR="00EA3C47" w:rsidRPr="00AE4FDA" w:rsidRDefault="00794469" w:rsidP="00AE4FDA">
      <w:pPr>
        <w:pStyle w:val="Heading1"/>
      </w:pPr>
      <w:bookmarkStart w:id="16" w:name="_Toc187999516"/>
      <w:bookmarkStart w:id="17" w:name="_Toc215236513"/>
      <w:bookmarkStart w:id="18" w:name="_Toc216376545"/>
      <w:r>
        <w:lastRenderedPageBreak/>
        <w:t>Positioning and use of the</w:t>
      </w:r>
      <w:r w:rsidR="00EA3C47" w:rsidRPr="00AE4FDA">
        <w:t xml:space="preserve"> estimates</w:t>
      </w:r>
      <w:bookmarkEnd w:id="16"/>
      <w:r w:rsidR="00EA3C47" w:rsidRPr="00AE4FDA">
        <w:t xml:space="preserve"> – Te ara whakamahi i ngā whakatau tata mō te Rangahau Taumahatanga Tahumaero ā-Ao mō te Māori</w:t>
      </w:r>
      <w:bookmarkEnd w:id="17"/>
      <w:bookmarkEnd w:id="18"/>
    </w:p>
    <w:p w14:paraId="67DC2D79" w14:textId="77777777" w:rsidR="00EA3C47" w:rsidRPr="00EA17ED" w:rsidRDefault="00EA3C47" w:rsidP="00EA3C47">
      <w:pPr>
        <w:pStyle w:val="Heading2"/>
        <w:rPr>
          <w:rFonts w:cs="Segoe UI"/>
        </w:rPr>
      </w:pPr>
      <w:bookmarkStart w:id="19" w:name="_Toc215236514"/>
      <w:bookmarkStart w:id="20" w:name="_Toc216376546"/>
      <w:r w:rsidRPr="00EA17ED">
        <w:rPr>
          <w:rFonts w:cs="Segoe UI"/>
        </w:rPr>
        <w:t>Worldviews and determinants of health</w:t>
      </w:r>
      <w:bookmarkEnd w:id="19"/>
      <w:bookmarkEnd w:id="20"/>
    </w:p>
    <w:p w14:paraId="04C97146" w14:textId="77777777" w:rsidR="00EA3C47" w:rsidRDefault="00EA3C47" w:rsidP="00EA3C47">
      <w:pPr>
        <w:rPr>
          <w:rFonts w:cs="Segoe UI"/>
          <w:szCs w:val="22"/>
        </w:rPr>
      </w:pPr>
      <w:r>
        <w:rPr>
          <w:rFonts w:cs="Segoe UI"/>
          <w:szCs w:val="22"/>
          <w:shd w:val="clear" w:color="auto" w:fill="FFFFFF"/>
        </w:rPr>
        <w:t>It is best practice for health researchers to carefully consider t</w:t>
      </w:r>
      <w:r w:rsidRPr="00EA17ED">
        <w:rPr>
          <w:rFonts w:cs="Segoe UI"/>
          <w:szCs w:val="22"/>
          <w:shd w:val="clear" w:color="auto" w:fill="FFFFFF"/>
        </w:rPr>
        <w:t xml:space="preserve">he values and goals of </w:t>
      </w:r>
      <w:r>
        <w:rPr>
          <w:rFonts w:cs="Segoe UI"/>
          <w:szCs w:val="22"/>
          <w:shd w:val="clear" w:color="auto" w:fill="FFFFFF"/>
        </w:rPr>
        <w:t xml:space="preserve">specific </w:t>
      </w:r>
      <w:r w:rsidRPr="00EA17ED">
        <w:rPr>
          <w:rFonts w:cs="Segoe UI"/>
          <w:szCs w:val="22"/>
          <w:shd w:val="clear" w:color="auto" w:fill="FFFFFF"/>
        </w:rPr>
        <w:t xml:space="preserve">communities </w:t>
      </w:r>
      <w:r>
        <w:rPr>
          <w:rFonts w:cs="Segoe UI"/>
          <w:szCs w:val="22"/>
          <w:shd w:val="clear" w:color="auto" w:fill="FFFFFF"/>
        </w:rPr>
        <w:t>when conducting</w:t>
      </w:r>
      <w:r w:rsidRPr="00EA17ED">
        <w:rPr>
          <w:rFonts w:cs="Segoe UI"/>
          <w:szCs w:val="22"/>
          <w:shd w:val="clear" w:color="auto" w:fill="FFFFFF"/>
        </w:rPr>
        <w:t xml:space="preserve"> health research </w:t>
      </w:r>
      <w:r>
        <w:rPr>
          <w:rFonts w:cs="Segoe UI"/>
          <w:szCs w:val="22"/>
          <w:shd w:val="clear" w:color="auto" w:fill="FFFFFF"/>
        </w:rPr>
        <w:t>with i</w:t>
      </w:r>
      <w:r w:rsidRPr="00EA17ED">
        <w:rPr>
          <w:rFonts w:cs="Segoe UI"/>
          <w:szCs w:val="22"/>
          <w:shd w:val="clear" w:color="auto" w:fill="FFFFFF"/>
        </w:rPr>
        <w:t xml:space="preserve">ndigenous communities </w:t>
      </w:r>
      <w:r>
        <w:rPr>
          <w:rFonts w:cs="Segoe UI"/>
          <w:noProof/>
          <w:szCs w:val="22"/>
          <w:shd w:val="clear" w:color="auto" w:fill="FFFFFF"/>
        </w:rPr>
        <w:t>(Bergeron et al 2021)</w:t>
      </w:r>
      <w:r w:rsidRPr="00EA17ED">
        <w:rPr>
          <w:rFonts w:cs="Segoe UI"/>
          <w:szCs w:val="22"/>
          <w:shd w:val="clear" w:color="auto" w:fill="FFFFFF"/>
        </w:rPr>
        <w:t xml:space="preserve">. </w:t>
      </w:r>
      <w:r w:rsidRPr="00EA17ED">
        <w:rPr>
          <w:rFonts w:cs="Segoe UI"/>
        </w:rPr>
        <w:t xml:space="preserve">The GBD study applies a </w:t>
      </w:r>
      <w:r w:rsidRPr="00EA17ED">
        <w:rPr>
          <w:rFonts w:cs="Segoe UI"/>
          <w:szCs w:val="22"/>
        </w:rPr>
        <w:t xml:space="preserve">western biomedical model that prioritises biological and individual factors over the holistic, relational and culturally embedded ways of knowing </w:t>
      </w:r>
      <w:r>
        <w:rPr>
          <w:rFonts w:cs="Segoe UI"/>
          <w:szCs w:val="22"/>
        </w:rPr>
        <w:t xml:space="preserve">that are </w:t>
      </w:r>
      <w:r w:rsidRPr="00EA17ED">
        <w:rPr>
          <w:rFonts w:cs="Segoe UI"/>
          <w:szCs w:val="22"/>
        </w:rPr>
        <w:t xml:space="preserve">central to </w:t>
      </w:r>
      <w:r>
        <w:rPr>
          <w:rFonts w:cs="Segoe UI"/>
          <w:szCs w:val="22"/>
        </w:rPr>
        <w:t>t</w:t>
      </w:r>
      <w:r w:rsidRPr="00EA17ED">
        <w:rPr>
          <w:rFonts w:cs="Segoe UI"/>
          <w:szCs w:val="22"/>
        </w:rPr>
        <w:t xml:space="preserve">e </w:t>
      </w:r>
      <w:r>
        <w:rPr>
          <w:rFonts w:cs="Segoe UI"/>
          <w:szCs w:val="22"/>
        </w:rPr>
        <w:t>a</w:t>
      </w:r>
      <w:r w:rsidRPr="00EA17ED">
        <w:rPr>
          <w:rFonts w:cs="Segoe UI"/>
          <w:szCs w:val="22"/>
        </w:rPr>
        <w:t>o Māori (the Māori worldview). This approach does not</w:t>
      </w:r>
      <w:r w:rsidRPr="00EA17ED">
        <w:rPr>
          <w:rFonts w:cs="Segoe UI"/>
        </w:rPr>
        <w:t xml:space="preserve"> align with </w:t>
      </w:r>
      <w:r>
        <w:rPr>
          <w:rFonts w:cs="Segoe UI"/>
        </w:rPr>
        <w:t>k</w:t>
      </w:r>
      <w:r w:rsidRPr="00EA17ED">
        <w:rPr>
          <w:rFonts w:cs="Segoe UI"/>
        </w:rPr>
        <w:t xml:space="preserve">aupapa Māori methods that are Māori-led and place the needs and aspirations of Māori front and centre </w:t>
      </w:r>
      <w:r>
        <w:rPr>
          <w:rFonts w:cs="Segoe UI"/>
          <w:noProof/>
        </w:rPr>
        <w:t>(Simmonds et al 2015)</w:t>
      </w:r>
      <w:r w:rsidRPr="00EA17ED">
        <w:rPr>
          <w:rFonts w:cs="Segoe UI"/>
        </w:rPr>
        <w:t>.</w:t>
      </w:r>
      <w:r w:rsidRPr="00EA17ED">
        <w:rPr>
          <w:rFonts w:cs="Segoe UI"/>
          <w:szCs w:val="22"/>
        </w:rPr>
        <w:t xml:space="preserve">  </w:t>
      </w:r>
    </w:p>
    <w:p w14:paraId="29D958B9" w14:textId="77777777" w:rsidR="00AE4FDA" w:rsidRPr="00EA17ED" w:rsidRDefault="00AE4FDA" w:rsidP="00EA3C47">
      <w:pPr>
        <w:rPr>
          <w:rFonts w:cs="Segoe UI"/>
        </w:rPr>
      </w:pPr>
    </w:p>
    <w:p w14:paraId="3F0B36A3" w14:textId="77777777" w:rsidR="00EA3C47" w:rsidRDefault="00EA3C47" w:rsidP="00EA3C47">
      <w:r w:rsidRPr="00EA17ED">
        <w:t xml:space="preserve">While </w:t>
      </w:r>
      <w:r>
        <w:t xml:space="preserve">it is important to </w:t>
      </w:r>
      <w:r w:rsidRPr="00EA17ED">
        <w:t>acknowledg</w:t>
      </w:r>
      <w:r>
        <w:t>e</w:t>
      </w:r>
      <w:r w:rsidRPr="00EA17ED">
        <w:t xml:space="preserve"> differing worldviews, it is still valuable to point out health inequities so that they can be addressed. The Māori GBD estimates presented in this report should be understood alongside existing information on the enduring health inequities Māori experience</w:t>
      </w:r>
      <w:r>
        <w:t>,</w:t>
      </w:r>
      <w:r w:rsidRPr="00EA17ED">
        <w:t xml:space="preserve"> and with consideration of the determinants of health. Below</w:t>
      </w:r>
      <w:r>
        <w:t>,</w:t>
      </w:r>
      <w:r w:rsidRPr="00EA17ED">
        <w:t xml:space="preserve"> we provide guidance on how the data can be used in a culturally safe way to inform health outcomes for Māori.</w:t>
      </w:r>
    </w:p>
    <w:p w14:paraId="772B0950" w14:textId="77777777" w:rsidR="00AE4FDA" w:rsidRPr="00EA17ED" w:rsidRDefault="00AE4FDA" w:rsidP="00EA3C47"/>
    <w:p w14:paraId="2C3BEB80" w14:textId="77777777" w:rsidR="00EA3C47" w:rsidRDefault="00EA3C47" w:rsidP="00EA3C47">
      <w:r w:rsidRPr="00EA17ED">
        <w:t>The use and interpretation of data supplied by the GBD study should adopt a strengths-based approach, which firmly rejects 'victim-blame' or 'cultural-deficit' interpretations. It is crucial to understand that identifying inequities between Māori and non-Māori does not imply Māori failure or shortcomings</w:t>
      </w:r>
      <w:r>
        <w:t xml:space="preserve"> </w:t>
      </w:r>
      <w:r>
        <w:rPr>
          <w:noProof/>
        </w:rPr>
        <w:t>(Curtis 2016)</w:t>
      </w:r>
      <w:r w:rsidRPr="00EA17ED">
        <w:t xml:space="preserve">. </w:t>
      </w:r>
      <w:r>
        <w:t>A</w:t>
      </w:r>
      <w:r w:rsidRPr="00EA17ED">
        <w:t xml:space="preserve"> </w:t>
      </w:r>
      <w:r>
        <w:t>k</w:t>
      </w:r>
      <w:r w:rsidRPr="00EA17ED">
        <w:t xml:space="preserve">aupapa Māori perspective highlights racism, privilege and power imbalances as fundamental drivers of ethnic inequities in health for Māori </w:t>
      </w:r>
      <w:r>
        <w:t xml:space="preserve">when </w:t>
      </w:r>
      <w:r w:rsidRPr="00EA17ED">
        <w:t>compared to non-</w:t>
      </w:r>
      <w:r w:rsidRPr="006C6DD5">
        <w:t>Māori</w:t>
      </w:r>
      <w:r>
        <w:t xml:space="preserve"> </w:t>
      </w:r>
      <w:r>
        <w:rPr>
          <w:noProof/>
        </w:rPr>
        <w:t>(Curtis et al 2023)</w:t>
      </w:r>
      <w:r w:rsidRPr="006C6DD5">
        <w:t>.</w:t>
      </w:r>
    </w:p>
    <w:p w14:paraId="37448FB9" w14:textId="77777777" w:rsidR="00AE4FDA" w:rsidRPr="00EA17ED" w:rsidRDefault="00AE4FDA" w:rsidP="00EA3C47"/>
    <w:p w14:paraId="11C650A4" w14:textId="77777777" w:rsidR="00EA3C47" w:rsidRDefault="00EA3C47" w:rsidP="00EA3C47">
      <w:r w:rsidRPr="00EA17ED">
        <w:t xml:space="preserve">Wider determinants, such as social and economic factors, experiences of discrimination and the ongoing impacts of colonisation, are crucial considerations in </w:t>
      </w:r>
      <w:r>
        <w:t xml:space="preserve">the context of </w:t>
      </w:r>
      <w:r w:rsidRPr="00EA17ED">
        <w:t>Māori health. A useful model for understanding the determinants of health</w:t>
      </w:r>
      <w:r>
        <w:t>,</w:t>
      </w:r>
      <w:r w:rsidRPr="00EA17ED">
        <w:t xml:space="preserve"> and </w:t>
      </w:r>
      <w:r>
        <w:t xml:space="preserve">for using </w:t>
      </w:r>
      <w:r w:rsidRPr="00EA17ED">
        <w:t>and interpret</w:t>
      </w:r>
      <w:r>
        <w:t>ing</w:t>
      </w:r>
      <w:r w:rsidRPr="00EA17ED">
        <w:t xml:space="preserve"> the Māori GBD estimates</w:t>
      </w:r>
      <w:r>
        <w:t>,</w:t>
      </w:r>
      <w:r w:rsidRPr="00EA17ED">
        <w:t xml:space="preserve"> is the Te Kupenga Hauora model </w:t>
      </w:r>
      <w:r>
        <w:rPr>
          <w:noProof/>
        </w:rPr>
        <w:t>(Curtis et al 2023)</w:t>
      </w:r>
      <w:r w:rsidRPr="00EA17ED">
        <w:t>. This model emphasises the importance of a holistic approach to Māori health</w:t>
      </w:r>
      <w:r>
        <w:t xml:space="preserve"> by </w:t>
      </w:r>
      <w:r w:rsidRPr="00EA17ED">
        <w:t xml:space="preserve">incorporating cultural, social and environmental factors. </w:t>
      </w:r>
      <w:r>
        <w:t xml:space="preserve">It </w:t>
      </w:r>
      <w:r w:rsidRPr="00EA17ED">
        <w:t xml:space="preserve">advocates for the protection, promotion and improvement of Māori health to achieve equity in </w:t>
      </w:r>
      <w:r w:rsidRPr="00EA17ED">
        <w:lastRenderedPageBreak/>
        <w:t>health outcomes and build towards pae ora (healthy futures) for Māori. To best understand and interpret equity</w:t>
      </w:r>
      <w:r>
        <w:t>-</w:t>
      </w:r>
      <w:r w:rsidRPr="00EA17ED">
        <w:t xml:space="preserve">focused analyses, </w:t>
      </w:r>
      <w:r>
        <w:t xml:space="preserve">we should consider </w:t>
      </w:r>
      <w:r w:rsidRPr="00EA17ED">
        <w:t xml:space="preserve">western biomedical approaches to health research </w:t>
      </w:r>
      <w:r>
        <w:t>along with</w:t>
      </w:r>
      <w:r w:rsidRPr="00EA17ED">
        <w:t xml:space="preserve"> </w:t>
      </w:r>
      <w:r>
        <w:t xml:space="preserve">the </w:t>
      </w:r>
      <w:r w:rsidRPr="00EA17ED">
        <w:t>wider aspects of Māori health.</w:t>
      </w:r>
    </w:p>
    <w:p w14:paraId="0C789651" w14:textId="77777777" w:rsidR="00EA3C47" w:rsidRPr="00EA17ED" w:rsidRDefault="00EA3C47" w:rsidP="00EA3C47">
      <w:pPr>
        <w:pStyle w:val="Heading2"/>
        <w:rPr>
          <w:rFonts w:cs="Segoe UI"/>
        </w:rPr>
      </w:pPr>
      <w:bookmarkStart w:id="21" w:name="_Toc215236515"/>
      <w:bookmarkStart w:id="22" w:name="_Toc216376547"/>
      <w:bookmarkStart w:id="23" w:name="_Toc187999518"/>
      <w:r w:rsidRPr="00EA17ED">
        <w:rPr>
          <w:rFonts w:cs="Segoe UI"/>
        </w:rPr>
        <w:t>Māori data governance</w:t>
      </w:r>
      <w:bookmarkEnd w:id="21"/>
      <w:bookmarkEnd w:id="22"/>
      <w:r w:rsidRPr="00EA17ED">
        <w:rPr>
          <w:rFonts w:cs="Segoe UI"/>
        </w:rPr>
        <w:t xml:space="preserve"> </w:t>
      </w:r>
      <w:bookmarkEnd w:id="23"/>
    </w:p>
    <w:p w14:paraId="092B4ADE" w14:textId="20294A69" w:rsidR="00EA3C47" w:rsidRDefault="00EA3C47" w:rsidP="00EA3C47">
      <w:pPr>
        <w:rPr>
          <w:rFonts w:eastAsia="Aptos" w:cs="Segoe UI"/>
          <w:noProof/>
        </w:rPr>
      </w:pPr>
      <w:r w:rsidRPr="00EA17ED">
        <w:rPr>
          <w:rFonts w:cs="Segoe UI"/>
        </w:rPr>
        <w:t xml:space="preserve">The GBD study uses a standardised international methodology that enables comparisons between countries and globally but does not fully align with Māori data governance </w:t>
      </w:r>
      <w:r w:rsidR="009C6738">
        <w:rPr>
          <w:rFonts w:cs="Segoe UI"/>
        </w:rPr>
        <w:t>principles</w:t>
      </w:r>
      <w:r w:rsidRPr="00EA17ED">
        <w:rPr>
          <w:rFonts w:cs="Segoe UI"/>
        </w:rPr>
        <w:t xml:space="preserve">. </w:t>
      </w:r>
      <w:r w:rsidRPr="00EA17ED">
        <w:rPr>
          <w:rFonts w:eastAsia="Aptos" w:cs="Segoe UI"/>
        </w:rPr>
        <w:t xml:space="preserve">Māori data governance refers to the ‘processes, practices, standards and policies that enable Māori, as collectives and as individuals, to have control over Māori data’ </w:t>
      </w:r>
      <w:r>
        <w:rPr>
          <w:rFonts w:eastAsia="Aptos" w:cs="Segoe UI"/>
          <w:noProof/>
        </w:rPr>
        <w:t>(Kukutai et al 2023).</w:t>
      </w:r>
    </w:p>
    <w:p w14:paraId="30647EC9" w14:textId="77777777" w:rsidR="00AE4FDA" w:rsidRPr="00EA17ED" w:rsidRDefault="00AE4FDA" w:rsidP="00EA3C47">
      <w:pPr>
        <w:rPr>
          <w:rFonts w:eastAsia="Aptos" w:cs="Segoe UI"/>
        </w:rPr>
      </w:pPr>
    </w:p>
    <w:p w14:paraId="5CE3D293" w14:textId="77777777" w:rsidR="00EA3C47" w:rsidRDefault="00EA3C47" w:rsidP="00EA3C47">
      <w:pPr>
        <w:rPr>
          <w:rFonts w:cs="Segoe UI"/>
        </w:rPr>
      </w:pPr>
      <w:r w:rsidRPr="00EA17ED">
        <w:rPr>
          <w:rFonts w:eastAsia="Aptos" w:cs="Segoe UI"/>
        </w:rPr>
        <w:t xml:space="preserve">The application of the </w:t>
      </w:r>
      <w:r w:rsidRPr="00EA17ED">
        <w:rPr>
          <w:rFonts w:cs="Segoe UI"/>
        </w:rPr>
        <w:t>Māori data governance model ‘enables Māori to make decisions about how, when and why Māori data is defined and classified, collected, stored, accessed, analysed, used and shared’</w:t>
      </w:r>
      <w:r>
        <w:rPr>
          <w:rFonts w:cs="Segoe UI"/>
        </w:rPr>
        <w:t xml:space="preserve"> </w:t>
      </w:r>
      <w:r>
        <w:rPr>
          <w:rFonts w:cs="Segoe UI"/>
          <w:noProof/>
        </w:rPr>
        <w:t>(Kukutai et al 2023)</w:t>
      </w:r>
      <w:r w:rsidRPr="00EA17ED">
        <w:rPr>
          <w:rFonts w:cs="Segoe UI"/>
        </w:rPr>
        <w:t xml:space="preserve">. The </w:t>
      </w:r>
      <w:r>
        <w:rPr>
          <w:rFonts w:cs="Segoe UI"/>
        </w:rPr>
        <w:t xml:space="preserve">IHME stores and analyses </w:t>
      </w:r>
      <w:r w:rsidRPr="00EA17ED">
        <w:rPr>
          <w:rFonts w:cs="Segoe UI"/>
        </w:rPr>
        <w:t xml:space="preserve">GBD estimates overseas without Māori involvement, which limits </w:t>
      </w:r>
      <w:r>
        <w:rPr>
          <w:rFonts w:cs="Segoe UI"/>
        </w:rPr>
        <w:t xml:space="preserve">our </w:t>
      </w:r>
      <w:r w:rsidRPr="00EA17ED">
        <w:rPr>
          <w:rFonts w:cs="Segoe UI"/>
        </w:rPr>
        <w:t xml:space="preserve">ability to apply the Māori data governance model to these estimates. Considering these limitations, </w:t>
      </w:r>
      <w:r>
        <w:rPr>
          <w:rFonts w:cs="Segoe UI"/>
        </w:rPr>
        <w:t xml:space="preserve">we sought </w:t>
      </w:r>
      <w:r w:rsidRPr="00EA17ED">
        <w:rPr>
          <w:rFonts w:cs="Segoe UI"/>
        </w:rPr>
        <w:t>advice on how to present the Māori GBD estimates through engagement with the Māori Monitoring Group and other Māori health experts.</w:t>
      </w:r>
      <w:r w:rsidRPr="00EA17ED" w:rsidDel="00F8705A">
        <w:rPr>
          <w:rFonts w:cs="Segoe UI"/>
        </w:rPr>
        <w:t xml:space="preserve"> </w:t>
      </w:r>
    </w:p>
    <w:p w14:paraId="261E179A" w14:textId="77777777" w:rsidR="00AE4FDA" w:rsidRPr="00EA17ED" w:rsidRDefault="00AE4FDA" w:rsidP="00EA3C47">
      <w:pPr>
        <w:rPr>
          <w:rFonts w:cs="Segoe UI"/>
        </w:rPr>
      </w:pPr>
    </w:p>
    <w:p w14:paraId="2B123454" w14:textId="77777777" w:rsidR="00EA3C47" w:rsidRDefault="00EA3C47" w:rsidP="00EA3C47">
      <w:pPr>
        <w:rPr>
          <w:rFonts w:cs="Segoe UI"/>
        </w:rPr>
      </w:pPr>
      <w:r w:rsidRPr="00EA17ED">
        <w:rPr>
          <w:rFonts w:cs="Segoe UI"/>
        </w:rPr>
        <w:t>Members of the Māori Monitoring Group</w:t>
      </w:r>
      <w:r w:rsidRPr="00EA17ED" w:rsidDel="00556412">
        <w:rPr>
          <w:rFonts w:cs="Segoe UI"/>
        </w:rPr>
        <w:t xml:space="preserve"> </w:t>
      </w:r>
      <w:r w:rsidRPr="00EA17ED">
        <w:rPr>
          <w:rFonts w:cs="Segoe UI"/>
        </w:rPr>
        <w:t xml:space="preserve">provided advice </w:t>
      </w:r>
      <w:r>
        <w:rPr>
          <w:rFonts w:cs="Segoe UI"/>
        </w:rPr>
        <w:t xml:space="preserve">on </w:t>
      </w:r>
      <w:r w:rsidRPr="00EA17ED">
        <w:rPr>
          <w:rFonts w:cs="Segoe UI"/>
        </w:rPr>
        <w:t xml:space="preserve">this report to make sure the </w:t>
      </w:r>
      <w:r>
        <w:rPr>
          <w:rFonts w:cs="Segoe UI"/>
        </w:rPr>
        <w:t xml:space="preserve">potential </w:t>
      </w:r>
      <w:r w:rsidRPr="00EA17ED">
        <w:rPr>
          <w:rFonts w:cs="Segoe UI"/>
        </w:rPr>
        <w:t xml:space="preserve">benefits for Māori </w:t>
      </w:r>
      <w:r>
        <w:rPr>
          <w:rFonts w:cs="Segoe UI"/>
        </w:rPr>
        <w:t xml:space="preserve">were </w:t>
      </w:r>
      <w:r w:rsidRPr="00EA17ED">
        <w:rPr>
          <w:rFonts w:cs="Segoe UI"/>
        </w:rPr>
        <w:t xml:space="preserve">of top consideration. </w:t>
      </w:r>
      <w:r>
        <w:rPr>
          <w:rFonts w:cs="Segoe UI"/>
        </w:rPr>
        <w:t>We set up a</w:t>
      </w:r>
      <w:r w:rsidRPr="00EA17ED">
        <w:rPr>
          <w:rFonts w:cs="Segoe UI"/>
        </w:rPr>
        <w:t xml:space="preserve">n engagement process with experts to ensure the respectful use and interpretation of the data. </w:t>
      </w:r>
      <w:r>
        <w:rPr>
          <w:rFonts w:cs="Segoe UI"/>
        </w:rPr>
        <w:t xml:space="preserve">Our </w:t>
      </w:r>
      <w:r w:rsidRPr="00EA17ED">
        <w:rPr>
          <w:rFonts w:cs="Segoe UI"/>
        </w:rPr>
        <w:t xml:space="preserve">engagement with Māori and non-Māori health stakeholders (including public health experts and physicians) was to ensure </w:t>
      </w:r>
      <w:r>
        <w:rPr>
          <w:rFonts w:cs="Segoe UI"/>
        </w:rPr>
        <w:t xml:space="preserve">that we verified </w:t>
      </w:r>
      <w:r w:rsidRPr="00EA17ED">
        <w:rPr>
          <w:rFonts w:cs="Segoe UI"/>
        </w:rPr>
        <w:t>the current state of Māori health against the available data</w:t>
      </w:r>
      <w:r>
        <w:rPr>
          <w:rFonts w:cs="Segoe UI"/>
        </w:rPr>
        <w:t xml:space="preserve"> and</w:t>
      </w:r>
      <w:r w:rsidRPr="00EA17ED">
        <w:rPr>
          <w:rFonts w:cs="Segoe UI"/>
        </w:rPr>
        <w:t xml:space="preserve"> framed and shared </w:t>
      </w:r>
      <w:r>
        <w:rPr>
          <w:rFonts w:cs="Segoe UI"/>
        </w:rPr>
        <w:t xml:space="preserve">it </w:t>
      </w:r>
      <w:r w:rsidRPr="00EA17ED">
        <w:rPr>
          <w:rFonts w:cs="Segoe UI"/>
        </w:rPr>
        <w:t>in a culturally appropriate way that aim</w:t>
      </w:r>
      <w:r>
        <w:rPr>
          <w:rFonts w:cs="Segoe UI"/>
        </w:rPr>
        <w:t>ed</w:t>
      </w:r>
      <w:r w:rsidRPr="00EA17ED">
        <w:rPr>
          <w:rFonts w:cs="Segoe UI"/>
        </w:rPr>
        <w:t xml:space="preserve"> to protect and benefit Māori.</w:t>
      </w:r>
      <w:r w:rsidRPr="00EA17ED" w:rsidDel="00F8705A">
        <w:rPr>
          <w:rFonts w:cs="Segoe UI"/>
        </w:rPr>
        <w:t xml:space="preserve"> </w:t>
      </w:r>
    </w:p>
    <w:p w14:paraId="452035D4" w14:textId="77777777" w:rsidR="00EA3C47" w:rsidRPr="009C7E18" w:rsidRDefault="00EA3C47" w:rsidP="00EA3C47">
      <w:pPr>
        <w:pStyle w:val="Heading2"/>
      </w:pPr>
      <w:bookmarkStart w:id="24" w:name="_Toc215236516"/>
      <w:bookmarkStart w:id="25" w:name="_Toc216376548"/>
      <w:r w:rsidRPr="009C7E18">
        <w:t>Other considerations</w:t>
      </w:r>
      <w:bookmarkEnd w:id="24"/>
      <w:bookmarkEnd w:id="25"/>
    </w:p>
    <w:p w14:paraId="7FBDE5FF" w14:textId="77777777" w:rsidR="00EA3C47" w:rsidRPr="00AE4FDA" w:rsidRDefault="00EA3C47" w:rsidP="00AE4FDA">
      <w:pPr>
        <w:pStyle w:val="Heading3"/>
        <w:rPr>
          <w:rStyle w:val="IntenseEmphasis"/>
          <w:b w:val="0"/>
          <w:i w:val="0"/>
          <w:iCs w:val="0"/>
          <w:color w:val="0A6AB4"/>
        </w:rPr>
      </w:pPr>
      <w:bookmarkStart w:id="26" w:name="_Toc215236517"/>
      <w:bookmarkStart w:id="27" w:name="_Hlk214284818"/>
      <w:r w:rsidRPr="00AE4FDA">
        <w:rPr>
          <w:rStyle w:val="IntenseEmphasis"/>
          <w:b w:val="0"/>
          <w:i w:val="0"/>
          <w:iCs w:val="0"/>
          <w:color w:val="0A6AB4"/>
        </w:rPr>
        <w:t>Ethnicity data quality</w:t>
      </w:r>
      <w:bookmarkEnd w:id="26"/>
    </w:p>
    <w:p w14:paraId="332D5BA0" w14:textId="77777777" w:rsidR="00EA3C47" w:rsidRDefault="00EA3C47" w:rsidP="00AE4FDA">
      <w:pPr>
        <w:rPr>
          <w:rStyle w:val="SubtleEmphasis"/>
          <w:rFonts w:cs="Segoe UI"/>
          <w:sz w:val="22"/>
          <w:szCs w:val="22"/>
        </w:rPr>
      </w:pPr>
      <w:r>
        <w:t xml:space="preserve">We sourced ethnicity information for causes of death from the registry of deaths held by the Department of Internal Affairs. </w:t>
      </w:r>
      <w:r w:rsidRPr="00AE4FDA">
        <w:t>The New Zealand Census-Mortality Study has showed, by linking death registrations and census records, that there were substantial undercounts of Māori mortality in the 1980s and 1990s. In 1995, the death registration form was modified to link ethnicity as closely as possible to the census question. Research found that using the ‘total ethnicity’ definition has meant that there has been little or no under-reporting of Māori ethnicity in the death registry since 1996 (Ajwani et al 2003; Tan et al 2010).</w:t>
      </w:r>
      <w:r w:rsidRPr="00EA17ED">
        <w:rPr>
          <w:rStyle w:val="SubtleEmphasis"/>
          <w:rFonts w:cs="Segoe UI"/>
          <w:sz w:val="22"/>
          <w:szCs w:val="22"/>
        </w:rPr>
        <w:t xml:space="preserve"> </w:t>
      </w:r>
    </w:p>
    <w:p w14:paraId="69799719" w14:textId="77777777" w:rsidR="00AE4FDA" w:rsidRPr="00EA17ED" w:rsidRDefault="00AE4FDA" w:rsidP="00AE4FDA">
      <w:pPr>
        <w:rPr>
          <w:rStyle w:val="SubtleEmphasis"/>
          <w:rFonts w:cs="Segoe UI"/>
          <w:i w:val="0"/>
          <w:sz w:val="22"/>
          <w:szCs w:val="22"/>
        </w:rPr>
      </w:pPr>
    </w:p>
    <w:p w14:paraId="6E20E9DB" w14:textId="77777777" w:rsidR="00EA3C47" w:rsidRPr="00AE4FDA" w:rsidRDefault="00EA3C47" w:rsidP="00AE4FDA">
      <w:pPr>
        <w:pStyle w:val="Heading3"/>
        <w:rPr>
          <w:rStyle w:val="IntenseEmphasis"/>
          <w:b w:val="0"/>
          <w:i w:val="0"/>
          <w:iCs w:val="0"/>
          <w:color w:val="0A6AB4"/>
        </w:rPr>
      </w:pPr>
      <w:bookmarkStart w:id="28" w:name="_Toc215236518"/>
      <w:bookmarkEnd w:id="27"/>
      <w:r w:rsidRPr="00AE4FDA">
        <w:rPr>
          <w:rStyle w:val="IntenseEmphasis"/>
          <w:b w:val="0"/>
          <w:i w:val="0"/>
          <w:iCs w:val="0"/>
          <w:color w:val="0A6AB4"/>
        </w:rPr>
        <w:lastRenderedPageBreak/>
        <w:t>Comparing Māori to</w:t>
      </w:r>
      <w:r w:rsidRPr="00AE4FDA">
        <w:rPr>
          <w:rStyle w:val="Strong"/>
          <w:b w:val="0"/>
          <w:bCs w:val="0"/>
        </w:rPr>
        <w:t xml:space="preserve"> </w:t>
      </w:r>
      <w:r w:rsidRPr="00AE4FDA">
        <w:rPr>
          <w:rStyle w:val="IntenseEmphasis"/>
          <w:b w:val="0"/>
          <w:i w:val="0"/>
          <w:iCs w:val="0"/>
          <w:color w:val="0A6AB4"/>
        </w:rPr>
        <w:t>non-Māori</w:t>
      </w:r>
      <w:bookmarkEnd w:id="28"/>
    </w:p>
    <w:p w14:paraId="7FB86380" w14:textId="77777777" w:rsidR="00EA3C47" w:rsidRDefault="00EA3C47" w:rsidP="00AE4FDA">
      <w:pPr>
        <w:rPr>
          <w:rStyle w:val="normaltextrun"/>
          <w:rFonts w:cs="Segoe UI"/>
          <w:shd w:val="clear" w:color="auto" w:fill="FFFFFF"/>
        </w:rPr>
      </w:pPr>
      <w:r>
        <w:t xml:space="preserve">IHME have provided </w:t>
      </w:r>
      <w:r w:rsidRPr="005F21C6">
        <w:t>GBD estimates for Māori and non-Māori</w:t>
      </w:r>
      <w:r w:rsidRPr="008104A3">
        <w:t xml:space="preserve">. </w:t>
      </w:r>
      <w:r w:rsidRPr="008104A3">
        <w:rPr>
          <w:rStyle w:val="normaltextrun"/>
          <w:rFonts w:cs="Segoe UI"/>
          <w:shd w:val="clear" w:color="auto" w:fill="FFFFFF"/>
        </w:rPr>
        <w:t xml:space="preserve">Prioritised ethnicity is used in health data; this categorises </w:t>
      </w:r>
      <w:r w:rsidRPr="005F21C6">
        <w:rPr>
          <w:rStyle w:val="normaltextrun"/>
          <w:rFonts w:cs="Segoe UI"/>
          <w:shd w:val="clear" w:color="auto" w:fill="FFFFFF"/>
        </w:rPr>
        <w:t xml:space="preserve">a person into a single ethnic group based on the </w:t>
      </w:r>
      <w:hyperlink r:id="rId27" w:history="1">
        <w:r w:rsidRPr="005F21C6">
          <w:rPr>
            <w:rStyle w:val="Hyperlink"/>
            <w:rFonts w:cs="Segoe UI"/>
            <w:shd w:val="clear" w:color="auto" w:fill="FFFFFF"/>
          </w:rPr>
          <w:t>Health Information Standards Organisation Ethnicity Data Protocols</w:t>
        </w:r>
      </w:hyperlink>
      <w:r>
        <w:t xml:space="preserve"> (</w:t>
      </w:r>
      <w:r w:rsidDel="006B129C">
        <w:t xml:space="preserve">Health </w:t>
      </w:r>
      <w:r>
        <w:t>New Zealand 2017)</w:t>
      </w:r>
      <w:r w:rsidRPr="005F21C6">
        <w:rPr>
          <w:rStyle w:val="normaltextrun"/>
          <w:rFonts w:cs="Segoe UI"/>
          <w:shd w:val="clear" w:color="auto" w:fill="FFFFFF"/>
        </w:rPr>
        <w:t xml:space="preserve">. As </w:t>
      </w:r>
      <w:r>
        <w:rPr>
          <w:rStyle w:val="normaltextrun"/>
          <w:rFonts w:cs="Segoe UI"/>
          <w:shd w:val="clear" w:color="auto" w:fill="FFFFFF"/>
        </w:rPr>
        <w:t xml:space="preserve">prioritised ethnicity prioritises </w:t>
      </w:r>
      <w:r w:rsidRPr="005F21C6">
        <w:rPr>
          <w:rStyle w:val="normaltextrun"/>
          <w:rFonts w:cs="Segoe UI"/>
          <w:shd w:val="clear" w:color="auto" w:fill="FFFFFF"/>
        </w:rPr>
        <w:t>Māori first, an individual who identifies with multiple ethnicities, including Māori, is categorised as Māori.</w:t>
      </w:r>
    </w:p>
    <w:p w14:paraId="6E9DD46E" w14:textId="77777777" w:rsidR="00AE4FDA" w:rsidRPr="005F21C6" w:rsidRDefault="00AE4FDA" w:rsidP="00AE4FDA"/>
    <w:p w14:paraId="5FCE29E6" w14:textId="77777777" w:rsidR="00EA3C47" w:rsidRPr="005F21C6" w:rsidRDefault="00EA3C47" w:rsidP="00AE4FDA">
      <w:r w:rsidRPr="005F21C6">
        <w:t xml:space="preserve">This ethnic breakdown </w:t>
      </w:r>
      <w:r>
        <w:t xml:space="preserve">gives us </w:t>
      </w:r>
      <w:r w:rsidRPr="005F21C6">
        <w:t>the opportunity to look at Māori</w:t>
      </w:r>
      <w:r>
        <w:t>-</w:t>
      </w:r>
      <w:r w:rsidRPr="005F21C6">
        <w:t xml:space="preserve">specific estimates and compare them against non-Māori. Using non-Māori as a comparator for health outcomes can mask disparities by masking differences in the non-Māori group. For example, Pacific peoples often have similar health outcomes to Māori, which </w:t>
      </w:r>
      <w:r>
        <w:t xml:space="preserve">are often </w:t>
      </w:r>
      <w:r w:rsidRPr="005F21C6">
        <w:t xml:space="preserve">different to </w:t>
      </w:r>
      <w:r>
        <w:t>health outcomes for people in the Asian</w:t>
      </w:r>
      <w:r w:rsidRPr="005F21C6">
        <w:t xml:space="preserve"> or European/Other ethnic</w:t>
      </w:r>
      <w:r>
        <w:t xml:space="preserve"> groups</w:t>
      </w:r>
      <w:r w:rsidRPr="005F21C6">
        <w:t xml:space="preserve">. </w:t>
      </w:r>
    </w:p>
    <w:p w14:paraId="032A34E6" w14:textId="77777777" w:rsidR="00EA3C47" w:rsidRPr="005F21C6" w:rsidRDefault="00EA3C47" w:rsidP="00AE4FDA"/>
    <w:p w14:paraId="14E37E86" w14:textId="77777777" w:rsidR="00AE4FDA" w:rsidRDefault="00AE4FDA" w:rsidP="00AE4FDA">
      <w:pPr>
        <w:pStyle w:val="Heading1"/>
        <w:sectPr w:rsidR="00AE4FDA" w:rsidSect="00AE4FDA">
          <w:pgSz w:w="11907" w:h="16840" w:code="9"/>
          <w:pgMar w:top="1418" w:right="1701" w:bottom="1134" w:left="1843" w:header="284" w:footer="425" w:gutter="284"/>
          <w:cols w:space="720"/>
        </w:sectPr>
      </w:pPr>
      <w:bookmarkStart w:id="29" w:name="_Toc187999519"/>
      <w:bookmarkStart w:id="30" w:name="_Ref188012649"/>
      <w:bookmarkStart w:id="31" w:name="_Toc215236519"/>
    </w:p>
    <w:p w14:paraId="053C14F4" w14:textId="752F45AD" w:rsidR="00EA3C47" w:rsidRPr="009B7F66" w:rsidRDefault="00EA3C47" w:rsidP="00AE4FDA">
      <w:pPr>
        <w:pStyle w:val="Heading1"/>
        <w:rPr>
          <w:rStyle w:val="normaltextrun"/>
        </w:rPr>
      </w:pPr>
      <w:bookmarkStart w:id="32" w:name="_Methodology_–_Tikanga"/>
      <w:bookmarkStart w:id="33" w:name="_Toc216376549"/>
      <w:bookmarkEnd w:id="32"/>
      <w:r w:rsidRPr="009B7F66">
        <w:lastRenderedPageBreak/>
        <w:t>Methodology</w:t>
      </w:r>
      <w:bookmarkEnd w:id="29"/>
      <w:bookmarkEnd w:id="30"/>
      <w:r>
        <w:t xml:space="preserve"> – </w:t>
      </w:r>
      <w:r w:rsidRPr="00323C59">
        <w:t xml:space="preserve">Tikanga </w:t>
      </w:r>
      <w:r w:rsidR="006D65E2">
        <w:t>m</w:t>
      </w:r>
      <w:r w:rsidRPr="00323C59">
        <w:t>ahi</w:t>
      </w:r>
      <w:bookmarkEnd w:id="31"/>
      <w:bookmarkEnd w:id="33"/>
      <w:r w:rsidRPr="00323C59">
        <w:t> </w:t>
      </w:r>
    </w:p>
    <w:p w14:paraId="6CFC8D5C" w14:textId="77777777" w:rsidR="00EA3C47" w:rsidRPr="00EE289B" w:rsidRDefault="00EA3C47" w:rsidP="00EA3C47">
      <w:pPr>
        <w:pStyle w:val="Heading2"/>
      </w:pPr>
      <w:bookmarkStart w:id="34" w:name="_Toc215236520"/>
      <w:bookmarkStart w:id="35" w:name="_Toc216376550"/>
      <w:bookmarkStart w:id="36" w:name="_Toc187999520"/>
      <w:r w:rsidRPr="00EE289B">
        <w:rPr>
          <w:rStyle w:val="normaltextrun"/>
        </w:rPr>
        <w:t>Estimates and modelling</w:t>
      </w:r>
      <w:bookmarkEnd w:id="34"/>
      <w:bookmarkEnd w:id="35"/>
      <w:r w:rsidRPr="00EE289B">
        <w:rPr>
          <w:rStyle w:val="normaltextrun"/>
        </w:rPr>
        <w:t xml:space="preserve"> </w:t>
      </w:r>
    </w:p>
    <w:p w14:paraId="2FC80683" w14:textId="77777777" w:rsidR="00EA3C47" w:rsidRDefault="00EA3C47" w:rsidP="00AE4FDA">
      <w:pPr>
        <w:rPr>
          <w:rStyle w:val="eop"/>
          <w:rFonts w:cs="Segoe UI"/>
          <w:szCs w:val="22"/>
        </w:rPr>
      </w:pPr>
      <w:r>
        <w:rPr>
          <w:rStyle w:val="normaltextrun"/>
          <w:rFonts w:cs="Segoe UI"/>
          <w:szCs w:val="22"/>
        </w:rPr>
        <w:t>The GBD data comprises estimates that are calculated using statistical modelling. In some cases, assumptions are made based on the data available. These assumptions often represent non-population-specific realities and may not reflect the experiences or realities of Māori. </w:t>
      </w:r>
      <w:r>
        <w:rPr>
          <w:rStyle w:val="eop"/>
          <w:rFonts w:cs="Segoe UI"/>
          <w:szCs w:val="22"/>
        </w:rPr>
        <w:t> </w:t>
      </w:r>
    </w:p>
    <w:p w14:paraId="3476F65B" w14:textId="77777777" w:rsidR="00AE4FDA" w:rsidRPr="003D5E09" w:rsidRDefault="00AE4FDA" w:rsidP="00AE4FDA"/>
    <w:p w14:paraId="27AEA323" w14:textId="77777777" w:rsidR="00EA3C47" w:rsidRPr="00BC6FB2" w:rsidRDefault="00EA3C47" w:rsidP="00AE4FDA">
      <w:pPr>
        <w:rPr>
          <w:sz w:val="18"/>
          <w:szCs w:val="18"/>
        </w:rPr>
      </w:pPr>
      <w:r>
        <w:rPr>
          <w:rStyle w:val="normaltextrun"/>
          <w:rFonts w:cs="Segoe UI"/>
          <w:szCs w:val="22"/>
        </w:rPr>
        <w:t>The strength of the GBD project is that it produces cause-specific estimates of diseases, injuries and risk factors. The quality of these estimates relies on the quality and coverage of the data. Statistical modelling techniques account for gaps in the data, but there is still a level of uncertainty that varies for each disease, injury and risk factor, and consequently for the various measures (described below).</w:t>
      </w:r>
      <w:r>
        <w:rPr>
          <w:rStyle w:val="eop"/>
          <w:rFonts w:cs="Segoe UI"/>
          <w:szCs w:val="22"/>
        </w:rPr>
        <w:t> </w:t>
      </w:r>
    </w:p>
    <w:p w14:paraId="71B53D7E" w14:textId="77777777" w:rsidR="00EA3C47" w:rsidRPr="00AE4FDA" w:rsidRDefault="00EA3C47" w:rsidP="00AE4FDA">
      <w:pPr>
        <w:pStyle w:val="Heading2"/>
      </w:pPr>
      <w:bookmarkStart w:id="37" w:name="_Toc215236521"/>
      <w:bookmarkStart w:id="38" w:name="_Toc216376551"/>
      <w:r w:rsidRPr="00AE4FDA">
        <w:t>Years of life lost as a measure of premature death</w:t>
      </w:r>
      <w:bookmarkEnd w:id="36"/>
      <w:bookmarkEnd w:id="37"/>
      <w:bookmarkEnd w:id="38"/>
    </w:p>
    <w:p w14:paraId="51050B6D" w14:textId="77777777" w:rsidR="00EA3C47" w:rsidRPr="00EA17ED" w:rsidRDefault="00EA3C47" w:rsidP="00AE4FDA">
      <w:pPr>
        <w:rPr>
          <w:rFonts w:eastAsia="Aptos"/>
        </w:rPr>
      </w:pPr>
      <w:r>
        <w:rPr>
          <w:rFonts w:eastAsia="Aptos"/>
        </w:rPr>
        <w:t>‘</w:t>
      </w:r>
      <w:r w:rsidRPr="00EA17ED" w:rsidDel="00FB45FC">
        <w:rPr>
          <w:rFonts w:eastAsia="Aptos"/>
        </w:rPr>
        <w:t>Years of life lost</w:t>
      </w:r>
      <w:r>
        <w:rPr>
          <w:rFonts w:eastAsia="Aptos"/>
        </w:rPr>
        <w:t>’</w:t>
      </w:r>
      <w:r w:rsidRPr="00EA17ED" w:rsidDel="00FB45FC">
        <w:rPr>
          <w:rFonts w:eastAsia="Aptos"/>
        </w:rPr>
        <w:t xml:space="preserve"> is </w:t>
      </w:r>
      <w:r>
        <w:rPr>
          <w:rFonts w:eastAsia="Aptos"/>
        </w:rPr>
        <w:t xml:space="preserve">the number of years of life lost due to </w:t>
      </w:r>
      <w:r w:rsidRPr="00EA17ED" w:rsidDel="00FB45FC">
        <w:rPr>
          <w:rFonts w:eastAsia="Aptos"/>
        </w:rPr>
        <w:t xml:space="preserve">premature </w:t>
      </w:r>
      <w:r>
        <w:rPr>
          <w:rFonts w:eastAsia="Aptos"/>
        </w:rPr>
        <w:t>mortality (early death)</w:t>
      </w:r>
      <w:r w:rsidRPr="00EA17ED" w:rsidDel="00FB45FC">
        <w:rPr>
          <w:rFonts w:eastAsia="Aptos"/>
        </w:rPr>
        <w:t xml:space="preserve">. </w:t>
      </w:r>
      <w:r>
        <w:rPr>
          <w:rFonts w:eastAsia="Aptos"/>
        </w:rPr>
        <w:t>It is</w:t>
      </w:r>
      <w:r w:rsidRPr="00EA17ED" w:rsidDel="00FB45FC">
        <w:rPr>
          <w:rFonts w:eastAsia="Aptos"/>
        </w:rPr>
        <w:t xml:space="preserve"> calculated </w:t>
      </w:r>
      <w:r>
        <w:rPr>
          <w:rFonts w:eastAsia="Aptos"/>
        </w:rPr>
        <w:t xml:space="preserve">by subtracting the age at death from the longest possible life expectancy for a person at that age. This is done for </w:t>
      </w:r>
      <w:r w:rsidRPr="00EA17ED" w:rsidDel="00FB45FC">
        <w:rPr>
          <w:rFonts w:eastAsia="Aptos"/>
        </w:rPr>
        <w:t xml:space="preserve">each </w:t>
      </w:r>
      <w:r>
        <w:rPr>
          <w:rFonts w:eastAsia="Aptos"/>
        </w:rPr>
        <w:t xml:space="preserve">cause of death, to provide an understanding of </w:t>
      </w:r>
      <w:r w:rsidRPr="00EA17ED" w:rsidDel="00FB45FC">
        <w:rPr>
          <w:rFonts w:eastAsia="Aptos"/>
        </w:rPr>
        <w:t xml:space="preserve">the </w:t>
      </w:r>
      <w:r>
        <w:rPr>
          <w:rFonts w:eastAsia="Aptos"/>
        </w:rPr>
        <w:t>impact</w:t>
      </w:r>
      <w:r w:rsidRPr="00EA17ED" w:rsidDel="00FB45FC">
        <w:rPr>
          <w:rFonts w:eastAsia="Aptos"/>
        </w:rPr>
        <w:t xml:space="preserve"> </w:t>
      </w:r>
      <w:r>
        <w:rPr>
          <w:rFonts w:eastAsia="Aptos"/>
        </w:rPr>
        <w:t>specific diseases and injuries have on premature mortality in a population. The life expectancy measure used is at the global level, to allow comparisons between countries. It is constructed using the lowest observed age-specific mortality rates across all locations with a population of more than 5 million.</w:t>
      </w:r>
      <w:r w:rsidRPr="00EA17ED">
        <w:rPr>
          <w:rFonts w:eastAsia="Aptos"/>
        </w:rPr>
        <w:t xml:space="preserve"> </w:t>
      </w:r>
    </w:p>
    <w:p w14:paraId="499429CA" w14:textId="77777777" w:rsidR="00EA3C47" w:rsidRPr="00EE289B" w:rsidRDefault="00EA3C47" w:rsidP="00EA3C47">
      <w:pPr>
        <w:pStyle w:val="Heading2"/>
      </w:pPr>
      <w:bookmarkStart w:id="39" w:name="_Toc187999521"/>
      <w:bookmarkStart w:id="40" w:name="_Toc215236522"/>
      <w:bookmarkStart w:id="41" w:name="_Toc216376552"/>
      <w:r w:rsidRPr="00EE289B">
        <w:t>Data sources</w:t>
      </w:r>
      <w:bookmarkEnd w:id="39"/>
      <w:bookmarkEnd w:id="40"/>
      <w:bookmarkEnd w:id="41"/>
    </w:p>
    <w:p w14:paraId="54141860" w14:textId="77777777" w:rsidR="00EA3C47" w:rsidRDefault="00EA3C47" w:rsidP="00AE4FDA">
      <w:pPr>
        <w:pStyle w:val="Heading3"/>
        <w:rPr>
          <w:rStyle w:val="IntenseEmphasis"/>
          <w:b w:val="0"/>
          <w:i w:val="0"/>
          <w:iCs w:val="0"/>
          <w:color w:val="0A6AB4"/>
        </w:rPr>
      </w:pPr>
      <w:r w:rsidRPr="00AE4FDA">
        <w:rPr>
          <w:rStyle w:val="IntenseEmphasis"/>
          <w:b w:val="0"/>
          <w:i w:val="0"/>
          <w:iCs w:val="0"/>
          <w:color w:val="0A6AB4"/>
        </w:rPr>
        <w:t>Mortality data sources</w:t>
      </w:r>
    </w:p>
    <w:p w14:paraId="44AF8928" w14:textId="0F928160" w:rsidR="00AE4FDA" w:rsidRDefault="00AE4FDA" w:rsidP="00AE4FDA">
      <w:r w:rsidRPr="00AE4FDA">
        <w:t>We sourced mortality data from the Mortality Collection managed by Health New Zealand and combined with the registry of deaths held by the Department of Internal Affairs. Ethnicity information is sourced from the ‘Notification of Death for Registration’ form, which is filled out by a person’s next of kin and is the official source of information for the registry of deaths. Stats NZ investigated the accuracy of ethnic information from this source and compared it to ethnic information from the 2018 Census, they found that the deaths registry had the highest level of agreement out of all data sources assessed at 94.5% for level 1 ethnicity (Dixon et al 2024).</w:t>
      </w:r>
    </w:p>
    <w:p w14:paraId="55C1A073" w14:textId="77777777" w:rsidR="00AE4FDA" w:rsidRDefault="00AE4FDA" w:rsidP="00AE4FDA"/>
    <w:p w14:paraId="6BD16D9D" w14:textId="77777777" w:rsidR="00AE4FDA" w:rsidRDefault="00AE4FDA" w:rsidP="00AE4FDA"/>
    <w:p w14:paraId="5C671419" w14:textId="77777777" w:rsidR="00AE4FDA" w:rsidRDefault="00AE4FDA" w:rsidP="00AE4FDA">
      <w:pPr>
        <w:pStyle w:val="Heading3"/>
      </w:pPr>
      <w:r>
        <w:lastRenderedPageBreak/>
        <w:t>Population data sources</w:t>
      </w:r>
    </w:p>
    <w:p w14:paraId="797AEADB" w14:textId="77777777" w:rsidR="00AE4FDA" w:rsidRDefault="00AE4FDA" w:rsidP="00AE4FDA">
      <w:r>
        <w:t xml:space="preserve">The IHME applies a population modelling approach to produce globally consistent population estimates. This approach is based on the cohort-component projection method, outlined by Wheldon et al (2013). </w:t>
      </w:r>
    </w:p>
    <w:p w14:paraId="1BA0D919" w14:textId="77777777" w:rsidR="00AE4FDA" w:rsidRDefault="00AE4FDA" w:rsidP="00AE4FDA"/>
    <w:p w14:paraId="18675142" w14:textId="7B90C359" w:rsidR="00AE4FDA" w:rsidRDefault="00AE4FDA" w:rsidP="00AE4FDA">
      <w:r>
        <w:t>To estimate Māori and non-Māori populations, IHME relied on the estimated resident population data produced by Stats NZ following each census. They used Population and Housing Census data for census years from 1951 to 2018, along with population estimates for 2013. Additional modelling was undertaken to ensure consistency in definitions and to adjust for undercounts of Māori as well as for non-census years.</w:t>
      </w:r>
    </w:p>
    <w:p w14:paraId="17A0AB5D" w14:textId="77777777" w:rsidR="00EA3C47" w:rsidRPr="00EE289B" w:rsidRDefault="00EA3C47" w:rsidP="00EA3C47">
      <w:pPr>
        <w:pStyle w:val="Heading2"/>
      </w:pPr>
      <w:bookmarkStart w:id="42" w:name="_Toc187999522"/>
      <w:bookmarkStart w:id="43" w:name="_Toc215236523"/>
      <w:bookmarkStart w:id="44" w:name="_Toc216376553"/>
      <w:r w:rsidRPr="00EE289B">
        <w:t>Data classifications</w:t>
      </w:r>
      <w:bookmarkEnd w:id="42"/>
      <w:bookmarkEnd w:id="43"/>
      <w:bookmarkEnd w:id="44"/>
    </w:p>
    <w:p w14:paraId="09DAD166" w14:textId="77777777" w:rsidR="00EA3C47" w:rsidRPr="00AE4FDA" w:rsidRDefault="00EA3C47" w:rsidP="00AE4FDA">
      <w:pPr>
        <w:pStyle w:val="Heading3"/>
        <w:rPr>
          <w:rStyle w:val="IntenseEmphasis"/>
          <w:b w:val="0"/>
          <w:i w:val="0"/>
          <w:iCs w:val="0"/>
          <w:color w:val="0A6AB4"/>
        </w:rPr>
      </w:pPr>
      <w:r w:rsidRPr="00AE4FDA">
        <w:rPr>
          <w:rStyle w:val="IntenseEmphasis"/>
          <w:b w:val="0"/>
          <w:i w:val="0"/>
          <w:iCs w:val="0"/>
          <w:color w:val="0A6AB4"/>
        </w:rPr>
        <w:t>Classification of causes of death</w:t>
      </w:r>
    </w:p>
    <w:p w14:paraId="2A9FFBE4" w14:textId="04F629C4" w:rsidR="00EA3C47" w:rsidRDefault="00EA3C47" w:rsidP="00EA3C47">
      <w:pPr>
        <w:rPr>
          <w:rFonts w:cs="Segoe UI"/>
        </w:rPr>
      </w:pPr>
      <w:r w:rsidRPr="00EA17ED">
        <w:rPr>
          <w:rFonts w:cs="Segoe UI"/>
        </w:rPr>
        <w:t xml:space="preserve">The IHME covers </w:t>
      </w:r>
      <w:r>
        <w:rPr>
          <w:rFonts w:cs="Segoe UI"/>
        </w:rPr>
        <w:t>294</w:t>
      </w:r>
      <w:r w:rsidRPr="00EA17ED">
        <w:rPr>
          <w:rFonts w:cs="Segoe UI"/>
        </w:rPr>
        <w:t xml:space="preserve"> causes of death</w:t>
      </w:r>
      <w:r>
        <w:rPr>
          <w:rFonts w:cs="Segoe UI"/>
        </w:rPr>
        <w:t xml:space="preserve">, </w:t>
      </w:r>
      <w:r w:rsidRPr="00EA17ED">
        <w:rPr>
          <w:rFonts w:cs="Segoe UI"/>
        </w:rPr>
        <w:t xml:space="preserve">organised into </w:t>
      </w:r>
      <w:r>
        <w:rPr>
          <w:rFonts w:cs="Segoe UI"/>
        </w:rPr>
        <w:t xml:space="preserve">four </w:t>
      </w:r>
      <w:r w:rsidRPr="00EA17ED">
        <w:rPr>
          <w:rFonts w:cs="Segoe UI"/>
        </w:rPr>
        <w:t xml:space="preserve">levels. Level 1 is the broadest category, </w:t>
      </w:r>
      <w:r>
        <w:rPr>
          <w:rFonts w:cs="Segoe UI"/>
        </w:rPr>
        <w:t xml:space="preserve">and </w:t>
      </w:r>
      <w:r w:rsidRPr="00EA17ED">
        <w:rPr>
          <w:rFonts w:cs="Segoe UI"/>
        </w:rPr>
        <w:t xml:space="preserve">an increasing amount of detail </w:t>
      </w:r>
      <w:r>
        <w:rPr>
          <w:rFonts w:cs="Segoe UI"/>
        </w:rPr>
        <w:t xml:space="preserve">is </w:t>
      </w:r>
      <w:r w:rsidRPr="00EA17ED">
        <w:rPr>
          <w:rFonts w:cs="Segoe UI"/>
        </w:rPr>
        <w:t>provided at each level</w:t>
      </w:r>
      <w:r>
        <w:rPr>
          <w:rFonts w:cs="Segoe UI"/>
        </w:rPr>
        <w:t>.</w:t>
      </w:r>
      <w:r w:rsidRPr="00EA17ED">
        <w:rPr>
          <w:rStyle w:val="FootnoteReference"/>
          <w:rFonts w:cs="Segoe UI"/>
        </w:rPr>
        <w:footnoteReference w:id="2"/>
      </w:r>
      <w:r w:rsidRPr="00EA17ED">
        <w:rPr>
          <w:rFonts w:cs="Segoe UI"/>
        </w:rPr>
        <w:t xml:space="preserve"> This report discusses results at levels 1</w:t>
      </w:r>
      <w:r>
        <w:rPr>
          <w:rFonts w:cs="Segoe UI"/>
        </w:rPr>
        <w:t>–</w:t>
      </w:r>
      <w:r w:rsidRPr="00EA17ED">
        <w:rPr>
          <w:rFonts w:cs="Segoe UI"/>
        </w:rPr>
        <w:t xml:space="preserve">3. </w:t>
      </w:r>
      <w:r>
        <w:rPr>
          <w:rFonts w:cs="Segoe UI"/>
        </w:rPr>
        <w:fldChar w:fldCharType="begin"/>
      </w:r>
      <w:r>
        <w:rPr>
          <w:rFonts w:cs="Segoe UI"/>
        </w:rPr>
        <w:instrText xml:space="preserve"> REF _Ref198648341 \h </w:instrText>
      </w:r>
      <w:r>
        <w:rPr>
          <w:rFonts w:cs="Segoe UI"/>
        </w:rPr>
      </w:r>
      <w:r>
        <w:rPr>
          <w:rFonts w:cs="Segoe UI"/>
        </w:rPr>
        <w:fldChar w:fldCharType="separate"/>
      </w:r>
      <w:r w:rsidR="000E725A">
        <w:t xml:space="preserve">Figure </w:t>
      </w:r>
      <w:r w:rsidR="000E725A">
        <w:rPr>
          <w:noProof/>
        </w:rPr>
        <w:t>1</w:t>
      </w:r>
      <w:r>
        <w:rPr>
          <w:rFonts w:cs="Segoe UI"/>
        </w:rPr>
        <w:fldChar w:fldCharType="end"/>
      </w:r>
      <w:r>
        <w:rPr>
          <w:rFonts w:cs="Segoe UI"/>
        </w:rPr>
        <w:t xml:space="preserve"> </w:t>
      </w:r>
      <w:r w:rsidRPr="00EA17ED">
        <w:rPr>
          <w:rFonts w:cs="Segoe UI"/>
        </w:rPr>
        <w:t xml:space="preserve">shows a diagrammatic representation of the causes of health loss hierarchies, with examples. For a more complete list of causes </w:t>
      </w:r>
      <w:r>
        <w:rPr>
          <w:rFonts w:cs="Segoe UI"/>
        </w:rPr>
        <w:t xml:space="preserve">within </w:t>
      </w:r>
      <w:r w:rsidRPr="00EA17ED">
        <w:rPr>
          <w:rFonts w:cs="Segoe UI"/>
        </w:rPr>
        <w:t xml:space="preserve">the GBD, </w:t>
      </w:r>
      <w:r>
        <w:rPr>
          <w:rFonts w:cs="Segoe UI"/>
        </w:rPr>
        <w:t xml:space="preserve">see </w:t>
      </w:r>
      <w:r w:rsidRPr="00EA17ED">
        <w:rPr>
          <w:rFonts w:cs="Segoe UI"/>
        </w:rPr>
        <w:t xml:space="preserve">supplementary table S2 in </w:t>
      </w:r>
      <w:r>
        <w:rPr>
          <w:rFonts w:cs="Segoe UI"/>
          <w:noProof/>
        </w:rPr>
        <w:t>Naghavi et al (2024)</w:t>
      </w:r>
      <w:r w:rsidRPr="00EA17ED">
        <w:rPr>
          <w:rFonts w:cs="Segoe UI"/>
        </w:rPr>
        <w:t>.</w:t>
      </w:r>
    </w:p>
    <w:p w14:paraId="68A1D789" w14:textId="77777777" w:rsidR="00AE4FDA" w:rsidRDefault="00AE4FDA" w:rsidP="00EA3C47">
      <w:pPr>
        <w:rPr>
          <w:rFonts w:cs="Segoe UI"/>
        </w:rPr>
      </w:pPr>
    </w:p>
    <w:p w14:paraId="7BB2C213" w14:textId="20358937" w:rsidR="00AE4FDA" w:rsidRDefault="00AE4FDA" w:rsidP="00EA3C47">
      <w:pPr>
        <w:rPr>
          <w:rFonts w:cs="Segoe UI"/>
        </w:rPr>
      </w:pPr>
      <w:r>
        <w:rPr>
          <w:rFonts w:cs="Segoe UI"/>
        </w:rPr>
        <w:br w:type="page"/>
      </w:r>
    </w:p>
    <w:p w14:paraId="1849019E" w14:textId="768119EB" w:rsidR="00AE4FDA" w:rsidRDefault="00AE4FDA" w:rsidP="00AE4FDA">
      <w:pPr>
        <w:pStyle w:val="Figure"/>
      </w:pPr>
      <w:bookmarkStart w:id="45" w:name="_Ref198648341"/>
      <w:bookmarkStart w:id="46" w:name="_Toc215236551"/>
      <w:bookmarkStart w:id="47" w:name="_Toc216377186"/>
      <w:r>
        <w:lastRenderedPageBreak/>
        <w:t xml:space="preserve">Figure </w:t>
      </w:r>
      <w:r>
        <w:fldChar w:fldCharType="begin"/>
      </w:r>
      <w:r>
        <w:instrText xml:space="preserve"> SEQ Figure \* ARABIC </w:instrText>
      </w:r>
      <w:r>
        <w:fldChar w:fldCharType="separate"/>
      </w:r>
      <w:r w:rsidR="000E725A">
        <w:rPr>
          <w:noProof/>
        </w:rPr>
        <w:t>1</w:t>
      </w:r>
      <w:r>
        <w:fldChar w:fldCharType="end"/>
      </w:r>
      <w:bookmarkEnd w:id="45"/>
      <w:r>
        <w:t xml:space="preserve">: </w:t>
      </w:r>
      <w:r w:rsidRPr="008F6CE6">
        <w:t>Examples of GBD cause levels 1</w:t>
      </w:r>
      <w:r>
        <w:t>–</w:t>
      </w:r>
      <w:r w:rsidRPr="008F6CE6">
        <w:t>4</w:t>
      </w:r>
      <w:bookmarkEnd w:id="46"/>
      <w:bookmarkEnd w:id="47"/>
    </w:p>
    <w:p w14:paraId="43CFCC69" w14:textId="77777777" w:rsidR="00AE4FDA" w:rsidRPr="00FC053C" w:rsidRDefault="00AE4FDA" w:rsidP="00AE4FDA">
      <w:r>
        <w:rPr>
          <w:noProof/>
        </w:rPr>
        <w:drawing>
          <wp:inline distT="0" distB="0" distL="0" distR="0" wp14:anchorId="116C2894" wp14:editId="7D5D7454">
            <wp:extent cx="5238071" cy="5167223"/>
            <wp:effectExtent l="0" t="0" r="1270" b="0"/>
            <wp:docPr id="390516343" name="Picture 3" descr="A hierarchical diagram showing examples the first 4 levels of GBD causes, with level 1 causes being: Communicable, maternal, neonatal and nutritional disorder; non-communicable diseases;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16343" name="Picture 3" descr="A hierarchical diagram showing examples the first 4 levels of GBD causes, with level 1 causes being: Communicable, maternal, neonatal and nutritional disorder; non-communicable diseases; injur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3851" cy="5182789"/>
                    </a:xfrm>
                    <a:prstGeom prst="rect">
                      <a:avLst/>
                    </a:prstGeom>
                    <a:noFill/>
                    <a:ln>
                      <a:noFill/>
                    </a:ln>
                  </pic:spPr>
                </pic:pic>
              </a:graphicData>
            </a:graphic>
          </wp:inline>
        </w:drawing>
      </w:r>
    </w:p>
    <w:p w14:paraId="15E1B2F6" w14:textId="77777777" w:rsidR="00AE4FDA" w:rsidRPr="00AE4FDA" w:rsidRDefault="00AE4FDA" w:rsidP="00AE4FDA">
      <w:pPr>
        <w:pStyle w:val="Heading3"/>
        <w:rPr>
          <w:rStyle w:val="IntenseEmphasis"/>
          <w:b w:val="0"/>
          <w:i w:val="0"/>
          <w:iCs w:val="0"/>
          <w:color w:val="0A6AB4"/>
        </w:rPr>
      </w:pPr>
      <w:r w:rsidRPr="00AE4FDA">
        <w:rPr>
          <w:rStyle w:val="IntenseEmphasis"/>
          <w:b w:val="0"/>
          <w:i w:val="0"/>
          <w:iCs w:val="0"/>
          <w:color w:val="0A6AB4"/>
        </w:rPr>
        <w:t>Redistribution of codes</w:t>
      </w:r>
    </w:p>
    <w:p w14:paraId="0E9B408A" w14:textId="77777777" w:rsidR="00AE4FDA" w:rsidRPr="00EA17ED" w:rsidRDefault="00AE4FDA" w:rsidP="00AE4FDA">
      <w:pPr>
        <w:rPr>
          <w:rFonts w:cs="Segoe UI"/>
        </w:rPr>
      </w:pPr>
      <w:r w:rsidRPr="00EA17ED">
        <w:rPr>
          <w:rFonts w:cs="Segoe UI"/>
        </w:rPr>
        <w:t>The IHME redistribute</w:t>
      </w:r>
      <w:r>
        <w:rPr>
          <w:rFonts w:cs="Segoe UI"/>
        </w:rPr>
        <w:t>s</w:t>
      </w:r>
      <w:r w:rsidRPr="00EA17ED">
        <w:rPr>
          <w:rFonts w:cs="Segoe UI"/>
        </w:rPr>
        <w:t xml:space="preserve"> some of the causes of death recorded in the Mortality Collection</w:t>
      </w:r>
      <w:r>
        <w:rPr>
          <w:rFonts w:cs="Segoe UI"/>
        </w:rPr>
        <w:t xml:space="preserve">, </w:t>
      </w:r>
      <w:r w:rsidRPr="00EA17ED">
        <w:rPr>
          <w:rFonts w:cs="Segoe UI"/>
        </w:rPr>
        <w:t xml:space="preserve">because </w:t>
      </w:r>
      <w:r>
        <w:rPr>
          <w:rFonts w:cs="Segoe UI"/>
        </w:rPr>
        <w:t xml:space="preserve">several of </w:t>
      </w:r>
      <w:r w:rsidRPr="00EA17ED">
        <w:rPr>
          <w:rFonts w:cs="Segoe UI"/>
        </w:rPr>
        <w:t>the cause</w:t>
      </w:r>
      <w:r>
        <w:rPr>
          <w:rFonts w:cs="Segoe UI"/>
        </w:rPr>
        <w:t>s</w:t>
      </w:r>
      <w:r w:rsidRPr="00EA17ED">
        <w:rPr>
          <w:rFonts w:cs="Segoe UI"/>
        </w:rPr>
        <w:t xml:space="preserve"> recorded in </w:t>
      </w:r>
      <w:r>
        <w:rPr>
          <w:rFonts w:cs="Segoe UI"/>
        </w:rPr>
        <w:t xml:space="preserve">that </w:t>
      </w:r>
      <w:r w:rsidRPr="00EA17ED">
        <w:rPr>
          <w:rFonts w:cs="Segoe UI"/>
        </w:rPr>
        <w:t>collection cannot be an underlying cause of death</w:t>
      </w:r>
      <w:r>
        <w:rPr>
          <w:rFonts w:cs="Segoe UI"/>
        </w:rPr>
        <w:t>, due to their lack of specificity</w:t>
      </w:r>
      <w:r w:rsidRPr="00EA17ED">
        <w:rPr>
          <w:rFonts w:cs="Segoe UI"/>
        </w:rPr>
        <w:t xml:space="preserve">. An example is hypertension, which is redistributed to </w:t>
      </w:r>
      <w:r>
        <w:rPr>
          <w:rFonts w:cs="Segoe UI"/>
        </w:rPr>
        <w:t>more specific</w:t>
      </w:r>
      <w:r w:rsidRPr="00EA17ED">
        <w:rPr>
          <w:rFonts w:cs="Segoe UI"/>
        </w:rPr>
        <w:t xml:space="preserve"> causes such as chronic ischaemic heart diseases </w:t>
      </w:r>
      <w:r>
        <w:rPr>
          <w:rFonts w:cs="Segoe UI"/>
        </w:rPr>
        <w:t>(IHD) or</w:t>
      </w:r>
      <w:r w:rsidRPr="00EA17ED">
        <w:rPr>
          <w:rFonts w:cs="Segoe UI"/>
        </w:rPr>
        <w:t xml:space="preserve"> stroke. This result</w:t>
      </w:r>
      <w:r>
        <w:rPr>
          <w:rFonts w:cs="Segoe UI"/>
        </w:rPr>
        <w:t>s</w:t>
      </w:r>
      <w:r w:rsidRPr="00EA17ED">
        <w:rPr>
          <w:rFonts w:cs="Segoe UI"/>
        </w:rPr>
        <w:t xml:space="preserve"> in differences between IHME estimates and the Mortality Collection data from New Zealand. </w:t>
      </w:r>
    </w:p>
    <w:p w14:paraId="7507B84F" w14:textId="77777777" w:rsidR="00AE4FDA" w:rsidRPr="00AE4FDA" w:rsidRDefault="00AE4FDA" w:rsidP="00AE4FDA">
      <w:pPr>
        <w:pStyle w:val="Heading3"/>
        <w:rPr>
          <w:rStyle w:val="IntenseEmphasis"/>
          <w:b w:val="0"/>
          <w:i w:val="0"/>
          <w:iCs w:val="0"/>
          <w:color w:val="0A6AB4"/>
        </w:rPr>
      </w:pPr>
      <w:r w:rsidRPr="00AE4FDA">
        <w:rPr>
          <w:rStyle w:val="IntenseEmphasis"/>
          <w:b w:val="0"/>
          <w:i w:val="0"/>
          <w:iCs w:val="0"/>
          <w:color w:val="0A6AB4"/>
        </w:rPr>
        <w:t>Ethnicity classification</w:t>
      </w:r>
    </w:p>
    <w:p w14:paraId="4436A828" w14:textId="77777777" w:rsidR="00AE4FDA" w:rsidRPr="000170E7" w:rsidRDefault="00AE4FDA" w:rsidP="00AE4FDA">
      <w:pPr>
        <w:rPr>
          <w:rFonts w:cs="Segoe UI"/>
        </w:rPr>
      </w:pPr>
      <w:r>
        <w:rPr>
          <w:rFonts w:cs="Segoe UI"/>
        </w:rPr>
        <w:t>The Ministry of Health considers e</w:t>
      </w:r>
      <w:r w:rsidRPr="4B552A7C">
        <w:rPr>
          <w:rFonts w:cs="Segoe UI"/>
        </w:rPr>
        <w:t xml:space="preserve">thnicity to </w:t>
      </w:r>
      <w:r>
        <w:rPr>
          <w:rFonts w:cs="Segoe UI"/>
        </w:rPr>
        <w:t xml:space="preserve">be </w:t>
      </w:r>
      <w:r w:rsidRPr="4B552A7C">
        <w:rPr>
          <w:rFonts w:cs="Segoe UI"/>
        </w:rPr>
        <w:t xml:space="preserve">the group or groups that people identify with or feel they belong to. Ethnicity is a measure of cultural affiliation, as opposed to race, ancestry, nationality or citizenship. Ethnicity is self-perceived, and people can belong to more than one ethnic group </w:t>
      </w:r>
      <w:r>
        <w:rPr>
          <w:rFonts w:cs="Segoe UI"/>
          <w:noProof/>
        </w:rPr>
        <w:t>(Health New Zealand 2017)</w:t>
      </w:r>
      <w:r w:rsidRPr="4B552A7C">
        <w:rPr>
          <w:rFonts w:cs="Segoe UI"/>
        </w:rPr>
        <w:t xml:space="preserve">. </w:t>
      </w:r>
    </w:p>
    <w:p w14:paraId="7FDDF14D" w14:textId="77777777" w:rsidR="00AE4FDA" w:rsidRPr="00AE4FDA" w:rsidRDefault="00AE4FDA" w:rsidP="00AE4FDA">
      <w:pPr>
        <w:pStyle w:val="Heading2"/>
      </w:pPr>
      <w:bookmarkStart w:id="48" w:name="_Toc187999523"/>
      <w:bookmarkStart w:id="49" w:name="_Toc215236524"/>
      <w:bookmarkStart w:id="50" w:name="_Toc216376554"/>
      <w:r w:rsidRPr="00AE4FDA">
        <w:lastRenderedPageBreak/>
        <w:t>Age standardisation</w:t>
      </w:r>
      <w:bookmarkEnd w:id="48"/>
      <w:bookmarkEnd w:id="49"/>
      <w:bookmarkEnd w:id="50"/>
    </w:p>
    <w:p w14:paraId="007F10F6" w14:textId="77777777" w:rsidR="00AE4FDA" w:rsidRDefault="00AE4FDA" w:rsidP="00AE4FDA">
      <w:pPr>
        <w:rPr>
          <w:rFonts w:cs="Segoe UI"/>
        </w:rPr>
      </w:pPr>
      <w:bookmarkStart w:id="51" w:name="_Hlk214285022"/>
      <w:r>
        <w:rPr>
          <w:rFonts w:cs="Segoe UI"/>
        </w:rPr>
        <w:t>The risk of developing chronic diseases</w:t>
      </w:r>
      <w:r w:rsidRPr="00EA17ED">
        <w:rPr>
          <w:rFonts w:cs="Segoe UI"/>
        </w:rPr>
        <w:t xml:space="preserve"> such as heart disease</w:t>
      </w:r>
      <w:r>
        <w:rPr>
          <w:rFonts w:cs="Segoe UI"/>
        </w:rPr>
        <w:t xml:space="preserve"> or</w:t>
      </w:r>
      <w:r w:rsidRPr="00EA17ED">
        <w:rPr>
          <w:rFonts w:cs="Segoe UI"/>
        </w:rPr>
        <w:t xml:space="preserve"> cancer</w:t>
      </w:r>
      <w:r>
        <w:rPr>
          <w:rFonts w:cs="Segoe UI"/>
        </w:rPr>
        <w:t xml:space="preserve"> increases with age.</w:t>
      </w:r>
      <w:r w:rsidRPr="00EA17ED">
        <w:rPr>
          <w:rFonts w:cs="Segoe UI"/>
        </w:rPr>
        <w:t xml:space="preserve"> </w:t>
      </w:r>
      <w:r>
        <w:rPr>
          <w:rFonts w:cs="Segoe UI"/>
        </w:rPr>
        <w:t xml:space="preserve">This is important to consider when comparing </w:t>
      </w:r>
      <w:r w:rsidRPr="00EA17ED">
        <w:rPr>
          <w:rFonts w:cs="Segoe UI"/>
        </w:rPr>
        <w:t xml:space="preserve">disease rates </w:t>
      </w:r>
      <w:r>
        <w:rPr>
          <w:rFonts w:cs="Segoe UI"/>
        </w:rPr>
        <w:t>between</w:t>
      </w:r>
      <w:r w:rsidRPr="00EA17ED">
        <w:rPr>
          <w:rFonts w:cs="Segoe UI"/>
        </w:rPr>
        <w:t xml:space="preserve"> population groups with different age structures. The Māori population has a younger age structure than the non-Māori population, so comparing observed (or crude) disease rates </w:t>
      </w:r>
      <w:r>
        <w:rPr>
          <w:rFonts w:cs="Segoe UI"/>
        </w:rPr>
        <w:t xml:space="preserve">between those populations </w:t>
      </w:r>
      <w:r w:rsidRPr="00EA17ED">
        <w:rPr>
          <w:rFonts w:cs="Segoe UI"/>
        </w:rPr>
        <w:t xml:space="preserve">can mask differences between </w:t>
      </w:r>
      <w:r>
        <w:rPr>
          <w:rFonts w:cs="Segoe UI"/>
        </w:rPr>
        <w:t>them</w:t>
      </w:r>
      <w:r w:rsidRPr="00EA17ED">
        <w:rPr>
          <w:rFonts w:cs="Segoe UI"/>
        </w:rPr>
        <w:t xml:space="preserve">. </w:t>
      </w:r>
    </w:p>
    <w:p w14:paraId="0A813830" w14:textId="77777777" w:rsidR="00AE4FDA" w:rsidRPr="00EA17ED" w:rsidRDefault="00AE4FDA" w:rsidP="00AE4FDA">
      <w:pPr>
        <w:rPr>
          <w:rFonts w:cs="Segoe UI"/>
        </w:rPr>
      </w:pPr>
    </w:p>
    <w:p w14:paraId="25BA55C1" w14:textId="77777777" w:rsidR="00AE4FDA" w:rsidRDefault="00AE4FDA" w:rsidP="00AE4FDA">
      <w:pPr>
        <w:rPr>
          <w:rFonts w:cs="Segoe UI"/>
        </w:rPr>
      </w:pPr>
      <w:r w:rsidRPr="00EA17ED">
        <w:rPr>
          <w:rFonts w:cs="Segoe UI"/>
        </w:rPr>
        <w:t>Age</w:t>
      </w:r>
      <w:r>
        <w:rPr>
          <w:rFonts w:cs="Segoe UI"/>
        </w:rPr>
        <w:t xml:space="preserve"> </w:t>
      </w:r>
      <w:r w:rsidRPr="00EA17ED">
        <w:rPr>
          <w:rFonts w:cs="Segoe UI"/>
        </w:rPr>
        <w:t xml:space="preserve">standardisation is </w:t>
      </w:r>
      <w:r>
        <w:rPr>
          <w:rFonts w:cs="Segoe UI"/>
        </w:rPr>
        <w:t>a method used to account for the differences in age-structure between populations. It</w:t>
      </w:r>
      <w:r w:rsidRPr="00EA17ED">
        <w:rPr>
          <w:rFonts w:cs="Segoe UI"/>
        </w:rPr>
        <w:t xml:space="preserve"> adjust</w:t>
      </w:r>
      <w:r>
        <w:rPr>
          <w:rFonts w:cs="Segoe UI"/>
        </w:rPr>
        <w:t>s</w:t>
      </w:r>
      <w:r w:rsidRPr="00EA17ED">
        <w:rPr>
          <w:rFonts w:cs="Segoe UI"/>
        </w:rPr>
        <w:t xml:space="preserve"> crude rates to a standard population with a specific age structure. </w:t>
      </w:r>
      <w:r>
        <w:rPr>
          <w:rStyle w:val="normaltextrun"/>
          <w:rFonts w:cs="Segoe UI"/>
          <w:color w:val="000000"/>
          <w:szCs w:val="22"/>
          <w:shd w:val="clear" w:color="auto" w:fill="FFFFFF"/>
        </w:rPr>
        <w:t xml:space="preserve">The standard population the IHME uses to age-standardise the estimates allows comparisons across all countries and jurisdictions that participate in the GBD study, the method for which Schumacher et al describe in </w:t>
      </w:r>
      <w:r w:rsidRPr="00EA17ED">
        <w:rPr>
          <w:rFonts w:cs="Segoe UI"/>
        </w:rPr>
        <w:t>the supplementary appendix to the</w:t>
      </w:r>
      <w:r>
        <w:rPr>
          <w:rFonts w:cs="Segoe UI"/>
        </w:rPr>
        <w:t>ir</w:t>
      </w:r>
      <w:r w:rsidRPr="00EA17ED">
        <w:rPr>
          <w:rFonts w:cs="Segoe UI"/>
        </w:rPr>
        <w:t xml:space="preserve"> </w:t>
      </w:r>
      <w:r>
        <w:rPr>
          <w:rFonts w:cs="Segoe UI"/>
        </w:rPr>
        <w:t xml:space="preserve">2024 </w:t>
      </w:r>
      <w:r w:rsidRPr="00EA17ED">
        <w:rPr>
          <w:rFonts w:cs="Segoe UI"/>
        </w:rPr>
        <w:t>paper</w:t>
      </w:r>
      <w:r>
        <w:rPr>
          <w:rFonts w:cs="Segoe UI"/>
        </w:rPr>
        <w:t xml:space="preserve"> (Schumacher et al 2024).</w:t>
      </w:r>
    </w:p>
    <w:p w14:paraId="009FD510" w14:textId="77777777" w:rsidR="00AE4FDA" w:rsidRPr="00EA17ED" w:rsidRDefault="00AE4FDA" w:rsidP="00AE4FDA">
      <w:pPr>
        <w:rPr>
          <w:rFonts w:cs="Segoe UI"/>
        </w:rPr>
      </w:pPr>
    </w:p>
    <w:p w14:paraId="7878A347" w14:textId="408505E8" w:rsidR="00AE4FDA" w:rsidRDefault="00AE4FDA" w:rsidP="00AE4FDA">
      <w:pPr>
        <w:rPr>
          <w:rFonts w:cs="Segoe UI"/>
        </w:rPr>
      </w:pPr>
      <w:r>
        <w:rPr>
          <w:rFonts w:cs="Segoe UI"/>
        </w:rPr>
        <w:t>We advise c</w:t>
      </w:r>
      <w:r w:rsidRPr="00EA17ED">
        <w:rPr>
          <w:rFonts w:cs="Segoe UI"/>
        </w:rPr>
        <w:t>aution when comparing age-standardised rates in this report with those in publications that use a different standard population</w:t>
      </w:r>
      <w:r>
        <w:rPr>
          <w:rFonts w:cs="Segoe UI"/>
        </w:rPr>
        <w:t>, since the underlying age structures will likely be different</w:t>
      </w:r>
      <w:r w:rsidRPr="00EA17ED">
        <w:rPr>
          <w:rFonts w:cs="Segoe UI"/>
        </w:rPr>
        <w:t>. This includes the Mortality data web tool</w:t>
      </w:r>
      <w:r>
        <w:rPr>
          <w:rFonts w:cs="Segoe UI"/>
        </w:rPr>
        <w:t xml:space="preserve"> (Health New Zealand </w:t>
      </w:r>
      <w:r w:rsidR="005A6874">
        <w:rPr>
          <w:rFonts w:cs="Segoe UI"/>
        </w:rPr>
        <w:t>2025a</w:t>
      </w:r>
      <w:r>
        <w:rPr>
          <w:rFonts w:cs="Segoe UI"/>
        </w:rPr>
        <w:t>)</w:t>
      </w:r>
      <w:r w:rsidRPr="00EA17ED">
        <w:rPr>
          <w:rFonts w:cs="Segoe UI"/>
        </w:rPr>
        <w:t>, which uses the WHO World Standard Population</w:t>
      </w:r>
      <w:r>
        <w:rPr>
          <w:rFonts w:cs="Segoe UI"/>
        </w:rPr>
        <w:t>,</w:t>
      </w:r>
      <w:r w:rsidRPr="00EA17ED">
        <w:rPr>
          <w:rFonts w:cs="Segoe UI"/>
        </w:rPr>
        <w:t xml:space="preserve"> and publications such as </w:t>
      </w:r>
      <w:r w:rsidRPr="000F1158">
        <w:rPr>
          <w:rFonts w:cs="Segoe UI"/>
          <w:i/>
          <w:iCs/>
        </w:rPr>
        <w:t>Tatau Kahukura: Māori Health Chart Book</w:t>
      </w:r>
      <w:r>
        <w:rPr>
          <w:rFonts w:cs="Segoe UI"/>
        </w:rPr>
        <w:t xml:space="preserve"> (Ministry of Health 2024a), which </w:t>
      </w:r>
      <w:r w:rsidRPr="00EA17ED">
        <w:rPr>
          <w:rFonts w:cs="Segoe UI"/>
        </w:rPr>
        <w:t xml:space="preserve">use the 2001 Māori census population, as recommended in the </w:t>
      </w:r>
      <w:r w:rsidRPr="000F1158">
        <w:rPr>
          <w:rFonts w:cs="Segoe UI"/>
          <w:i/>
          <w:iCs/>
        </w:rPr>
        <w:t>Position Paper on Māori Health Analytics – Age standardisation</w:t>
      </w:r>
      <w:r>
        <w:rPr>
          <w:rFonts w:cs="Segoe UI"/>
        </w:rPr>
        <w:t xml:space="preserve"> </w:t>
      </w:r>
      <w:r>
        <w:rPr>
          <w:rFonts w:cs="Segoe UI"/>
          <w:noProof/>
        </w:rPr>
        <w:t>(Ministry of Health 2018)</w:t>
      </w:r>
      <w:r w:rsidRPr="00EA17ED">
        <w:rPr>
          <w:rFonts w:cs="Segoe UI"/>
        </w:rPr>
        <w:t xml:space="preserve">. </w:t>
      </w:r>
      <w:r>
        <w:rPr>
          <w:rFonts w:cs="Segoe UI"/>
        </w:rPr>
        <w:t>For example, calculating mortality rates with the Māori population age structure will lead to low age-standardised mortality rates, whereas using a standard population with an older age structure will lead to high age-standardised mortality rates, due to the strong association between age and mortality.</w:t>
      </w:r>
    </w:p>
    <w:p w14:paraId="13B91533" w14:textId="77777777" w:rsidR="00AE4FDA" w:rsidRPr="00EA17ED" w:rsidRDefault="00AE4FDA" w:rsidP="00AE4FDA">
      <w:pPr>
        <w:rPr>
          <w:rFonts w:cs="Segoe UI"/>
        </w:rPr>
      </w:pPr>
    </w:p>
    <w:p w14:paraId="471CE227" w14:textId="77777777" w:rsidR="00AE4FDA" w:rsidRPr="00EA17ED" w:rsidRDefault="00AE4FDA" w:rsidP="00AE4FDA">
      <w:pPr>
        <w:rPr>
          <w:rFonts w:cs="Segoe UI"/>
        </w:rPr>
      </w:pPr>
      <w:r w:rsidRPr="00EA17ED">
        <w:rPr>
          <w:rFonts w:cs="Segoe UI"/>
        </w:rPr>
        <w:t xml:space="preserve">Most rates in this report from the GBD 2021 </w:t>
      </w:r>
      <w:r>
        <w:rPr>
          <w:rFonts w:cs="Segoe UI"/>
        </w:rPr>
        <w:t xml:space="preserve">study </w:t>
      </w:r>
      <w:r w:rsidRPr="00EA17ED">
        <w:rPr>
          <w:rFonts w:cs="Segoe UI"/>
        </w:rPr>
        <w:t>are expressed as an age-standardised rate per 100,000 people</w:t>
      </w:r>
      <w:r>
        <w:rPr>
          <w:rFonts w:cs="Segoe UI"/>
        </w:rPr>
        <w:t>, standardised to the age structure of the IHME global population</w:t>
      </w:r>
      <w:r w:rsidRPr="00EA17ED">
        <w:rPr>
          <w:rFonts w:cs="Segoe UI"/>
        </w:rPr>
        <w:t xml:space="preserve">. </w:t>
      </w:r>
      <w:r>
        <w:rPr>
          <w:rFonts w:cs="Segoe UI"/>
        </w:rPr>
        <w:t>This report presents a</w:t>
      </w:r>
      <w:r w:rsidRPr="00EA17ED">
        <w:rPr>
          <w:rFonts w:cs="Segoe UI"/>
        </w:rPr>
        <w:t>ge-specific data as crude rates</w:t>
      </w:r>
      <w:r>
        <w:rPr>
          <w:rFonts w:cs="Segoe UI"/>
        </w:rPr>
        <w:t>, calculated using</w:t>
      </w:r>
      <w:r w:rsidRPr="00EA17ED">
        <w:rPr>
          <w:rFonts w:cs="Segoe UI"/>
        </w:rPr>
        <w:t xml:space="preserve"> the number of events divided by the population in </w:t>
      </w:r>
      <w:r>
        <w:rPr>
          <w:rFonts w:cs="Segoe UI"/>
        </w:rPr>
        <w:t xml:space="preserve">a particular </w:t>
      </w:r>
      <w:r w:rsidRPr="00EA17ED">
        <w:rPr>
          <w:rFonts w:cs="Segoe UI"/>
        </w:rPr>
        <w:t xml:space="preserve">age interval. In this case, </w:t>
      </w:r>
      <w:r>
        <w:rPr>
          <w:rFonts w:cs="Segoe UI"/>
        </w:rPr>
        <w:t xml:space="preserve">we advise </w:t>
      </w:r>
      <w:r w:rsidRPr="00EA17ED">
        <w:rPr>
          <w:rFonts w:cs="Segoe UI"/>
        </w:rPr>
        <w:t xml:space="preserve">caution when </w:t>
      </w:r>
      <w:bookmarkStart w:id="52" w:name="_Hlk214285073"/>
      <w:bookmarkEnd w:id="51"/>
      <w:r w:rsidRPr="00EA17ED">
        <w:rPr>
          <w:rFonts w:cs="Segoe UI"/>
        </w:rPr>
        <w:t>comparing Māori with non-Māori results. Crude rates accurately portray a situation in each population but make comparisons difficult because they do not consider the different age distributions in each of the populations.</w:t>
      </w:r>
      <w:bookmarkEnd w:id="52"/>
    </w:p>
    <w:p w14:paraId="3A1CBE12" w14:textId="77777777" w:rsidR="00AE4FDA" w:rsidRPr="00EA17ED" w:rsidRDefault="00AE4FDA" w:rsidP="00AE4FDA">
      <w:pPr>
        <w:pStyle w:val="Heading2"/>
        <w:rPr>
          <w:rFonts w:cs="Segoe UI"/>
        </w:rPr>
      </w:pPr>
      <w:bookmarkStart w:id="53" w:name="_Toc187999524"/>
      <w:bookmarkStart w:id="54" w:name="_Toc215236525"/>
      <w:bookmarkStart w:id="55" w:name="_Toc216376555"/>
      <w:r w:rsidRPr="00EA17ED">
        <w:rPr>
          <w:rFonts w:cs="Segoe UI"/>
        </w:rPr>
        <w:t>Numerator</w:t>
      </w:r>
      <w:r>
        <w:rPr>
          <w:rFonts w:cs="Segoe UI"/>
        </w:rPr>
        <w:t>s</w:t>
      </w:r>
      <w:r w:rsidRPr="00EA17ED">
        <w:rPr>
          <w:rFonts w:cs="Segoe UI"/>
        </w:rPr>
        <w:t xml:space="preserve"> and </w:t>
      </w:r>
      <w:r>
        <w:rPr>
          <w:rFonts w:cs="Segoe UI"/>
        </w:rPr>
        <w:t>d</w:t>
      </w:r>
      <w:r w:rsidRPr="00EA17ED">
        <w:rPr>
          <w:rFonts w:cs="Segoe UI"/>
        </w:rPr>
        <w:t>enominator</w:t>
      </w:r>
      <w:bookmarkEnd w:id="53"/>
      <w:r>
        <w:rPr>
          <w:rFonts w:cs="Segoe UI"/>
        </w:rPr>
        <w:t>s</w:t>
      </w:r>
      <w:bookmarkEnd w:id="54"/>
      <w:bookmarkEnd w:id="55"/>
    </w:p>
    <w:p w14:paraId="7BB49273" w14:textId="77777777" w:rsidR="00AE4FDA" w:rsidRDefault="00AE4FDA" w:rsidP="00AE4FDA">
      <w:pPr>
        <w:pStyle w:val="Heading3"/>
        <w:rPr>
          <w:rStyle w:val="IntenseEmphasis"/>
          <w:b w:val="0"/>
          <w:i w:val="0"/>
          <w:iCs w:val="0"/>
          <w:color w:val="0A6AB4"/>
        </w:rPr>
      </w:pPr>
      <w:bookmarkStart w:id="56" w:name="_Hlk214284863"/>
      <w:r w:rsidRPr="00AE4FDA">
        <w:rPr>
          <w:rStyle w:val="IntenseEmphasis"/>
          <w:b w:val="0"/>
          <w:i w:val="0"/>
          <w:iCs w:val="0"/>
          <w:color w:val="0A6AB4"/>
        </w:rPr>
        <w:t>Numerator-denominator bias</w:t>
      </w:r>
    </w:p>
    <w:p w14:paraId="28E39676" w14:textId="77777777" w:rsidR="00AE4FDA" w:rsidRDefault="00AE4FDA" w:rsidP="00AE4FDA">
      <w:r>
        <w:t>Accurate calculation of rates depends on numerators being drawn from the same population as denominators. The IHME sources the numerator data from the registry of deaths (Māori and non-Māori) and the denominator from the estimated resident population.</w:t>
      </w:r>
    </w:p>
    <w:p w14:paraId="07706E19" w14:textId="77777777" w:rsidR="00AE4FDA" w:rsidRDefault="00AE4FDA" w:rsidP="00AE4FDA"/>
    <w:p w14:paraId="3E0FE2F7" w14:textId="77777777" w:rsidR="00AE4FDA" w:rsidRDefault="00AE4FDA" w:rsidP="00AE4FDA">
      <w:r>
        <w:t xml:space="preserve">The New Zealand Census Mortality and CancerTrends Study has showed, by linking death registrations and census records, that there were substantial undercounts of Māori mortality in the 1980s and 1990s. In 1995, the death registration form was </w:t>
      </w:r>
      <w:r>
        <w:lastRenderedPageBreak/>
        <w:t xml:space="preserve">modified to link ethnicity as closely as possible to the census question. Research found that using the ‘total ethnicity’ definition has meant that there has been little or no numerator-denominator bias in the calculation of mortality rates (Ajwani et al 2003; Tan et al 2010). </w:t>
      </w:r>
    </w:p>
    <w:p w14:paraId="416D7E47" w14:textId="77777777" w:rsidR="00AE4FDA" w:rsidRDefault="00AE4FDA" w:rsidP="00AE4FDA"/>
    <w:p w14:paraId="0282FD1E" w14:textId="77777777" w:rsidR="00AE4FDA" w:rsidRDefault="00AE4FDA" w:rsidP="00AE4FDA">
      <w:r>
        <w:t>The mortality rates calculated by the IHME and reported here are based on IHME population estimates, which differ from Stats NZ’s estimates. The discrepancies between the two figures are small (~2–3%) for the most recent year of comparison but larger (~5–9%) for earlier years (see Appendix Table S2). These discrepancies were mainly concentrated in the very young and very old age groups. The IHME estimates of the Māori population are generally slightly larger than Stats NZ’s estimates. The IHME does not account for changes in the ethnic group a person identifies with; nor does it account for differing ethnic rates of migration.</w:t>
      </w:r>
    </w:p>
    <w:p w14:paraId="76352423" w14:textId="77777777" w:rsidR="00AE4FDA" w:rsidRDefault="00AE4FDA" w:rsidP="00AE4FDA">
      <w:pPr>
        <w:pStyle w:val="Heading3"/>
      </w:pPr>
      <w:r>
        <w:t>Rate difference and rate ratio</w:t>
      </w:r>
    </w:p>
    <w:p w14:paraId="6FB8546A" w14:textId="77777777" w:rsidR="00AE4FDA" w:rsidRDefault="00AE4FDA" w:rsidP="00AE4FDA">
      <w:r>
        <w:t>Rate difference is an absolute measure of inequity that shows the difference in health indicators between two population subgroups. It provides a picture of the absolute difference or size of the disparity (Schlotheuber and Hosseinpoor 2022).</w:t>
      </w:r>
    </w:p>
    <w:p w14:paraId="0B196D56" w14:textId="77777777" w:rsidR="00AE4FDA" w:rsidRDefault="00AE4FDA" w:rsidP="00AE4FDA"/>
    <w:p w14:paraId="0D8B6776" w14:textId="77777777" w:rsidR="00AE4FDA" w:rsidRDefault="00AE4FDA" w:rsidP="00AE4FDA">
      <w:r>
        <w:t xml:space="preserve">Rate ratio is a relative measure of inequity calculated by dividing the population rate of a health indicator for one population subgroup by the population rate in the comparator group (Schlotheuber and Hosseinpoor 2022). </w:t>
      </w:r>
    </w:p>
    <w:p w14:paraId="0D082FF6" w14:textId="77777777" w:rsidR="00AE4FDA" w:rsidRDefault="00AE4FDA" w:rsidP="00AE4FDA"/>
    <w:p w14:paraId="294694E2" w14:textId="380CE492" w:rsidR="00AE4FDA" w:rsidRPr="00AE4FDA" w:rsidRDefault="00AE4FDA" w:rsidP="00AE4FDA">
      <w:r>
        <w:t>Generally, higher rate differences and higher rate ratios show higher levels of inequity. However, lower values may still be problematic from an equity perspective where there are barriers in access to care and/or undercounting of a population group.</w:t>
      </w:r>
    </w:p>
    <w:p w14:paraId="4C475161" w14:textId="77777777" w:rsidR="00AE4FDA" w:rsidRPr="00EA17ED" w:rsidRDefault="00AE4FDA" w:rsidP="00AE4FDA">
      <w:pPr>
        <w:pStyle w:val="Heading2"/>
        <w:rPr>
          <w:rFonts w:cs="Segoe UI"/>
        </w:rPr>
      </w:pPr>
      <w:bookmarkStart w:id="57" w:name="_Toc187999525"/>
      <w:bookmarkStart w:id="58" w:name="_Toc215236526"/>
      <w:bookmarkStart w:id="59" w:name="_Toc216376556"/>
      <w:bookmarkEnd w:id="56"/>
      <w:r w:rsidRPr="00EA17ED">
        <w:rPr>
          <w:rFonts w:cs="Segoe UI"/>
        </w:rPr>
        <w:t>Uncertainty intervals</w:t>
      </w:r>
      <w:bookmarkEnd w:id="57"/>
      <w:bookmarkEnd w:id="58"/>
      <w:bookmarkEnd w:id="59"/>
    </w:p>
    <w:p w14:paraId="6709DF6F" w14:textId="77777777" w:rsidR="00AE4FDA" w:rsidRDefault="00AE4FDA" w:rsidP="00AE4FDA">
      <w:pPr>
        <w:rPr>
          <w:rFonts w:cs="Segoe UI"/>
        </w:rPr>
      </w:pPr>
      <w:r>
        <w:rPr>
          <w:rFonts w:cs="Segoe UI"/>
        </w:rPr>
        <w:t xml:space="preserve">The </w:t>
      </w:r>
      <w:r w:rsidRPr="00EA17ED">
        <w:rPr>
          <w:rFonts w:cs="Segoe UI"/>
        </w:rPr>
        <w:t xml:space="preserve">GBD data </w:t>
      </w:r>
      <w:r>
        <w:rPr>
          <w:rFonts w:cs="Segoe UI"/>
        </w:rPr>
        <w:t xml:space="preserve">comprises </w:t>
      </w:r>
      <w:r w:rsidRPr="00EA17ED">
        <w:rPr>
          <w:rFonts w:cs="Segoe UI"/>
        </w:rPr>
        <w:t>estimates and involve</w:t>
      </w:r>
      <w:r>
        <w:rPr>
          <w:rFonts w:cs="Segoe UI"/>
        </w:rPr>
        <w:t>s</w:t>
      </w:r>
      <w:r w:rsidRPr="00EA17ED">
        <w:rPr>
          <w:rFonts w:cs="Segoe UI"/>
        </w:rPr>
        <w:t xml:space="preserve"> some degree of modelling. Every GBD estimate </w:t>
      </w:r>
      <w:r>
        <w:rPr>
          <w:rFonts w:cs="Segoe UI"/>
        </w:rPr>
        <w:t xml:space="preserve">is associated with </w:t>
      </w:r>
      <w:r w:rsidRPr="00EA17ED">
        <w:rPr>
          <w:rFonts w:cs="Segoe UI"/>
        </w:rPr>
        <w:t xml:space="preserve">a </w:t>
      </w:r>
      <w:r>
        <w:rPr>
          <w:rFonts w:cs="Segoe UI"/>
        </w:rPr>
        <w:t xml:space="preserve">specific </w:t>
      </w:r>
      <w:r w:rsidRPr="00EA17ED">
        <w:rPr>
          <w:rFonts w:cs="Segoe UI"/>
        </w:rPr>
        <w:t xml:space="preserve">uncertainty interval to reflect the strength of the estimate. </w:t>
      </w:r>
      <w:r>
        <w:rPr>
          <w:rFonts w:cs="Segoe UI"/>
        </w:rPr>
        <w:t xml:space="preserve">This </w:t>
      </w:r>
      <w:r w:rsidRPr="00EA17ED">
        <w:rPr>
          <w:rFonts w:cs="Segoe UI"/>
        </w:rPr>
        <w:t>is the range of values that is likely to include the correct estimate</w:t>
      </w:r>
      <w:r>
        <w:rPr>
          <w:rFonts w:cs="Segoe UI"/>
        </w:rPr>
        <w:t xml:space="preserve">. </w:t>
      </w:r>
      <w:r w:rsidRPr="00EA17ED">
        <w:rPr>
          <w:rFonts w:cs="Segoe UI"/>
        </w:rPr>
        <w:t>A wider interval indicates less robust</w:t>
      </w:r>
      <w:r>
        <w:rPr>
          <w:rFonts w:cs="Segoe UI"/>
        </w:rPr>
        <w:t xml:space="preserve"> estimates;</w:t>
      </w:r>
      <w:r w:rsidRPr="00EA17ED">
        <w:rPr>
          <w:rFonts w:cs="Segoe UI"/>
        </w:rPr>
        <w:t xml:space="preserve"> Māori estimates </w:t>
      </w:r>
      <w:r>
        <w:rPr>
          <w:rFonts w:cs="Segoe UI"/>
        </w:rPr>
        <w:t xml:space="preserve">have wider intervals </w:t>
      </w:r>
      <w:r w:rsidRPr="00EA17ED">
        <w:rPr>
          <w:rFonts w:cs="Segoe UI"/>
        </w:rPr>
        <w:t>because the population size is smaller.</w:t>
      </w:r>
    </w:p>
    <w:p w14:paraId="00CDA66E" w14:textId="77777777" w:rsidR="00AE4FDA" w:rsidRPr="007956E8" w:rsidRDefault="00AE4FDA" w:rsidP="00AE4FDA">
      <w:pPr>
        <w:pStyle w:val="Heading2"/>
        <w:rPr>
          <w:rFonts w:cs="Segoe UI"/>
        </w:rPr>
      </w:pPr>
      <w:bookmarkStart w:id="60" w:name="_Toc215236527"/>
      <w:bookmarkStart w:id="61" w:name="_Toc216376557"/>
      <w:r>
        <w:rPr>
          <w:rFonts w:cs="Segoe UI"/>
        </w:rPr>
        <w:t>Data</w:t>
      </w:r>
      <w:r w:rsidRPr="007956E8">
        <w:rPr>
          <w:rFonts w:cs="Segoe UI"/>
        </w:rPr>
        <w:t xml:space="preserve"> updates and methodology changes</w:t>
      </w:r>
      <w:bookmarkEnd w:id="60"/>
      <w:bookmarkEnd w:id="61"/>
    </w:p>
    <w:p w14:paraId="6C767C29" w14:textId="77777777" w:rsidR="00AE4FDA" w:rsidRDefault="00AE4FDA" w:rsidP="00AE4FDA">
      <w:pPr>
        <w:rPr>
          <w:rFonts w:cs="Segoe UI"/>
        </w:rPr>
      </w:pPr>
      <w:r w:rsidRPr="005F21C6">
        <w:rPr>
          <w:rFonts w:cs="Segoe UI"/>
        </w:rPr>
        <w:t>The GBD study release</w:t>
      </w:r>
      <w:r>
        <w:rPr>
          <w:rFonts w:cs="Segoe UI"/>
        </w:rPr>
        <w:t>s</w:t>
      </w:r>
      <w:r w:rsidRPr="005F21C6">
        <w:rPr>
          <w:rFonts w:cs="Segoe UI"/>
        </w:rPr>
        <w:t xml:space="preserve"> new estimates </w:t>
      </w:r>
      <w:r>
        <w:rPr>
          <w:rFonts w:cs="Segoe UI"/>
        </w:rPr>
        <w:t>periodically</w:t>
      </w:r>
      <w:r w:rsidRPr="005F21C6">
        <w:rPr>
          <w:rFonts w:cs="Segoe UI"/>
        </w:rPr>
        <w:t xml:space="preserve"> with refined and improved methodology. With each release, the entire time series back to 1990 is re-estimated to ensure the estimates are up-to-date and comparable. Therefore, comparisons of GBD estimates must</w:t>
      </w:r>
      <w:r>
        <w:rPr>
          <w:rFonts w:cs="Segoe UI"/>
        </w:rPr>
        <w:t xml:space="preserve"> not be compared to previous releases.</w:t>
      </w:r>
    </w:p>
    <w:p w14:paraId="18862590" w14:textId="77777777" w:rsidR="00AE4FDA" w:rsidRPr="00EA17ED" w:rsidRDefault="00AE4FDA" w:rsidP="00AE4FDA">
      <w:pPr>
        <w:rPr>
          <w:rFonts w:cs="Segoe UI"/>
        </w:rPr>
      </w:pPr>
    </w:p>
    <w:p w14:paraId="6D5BBD48" w14:textId="77777777" w:rsidR="00AE4FDA" w:rsidRPr="00EA17ED" w:rsidRDefault="00AE4FDA" w:rsidP="00AE4FDA">
      <w:pPr>
        <w:spacing w:line="259" w:lineRule="auto"/>
        <w:rPr>
          <w:rFonts w:eastAsiaTheme="majorEastAsia" w:cs="Segoe UI"/>
          <w:color w:val="000000" w:themeColor="text1"/>
          <w:sz w:val="40"/>
          <w:szCs w:val="32"/>
        </w:rPr>
      </w:pPr>
      <w:r w:rsidRPr="00EA17ED">
        <w:rPr>
          <w:rFonts w:cs="Segoe UI"/>
        </w:rPr>
        <w:br w:type="page"/>
      </w:r>
    </w:p>
    <w:p w14:paraId="7379674B" w14:textId="77777777" w:rsidR="00AE4FDA" w:rsidRPr="00AE4FDA" w:rsidRDefault="00AE4FDA" w:rsidP="00AE4FDA">
      <w:pPr>
        <w:pStyle w:val="Heading1"/>
      </w:pPr>
      <w:bookmarkStart w:id="62" w:name="_Toc187999529"/>
      <w:bookmarkStart w:id="63" w:name="_Toc215236528"/>
      <w:bookmarkStart w:id="64" w:name="_Toc216376558"/>
      <w:r w:rsidRPr="00AE4FDA">
        <w:lastRenderedPageBreak/>
        <w:t>Premature death in New Zealand</w:t>
      </w:r>
      <w:bookmarkEnd w:id="62"/>
      <w:r w:rsidRPr="00AE4FDA">
        <w:t xml:space="preserve"> – Mate kokoti tau i Aotearoa</w:t>
      </w:r>
      <w:bookmarkEnd w:id="63"/>
      <w:bookmarkEnd w:id="64"/>
    </w:p>
    <w:p w14:paraId="137C9711" w14:textId="77777777" w:rsidR="00AE4FDA" w:rsidRDefault="00AE4FDA" w:rsidP="00AE4FDA">
      <w:pPr>
        <w:rPr>
          <w:rFonts w:cs="Segoe UI"/>
        </w:rPr>
      </w:pPr>
      <w:r w:rsidRPr="00EA17ED">
        <w:rPr>
          <w:rFonts w:cs="Segoe UI"/>
        </w:rPr>
        <w:t>This section highlights the burden of premature death experienced by Māori and the leading contributing causes at time of death.</w:t>
      </w:r>
      <w:r w:rsidRPr="00EA17ED" w:rsidDel="00145BF2">
        <w:rPr>
          <w:rFonts w:cs="Segoe UI"/>
        </w:rPr>
        <w:t xml:space="preserve"> </w:t>
      </w:r>
    </w:p>
    <w:p w14:paraId="048387AA" w14:textId="77777777" w:rsidR="00AE4FDA" w:rsidRPr="00EA17ED" w:rsidRDefault="00AE4FDA" w:rsidP="00AE4FDA">
      <w:pPr>
        <w:rPr>
          <w:rFonts w:cs="Segoe UI"/>
        </w:rPr>
      </w:pPr>
    </w:p>
    <w:p w14:paraId="2DBC3387" w14:textId="14F89C17" w:rsidR="00AE4FDA" w:rsidRDefault="00AE4FDA" w:rsidP="00AE4FDA">
      <w:pPr>
        <w:rPr>
          <w:rFonts w:cs="Segoe UI"/>
        </w:rPr>
      </w:pPr>
      <w:r w:rsidRPr="00EA17ED">
        <w:rPr>
          <w:rFonts w:cs="Segoe UI"/>
        </w:rPr>
        <w:t>Premature death</w:t>
      </w:r>
      <w:r>
        <w:rPr>
          <w:rFonts w:cs="Segoe UI"/>
        </w:rPr>
        <w:t>s</w:t>
      </w:r>
      <w:r w:rsidRPr="00EA17ED">
        <w:rPr>
          <w:rFonts w:cs="Segoe UI"/>
        </w:rPr>
        <w:t xml:space="preserve"> are deaths that happen before a certain age or deaths that occur before the average expected age of death for a </w:t>
      </w:r>
      <w:r>
        <w:rPr>
          <w:rFonts w:cs="Segoe UI"/>
        </w:rPr>
        <w:t xml:space="preserve">particular </w:t>
      </w:r>
      <w:r w:rsidRPr="00EA17ED">
        <w:rPr>
          <w:rFonts w:cs="Segoe UI"/>
        </w:rPr>
        <w:t>population. This report presents premature death measured by YLL</w:t>
      </w:r>
      <w:r>
        <w:rPr>
          <w:rFonts w:cs="Segoe UI"/>
        </w:rPr>
        <w:t xml:space="preserve"> </w:t>
      </w:r>
      <w:r w:rsidRPr="00EA17ED">
        <w:rPr>
          <w:rFonts w:cs="Segoe UI"/>
        </w:rPr>
        <w:t>(</w:t>
      </w:r>
      <w:r>
        <w:rPr>
          <w:rFonts w:cs="Segoe UI"/>
        </w:rPr>
        <w:t xml:space="preserve">for more information </w:t>
      </w:r>
      <w:r w:rsidRPr="00EA17ED">
        <w:rPr>
          <w:rFonts w:cs="Segoe UI"/>
        </w:rPr>
        <w:t xml:space="preserve">see </w:t>
      </w:r>
      <w:r>
        <w:rPr>
          <w:rFonts w:cs="Segoe UI"/>
        </w:rPr>
        <w:t>the</w:t>
      </w:r>
      <w:r w:rsidRPr="00EA17ED">
        <w:rPr>
          <w:rFonts w:cs="Segoe UI"/>
        </w:rPr>
        <w:t xml:space="preserve"> </w:t>
      </w:r>
      <w:bookmarkStart w:id="65" w:name="Methodology"/>
      <w:r w:rsidR="00061F98">
        <w:rPr>
          <w:rFonts w:cs="Segoe UI"/>
        </w:rPr>
        <w:fldChar w:fldCharType="begin"/>
      </w:r>
      <w:r w:rsidR="00061F98">
        <w:rPr>
          <w:rFonts w:cs="Segoe UI"/>
        </w:rPr>
        <w:instrText>HYPERLINK  \l "_Methodology_–_Tikanga"</w:instrText>
      </w:r>
      <w:r w:rsidR="00061F98">
        <w:rPr>
          <w:rFonts w:cs="Segoe UI"/>
        </w:rPr>
      </w:r>
      <w:r w:rsidR="00061F98">
        <w:rPr>
          <w:rFonts w:cs="Segoe UI"/>
        </w:rPr>
        <w:fldChar w:fldCharType="separate"/>
      </w:r>
      <w:r w:rsidR="00061F98" w:rsidRPr="00061F98">
        <w:rPr>
          <w:rStyle w:val="Hyperlink"/>
          <w:rFonts w:cs="Segoe UI"/>
        </w:rPr>
        <w:t>Methodology</w:t>
      </w:r>
      <w:bookmarkEnd w:id="65"/>
      <w:r w:rsidR="00061F98">
        <w:rPr>
          <w:rFonts w:cs="Segoe UI"/>
        </w:rPr>
        <w:fldChar w:fldCharType="end"/>
      </w:r>
      <w:r w:rsidR="00061F98">
        <w:rPr>
          <w:rFonts w:cs="Segoe UI"/>
        </w:rPr>
        <w:t xml:space="preserve"> </w:t>
      </w:r>
      <w:r w:rsidRPr="00EA17ED">
        <w:rPr>
          <w:rFonts w:cs="Segoe UI"/>
        </w:rPr>
        <w:t xml:space="preserve">section of this report). </w:t>
      </w:r>
    </w:p>
    <w:p w14:paraId="01A64691" w14:textId="77777777" w:rsidR="00AE4FDA" w:rsidRPr="00EA17ED" w:rsidRDefault="00AE4FDA" w:rsidP="00AE4FDA">
      <w:pPr>
        <w:rPr>
          <w:rFonts w:cs="Segoe UI"/>
        </w:rPr>
      </w:pPr>
    </w:p>
    <w:p w14:paraId="28119F68" w14:textId="77777777" w:rsidR="00AE4FDA" w:rsidRDefault="00AE4FDA" w:rsidP="00AE4FDA">
      <w:pPr>
        <w:rPr>
          <w:rFonts w:cs="Segoe UI"/>
        </w:rPr>
      </w:pPr>
      <w:r w:rsidRPr="00EA17ED">
        <w:rPr>
          <w:rFonts w:cs="Segoe UI"/>
        </w:rPr>
        <w:t xml:space="preserve">In 2021, </w:t>
      </w:r>
      <w:r>
        <w:rPr>
          <w:rFonts w:cs="Segoe UI"/>
        </w:rPr>
        <w:t xml:space="preserve">Māori lost </w:t>
      </w:r>
      <w:r w:rsidRPr="00EA17ED">
        <w:rPr>
          <w:rFonts w:cs="Segoe UI"/>
        </w:rPr>
        <w:t>a total of 123,68</w:t>
      </w:r>
      <w:r>
        <w:rPr>
          <w:rFonts w:cs="Segoe UI"/>
        </w:rPr>
        <w:t>5</w:t>
      </w:r>
      <w:r w:rsidRPr="00EA17ED">
        <w:rPr>
          <w:rFonts w:cs="Segoe UI"/>
        </w:rPr>
        <w:t xml:space="preserve"> years of life </w:t>
      </w:r>
      <w:r>
        <w:rPr>
          <w:rFonts w:cs="Segoe UI"/>
        </w:rPr>
        <w:t>due</w:t>
      </w:r>
      <w:r w:rsidRPr="00EA17ED">
        <w:rPr>
          <w:rFonts w:cs="Segoe UI"/>
        </w:rPr>
        <w:t xml:space="preserve"> to premature death</w:t>
      </w:r>
      <w:r>
        <w:rPr>
          <w:rFonts w:cs="Segoe UI"/>
        </w:rPr>
        <w:t>.</w:t>
      </w:r>
      <w:r w:rsidRPr="00EA17ED">
        <w:rPr>
          <w:rFonts w:cs="Segoe UI"/>
        </w:rPr>
        <w:t xml:space="preserve"> </w:t>
      </w:r>
      <w:r>
        <w:rPr>
          <w:rFonts w:cs="Segoe UI"/>
        </w:rPr>
        <w:t>The</w:t>
      </w:r>
      <w:r w:rsidRPr="00EA17ED">
        <w:rPr>
          <w:rFonts w:cs="Segoe UI"/>
        </w:rPr>
        <w:t xml:space="preserve"> Māori age-standardised </w:t>
      </w:r>
      <w:r>
        <w:rPr>
          <w:rFonts w:cs="Segoe UI"/>
        </w:rPr>
        <w:t xml:space="preserve">YLL </w:t>
      </w:r>
      <w:r w:rsidRPr="00EA17ED">
        <w:rPr>
          <w:rFonts w:cs="Segoe UI"/>
        </w:rPr>
        <w:t>rate</w:t>
      </w:r>
      <w:r>
        <w:rPr>
          <w:rFonts w:cs="Segoe UI"/>
        </w:rPr>
        <w:t xml:space="preserve"> was double that of non-Māori (</w:t>
      </w:r>
      <w:r w:rsidRPr="00EA17ED">
        <w:rPr>
          <w:rFonts w:cs="Segoe UI"/>
        </w:rPr>
        <w:t xml:space="preserve">15,660 per 100,000 </w:t>
      </w:r>
      <w:r>
        <w:rPr>
          <w:rFonts w:cs="Segoe UI"/>
        </w:rPr>
        <w:t xml:space="preserve">Māori, compared to </w:t>
      </w:r>
      <w:r w:rsidRPr="00EA17ED">
        <w:rPr>
          <w:rFonts w:cs="Segoe UI"/>
        </w:rPr>
        <w:t xml:space="preserve">7,860 per 100,000 </w:t>
      </w:r>
      <w:r>
        <w:rPr>
          <w:rFonts w:cs="Segoe UI"/>
        </w:rPr>
        <w:t>non-Māori).</w:t>
      </w:r>
    </w:p>
    <w:p w14:paraId="05C8F49C" w14:textId="77777777" w:rsidR="00E2631E" w:rsidRPr="00EA17ED" w:rsidRDefault="00E2631E" w:rsidP="00AE4FDA">
      <w:pPr>
        <w:rPr>
          <w:rFonts w:cs="Segoe UI"/>
        </w:rPr>
      </w:pPr>
    </w:p>
    <w:p w14:paraId="471D18B2" w14:textId="1E118ABA" w:rsidR="00AE4FDA" w:rsidRDefault="00AE4FDA" w:rsidP="00AE4FDA">
      <w:pPr>
        <w:rPr>
          <w:rFonts w:cs="Segoe UI"/>
        </w:rPr>
      </w:pPr>
      <w:r>
        <w:rPr>
          <w:rFonts w:cs="Segoe UI"/>
        </w:rPr>
        <w:fldChar w:fldCharType="begin"/>
      </w:r>
      <w:r>
        <w:rPr>
          <w:rFonts w:cs="Segoe UI"/>
        </w:rPr>
        <w:instrText xml:space="preserve"> REF _Ref198648319 \h </w:instrText>
      </w:r>
      <w:r>
        <w:rPr>
          <w:rFonts w:cs="Segoe UI"/>
        </w:rPr>
      </w:r>
      <w:r>
        <w:rPr>
          <w:rFonts w:cs="Segoe UI"/>
        </w:rPr>
        <w:fldChar w:fldCharType="separate"/>
      </w:r>
      <w:r w:rsidR="000E725A">
        <w:t xml:space="preserve">Figure </w:t>
      </w:r>
      <w:r w:rsidR="000E725A">
        <w:rPr>
          <w:noProof/>
        </w:rPr>
        <w:t>2</w:t>
      </w:r>
      <w:r>
        <w:rPr>
          <w:rFonts w:cs="Segoe UI"/>
        </w:rPr>
        <w:fldChar w:fldCharType="end"/>
      </w:r>
      <w:r>
        <w:rPr>
          <w:rFonts w:cs="Segoe UI"/>
        </w:rPr>
        <w:t xml:space="preserve"> </w:t>
      </w:r>
      <w:r w:rsidRPr="00EA17ED">
        <w:rPr>
          <w:rFonts w:cs="Segoe UI"/>
        </w:rPr>
        <w:t xml:space="preserve">compares age-standardised YLL rates for Māori and non-Māori from 1996 to 2021. While both Māori and non-Māori YLL rates decreased </w:t>
      </w:r>
      <w:r>
        <w:rPr>
          <w:rFonts w:cs="Segoe UI"/>
        </w:rPr>
        <w:t>over this time</w:t>
      </w:r>
      <w:r w:rsidRPr="00EA17ED">
        <w:rPr>
          <w:rFonts w:cs="Segoe UI"/>
        </w:rPr>
        <w:t>, an equity gap remain</w:t>
      </w:r>
      <w:r>
        <w:rPr>
          <w:rFonts w:cs="Segoe UI"/>
        </w:rPr>
        <w:t>ed</w:t>
      </w:r>
      <w:r w:rsidRPr="00EA17ED">
        <w:rPr>
          <w:rFonts w:cs="Segoe UI"/>
        </w:rPr>
        <w:t xml:space="preserve">. </w:t>
      </w:r>
    </w:p>
    <w:p w14:paraId="54D51E5C" w14:textId="77777777" w:rsidR="00115CB9" w:rsidRPr="00EA17ED" w:rsidRDefault="00115CB9" w:rsidP="00AE4FDA">
      <w:pPr>
        <w:rPr>
          <w:rFonts w:cs="Segoe UI"/>
        </w:rPr>
      </w:pPr>
    </w:p>
    <w:p w14:paraId="42493C2E" w14:textId="78AB88FA" w:rsidR="00AE4FDA" w:rsidRDefault="00AE4FDA" w:rsidP="00115CB9">
      <w:pPr>
        <w:pStyle w:val="Figure"/>
      </w:pPr>
      <w:bookmarkStart w:id="66" w:name="_Ref198648319"/>
      <w:bookmarkStart w:id="67" w:name="_Toc215236552"/>
      <w:bookmarkStart w:id="68" w:name="_Toc216377187"/>
      <w:r>
        <w:t xml:space="preserve">Figure </w:t>
      </w:r>
      <w:r>
        <w:fldChar w:fldCharType="begin"/>
      </w:r>
      <w:r>
        <w:instrText xml:space="preserve"> SEQ Figure \* ARABIC </w:instrText>
      </w:r>
      <w:r>
        <w:fldChar w:fldCharType="separate"/>
      </w:r>
      <w:r w:rsidR="000E725A">
        <w:rPr>
          <w:noProof/>
        </w:rPr>
        <w:t>2</w:t>
      </w:r>
      <w:r>
        <w:fldChar w:fldCharType="end"/>
      </w:r>
      <w:bookmarkEnd w:id="66"/>
      <w:r>
        <w:t xml:space="preserve">: </w:t>
      </w:r>
      <w:r w:rsidRPr="00623C75">
        <w:t>All cause</w:t>
      </w:r>
      <w:r>
        <w:t>s</w:t>
      </w:r>
      <w:r w:rsidRPr="00623C75">
        <w:t xml:space="preserve">: Māori and non-Māori age-standardised </w:t>
      </w:r>
      <w:r>
        <w:t>years of life lost</w:t>
      </w:r>
      <w:r w:rsidRPr="00623C75">
        <w:t>, 1996</w:t>
      </w:r>
      <w:r>
        <w:t>–</w:t>
      </w:r>
      <w:r w:rsidRPr="00623C75">
        <w:t>2021</w:t>
      </w:r>
      <w:bookmarkEnd w:id="67"/>
      <w:bookmarkEnd w:id="68"/>
    </w:p>
    <w:p w14:paraId="0E96908C" w14:textId="77777777" w:rsidR="00AE4FDA" w:rsidRDefault="00AE4FDA" w:rsidP="00AE4FDA">
      <w:pPr>
        <w:keepNext/>
        <w:spacing w:line="278" w:lineRule="auto"/>
      </w:pPr>
      <w:r w:rsidRPr="00EA17ED">
        <w:rPr>
          <w:rFonts w:cs="Segoe UI"/>
          <w:noProof/>
        </w:rPr>
        <w:drawing>
          <wp:inline distT="0" distB="0" distL="0" distR="0" wp14:anchorId="0544AE0F" wp14:editId="2B6772C7">
            <wp:extent cx="4853940" cy="2729939"/>
            <wp:effectExtent l="0" t="0" r="3810" b="0"/>
            <wp:docPr id="1686714825" name="Picture 2" descr="A line graph with two lines showing trends over time from 1996 to 2021, comparing Māori and non-Māori age-standardised YLL rates; both lines are go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14825" name="Picture 2" descr="A line graph with two lines showing trends over time from 1996 to 2021, comparing Māori and non-Māori age-standardised YLL rates; both lines are going dow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65400" cy="2736384"/>
                    </a:xfrm>
                    <a:prstGeom prst="rect">
                      <a:avLst/>
                    </a:prstGeom>
                  </pic:spPr>
                </pic:pic>
              </a:graphicData>
            </a:graphic>
          </wp:inline>
        </w:drawing>
      </w:r>
    </w:p>
    <w:p w14:paraId="41340A8C" w14:textId="77777777" w:rsidR="00AE4FDA" w:rsidRPr="009A1D13" w:rsidRDefault="00AE4FDA" w:rsidP="00E2631E">
      <w:pPr>
        <w:pStyle w:val="Note"/>
        <w:rPr>
          <w:b/>
          <w:bCs/>
        </w:rPr>
      </w:pPr>
      <w:r w:rsidRPr="009A1D13">
        <w:t>Note: the shaded areas indicate 95% uncertainty intervals</w:t>
      </w:r>
    </w:p>
    <w:p w14:paraId="17508A28" w14:textId="77777777" w:rsidR="00E2631E" w:rsidRDefault="00E2631E" w:rsidP="00AE4FDA">
      <w:pPr>
        <w:rPr>
          <w:rFonts w:cs="Segoe UI"/>
        </w:rPr>
      </w:pPr>
    </w:p>
    <w:p w14:paraId="048585D6" w14:textId="0D3E0FA4" w:rsidR="00AE4FDA" w:rsidRDefault="00AE4FDA" w:rsidP="00AE4FDA">
      <w:pPr>
        <w:rPr>
          <w:rFonts w:cs="Segoe UI"/>
        </w:rPr>
      </w:pPr>
      <w:r w:rsidRPr="00EA17ED">
        <w:rPr>
          <w:rFonts w:cs="Segoe UI"/>
        </w:rPr>
        <w:t xml:space="preserve">The rate ratio (calculated by dividing the rate of a health indicator for one population subgroup by the rate of a comparator group) shows </w:t>
      </w:r>
      <w:r>
        <w:rPr>
          <w:rFonts w:cs="Segoe UI"/>
        </w:rPr>
        <w:t xml:space="preserve">that </w:t>
      </w:r>
      <w:r w:rsidRPr="00EA17ED">
        <w:rPr>
          <w:rFonts w:cs="Segoe UI"/>
        </w:rPr>
        <w:t>Māori consistently experienced around twice the rate of YLL compared to non-Māori during this period (</w:t>
      </w:r>
      <w:r>
        <w:rPr>
          <w:rFonts w:cs="Segoe UI"/>
        </w:rPr>
        <w:fldChar w:fldCharType="begin"/>
      </w:r>
      <w:r>
        <w:rPr>
          <w:rFonts w:cs="Segoe UI"/>
        </w:rPr>
        <w:instrText xml:space="preserve"> REF _Ref198648306 \h </w:instrText>
      </w:r>
      <w:r>
        <w:rPr>
          <w:rFonts w:cs="Segoe UI"/>
        </w:rPr>
      </w:r>
      <w:r>
        <w:rPr>
          <w:rFonts w:cs="Segoe UI"/>
        </w:rPr>
        <w:fldChar w:fldCharType="separate"/>
      </w:r>
      <w:r w:rsidR="000E725A">
        <w:t xml:space="preserve">Figure </w:t>
      </w:r>
      <w:r w:rsidR="000E725A">
        <w:rPr>
          <w:noProof/>
        </w:rPr>
        <w:t>3</w:t>
      </w:r>
      <w:r>
        <w:rPr>
          <w:rFonts w:cs="Segoe UI"/>
        </w:rPr>
        <w:fldChar w:fldCharType="end"/>
      </w:r>
      <w:r w:rsidRPr="00EA17ED">
        <w:rPr>
          <w:rFonts w:cs="Segoe UI"/>
        </w:rPr>
        <w:t>).</w:t>
      </w:r>
      <w:r w:rsidRPr="00EA17ED" w:rsidDel="00F8705A">
        <w:rPr>
          <w:rFonts w:cs="Segoe UI"/>
        </w:rPr>
        <w:t xml:space="preserve"> </w:t>
      </w:r>
    </w:p>
    <w:p w14:paraId="70E687F5" w14:textId="77777777" w:rsidR="00E2631E" w:rsidRDefault="00E2631E" w:rsidP="00AE4FDA">
      <w:pPr>
        <w:rPr>
          <w:rFonts w:cs="Segoe UI"/>
        </w:rPr>
      </w:pPr>
    </w:p>
    <w:p w14:paraId="0E7C5797" w14:textId="2CBD552F" w:rsidR="00E2631E" w:rsidRDefault="00E2631E" w:rsidP="00E2631E">
      <w:pPr>
        <w:pStyle w:val="Figure"/>
      </w:pPr>
      <w:bookmarkStart w:id="69" w:name="_Ref198648306"/>
      <w:bookmarkStart w:id="70" w:name="_Toc215236553"/>
      <w:bookmarkStart w:id="71" w:name="_Toc216377188"/>
      <w:r>
        <w:lastRenderedPageBreak/>
        <w:t xml:space="preserve">Figure </w:t>
      </w:r>
      <w:r>
        <w:fldChar w:fldCharType="begin"/>
      </w:r>
      <w:r>
        <w:instrText xml:space="preserve"> SEQ Figure \* ARABIC </w:instrText>
      </w:r>
      <w:r>
        <w:fldChar w:fldCharType="separate"/>
      </w:r>
      <w:r w:rsidR="000E725A">
        <w:rPr>
          <w:noProof/>
        </w:rPr>
        <w:t>3</w:t>
      </w:r>
      <w:r>
        <w:fldChar w:fldCharType="end"/>
      </w:r>
      <w:bookmarkEnd w:id="69"/>
      <w:r>
        <w:t xml:space="preserve">: </w:t>
      </w:r>
      <w:r w:rsidRPr="00D0680A">
        <w:t>All cause</w:t>
      </w:r>
      <w:r>
        <w:t>s</w:t>
      </w:r>
      <w:r w:rsidRPr="00D0680A">
        <w:t xml:space="preserve">: Māori/non-Māori age-standardised </w:t>
      </w:r>
      <w:r>
        <w:t xml:space="preserve">years of life lost </w:t>
      </w:r>
      <w:r w:rsidRPr="00D0680A">
        <w:t>rate</w:t>
      </w:r>
      <w:r>
        <w:t xml:space="preserve"> ratio</w:t>
      </w:r>
      <w:r w:rsidRPr="00D0680A">
        <w:t>, 1996</w:t>
      </w:r>
      <w:r>
        <w:t>–</w:t>
      </w:r>
      <w:r w:rsidRPr="00D0680A">
        <w:t>2021</w:t>
      </w:r>
      <w:bookmarkEnd w:id="70"/>
      <w:bookmarkEnd w:id="71"/>
    </w:p>
    <w:p w14:paraId="533900DD" w14:textId="77777777" w:rsidR="00E2631E" w:rsidRDefault="00E2631E" w:rsidP="00E2631E">
      <w:pPr>
        <w:keepNext/>
        <w:rPr>
          <w:rFonts w:cs="Segoe UI"/>
        </w:rPr>
      </w:pPr>
      <w:r w:rsidRPr="00EA17ED">
        <w:rPr>
          <w:rFonts w:cs="Segoe UI"/>
          <w:noProof/>
          <w14:ligatures w14:val="standardContextual"/>
        </w:rPr>
        <w:drawing>
          <wp:inline distT="0" distB="0" distL="0" distR="0" wp14:anchorId="234B1A63" wp14:editId="64F523B3">
            <wp:extent cx="5113020" cy="2555382"/>
            <wp:effectExtent l="0" t="0" r="0" b="0"/>
            <wp:docPr id="2128498562" name="Picture 1" descr="A single-line graph with an uncertainty interval, showing the ratio of Māori to non-Māori YLL rates between 1996 and 2021; the line hovers around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8562" name="Picture 1" descr="A single-line graph with an uncertainty interval, showing the ratio of Māori to non-Māori YLL rates between 1996 and 2021; the line hovers around 2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14875" cy="2556309"/>
                    </a:xfrm>
                    <a:prstGeom prst="rect">
                      <a:avLst/>
                    </a:prstGeom>
                  </pic:spPr>
                </pic:pic>
              </a:graphicData>
            </a:graphic>
          </wp:inline>
        </w:drawing>
      </w:r>
    </w:p>
    <w:p w14:paraId="4CE3034A" w14:textId="77777777" w:rsidR="00E2631E" w:rsidRPr="009A1D13" w:rsidRDefault="00E2631E" w:rsidP="00E2631E">
      <w:pPr>
        <w:pStyle w:val="Note"/>
        <w:rPr>
          <w:b/>
          <w:bCs/>
        </w:rPr>
      </w:pPr>
      <w:r w:rsidRPr="009A1D13">
        <w:t>Note: the shaded area indicate</w:t>
      </w:r>
      <w:r>
        <w:t>s</w:t>
      </w:r>
      <w:r w:rsidRPr="009A1D13">
        <w:t xml:space="preserve"> </w:t>
      </w:r>
      <w:r>
        <w:t>95% uncertainty</w:t>
      </w:r>
      <w:r w:rsidRPr="009A1D13">
        <w:t xml:space="preserve"> interval</w:t>
      </w:r>
    </w:p>
    <w:p w14:paraId="61745635" w14:textId="77777777" w:rsidR="00E2631E" w:rsidRDefault="00E2631E" w:rsidP="00E2631E"/>
    <w:p w14:paraId="3C020207" w14:textId="3DB12024" w:rsidR="00E2631E" w:rsidRDefault="00E2631E" w:rsidP="00E2631E">
      <w:r>
        <w:t>The gap in YLL rates between Māori and non-Māori is partially driven by high YLL rates for tāne Māori (</w:t>
      </w:r>
      <w:r>
        <w:fldChar w:fldCharType="begin"/>
      </w:r>
      <w:r>
        <w:instrText xml:space="preserve"> REF _Ref198648067 \h  \* MERGEFORMAT </w:instrText>
      </w:r>
      <w:r>
        <w:fldChar w:fldCharType="separate"/>
      </w:r>
      <w:r w:rsidR="000E725A">
        <w:t xml:space="preserve">Figure </w:t>
      </w:r>
      <w:r w:rsidR="000E725A">
        <w:rPr>
          <w:noProof/>
        </w:rPr>
        <w:t>4</w:t>
      </w:r>
      <w:r>
        <w:fldChar w:fldCharType="end"/>
      </w:r>
      <w:r>
        <w:t>). This gap is narrowing over time.</w:t>
      </w:r>
    </w:p>
    <w:p w14:paraId="50B738BC" w14:textId="77777777" w:rsidR="00E2631E" w:rsidRPr="00EA17ED" w:rsidRDefault="00E2631E" w:rsidP="00E2631E">
      <w:pPr>
        <w:tabs>
          <w:tab w:val="left" w:pos="8310"/>
        </w:tabs>
        <w:rPr>
          <w:rFonts w:cs="Segoe UI"/>
        </w:rPr>
      </w:pPr>
    </w:p>
    <w:p w14:paraId="34149FB5" w14:textId="69C13184" w:rsidR="00E2631E" w:rsidRDefault="00E2631E" w:rsidP="00E2631E">
      <w:pPr>
        <w:pStyle w:val="Figure"/>
      </w:pPr>
      <w:bookmarkStart w:id="72" w:name="_Ref198648067"/>
      <w:bookmarkStart w:id="73" w:name="_Toc215236554"/>
      <w:bookmarkStart w:id="74" w:name="_Toc216377189"/>
      <w:r>
        <w:t xml:space="preserve">Figure </w:t>
      </w:r>
      <w:r>
        <w:fldChar w:fldCharType="begin"/>
      </w:r>
      <w:r>
        <w:instrText xml:space="preserve"> SEQ Figure \* ARABIC </w:instrText>
      </w:r>
      <w:r>
        <w:fldChar w:fldCharType="separate"/>
      </w:r>
      <w:r w:rsidR="000E725A">
        <w:rPr>
          <w:noProof/>
        </w:rPr>
        <w:t>4</w:t>
      </w:r>
      <w:r>
        <w:fldChar w:fldCharType="end"/>
      </w:r>
      <w:bookmarkEnd w:id="72"/>
      <w:r>
        <w:t xml:space="preserve">: </w:t>
      </w:r>
      <w:r w:rsidRPr="00A636A3">
        <w:t>All cause</w:t>
      </w:r>
      <w:r>
        <w:t>s</w:t>
      </w:r>
      <w:r w:rsidRPr="00A636A3">
        <w:t xml:space="preserve">: tāne and wāhine Māori age-standardised </w:t>
      </w:r>
      <w:r>
        <w:t xml:space="preserve">years of life lost </w:t>
      </w:r>
      <w:r w:rsidRPr="00A636A3">
        <w:t>rates, 1996</w:t>
      </w:r>
      <w:r>
        <w:t>–</w:t>
      </w:r>
      <w:r w:rsidRPr="00A636A3">
        <w:t>2021</w:t>
      </w:r>
      <w:bookmarkEnd w:id="73"/>
      <w:bookmarkEnd w:id="74"/>
    </w:p>
    <w:p w14:paraId="163FC271" w14:textId="77777777" w:rsidR="00E2631E" w:rsidRDefault="00E2631E" w:rsidP="00E2631E">
      <w:pPr>
        <w:keepNext/>
        <w:tabs>
          <w:tab w:val="left" w:pos="8310"/>
        </w:tabs>
      </w:pPr>
      <w:r>
        <w:rPr>
          <w:rFonts w:cs="Segoe UI"/>
          <w:noProof/>
          <w14:ligatures w14:val="standardContextual"/>
        </w:rPr>
        <w:drawing>
          <wp:inline distT="0" distB="0" distL="0" distR="0" wp14:anchorId="1B55906E" wp14:editId="4FE37B11">
            <wp:extent cx="5113020" cy="2876003"/>
            <wp:effectExtent l="0" t="0" r="0" b="635"/>
            <wp:docPr id="22218" name="Picture 1" descr="A line graph with narrow 95% confidence intervals showing tāne and wāhine age standardised YLL rates from 1995. Both lines show a downward trend, with the wāhine line consistently lower than the tān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8" name="Picture 1" descr="A line graph with narrow 95% confidence intervals showing tāne and wāhine age standardised YLL rates from 1995. Both lines show a downward trend, with the wāhine line consistently lower than the tāne lin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0204" cy="2880044"/>
                    </a:xfrm>
                    <a:prstGeom prst="rect">
                      <a:avLst/>
                    </a:prstGeom>
                  </pic:spPr>
                </pic:pic>
              </a:graphicData>
            </a:graphic>
          </wp:inline>
        </w:drawing>
      </w:r>
    </w:p>
    <w:p w14:paraId="27131ACE" w14:textId="77777777" w:rsidR="00E2631E" w:rsidRPr="009A1D13" w:rsidRDefault="00E2631E" w:rsidP="00E2631E">
      <w:pPr>
        <w:pStyle w:val="Note"/>
        <w:rPr>
          <w:b/>
          <w:bCs/>
        </w:rPr>
      </w:pPr>
      <w:r w:rsidRPr="009A1D13">
        <w:t>Note: the shaded areas indicate 95% uncertainty intervals</w:t>
      </w:r>
    </w:p>
    <w:p w14:paraId="5FDE6EBA" w14:textId="77777777" w:rsidR="00E2631E" w:rsidRDefault="00E2631E" w:rsidP="00E2631E">
      <w:pPr>
        <w:rPr>
          <w:rFonts w:cs="Segoe UI"/>
        </w:rPr>
      </w:pPr>
    </w:p>
    <w:p w14:paraId="22F81BB1" w14:textId="338FF652" w:rsidR="00E2631E" w:rsidRDefault="00E2631E" w:rsidP="00E2631E">
      <w:pPr>
        <w:rPr>
          <w:rFonts w:cs="Segoe UI"/>
        </w:rPr>
      </w:pPr>
      <w:r w:rsidRPr="00EA17ED">
        <w:rPr>
          <w:rFonts w:cs="Segoe UI"/>
        </w:rPr>
        <w:t>The GBD study splits YLL estimates into three major (level 1) categories: non-communicable diseases</w:t>
      </w:r>
      <w:r>
        <w:rPr>
          <w:rFonts w:cs="Segoe UI"/>
        </w:rPr>
        <w:t>,</w:t>
      </w:r>
      <w:r w:rsidRPr="00EA17ED">
        <w:rPr>
          <w:rFonts w:cs="Segoe UI"/>
        </w:rPr>
        <w:t xml:space="preserve"> injuries</w:t>
      </w:r>
      <w:r>
        <w:rPr>
          <w:rFonts w:cs="Segoe UI"/>
        </w:rPr>
        <w:t>,</w:t>
      </w:r>
      <w:r w:rsidRPr="00EA17ED">
        <w:rPr>
          <w:rFonts w:cs="Segoe UI"/>
        </w:rPr>
        <w:t xml:space="preserve"> and a combined group of communicable, maternal, neonatal and nutritional diseases</w:t>
      </w:r>
      <w:r>
        <w:rPr>
          <w:rFonts w:cs="Segoe UI"/>
        </w:rPr>
        <w:t>.</w:t>
      </w:r>
      <w:r w:rsidRPr="00EA17ED">
        <w:rPr>
          <w:rStyle w:val="FootnoteReference"/>
          <w:rFonts w:cs="Segoe UI"/>
        </w:rPr>
        <w:footnoteReference w:id="3"/>
      </w:r>
      <w:r w:rsidRPr="00EA17ED">
        <w:rPr>
          <w:rFonts w:cs="Segoe UI"/>
        </w:rPr>
        <w:t xml:space="preserve"> These categories are broken down </w:t>
      </w:r>
      <w:r>
        <w:rPr>
          <w:rFonts w:cs="Segoe UI"/>
        </w:rPr>
        <w:t>in</w:t>
      </w:r>
      <w:r w:rsidRPr="00EA17ED">
        <w:rPr>
          <w:rFonts w:cs="Segoe UI"/>
        </w:rPr>
        <w:t xml:space="preserve">to more </w:t>
      </w:r>
      <w:r w:rsidRPr="00EA17ED">
        <w:rPr>
          <w:rFonts w:cs="Segoe UI"/>
        </w:rPr>
        <w:lastRenderedPageBreak/>
        <w:t xml:space="preserve">detailed conditions in level 2. </w:t>
      </w:r>
      <w:r w:rsidRPr="64EE5628">
        <w:rPr>
          <w:rFonts w:cs="Segoe UI"/>
        </w:rPr>
        <w:fldChar w:fldCharType="begin"/>
      </w:r>
      <w:r>
        <w:rPr>
          <w:rFonts w:cs="Segoe UI"/>
        </w:rPr>
        <w:instrText xml:space="preserve"> REF _Ref198648272 \h </w:instrText>
      </w:r>
      <w:r w:rsidRPr="64EE5628">
        <w:rPr>
          <w:rFonts w:cs="Segoe UI"/>
        </w:rPr>
      </w:r>
      <w:r w:rsidRPr="64EE5628">
        <w:rPr>
          <w:rFonts w:cs="Segoe UI"/>
        </w:rPr>
        <w:fldChar w:fldCharType="separate"/>
      </w:r>
      <w:r w:rsidR="000E725A">
        <w:t xml:space="preserve">Figure </w:t>
      </w:r>
      <w:r w:rsidR="000E725A">
        <w:rPr>
          <w:noProof/>
        </w:rPr>
        <w:t>5</w:t>
      </w:r>
      <w:r w:rsidRPr="64EE5628">
        <w:rPr>
          <w:rFonts w:cs="Segoe UI"/>
        </w:rPr>
        <w:fldChar w:fldCharType="end"/>
      </w:r>
      <w:r w:rsidRPr="64EE5628">
        <w:rPr>
          <w:rFonts w:cs="Segoe UI"/>
        </w:rPr>
        <w:t xml:space="preserve"> s</w:t>
      </w:r>
      <w:r w:rsidRPr="00EA17ED">
        <w:rPr>
          <w:rFonts w:cs="Segoe UI"/>
        </w:rPr>
        <w:t xml:space="preserve">hows the disease categories </w:t>
      </w:r>
      <w:r>
        <w:rPr>
          <w:rFonts w:cs="Segoe UI"/>
        </w:rPr>
        <w:t xml:space="preserve">that made </w:t>
      </w:r>
      <w:r w:rsidRPr="00EA17ED">
        <w:rPr>
          <w:rFonts w:cs="Segoe UI"/>
        </w:rPr>
        <w:t>the biggest contribution to YLL for Māori in 2021. Non-communicable diseases ma</w:t>
      </w:r>
      <w:r>
        <w:rPr>
          <w:rFonts w:cs="Segoe UI"/>
        </w:rPr>
        <w:t>d</w:t>
      </w:r>
      <w:r w:rsidRPr="00EA17ED">
        <w:rPr>
          <w:rFonts w:cs="Segoe UI"/>
        </w:rPr>
        <w:t>e up the majority (78%). Within non-communicable diseases, cancer contributed the most (29%), followed by cardiovascular disease (22%)</w:t>
      </w:r>
      <w:r>
        <w:rPr>
          <w:rFonts w:cs="Segoe UI"/>
        </w:rPr>
        <w:t>;</w:t>
      </w:r>
      <w:r w:rsidRPr="00EA17ED">
        <w:rPr>
          <w:rFonts w:cs="Segoe UI"/>
        </w:rPr>
        <w:t xml:space="preserve"> together</w:t>
      </w:r>
      <w:r>
        <w:rPr>
          <w:rFonts w:cs="Segoe UI"/>
        </w:rPr>
        <w:t>, these conditions</w:t>
      </w:r>
      <w:r w:rsidRPr="00EA17ED">
        <w:rPr>
          <w:rFonts w:cs="Segoe UI"/>
        </w:rPr>
        <w:t xml:space="preserve"> contribute</w:t>
      </w:r>
      <w:r>
        <w:rPr>
          <w:rFonts w:cs="Segoe UI"/>
        </w:rPr>
        <w:t>d</w:t>
      </w:r>
      <w:r w:rsidRPr="00EA17ED">
        <w:rPr>
          <w:rFonts w:cs="Segoe UI"/>
        </w:rPr>
        <w:t xml:space="preserve"> to more than half </w:t>
      </w:r>
      <w:r>
        <w:rPr>
          <w:rFonts w:cs="Segoe UI"/>
        </w:rPr>
        <w:t xml:space="preserve">of YLL </w:t>
      </w:r>
      <w:r w:rsidRPr="00EA17ED">
        <w:rPr>
          <w:rFonts w:cs="Segoe UI"/>
        </w:rPr>
        <w:t>for Māori.</w:t>
      </w:r>
    </w:p>
    <w:p w14:paraId="5672E80F" w14:textId="5F6639DF" w:rsidR="00EA3C47" w:rsidRDefault="00EA3C47" w:rsidP="00EA3C47">
      <w:pPr>
        <w:spacing w:line="259" w:lineRule="auto"/>
        <w:rPr>
          <w:rFonts w:eastAsia="Aptos" w:cs="Segoe UI"/>
          <w:szCs w:val="22"/>
        </w:rPr>
      </w:pPr>
    </w:p>
    <w:p w14:paraId="25415E17" w14:textId="43E9C973" w:rsidR="00E2631E" w:rsidRDefault="00E2631E" w:rsidP="00E2631E">
      <w:pPr>
        <w:pStyle w:val="Figure"/>
        <w:spacing w:before="0"/>
      </w:pPr>
      <w:bookmarkStart w:id="75" w:name="_Ref198648272"/>
      <w:bookmarkStart w:id="76" w:name="_Toc215236555"/>
      <w:bookmarkStart w:id="77" w:name="_Toc216377190"/>
      <w:r>
        <w:t xml:space="preserve">Figure </w:t>
      </w:r>
      <w:r>
        <w:fldChar w:fldCharType="begin"/>
      </w:r>
      <w:r>
        <w:instrText xml:space="preserve"> SEQ Figure \* ARABIC </w:instrText>
      </w:r>
      <w:r>
        <w:fldChar w:fldCharType="separate"/>
      </w:r>
      <w:r w:rsidR="000E725A">
        <w:rPr>
          <w:noProof/>
        </w:rPr>
        <w:t>5</w:t>
      </w:r>
      <w:r>
        <w:fldChar w:fldCharType="end"/>
      </w:r>
      <w:bookmarkEnd w:id="75"/>
      <w:r>
        <w:t xml:space="preserve">: </w:t>
      </w:r>
      <w:r w:rsidRPr="00FB7A41">
        <w:t xml:space="preserve">Proportion of </w:t>
      </w:r>
      <w:r>
        <w:t xml:space="preserve">years of life lost </w:t>
      </w:r>
      <w:r w:rsidRPr="00FB7A41">
        <w:t>by level 1 and 2 disease categories for Māori, 2021</w:t>
      </w:r>
      <w:bookmarkEnd w:id="76"/>
      <w:bookmarkEnd w:id="77"/>
    </w:p>
    <w:p w14:paraId="5A82D4C1" w14:textId="142948DA" w:rsidR="008D55BA" w:rsidRPr="008D55BA" w:rsidRDefault="00E2631E" w:rsidP="008D55BA">
      <w:pPr>
        <w:keepNext/>
        <w:tabs>
          <w:tab w:val="left" w:pos="8310"/>
        </w:tabs>
        <w:rPr>
          <w:rFonts w:cs="Segoe UI"/>
        </w:rPr>
      </w:pPr>
      <w:r w:rsidRPr="00EA17ED">
        <w:rPr>
          <w:rFonts w:cs="Segoe UI"/>
          <w:noProof/>
        </w:rPr>
        <w:drawing>
          <wp:inline distT="0" distB="0" distL="0" distR="0" wp14:anchorId="25212A34" wp14:editId="1F03EED9">
            <wp:extent cx="4663440" cy="7556769"/>
            <wp:effectExtent l="0" t="0" r="3810" b="6350"/>
            <wp:docPr id="389427293" name="Picture 1" descr="A Sankey diagram showing the proportion of YLL by disease categories for Māori in 2021. Non-communicable diseases dominate, with cancer and cardiovascular disease having the largest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7293" name="Picture 1" descr="A Sankey diagram showing the proportion of YLL by disease categories for Māori in 2021. Non-communicable diseases dominate, with cancer and cardiovascular disease having the largest segments"/>
                    <pic:cNvPicPr>
                      <a:picLocks noChangeAspect="1" noChangeArrowheads="1"/>
                    </pic:cNvPicPr>
                  </pic:nvPicPr>
                  <pic:blipFill rotWithShape="1">
                    <a:blip r:embed="rId32">
                      <a:extLst>
                        <a:ext uri="{28A0092B-C50C-407E-A947-70E740481C1C}">
                          <a14:useLocalDpi xmlns:a14="http://schemas.microsoft.com/office/drawing/2010/main" val="0"/>
                        </a:ext>
                      </a:extLst>
                    </a:blip>
                    <a:srcRect r="10860"/>
                    <a:stretch>
                      <a:fillRect/>
                    </a:stretch>
                  </pic:blipFill>
                  <pic:spPr bwMode="auto">
                    <a:xfrm>
                      <a:off x="0" y="0"/>
                      <a:ext cx="4668580" cy="7565098"/>
                    </a:xfrm>
                    <a:prstGeom prst="rect">
                      <a:avLst/>
                    </a:prstGeom>
                    <a:ln>
                      <a:noFill/>
                    </a:ln>
                    <a:extLst>
                      <a:ext uri="{53640926-AAD7-44D8-BBD7-CCE9431645EC}">
                        <a14:shadowObscured xmlns:a14="http://schemas.microsoft.com/office/drawing/2010/main"/>
                      </a:ext>
                    </a:extLst>
                  </pic:spPr>
                </pic:pic>
              </a:graphicData>
            </a:graphic>
          </wp:inline>
        </w:drawing>
      </w:r>
      <w:r w:rsidR="008D55BA">
        <w:br w:type="page"/>
      </w:r>
    </w:p>
    <w:p w14:paraId="7B3B10CC" w14:textId="4E8CE1A6" w:rsidR="00E2631E" w:rsidRDefault="00E2631E" w:rsidP="00E2631E">
      <w:pPr>
        <w:rPr>
          <w:rFonts w:cs="Segoe UI"/>
        </w:rPr>
      </w:pPr>
      <w:r w:rsidRPr="00EA17ED">
        <w:rPr>
          <w:rFonts w:cs="Segoe UI"/>
        </w:rPr>
        <w:lastRenderedPageBreak/>
        <w:t>In 2021, the top 10 causes of premature death made up 54% of total YLL for Māori.</w:t>
      </w:r>
      <w:r>
        <w:rPr>
          <w:rFonts w:cs="Segoe UI"/>
        </w:rPr>
        <w:t xml:space="preserve"> </w:t>
      </w:r>
      <w:r w:rsidRPr="00EA17ED">
        <w:rPr>
          <w:rFonts w:cs="Segoe UI"/>
        </w:rPr>
        <w:t>Ischaemic heart disease was the leading cause of premature death for tāne Māori (15% of YLL), and lung cancer was the leading cause of premature death for wāhine Māori (11% of YLL</w:t>
      </w:r>
      <w:r>
        <w:rPr>
          <w:rFonts w:cs="Segoe UI"/>
        </w:rPr>
        <w:t xml:space="preserve">; see </w:t>
      </w:r>
      <w:r>
        <w:rPr>
          <w:rFonts w:cs="Segoe UI"/>
        </w:rPr>
        <w:fldChar w:fldCharType="begin"/>
      </w:r>
      <w:r>
        <w:rPr>
          <w:rFonts w:cs="Segoe UI"/>
        </w:rPr>
        <w:instrText xml:space="preserve"> REF _Ref198648402 \h </w:instrText>
      </w:r>
      <w:r>
        <w:rPr>
          <w:rFonts w:cs="Segoe UI"/>
        </w:rPr>
      </w:r>
      <w:r>
        <w:rPr>
          <w:rFonts w:cs="Segoe UI"/>
        </w:rPr>
        <w:fldChar w:fldCharType="separate"/>
      </w:r>
      <w:r w:rsidR="000E725A">
        <w:t xml:space="preserve">Figure </w:t>
      </w:r>
      <w:r w:rsidR="000E725A">
        <w:rPr>
          <w:noProof/>
        </w:rPr>
        <w:t>6</w:t>
      </w:r>
      <w:r>
        <w:rPr>
          <w:rFonts w:cs="Segoe UI"/>
        </w:rPr>
        <w:fldChar w:fldCharType="end"/>
      </w:r>
      <w:r w:rsidRPr="00EA17ED">
        <w:rPr>
          <w:rFonts w:cs="Segoe UI"/>
        </w:rPr>
        <w:t xml:space="preserve">). </w:t>
      </w:r>
    </w:p>
    <w:p w14:paraId="1D93F44E" w14:textId="77777777" w:rsidR="00E2631E" w:rsidRPr="00EA17ED" w:rsidRDefault="00E2631E" w:rsidP="00E2631E">
      <w:pPr>
        <w:rPr>
          <w:rFonts w:cs="Segoe UI"/>
        </w:rPr>
      </w:pPr>
    </w:p>
    <w:p w14:paraId="2400549A" w14:textId="77777777" w:rsidR="00E2631E" w:rsidRPr="00EA17ED" w:rsidRDefault="00E2631E" w:rsidP="00E2631E">
      <w:pPr>
        <w:rPr>
          <w:rFonts w:cs="Segoe UI"/>
        </w:rPr>
      </w:pPr>
      <w:r w:rsidRPr="79782846">
        <w:rPr>
          <w:rFonts w:cs="Segoe UI"/>
        </w:rPr>
        <w:t xml:space="preserve">In addition, a significant percentage of YLL </w:t>
      </w:r>
      <w:r>
        <w:rPr>
          <w:rFonts w:cs="Segoe UI"/>
        </w:rPr>
        <w:t xml:space="preserve">for </w:t>
      </w:r>
      <w:r w:rsidRPr="79782846">
        <w:rPr>
          <w:rFonts w:cs="Segoe UI"/>
        </w:rPr>
        <w:t xml:space="preserve">tāne Māori was also due to injuries such as self-harm (8% of total YLL) and road injuries (6%). Among wāhine Māori, </w:t>
      </w:r>
      <w:r>
        <w:rPr>
          <w:rFonts w:cs="Segoe UI"/>
        </w:rPr>
        <w:t xml:space="preserve">IHD </w:t>
      </w:r>
      <w:r w:rsidRPr="79782846">
        <w:rPr>
          <w:rFonts w:cs="Segoe UI"/>
        </w:rPr>
        <w:t>was a major contributor to premature death (8%), followed by COPD (</w:t>
      </w:r>
      <w:r w:rsidRPr="64EE5628">
        <w:rPr>
          <w:rFonts w:cs="Segoe UI"/>
        </w:rPr>
        <w:t>7</w:t>
      </w:r>
      <w:r w:rsidRPr="79782846">
        <w:rPr>
          <w:rFonts w:cs="Segoe UI"/>
        </w:rPr>
        <w:t xml:space="preserve">%) and breast cancer (6%).  </w:t>
      </w:r>
    </w:p>
    <w:p w14:paraId="3BBA6067" w14:textId="77777777" w:rsidR="00E2631E" w:rsidRDefault="00E2631E" w:rsidP="00E2631E">
      <w:pPr>
        <w:rPr>
          <w:rFonts w:cs="Segoe UI"/>
          <w:noProof/>
          <w14:ligatures w14:val="standardContextual"/>
        </w:rPr>
      </w:pPr>
    </w:p>
    <w:p w14:paraId="78111BB1" w14:textId="22E20855" w:rsidR="00E2631E" w:rsidRDefault="00E2631E" w:rsidP="00E2631E">
      <w:pPr>
        <w:pStyle w:val="Figure"/>
      </w:pPr>
      <w:bookmarkStart w:id="78" w:name="_Ref198648402"/>
      <w:bookmarkStart w:id="79" w:name="_Toc215236556"/>
      <w:bookmarkStart w:id="80" w:name="_Toc216377191"/>
      <w:r>
        <w:t xml:space="preserve">Figure </w:t>
      </w:r>
      <w:r>
        <w:fldChar w:fldCharType="begin"/>
      </w:r>
      <w:r>
        <w:instrText xml:space="preserve"> SEQ Figure \* ARABIC </w:instrText>
      </w:r>
      <w:r>
        <w:fldChar w:fldCharType="separate"/>
      </w:r>
      <w:r w:rsidR="000E725A">
        <w:rPr>
          <w:noProof/>
        </w:rPr>
        <w:t>6</w:t>
      </w:r>
      <w:r>
        <w:fldChar w:fldCharType="end"/>
      </w:r>
      <w:bookmarkEnd w:id="78"/>
      <w:r>
        <w:t xml:space="preserve">: </w:t>
      </w:r>
      <w:r w:rsidRPr="00D671EC">
        <w:t xml:space="preserve">Ten leading contributors to </w:t>
      </w:r>
      <w:r>
        <w:t xml:space="preserve">years of life lost </w:t>
      </w:r>
      <w:r w:rsidRPr="00D671EC">
        <w:t>(proportion %) for tāne and wāhine Māori, 2021</w:t>
      </w:r>
      <w:bookmarkEnd w:id="79"/>
      <w:bookmarkEnd w:id="80"/>
    </w:p>
    <w:p w14:paraId="4360520E" w14:textId="77777777" w:rsidR="00E2631E" w:rsidRDefault="00E2631E" w:rsidP="00E2631E">
      <w:pPr>
        <w:rPr>
          <w:rFonts w:cs="Segoe UI"/>
        </w:rPr>
      </w:pPr>
      <w:r>
        <w:rPr>
          <w:rFonts w:cs="Segoe UI"/>
          <w:noProof/>
          <w14:ligatures w14:val="standardContextual"/>
        </w:rPr>
        <w:drawing>
          <wp:inline distT="0" distB="0" distL="0" distR="0" wp14:anchorId="77F0296D" wp14:editId="41896B3B">
            <wp:extent cx="5099050" cy="4462512"/>
            <wp:effectExtent l="0" t="0" r="6350" b="0"/>
            <wp:docPr id="956437755" name="Picture 9" descr="A vertical grouped bar chart showing the top ten causes of YLL for tāne and wāhine Māori in 2021. Tāne have higher proportions of ischaemic heart disease and self-harm; wāhine have higher proportions of lung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37755" name="Picture 9" descr="A vertical grouped bar chart showing the top ten causes of YLL for tāne and wāhine Māori in 2021. Tāne have higher proportions of ischaemic heart disease and self-harm; wāhine have higher proportions of lung canc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04959" cy="4467683"/>
                    </a:xfrm>
                    <a:prstGeom prst="rect">
                      <a:avLst/>
                    </a:prstGeom>
                  </pic:spPr>
                </pic:pic>
              </a:graphicData>
            </a:graphic>
          </wp:inline>
        </w:drawing>
      </w:r>
      <w:bookmarkStart w:id="81" w:name="_Ref187331003"/>
    </w:p>
    <w:p w14:paraId="6138CD8F" w14:textId="77777777" w:rsidR="00E2631E" w:rsidRDefault="00E2631E" w:rsidP="00E2631E">
      <w:pPr>
        <w:pStyle w:val="Note"/>
      </w:pPr>
      <w:bookmarkStart w:id="82" w:name="_Toc187999530"/>
      <w:bookmarkEnd w:id="81"/>
      <w:r w:rsidRPr="00E63740">
        <w:t xml:space="preserve">Note: </w:t>
      </w:r>
    </w:p>
    <w:p w14:paraId="5B32C50F" w14:textId="77777777" w:rsidR="00E2631E" w:rsidRPr="00E63740" w:rsidRDefault="00E2631E" w:rsidP="00E2631E">
      <w:pPr>
        <w:pStyle w:val="Note"/>
        <w:spacing w:before="0"/>
      </w:pPr>
      <w:r w:rsidRPr="00E63740">
        <w:t xml:space="preserve">* </w:t>
      </w:r>
      <w:r w:rsidRPr="00B2539B">
        <w:rPr>
          <w:lang w:eastAsia="en-NZ"/>
        </w:rPr>
        <w:t>Lung cancer includes bronchus, tracheal and lung cancers</w:t>
      </w:r>
    </w:p>
    <w:p w14:paraId="45BEAFAF" w14:textId="77777777" w:rsidR="00E2631E" w:rsidRDefault="00E2631E" w:rsidP="00E2631E">
      <w:pPr>
        <w:spacing w:line="259" w:lineRule="auto"/>
        <w:rPr>
          <w:rFonts w:eastAsiaTheme="majorEastAsia" w:cs="Segoe UI"/>
          <w:color w:val="9BBB59" w:themeColor="accent3"/>
          <w:sz w:val="32"/>
          <w:szCs w:val="26"/>
        </w:rPr>
      </w:pPr>
      <w:r>
        <w:rPr>
          <w:rFonts w:cs="Segoe UI"/>
        </w:rPr>
        <w:br w:type="page"/>
      </w:r>
    </w:p>
    <w:p w14:paraId="3F66A13E" w14:textId="77777777" w:rsidR="00E2631E" w:rsidRPr="00EA17ED" w:rsidRDefault="00E2631E" w:rsidP="00E2631E">
      <w:pPr>
        <w:pStyle w:val="Heading2"/>
        <w:spacing w:after="240"/>
        <w:rPr>
          <w:rFonts w:cs="Segoe UI"/>
        </w:rPr>
      </w:pPr>
      <w:bookmarkStart w:id="83" w:name="_Toc215236529"/>
      <w:bookmarkStart w:id="84" w:name="_Toc216376559"/>
      <w:r w:rsidRPr="00EA17ED">
        <w:rPr>
          <w:rFonts w:cs="Segoe UI"/>
        </w:rPr>
        <w:lastRenderedPageBreak/>
        <w:t xml:space="preserve">Top conditions contributing to </w:t>
      </w:r>
      <w:r>
        <w:rPr>
          <w:rFonts w:cs="Segoe UI"/>
        </w:rPr>
        <w:t>premature death</w:t>
      </w:r>
      <w:r w:rsidRPr="00EA17ED">
        <w:rPr>
          <w:rFonts w:cs="Segoe UI"/>
        </w:rPr>
        <w:t xml:space="preserve"> for Māori</w:t>
      </w:r>
      <w:bookmarkEnd w:id="82"/>
      <w:bookmarkEnd w:id="83"/>
      <w:bookmarkEnd w:id="84"/>
    </w:p>
    <w:p w14:paraId="5F44AB1A" w14:textId="77777777" w:rsidR="00E2631E" w:rsidRDefault="00E2631E" w:rsidP="00E2631E">
      <w:pPr>
        <w:rPr>
          <w:rFonts w:cs="Segoe UI"/>
          <w:szCs w:val="22"/>
        </w:rPr>
      </w:pPr>
      <w:r w:rsidRPr="00EA17ED">
        <w:rPr>
          <w:rFonts w:cs="Segoe UI"/>
          <w:szCs w:val="22"/>
        </w:rPr>
        <w:t xml:space="preserve">Māori experience a greater burden from premature death across a broad range of conditions. This section explores the equity gap between Māori and non-Māori </w:t>
      </w:r>
      <w:r>
        <w:rPr>
          <w:rFonts w:cs="Segoe UI"/>
          <w:szCs w:val="22"/>
        </w:rPr>
        <w:t xml:space="preserve">in the context of </w:t>
      </w:r>
      <w:r w:rsidRPr="00EA17ED">
        <w:rPr>
          <w:rFonts w:cs="Segoe UI"/>
          <w:szCs w:val="22"/>
        </w:rPr>
        <w:t xml:space="preserve">YLL and discusses the conditions that contribute the most to this gap. The Ministry </w:t>
      </w:r>
      <w:r>
        <w:rPr>
          <w:rFonts w:cs="Segoe UI"/>
          <w:szCs w:val="22"/>
        </w:rPr>
        <w:t xml:space="preserve">of Health </w:t>
      </w:r>
      <w:r w:rsidRPr="00EA17ED">
        <w:rPr>
          <w:rFonts w:cs="Segoe UI"/>
          <w:szCs w:val="22"/>
        </w:rPr>
        <w:t>defines equity as</w:t>
      </w:r>
      <w:r>
        <w:rPr>
          <w:rFonts w:cs="Segoe UI"/>
          <w:szCs w:val="22"/>
        </w:rPr>
        <w:t xml:space="preserve"> follows</w:t>
      </w:r>
      <w:r w:rsidRPr="00EA17ED">
        <w:rPr>
          <w:rFonts w:cs="Segoe UI"/>
          <w:szCs w:val="22"/>
        </w:rPr>
        <w:t>: ‘in New Zealand, people have differences in health that are not only avoidable but unfair and unjust. Equity recognises different people with different levels of advantage require different approaches and resources to get equitable health outcomes’</w:t>
      </w:r>
      <w:r>
        <w:rPr>
          <w:rFonts w:cs="Segoe UI"/>
          <w:szCs w:val="22"/>
        </w:rPr>
        <w:t xml:space="preserve"> </w:t>
      </w:r>
      <w:r>
        <w:rPr>
          <w:rFonts w:cs="Segoe UI"/>
          <w:noProof/>
          <w:szCs w:val="22"/>
        </w:rPr>
        <w:t>(Health New Zealand 2017)</w:t>
      </w:r>
      <w:r w:rsidRPr="00EA17ED">
        <w:rPr>
          <w:rFonts w:cs="Segoe UI"/>
          <w:szCs w:val="22"/>
        </w:rPr>
        <w:t>.</w:t>
      </w:r>
    </w:p>
    <w:p w14:paraId="71BF1E46" w14:textId="77777777" w:rsidR="00E2631E" w:rsidRPr="00EA17ED" w:rsidRDefault="00E2631E" w:rsidP="00E2631E">
      <w:pPr>
        <w:rPr>
          <w:rFonts w:cs="Segoe UI"/>
          <w:szCs w:val="22"/>
        </w:rPr>
      </w:pPr>
    </w:p>
    <w:p w14:paraId="6864EDA4" w14:textId="3E45D36A" w:rsidR="00E2631E" w:rsidRDefault="00E2631E" w:rsidP="00E2631E">
      <w:pPr>
        <w:rPr>
          <w:rFonts w:cs="Segoe UI"/>
        </w:rPr>
      </w:pPr>
      <w:r>
        <w:rPr>
          <w:rFonts w:cs="Segoe UI"/>
        </w:rPr>
        <w:fldChar w:fldCharType="begin"/>
      </w:r>
      <w:r w:rsidRPr="64EE5628">
        <w:rPr>
          <w:rFonts w:cs="Segoe UI"/>
        </w:rPr>
        <w:instrText xml:space="preserve"> REF _Ref198648505 \h </w:instrText>
      </w:r>
      <w:r>
        <w:rPr>
          <w:rFonts w:cs="Segoe UI"/>
        </w:rPr>
      </w:r>
      <w:r>
        <w:rPr>
          <w:rFonts w:cs="Segoe UI"/>
        </w:rPr>
        <w:fldChar w:fldCharType="separate"/>
      </w:r>
      <w:r w:rsidR="000E725A">
        <w:t xml:space="preserve">Figure </w:t>
      </w:r>
      <w:r w:rsidR="000E725A">
        <w:rPr>
          <w:noProof/>
        </w:rPr>
        <w:t>7</w:t>
      </w:r>
      <w:r>
        <w:rPr>
          <w:rFonts w:cs="Segoe UI"/>
        </w:rPr>
        <w:fldChar w:fldCharType="end"/>
      </w:r>
      <w:r>
        <w:rPr>
          <w:rFonts w:cs="Segoe UI"/>
        </w:rPr>
        <w:t xml:space="preserve"> </w:t>
      </w:r>
      <w:r w:rsidRPr="64EE5628">
        <w:rPr>
          <w:rFonts w:cs="Segoe UI"/>
        </w:rPr>
        <w:t xml:space="preserve">shows age-standardised rates for level 2 causes of YLL for Māori and non-Māori in 2021. Cardiovascular diseases and cancers </w:t>
      </w:r>
      <w:r>
        <w:rPr>
          <w:rFonts w:cs="Segoe UI"/>
        </w:rPr>
        <w:t xml:space="preserve">were associated with </w:t>
      </w:r>
      <w:r w:rsidRPr="64EE5628">
        <w:rPr>
          <w:rFonts w:cs="Segoe UI"/>
        </w:rPr>
        <w:t xml:space="preserve">the highest age-standardised YLL rates for Māori. When compared to </w:t>
      </w:r>
      <w:r>
        <w:rPr>
          <w:rFonts w:cs="Segoe UI"/>
        </w:rPr>
        <w:t xml:space="preserve">rates for </w:t>
      </w:r>
      <w:r w:rsidRPr="64EE5628">
        <w:rPr>
          <w:rFonts w:cs="Segoe UI"/>
        </w:rPr>
        <w:t xml:space="preserve">non-Māori, they </w:t>
      </w:r>
      <w:r>
        <w:rPr>
          <w:rFonts w:cs="Segoe UI"/>
        </w:rPr>
        <w:t xml:space="preserve">were </w:t>
      </w:r>
      <w:r w:rsidRPr="64EE5628">
        <w:rPr>
          <w:rFonts w:cs="Segoe UI"/>
        </w:rPr>
        <w:t xml:space="preserve">also </w:t>
      </w:r>
      <w:r>
        <w:rPr>
          <w:rFonts w:cs="Segoe UI"/>
        </w:rPr>
        <w:t xml:space="preserve">associated with </w:t>
      </w:r>
      <w:r w:rsidRPr="64EE5628">
        <w:rPr>
          <w:rFonts w:cs="Segoe UI"/>
        </w:rPr>
        <w:t>the greatest absolute difference</w:t>
      </w:r>
      <w:r>
        <w:rPr>
          <w:rFonts w:cs="Segoe UI"/>
        </w:rPr>
        <w:t>:</w:t>
      </w:r>
      <w:r w:rsidRPr="64EE5628">
        <w:rPr>
          <w:rFonts w:cs="Segoe UI"/>
        </w:rPr>
        <w:t xml:space="preserve"> 2,020 per 100,000</w:t>
      </w:r>
      <w:r w:rsidRPr="64EE5628">
        <w:rPr>
          <w:rFonts w:cs="Segoe UI"/>
          <w:color w:val="FF0000"/>
        </w:rPr>
        <w:t xml:space="preserve"> </w:t>
      </w:r>
      <w:r w:rsidRPr="64EE5628">
        <w:rPr>
          <w:rFonts w:cs="Segoe UI"/>
        </w:rPr>
        <w:t xml:space="preserve">for cardiovascular diseases and 1,941 per 100,000 for cancers. The YLL rates for these two conditions </w:t>
      </w:r>
      <w:r>
        <w:rPr>
          <w:rFonts w:cs="Segoe UI"/>
        </w:rPr>
        <w:t xml:space="preserve">were </w:t>
      </w:r>
      <w:r w:rsidRPr="64EE5628">
        <w:rPr>
          <w:rFonts w:cs="Segoe UI"/>
        </w:rPr>
        <w:t xml:space="preserve">about twice as high for Māori </w:t>
      </w:r>
      <w:r>
        <w:rPr>
          <w:rFonts w:cs="Segoe UI"/>
        </w:rPr>
        <w:t xml:space="preserve">as they were for </w:t>
      </w:r>
      <w:r w:rsidRPr="64EE5628">
        <w:rPr>
          <w:rFonts w:cs="Segoe UI"/>
        </w:rPr>
        <w:t>non-Māori.</w:t>
      </w:r>
    </w:p>
    <w:p w14:paraId="3725A9FB" w14:textId="77777777" w:rsidR="00E2631E" w:rsidRPr="00EA17ED" w:rsidRDefault="00E2631E" w:rsidP="00E2631E">
      <w:pPr>
        <w:rPr>
          <w:rFonts w:cs="Segoe UI"/>
        </w:rPr>
      </w:pPr>
    </w:p>
    <w:p w14:paraId="02FDADAF" w14:textId="0651A5DA" w:rsidR="00E2631E" w:rsidRDefault="00E2631E" w:rsidP="00E2631E">
      <w:pPr>
        <w:pStyle w:val="Figure"/>
      </w:pPr>
      <w:bookmarkStart w:id="85" w:name="_Ref198648505"/>
      <w:bookmarkStart w:id="86" w:name="_Toc215236557"/>
      <w:bookmarkStart w:id="87" w:name="_Toc216377192"/>
      <w:r>
        <w:t xml:space="preserve">Figure </w:t>
      </w:r>
      <w:r>
        <w:fldChar w:fldCharType="begin"/>
      </w:r>
      <w:r>
        <w:instrText xml:space="preserve"> SEQ Figure \* ARABIC </w:instrText>
      </w:r>
      <w:r>
        <w:fldChar w:fldCharType="separate"/>
      </w:r>
      <w:r w:rsidR="000E725A">
        <w:rPr>
          <w:noProof/>
        </w:rPr>
        <w:t>7</w:t>
      </w:r>
      <w:r>
        <w:fldChar w:fldCharType="end"/>
      </w:r>
      <w:bookmarkEnd w:id="85"/>
      <w:r>
        <w:t xml:space="preserve">: </w:t>
      </w:r>
      <w:r w:rsidRPr="009519CE">
        <w:t xml:space="preserve">Māori and non-Māori age-standardised </w:t>
      </w:r>
      <w:r>
        <w:t xml:space="preserve">years of life lost </w:t>
      </w:r>
      <w:r w:rsidRPr="009519CE">
        <w:t>rates by ten leading level 2 causes</w:t>
      </w:r>
      <w:r>
        <w:t>,</w:t>
      </w:r>
      <w:r w:rsidRPr="009519CE">
        <w:t xml:space="preserve"> 2021</w:t>
      </w:r>
      <w:bookmarkEnd w:id="86"/>
      <w:bookmarkEnd w:id="87"/>
    </w:p>
    <w:p w14:paraId="58FCC4C6" w14:textId="77777777" w:rsidR="00E2631E" w:rsidRDefault="00E2631E" w:rsidP="00E2631E">
      <w:pPr>
        <w:keepNext/>
        <w:jc w:val="both"/>
        <w:rPr>
          <w:rFonts w:cs="Segoe UI"/>
        </w:rPr>
      </w:pPr>
      <w:r w:rsidRPr="00EA17ED">
        <w:rPr>
          <w:rFonts w:cs="Segoe UI"/>
          <w:noProof/>
        </w:rPr>
        <w:drawing>
          <wp:inline distT="0" distB="0" distL="0" distR="0" wp14:anchorId="5ECE0D16" wp14:editId="2D1CB646">
            <wp:extent cx="4838700" cy="3024454"/>
            <wp:effectExtent l="0" t="0" r="0" b="5080"/>
            <wp:docPr id="321560831" name="Picture 321560831" descr="A horizontal bar chart comparing Māori and non-Māori age-standardised YLL rates for ten leading causes in 2021. Māori bars are consistently longer, especially for cardiovascular diseases and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60831" name="Picture 321560831" descr="A horizontal bar chart comparing Māori and non-Māori age-standardised YLL rates for ten leading causes in 2021. Māori bars are consistently longer, especially for cardiovascular diseases and cancer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49431" cy="3031161"/>
                    </a:xfrm>
                    <a:prstGeom prst="rect">
                      <a:avLst/>
                    </a:prstGeom>
                  </pic:spPr>
                </pic:pic>
              </a:graphicData>
            </a:graphic>
          </wp:inline>
        </w:drawing>
      </w:r>
    </w:p>
    <w:p w14:paraId="7415D498" w14:textId="77777777" w:rsidR="00E2631E" w:rsidRPr="00E2631E" w:rsidRDefault="00E2631E" w:rsidP="00E2631E">
      <w:pPr>
        <w:pStyle w:val="Note"/>
      </w:pPr>
      <w:r w:rsidRPr="00E2631E">
        <w:t>Note: the bars indicate 95% uncertainty intervals</w:t>
      </w:r>
    </w:p>
    <w:p w14:paraId="134EF273" w14:textId="77777777" w:rsidR="00E2631E" w:rsidRDefault="00E2631E" w:rsidP="00E2631E">
      <w:pPr>
        <w:jc w:val="both"/>
        <w:rPr>
          <w:rFonts w:cs="Segoe UI"/>
        </w:rPr>
      </w:pPr>
    </w:p>
    <w:p w14:paraId="0489B4F2" w14:textId="1CE2F68D" w:rsidR="00E2631E" w:rsidRDefault="00E2631E" w:rsidP="00E2631E">
      <w:pPr>
        <w:jc w:val="both"/>
        <w:rPr>
          <w:rFonts w:cs="Segoe UI"/>
        </w:rPr>
      </w:pPr>
      <w:r w:rsidRPr="00EA17ED">
        <w:rPr>
          <w:rFonts w:cs="Segoe UI"/>
        </w:rPr>
        <w:t>In 2021, the level 2 causes of YLL with the greatest equity gaps (measure</w:t>
      </w:r>
      <w:r>
        <w:rPr>
          <w:rFonts w:cs="Segoe UI"/>
        </w:rPr>
        <w:t>d</w:t>
      </w:r>
      <w:r w:rsidRPr="00EA17ED">
        <w:rPr>
          <w:rFonts w:cs="Segoe UI"/>
        </w:rPr>
        <w:t xml:space="preserve"> by rate ratios) were diabetes and kidney disease,</w:t>
      </w:r>
      <w:r w:rsidRPr="00EA17ED">
        <w:rPr>
          <w:rFonts w:cs="Segoe UI"/>
          <w14:ligatures w14:val="standardContextual"/>
        </w:rPr>
        <w:t xml:space="preserve"> </w:t>
      </w:r>
      <w:r w:rsidRPr="00EA17ED">
        <w:rPr>
          <w:rFonts w:cs="Segoe UI"/>
        </w:rPr>
        <w:t>and chronic respiratory diseases (</w:t>
      </w:r>
      <w:r w:rsidRPr="64EE5628">
        <w:rPr>
          <w:rFonts w:cs="Segoe UI"/>
        </w:rPr>
        <w:fldChar w:fldCharType="begin"/>
      </w:r>
      <w:r>
        <w:rPr>
          <w:rFonts w:cs="Segoe UI"/>
        </w:rPr>
        <w:instrText xml:space="preserve"> REF _Ref198648572 \h </w:instrText>
      </w:r>
      <w:r w:rsidRPr="64EE5628">
        <w:rPr>
          <w:rFonts w:cs="Segoe UI"/>
        </w:rPr>
      </w:r>
      <w:r w:rsidRPr="64EE5628">
        <w:rPr>
          <w:rFonts w:cs="Segoe UI"/>
        </w:rPr>
        <w:fldChar w:fldCharType="separate"/>
      </w:r>
      <w:r w:rsidR="000E725A">
        <w:t xml:space="preserve">Figure </w:t>
      </w:r>
      <w:r w:rsidR="000E725A">
        <w:rPr>
          <w:noProof/>
        </w:rPr>
        <w:t>8</w:t>
      </w:r>
      <w:r w:rsidRPr="64EE5628">
        <w:rPr>
          <w:rFonts w:cs="Segoe UI"/>
        </w:rPr>
        <w:fldChar w:fldCharType="end"/>
      </w:r>
      <w:r w:rsidRPr="00EA17ED">
        <w:rPr>
          <w:rFonts w:cs="Segoe UI"/>
        </w:rPr>
        <w:t xml:space="preserve">). Age-standardised YLL rates for diabetes and kidney diseases were more than </w:t>
      </w:r>
      <w:r>
        <w:rPr>
          <w:rFonts w:cs="Segoe UI"/>
        </w:rPr>
        <w:t>four</w:t>
      </w:r>
      <w:r w:rsidRPr="00EA17ED">
        <w:rPr>
          <w:rFonts w:cs="Segoe UI"/>
        </w:rPr>
        <w:t xml:space="preserve"> times higher, and chronic respiratory diseases</w:t>
      </w:r>
      <w:r>
        <w:rPr>
          <w:rFonts w:cs="Segoe UI"/>
        </w:rPr>
        <w:t xml:space="preserve"> nearly</w:t>
      </w:r>
      <w:r w:rsidRPr="00EA17ED">
        <w:rPr>
          <w:rFonts w:cs="Segoe UI"/>
        </w:rPr>
        <w:t xml:space="preserve"> </w:t>
      </w:r>
      <w:r>
        <w:rPr>
          <w:rFonts w:cs="Segoe UI"/>
        </w:rPr>
        <w:t xml:space="preserve">three </w:t>
      </w:r>
      <w:r w:rsidRPr="00EA17ED">
        <w:rPr>
          <w:rFonts w:cs="Segoe UI"/>
        </w:rPr>
        <w:t>times higher</w:t>
      </w:r>
      <w:r>
        <w:rPr>
          <w:rFonts w:cs="Segoe UI"/>
        </w:rPr>
        <w:t>,</w:t>
      </w:r>
      <w:r w:rsidRPr="00EA17ED">
        <w:rPr>
          <w:rFonts w:cs="Segoe UI"/>
        </w:rPr>
        <w:t xml:space="preserve"> for Māori compared to non-Māori. </w:t>
      </w:r>
    </w:p>
    <w:p w14:paraId="31EF66C8" w14:textId="77777777" w:rsidR="00E2631E" w:rsidRPr="00EA17ED" w:rsidRDefault="00E2631E" w:rsidP="00E2631E">
      <w:pPr>
        <w:jc w:val="both"/>
        <w:rPr>
          <w:rFonts w:cs="Segoe UI"/>
        </w:rPr>
      </w:pPr>
    </w:p>
    <w:p w14:paraId="4846C958" w14:textId="50C2B755" w:rsidR="00E2631E" w:rsidRDefault="00E2631E" w:rsidP="00E2631E">
      <w:pPr>
        <w:pStyle w:val="Figure"/>
      </w:pPr>
      <w:bookmarkStart w:id="88" w:name="_Ref198648572"/>
      <w:bookmarkStart w:id="89" w:name="_Toc215236558"/>
      <w:bookmarkStart w:id="90" w:name="_Toc216377193"/>
      <w:r>
        <w:lastRenderedPageBreak/>
        <w:t xml:space="preserve">Figure </w:t>
      </w:r>
      <w:r>
        <w:fldChar w:fldCharType="begin"/>
      </w:r>
      <w:r>
        <w:instrText xml:space="preserve"> SEQ Figure \* ARABIC </w:instrText>
      </w:r>
      <w:r>
        <w:fldChar w:fldCharType="separate"/>
      </w:r>
      <w:r w:rsidR="000E725A">
        <w:rPr>
          <w:noProof/>
        </w:rPr>
        <w:t>8</w:t>
      </w:r>
      <w:r>
        <w:fldChar w:fldCharType="end"/>
      </w:r>
      <w:bookmarkEnd w:id="88"/>
      <w:r>
        <w:t xml:space="preserve">: </w:t>
      </w:r>
      <w:r w:rsidRPr="00374888">
        <w:t xml:space="preserve">Māori/non-Māori </w:t>
      </w:r>
      <w:r>
        <w:t xml:space="preserve">years of life lost </w:t>
      </w:r>
      <w:r w:rsidRPr="00374888">
        <w:t xml:space="preserve">age-standardised rate ratios for </w:t>
      </w:r>
      <w:r>
        <w:t>10</w:t>
      </w:r>
      <w:r w:rsidRPr="00374888">
        <w:t xml:space="preserve"> leading level 2 causes, 2021</w:t>
      </w:r>
      <w:bookmarkEnd w:id="89"/>
      <w:bookmarkEnd w:id="90"/>
    </w:p>
    <w:p w14:paraId="5EA701C5" w14:textId="77777777" w:rsidR="00E2631E" w:rsidRPr="00EA17ED" w:rsidRDefault="00E2631E" w:rsidP="00E2631E">
      <w:pPr>
        <w:keepNext/>
        <w:spacing w:line="278" w:lineRule="auto"/>
        <w:jc w:val="both"/>
        <w:rPr>
          <w:rFonts w:cs="Segoe UI"/>
        </w:rPr>
      </w:pPr>
      <w:r w:rsidRPr="00EA17ED">
        <w:rPr>
          <w:rFonts w:cs="Segoe UI"/>
          <w:noProof/>
        </w:rPr>
        <w:drawing>
          <wp:inline distT="0" distB="0" distL="0" distR="0" wp14:anchorId="18427F0B" wp14:editId="576571CF">
            <wp:extent cx="5118100" cy="2878507"/>
            <wp:effectExtent l="0" t="0" r="6350" b="0"/>
            <wp:docPr id="1556793326" name="Picture 6" descr="A horizontal bar chart showing rate ratios of Māori to non-Māori YLL for 10 leading level 2 causes in 2021. The longest bars are for diabetes and kidney diseases (almost double any other), chronic respiratory diseases, and transport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93326" name="Picture 6" descr="A horizontal bar chart showing rate ratios of Māori to non-Māori YLL for 10 leading level 2 causes in 2021. The longest bars are for diabetes and kidney diseases (almost double any other), chronic respiratory diseases, and transport injuri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4631" cy="2882180"/>
                    </a:xfrm>
                    <a:prstGeom prst="rect">
                      <a:avLst/>
                    </a:prstGeom>
                  </pic:spPr>
                </pic:pic>
              </a:graphicData>
            </a:graphic>
          </wp:inline>
        </w:drawing>
      </w:r>
    </w:p>
    <w:p w14:paraId="47FBC360" w14:textId="77777777" w:rsidR="00E2631E" w:rsidRDefault="00E2631E" w:rsidP="00E2631E">
      <w:pPr>
        <w:pStyle w:val="Note"/>
      </w:pPr>
      <w:r w:rsidRPr="009A1D13">
        <w:t xml:space="preserve">Note: the </w:t>
      </w:r>
      <w:r>
        <w:t>bars</w:t>
      </w:r>
      <w:r w:rsidRPr="009A1D13">
        <w:t xml:space="preserve"> indicate </w:t>
      </w:r>
      <w:r>
        <w:t xml:space="preserve">95% </w:t>
      </w:r>
      <w:r w:rsidRPr="009A1D13">
        <w:t>uncertainty intervals</w:t>
      </w:r>
    </w:p>
    <w:p w14:paraId="171534EC" w14:textId="77777777" w:rsidR="00E2631E" w:rsidRPr="00EA17ED" w:rsidRDefault="00E2631E" w:rsidP="000E74C8">
      <w:pPr>
        <w:pStyle w:val="Heading2"/>
        <w:spacing w:after="240"/>
        <w:rPr>
          <w:rFonts w:cs="Segoe UI"/>
        </w:rPr>
      </w:pPr>
      <w:bookmarkStart w:id="91" w:name="_Toc187999531"/>
      <w:bookmarkStart w:id="92" w:name="_Toc215236530"/>
      <w:bookmarkStart w:id="93" w:name="_Toc216376560"/>
      <w:r w:rsidRPr="00EA17ED">
        <w:rPr>
          <w:rFonts w:cs="Segoe UI"/>
        </w:rPr>
        <w:t>Premature death for Māori across life stages</w:t>
      </w:r>
      <w:bookmarkEnd w:id="91"/>
      <w:bookmarkEnd w:id="92"/>
      <w:bookmarkEnd w:id="93"/>
    </w:p>
    <w:p w14:paraId="239C0F96" w14:textId="77777777" w:rsidR="00E2631E" w:rsidRDefault="00E2631E" w:rsidP="00E2631E">
      <w:pPr>
        <w:rPr>
          <w:rFonts w:cs="Segoe UI"/>
        </w:rPr>
      </w:pPr>
      <w:r w:rsidRPr="4E0E43B4">
        <w:rPr>
          <w:rFonts w:cs="Segoe UI"/>
        </w:rPr>
        <w:t>This section describes major causes of premature death across age groups for Māori. Māori have a younger age structure than non-Māori and experience poorer health outcomes at younger ages</w:t>
      </w:r>
      <w:r>
        <w:rPr>
          <w:rFonts w:cs="Segoe UI"/>
        </w:rPr>
        <w:t xml:space="preserve"> </w:t>
      </w:r>
      <w:r>
        <w:rPr>
          <w:rFonts w:cs="Segoe UI"/>
          <w:noProof/>
        </w:rPr>
        <w:t>(Sheridan et al 2024; Stats NZ 2022)</w:t>
      </w:r>
      <w:r w:rsidRPr="4E0E43B4">
        <w:rPr>
          <w:rFonts w:cs="Segoe UI"/>
        </w:rPr>
        <w:t xml:space="preserve">. </w:t>
      </w:r>
      <w:r>
        <w:rPr>
          <w:rFonts w:cs="Segoe UI"/>
        </w:rPr>
        <w:t>C</w:t>
      </w:r>
      <w:r w:rsidRPr="4E0E43B4">
        <w:rPr>
          <w:rFonts w:cs="Segoe UI"/>
        </w:rPr>
        <w:t>auses of early death change across life stages</w:t>
      </w:r>
      <w:r>
        <w:rPr>
          <w:rFonts w:cs="Segoe UI"/>
        </w:rPr>
        <w:t>:</w:t>
      </w:r>
      <w:r w:rsidRPr="4E0E43B4">
        <w:rPr>
          <w:rFonts w:cs="Segoe UI"/>
        </w:rPr>
        <w:t xml:space="preserve"> self-harm and road injuries </w:t>
      </w:r>
      <w:r>
        <w:rPr>
          <w:rFonts w:cs="Segoe UI"/>
        </w:rPr>
        <w:t>contribute more</w:t>
      </w:r>
      <w:r w:rsidRPr="4E0E43B4">
        <w:rPr>
          <w:rFonts w:cs="Segoe UI"/>
        </w:rPr>
        <w:t xml:space="preserve"> in the younger age groups, whereas non-communicable diseases such as </w:t>
      </w:r>
      <w:r>
        <w:rPr>
          <w:rFonts w:cs="Segoe UI"/>
        </w:rPr>
        <w:t>IHD</w:t>
      </w:r>
      <w:r w:rsidRPr="4E0E43B4">
        <w:rPr>
          <w:rFonts w:cs="Segoe UI"/>
        </w:rPr>
        <w:t xml:space="preserve">, lung cancer and COPD </w:t>
      </w:r>
      <w:r>
        <w:rPr>
          <w:rFonts w:cs="Segoe UI"/>
        </w:rPr>
        <w:t>are</w:t>
      </w:r>
      <w:r w:rsidRPr="4E0E43B4">
        <w:rPr>
          <w:rFonts w:cs="Segoe UI"/>
        </w:rPr>
        <w:t xml:space="preserve"> more </w:t>
      </w:r>
      <w:r>
        <w:rPr>
          <w:rFonts w:cs="Segoe UI"/>
        </w:rPr>
        <w:t>significant</w:t>
      </w:r>
      <w:r w:rsidRPr="4E0E43B4">
        <w:rPr>
          <w:rFonts w:cs="Segoe UI"/>
        </w:rPr>
        <w:t xml:space="preserve"> </w:t>
      </w:r>
      <w:r>
        <w:rPr>
          <w:rFonts w:cs="Segoe UI"/>
        </w:rPr>
        <w:t xml:space="preserve">in </w:t>
      </w:r>
      <w:r w:rsidRPr="4E0E43B4">
        <w:rPr>
          <w:rFonts w:cs="Segoe UI"/>
        </w:rPr>
        <w:t xml:space="preserve">older age groups. </w:t>
      </w:r>
    </w:p>
    <w:p w14:paraId="27F96F60" w14:textId="77777777" w:rsidR="00E2631E" w:rsidRPr="00EA17ED" w:rsidRDefault="00E2631E" w:rsidP="00E2631E">
      <w:pPr>
        <w:rPr>
          <w:rFonts w:cs="Segoe UI"/>
        </w:rPr>
      </w:pPr>
    </w:p>
    <w:p w14:paraId="350EBCC4" w14:textId="0A30E7E4" w:rsidR="00E2631E" w:rsidRPr="00EA17ED" w:rsidRDefault="00E2631E" w:rsidP="00E2631E">
      <w:pPr>
        <w:rPr>
          <w:rFonts w:cs="Segoe UI"/>
        </w:rPr>
      </w:pPr>
      <w:r w:rsidRPr="00EA17ED">
        <w:rPr>
          <w:rFonts w:cs="Segoe UI"/>
        </w:rPr>
        <w:t xml:space="preserve">A greater proportion of </w:t>
      </w:r>
      <w:r>
        <w:rPr>
          <w:rFonts w:cs="Segoe UI"/>
        </w:rPr>
        <w:t xml:space="preserve">YLL </w:t>
      </w:r>
      <w:r w:rsidRPr="00EA17ED">
        <w:rPr>
          <w:rFonts w:cs="Segoe UI"/>
        </w:rPr>
        <w:t>occurs earlier in life for Māori compared to non-Māori</w:t>
      </w:r>
      <w:r>
        <w:rPr>
          <w:rFonts w:cs="Segoe UI"/>
        </w:rPr>
        <w:t xml:space="preserve"> (</w:t>
      </w:r>
      <w:r>
        <w:rPr>
          <w:rFonts w:cs="Segoe UI"/>
        </w:rPr>
        <w:fldChar w:fldCharType="begin"/>
      </w:r>
      <w:r>
        <w:rPr>
          <w:rFonts w:cs="Segoe UI"/>
        </w:rPr>
        <w:instrText xml:space="preserve"> REF _Ref198648609 \h </w:instrText>
      </w:r>
      <w:r>
        <w:rPr>
          <w:rFonts w:cs="Segoe UI"/>
        </w:rPr>
      </w:r>
      <w:r>
        <w:rPr>
          <w:rFonts w:cs="Segoe UI"/>
        </w:rPr>
        <w:fldChar w:fldCharType="separate"/>
      </w:r>
      <w:r w:rsidR="000E725A">
        <w:t xml:space="preserve">Figure </w:t>
      </w:r>
      <w:r w:rsidR="000E725A">
        <w:rPr>
          <w:noProof/>
        </w:rPr>
        <w:t>9</w:t>
      </w:r>
      <w:r>
        <w:rPr>
          <w:rFonts w:cs="Segoe UI"/>
        </w:rPr>
        <w:fldChar w:fldCharType="end"/>
      </w:r>
      <w:r>
        <w:rPr>
          <w:rFonts w:cs="Segoe UI"/>
        </w:rPr>
        <w:t>).</w:t>
      </w:r>
      <w:r w:rsidRPr="00EA17ED">
        <w:rPr>
          <w:rFonts w:cs="Segoe UI"/>
        </w:rPr>
        <w:t xml:space="preserve"> For </w:t>
      </w:r>
      <w:r>
        <w:rPr>
          <w:rFonts w:cs="Segoe UI"/>
        </w:rPr>
        <w:t xml:space="preserve">example, </w:t>
      </w:r>
      <w:r w:rsidRPr="00EA17ED">
        <w:rPr>
          <w:rFonts w:cs="Segoe UI"/>
        </w:rPr>
        <w:t xml:space="preserve">8% of the total number of YLL occurred in Māori </w:t>
      </w:r>
      <w:r>
        <w:rPr>
          <w:rFonts w:cs="Segoe UI"/>
        </w:rPr>
        <w:t xml:space="preserve">aged </w:t>
      </w:r>
      <w:r w:rsidRPr="00EA17ED">
        <w:rPr>
          <w:rFonts w:cs="Segoe UI"/>
        </w:rPr>
        <w:t xml:space="preserve">under </w:t>
      </w:r>
      <w:r>
        <w:rPr>
          <w:rFonts w:cs="Segoe UI"/>
        </w:rPr>
        <w:t xml:space="preserve">five </w:t>
      </w:r>
      <w:r w:rsidRPr="00EA17ED">
        <w:rPr>
          <w:rFonts w:cs="Segoe UI"/>
        </w:rPr>
        <w:t xml:space="preserve">years, compared to 3% for non-Māori. The </w:t>
      </w:r>
      <w:r>
        <w:rPr>
          <w:rFonts w:cs="Segoe UI"/>
        </w:rPr>
        <w:t>five</w:t>
      </w:r>
      <w:r w:rsidRPr="00EA17ED">
        <w:rPr>
          <w:rFonts w:cs="Segoe UI"/>
        </w:rPr>
        <w:t xml:space="preserve">-year age </w:t>
      </w:r>
      <w:r>
        <w:rPr>
          <w:rFonts w:cs="Segoe UI"/>
        </w:rPr>
        <w:t>group</w:t>
      </w:r>
      <w:r w:rsidRPr="00EA17ED">
        <w:rPr>
          <w:rFonts w:cs="Segoe UI"/>
        </w:rPr>
        <w:t xml:space="preserve"> with the highest proportion of YLL was younger for Māori, peaking at 60</w:t>
      </w:r>
      <w:r>
        <w:rPr>
          <w:rFonts w:cs="Segoe UI"/>
        </w:rPr>
        <w:t>–</w:t>
      </w:r>
      <w:r w:rsidRPr="00EA17ED">
        <w:rPr>
          <w:rFonts w:cs="Segoe UI"/>
        </w:rPr>
        <w:t>64 years, compared to 75</w:t>
      </w:r>
      <w:r>
        <w:rPr>
          <w:rFonts w:cs="Segoe UI"/>
        </w:rPr>
        <w:t>–</w:t>
      </w:r>
      <w:r w:rsidRPr="00EA17ED">
        <w:rPr>
          <w:rFonts w:cs="Segoe UI"/>
        </w:rPr>
        <w:t>79 years for non-Māori.</w:t>
      </w:r>
      <w:r w:rsidRPr="00EA17ED" w:rsidDel="00F8705A">
        <w:rPr>
          <w:rFonts w:cs="Segoe UI"/>
        </w:rPr>
        <w:t xml:space="preserve"> </w:t>
      </w:r>
      <w:r w:rsidRPr="00EA17ED">
        <w:rPr>
          <w:rFonts w:cs="Segoe UI"/>
        </w:rPr>
        <w:t xml:space="preserve">The lower proportion of YLL in the 70+ age groups </w:t>
      </w:r>
      <w:r>
        <w:rPr>
          <w:rFonts w:cs="Segoe UI"/>
        </w:rPr>
        <w:t xml:space="preserve">shows </w:t>
      </w:r>
      <w:r w:rsidRPr="00EA17ED">
        <w:rPr>
          <w:rFonts w:cs="Segoe UI"/>
        </w:rPr>
        <w:t xml:space="preserve">that a higher rate of deaths occurs earlier for Māori compared to non-Māori. </w:t>
      </w:r>
    </w:p>
    <w:p w14:paraId="116C8BCA" w14:textId="3361AD9F" w:rsidR="00E2631E" w:rsidRDefault="00E2631E" w:rsidP="00E2631E">
      <w:pPr>
        <w:pStyle w:val="Figure"/>
      </w:pPr>
      <w:bookmarkStart w:id="94" w:name="_Ref198648609"/>
      <w:bookmarkStart w:id="95" w:name="_Toc215236559"/>
      <w:bookmarkStart w:id="96" w:name="_Toc216377194"/>
      <w:r>
        <w:lastRenderedPageBreak/>
        <w:t xml:space="preserve">Figure </w:t>
      </w:r>
      <w:r>
        <w:fldChar w:fldCharType="begin"/>
      </w:r>
      <w:r>
        <w:instrText xml:space="preserve"> SEQ Figure \* ARABIC </w:instrText>
      </w:r>
      <w:r>
        <w:fldChar w:fldCharType="separate"/>
      </w:r>
      <w:r w:rsidR="000E725A">
        <w:rPr>
          <w:noProof/>
        </w:rPr>
        <w:t>9</w:t>
      </w:r>
      <w:r>
        <w:fldChar w:fldCharType="end"/>
      </w:r>
      <w:bookmarkEnd w:id="94"/>
      <w:r>
        <w:t xml:space="preserve">: </w:t>
      </w:r>
      <w:r w:rsidRPr="00063ED9">
        <w:t xml:space="preserve">Proportion of </w:t>
      </w:r>
      <w:r>
        <w:t xml:space="preserve">years of life lost </w:t>
      </w:r>
      <w:r w:rsidRPr="00063ED9">
        <w:t xml:space="preserve">for Māori and non-Māori by age </w:t>
      </w:r>
      <w:r>
        <w:t>group</w:t>
      </w:r>
      <w:r w:rsidRPr="00063ED9">
        <w:t>, 2021</w:t>
      </w:r>
      <w:bookmarkEnd w:id="95"/>
      <w:bookmarkEnd w:id="96"/>
    </w:p>
    <w:p w14:paraId="0C3B7D08" w14:textId="77777777" w:rsidR="00E2631E" w:rsidRPr="00EA17ED" w:rsidRDefault="00E2631E" w:rsidP="00E2631E">
      <w:pPr>
        <w:keepNext/>
        <w:jc w:val="both"/>
        <w:rPr>
          <w:rFonts w:cs="Segoe UI"/>
        </w:rPr>
      </w:pPr>
      <w:r>
        <w:rPr>
          <w:rFonts w:cs="Segoe UI"/>
          <w:noProof/>
          <w14:ligatures w14:val="standardContextual"/>
        </w:rPr>
        <w:drawing>
          <wp:inline distT="0" distB="0" distL="0" distR="0" wp14:anchorId="794CB40B" wp14:editId="28DFE5EF">
            <wp:extent cx="4819650" cy="2710655"/>
            <wp:effectExtent l="0" t="0" r="0" b="0"/>
            <wp:docPr id="1603988204" name="Picture 8" descr="A vertical bar chart showing the percentage of YLL by five-year age bands for Māori and non-Māori in 2021. Māori bars are taller in younger age bands, while non-Māori bars are taller from 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88204" name="Picture 8" descr="A vertical bar chart showing the percentage of YLL by five-year age bands for Māori and non-Māori in 2021. Māori bars are taller in younger age bands, while non-Māori bars are taller from age 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25367" cy="2713871"/>
                    </a:xfrm>
                    <a:prstGeom prst="rect">
                      <a:avLst/>
                    </a:prstGeom>
                  </pic:spPr>
                </pic:pic>
              </a:graphicData>
            </a:graphic>
          </wp:inline>
        </w:drawing>
      </w:r>
    </w:p>
    <w:p w14:paraId="61385BAB" w14:textId="77777777" w:rsidR="00E2631E" w:rsidRPr="00EA17ED" w:rsidRDefault="00E2631E" w:rsidP="00E2631E">
      <w:pPr>
        <w:jc w:val="both"/>
        <w:rPr>
          <w:rFonts w:cs="Segoe UI"/>
        </w:rPr>
      </w:pPr>
    </w:p>
    <w:p w14:paraId="1C12241D" w14:textId="662BBD64" w:rsidR="00E2631E" w:rsidRDefault="00E2631E" w:rsidP="00E2631E">
      <w:pPr>
        <w:spacing w:line="259" w:lineRule="auto"/>
        <w:rPr>
          <w:rFonts w:cs="Segoe UI"/>
        </w:rPr>
      </w:pPr>
      <w:r>
        <w:rPr>
          <w:rFonts w:cs="Segoe UI"/>
        </w:rPr>
        <w:t xml:space="preserve">When only looking at the Māori population across life stages, the number of YLLs shows the same trends evident in </w:t>
      </w:r>
      <w:r>
        <w:rPr>
          <w:rFonts w:cs="Segoe UI"/>
        </w:rPr>
        <w:fldChar w:fldCharType="begin"/>
      </w:r>
      <w:r>
        <w:rPr>
          <w:rFonts w:cs="Segoe UI"/>
        </w:rPr>
        <w:instrText xml:space="preserve"> REF _Ref198648609 \h </w:instrText>
      </w:r>
      <w:r>
        <w:rPr>
          <w:rFonts w:cs="Segoe UI"/>
        </w:rPr>
      </w:r>
      <w:r>
        <w:rPr>
          <w:rFonts w:cs="Segoe UI"/>
        </w:rPr>
        <w:fldChar w:fldCharType="separate"/>
      </w:r>
      <w:r w:rsidR="000E725A">
        <w:t xml:space="preserve">Figure </w:t>
      </w:r>
      <w:r w:rsidR="000E725A">
        <w:rPr>
          <w:noProof/>
        </w:rPr>
        <w:t>9</w:t>
      </w:r>
      <w:r>
        <w:rPr>
          <w:rFonts w:cs="Segoe UI"/>
        </w:rPr>
        <w:fldChar w:fldCharType="end"/>
      </w:r>
      <w:r>
        <w:rPr>
          <w:rFonts w:cs="Segoe UI"/>
        </w:rPr>
        <w:t>: the lowest number in the 5–14-year age group and the highest in the 45–64-year age group (</w:t>
      </w:r>
      <w:r>
        <w:rPr>
          <w:rFonts w:cs="Segoe UI"/>
        </w:rPr>
        <w:fldChar w:fldCharType="begin"/>
      </w:r>
      <w:r>
        <w:rPr>
          <w:rFonts w:cs="Segoe UI"/>
        </w:rPr>
        <w:instrText xml:space="preserve"> REF _Ref200448513 \h </w:instrText>
      </w:r>
      <w:r>
        <w:rPr>
          <w:rFonts w:cs="Segoe UI"/>
        </w:rPr>
      </w:r>
      <w:r>
        <w:rPr>
          <w:rFonts w:cs="Segoe UI"/>
        </w:rPr>
        <w:fldChar w:fldCharType="separate"/>
      </w:r>
      <w:r w:rsidR="000E725A">
        <w:t xml:space="preserve">Figure </w:t>
      </w:r>
      <w:r w:rsidR="000E725A">
        <w:rPr>
          <w:noProof/>
        </w:rPr>
        <w:t>10</w:t>
      </w:r>
      <w:r>
        <w:rPr>
          <w:rFonts w:cs="Segoe UI"/>
        </w:rPr>
        <w:fldChar w:fldCharType="end"/>
      </w:r>
      <w:r>
        <w:rPr>
          <w:rFonts w:cs="Segoe UI"/>
        </w:rPr>
        <w:t>).</w:t>
      </w:r>
    </w:p>
    <w:p w14:paraId="06E010E4" w14:textId="77777777" w:rsidR="00E2631E" w:rsidRDefault="00E2631E" w:rsidP="00E2631E">
      <w:pPr>
        <w:rPr>
          <w:rFonts w:cs="Segoe UI"/>
        </w:rPr>
      </w:pPr>
    </w:p>
    <w:p w14:paraId="5CF4B9C4" w14:textId="39BEC481" w:rsidR="00E2631E" w:rsidRDefault="00E2631E" w:rsidP="00E2631E">
      <w:pPr>
        <w:pStyle w:val="Figure"/>
      </w:pPr>
      <w:bookmarkStart w:id="97" w:name="_Ref200448513"/>
      <w:bookmarkStart w:id="98" w:name="_Toc215236560"/>
      <w:bookmarkStart w:id="99" w:name="_Toc216377195"/>
      <w:r>
        <w:t xml:space="preserve">Figure </w:t>
      </w:r>
      <w:r>
        <w:fldChar w:fldCharType="begin"/>
      </w:r>
      <w:r>
        <w:instrText xml:space="preserve"> SEQ Figure \* ARABIC </w:instrText>
      </w:r>
      <w:r>
        <w:fldChar w:fldCharType="separate"/>
      </w:r>
      <w:r w:rsidR="000E725A">
        <w:rPr>
          <w:noProof/>
        </w:rPr>
        <w:t>10</w:t>
      </w:r>
      <w:r>
        <w:fldChar w:fldCharType="end"/>
      </w:r>
      <w:bookmarkEnd w:id="97"/>
      <w:r>
        <w:t>: Number of years of life lost for Māori, by life stage, 2021</w:t>
      </w:r>
      <w:bookmarkEnd w:id="98"/>
      <w:bookmarkEnd w:id="99"/>
    </w:p>
    <w:p w14:paraId="33878439" w14:textId="77777777" w:rsidR="00E2631E" w:rsidRDefault="00E2631E" w:rsidP="00E2631E">
      <w:pPr>
        <w:keepNext/>
        <w:spacing w:line="259" w:lineRule="auto"/>
      </w:pPr>
      <w:r>
        <w:rPr>
          <w:noProof/>
        </w:rPr>
        <w:drawing>
          <wp:inline distT="0" distB="0" distL="0" distR="0" wp14:anchorId="44EEC672" wp14:editId="7895E0D9">
            <wp:extent cx="4883150" cy="2746368"/>
            <wp:effectExtent l="0" t="0" r="0" b="0"/>
            <wp:docPr id="2060836009" name="Picture 1" descr="A vertical bar chart showing the number of YLL for Māori by life stage in 2021. The highest bar is for the 45–6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36009" name="Picture 1" descr="A vertical bar chart showing the number of YLL for Māori by life stage in 2021. The highest bar is for the 45–64 age grou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94107" cy="2752530"/>
                    </a:xfrm>
                    <a:prstGeom prst="rect">
                      <a:avLst/>
                    </a:prstGeom>
                  </pic:spPr>
                </pic:pic>
              </a:graphicData>
            </a:graphic>
          </wp:inline>
        </w:drawing>
      </w:r>
    </w:p>
    <w:p w14:paraId="73289FB4" w14:textId="77777777" w:rsidR="00E2631E" w:rsidRDefault="00E2631E" w:rsidP="00E2631E">
      <w:pPr>
        <w:rPr>
          <w:rFonts w:cs="Segoe UI"/>
        </w:rPr>
      </w:pPr>
    </w:p>
    <w:p w14:paraId="70E84763" w14:textId="5791FB11" w:rsidR="00E2631E" w:rsidRDefault="00E2631E" w:rsidP="00E2631E">
      <w:pPr>
        <w:rPr>
          <w:rFonts w:cs="Segoe UI"/>
        </w:rPr>
      </w:pPr>
      <w:r w:rsidRPr="6AFBD985">
        <w:rPr>
          <w:rFonts w:cs="Segoe UI"/>
        </w:rPr>
        <w:t>There was a drop in the proportion and number of YLL for older age groups, likely caused by small Māori population sizes in those age groups (see Appendix 2, Figure S1). Adjusting for population size, the YLL rate increases as age increases, but Māori still have a higher rate of YLL at younger ages than non-Māori (</w:t>
      </w:r>
      <w:r>
        <w:rPr>
          <w:rFonts w:cs="Segoe UI"/>
        </w:rPr>
        <w:fldChar w:fldCharType="begin"/>
      </w:r>
      <w:r>
        <w:rPr>
          <w:rFonts w:cs="Segoe UI"/>
        </w:rPr>
        <w:instrText xml:space="preserve"> REF _Ref215231057 \h </w:instrText>
      </w:r>
      <w:r>
        <w:rPr>
          <w:rFonts w:cs="Segoe UI"/>
        </w:rPr>
      </w:r>
      <w:r>
        <w:rPr>
          <w:rFonts w:cs="Segoe UI"/>
        </w:rPr>
        <w:fldChar w:fldCharType="separate"/>
      </w:r>
      <w:r w:rsidR="000E725A">
        <w:t xml:space="preserve">Figure </w:t>
      </w:r>
      <w:r w:rsidR="000E725A">
        <w:rPr>
          <w:noProof/>
        </w:rPr>
        <w:t>11</w:t>
      </w:r>
      <w:r>
        <w:rPr>
          <w:rFonts w:cs="Segoe UI"/>
        </w:rPr>
        <w:fldChar w:fldCharType="end"/>
      </w:r>
      <w:r w:rsidRPr="6AFBD985">
        <w:rPr>
          <w:rFonts w:cs="Segoe UI"/>
        </w:rPr>
        <w:t xml:space="preserve">).  </w:t>
      </w:r>
    </w:p>
    <w:p w14:paraId="6F8B14B0" w14:textId="77777777" w:rsidR="00E2631E" w:rsidRDefault="00E2631E" w:rsidP="00E2631E">
      <w:pPr>
        <w:rPr>
          <w:rFonts w:cs="Segoe UI"/>
        </w:rPr>
      </w:pPr>
    </w:p>
    <w:p w14:paraId="1A078226" w14:textId="77777777" w:rsidR="00E2631E" w:rsidRDefault="00E2631E" w:rsidP="00E2631E">
      <w:pPr>
        <w:rPr>
          <w:rFonts w:cs="Segoe UI"/>
        </w:rPr>
      </w:pPr>
    </w:p>
    <w:p w14:paraId="2D18B5E9" w14:textId="38483C96" w:rsidR="00E2631E" w:rsidRDefault="00E2631E" w:rsidP="00E2631E">
      <w:pPr>
        <w:pStyle w:val="Figure"/>
      </w:pPr>
      <w:bookmarkStart w:id="100" w:name="_Ref215231057"/>
      <w:bookmarkStart w:id="101" w:name="_Toc215236561"/>
      <w:bookmarkStart w:id="102" w:name="_Toc216377196"/>
      <w:r>
        <w:lastRenderedPageBreak/>
        <w:t xml:space="preserve">Figure </w:t>
      </w:r>
      <w:r>
        <w:fldChar w:fldCharType="begin"/>
      </w:r>
      <w:r>
        <w:instrText xml:space="preserve"> SEQ Figure \* ARABIC </w:instrText>
      </w:r>
      <w:r>
        <w:fldChar w:fldCharType="separate"/>
      </w:r>
      <w:r w:rsidR="000E725A">
        <w:rPr>
          <w:noProof/>
        </w:rPr>
        <w:t>11</w:t>
      </w:r>
      <w:r>
        <w:fldChar w:fldCharType="end"/>
      </w:r>
      <w:bookmarkEnd w:id="100"/>
      <w:r>
        <w:t xml:space="preserve">: Rate of years of life lost per 100,000 </w:t>
      </w:r>
      <w:r w:rsidRPr="00063ED9">
        <w:t>for Māori and non-Māori</w:t>
      </w:r>
      <w:r>
        <w:t xml:space="preserve"> by age group, 2021</w:t>
      </w:r>
      <w:bookmarkEnd w:id="101"/>
      <w:bookmarkEnd w:id="102"/>
    </w:p>
    <w:p w14:paraId="280777C6" w14:textId="77777777" w:rsidR="00E2631E" w:rsidRDefault="00E2631E" w:rsidP="00E2631E">
      <w:pPr>
        <w:rPr>
          <w:rFonts w:cs="Segoe UI"/>
        </w:rPr>
      </w:pPr>
      <w:r>
        <w:rPr>
          <w:rFonts w:cs="Segoe UI"/>
          <w:noProof/>
        </w:rPr>
        <w:drawing>
          <wp:inline distT="0" distB="0" distL="0" distR="0" wp14:anchorId="0870F448" wp14:editId="6BCAEC6E">
            <wp:extent cx="5124450" cy="2882079"/>
            <wp:effectExtent l="0" t="0" r="0" b="0"/>
            <wp:docPr id="2116043464" name="Picture 5" descr="A bar graph showing YLL rates by age group. Māori rates are significantly higher than non-Māori across all adult age groups unde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43464" name="Picture 5" descr="A bar graph showing YLL rates by age group. Māori rates are significantly higher than non-Māori across all adult age groups under 9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136107" cy="2888635"/>
                    </a:xfrm>
                    <a:prstGeom prst="rect">
                      <a:avLst/>
                    </a:prstGeom>
                    <a:noFill/>
                    <a:ln>
                      <a:noFill/>
                    </a:ln>
                  </pic:spPr>
                </pic:pic>
              </a:graphicData>
            </a:graphic>
          </wp:inline>
        </w:drawing>
      </w:r>
    </w:p>
    <w:p w14:paraId="6927E366" w14:textId="77777777" w:rsidR="003016B6" w:rsidRDefault="003016B6" w:rsidP="00E2631E">
      <w:pPr>
        <w:rPr>
          <w:rFonts w:cs="Segoe UI"/>
        </w:rPr>
      </w:pPr>
    </w:p>
    <w:p w14:paraId="0077353F" w14:textId="70AE48B3" w:rsidR="00E2631E" w:rsidRDefault="00E2631E" w:rsidP="00E2631E">
      <w:pPr>
        <w:rPr>
          <w:rFonts w:cs="Segoe UI"/>
        </w:rPr>
      </w:pPr>
      <w:r>
        <w:rPr>
          <w:rFonts w:cs="Segoe UI"/>
        </w:rPr>
        <w:t>Figures 12 and 13</w:t>
      </w:r>
      <w:r w:rsidRPr="00EA17ED">
        <w:rPr>
          <w:rFonts w:cs="Segoe UI"/>
        </w:rPr>
        <w:t xml:space="preserve"> present the five leading causes of YLL across different life stages for </w:t>
      </w:r>
      <w:r w:rsidRPr="00EA17ED" w:rsidDel="008F7878">
        <w:rPr>
          <w:rFonts w:cs="Segoe UI"/>
        </w:rPr>
        <w:t>Māori</w:t>
      </w:r>
      <w:r w:rsidRPr="00EA17ED">
        <w:rPr>
          <w:rFonts w:cs="Segoe UI"/>
        </w:rPr>
        <w:t xml:space="preserve"> in 2021. For tamariki Māori under </w:t>
      </w:r>
      <w:r>
        <w:rPr>
          <w:rFonts w:cs="Segoe UI"/>
        </w:rPr>
        <w:t xml:space="preserve">five </w:t>
      </w:r>
      <w:r w:rsidRPr="00EA17ED">
        <w:rPr>
          <w:rFonts w:cs="Segoe UI"/>
        </w:rPr>
        <w:t>years, neonatal disorders contributed the largest proportion of YLL (</w:t>
      </w:r>
      <w:r w:rsidRPr="64EE5628">
        <w:rPr>
          <w:rFonts w:cs="Segoe UI"/>
        </w:rPr>
        <w:t>36</w:t>
      </w:r>
      <w:r w:rsidRPr="00EA17ED">
        <w:rPr>
          <w:rFonts w:cs="Segoe UI"/>
        </w:rPr>
        <w:t>%), with a total number of 3</w:t>
      </w:r>
      <w:r>
        <w:rPr>
          <w:rFonts w:cs="Segoe UI"/>
        </w:rPr>
        <w:t>,</w:t>
      </w:r>
      <w:r w:rsidRPr="00EA17ED">
        <w:rPr>
          <w:rFonts w:cs="Segoe UI"/>
        </w:rPr>
        <w:t xml:space="preserve">572 YLL. </w:t>
      </w:r>
      <w:r>
        <w:rPr>
          <w:rFonts w:cs="Segoe UI"/>
        </w:rPr>
        <w:t>In this age group, c</w:t>
      </w:r>
      <w:r w:rsidRPr="00EA17ED">
        <w:rPr>
          <w:rFonts w:cs="Segoe UI"/>
        </w:rPr>
        <w:t>ongenital birth defects accounted for 17% and sudden unexpected death in infancy (SUDI) accounted for 10%.</w:t>
      </w:r>
    </w:p>
    <w:p w14:paraId="32332F67" w14:textId="77777777" w:rsidR="003016B6" w:rsidRPr="00EA17ED" w:rsidRDefault="003016B6" w:rsidP="00E2631E">
      <w:pPr>
        <w:rPr>
          <w:rFonts w:cs="Segoe UI"/>
        </w:rPr>
      </w:pPr>
    </w:p>
    <w:p w14:paraId="784261EA" w14:textId="77777777" w:rsidR="00E2631E" w:rsidRDefault="00E2631E" w:rsidP="00E2631E">
      <w:pPr>
        <w:rPr>
          <w:rFonts w:cs="Segoe UI"/>
        </w:rPr>
      </w:pPr>
      <w:r w:rsidRPr="64EE5628">
        <w:rPr>
          <w:rFonts w:cs="Segoe UI"/>
        </w:rPr>
        <w:t>There was a low number of deaths contributing to YLL in the 5</w:t>
      </w:r>
      <w:r>
        <w:rPr>
          <w:rFonts w:cs="Segoe UI"/>
        </w:rPr>
        <w:t>–</w:t>
      </w:r>
      <w:r w:rsidRPr="64EE5628">
        <w:rPr>
          <w:rFonts w:cs="Segoe UI"/>
        </w:rPr>
        <w:t>14</w:t>
      </w:r>
      <w:r>
        <w:rPr>
          <w:rFonts w:cs="Segoe UI"/>
        </w:rPr>
        <w:t>-</w:t>
      </w:r>
      <w:r w:rsidRPr="64EE5628">
        <w:rPr>
          <w:rFonts w:cs="Segoe UI"/>
        </w:rPr>
        <w:t>year</w:t>
      </w:r>
      <w:r>
        <w:rPr>
          <w:rFonts w:cs="Segoe UI"/>
        </w:rPr>
        <w:t>-old</w:t>
      </w:r>
      <w:r w:rsidRPr="64EE5628">
        <w:rPr>
          <w:rFonts w:cs="Segoe UI"/>
        </w:rPr>
        <w:t xml:space="preserve"> age group in 2021</w:t>
      </w:r>
      <w:r>
        <w:rPr>
          <w:rFonts w:cs="Segoe UI"/>
        </w:rPr>
        <w:t>;</w:t>
      </w:r>
      <w:r w:rsidRPr="64EE5628">
        <w:rPr>
          <w:rFonts w:cs="Segoe UI"/>
        </w:rPr>
        <w:t xml:space="preserve"> therefore</w:t>
      </w:r>
      <w:r>
        <w:rPr>
          <w:rFonts w:cs="Segoe UI"/>
        </w:rPr>
        <w:t>,</w:t>
      </w:r>
      <w:r w:rsidRPr="64EE5628">
        <w:rPr>
          <w:rFonts w:cs="Segoe UI"/>
        </w:rPr>
        <w:t xml:space="preserve"> data in this group should be interpreted with caution. </w:t>
      </w:r>
    </w:p>
    <w:p w14:paraId="0743B3D7" w14:textId="77777777" w:rsidR="003016B6" w:rsidRPr="00426C43" w:rsidRDefault="003016B6" w:rsidP="00E2631E">
      <w:pPr>
        <w:rPr>
          <w:sz w:val="16"/>
          <w:szCs w:val="16"/>
        </w:rPr>
      </w:pPr>
    </w:p>
    <w:p w14:paraId="25B33869" w14:textId="77777777" w:rsidR="00E2631E" w:rsidRPr="00426C43" w:rsidRDefault="00E2631E" w:rsidP="00E2631E">
      <w:pPr>
        <w:rPr>
          <w:sz w:val="16"/>
          <w:szCs w:val="16"/>
        </w:rPr>
      </w:pPr>
      <w:r w:rsidRPr="00EA17ED">
        <w:rPr>
          <w:rFonts w:cs="Segoe UI"/>
        </w:rPr>
        <w:t>In 2021, self-harm was the leading contributor to YLL for both rangatahi Māori aged 15</w:t>
      </w:r>
      <w:r>
        <w:rPr>
          <w:rFonts w:cs="Segoe UI"/>
        </w:rPr>
        <w:t>–</w:t>
      </w:r>
      <w:r w:rsidRPr="00EA17ED">
        <w:rPr>
          <w:rFonts w:cs="Segoe UI"/>
        </w:rPr>
        <w:t>24 years and pakeke Māori aged 25</w:t>
      </w:r>
      <w:r>
        <w:rPr>
          <w:rFonts w:cs="Segoe UI"/>
        </w:rPr>
        <w:t>–</w:t>
      </w:r>
      <w:r w:rsidRPr="00EA17ED">
        <w:rPr>
          <w:rFonts w:cs="Segoe UI"/>
        </w:rPr>
        <w:t xml:space="preserve">44 years, followed by road injuries. Self-harm accounted for </w:t>
      </w:r>
      <w:r w:rsidRPr="64EE5628">
        <w:rPr>
          <w:rFonts w:cs="Segoe UI"/>
        </w:rPr>
        <w:t>34</w:t>
      </w:r>
      <w:r w:rsidRPr="00EA17ED">
        <w:rPr>
          <w:rFonts w:cs="Segoe UI"/>
        </w:rPr>
        <w:t xml:space="preserve">% of premature death for rangatahi and </w:t>
      </w:r>
      <w:r w:rsidRPr="64EE5628">
        <w:rPr>
          <w:rFonts w:cs="Segoe UI"/>
        </w:rPr>
        <w:t>19</w:t>
      </w:r>
      <w:r w:rsidRPr="00EA17ED">
        <w:rPr>
          <w:rFonts w:cs="Segoe UI"/>
        </w:rPr>
        <w:t>% for pakeke aged 25</w:t>
      </w:r>
      <w:r>
        <w:rPr>
          <w:rFonts w:cs="Segoe UI"/>
        </w:rPr>
        <w:t>–</w:t>
      </w:r>
      <w:r w:rsidRPr="00EA17ED">
        <w:rPr>
          <w:rFonts w:cs="Segoe UI"/>
        </w:rPr>
        <w:t>44 years. Road injuries accounted for 26% of premature death for rangatahi and 12% for pakeke aged 25</w:t>
      </w:r>
      <w:r>
        <w:rPr>
          <w:rFonts w:cs="Segoe UI"/>
        </w:rPr>
        <w:t>–</w:t>
      </w:r>
      <w:r w:rsidRPr="00EA17ED">
        <w:rPr>
          <w:rFonts w:cs="Segoe UI"/>
        </w:rPr>
        <w:t>44 years.</w:t>
      </w:r>
      <w:r>
        <w:rPr>
          <w:rFonts w:cs="Segoe UI"/>
        </w:rPr>
        <w:t xml:space="preserve"> </w:t>
      </w:r>
      <w:r w:rsidRPr="00EA17ED">
        <w:rPr>
          <w:rFonts w:cs="Segoe UI"/>
        </w:rPr>
        <w:t>Ischaemic heart disease and lung cancer were the top two contributors to YLL for pakeke aged 45</w:t>
      </w:r>
      <w:r>
        <w:rPr>
          <w:rFonts w:cs="Segoe UI"/>
        </w:rPr>
        <w:t>–</w:t>
      </w:r>
      <w:r w:rsidRPr="00EA17ED">
        <w:rPr>
          <w:rFonts w:cs="Segoe UI"/>
        </w:rPr>
        <w:t>64 years (</w:t>
      </w:r>
      <w:r>
        <w:rPr>
          <w:rFonts w:cs="Segoe UI"/>
        </w:rPr>
        <w:t xml:space="preserve">at </w:t>
      </w:r>
      <w:r w:rsidRPr="64EE5628">
        <w:rPr>
          <w:rFonts w:cs="Segoe UI"/>
        </w:rPr>
        <w:t>16</w:t>
      </w:r>
      <w:r w:rsidRPr="00EA17ED">
        <w:rPr>
          <w:rFonts w:cs="Segoe UI"/>
        </w:rPr>
        <w:t>% and 13% respectively) and kaumātua aged 65 years and over (</w:t>
      </w:r>
      <w:r>
        <w:rPr>
          <w:rFonts w:cs="Segoe UI"/>
        </w:rPr>
        <w:t xml:space="preserve">at </w:t>
      </w:r>
      <w:r w:rsidRPr="00EA17ED">
        <w:rPr>
          <w:rFonts w:cs="Segoe UI"/>
        </w:rPr>
        <w:t>16</w:t>
      </w:r>
      <w:r w:rsidRPr="64EE5628">
        <w:rPr>
          <w:rFonts w:cs="Segoe UI"/>
        </w:rPr>
        <w:t>% and 12</w:t>
      </w:r>
      <w:r w:rsidRPr="00EA17ED">
        <w:rPr>
          <w:rFonts w:cs="Segoe UI"/>
        </w:rPr>
        <w:t>% respectively).</w:t>
      </w:r>
    </w:p>
    <w:p w14:paraId="6055212C" w14:textId="573E6AA7" w:rsidR="00E2631E" w:rsidRDefault="00E2631E" w:rsidP="003016B6">
      <w:pPr>
        <w:pStyle w:val="Figure"/>
      </w:pPr>
      <w:bookmarkStart w:id="103" w:name="_Toc215236562"/>
      <w:bookmarkStart w:id="104" w:name="_Toc216377197"/>
      <w:r>
        <w:lastRenderedPageBreak/>
        <w:t xml:space="preserve">Figure </w:t>
      </w:r>
      <w:r>
        <w:fldChar w:fldCharType="begin"/>
      </w:r>
      <w:r>
        <w:instrText xml:space="preserve"> SEQ Figure \* ARABIC </w:instrText>
      </w:r>
      <w:r>
        <w:fldChar w:fldCharType="separate"/>
      </w:r>
      <w:r w:rsidR="000E725A">
        <w:rPr>
          <w:noProof/>
        </w:rPr>
        <w:t>12</w:t>
      </w:r>
      <w:r>
        <w:fldChar w:fldCharType="end"/>
      </w:r>
      <w:r>
        <w:t>: Relative contribution of the top six conditions to years of life lost, by life stage (0–24 years), 2021</w:t>
      </w:r>
      <w:bookmarkEnd w:id="103"/>
      <w:bookmarkEnd w:id="104"/>
    </w:p>
    <w:p w14:paraId="3CE67AD0" w14:textId="77777777" w:rsidR="00E2631E" w:rsidRDefault="00E2631E" w:rsidP="00E2631E">
      <w:pPr>
        <w:keepNext/>
      </w:pPr>
      <w:r>
        <w:rPr>
          <w:noProof/>
          <w14:ligatures w14:val="standardContextual"/>
        </w:rPr>
        <w:drawing>
          <wp:inline distT="0" distB="0" distL="0" distR="0" wp14:anchorId="7E180C27" wp14:editId="6675B9AA">
            <wp:extent cx="4847771" cy="4241800"/>
            <wp:effectExtent l="0" t="0" r="0" b="6350"/>
            <wp:docPr id="353546822" name="Picture 3" descr="A vertical stacked bar chart showing the top 6 causes of YLL for ages 0–4, 5–14 and 15–24. Neonatal disorders dominate under 5, while self-harm and road injuries dominate for ages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6822" name="Picture 3" descr="A vertical stacked bar chart showing the top 6 causes of YLL for ages 0–4, 5–14 and 15–24. Neonatal disorders dominate under 5, while self-harm and road injuries dominate for ages 15–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54809" cy="4247958"/>
                    </a:xfrm>
                    <a:prstGeom prst="rect">
                      <a:avLst/>
                    </a:prstGeom>
                  </pic:spPr>
                </pic:pic>
              </a:graphicData>
            </a:graphic>
          </wp:inline>
        </w:drawing>
      </w:r>
    </w:p>
    <w:p w14:paraId="710251A1" w14:textId="77777777" w:rsidR="00E2631E" w:rsidRDefault="00E2631E" w:rsidP="00E2631E">
      <w:pPr>
        <w:spacing w:line="259" w:lineRule="auto"/>
        <w:rPr>
          <w:rFonts w:cs="Segoe UI"/>
        </w:rPr>
      </w:pPr>
    </w:p>
    <w:p w14:paraId="0102860D" w14:textId="620F0A92" w:rsidR="00E2631E" w:rsidRDefault="00E2631E" w:rsidP="003016B6">
      <w:pPr>
        <w:pStyle w:val="Figure"/>
      </w:pPr>
      <w:bookmarkStart w:id="105" w:name="_Toc215236563"/>
      <w:bookmarkStart w:id="106" w:name="_Toc216377198"/>
      <w:r>
        <w:lastRenderedPageBreak/>
        <w:t xml:space="preserve">Figure </w:t>
      </w:r>
      <w:r>
        <w:fldChar w:fldCharType="begin"/>
      </w:r>
      <w:r>
        <w:instrText xml:space="preserve"> SEQ Figure \* ARABIC </w:instrText>
      </w:r>
      <w:r>
        <w:fldChar w:fldCharType="separate"/>
      </w:r>
      <w:r w:rsidR="000E725A">
        <w:rPr>
          <w:noProof/>
        </w:rPr>
        <w:t>13</w:t>
      </w:r>
      <w:r>
        <w:fldChar w:fldCharType="end"/>
      </w:r>
      <w:r>
        <w:t xml:space="preserve">: </w:t>
      </w:r>
      <w:r w:rsidRPr="00997BF8">
        <w:t xml:space="preserve">Relative contribution of the top </w:t>
      </w:r>
      <w:r>
        <w:t xml:space="preserve">six </w:t>
      </w:r>
      <w:r w:rsidRPr="00997BF8">
        <w:t xml:space="preserve">conditions to </w:t>
      </w:r>
      <w:r>
        <w:t>years of life lost</w:t>
      </w:r>
      <w:r w:rsidRPr="00997BF8">
        <w:t>, by life stage (</w:t>
      </w:r>
      <w:r>
        <w:t>25+ years</w:t>
      </w:r>
      <w:r w:rsidRPr="00997BF8">
        <w:t>), 2021</w:t>
      </w:r>
      <w:bookmarkEnd w:id="105"/>
      <w:bookmarkEnd w:id="106"/>
    </w:p>
    <w:p w14:paraId="58DD5E3D" w14:textId="77777777" w:rsidR="00E2631E" w:rsidRDefault="00E2631E" w:rsidP="00E2631E">
      <w:pPr>
        <w:keepNext/>
        <w:spacing w:line="259" w:lineRule="auto"/>
      </w:pPr>
      <w:r>
        <w:rPr>
          <w:rFonts w:cs="Segoe UI"/>
          <w:noProof/>
          <w14:ligatures w14:val="standardContextual"/>
        </w:rPr>
        <w:drawing>
          <wp:inline distT="0" distB="0" distL="0" distR="0" wp14:anchorId="718A8039" wp14:editId="7B8B6132">
            <wp:extent cx="5156200" cy="4511675"/>
            <wp:effectExtent l="0" t="0" r="6350" b="3175"/>
            <wp:docPr id="1036519803" name="Picture 4" descr="A vertical stacked bar chart showing top causes of YLL for ages 25+. Self-harm (19%) and road injuries (12%)  are the leading causes in the 25–44 age group, while ischaemic heart disease (16% for pakeke and kaumātua ) and lung cancer (13% for pakeke and 12% for kaumātua) are the leading causes in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19803" name="Picture 4" descr="A vertical stacked bar chart showing top causes of YLL for ages 25+. Self-harm (19%) and road injuries (12%)  are the leading causes in the 25–44 age group, while ischaemic heart disease (16% for pakeke and kaumātua ) and lung cancer (13% for pakeke and 12% for kaumātua) are the leading causes in older age group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60783" cy="4515685"/>
                    </a:xfrm>
                    <a:prstGeom prst="rect">
                      <a:avLst/>
                    </a:prstGeom>
                  </pic:spPr>
                </pic:pic>
              </a:graphicData>
            </a:graphic>
          </wp:inline>
        </w:drawing>
      </w:r>
    </w:p>
    <w:tbl>
      <w:tblPr>
        <w:tblStyle w:val="TableGrid"/>
        <w:tblW w:w="4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E2631E" w:rsidRPr="00F3192F" w14:paraId="0CADC8BC" w14:textId="77777777" w:rsidTr="003016B6">
        <w:trPr>
          <w:trHeight w:val="46"/>
        </w:trPr>
        <w:tc>
          <w:tcPr>
            <w:tcW w:w="4819" w:type="dxa"/>
          </w:tcPr>
          <w:p w14:paraId="3F7528DF" w14:textId="77777777" w:rsidR="00E2631E" w:rsidRPr="004D049A" w:rsidRDefault="00E2631E" w:rsidP="003016B6">
            <w:pPr>
              <w:pStyle w:val="Note"/>
              <w:rPr>
                <w:lang w:eastAsia="en-NZ"/>
              </w:rPr>
            </w:pPr>
            <w:r>
              <w:rPr>
                <w:lang w:eastAsia="en-NZ"/>
              </w:rPr>
              <w:t>Note:</w:t>
            </w:r>
          </w:p>
        </w:tc>
      </w:tr>
      <w:tr w:rsidR="00E2631E" w:rsidRPr="00F3192F" w14:paraId="020C960E" w14:textId="77777777" w:rsidTr="003016B6">
        <w:trPr>
          <w:trHeight w:val="46"/>
        </w:trPr>
        <w:tc>
          <w:tcPr>
            <w:tcW w:w="4819" w:type="dxa"/>
          </w:tcPr>
          <w:p w14:paraId="01FA7FFC" w14:textId="77777777" w:rsidR="00E2631E" w:rsidRPr="00F3192F" w:rsidRDefault="00E2631E" w:rsidP="003016B6">
            <w:pPr>
              <w:pStyle w:val="Note"/>
              <w:spacing w:before="0"/>
              <w:rPr>
                <w:lang w:eastAsia="en-NZ"/>
              </w:rPr>
            </w:pPr>
            <w:r>
              <w:rPr>
                <w:lang w:eastAsia="en-NZ"/>
              </w:rPr>
              <w:t>*Lung cancer includes bronchus, tracheal and lung cancers</w:t>
            </w:r>
          </w:p>
        </w:tc>
      </w:tr>
      <w:tr w:rsidR="00E2631E" w14:paraId="73561460" w14:textId="77777777" w:rsidTr="003016B6">
        <w:trPr>
          <w:trHeight w:val="46"/>
        </w:trPr>
        <w:tc>
          <w:tcPr>
            <w:tcW w:w="4819" w:type="dxa"/>
          </w:tcPr>
          <w:p w14:paraId="37E550B5" w14:textId="77777777" w:rsidR="00E2631E" w:rsidRDefault="00E2631E">
            <w:pPr>
              <w:jc w:val="both"/>
              <w:rPr>
                <w:rFonts w:cs="Segoe UI"/>
                <w:sz w:val="16"/>
                <w:szCs w:val="16"/>
                <w:lang w:eastAsia="en-NZ"/>
              </w:rPr>
            </w:pPr>
          </w:p>
        </w:tc>
      </w:tr>
    </w:tbl>
    <w:p w14:paraId="48589D43" w14:textId="77777777" w:rsidR="00E2631E" w:rsidRDefault="00E2631E" w:rsidP="00E2631E">
      <w:pPr>
        <w:spacing w:line="259" w:lineRule="auto"/>
        <w:rPr>
          <w:rFonts w:cs="Segoe UI"/>
        </w:rPr>
      </w:pPr>
    </w:p>
    <w:p w14:paraId="34AD4FE7" w14:textId="77777777" w:rsidR="00E2631E" w:rsidRDefault="00E2631E" w:rsidP="00E2631E">
      <w:pPr>
        <w:rPr>
          <w:rFonts w:cs="Segoe UI"/>
        </w:rPr>
      </w:pPr>
      <w:r w:rsidRPr="00EA17ED">
        <w:rPr>
          <w:rFonts w:cs="Segoe UI"/>
        </w:rPr>
        <w:t xml:space="preserve">In 2021, in pakeke age groups, there were gender differences in conditions contributing to YLL. </w:t>
      </w:r>
      <w:r>
        <w:rPr>
          <w:rFonts w:cs="Segoe UI"/>
        </w:rPr>
        <w:t>There were no noticeable g</w:t>
      </w:r>
      <w:r w:rsidRPr="00EA17ED">
        <w:rPr>
          <w:rFonts w:cs="Segoe UI"/>
        </w:rPr>
        <w:t>ender differences in YLL contributors for tamariki (</w:t>
      </w:r>
      <w:r>
        <w:rPr>
          <w:rFonts w:cs="Segoe UI"/>
        </w:rPr>
        <w:t xml:space="preserve">aged </w:t>
      </w:r>
      <w:r w:rsidRPr="00EA17ED">
        <w:rPr>
          <w:rFonts w:cs="Segoe UI"/>
        </w:rPr>
        <w:t>under 15 years) or kaumātua (</w:t>
      </w:r>
      <w:r>
        <w:rPr>
          <w:rFonts w:cs="Segoe UI"/>
        </w:rPr>
        <w:t xml:space="preserve">aged </w:t>
      </w:r>
      <w:r w:rsidRPr="00EA17ED">
        <w:rPr>
          <w:rFonts w:cs="Segoe UI"/>
        </w:rPr>
        <w:t xml:space="preserve">65 years and above). </w:t>
      </w:r>
    </w:p>
    <w:p w14:paraId="57F1E6B0" w14:textId="77777777" w:rsidR="003016B6" w:rsidRPr="00EA17ED" w:rsidRDefault="003016B6" w:rsidP="00E2631E">
      <w:pPr>
        <w:rPr>
          <w:rFonts w:cs="Segoe UI"/>
        </w:rPr>
      </w:pPr>
    </w:p>
    <w:p w14:paraId="77DF146D" w14:textId="2EE5BA77" w:rsidR="00E2631E" w:rsidRDefault="00E2631E" w:rsidP="00E2631E">
      <w:pPr>
        <w:rPr>
          <w:rFonts w:cs="Segoe UI"/>
        </w:rPr>
      </w:pPr>
      <w:r>
        <w:rPr>
          <w:rFonts w:cs="Segoe UI"/>
        </w:rPr>
        <w:fldChar w:fldCharType="begin"/>
      </w:r>
      <w:r>
        <w:rPr>
          <w:rFonts w:cs="Segoe UI"/>
        </w:rPr>
        <w:instrText xml:space="preserve"> REF _Ref198649158 \h </w:instrText>
      </w:r>
      <w:r>
        <w:rPr>
          <w:rFonts w:cs="Segoe UI"/>
        </w:rPr>
      </w:r>
      <w:r>
        <w:rPr>
          <w:rFonts w:cs="Segoe UI"/>
        </w:rPr>
        <w:fldChar w:fldCharType="separate"/>
      </w:r>
      <w:r w:rsidR="000E725A">
        <w:t xml:space="preserve">Figure </w:t>
      </w:r>
      <w:r w:rsidR="000E725A">
        <w:rPr>
          <w:noProof/>
        </w:rPr>
        <w:t>14</w:t>
      </w:r>
      <w:r>
        <w:rPr>
          <w:rFonts w:cs="Segoe UI"/>
        </w:rPr>
        <w:fldChar w:fldCharType="end"/>
      </w:r>
      <w:r>
        <w:rPr>
          <w:rFonts w:cs="Segoe UI"/>
        </w:rPr>
        <w:t xml:space="preserve"> </w:t>
      </w:r>
      <w:r w:rsidRPr="00EA17ED">
        <w:rPr>
          <w:rFonts w:cs="Segoe UI"/>
        </w:rPr>
        <w:t>shows the five leading contributors to YLL in pakeke</w:t>
      </w:r>
      <w:r>
        <w:rPr>
          <w:rFonts w:cs="Segoe UI"/>
        </w:rPr>
        <w:t xml:space="preserve"> aged 25–64 years</w:t>
      </w:r>
      <w:r w:rsidRPr="00EA17ED">
        <w:rPr>
          <w:rFonts w:cs="Segoe UI"/>
        </w:rPr>
        <w:t>. Self-harm was the leading cause of premature death for both tāne and wāhine Māori aged 25</w:t>
      </w:r>
      <w:r>
        <w:rPr>
          <w:rFonts w:cs="Segoe UI"/>
        </w:rPr>
        <w:t>–</w:t>
      </w:r>
      <w:r w:rsidRPr="00EA17ED">
        <w:rPr>
          <w:rFonts w:cs="Segoe UI"/>
        </w:rPr>
        <w:t>44 years.</w:t>
      </w:r>
      <w:r w:rsidRPr="00EA17ED" w:rsidDel="00F8705A">
        <w:rPr>
          <w:rFonts w:cs="Segoe UI"/>
        </w:rPr>
        <w:t xml:space="preserve"> </w:t>
      </w:r>
      <w:r>
        <w:rPr>
          <w:rFonts w:cs="Segoe UI"/>
        </w:rPr>
        <w:t xml:space="preserve">Self-harm was also the leading cause of premature death </w:t>
      </w:r>
      <w:r w:rsidRPr="00986010">
        <w:rPr>
          <w:rFonts w:cs="Segoe UI"/>
        </w:rPr>
        <w:t xml:space="preserve">for non-Māori </w:t>
      </w:r>
      <w:r>
        <w:rPr>
          <w:rFonts w:cs="Segoe UI"/>
        </w:rPr>
        <w:t>males</w:t>
      </w:r>
      <w:r w:rsidRPr="00986010">
        <w:rPr>
          <w:rFonts w:cs="Segoe UI"/>
        </w:rPr>
        <w:t>, whereas breast cancer was the leading cause for non-Māori females. In</w:t>
      </w:r>
      <w:r w:rsidRPr="00EA17ED">
        <w:rPr>
          <w:rFonts w:cs="Segoe UI"/>
        </w:rPr>
        <w:t xml:space="preserve"> the 45</w:t>
      </w:r>
      <w:r>
        <w:rPr>
          <w:rFonts w:cs="Segoe UI"/>
        </w:rPr>
        <w:t>–</w:t>
      </w:r>
      <w:r w:rsidRPr="00EA17ED">
        <w:rPr>
          <w:rFonts w:cs="Segoe UI"/>
        </w:rPr>
        <w:t>64</w:t>
      </w:r>
      <w:r>
        <w:rPr>
          <w:rFonts w:cs="Segoe UI"/>
        </w:rPr>
        <w:t>-year</w:t>
      </w:r>
      <w:r w:rsidRPr="00EA17ED">
        <w:rPr>
          <w:rFonts w:cs="Segoe UI"/>
        </w:rPr>
        <w:t xml:space="preserve"> age group, the leading cause of premature death for tāne Māori was </w:t>
      </w:r>
      <w:r>
        <w:rPr>
          <w:rFonts w:cs="Segoe UI"/>
        </w:rPr>
        <w:t>IHD;</w:t>
      </w:r>
      <w:r w:rsidRPr="00EA17ED">
        <w:rPr>
          <w:rFonts w:cs="Segoe UI"/>
        </w:rPr>
        <w:t xml:space="preserve"> for wāhine Māori in this age group, the leading cause was lung cancer.</w:t>
      </w:r>
      <w:r>
        <w:rPr>
          <w:rFonts w:cs="Segoe UI"/>
        </w:rPr>
        <w:t xml:space="preserve"> The leading causes of death were the same for non-Māori males in the equivalent age group, but breast cancer was still the leading cause for non-Māori females.</w:t>
      </w:r>
    </w:p>
    <w:p w14:paraId="0828F424" w14:textId="77777777" w:rsidR="003016B6" w:rsidRPr="00EA17ED" w:rsidRDefault="003016B6" w:rsidP="00E2631E">
      <w:pPr>
        <w:rPr>
          <w:rFonts w:cs="Segoe UI"/>
        </w:rPr>
      </w:pPr>
    </w:p>
    <w:p w14:paraId="441F8CB0" w14:textId="10F3D2D0" w:rsidR="00E2631E" w:rsidRDefault="00E2631E" w:rsidP="003016B6">
      <w:pPr>
        <w:pStyle w:val="Figure"/>
      </w:pPr>
      <w:bookmarkStart w:id="107" w:name="_Ref198649158"/>
      <w:bookmarkStart w:id="108" w:name="_Toc215236564"/>
      <w:bookmarkStart w:id="109" w:name="_Toc216377199"/>
      <w:r>
        <w:lastRenderedPageBreak/>
        <w:t xml:space="preserve">Figure </w:t>
      </w:r>
      <w:r>
        <w:fldChar w:fldCharType="begin"/>
      </w:r>
      <w:r>
        <w:instrText xml:space="preserve"> SEQ Figure \* ARABIC </w:instrText>
      </w:r>
      <w:r>
        <w:fldChar w:fldCharType="separate"/>
      </w:r>
      <w:r w:rsidR="000E725A">
        <w:rPr>
          <w:noProof/>
        </w:rPr>
        <w:t>14</w:t>
      </w:r>
      <w:r>
        <w:fldChar w:fldCharType="end"/>
      </w:r>
      <w:bookmarkEnd w:id="107"/>
      <w:r>
        <w:t xml:space="preserve">: </w:t>
      </w:r>
      <w:r w:rsidRPr="004A64DA">
        <w:t xml:space="preserve">Five leading contributors to </w:t>
      </w:r>
      <w:r>
        <w:t xml:space="preserve">years of life lost </w:t>
      </w:r>
      <w:r w:rsidRPr="004A64DA">
        <w:t>for pakeke</w:t>
      </w:r>
      <w:r>
        <w:t xml:space="preserve"> </w:t>
      </w:r>
      <w:r w:rsidRPr="004A64DA">
        <w:t>Māori</w:t>
      </w:r>
      <w:r w:rsidDel="008365E3">
        <w:t xml:space="preserve"> </w:t>
      </w:r>
      <w:r>
        <w:t>aged 25–64 years</w:t>
      </w:r>
      <w:r w:rsidRPr="004A64DA">
        <w:t xml:space="preserve">, number of </w:t>
      </w:r>
      <w:r>
        <w:t>years of life lost by age group and</w:t>
      </w:r>
      <w:r w:rsidRPr="004A64DA">
        <w:t xml:space="preserve"> gender, 2021</w:t>
      </w:r>
      <w:bookmarkEnd w:id="108"/>
      <w:bookmarkEnd w:id="109"/>
    </w:p>
    <w:p w14:paraId="096515C8" w14:textId="77777777" w:rsidR="00E2631E" w:rsidRPr="00EA17ED" w:rsidRDefault="00E2631E" w:rsidP="00E2631E">
      <w:pPr>
        <w:keepNext/>
        <w:jc w:val="both"/>
        <w:rPr>
          <w:rFonts w:cs="Segoe UI"/>
        </w:rPr>
      </w:pPr>
      <w:r>
        <w:rPr>
          <w:rFonts w:cs="Segoe UI"/>
          <w:noProof/>
          <w14:ligatures w14:val="standardContextual"/>
        </w:rPr>
        <w:drawing>
          <wp:inline distT="0" distB="0" distL="0" distR="0" wp14:anchorId="096FED66" wp14:editId="01858D53">
            <wp:extent cx="4851400" cy="2728845"/>
            <wp:effectExtent l="0" t="0" r="6350" b="0"/>
            <wp:docPr id="354887307" name="Picture 1" descr="A grouped horizontal bar chart showing YLL counts by gender and age group. Self-harm is highest in the 25-44 age group (2,785 YLL for tāne, 898 YLL for wāhine), while ischaemic heart disease (5,449 for tāne, 1,475 for wāhine)  and lung cancer (2,646 for tāne, 3,193 for wāhine) dominate for olde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87307" name="Picture 1" descr="A grouped horizontal bar chart showing YLL counts by gender and age group. Self-harm is highest in the 25-44 age group (2,785 YLL for tāne, 898 YLL for wāhine), while ischaemic heart disease (5,449 for tāne, 1,475 for wāhine)  and lung cancer (2,646 for tāne, 3,193 for wāhine) dominate for older adul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57712" cy="2732395"/>
                    </a:xfrm>
                    <a:prstGeom prst="rect">
                      <a:avLst/>
                    </a:prstGeom>
                  </pic:spPr>
                </pic:pic>
              </a:graphicData>
            </a:graphic>
          </wp:inline>
        </w:drawing>
      </w:r>
    </w:p>
    <w:p w14:paraId="060144F8" w14:textId="77777777" w:rsidR="00E2631E" w:rsidRPr="00EA17ED" w:rsidRDefault="00E2631E" w:rsidP="00E2631E">
      <w:pPr>
        <w:tabs>
          <w:tab w:val="left" w:pos="2480"/>
        </w:tabs>
        <w:jc w:val="both"/>
        <w:rPr>
          <w:rFonts w:cs="Segoe UI"/>
        </w:rPr>
      </w:pPr>
      <w:r w:rsidRPr="00EA17ED">
        <w:rPr>
          <w:rFonts w:cs="Segoe UI"/>
        </w:rPr>
        <w:tab/>
      </w:r>
    </w:p>
    <w:p w14:paraId="79BF911E" w14:textId="77777777" w:rsidR="00E2631E" w:rsidRPr="00EA17ED" w:rsidRDefault="00E2631E" w:rsidP="00E2631E">
      <w:pPr>
        <w:jc w:val="both"/>
        <w:rPr>
          <w:rFonts w:cs="Segoe UI"/>
        </w:rPr>
      </w:pPr>
    </w:p>
    <w:p w14:paraId="1DDB11EC" w14:textId="77777777" w:rsidR="003016B6" w:rsidRDefault="003016B6" w:rsidP="00E2631E">
      <w:pPr>
        <w:pStyle w:val="Heading1"/>
        <w:sectPr w:rsidR="003016B6" w:rsidSect="00AE4FDA">
          <w:pgSz w:w="11907" w:h="16840" w:code="9"/>
          <w:pgMar w:top="1418" w:right="1701" w:bottom="1134" w:left="1843" w:header="284" w:footer="425" w:gutter="284"/>
          <w:cols w:space="720"/>
        </w:sectPr>
      </w:pPr>
      <w:bookmarkStart w:id="110" w:name="_Toc187999532"/>
      <w:bookmarkStart w:id="111" w:name="_Toc215236531"/>
    </w:p>
    <w:p w14:paraId="3BFE272A" w14:textId="366FE001" w:rsidR="00E2631E" w:rsidRPr="00407C5F" w:rsidRDefault="00EE35A4" w:rsidP="00E2631E">
      <w:pPr>
        <w:pStyle w:val="Heading1"/>
      </w:pPr>
      <w:bookmarkStart w:id="112" w:name="_Toc216376561"/>
      <w:r>
        <w:lastRenderedPageBreak/>
        <w:t>L</w:t>
      </w:r>
      <w:r w:rsidR="00E2631E" w:rsidRPr="00407C5F">
        <w:t xml:space="preserve">eading contributors to </w:t>
      </w:r>
      <w:r w:rsidR="00E2631E">
        <w:t xml:space="preserve">years of life lost </w:t>
      </w:r>
      <w:r w:rsidR="00E2631E" w:rsidRPr="00407C5F">
        <w:t>for Māori</w:t>
      </w:r>
      <w:bookmarkEnd w:id="110"/>
      <w:r w:rsidR="00E2631E">
        <w:t xml:space="preserve"> </w:t>
      </w:r>
      <w:r w:rsidR="00E2631E" w:rsidRPr="00323C59">
        <w:t>– Ngā take matua mō te ngaromanga o ngā tau oranga o ngāi Māori</w:t>
      </w:r>
      <w:bookmarkEnd w:id="111"/>
      <w:bookmarkEnd w:id="112"/>
      <w:r w:rsidR="00E2631E" w:rsidRPr="00323C59">
        <w:t> </w:t>
      </w:r>
    </w:p>
    <w:p w14:paraId="2031423D" w14:textId="77777777" w:rsidR="00E2631E" w:rsidRPr="00EA17ED" w:rsidRDefault="00E2631E" w:rsidP="00E2631E">
      <w:pPr>
        <w:jc w:val="both"/>
        <w:rPr>
          <w:rFonts w:cs="Segoe UI"/>
        </w:rPr>
      </w:pPr>
      <w:r w:rsidRPr="00EA17ED">
        <w:rPr>
          <w:rFonts w:cs="Segoe UI"/>
        </w:rPr>
        <w:t xml:space="preserve">This section provides a more detailed breakdown (by level 3 causes) of the leading conditions that contribute to premature death for Māori, including lung cancer, </w:t>
      </w:r>
      <w:r>
        <w:rPr>
          <w:rFonts w:cs="Segoe UI"/>
        </w:rPr>
        <w:t>breast cancer, IHD,</w:t>
      </w:r>
      <w:r w:rsidRPr="00EA17ED">
        <w:rPr>
          <w:rFonts w:cs="Segoe UI"/>
        </w:rPr>
        <w:t xml:space="preserve"> self-harm, COPD, </w:t>
      </w:r>
      <w:r>
        <w:rPr>
          <w:rFonts w:cs="Segoe UI"/>
        </w:rPr>
        <w:t>stroke, CKD</w:t>
      </w:r>
      <w:r w:rsidRPr="00EA17ED">
        <w:rPr>
          <w:rFonts w:cs="Segoe UI"/>
        </w:rPr>
        <w:t xml:space="preserve"> and diabetes.</w:t>
      </w:r>
    </w:p>
    <w:p w14:paraId="1CC6D8AE" w14:textId="77777777" w:rsidR="00E2631E" w:rsidRPr="00EA17ED" w:rsidRDefault="00E2631E" w:rsidP="00E2631E">
      <w:pPr>
        <w:pStyle w:val="Heading2"/>
        <w:rPr>
          <w:rFonts w:cs="Segoe UI"/>
        </w:rPr>
      </w:pPr>
      <w:bookmarkStart w:id="113" w:name="_Toc187999533"/>
      <w:bookmarkStart w:id="114" w:name="_Toc215236532"/>
      <w:bookmarkStart w:id="115" w:name="_Toc216376562"/>
      <w:r w:rsidRPr="00EA17ED">
        <w:rPr>
          <w:rFonts w:cs="Segoe UI"/>
        </w:rPr>
        <w:t>Cancers</w:t>
      </w:r>
      <w:bookmarkEnd w:id="113"/>
      <w:bookmarkEnd w:id="114"/>
      <w:bookmarkEnd w:id="115"/>
    </w:p>
    <w:p w14:paraId="13735FBC" w14:textId="77777777" w:rsidR="00E2631E" w:rsidRDefault="00E2631E" w:rsidP="00E2631E">
      <w:pPr>
        <w:rPr>
          <w:rFonts w:cs="Segoe UI"/>
        </w:rPr>
      </w:pPr>
      <w:r>
        <w:rPr>
          <w:rFonts w:cs="Segoe UI"/>
        </w:rPr>
        <w:t xml:space="preserve">Cancer is the second leading cause of death for all New Zealanders (the leading cause is cardiovascular diseases) and the leading cause for Māori </w:t>
      </w:r>
      <w:r>
        <w:rPr>
          <w:rFonts w:cs="Segoe UI"/>
          <w:noProof/>
        </w:rPr>
        <w:t>(Health New Zealand 2025b)</w:t>
      </w:r>
      <w:r>
        <w:rPr>
          <w:rFonts w:cs="Segoe UI"/>
        </w:rPr>
        <w:t>. The GBD results show that, i</w:t>
      </w:r>
      <w:r w:rsidRPr="00EA17ED">
        <w:rPr>
          <w:rFonts w:cs="Segoe UI"/>
        </w:rPr>
        <w:t>n 2021, Māori experienced higher rates of YLL from cancer than non-Māori, with an age-standardised rate of 4,</w:t>
      </w:r>
      <w:r w:rsidRPr="64EE5628">
        <w:rPr>
          <w:rFonts w:cs="Segoe UI"/>
        </w:rPr>
        <w:t>455</w:t>
      </w:r>
      <w:r w:rsidRPr="00EA17ED">
        <w:rPr>
          <w:rFonts w:cs="Segoe UI"/>
        </w:rPr>
        <w:t xml:space="preserve"> YLL per 100,000 for Māori from all cancers, compared to 2,</w:t>
      </w:r>
      <w:r w:rsidRPr="64EE5628">
        <w:rPr>
          <w:rFonts w:cs="Segoe UI"/>
        </w:rPr>
        <w:t>527</w:t>
      </w:r>
      <w:r w:rsidRPr="00EA17ED">
        <w:rPr>
          <w:rFonts w:cs="Segoe UI"/>
        </w:rPr>
        <w:t xml:space="preserve"> YLL per 100,000 for non-Māori. </w:t>
      </w:r>
    </w:p>
    <w:p w14:paraId="7E4FF93A" w14:textId="77777777" w:rsidR="003016B6" w:rsidRDefault="003016B6" w:rsidP="00E2631E">
      <w:pPr>
        <w:rPr>
          <w:rFonts w:cs="Segoe UI"/>
        </w:rPr>
      </w:pPr>
    </w:p>
    <w:p w14:paraId="4C2C5E94" w14:textId="71933C49" w:rsidR="00E2631E" w:rsidRDefault="000E74C8" w:rsidP="00E2631E">
      <w:r>
        <w:rPr>
          <w:rFonts w:cs="Segoe UI"/>
          <w:szCs w:val="22"/>
        </w:rPr>
        <w:fldChar w:fldCharType="begin"/>
      </w:r>
      <w:r>
        <w:rPr>
          <w:rFonts w:cs="Segoe UI"/>
          <w:szCs w:val="22"/>
        </w:rPr>
        <w:instrText xml:space="preserve"> REF _Ref198649628 \h </w:instrText>
      </w:r>
      <w:r>
        <w:rPr>
          <w:rFonts w:cs="Segoe UI"/>
          <w:szCs w:val="22"/>
        </w:rPr>
      </w:r>
      <w:r>
        <w:rPr>
          <w:rFonts w:cs="Segoe UI"/>
          <w:szCs w:val="22"/>
        </w:rPr>
        <w:fldChar w:fldCharType="separate"/>
      </w:r>
      <w:r w:rsidR="000E725A">
        <w:t xml:space="preserve">Figure </w:t>
      </w:r>
      <w:r w:rsidR="000E725A">
        <w:rPr>
          <w:noProof/>
        </w:rPr>
        <w:t>15</w:t>
      </w:r>
      <w:r>
        <w:rPr>
          <w:rFonts w:cs="Segoe UI"/>
          <w:szCs w:val="22"/>
        </w:rPr>
        <w:fldChar w:fldCharType="end"/>
      </w:r>
      <w:r w:rsidR="00E2631E">
        <w:rPr>
          <w:rFonts w:cs="Segoe UI"/>
          <w:szCs w:val="22"/>
        </w:rPr>
        <w:t xml:space="preserve"> shows the 15 cancers with the highest YLL age-standardised rates</w:t>
      </w:r>
      <w:r w:rsidR="00E2631E">
        <w:rPr>
          <w:rFonts w:cs="Segoe UI"/>
        </w:rPr>
        <w:t>. Lung cancer was the leading cause of premature death for Māori and non-Māori</w:t>
      </w:r>
      <w:r w:rsidR="00E2631E" w:rsidRPr="00EA17ED">
        <w:rPr>
          <w:rFonts w:cs="Segoe UI"/>
        </w:rPr>
        <w:t xml:space="preserve"> in 2021. The YLL rates for cancer were higher among Māori than </w:t>
      </w:r>
      <w:r w:rsidR="00E2631E">
        <w:rPr>
          <w:rFonts w:cs="Segoe UI"/>
        </w:rPr>
        <w:t xml:space="preserve">among </w:t>
      </w:r>
      <w:r w:rsidR="00E2631E" w:rsidRPr="00EA17ED">
        <w:rPr>
          <w:rFonts w:cs="Segoe UI"/>
        </w:rPr>
        <w:t xml:space="preserve">non-Māori for all types of cancers except </w:t>
      </w:r>
      <w:r w:rsidR="00E2631E">
        <w:rPr>
          <w:rFonts w:cs="Segoe UI"/>
        </w:rPr>
        <w:t>for</w:t>
      </w:r>
      <w:r w:rsidR="00E2631E" w:rsidRPr="00EA17ED">
        <w:rPr>
          <w:rFonts w:cs="Segoe UI"/>
        </w:rPr>
        <w:t xml:space="preserve"> brain and central nervous system cancers. </w:t>
      </w:r>
    </w:p>
    <w:p w14:paraId="5D351ED8" w14:textId="1AFFB77C" w:rsidR="00E2631E" w:rsidRDefault="00E2631E" w:rsidP="003016B6">
      <w:pPr>
        <w:pStyle w:val="Figure"/>
      </w:pPr>
      <w:bookmarkStart w:id="116" w:name="_Ref198649628"/>
      <w:bookmarkStart w:id="117" w:name="_Toc215236565"/>
      <w:bookmarkStart w:id="118" w:name="_Toc216377200"/>
      <w:r>
        <w:lastRenderedPageBreak/>
        <w:t xml:space="preserve">Figure </w:t>
      </w:r>
      <w:r>
        <w:fldChar w:fldCharType="begin"/>
      </w:r>
      <w:r>
        <w:instrText xml:space="preserve"> SEQ Figure \* ARABIC </w:instrText>
      </w:r>
      <w:r>
        <w:fldChar w:fldCharType="separate"/>
      </w:r>
      <w:r w:rsidR="000E725A">
        <w:rPr>
          <w:noProof/>
        </w:rPr>
        <w:t>15</w:t>
      </w:r>
      <w:r>
        <w:fldChar w:fldCharType="end"/>
      </w:r>
      <w:bookmarkEnd w:id="116"/>
      <w:r>
        <w:t xml:space="preserve">: </w:t>
      </w:r>
      <w:r w:rsidRPr="00940BC7">
        <w:t xml:space="preserve">Māori and non-Māori age-standardised </w:t>
      </w:r>
      <w:r>
        <w:t xml:space="preserve">years of life lost </w:t>
      </w:r>
      <w:r w:rsidRPr="00940BC7">
        <w:t>rates for the 15 leading cancer types, 2021</w:t>
      </w:r>
      <w:bookmarkEnd w:id="117"/>
      <w:bookmarkEnd w:id="118"/>
    </w:p>
    <w:p w14:paraId="3964700C" w14:textId="77777777" w:rsidR="003016B6" w:rsidRDefault="00E2631E" w:rsidP="003016B6">
      <w:pPr>
        <w:pStyle w:val="Note"/>
        <w:rPr>
          <w:rStyle w:val="NoteChar"/>
        </w:rPr>
      </w:pPr>
      <w:r>
        <w:rPr>
          <w:noProof/>
        </w:rPr>
        <w:drawing>
          <wp:inline distT="0" distB="0" distL="0" distR="0" wp14:anchorId="776E8C85" wp14:editId="3E69F269">
            <wp:extent cx="4864100" cy="3647538"/>
            <wp:effectExtent l="0" t="0" r="0" b="0"/>
            <wp:docPr id="339698393" name="Picture 4" descr="A horizontal bar chart comparing Māori and non-Māori age-standardised YLL rates for 15 cancers. Māori bars are longer for nearly all cancers, especially lung and liver, except for brain and central nervou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98393" name="Picture 4" descr="A horizontal bar chart comparing Māori and non-Māori age-standardised YLL rates for 15 cancers. Māori bars are longer for nearly all cancers, especially lung and liver, except for brain and central nervous system."/>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9142" cy="3651319"/>
                    </a:xfrm>
                    <a:prstGeom prst="rect">
                      <a:avLst/>
                    </a:prstGeom>
                  </pic:spPr>
                </pic:pic>
              </a:graphicData>
            </a:graphic>
          </wp:inline>
        </w:drawing>
      </w:r>
    </w:p>
    <w:p w14:paraId="59ED1E75" w14:textId="0576CB5D" w:rsidR="00E2631E" w:rsidRPr="003016B6" w:rsidRDefault="00E2631E" w:rsidP="003016B6">
      <w:pPr>
        <w:pStyle w:val="Note"/>
        <w:rPr>
          <w:rStyle w:val="NoteChar"/>
        </w:rPr>
      </w:pPr>
      <w:r w:rsidRPr="003016B6">
        <w:rPr>
          <w:rStyle w:val="NoteChar"/>
        </w:rPr>
        <w:t>Note: the bars indicate 95% uncertainty intervals</w:t>
      </w:r>
    </w:p>
    <w:p w14:paraId="78B64E1C" w14:textId="77777777" w:rsidR="00E2631E" w:rsidRPr="00B8392D" w:rsidRDefault="00E2631E" w:rsidP="00E2631E"/>
    <w:p w14:paraId="04DF7FB0" w14:textId="34BA42CC" w:rsidR="00E2631E" w:rsidRDefault="00E2631E" w:rsidP="00E2631E">
      <w:pPr>
        <w:rPr>
          <w:rFonts w:cs="Segoe UI"/>
        </w:rPr>
      </w:pPr>
      <w:r>
        <w:rPr>
          <w:rFonts w:cs="Segoe UI"/>
        </w:rPr>
        <w:t xml:space="preserve">Māori experienced a higher rate of YLL from multiple cancer types in 2021 (see </w:t>
      </w:r>
      <w:r>
        <w:rPr>
          <w:rFonts w:cs="Segoe UI"/>
        </w:rPr>
        <w:fldChar w:fldCharType="begin"/>
      </w:r>
      <w:r>
        <w:rPr>
          <w:rFonts w:cs="Segoe UI"/>
        </w:rPr>
        <w:instrText xml:space="preserve"> REF _Ref198649687 \h </w:instrText>
      </w:r>
      <w:r>
        <w:rPr>
          <w:rFonts w:cs="Segoe UI"/>
        </w:rPr>
      </w:r>
      <w:r>
        <w:rPr>
          <w:rFonts w:cs="Segoe UI"/>
        </w:rPr>
        <w:fldChar w:fldCharType="separate"/>
      </w:r>
      <w:r w:rsidR="000E725A">
        <w:t xml:space="preserve">Figure </w:t>
      </w:r>
      <w:r w:rsidR="000E725A">
        <w:rPr>
          <w:noProof/>
        </w:rPr>
        <w:t>16</w:t>
      </w:r>
      <w:r>
        <w:rPr>
          <w:rFonts w:cs="Segoe UI"/>
        </w:rPr>
        <w:fldChar w:fldCharType="end"/>
      </w:r>
      <w:r>
        <w:rPr>
          <w:rFonts w:cs="Segoe UI"/>
        </w:rPr>
        <w:t xml:space="preserve">). </w:t>
      </w:r>
      <w:r w:rsidRPr="0035289F">
        <w:rPr>
          <w:rFonts w:cs="Segoe UI"/>
        </w:rPr>
        <w:t xml:space="preserve">The greatest equity gaps for Māori were seen </w:t>
      </w:r>
      <w:r>
        <w:rPr>
          <w:rFonts w:cs="Segoe UI"/>
        </w:rPr>
        <w:t xml:space="preserve">in the context of </w:t>
      </w:r>
      <w:r w:rsidRPr="0035289F">
        <w:rPr>
          <w:rFonts w:cs="Segoe UI"/>
        </w:rPr>
        <w:t>liver, lung and cervical cancers</w:t>
      </w:r>
      <w:r>
        <w:rPr>
          <w:rFonts w:cs="Segoe UI"/>
        </w:rPr>
        <w:t xml:space="preserve">; Māori </w:t>
      </w:r>
      <w:r w:rsidRPr="0035289F">
        <w:rPr>
          <w:rFonts w:cs="Segoe UI"/>
        </w:rPr>
        <w:t xml:space="preserve">age-standardised YLL rates were over three times higher than </w:t>
      </w:r>
      <w:r>
        <w:rPr>
          <w:rFonts w:cs="Segoe UI"/>
        </w:rPr>
        <w:t xml:space="preserve">rates for </w:t>
      </w:r>
      <w:r w:rsidRPr="0035289F">
        <w:rPr>
          <w:rFonts w:cs="Segoe UI"/>
        </w:rPr>
        <w:t>non-Māori</w:t>
      </w:r>
      <w:r>
        <w:rPr>
          <w:rFonts w:cs="Segoe UI"/>
        </w:rPr>
        <w:t xml:space="preserve">. Māori experienced over twice the rate of YLL from </w:t>
      </w:r>
      <w:r w:rsidRPr="00313F19">
        <w:rPr>
          <w:rFonts w:cs="Segoe UI"/>
        </w:rPr>
        <w:t>stomach cancer and uterine cancer</w:t>
      </w:r>
      <w:r>
        <w:rPr>
          <w:rFonts w:cs="Segoe UI"/>
        </w:rPr>
        <w:t xml:space="preserve"> than non-Māori</w:t>
      </w:r>
      <w:r w:rsidRPr="00313F19">
        <w:rPr>
          <w:rFonts w:cs="Segoe UI"/>
        </w:rPr>
        <w:t>.</w:t>
      </w:r>
      <w:r>
        <w:rPr>
          <w:rFonts w:cs="Segoe UI"/>
        </w:rPr>
        <w:t xml:space="preserve"> </w:t>
      </w:r>
    </w:p>
    <w:p w14:paraId="148DA0F0" w14:textId="77777777" w:rsidR="003016B6" w:rsidRPr="00EA17ED" w:rsidRDefault="003016B6" w:rsidP="00E2631E">
      <w:pPr>
        <w:rPr>
          <w:rFonts w:cs="Segoe UI"/>
        </w:rPr>
      </w:pPr>
    </w:p>
    <w:p w14:paraId="0D322BA1" w14:textId="6366A57A" w:rsidR="00E2631E" w:rsidRDefault="00E2631E" w:rsidP="003016B6">
      <w:pPr>
        <w:pStyle w:val="Figure"/>
      </w:pPr>
      <w:bookmarkStart w:id="119" w:name="_Ref198649687"/>
      <w:bookmarkStart w:id="120" w:name="_Toc215236566"/>
      <w:bookmarkStart w:id="121" w:name="_Toc216377201"/>
      <w:r>
        <w:lastRenderedPageBreak/>
        <w:t xml:space="preserve">Figure </w:t>
      </w:r>
      <w:r>
        <w:fldChar w:fldCharType="begin"/>
      </w:r>
      <w:r>
        <w:instrText xml:space="preserve"> SEQ Figure \* ARABIC </w:instrText>
      </w:r>
      <w:r>
        <w:fldChar w:fldCharType="separate"/>
      </w:r>
      <w:r w:rsidR="000E725A">
        <w:rPr>
          <w:noProof/>
        </w:rPr>
        <w:t>16</w:t>
      </w:r>
      <w:r>
        <w:fldChar w:fldCharType="end"/>
      </w:r>
      <w:bookmarkEnd w:id="119"/>
      <w:r>
        <w:t xml:space="preserve">: </w:t>
      </w:r>
      <w:r w:rsidRPr="009B0B01">
        <w:t xml:space="preserve">Māori/non-Māori age-standardised </w:t>
      </w:r>
      <w:r>
        <w:t xml:space="preserve">years of life lost </w:t>
      </w:r>
      <w:r w:rsidRPr="009B0B01">
        <w:t>rate ratios for the 15 leading cancer types, 2021</w:t>
      </w:r>
      <w:bookmarkEnd w:id="120"/>
      <w:bookmarkEnd w:id="121"/>
    </w:p>
    <w:p w14:paraId="58C064CD" w14:textId="77777777" w:rsidR="00E2631E" w:rsidRDefault="00E2631E" w:rsidP="00E2631E">
      <w:pPr>
        <w:keepNext/>
        <w:spacing w:line="278" w:lineRule="auto"/>
      </w:pPr>
      <w:r w:rsidRPr="00EA17ED">
        <w:rPr>
          <w:rFonts w:cs="Segoe UI"/>
          <w:noProof/>
        </w:rPr>
        <w:drawing>
          <wp:inline distT="0" distB="0" distL="0" distR="0" wp14:anchorId="2C7FB0EF" wp14:editId="21438C66">
            <wp:extent cx="5105400" cy="3510949"/>
            <wp:effectExtent l="0" t="0" r="0" b="0"/>
            <wp:docPr id="167346110" name="Picture 167346110" descr="A horizontal bar chart showing age-standardised YLL Māori/non-Māori rate ratios . Liver, lung, and cervical cancers have the highest disparities, with Māori rates over 3 times higher than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6110" name="Picture 167346110" descr="A horizontal bar chart showing age-standardised YLL Māori/non-Māori rate ratios . Liver, lung, and cervical cancers have the highest disparities, with Māori rates over 3 times higher than non-Māori"/>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13055" cy="3516213"/>
                    </a:xfrm>
                    <a:prstGeom prst="rect">
                      <a:avLst/>
                    </a:prstGeom>
                  </pic:spPr>
                </pic:pic>
              </a:graphicData>
            </a:graphic>
          </wp:inline>
        </w:drawing>
      </w:r>
    </w:p>
    <w:p w14:paraId="67E7F7D8" w14:textId="77777777" w:rsidR="00E2631E" w:rsidRPr="00B8392D" w:rsidRDefault="00E2631E" w:rsidP="003016B6">
      <w:pPr>
        <w:pStyle w:val="Note"/>
        <w:rPr>
          <w:b/>
          <w:bCs/>
        </w:rPr>
      </w:pPr>
      <w:r w:rsidRPr="009A1D13">
        <w:t>Note: the</w:t>
      </w:r>
      <w:r>
        <w:t xml:space="preserve"> bars</w:t>
      </w:r>
      <w:r w:rsidRPr="009A1D13">
        <w:t xml:space="preserve"> indicate </w:t>
      </w:r>
      <w:r>
        <w:t>95% uncertainty</w:t>
      </w:r>
      <w:r w:rsidRPr="009A1D13">
        <w:t xml:space="preserve"> intervals</w:t>
      </w:r>
    </w:p>
    <w:p w14:paraId="482F693B" w14:textId="77777777" w:rsidR="003016B6" w:rsidRDefault="003016B6" w:rsidP="00E2631E">
      <w:pPr>
        <w:rPr>
          <w:rFonts w:cs="Segoe UI"/>
        </w:rPr>
      </w:pPr>
    </w:p>
    <w:p w14:paraId="491BFE79" w14:textId="33215F9D" w:rsidR="00E2631E" w:rsidRDefault="000E74C8" w:rsidP="00E2631E">
      <w:pPr>
        <w:rPr>
          <w:rFonts w:cs="Segoe UI"/>
        </w:rPr>
      </w:pPr>
      <w:r>
        <w:rPr>
          <w:rFonts w:cs="Segoe UI"/>
        </w:rPr>
        <w:fldChar w:fldCharType="begin"/>
      </w:r>
      <w:r>
        <w:rPr>
          <w:rFonts w:cs="Segoe UI"/>
        </w:rPr>
        <w:instrText xml:space="preserve"> REF _Ref198649755 \h </w:instrText>
      </w:r>
      <w:r>
        <w:rPr>
          <w:rFonts w:cs="Segoe UI"/>
        </w:rPr>
      </w:r>
      <w:r>
        <w:rPr>
          <w:rFonts w:cs="Segoe UI"/>
        </w:rPr>
        <w:fldChar w:fldCharType="separate"/>
      </w:r>
      <w:r w:rsidR="000E725A">
        <w:t xml:space="preserve">Figure </w:t>
      </w:r>
      <w:r w:rsidR="000E725A">
        <w:rPr>
          <w:noProof/>
        </w:rPr>
        <w:t>17</w:t>
      </w:r>
      <w:r>
        <w:rPr>
          <w:rFonts w:cs="Segoe UI"/>
        </w:rPr>
        <w:fldChar w:fldCharType="end"/>
      </w:r>
      <w:r w:rsidR="00E2631E">
        <w:rPr>
          <w:rFonts w:cs="Segoe UI"/>
        </w:rPr>
        <w:t xml:space="preserve"> shows the distribution of YLL from cancer by age for </w:t>
      </w:r>
      <w:r w:rsidR="00E2631E" w:rsidRPr="00EA17ED">
        <w:rPr>
          <w:rFonts w:cs="Segoe UI"/>
        </w:rPr>
        <w:t>tāne and wāhine Māori in 2021</w:t>
      </w:r>
      <w:r w:rsidR="00E2631E">
        <w:rPr>
          <w:rFonts w:cs="Segoe UI"/>
        </w:rPr>
        <w:t>. Tāne Māori generally had higher YLL rates than wāhine Māori</w:t>
      </w:r>
      <w:r w:rsidR="00E2631E" w:rsidRPr="00EA17ED">
        <w:rPr>
          <w:rFonts w:cs="Segoe UI"/>
        </w:rPr>
        <w:t>. The age distribution was similar for cancer among tāne and wāhine Māori</w:t>
      </w:r>
      <w:r w:rsidR="00E2631E">
        <w:rPr>
          <w:rFonts w:cs="Segoe UI"/>
        </w:rPr>
        <w:t>;</w:t>
      </w:r>
      <w:r w:rsidR="00E2631E" w:rsidRPr="00EA17ED">
        <w:rPr>
          <w:rFonts w:cs="Segoe UI"/>
        </w:rPr>
        <w:t xml:space="preserve"> peak life loss due to early death occurr</w:t>
      </w:r>
      <w:r w:rsidR="00E2631E">
        <w:rPr>
          <w:rFonts w:cs="Segoe UI"/>
        </w:rPr>
        <w:t>ed</w:t>
      </w:r>
      <w:r w:rsidR="00E2631E" w:rsidRPr="00EA17ED">
        <w:rPr>
          <w:rFonts w:cs="Segoe UI"/>
        </w:rPr>
        <w:t xml:space="preserve"> in the </w:t>
      </w:r>
      <w:r w:rsidR="00E2631E">
        <w:rPr>
          <w:rFonts w:cs="Segoe UI"/>
        </w:rPr>
        <w:t>older</w:t>
      </w:r>
      <w:r w:rsidR="00E2631E" w:rsidRPr="00EA17ED">
        <w:rPr>
          <w:rFonts w:cs="Segoe UI"/>
        </w:rPr>
        <w:t xml:space="preserve"> age </w:t>
      </w:r>
      <w:r w:rsidR="00E2631E">
        <w:rPr>
          <w:rFonts w:cs="Segoe UI"/>
        </w:rPr>
        <w:t>groups</w:t>
      </w:r>
      <w:r w:rsidR="00E2631E" w:rsidRPr="00EA17ED">
        <w:rPr>
          <w:rFonts w:cs="Segoe UI"/>
        </w:rPr>
        <w:t>.</w:t>
      </w:r>
      <w:r w:rsidR="00E2631E" w:rsidRPr="00EA17ED" w:rsidDel="00F8705A">
        <w:rPr>
          <w:rFonts w:cs="Segoe UI"/>
        </w:rPr>
        <w:t xml:space="preserve"> </w:t>
      </w:r>
    </w:p>
    <w:p w14:paraId="125C5820" w14:textId="77777777" w:rsidR="003016B6" w:rsidRPr="00EA17ED" w:rsidRDefault="003016B6" w:rsidP="00E2631E">
      <w:pPr>
        <w:rPr>
          <w:rFonts w:cs="Segoe UI"/>
        </w:rPr>
      </w:pPr>
    </w:p>
    <w:p w14:paraId="51FE3C1A" w14:textId="34DF164B" w:rsidR="00E2631E" w:rsidRDefault="00E2631E" w:rsidP="003016B6">
      <w:pPr>
        <w:pStyle w:val="Figure"/>
      </w:pPr>
      <w:bookmarkStart w:id="122" w:name="_Ref198649755"/>
      <w:bookmarkStart w:id="123" w:name="_Toc215236567"/>
      <w:bookmarkStart w:id="124" w:name="_Toc216377202"/>
      <w:r>
        <w:t xml:space="preserve">Figure </w:t>
      </w:r>
      <w:r>
        <w:fldChar w:fldCharType="begin"/>
      </w:r>
      <w:r>
        <w:instrText xml:space="preserve"> SEQ Figure \* ARABIC </w:instrText>
      </w:r>
      <w:r>
        <w:fldChar w:fldCharType="separate"/>
      </w:r>
      <w:r w:rsidR="000E725A">
        <w:rPr>
          <w:noProof/>
        </w:rPr>
        <w:t>17</w:t>
      </w:r>
      <w:r>
        <w:fldChar w:fldCharType="end"/>
      </w:r>
      <w:bookmarkEnd w:id="122"/>
      <w:r>
        <w:t xml:space="preserve">: </w:t>
      </w:r>
      <w:r w:rsidRPr="00DA1CA7">
        <w:t xml:space="preserve">All </w:t>
      </w:r>
      <w:r>
        <w:t>c</w:t>
      </w:r>
      <w:r w:rsidRPr="00DA1CA7">
        <w:t>ancer: tāne and wāhine Māori</w:t>
      </w:r>
      <w:r>
        <w:t>,</w:t>
      </w:r>
      <w:r w:rsidRPr="00DA1CA7">
        <w:t xml:space="preserve"> age-specific </w:t>
      </w:r>
      <w:r>
        <w:t xml:space="preserve">years of life lost </w:t>
      </w:r>
      <w:r w:rsidRPr="00DA1CA7">
        <w:t>rates, 2021</w:t>
      </w:r>
      <w:bookmarkEnd w:id="123"/>
      <w:bookmarkEnd w:id="124"/>
    </w:p>
    <w:p w14:paraId="21548A9D" w14:textId="77777777" w:rsidR="00E2631E" w:rsidRDefault="00E2631E" w:rsidP="00E2631E">
      <w:pPr>
        <w:keepNext/>
        <w:rPr>
          <w:rFonts w:cs="Segoe UI"/>
        </w:rPr>
      </w:pPr>
      <w:r w:rsidRPr="00EA17ED">
        <w:rPr>
          <w:rFonts w:cs="Segoe UI"/>
          <w:noProof/>
        </w:rPr>
        <w:drawing>
          <wp:inline distT="0" distB="0" distL="0" distR="0" wp14:anchorId="3A275E98" wp14:editId="4A007D69">
            <wp:extent cx="5105400" cy="2871366"/>
            <wp:effectExtent l="0" t="0" r="0" b="5715"/>
            <wp:docPr id="1041573093" name="Picture 2" descr="A bar graph showing Māori cancer YLL rates by age and gender. Rates generally increase with age until age 70, with tāne rates generally higher than wāhine, and consistently higher for the 55 and olde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73093" name="Picture 2" descr="A bar graph showing Māori cancer YLL rates by age and gender. Rates generally increase with age until age 70, with tāne rates generally higher than wāhine, and consistently higher for the 55 and older age group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13840" cy="2876113"/>
                    </a:xfrm>
                    <a:prstGeom prst="rect">
                      <a:avLst/>
                    </a:prstGeom>
                  </pic:spPr>
                </pic:pic>
              </a:graphicData>
            </a:graphic>
          </wp:inline>
        </w:drawing>
      </w:r>
    </w:p>
    <w:p w14:paraId="4356625B" w14:textId="77777777" w:rsidR="00E2631E" w:rsidRPr="00B8392D" w:rsidRDefault="00E2631E" w:rsidP="003016B6">
      <w:pPr>
        <w:pStyle w:val="Note"/>
        <w:rPr>
          <w:b/>
          <w:bCs/>
        </w:rPr>
      </w:pPr>
      <w:r w:rsidRPr="009A1D13">
        <w:t>Note: the</w:t>
      </w:r>
      <w:r>
        <w:t xml:space="preserve"> bars</w:t>
      </w:r>
      <w:r w:rsidRPr="009A1D13">
        <w:t xml:space="preserve"> indicate 95% uncertainty intervals</w:t>
      </w:r>
    </w:p>
    <w:p w14:paraId="23861D36" w14:textId="77777777" w:rsidR="003016B6" w:rsidRDefault="003016B6" w:rsidP="00E2631E">
      <w:pPr>
        <w:rPr>
          <w:rFonts w:cs="Segoe UI"/>
        </w:rPr>
      </w:pPr>
    </w:p>
    <w:p w14:paraId="6408152C" w14:textId="1854A290" w:rsidR="00E2631E" w:rsidRDefault="00E2631E" w:rsidP="00E2631E">
      <w:pPr>
        <w:rPr>
          <w:rFonts w:cs="Segoe UI"/>
        </w:rPr>
      </w:pPr>
      <w:r w:rsidRPr="64EE5628">
        <w:rPr>
          <w:rFonts w:cs="Segoe UI"/>
        </w:rPr>
        <w:lastRenderedPageBreak/>
        <w:fldChar w:fldCharType="begin"/>
      </w:r>
      <w:r w:rsidRPr="64EE5628">
        <w:rPr>
          <w:rFonts w:cs="Segoe UI"/>
        </w:rPr>
        <w:instrText xml:space="preserve"> REF _Ref198649804 \h </w:instrText>
      </w:r>
      <w:r w:rsidRPr="64EE5628">
        <w:rPr>
          <w:rFonts w:cs="Segoe UI"/>
        </w:rPr>
      </w:r>
      <w:r w:rsidRPr="64EE5628">
        <w:rPr>
          <w:rFonts w:cs="Segoe UI"/>
        </w:rPr>
        <w:fldChar w:fldCharType="separate"/>
      </w:r>
      <w:r w:rsidR="000E725A">
        <w:t xml:space="preserve">Figure </w:t>
      </w:r>
      <w:r w:rsidR="000E725A">
        <w:rPr>
          <w:noProof/>
        </w:rPr>
        <w:t>18</w:t>
      </w:r>
      <w:r w:rsidRPr="64EE5628">
        <w:rPr>
          <w:rFonts w:cs="Segoe UI"/>
        </w:rPr>
        <w:fldChar w:fldCharType="end"/>
      </w:r>
      <w:r w:rsidRPr="64EE5628">
        <w:rPr>
          <w:rFonts w:cs="Segoe UI"/>
        </w:rPr>
        <w:t xml:space="preserve"> shows</w:t>
      </w:r>
      <w:r w:rsidRPr="00EA17ED">
        <w:rPr>
          <w:rFonts w:cs="Segoe UI"/>
        </w:rPr>
        <w:t xml:space="preserve"> the proportion of YLL </w:t>
      </w:r>
      <w:r>
        <w:rPr>
          <w:rFonts w:cs="Segoe UI"/>
        </w:rPr>
        <w:t>from different types of cancers</w:t>
      </w:r>
      <w:r w:rsidRPr="00EA17ED">
        <w:rPr>
          <w:rFonts w:cs="Segoe UI"/>
        </w:rPr>
        <w:t xml:space="preserve"> among tāne and wāhine Māori. Lung cancer was the leading cancer contributing to YLL for both tāne and wāhine Māori (at 2</w:t>
      </w:r>
      <w:r>
        <w:rPr>
          <w:rFonts w:cs="Segoe UI"/>
        </w:rPr>
        <w:t>8</w:t>
      </w:r>
      <w:r w:rsidRPr="00EA17ED">
        <w:rPr>
          <w:rFonts w:cs="Segoe UI"/>
        </w:rPr>
        <w:t>% and 3</w:t>
      </w:r>
      <w:r>
        <w:rPr>
          <w:rFonts w:cs="Segoe UI"/>
        </w:rPr>
        <w:t>4</w:t>
      </w:r>
      <w:r w:rsidRPr="00EA17ED">
        <w:rPr>
          <w:rFonts w:cs="Segoe UI"/>
        </w:rPr>
        <w:t>% respectively). The second leading cause was breast cancer for wāhine Māori (contributing 1</w:t>
      </w:r>
      <w:r>
        <w:rPr>
          <w:rFonts w:cs="Segoe UI"/>
        </w:rPr>
        <w:t>7</w:t>
      </w:r>
      <w:r w:rsidRPr="00EA17ED">
        <w:rPr>
          <w:rFonts w:cs="Segoe UI"/>
        </w:rPr>
        <w:t>% of cancer</w:t>
      </w:r>
      <w:r>
        <w:rPr>
          <w:rFonts w:cs="Segoe UI"/>
        </w:rPr>
        <w:t>-</w:t>
      </w:r>
      <w:r w:rsidRPr="00EA17ED">
        <w:rPr>
          <w:rFonts w:cs="Segoe UI"/>
        </w:rPr>
        <w:t xml:space="preserve">related YLL), and liver cancer for tāne Māori (contributing 10%). The third leading cancer contributor for both genders was colorectal cancer (9.6% for tāne Māori and </w:t>
      </w:r>
      <w:r>
        <w:rPr>
          <w:rFonts w:cs="Segoe UI"/>
        </w:rPr>
        <w:t>7</w:t>
      </w:r>
      <w:r w:rsidRPr="00EA17ED">
        <w:rPr>
          <w:rFonts w:cs="Segoe UI"/>
        </w:rPr>
        <w:t xml:space="preserve">% for wāhine Māori). </w:t>
      </w:r>
    </w:p>
    <w:p w14:paraId="1555CD49" w14:textId="77777777" w:rsidR="003016B6" w:rsidRDefault="003016B6" w:rsidP="00E2631E">
      <w:pPr>
        <w:rPr>
          <w:rFonts w:cs="Segoe UI"/>
        </w:rPr>
      </w:pPr>
    </w:p>
    <w:p w14:paraId="1DE913AF" w14:textId="2268BA95" w:rsidR="003016B6" w:rsidRDefault="003016B6" w:rsidP="003016B6">
      <w:pPr>
        <w:pStyle w:val="Figure"/>
      </w:pPr>
      <w:bookmarkStart w:id="125" w:name="_Ref198649804"/>
      <w:bookmarkStart w:id="126" w:name="_Toc215236568"/>
      <w:bookmarkStart w:id="127" w:name="_Toc216377203"/>
      <w:r>
        <w:t xml:space="preserve">Figure </w:t>
      </w:r>
      <w:r>
        <w:fldChar w:fldCharType="begin"/>
      </w:r>
      <w:r>
        <w:instrText xml:space="preserve"> SEQ Figure \* ARABIC </w:instrText>
      </w:r>
      <w:r>
        <w:fldChar w:fldCharType="separate"/>
      </w:r>
      <w:r w:rsidR="000E725A">
        <w:rPr>
          <w:noProof/>
        </w:rPr>
        <w:t>18</w:t>
      </w:r>
      <w:r>
        <w:fldChar w:fldCharType="end"/>
      </w:r>
      <w:bookmarkEnd w:id="125"/>
      <w:r>
        <w:t>: Top 10 leading cancers</w:t>
      </w:r>
      <w:r w:rsidRPr="00183E7D">
        <w:t xml:space="preserve"> contribut</w:t>
      </w:r>
      <w:r>
        <w:t>ing</w:t>
      </w:r>
      <w:r w:rsidRPr="00183E7D">
        <w:t xml:space="preserve"> to </w:t>
      </w:r>
      <w:r>
        <w:t xml:space="preserve">years of life lost </w:t>
      </w:r>
      <w:r w:rsidRPr="00183E7D">
        <w:t>from cancer for tāne and wāhine Māori, 2021</w:t>
      </w:r>
      <w:bookmarkEnd w:id="126"/>
      <w:bookmarkEnd w:id="127"/>
    </w:p>
    <w:p w14:paraId="11A4E211" w14:textId="77777777" w:rsidR="003016B6" w:rsidRPr="00EA17ED" w:rsidRDefault="003016B6" w:rsidP="003016B6">
      <w:pPr>
        <w:keepNext/>
        <w:rPr>
          <w:rFonts w:cs="Segoe UI"/>
        </w:rPr>
      </w:pPr>
      <w:r w:rsidRPr="00EA17ED">
        <w:rPr>
          <w:rFonts w:cs="Segoe UI"/>
          <w:noProof/>
        </w:rPr>
        <w:drawing>
          <wp:inline distT="0" distB="0" distL="0" distR="0" wp14:anchorId="2CDFEE70" wp14:editId="6D7BB8B5">
            <wp:extent cx="4876800" cy="4268007"/>
            <wp:effectExtent l="0" t="0" r="0" b="0"/>
            <wp:docPr id="13" name="Picture 13" descr="A vertical stacked bar chart showing the contribution to Māori YLL of different cancers. Lung cancer is the largest contributor of Māori YLL for both genders (28% for tāne, 34% for wāhine), followed by breast cancer for wāhine (17%)  and liver cancer for tā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vertical stacked bar chart showing the contribution to Māori YLL of different cancers. Lung cancer is the largest contributor of Māori YLL for both genders (28% for tāne, 34% for wāhine), followed by breast cancer for wāhine (17%)  and liver cancer for tāne (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882276" cy="4272799"/>
                    </a:xfrm>
                    <a:prstGeom prst="rect">
                      <a:avLst/>
                    </a:prstGeom>
                    <a:noFill/>
                    <a:ln>
                      <a:noFill/>
                    </a:ln>
                  </pic:spPr>
                </pic:pic>
              </a:graphicData>
            </a:graphic>
          </wp:inline>
        </w:drawing>
      </w:r>
    </w:p>
    <w:p w14:paraId="7D815035" w14:textId="77777777" w:rsidR="003016B6" w:rsidRPr="003016B6" w:rsidRDefault="003016B6" w:rsidP="003016B6">
      <w:pPr>
        <w:pStyle w:val="Note"/>
      </w:pPr>
      <w:r w:rsidRPr="003016B6">
        <w:t>Note:  *Lung cancer includes bronchus, tracheal and lung cancers</w:t>
      </w:r>
    </w:p>
    <w:p w14:paraId="64EEFDA2" w14:textId="77777777" w:rsidR="003016B6" w:rsidRPr="003016B6" w:rsidRDefault="003016B6" w:rsidP="003016B6">
      <w:pPr>
        <w:pStyle w:val="Heading3"/>
        <w:rPr>
          <w:rStyle w:val="SubtleEmphasis"/>
          <w:i w:val="0"/>
          <w:iCs w:val="0"/>
          <w:color w:val="0A6AB4"/>
          <w:sz w:val="36"/>
        </w:rPr>
      </w:pPr>
      <w:bookmarkStart w:id="128" w:name="_Toc215236533"/>
      <w:r w:rsidRPr="003016B6">
        <w:rPr>
          <w:rStyle w:val="SubtleEmphasis"/>
          <w:i w:val="0"/>
          <w:iCs w:val="0"/>
          <w:color w:val="0A6AB4"/>
          <w:sz w:val="36"/>
        </w:rPr>
        <w:t>Lung cancer</w:t>
      </w:r>
      <w:bookmarkEnd w:id="128"/>
    </w:p>
    <w:p w14:paraId="3F851DC6" w14:textId="38141914" w:rsidR="003016B6" w:rsidRDefault="003016B6" w:rsidP="003016B6">
      <w:pPr>
        <w:rPr>
          <w:rFonts w:cs="Segoe UI"/>
        </w:rPr>
      </w:pPr>
      <w:r>
        <w:rPr>
          <w:rFonts w:cs="Segoe UI"/>
        </w:rPr>
        <w:t>In this report, ‘l</w:t>
      </w:r>
      <w:r w:rsidRPr="002B0638">
        <w:rPr>
          <w:rFonts w:cs="Segoe UI"/>
        </w:rPr>
        <w:t>ung cancer</w:t>
      </w:r>
      <w:r>
        <w:rPr>
          <w:rFonts w:cs="Segoe UI"/>
        </w:rPr>
        <w:t>’</w:t>
      </w:r>
      <w:r w:rsidRPr="002B0638">
        <w:rPr>
          <w:rFonts w:cs="Segoe UI"/>
        </w:rPr>
        <w:t xml:space="preserve"> refers to cancers of the trachea, bronchus and lung. </w:t>
      </w:r>
      <w:r>
        <w:rPr>
          <w:rFonts w:cs="Segoe UI"/>
        </w:rPr>
        <w:t xml:space="preserve">Lung cancer is often diagnosed at advanced stages, when treatment options are limited, as early lung cancer often does not cause significant symptoms. </w:t>
      </w:r>
      <w:r>
        <w:rPr>
          <w:rFonts w:cs="Segoe UI"/>
          <w:szCs w:val="22"/>
        </w:rPr>
        <w:t>T</w:t>
      </w:r>
      <w:r w:rsidRPr="00EA17ED">
        <w:rPr>
          <w:rFonts w:cs="Segoe UI"/>
          <w:szCs w:val="22"/>
        </w:rPr>
        <w:t xml:space="preserve">he YLL rates of lung cancer </w:t>
      </w:r>
      <w:r>
        <w:rPr>
          <w:rFonts w:cs="Segoe UI"/>
          <w:szCs w:val="22"/>
        </w:rPr>
        <w:t xml:space="preserve">are decreasing </w:t>
      </w:r>
      <w:r w:rsidRPr="00EA17ED">
        <w:rPr>
          <w:rFonts w:cs="Segoe UI"/>
          <w:szCs w:val="22"/>
        </w:rPr>
        <w:t xml:space="preserve">for Māori, </w:t>
      </w:r>
      <w:r>
        <w:rPr>
          <w:rFonts w:cs="Segoe UI"/>
          <w:szCs w:val="22"/>
        </w:rPr>
        <w:t xml:space="preserve">but </w:t>
      </w:r>
      <w:r w:rsidRPr="00EA17ED">
        <w:rPr>
          <w:rFonts w:cs="Segoe UI"/>
          <w:szCs w:val="22"/>
        </w:rPr>
        <w:t xml:space="preserve">the rates are </w:t>
      </w:r>
      <w:r>
        <w:rPr>
          <w:rFonts w:cs="Segoe UI"/>
          <w:szCs w:val="22"/>
        </w:rPr>
        <w:t xml:space="preserve">still </w:t>
      </w:r>
      <w:r w:rsidRPr="00EA17ED">
        <w:rPr>
          <w:rFonts w:cs="Segoe UI"/>
        </w:rPr>
        <w:t>consistently higher among Māori than non-Māori</w:t>
      </w:r>
      <w:r w:rsidRPr="00EA17ED">
        <w:rPr>
          <w:rFonts w:cs="Segoe UI"/>
          <w:szCs w:val="22"/>
        </w:rPr>
        <w:t xml:space="preserve"> (</w:t>
      </w:r>
      <w:r>
        <w:rPr>
          <w:rFonts w:cs="Segoe UI"/>
          <w:szCs w:val="22"/>
        </w:rPr>
        <w:fldChar w:fldCharType="begin"/>
      </w:r>
      <w:r>
        <w:rPr>
          <w:rFonts w:cs="Segoe UI"/>
          <w:szCs w:val="22"/>
        </w:rPr>
        <w:instrText xml:space="preserve"> REF _Ref198649883 \h </w:instrText>
      </w:r>
      <w:r>
        <w:rPr>
          <w:rFonts w:cs="Segoe UI"/>
          <w:szCs w:val="22"/>
        </w:rPr>
      </w:r>
      <w:r>
        <w:rPr>
          <w:rFonts w:cs="Segoe UI"/>
          <w:szCs w:val="22"/>
        </w:rPr>
        <w:fldChar w:fldCharType="separate"/>
      </w:r>
      <w:r w:rsidR="000E725A">
        <w:t xml:space="preserve">Figure </w:t>
      </w:r>
      <w:r w:rsidR="000E725A">
        <w:rPr>
          <w:noProof/>
        </w:rPr>
        <w:t>19</w:t>
      </w:r>
      <w:r>
        <w:rPr>
          <w:rFonts w:cs="Segoe UI"/>
          <w:szCs w:val="22"/>
        </w:rPr>
        <w:fldChar w:fldCharType="end"/>
      </w:r>
      <w:r w:rsidRPr="00EA17ED">
        <w:rPr>
          <w:rFonts w:cs="Segoe UI"/>
        </w:rPr>
        <w:t xml:space="preserve">). </w:t>
      </w:r>
    </w:p>
    <w:p w14:paraId="70D3FA50" w14:textId="57C7F9EF" w:rsidR="003016B6" w:rsidRDefault="003016B6" w:rsidP="003016B6">
      <w:pPr>
        <w:pStyle w:val="Figure"/>
      </w:pPr>
      <w:bookmarkStart w:id="129" w:name="_Ref198649883"/>
      <w:bookmarkStart w:id="130" w:name="_Toc215236569"/>
      <w:bookmarkStart w:id="131" w:name="_Toc216377204"/>
      <w:r>
        <w:lastRenderedPageBreak/>
        <w:t xml:space="preserve">Figure </w:t>
      </w:r>
      <w:r>
        <w:fldChar w:fldCharType="begin"/>
      </w:r>
      <w:r>
        <w:instrText xml:space="preserve"> SEQ Figure \* ARABIC </w:instrText>
      </w:r>
      <w:r>
        <w:fldChar w:fldCharType="separate"/>
      </w:r>
      <w:r w:rsidR="000E725A">
        <w:rPr>
          <w:noProof/>
        </w:rPr>
        <w:t>19</w:t>
      </w:r>
      <w:r>
        <w:fldChar w:fldCharType="end"/>
      </w:r>
      <w:bookmarkEnd w:id="129"/>
      <w:r>
        <w:t xml:space="preserve">: </w:t>
      </w:r>
      <w:r w:rsidRPr="00F92162">
        <w:t xml:space="preserve">Lung cancer: Māori and non-Māori age-standardised </w:t>
      </w:r>
      <w:r>
        <w:t xml:space="preserve">years of life lost </w:t>
      </w:r>
      <w:r w:rsidRPr="00F92162">
        <w:t>rates, 1996</w:t>
      </w:r>
      <w:r>
        <w:t>–</w:t>
      </w:r>
      <w:r w:rsidRPr="00F92162">
        <w:t>2021</w:t>
      </w:r>
      <w:bookmarkEnd w:id="130"/>
      <w:bookmarkEnd w:id="131"/>
    </w:p>
    <w:p w14:paraId="0F36B08C" w14:textId="77777777" w:rsidR="003016B6" w:rsidRDefault="003016B6" w:rsidP="003016B6">
      <w:pPr>
        <w:keepNext/>
      </w:pPr>
      <w:r>
        <w:rPr>
          <w:rFonts w:cs="Segoe UI"/>
          <w:noProof/>
          <w14:ligatures w14:val="standardContextual"/>
        </w:rPr>
        <w:drawing>
          <wp:inline distT="0" distB="0" distL="0" distR="0" wp14:anchorId="77D56E9D" wp14:editId="7512CE28">
            <wp:extent cx="5099050" cy="2867793"/>
            <wp:effectExtent l="0" t="0" r="6350" b="8890"/>
            <wp:docPr id="978805112" name="Picture 1" descr="A line graph showing lung cancer YLL rates over time. Māori rates are consistently higher but declining. Non-Māori rates are lower and also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5112" name="Picture 1" descr="A line graph showing lung cancer YLL rates over time. Māori rates are consistently higher but declining. Non-Māori rates are lower and also declin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10981" cy="2874503"/>
                    </a:xfrm>
                    <a:prstGeom prst="rect">
                      <a:avLst/>
                    </a:prstGeom>
                  </pic:spPr>
                </pic:pic>
              </a:graphicData>
            </a:graphic>
          </wp:inline>
        </w:drawing>
      </w:r>
    </w:p>
    <w:p w14:paraId="401FAA79" w14:textId="77777777" w:rsidR="003016B6" w:rsidRPr="00B8392D" w:rsidRDefault="003016B6" w:rsidP="003016B6">
      <w:pPr>
        <w:pStyle w:val="Note"/>
        <w:rPr>
          <w:b/>
          <w:bCs/>
        </w:rPr>
      </w:pPr>
      <w:r w:rsidRPr="009A1D13">
        <w:t>Note: the</w:t>
      </w:r>
      <w:r>
        <w:t xml:space="preserve"> shaded areas</w:t>
      </w:r>
      <w:r w:rsidRPr="009A1D13">
        <w:t xml:space="preserve"> indicate 95% uncertainty intervals</w:t>
      </w:r>
    </w:p>
    <w:p w14:paraId="506EAB3B" w14:textId="77777777" w:rsidR="003016B6" w:rsidRDefault="003016B6" w:rsidP="003016B6">
      <w:pPr>
        <w:rPr>
          <w:rFonts w:cs="Segoe UI"/>
        </w:rPr>
      </w:pPr>
    </w:p>
    <w:p w14:paraId="19DBC5F7" w14:textId="31065D63" w:rsidR="003016B6" w:rsidRDefault="003016B6" w:rsidP="003016B6">
      <w:pPr>
        <w:rPr>
          <w:rFonts w:cs="Segoe UI"/>
        </w:rPr>
      </w:pPr>
      <w:r>
        <w:rPr>
          <w:rFonts w:cs="Segoe UI"/>
        </w:rPr>
        <w:t xml:space="preserve">The </w:t>
      </w:r>
      <w:r w:rsidRPr="00EA17ED">
        <w:rPr>
          <w:rFonts w:cs="Segoe UI"/>
        </w:rPr>
        <w:t xml:space="preserve">Māori </w:t>
      </w:r>
      <w:r>
        <w:rPr>
          <w:rFonts w:cs="Segoe UI"/>
        </w:rPr>
        <w:t xml:space="preserve">YLL rate </w:t>
      </w:r>
      <w:r w:rsidRPr="00EA17ED">
        <w:rPr>
          <w:rFonts w:cs="Segoe UI"/>
        </w:rPr>
        <w:t xml:space="preserve">from lung cancer </w:t>
      </w:r>
      <w:r>
        <w:rPr>
          <w:rFonts w:cs="Segoe UI"/>
        </w:rPr>
        <w:t xml:space="preserve">was three </w:t>
      </w:r>
      <w:r w:rsidRPr="00EA17ED">
        <w:rPr>
          <w:rFonts w:cs="Segoe UI"/>
        </w:rPr>
        <w:t xml:space="preserve">times higher than </w:t>
      </w:r>
      <w:r>
        <w:rPr>
          <w:rFonts w:cs="Segoe UI"/>
        </w:rPr>
        <w:t xml:space="preserve">that for </w:t>
      </w:r>
      <w:r w:rsidRPr="00EA17ED">
        <w:rPr>
          <w:rFonts w:cs="Segoe UI"/>
        </w:rPr>
        <w:t>non-Māori</w:t>
      </w:r>
      <w:r>
        <w:rPr>
          <w:rFonts w:cs="Segoe UI"/>
        </w:rPr>
        <w:t xml:space="preserve"> (</w:t>
      </w:r>
      <w:r>
        <w:rPr>
          <w:rFonts w:cs="Segoe UI"/>
        </w:rPr>
        <w:fldChar w:fldCharType="begin"/>
      </w:r>
      <w:r>
        <w:rPr>
          <w:rFonts w:cs="Segoe UI"/>
        </w:rPr>
        <w:instrText xml:space="preserve"> REF _Ref198649927 \h </w:instrText>
      </w:r>
      <w:r>
        <w:rPr>
          <w:rFonts w:cs="Segoe UI"/>
        </w:rPr>
      </w:r>
      <w:r>
        <w:rPr>
          <w:rFonts w:cs="Segoe UI"/>
        </w:rPr>
        <w:fldChar w:fldCharType="separate"/>
      </w:r>
      <w:r w:rsidR="000E725A">
        <w:t xml:space="preserve">Figure </w:t>
      </w:r>
      <w:r w:rsidR="000E725A">
        <w:rPr>
          <w:noProof/>
        </w:rPr>
        <w:t>20</w:t>
      </w:r>
      <w:r>
        <w:rPr>
          <w:rFonts w:cs="Segoe UI"/>
        </w:rPr>
        <w:fldChar w:fldCharType="end"/>
      </w:r>
      <w:r>
        <w:rPr>
          <w:rFonts w:cs="Segoe UI"/>
        </w:rPr>
        <w:t>). This ratio remained steady, except for a small jump in 2019.</w:t>
      </w:r>
    </w:p>
    <w:p w14:paraId="1CA0C53D" w14:textId="77777777" w:rsidR="003016B6" w:rsidRDefault="003016B6" w:rsidP="003016B6">
      <w:pPr>
        <w:rPr>
          <w:rFonts w:cs="Segoe UI"/>
        </w:rPr>
      </w:pPr>
    </w:p>
    <w:p w14:paraId="1F465EB0" w14:textId="0B2BC195" w:rsidR="003016B6" w:rsidRDefault="003016B6" w:rsidP="003016B6">
      <w:pPr>
        <w:pStyle w:val="Figure"/>
      </w:pPr>
      <w:bookmarkStart w:id="132" w:name="_Ref198649927"/>
      <w:bookmarkStart w:id="133" w:name="_Toc215236570"/>
      <w:bookmarkStart w:id="134" w:name="_Toc216377205"/>
      <w:r>
        <w:t xml:space="preserve">Figure </w:t>
      </w:r>
      <w:r>
        <w:fldChar w:fldCharType="begin"/>
      </w:r>
      <w:r>
        <w:instrText xml:space="preserve"> SEQ Figure \* ARABIC </w:instrText>
      </w:r>
      <w:r>
        <w:fldChar w:fldCharType="separate"/>
      </w:r>
      <w:r w:rsidR="000E725A">
        <w:rPr>
          <w:noProof/>
        </w:rPr>
        <w:t>20</w:t>
      </w:r>
      <w:r>
        <w:fldChar w:fldCharType="end"/>
      </w:r>
      <w:bookmarkEnd w:id="132"/>
      <w:r>
        <w:t xml:space="preserve">: </w:t>
      </w:r>
      <w:r w:rsidRPr="00810518">
        <w:t xml:space="preserve">Lung </w:t>
      </w:r>
      <w:r>
        <w:t>c</w:t>
      </w:r>
      <w:r w:rsidRPr="00810518">
        <w:t xml:space="preserve">ancer: Māori/non-Māori age-standardised </w:t>
      </w:r>
      <w:r>
        <w:t xml:space="preserve">years of life lost </w:t>
      </w:r>
      <w:r w:rsidRPr="00810518">
        <w:t xml:space="preserve">rate </w:t>
      </w:r>
      <w:r>
        <w:t>ratios</w:t>
      </w:r>
      <w:r w:rsidRPr="00810518">
        <w:t>, 1996</w:t>
      </w:r>
      <w:r>
        <w:t>–</w:t>
      </w:r>
      <w:r w:rsidRPr="00810518">
        <w:t>2021</w:t>
      </w:r>
      <w:bookmarkEnd w:id="133"/>
      <w:bookmarkEnd w:id="134"/>
    </w:p>
    <w:p w14:paraId="69AB4420" w14:textId="77777777" w:rsidR="003016B6" w:rsidRDefault="003016B6" w:rsidP="003016B6">
      <w:pPr>
        <w:keepNext/>
      </w:pPr>
      <w:r>
        <w:rPr>
          <w:rFonts w:cs="Segoe UI"/>
          <w:noProof/>
          <w14:ligatures w14:val="standardContextual"/>
        </w:rPr>
        <w:drawing>
          <wp:inline distT="0" distB="0" distL="0" distR="0" wp14:anchorId="1CFDAC9E" wp14:editId="37453519">
            <wp:extent cx="5099050" cy="2548401"/>
            <wp:effectExtent l="0" t="0" r="6350" b="4445"/>
            <wp:docPr id="650691542" name="Picture 2" descr="A line graph showing YLL Māori/non-Māori rate ratios for lung cancer. Māori have over 3 times the YLL rate of non-Māori, with the ratio remaining steady over time, except for a small jump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91542" name="Picture 2" descr="A line graph showing YLL Māori/non-Māori rate ratios for lung cancer. Māori have over 3 times the YLL rate of non-Māori, with the ratio remaining steady over time, except for a small jump in 20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02934" cy="2550342"/>
                    </a:xfrm>
                    <a:prstGeom prst="rect">
                      <a:avLst/>
                    </a:prstGeom>
                  </pic:spPr>
                </pic:pic>
              </a:graphicData>
            </a:graphic>
          </wp:inline>
        </w:drawing>
      </w:r>
    </w:p>
    <w:p w14:paraId="6A6176AF" w14:textId="77777777" w:rsidR="003016B6" w:rsidRPr="00B8392D" w:rsidRDefault="003016B6" w:rsidP="003016B6">
      <w:pPr>
        <w:pStyle w:val="Note"/>
        <w:rPr>
          <w:b/>
          <w:bCs/>
        </w:rPr>
      </w:pPr>
      <w:r w:rsidRPr="009A1D13">
        <w:t>Note: the</w:t>
      </w:r>
      <w:r>
        <w:t xml:space="preserve"> shaded area</w:t>
      </w:r>
      <w:r w:rsidRPr="009A1D13">
        <w:t xml:space="preserve"> indicate</w:t>
      </w:r>
      <w:r>
        <w:t>s 95% uncertainty</w:t>
      </w:r>
      <w:r w:rsidRPr="009A1D13">
        <w:t xml:space="preserve"> interval</w:t>
      </w:r>
    </w:p>
    <w:p w14:paraId="73CD7EB6" w14:textId="77777777" w:rsidR="003016B6" w:rsidRDefault="003016B6" w:rsidP="003016B6">
      <w:pPr>
        <w:rPr>
          <w:rFonts w:cs="Segoe UI"/>
        </w:rPr>
      </w:pPr>
    </w:p>
    <w:p w14:paraId="38130977" w14:textId="0839D0A4" w:rsidR="003016B6" w:rsidRDefault="003016B6" w:rsidP="003016B6">
      <w:pPr>
        <w:rPr>
          <w:rFonts w:cs="Segoe UI"/>
        </w:rPr>
      </w:pPr>
      <w:r w:rsidRPr="00EA17ED">
        <w:rPr>
          <w:rFonts w:cs="Segoe UI"/>
        </w:rPr>
        <w:t>Tāne and wāhine Māori age-standardised</w:t>
      </w:r>
      <w:r>
        <w:rPr>
          <w:rFonts w:cs="Segoe UI"/>
        </w:rPr>
        <w:t xml:space="preserve"> YLL </w:t>
      </w:r>
      <w:r w:rsidRPr="00EA17ED">
        <w:rPr>
          <w:rFonts w:cs="Segoe UI"/>
        </w:rPr>
        <w:t>rates for lung cancer decreased between 1996 and 2021 (</w:t>
      </w:r>
      <w:r>
        <w:rPr>
          <w:rFonts w:cs="Segoe UI"/>
        </w:rPr>
        <w:t xml:space="preserve">see </w:t>
      </w:r>
      <w:r>
        <w:rPr>
          <w:rFonts w:cs="Segoe UI"/>
        </w:rPr>
        <w:fldChar w:fldCharType="begin"/>
      </w:r>
      <w:r>
        <w:rPr>
          <w:rFonts w:cs="Segoe UI"/>
        </w:rPr>
        <w:instrText xml:space="preserve"> REF _Ref198650152 \h </w:instrText>
      </w:r>
      <w:r>
        <w:rPr>
          <w:rFonts w:cs="Segoe UI"/>
        </w:rPr>
      </w:r>
      <w:r>
        <w:rPr>
          <w:rFonts w:cs="Segoe UI"/>
        </w:rPr>
        <w:fldChar w:fldCharType="separate"/>
      </w:r>
      <w:r w:rsidR="000E725A">
        <w:t xml:space="preserve">Figure </w:t>
      </w:r>
      <w:r w:rsidR="000E725A">
        <w:rPr>
          <w:noProof/>
        </w:rPr>
        <w:t>21</w:t>
      </w:r>
      <w:r>
        <w:rPr>
          <w:rFonts w:cs="Segoe UI"/>
        </w:rPr>
        <w:fldChar w:fldCharType="end"/>
      </w:r>
      <w:r w:rsidRPr="00EA17ED">
        <w:rPr>
          <w:rFonts w:cs="Segoe UI"/>
        </w:rPr>
        <w:t>). The YLL rates for lung cancer declined more rapidly for tāne Māori</w:t>
      </w:r>
      <w:r w:rsidRPr="00EA17ED" w:rsidDel="000125D7">
        <w:rPr>
          <w:rFonts w:cs="Segoe UI"/>
        </w:rPr>
        <w:t xml:space="preserve"> </w:t>
      </w:r>
      <w:r w:rsidRPr="00EA17ED">
        <w:rPr>
          <w:rFonts w:cs="Segoe UI"/>
        </w:rPr>
        <w:t xml:space="preserve">than </w:t>
      </w:r>
      <w:r>
        <w:rPr>
          <w:rFonts w:cs="Segoe UI"/>
        </w:rPr>
        <w:t xml:space="preserve">they did for </w:t>
      </w:r>
      <w:r w:rsidRPr="00EA17ED">
        <w:rPr>
          <w:rFonts w:cs="Segoe UI"/>
        </w:rPr>
        <w:t>wāhine Māori. Tāne had higher YLL rates than wāhine Māori until about 2008</w:t>
      </w:r>
      <w:r>
        <w:rPr>
          <w:rFonts w:cs="Segoe UI"/>
        </w:rPr>
        <w:t>,</w:t>
      </w:r>
      <w:r w:rsidRPr="00EA17ED">
        <w:rPr>
          <w:rFonts w:cs="Segoe UI"/>
        </w:rPr>
        <w:t xml:space="preserve"> when the </w:t>
      </w:r>
      <w:r>
        <w:rPr>
          <w:rFonts w:cs="Segoe UI"/>
        </w:rPr>
        <w:t>rates became similar</w:t>
      </w:r>
      <w:r w:rsidRPr="00EA17ED">
        <w:rPr>
          <w:rFonts w:cs="Segoe UI"/>
        </w:rPr>
        <w:t>. The decreas</w:t>
      </w:r>
      <w:r>
        <w:rPr>
          <w:rFonts w:cs="Segoe UI"/>
        </w:rPr>
        <w:t xml:space="preserve">e in </w:t>
      </w:r>
      <w:r w:rsidRPr="00EA17ED">
        <w:rPr>
          <w:rFonts w:cs="Segoe UI"/>
        </w:rPr>
        <w:t>wāhine Māori</w:t>
      </w:r>
      <w:r w:rsidRPr="00EA17ED" w:rsidDel="00DA4A33">
        <w:rPr>
          <w:rFonts w:cs="Segoe UI"/>
        </w:rPr>
        <w:t xml:space="preserve"> </w:t>
      </w:r>
      <w:r>
        <w:rPr>
          <w:rFonts w:cs="Segoe UI"/>
        </w:rPr>
        <w:t xml:space="preserve">YLL rates </w:t>
      </w:r>
      <w:r w:rsidRPr="00EA17ED">
        <w:rPr>
          <w:rFonts w:cs="Segoe UI"/>
        </w:rPr>
        <w:t>mostly occurred over the decade</w:t>
      </w:r>
      <w:r>
        <w:rPr>
          <w:rFonts w:cs="Segoe UI"/>
        </w:rPr>
        <w:t xml:space="preserve"> prior to 2021</w:t>
      </w:r>
      <w:r w:rsidRPr="00EA17ED">
        <w:rPr>
          <w:rFonts w:cs="Segoe UI"/>
        </w:rPr>
        <w:t>.</w:t>
      </w:r>
    </w:p>
    <w:p w14:paraId="133DE86D" w14:textId="77777777" w:rsidR="003016B6" w:rsidRPr="00C872C9" w:rsidRDefault="003016B6" w:rsidP="003016B6"/>
    <w:p w14:paraId="4D5EF7AA" w14:textId="2410CEF2" w:rsidR="003016B6" w:rsidRDefault="003016B6" w:rsidP="003016B6">
      <w:pPr>
        <w:pStyle w:val="Figure"/>
      </w:pPr>
      <w:bookmarkStart w:id="135" w:name="_Ref198650152"/>
      <w:bookmarkStart w:id="136" w:name="_Toc215236571"/>
      <w:bookmarkStart w:id="137" w:name="_Toc216377206"/>
      <w:r>
        <w:lastRenderedPageBreak/>
        <w:t xml:space="preserve">Figure </w:t>
      </w:r>
      <w:r>
        <w:fldChar w:fldCharType="begin"/>
      </w:r>
      <w:r>
        <w:instrText xml:space="preserve"> SEQ Figure \* ARABIC </w:instrText>
      </w:r>
      <w:r>
        <w:fldChar w:fldCharType="separate"/>
      </w:r>
      <w:r w:rsidR="000E725A">
        <w:rPr>
          <w:noProof/>
        </w:rPr>
        <w:t>21</w:t>
      </w:r>
      <w:r>
        <w:fldChar w:fldCharType="end"/>
      </w:r>
      <w:bookmarkEnd w:id="135"/>
      <w:r>
        <w:t xml:space="preserve">: </w:t>
      </w:r>
      <w:r w:rsidRPr="006A41D6">
        <w:t xml:space="preserve">Lung </w:t>
      </w:r>
      <w:r>
        <w:t>c</w:t>
      </w:r>
      <w:r w:rsidRPr="006A41D6">
        <w:t xml:space="preserve">ancer: tāne and wāhine Māori age-standardised </w:t>
      </w:r>
      <w:r>
        <w:t xml:space="preserve">years of life lost </w:t>
      </w:r>
      <w:r w:rsidRPr="006A41D6">
        <w:t>rates, 1996</w:t>
      </w:r>
      <w:r>
        <w:t>–</w:t>
      </w:r>
      <w:r w:rsidRPr="006A41D6">
        <w:t>2021</w:t>
      </w:r>
      <w:bookmarkEnd w:id="136"/>
      <w:bookmarkEnd w:id="137"/>
    </w:p>
    <w:p w14:paraId="4F502201" w14:textId="77777777" w:rsidR="003016B6" w:rsidRDefault="003016B6" w:rsidP="003016B6">
      <w:pPr>
        <w:keepNext/>
        <w:rPr>
          <w:rFonts w:cs="Segoe UI"/>
        </w:rPr>
      </w:pPr>
      <w:r w:rsidRPr="00EA17ED">
        <w:rPr>
          <w:rFonts w:cs="Segoe UI"/>
          <w:noProof/>
        </w:rPr>
        <w:drawing>
          <wp:inline distT="0" distB="0" distL="0" distR="0" wp14:anchorId="40008A30" wp14:editId="2BDC235B">
            <wp:extent cx="4851400" cy="2728512"/>
            <wp:effectExtent l="0" t="0" r="6350" b="0"/>
            <wp:docPr id="928162688" name="Picture 4" descr="A line graph showing lung cancer age-standardised YLL rates for tāne and wāhine Māori. Tāne rates start higher but converge with wāhine rates around 2005. Both show a declining trend to end below 1,500 in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62688" name="Picture 4" descr="A line graph showing lung cancer age-standardised YLL rates for tāne and wāhine Māori. Tāne rates start higher but converge with wāhine rates around 2005. Both show a declining trend to end below 1,500 in 2020 and 20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64299" cy="2735766"/>
                    </a:xfrm>
                    <a:prstGeom prst="rect">
                      <a:avLst/>
                    </a:prstGeom>
                  </pic:spPr>
                </pic:pic>
              </a:graphicData>
            </a:graphic>
          </wp:inline>
        </w:drawing>
      </w:r>
    </w:p>
    <w:p w14:paraId="503553C2" w14:textId="77777777" w:rsidR="003016B6" w:rsidRPr="003016B6" w:rsidRDefault="003016B6" w:rsidP="003016B6">
      <w:pPr>
        <w:pStyle w:val="Note"/>
      </w:pPr>
      <w:r w:rsidRPr="003016B6">
        <w:t>Note: the shaded areas indicate 95% uncertainty intervals</w:t>
      </w:r>
    </w:p>
    <w:p w14:paraId="34D21460" w14:textId="77777777" w:rsidR="003016B6" w:rsidRDefault="003016B6" w:rsidP="003016B6">
      <w:pPr>
        <w:rPr>
          <w:rFonts w:cs="Segoe UI"/>
        </w:rPr>
      </w:pPr>
    </w:p>
    <w:p w14:paraId="28DB19B0" w14:textId="24C9BD5D" w:rsidR="003016B6" w:rsidRPr="00EA17ED" w:rsidRDefault="003016B6" w:rsidP="003016B6">
      <w:pPr>
        <w:rPr>
          <w:rFonts w:cs="Segoe UI"/>
        </w:rPr>
      </w:pPr>
      <w:r>
        <w:rPr>
          <w:rFonts w:cs="Segoe UI"/>
        </w:rPr>
        <w:t>T</w:t>
      </w:r>
      <w:r w:rsidRPr="00EA17ED">
        <w:rPr>
          <w:rFonts w:cs="Segoe UI"/>
        </w:rPr>
        <w:t>here</w:t>
      </w:r>
      <w:r w:rsidRPr="00EA17ED" w:rsidDel="00443B1F">
        <w:rPr>
          <w:rFonts w:cs="Segoe UI"/>
        </w:rPr>
        <w:t xml:space="preserve"> </w:t>
      </w:r>
      <w:r>
        <w:rPr>
          <w:rFonts w:cs="Segoe UI"/>
        </w:rPr>
        <w:t xml:space="preserve">was </w:t>
      </w:r>
      <w:r w:rsidRPr="00EA17ED">
        <w:rPr>
          <w:rFonts w:cs="Segoe UI"/>
        </w:rPr>
        <w:t xml:space="preserve">a gradual decline in </w:t>
      </w:r>
      <w:r>
        <w:rPr>
          <w:rFonts w:cs="Segoe UI"/>
        </w:rPr>
        <w:t xml:space="preserve">this </w:t>
      </w:r>
      <w:r w:rsidRPr="00EA17ED">
        <w:rPr>
          <w:rFonts w:cs="Segoe UI"/>
        </w:rPr>
        <w:t xml:space="preserve">rate </w:t>
      </w:r>
      <w:r>
        <w:rPr>
          <w:rFonts w:cs="Segoe UI"/>
        </w:rPr>
        <w:t xml:space="preserve">in the years prior </w:t>
      </w:r>
      <w:r w:rsidRPr="00EA17ED">
        <w:rPr>
          <w:rFonts w:cs="Segoe UI"/>
        </w:rPr>
        <w:t xml:space="preserve">to 2021 among most age groups, </w:t>
      </w:r>
      <w:r>
        <w:rPr>
          <w:rFonts w:cs="Segoe UI"/>
        </w:rPr>
        <w:t xml:space="preserve">but </w:t>
      </w:r>
      <w:r w:rsidRPr="00EA17ED">
        <w:rPr>
          <w:rFonts w:cs="Segoe UI"/>
        </w:rPr>
        <w:t xml:space="preserve">there </w:t>
      </w:r>
      <w:r>
        <w:rPr>
          <w:rFonts w:cs="Segoe UI"/>
        </w:rPr>
        <w:t xml:space="preserve">were </w:t>
      </w:r>
      <w:r w:rsidRPr="00EA17ED">
        <w:rPr>
          <w:rFonts w:cs="Segoe UI"/>
        </w:rPr>
        <w:t>still large equity gaps when compar</w:t>
      </w:r>
      <w:r>
        <w:rPr>
          <w:rFonts w:cs="Segoe UI"/>
        </w:rPr>
        <w:t>ing Māori</w:t>
      </w:r>
      <w:r w:rsidRPr="00EA17ED">
        <w:rPr>
          <w:rFonts w:cs="Segoe UI"/>
        </w:rPr>
        <w:t xml:space="preserve"> to non-Māori</w:t>
      </w:r>
      <w:r>
        <w:rPr>
          <w:rFonts w:cs="Segoe UI"/>
        </w:rPr>
        <w:t xml:space="preserve"> in 2021,</w:t>
      </w:r>
      <w:r w:rsidRPr="00EA17ED">
        <w:rPr>
          <w:rFonts w:cs="Segoe UI"/>
        </w:rPr>
        <w:t xml:space="preserve"> particularly </w:t>
      </w:r>
      <w:r>
        <w:rPr>
          <w:rFonts w:cs="Segoe UI"/>
        </w:rPr>
        <w:t xml:space="preserve">for those aged </w:t>
      </w:r>
      <w:r w:rsidRPr="00EA17ED">
        <w:rPr>
          <w:rFonts w:cs="Segoe UI"/>
        </w:rPr>
        <w:t xml:space="preserve">between </w:t>
      </w:r>
      <w:r>
        <w:rPr>
          <w:rFonts w:cs="Segoe UI"/>
        </w:rPr>
        <w:t>5</w:t>
      </w:r>
      <w:r w:rsidRPr="00EA17ED">
        <w:rPr>
          <w:rFonts w:cs="Segoe UI"/>
        </w:rPr>
        <w:t xml:space="preserve">0 and </w:t>
      </w:r>
      <w:r>
        <w:rPr>
          <w:rFonts w:cs="Segoe UI"/>
        </w:rPr>
        <w:t>84</w:t>
      </w:r>
      <w:r w:rsidRPr="00EA17ED">
        <w:rPr>
          <w:rFonts w:cs="Segoe UI"/>
        </w:rPr>
        <w:t xml:space="preserve"> years </w:t>
      </w:r>
      <w:r>
        <w:rPr>
          <w:rFonts w:cs="Segoe UI"/>
        </w:rPr>
        <w:t>(</w:t>
      </w:r>
      <w:r>
        <w:rPr>
          <w:rFonts w:cs="Segoe UI"/>
        </w:rPr>
        <w:fldChar w:fldCharType="begin"/>
      </w:r>
      <w:r>
        <w:rPr>
          <w:rFonts w:cs="Segoe UI"/>
        </w:rPr>
        <w:instrText xml:space="preserve"> REF _Ref198650212 \h </w:instrText>
      </w:r>
      <w:r>
        <w:rPr>
          <w:rFonts w:cs="Segoe UI"/>
        </w:rPr>
      </w:r>
      <w:r>
        <w:rPr>
          <w:rFonts w:cs="Segoe UI"/>
        </w:rPr>
        <w:fldChar w:fldCharType="separate"/>
      </w:r>
      <w:r w:rsidR="000E725A">
        <w:t xml:space="preserve">Figure </w:t>
      </w:r>
      <w:r w:rsidR="000E725A">
        <w:rPr>
          <w:noProof/>
        </w:rPr>
        <w:t>22</w:t>
      </w:r>
      <w:r>
        <w:rPr>
          <w:rFonts w:cs="Segoe UI"/>
        </w:rPr>
        <w:fldChar w:fldCharType="end"/>
      </w:r>
      <w:r>
        <w:rPr>
          <w:rFonts w:cs="Segoe UI"/>
        </w:rPr>
        <w:t>)</w:t>
      </w:r>
      <w:r w:rsidRPr="00EA17ED">
        <w:rPr>
          <w:rFonts w:cs="Segoe UI"/>
        </w:rPr>
        <w:t>.</w:t>
      </w:r>
      <w:r w:rsidRPr="00EA17ED" w:rsidDel="00F8705A">
        <w:rPr>
          <w:rFonts w:cs="Segoe UI"/>
        </w:rPr>
        <w:t xml:space="preserve"> </w:t>
      </w:r>
    </w:p>
    <w:p w14:paraId="7875311A" w14:textId="77777777" w:rsidR="003016B6" w:rsidRPr="00EA17ED" w:rsidRDefault="003016B6" w:rsidP="003016B6">
      <w:pPr>
        <w:rPr>
          <w:rFonts w:cs="Segoe UI"/>
        </w:rPr>
      </w:pPr>
    </w:p>
    <w:p w14:paraId="42E9AD2E" w14:textId="2B7DB1EF" w:rsidR="003016B6" w:rsidRDefault="003016B6" w:rsidP="003016B6">
      <w:pPr>
        <w:pStyle w:val="Figure"/>
      </w:pPr>
      <w:bookmarkStart w:id="138" w:name="_Ref198650212"/>
      <w:bookmarkStart w:id="139" w:name="_Toc215236572"/>
      <w:bookmarkStart w:id="140" w:name="_Toc216377207"/>
      <w:r>
        <w:t xml:space="preserve">Figure </w:t>
      </w:r>
      <w:r>
        <w:fldChar w:fldCharType="begin"/>
      </w:r>
      <w:r>
        <w:instrText xml:space="preserve"> SEQ Figure \* ARABIC </w:instrText>
      </w:r>
      <w:r>
        <w:fldChar w:fldCharType="separate"/>
      </w:r>
      <w:r w:rsidR="000E725A">
        <w:rPr>
          <w:noProof/>
        </w:rPr>
        <w:t>22</w:t>
      </w:r>
      <w:r>
        <w:fldChar w:fldCharType="end"/>
      </w:r>
      <w:bookmarkEnd w:id="138"/>
      <w:r>
        <w:t xml:space="preserve">: </w:t>
      </w:r>
      <w:r w:rsidRPr="000F73D1">
        <w:t xml:space="preserve">Lung cancer: Māori and non-Māori </w:t>
      </w:r>
      <w:r>
        <w:t xml:space="preserve">years of life lost </w:t>
      </w:r>
      <w:r w:rsidRPr="000F73D1">
        <w:t>rates, by age</w:t>
      </w:r>
      <w:r>
        <w:t xml:space="preserve"> group</w:t>
      </w:r>
      <w:r w:rsidRPr="000F73D1">
        <w:t>, 2021</w:t>
      </w:r>
      <w:bookmarkEnd w:id="139"/>
      <w:bookmarkEnd w:id="140"/>
    </w:p>
    <w:p w14:paraId="19A58592" w14:textId="77777777" w:rsidR="003016B6" w:rsidRPr="00EA17ED" w:rsidRDefault="003016B6" w:rsidP="003016B6">
      <w:pPr>
        <w:keepNext/>
        <w:rPr>
          <w:rFonts w:cs="Segoe UI"/>
        </w:rPr>
      </w:pPr>
      <w:r w:rsidRPr="00EA17ED">
        <w:rPr>
          <w:rFonts w:cs="Segoe UI"/>
          <w:noProof/>
        </w:rPr>
        <w:drawing>
          <wp:inline distT="0" distB="0" distL="0" distR="0" wp14:anchorId="0974D5C4" wp14:editId="602912D6">
            <wp:extent cx="4851400" cy="2728512"/>
            <wp:effectExtent l="0" t="0" r="6350" b="0"/>
            <wp:docPr id="7360060" name="Picture 3" descr="A vertical bar chart comparing lung cancer YLL rates by age group. Māori have higher rates than non-Māori across all age groups. The Māori rate is highest in the 70-74 age group while the non-Māori rate is highest in the 75-7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060" name="Picture 3" descr="A vertical bar chart comparing lung cancer YLL rates by age group. Māori have higher rates than non-Māori across all age groups. The Māori rate is highest in the 70-74 age group while the non-Māori rate is highest in the 75-79 age grou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65625" cy="2736513"/>
                    </a:xfrm>
                    <a:prstGeom prst="rect">
                      <a:avLst/>
                    </a:prstGeom>
                  </pic:spPr>
                </pic:pic>
              </a:graphicData>
            </a:graphic>
          </wp:inline>
        </w:drawing>
      </w:r>
    </w:p>
    <w:p w14:paraId="7E01ECEE" w14:textId="77777777" w:rsidR="003016B6" w:rsidRDefault="003016B6" w:rsidP="003016B6">
      <w:pPr>
        <w:pStyle w:val="Note"/>
      </w:pPr>
      <w:r w:rsidRPr="009A1D13">
        <w:t>Note: the</w:t>
      </w:r>
      <w:r>
        <w:t xml:space="preserve"> bars</w:t>
      </w:r>
      <w:r w:rsidRPr="009A1D13">
        <w:t xml:space="preserve"> indicate 95% uncertainty intervals</w:t>
      </w:r>
    </w:p>
    <w:p w14:paraId="129CCC9E" w14:textId="77777777" w:rsidR="003016B6" w:rsidRDefault="003016B6" w:rsidP="003016B6"/>
    <w:p w14:paraId="0BB7F564" w14:textId="48043E82" w:rsidR="003016B6" w:rsidRPr="003016B6" w:rsidRDefault="003016B6" w:rsidP="003016B6">
      <w:r w:rsidRPr="003016B6">
        <w:t xml:space="preserve">The lung cancer YLL rates for tāne and wāhine Māori </w:t>
      </w:r>
      <w:r w:rsidR="006D1A39">
        <w:fldChar w:fldCharType="begin"/>
      </w:r>
      <w:r w:rsidR="006D1A39">
        <w:instrText xml:space="preserve"> REF _Ref198650152 \h </w:instrText>
      </w:r>
      <w:r w:rsidR="006D1A39">
        <w:fldChar w:fldCharType="separate"/>
      </w:r>
      <w:r w:rsidR="000E725A">
        <w:t xml:space="preserve">Figure </w:t>
      </w:r>
      <w:r w:rsidR="000E725A">
        <w:rPr>
          <w:noProof/>
        </w:rPr>
        <w:t>21</w:t>
      </w:r>
      <w:r w:rsidR="006D1A39">
        <w:fldChar w:fldCharType="end"/>
      </w:r>
      <w:r w:rsidRPr="003016B6">
        <w:t xml:space="preserve"> shows appear again in more detail in </w:t>
      </w:r>
      <w:r w:rsidR="006D1A39">
        <w:fldChar w:fldCharType="begin"/>
      </w:r>
      <w:r w:rsidR="006D1A39">
        <w:instrText xml:space="preserve"> REF _Ref199857073 \h </w:instrText>
      </w:r>
      <w:r w:rsidR="006D1A39">
        <w:fldChar w:fldCharType="separate"/>
      </w:r>
      <w:r w:rsidR="000E725A">
        <w:t xml:space="preserve">Figure </w:t>
      </w:r>
      <w:r w:rsidR="000E725A">
        <w:rPr>
          <w:noProof/>
        </w:rPr>
        <w:t>23</w:t>
      </w:r>
      <w:r w:rsidR="006D1A39">
        <w:fldChar w:fldCharType="end"/>
      </w:r>
      <w:r w:rsidRPr="003016B6">
        <w:t>, by age group. There were small differences between rates for tāne and wāhine in 2021 that were not always consistent across age groups. Lung cancer YLL rates peaked in the 70–74-year age group for both tāne and wāhine</w:t>
      </w:r>
    </w:p>
    <w:p w14:paraId="1CBDE298" w14:textId="77777777" w:rsidR="003016B6" w:rsidRDefault="003016B6" w:rsidP="003016B6">
      <w:pPr>
        <w:rPr>
          <w:rStyle w:val="SubtleEmphasis"/>
          <w:rFonts w:cs="Segoe UI"/>
          <w:sz w:val="22"/>
          <w:szCs w:val="22"/>
        </w:rPr>
      </w:pPr>
    </w:p>
    <w:p w14:paraId="227B28C4" w14:textId="30E7C82D" w:rsidR="003016B6" w:rsidRDefault="003016B6" w:rsidP="003016B6">
      <w:pPr>
        <w:pStyle w:val="Figure"/>
      </w:pPr>
      <w:bookmarkStart w:id="141" w:name="_Ref199857073"/>
      <w:bookmarkStart w:id="142" w:name="_Toc215236573"/>
      <w:bookmarkStart w:id="143" w:name="_Toc216377208"/>
      <w:r>
        <w:lastRenderedPageBreak/>
        <w:t xml:space="preserve">Figure </w:t>
      </w:r>
      <w:r>
        <w:fldChar w:fldCharType="begin"/>
      </w:r>
      <w:r>
        <w:instrText xml:space="preserve"> SEQ Figure \* ARABIC </w:instrText>
      </w:r>
      <w:r>
        <w:fldChar w:fldCharType="separate"/>
      </w:r>
      <w:r w:rsidR="000E725A">
        <w:rPr>
          <w:noProof/>
        </w:rPr>
        <w:t>23</w:t>
      </w:r>
      <w:r>
        <w:fldChar w:fldCharType="end"/>
      </w:r>
      <w:bookmarkEnd w:id="141"/>
      <w:r>
        <w:t xml:space="preserve">: </w:t>
      </w:r>
      <w:r w:rsidRPr="007C5631">
        <w:t xml:space="preserve">Lung cancer: tāne and wāhine Māori </w:t>
      </w:r>
      <w:r>
        <w:t xml:space="preserve">years of life lost </w:t>
      </w:r>
      <w:r w:rsidRPr="007C5631">
        <w:t>rates by age group, 2021</w:t>
      </w:r>
      <w:bookmarkEnd w:id="142"/>
      <w:bookmarkEnd w:id="143"/>
    </w:p>
    <w:p w14:paraId="69D7BB1F" w14:textId="77777777" w:rsidR="003016B6" w:rsidRDefault="003016B6" w:rsidP="003016B6">
      <w:pPr>
        <w:keepNext/>
      </w:pPr>
      <w:r w:rsidRPr="00996AEA">
        <w:rPr>
          <w:noProof/>
        </w:rPr>
        <w:drawing>
          <wp:inline distT="0" distB="0" distL="0" distR="0" wp14:anchorId="53CF4C96" wp14:editId="5E1B80CD">
            <wp:extent cx="5111750" cy="2874936"/>
            <wp:effectExtent l="0" t="0" r="0" b="1905"/>
            <wp:docPr id="870717982" name="Picture 3" descr="A vertical bar chart showing lung cancer YLL rates by age group for tāne and wāhine Māori. Rates peak in the 70–74 age group for both genders. Rates for tāne are higher than for wāhine in the age groups 65-74 and ove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17982" name="Picture 3" descr="A vertical bar chart showing lung cancer YLL rates by age group for tāne and wāhine Māori. Rates peak in the 70–74 age group for both genders. Rates for tāne are higher than for wāhine in the age groups 65-74 and over 8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21392" cy="2880359"/>
                    </a:xfrm>
                    <a:prstGeom prst="rect">
                      <a:avLst/>
                    </a:prstGeom>
                  </pic:spPr>
                </pic:pic>
              </a:graphicData>
            </a:graphic>
          </wp:inline>
        </w:drawing>
      </w:r>
    </w:p>
    <w:p w14:paraId="14327EE3" w14:textId="77777777" w:rsidR="003016B6" w:rsidRPr="00B8392D" w:rsidRDefault="003016B6" w:rsidP="003016B6">
      <w:pPr>
        <w:pStyle w:val="Note"/>
        <w:rPr>
          <w:b/>
          <w:bCs/>
        </w:rPr>
      </w:pPr>
      <w:r w:rsidRPr="009A1D13">
        <w:t>Note: the</w:t>
      </w:r>
      <w:r>
        <w:t xml:space="preserve"> bars</w:t>
      </w:r>
      <w:r w:rsidRPr="009A1D13">
        <w:t xml:space="preserve"> indicate 95% uncertainty intervals</w:t>
      </w:r>
    </w:p>
    <w:p w14:paraId="11B8D8CD" w14:textId="77777777" w:rsidR="003016B6" w:rsidRPr="003016B6" w:rsidRDefault="003016B6" w:rsidP="003016B6">
      <w:pPr>
        <w:pStyle w:val="Heading4"/>
        <w:rPr>
          <w:rStyle w:val="SubtleEmphasis"/>
          <w:i w:val="0"/>
          <w:iCs w:val="0"/>
          <w:color w:val="0A6AB4"/>
          <w:sz w:val="28"/>
        </w:rPr>
      </w:pPr>
      <w:bookmarkStart w:id="144" w:name="_Toc187999534"/>
      <w:bookmarkStart w:id="145" w:name="_Toc215236534"/>
      <w:r w:rsidRPr="003016B6">
        <w:rPr>
          <w:rStyle w:val="SubtleEmphasis"/>
          <w:i w:val="0"/>
          <w:iCs w:val="0"/>
          <w:color w:val="0A6AB4"/>
          <w:sz w:val="28"/>
        </w:rPr>
        <w:t>Breast cancer</w:t>
      </w:r>
      <w:bookmarkEnd w:id="144"/>
      <w:bookmarkEnd w:id="145"/>
    </w:p>
    <w:p w14:paraId="7B61DF99" w14:textId="6654C470" w:rsidR="003016B6" w:rsidRDefault="003016B6" w:rsidP="003016B6">
      <w:pPr>
        <w:rPr>
          <w:rFonts w:cs="Segoe UI"/>
          <w:szCs w:val="22"/>
        </w:rPr>
      </w:pPr>
      <w:r>
        <w:rPr>
          <w:rFonts w:cs="Segoe UI"/>
          <w:szCs w:val="22"/>
        </w:rPr>
        <w:t>B</w:t>
      </w:r>
      <w:r w:rsidRPr="00EA17ED">
        <w:rPr>
          <w:rFonts w:cs="Segoe UI"/>
          <w:szCs w:val="22"/>
        </w:rPr>
        <w:t xml:space="preserve">reast cancer was the </w:t>
      </w:r>
      <w:r>
        <w:rPr>
          <w:rFonts w:cs="Segoe UI"/>
          <w:szCs w:val="22"/>
        </w:rPr>
        <w:t>second</w:t>
      </w:r>
      <w:r w:rsidRPr="00354AE1">
        <w:rPr>
          <w:rFonts w:cs="Segoe UI"/>
          <w:szCs w:val="22"/>
        </w:rPr>
        <w:t xml:space="preserve"> </w:t>
      </w:r>
      <w:r>
        <w:rPr>
          <w:rFonts w:cs="Segoe UI"/>
          <w:szCs w:val="22"/>
        </w:rPr>
        <w:t>highest</w:t>
      </w:r>
      <w:r w:rsidRPr="00354AE1">
        <w:rPr>
          <w:rFonts w:cs="Segoe UI"/>
          <w:szCs w:val="22"/>
        </w:rPr>
        <w:t xml:space="preserve"> cancer</w:t>
      </w:r>
      <w:r>
        <w:rPr>
          <w:rFonts w:cs="Segoe UI"/>
          <w:szCs w:val="22"/>
        </w:rPr>
        <w:t xml:space="preserve"> contributor</w:t>
      </w:r>
      <w:r w:rsidRPr="00EA17ED">
        <w:rPr>
          <w:rFonts w:cs="Segoe UI"/>
          <w:szCs w:val="22"/>
        </w:rPr>
        <w:t xml:space="preserve">, and the </w:t>
      </w:r>
      <w:r w:rsidRPr="00354AE1">
        <w:rPr>
          <w:rFonts w:cs="Segoe UI"/>
          <w:szCs w:val="22"/>
        </w:rPr>
        <w:t>fourth highest overall</w:t>
      </w:r>
      <w:r w:rsidRPr="00EA17ED">
        <w:rPr>
          <w:rFonts w:cs="Segoe UI"/>
          <w:szCs w:val="22"/>
        </w:rPr>
        <w:t xml:space="preserve"> contributor to YLL for wāhine Māori</w:t>
      </w:r>
      <w:r w:rsidRPr="00354AE1">
        <w:rPr>
          <w:rFonts w:cs="Segoe UI"/>
          <w:szCs w:val="22"/>
        </w:rPr>
        <w:t xml:space="preserve">, contributing to </w:t>
      </w:r>
      <w:r>
        <w:rPr>
          <w:rFonts w:cs="Segoe UI"/>
          <w:szCs w:val="22"/>
        </w:rPr>
        <w:t>6% of overall YLL for wāhine Māori in 2021</w:t>
      </w:r>
      <w:r w:rsidRPr="00EA17ED">
        <w:rPr>
          <w:rFonts w:cs="Segoe UI"/>
          <w:szCs w:val="22"/>
        </w:rPr>
        <w:t>.</w:t>
      </w:r>
      <w:r>
        <w:rPr>
          <w:rFonts w:cs="Segoe UI"/>
          <w:szCs w:val="22"/>
        </w:rPr>
        <w:t xml:space="preserve"> The age-standardised breast cancer YLL rate was higher for Māori than it was for non-Māori (see </w:t>
      </w:r>
      <w:r>
        <w:rPr>
          <w:rFonts w:cs="Segoe UI"/>
          <w:szCs w:val="22"/>
        </w:rPr>
        <w:fldChar w:fldCharType="begin"/>
      </w:r>
      <w:r>
        <w:rPr>
          <w:rFonts w:cs="Segoe UI"/>
          <w:szCs w:val="22"/>
        </w:rPr>
        <w:instrText xml:space="preserve"> REF _Ref199857841 \h </w:instrText>
      </w:r>
      <w:r>
        <w:rPr>
          <w:rFonts w:cs="Segoe UI"/>
          <w:szCs w:val="22"/>
        </w:rPr>
      </w:r>
      <w:r>
        <w:rPr>
          <w:rFonts w:cs="Segoe UI"/>
          <w:szCs w:val="22"/>
        </w:rPr>
        <w:fldChar w:fldCharType="separate"/>
      </w:r>
      <w:r w:rsidR="000E725A">
        <w:t xml:space="preserve">Figure </w:t>
      </w:r>
      <w:r w:rsidR="000E725A">
        <w:rPr>
          <w:noProof/>
        </w:rPr>
        <w:t>24</w:t>
      </w:r>
      <w:r>
        <w:rPr>
          <w:rFonts w:cs="Segoe UI"/>
          <w:szCs w:val="22"/>
        </w:rPr>
        <w:fldChar w:fldCharType="end"/>
      </w:r>
      <w:r>
        <w:rPr>
          <w:rFonts w:cs="Segoe UI"/>
          <w:szCs w:val="22"/>
        </w:rPr>
        <w:t>), but the gap was smaller for this cancer than for lung cancer. The gap between the breast cancer YLL rates for Māori and non-Māori remained consistent from 1996 to 2021: the rate ratio remained generally about 1.5, with small fluctuations (</w:t>
      </w:r>
      <w:r>
        <w:rPr>
          <w:rFonts w:cs="Segoe UI"/>
          <w:szCs w:val="22"/>
        </w:rPr>
        <w:fldChar w:fldCharType="begin"/>
      </w:r>
      <w:r>
        <w:rPr>
          <w:rFonts w:cs="Segoe UI"/>
          <w:szCs w:val="22"/>
        </w:rPr>
        <w:instrText xml:space="preserve"> REF _Ref199857973 \h </w:instrText>
      </w:r>
      <w:r>
        <w:rPr>
          <w:rFonts w:cs="Segoe UI"/>
          <w:szCs w:val="22"/>
        </w:rPr>
      </w:r>
      <w:r>
        <w:rPr>
          <w:rFonts w:cs="Segoe UI"/>
          <w:szCs w:val="22"/>
        </w:rPr>
        <w:fldChar w:fldCharType="separate"/>
      </w:r>
      <w:r w:rsidR="000E725A">
        <w:t xml:space="preserve">Figure </w:t>
      </w:r>
      <w:r w:rsidR="000E725A">
        <w:rPr>
          <w:noProof/>
        </w:rPr>
        <w:t>25</w:t>
      </w:r>
      <w:r>
        <w:rPr>
          <w:rFonts w:cs="Segoe UI"/>
          <w:szCs w:val="22"/>
        </w:rPr>
        <w:fldChar w:fldCharType="end"/>
      </w:r>
      <w:r>
        <w:rPr>
          <w:rFonts w:cs="Segoe UI"/>
          <w:szCs w:val="22"/>
        </w:rPr>
        <w:t>). This means the equity gap did not get smaller.</w:t>
      </w:r>
    </w:p>
    <w:p w14:paraId="6CC8BA17" w14:textId="77777777" w:rsidR="000E74C8" w:rsidRPr="00EA17ED" w:rsidRDefault="000E74C8" w:rsidP="003016B6">
      <w:pPr>
        <w:rPr>
          <w:rFonts w:cs="Segoe UI"/>
          <w:szCs w:val="22"/>
        </w:rPr>
      </w:pPr>
    </w:p>
    <w:p w14:paraId="74CBFA72" w14:textId="1A719BE6" w:rsidR="003016B6" w:rsidRDefault="003016B6" w:rsidP="003016B6">
      <w:pPr>
        <w:pStyle w:val="Figure"/>
      </w:pPr>
      <w:bookmarkStart w:id="146" w:name="_Ref199857841"/>
      <w:bookmarkStart w:id="147" w:name="_Toc215236574"/>
      <w:bookmarkStart w:id="148" w:name="_Toc216377209"/>
      <w:r>
        <w:t xml:space="preserve">Figure </w:t>
      </w:r>
      <w:r>
        <w:fldChar w:fldCharType="begin"/>
      </w:r>
      <w:r>
        <w:instrText xml:space="preserve"> SEQ Figure \* ARABIC </w:instrText>
      </w:r>
      <w:r>
        <w:fldChar w:fldCharType="separate"/>
      </w:r>
      <w:r w:rsidR="000E725A">
        <w:rPr>
          <w:noProof/>
        </w:rPr>
        <w:t>24</w:t>
      </w:r>
      <w:r>
        <w:fldChar w:fldCharType="end"/>
      </w:r>
      <w:bookmarkEnd w:id="146"/>
      <w:r>
        <w:t xml:space="preserve">: </w:t>
      </w:r>
      <w:r w:rsidRPr="00944659">
        <w:t xml:space="preserve">Breast cancer: Māori and non-Māori wāhine age-standardised </w:t>
      </w:r>
      <w:r>
        <w:t xml:space="preserve">years of life lost </w:t>
      </w:r>
      <w:r w:rsidRPr="00944659">
        <w:t>rates, 1996</w:t>
      </w:r>
      <w:r>
        <w:t>–</w:t>
      </w:r>
      <w:r w:rsidRPr="00944659">
        <w:t>2021</w:t>
      </w:r>
      <w:bookmarkEnd w:id="147"/>
      <w:bookmarkEnd w:id="148"/>
    </w:p>
    <w:p w14:paraId="5053F002" w14:textId="77777777" w:rsidR="003016B6" w:rsidRDefault="003016B6" w:rsidP="003016B6">
      <w:pPr>
        <w:keepNext/>
      </w:pPr>
      <w:r>
        <w:rPr>
          <w:rFonts w:cs="Segoe UI"/>
          <w:noProof/>
          <w:szCs w:val="22"/>
          <w14:ligatures w14:val="standardContextual"/>
        </w:rPr>
        <w:drawing>
          <wp:inline distT="0" distB="0" distL="0" distR="0" wp14:anchorId="423A3F11" wp14:editId="7A2D0315">
            <wp:extent cx="4845050" cy="2724939"/>
            <wp:effectExtent l="0" t="0" r="0" b="0"/>
            <wp:docPr id="1988086124" name="Picture 4" descr="A line graph showing breast cancer YLL rates for Māori and non-Māori wāhine, with a 95% uncertainty interval. Māori rates are consistently higher over time. Both rates have been decreasing between 1995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86124" name="Picture 4" descr="A line graph showing breast cancer YLL rates for Māori and non-Māori wāhine, with a 95% uncertainty interval. Māori rates are consistently higher over time. Both rates have been decreasing between 1995 and 20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49382" cy="2727375"/>
                    </a:xfrm>
                    <a:prstGeom prst="rect">
                      <a:avLst/>
                    </a:prstGeom>
                  </pic:spPr>
                </pic:pic>
              </a:graphicData>
            </a:graphic>
          </wp:inline>
        </w:drawing>
      </w:r>
    </w:p>
    <w:p w14:paraId="3F2B5BA9" w14:textId="77777777" w:rsidR="003016B6" w:rsidRPr="00B8392D" w:rsidRDefault="003016B6" w:rsidP="003016B6">
      <w:pPr>
        <w:pStyle w:val="Note"/>
        <w:rPr>
          <w:b/>
          <w:bCs/>
        </w:rPr>
      </w:pPr>
      <w:r w:rsidRPr="009A1D13">
        <w:t>Note: the</w:t>
      </w:r>
      <w:r>
        <w:t xml:space="preserve"> shaded areas</w:t>
      </w:r>
      <w:r w:rsidRPr="009A1D13">
        <w:t xml:space="preserve"> indicate 95% uncertainty intervals</w:t>
      </w:r>
    </w:p>
    <w:p w14:paraId="7D68418D" w14:textId="37090D85" w:rsidR="003016B6" w:rsidRDefault="003016B6" w:rsidP="003016B6">
      <w:pPr>
        <w:pStyle w:val="Figure"/>
      </w:pPr>
      <w:bookmarkStart w:id="149" w:name="_Ref199857973"/>
      <w:bookmarkStart w:id="150" w:name="_Toc215236575"/>
      <w:bookmarkStart w:id="151" w:name="_Toc216377210"/>
      <w:r>
        <w:lastRenderedPageBreak/>
        <w:t xml:space="preserve">Figure </w:t>
      </w:r>
      <w:r>
        <w:fldChar w:fldCharType="begin"/>
      </w:r>
      <w:r>
        <w:instrText xml:space="preserve"> SEQ Figure \* ARABIC </w:instrText>
      </w:r>
      <w:r>
        <w:fldChar w:fldCharType="separate"/>
      </w:r>
      <w:r w:rsidR="000E725A">
        <w:rPr>
          <w:noProof/>
        </w:rPr>
        <w:t>25</w:t>
      </w:r>
      <w:r>
        <w:fldChar w:fldCharType="end"/>
      </w:r>
      <w:bookmarkEnd w:id="149"/>
      <w:r>
        <w:t xml:space="preserve">: </w:t>
      </w:r>
      <w:r w:rsidRPr="00F96B85">
        <w:t xml:space="preserve">Breast cancer: Māori/non-Māori wāhine age-standardised </w:t>
      </w:r>
      <w:r>
        <w:t xml:space="preserve">years of life lost </w:t>
      </w:r>
      <w:r w:rsidRPr="00F96B85">
        <w:t>rate ratios, 1996</w:t>
      </w:r>
      <w:r>
        <w:t>–</w:t>
      </w:r>
      <w:r w:rsidRPr="00F96B85">
        <w:t>2021</w:t>
      </w:r>
      <w:bookmarkEnd w:id="150"/>
      <w:bookmarkEnd w:id="151"/>
    </w:p>
    <w:p w14:paraId="23A7B24A" w14:textId="77777777" w:rsidR="003016B6" w:rsidRDefault="003016B6" w:rsidP="003016B6">
      <w:pPr>
        <w:keepNext/>
      </w:pPr>
      <w:r>
        <w:rPr>
          <w:rFonts w:cs="Segoe UI"/>
          <w:noProof/>
          <w:szCs w:val="22"/>
          <w14:ligatures w14:val="standardContextual"/>
        </w:rPr>
        <w:drawing>
          <wp:inline distT="0" distB="0" distL="0" distR="0" wp14:anchorId="3C6F1473" wp14:editId="799592C8">
            <wp:extent cx="4838700" cy="2418283"/>
            <wp:effectExtent l="0" t="0" r="0" b="1270"/>
            <wp:docPr id="567764611" name="Picture 5" descr="A line graph showing the rate ratio of Māori to non-Māori wāhine for breast cancer YLL. The ratio fluctuates over time but  remains arou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4611" name="Picture 5" descr="A line graph showing the rate ratio of Māori to non-Māori wāhine for breast cancer YLL. The ratio fluctuates over time but  remains around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45243" cy="2421553"/>
                    </a:xfrm>
                    <a:prstGeom prst="rect">
                      <a:avLst/>
                    </a:prstGeom>
                  </pic:spPr>
                </pic:pic>
              </a:graphicData>
            </a:graphic>
          </wp:inline>
        </w:drawing>
      </w:r>
    </w:p>
    <w:p w14:paraId="736F824B" w14:textId="29AB6D47" w:rsidR="003016B6" w:rsidRPr="002A7A49" w:rsidRDefault="003016B6" w:rsidP="003016B6">
      <w:pPr>
        <w:pStyle w:val="Note"/>
        <w:rPr>
          <w:b/>
          <w:bCs/>
        </w:rPr>
      </w:pPr>
      <w:r w:rsidRPr="009A1D13">
        <w:t>Note: the</w:t>
      </w:r>
      <w:r>
        <w:t xml:space="preserve"> shaded area</w:t>
      </w:r>
      <w:r w:rsidRPr="009A1D13">
        <w:t xml:space="preserve"> indicate</w:t>
      </w:r>
      <w:r>
        <w:t>s 95</w:t>
      </w:r>
      <w:r w:rsidR="00D6013C">
        <w:t>% uncertainty</w:t>
      </w:r>
      <w:r w:rsidRPr="009A1D13">
        <w:t xml:space="preserve"> interval</w:t>
      </w:r>
    </w:p>
    <w:p w14:paraId="57992DA4" w14:textId="77777777" w:rsidR="003016B6" w:rsidRDefault="003016B6" w:rsidP="003016B6">
      <w:pPr>
        <w:rPr>
          <w:rFonts w:cs="Segoe UI"/>
        </w:rPr>
      </w:pPr>
    </w:p>
    <w:p w14:paraId="17E6670B" w14:textId="6B36BDE6" w:rsidR="003016B6" w:rsidRPr="00EA17ED" w:rsidRDefault="003016B6" w:rsidP="003016B6">
      <w:pPr>
        <w:rPr>
          <w:rFonts w:cs="Segoe UI"/>
        </w:rPr>
      </w:pPr>
      <w:r w:rsidRPr="2D8561F9">
        <w:rPr>
          <w:rFonts w:cs="Segoe UI"/>
        </w:rPr>
        <w:t xml:space="preserve">Greater disparities </w:t>
      </w:r>
      <w:r>
        <w:rPr>
          <w:rFonts w:cs="Segoe UI"/>
        </w:rPr>
        <w:t xml:space="preserve">in the breast cancer YLL rate between Māori and non-Māori </w:t>
      </w:r>
      <w:r w:rsidRPr="2D8561F9">
        <w:rPr>
          <w:rFonts w:cs="Segoe UI"/>
        </w:rPr>
        <w:t>were seen in specific age groups</w:t>
      </w:r>
      <w:r>
        <w:rPr>
          <w:rFonts w:cs="Segoe UI"/>
        </w:rPr>
        <w:t>;</w:t>
      </w:r>
      <w:r w:rsidRPr="2D8561F9">
        <w:rPr>
          <w:rFonts w:cs="Segoe UI"/>
        </w:rPr>
        <w:t xml:space="preserve"> for example, the </w:t>
      </w:r>
      <w:r>
        <w:rPr>
          <w:rFonts w:cs="Segoe UI"/>
        </w:rPr>
        <w:t xml:space="preserve">Māori YLL </w:t>
      </w:r>
      <w:r w:rsidRPr="2D8561F9">
        <w:rPr>
          <w:rFonts w:cs="Segoe UI"/>
        </w:rPr>
        <w:t>rate in the 40</w:t>
      </w:r>
      <w:r>
        <w:rPr>
          <w:rFonts w:cs="Segoe UI"/>
        </w:rPr>
        <w:t>–</w:t>
      </w:r>
      <w:r w:rsidRPr="2D8561F9">
        <w:rPr>
          <w:rFonts w:cs="Segoe UI"/>
        </w:rPr>
        <w:t>44</w:t>
      </w:r>
      <w:r>
        <w:rPr>
          <w:rFonts w:cs="Segoe UI"/>
        </w:rPr>
        <w:t>-year</w:t>
      </w:r>
      <w:r w:rsidRPr="2D8561F9">
        <w:rPr>
          <w:rFonts w:cs="Segoe UI"/>
        </w:rPr>
        <w:t xml:space="preserve"> age group was </w:t>
      </w:r>
      <w:r>
        <w:rPr>
          <w:rFonts w:cs="Segoe UI"/>
        </w:rPr>
        <w:t>about double the non-Māori rate</w:t>
      </w:r>
      <w:r w:rsidRPr="2D8561F9">
        <w:rPr>
          <w:rFonts w:cs="Segoe UI"/>
        </w:rPr>
        <w:t xml:space="preserve"> </w:t>
      </w:r>
      <w:r>
        <w:rPr>
          <w:rFonts w:cs="Segoe UI"/>
        </w:rPr>
        <w:t xml:space="preserve">(see </w:t>
      </w:r>
      <w:r>
        <w:rPr>
          <w:rFonts w:cs="Segoe UI"/>
        </w:rPr>
        <w:fldChar w:fldCharType="begin"/>
      </w:r>
      <w:r>
        <w:rPr>
          <w:rFonts w:cs="Segoe UI"/>
        </w:rPr>
        <w:instrText xml:space="preserve"> REF _Ref198650429 \h </w:instrText>
      </w:r>
      <w:r>
        <w:rPr>
          <w:rFonts w:cs="Segoe UI"/>
        </w:rPr>
      </w:r>
      <w:r>
        <w:rPr>
          <w:rFonts w:cs="Segoe UI"/>
        </w:rPr>
        <w:fldChar w:fldCharType="separate"/>
      </w:r>
      <w:r w:rsidR="000E725A">
        <w:t xml:space="preserve">Figure </w:t>
      </w:r>
      <w:r w:rsidR="000E725A">
        <w:rPr>
          <w:noProof/>
        </w:rPr>
        <w:t>26</w:t>
      </w:r>
      <w:r>
        <w:rPr>
          <w:rFonts w:cs="Segoe UI"/>
        </w:rPr>
        <w:fldChar w:fldCharType="end"/>
      </w:r>
      <w:r w:rsidRPr="2D8561F9">
        <w:rPr>
          <w:rFonts w:cs="Segoe UI"/>
        </w:rPr>
        <w:t xml:space="preserve">). </w:t>
      </w:r>
      <w:r>
        <w:rPr>
          <w:rFonts w:cs="Segoe UI"/>
        </w:rPr>
        <w:t>Overall, the Māori YLL rate for breast cancer was higher in every age group, except for those aged 85+ years.</w:t>
      </w:r>
    </w:p>
    <w:p w14:paraId="7D0BC4C5" w14:textId="77777777" w:rsidR="003016B6" w:rsidRPr="00EA17ED" w:rsidRDefault="003016B6" w:rsidP="003016B6"/>
    <w:p w14:paraId="4788A71D" w14:textId="104FC989" w:rsidR="003016B6" w:rsidRDefault="003016B6" w:rsidP="003016B6">
      <w:pPr>
        <w:pStyle w:val="Figure"/>
      </w:pPr>
      <w:bookmarkStart w:id="152" w:name="_Ref198650429"/>
      <w:bookmarkStart w:id="153" w:name="_Toc215236576"/>
      <w:bookmarkStart w:id="154" w:name="_Toc216377211"/>
      <w:r>
        <w:t xml:space="preserve">Figure </w:t>
      </w:r>
      <w:r>
        <w:fldChar w:fldCharType="begin"/>
      </w:r>
      <w:r>
        <w:instrText xml:space="preserve"> SEQ Figure \* ARABIC </w:instrText>
      </w:r>
      <w:r>
        <w:fldChar w:fldCharType="separate"/>
      </w:r>
      <w:r w:rsidR="000E725A">
        <w:rPr>
          <w:noProof/>
        </w:rPr>
        <w:t>26</w:t>
      </w:r>
      <w:r>
        <w:fldChar w:fldCharType="end"/>
      </w:r>
      <w:bookmarkEnd w:id="152"/>
      <w:r>
        <w:t xml:space="preserve">: </w:t>
      </w:r>
      <w:r w:rsidRPr="005B2A86">
        <w:t xml:space="preserve">Breast cancer: Māori and non-Māori </w:t>
      </w:r>
      <w:r>
        <w:t xml:space="preserve">years of life lost </w:t>
      </w:r>
      <w:r w:rsidRPr="005B2A86">
        <w:t>rates by age group, 2021</w:t>
      </w:r>
      <w:bookmarkEnd w:id="153"/>
      <w:bookmarkEnd w:id="154"/>
    </w:p>
    <w:p w14:paraId="607FCC97" w14:textId="77777777" w:rsidR="003016B6" w:rsidRPr="00EA17ED" w:rsidRDefault="003016B6" w:rsidP="003016B6">
      <w:pPr>
        <w:keepNext/>
        <w:rPr>
          <w:rFonts w:cs="Segoe UI"/>
        </w:rPr>
      </w:pPr>
      <w:r w:rsidRPr="00EA17ED">
        <w:rPr>
          <w:rFonts w:cs="Segoe UI"/>
          <w:noProof/>
        </w:rPr>
        <w:drawing>
          <wp:inline distT="0" distB="0" distL="0" distR="0" wp14:anchorId="4D2AD412" wp14:editId="6857675E">
            <wp:extent cx="4870450" cy="2739225"/>
            <wp:effectExtent l="0" t="0" r="6350" b="4445"/>
            <wp:docPr id="2067340910" name="Picture 1" descr="A vertical bar chart comparing breast cancer YLL rates by age group. Māori have higher rates in all age groups but the 85+ age group. The smallest gaps are in the age groups 30-34, 75-79 and 80-84. The largest gap is in the 40–44 age group where the māori rate is more than double the non-Māori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40910" name="Picture 1" descr="A vertical bar chart comparing breast cancer YLL rates by age group. Māori have higher rates in all age groups but the 85+ age group. The smallest gaps are in the age groups 30-34, 75-79 and 80-84. The largest gap is in the 40–44 age group where the māori rate is more than double the non-Māori ra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78604" cy="2743811"/>
                    </a:xfrm>
                    <a:prstGeom prst="rect">
                      <a:avLst/>
                    </a:prstGeom>
                  </pic:spPr>
                </pic:pic>
              </a:graphicData>
            </a:graphic>
          </wp:inline>
        </w:drawing>
      </w:r>
    </w:p>
    <w:p w14:paraId="21D89A85" w14:textId="77777777" w:rsidR="003016B6" w:rsidRPr="00B8392D" w:rsidRDefault="003016B6" w:rsidP="003016B6">
      <w:pPr>
        <w:pStyle w:val="Note"/>
        <w:rPr>
          <w:b/>
          <w:bCs/>
        </w:rPr>
      </w:pPr>
      <w:r w:rsidRPr="009A1D13">
        <w:t>Note: the</w:t>
      </w:r>
      <w:r>
        <w:t xml:space="preserve"> bars</w:t>
      </w:r>
      <w:r w:rsidRPr="009A1D13">
        <w:t xml:space="preserve"> indicate 95% uncertainty intervals</w:t>
      </w:r>
    </w:p>
    <w:p w14:paraId="21643B14" w14:textId="77777777" w:rsidR="003016B6" w:rsidRDefault="003016B6" w:rsidP="003016B6">
      <w:pPr>
        <w:pStyle w:val="Heading2"/>
        <w:spacing w:after="240"/>
        <w:rPr>
          <w:rFonts w:cs="Segoe UI"/>
        </w:rPr>
      </w:pPr>
      <w:bookmarkStart w:id="155" w:name="_Toc187999535"/>
      <w:bookmarkStart w:id="156" w:name="_Toc215236535"/>
      <w:r>
        <w:rPr>
          <w:rFonts w:cs="Segoe UI"/>
        </w:rPr>
        <w:br w:type="page"/>
      </w:r>
    </w:p>
    <w:p w14:paraId="0DAC95BE" w14:textId="783842B6" w:rsidR="003016B6" w:rsidRPr="00EA17ED" w:rsidRDefault="003016B6" w:rsidP="003016B6">
      <w:pPr>
        <w:pStyle w:val="Heading2"/>
        <w:spacing w:after="240"/>
        <w:rPr>
          <w:rFonts w:cs="Segoe UI"/>
        </w:rPr>
      </w:pPr>
      <w:bookmarkStart w:id="157" w:name="_Toc216376563"/>
      <w:r w:rsidRPr="00EA17ED">
        <w:rPr>
          <w:rFonts w:cs="Segoe UI"/>
        </w:rPr>
        <w:lastRenderedPageBreak/>
        <w:t xml:space="preserve">Ischaemic </w:t>
      </w:r>
      <w:r>
        <w:rPr>
          <w:rFonts w:cs="Segoe UI"/>
        </w:rPr>
        <w:t>h</w:t>
      </w:r>
      <w:r w:rsidRPr="00EA17ED">
        <w:rPr>
          <w:rFonts w:cs="Segoe UI"/>
        </w:rPr>
        <w:t xml:space="preserve">eart </w:t>
      </w:r>
      <w:r>
        <w:rPr>
          <w:rFonts w:cs="Segoe UI"/>
        </w:rPr>
        <w:t>d</w:t>
      </w:r>
      <w:r w:rsidRPr="00EA17ED">
        <w:rPr>
          <w:rFonts w:cs="Segoe UI"/>
        </w:rPr>
        <w:t>isease</w:t>
      </w:r>
      <w:bookmarkEnd w:id="155"/>
      <w:bookmarkEnd w:id="156"/>
      <w:bookmarkEnd w:id="157"/>
    </w:p>
    <w:p w14:paraId="30F9610F" w14:textId="401F99E6" w:rsidR="003016B6" w:rsidRDefault="003016B6" w:rsidP="003016B6">
      <w:pPr>
        <w:rPr>
          <w:rFonts w:cs="Segoe UI"/>
        </w:rPr>
      </w:pPr>
      <w:r w:rsidRPr="00EA17ED">
        <w:rPr>
          <w:rFonts w:cs="Segoe UI"/>
        </w:rPr>
        <w:t>Ischaemic heart disease</w:t>
      </w:r>
      <w:r>
        <w:rPr>
          <w:rFonts w:cs="Segoe UI"/>
        </w:rPr>
        <w:t>, also called coronary artery disease,</w:t>
      </w:r>
      <w:r w:rsidRPr="00EA17ED">
        <w:rPr>
          <w:rFonts w:cs="Segoe UI"/>
        </w:rPr>
        <w:t xml:space="preserve"> is a cardiovascular condition </w:t>
      </w:r>
      <w:r>
        <w:rPr>
          <w:rFonts w:cs="Segoe UI"/>
        </w:rPr>
        <w:t xml:space="preserve">in which there is a reduced supply of oxygen to the heart due to reduced blood supply. The reduced blood supply is caused by </w:t>
      </w:r>
      <w:r w:rsidRPr="00EA17ED">
        <w:rPr>
          <w:rFonts w:cs="Segoe UI"/>
        </w:rPr>
        <w:t>a build-up of fatty material (plaque) along the walls of the blood vessels supplying the heart</w:t>
      </w:r>
      <w:r>
        <w:rPr>
          <w:rFonts w:cs="Segoe UI"/>
        </w:rPr>
        <w:t xml:space="preserve">, which narrows and stiffens these blood vessels </w:t>
      </w:r>
      <w:r>
        <w:rPr>
          <w:rFonts w:cs="Segoe UI"/>
          <w:noProof/>
        </w:rPr>
        <w:t>(Heart Foundation 2024)</w:t>
      </w:r>
      <w:r w:rsidRPr="00EA17ED">
        <w:rPr>
          <w:rFonts w:cs="Segoe UI"/>
        </w:rPr>
        <w:t>. In 2021</w:t>
      </w:r>
      <w:r w:rsidRPr="00EE0997">
        <w:rPr>
          <w:rFonts w:cs="Segoe UI"/>
        </w:rPr>
        <w:t>, IHD was the leading cause</w:t>
      </w:r>
      <w:r w:rsidRPr="00EE0997" w:rsidDel="00F2496F">
        <w:rPr>
          <w:rFonts w:cs="Segoe UI"/>
        </w:rPr>
        <w:t xml:space="preserve"> </w:t>
      </w:r>
      <w:r>
        <w:rPr>
          <w:rFonts w:cs="Segoe UI"/>
        </w:rPr>
        <w:t xml:space="preserve">of </w:t>
      </w:r>
      <w:r w:rsidRPr="00EE0997">
        <w:rPr>
          <w:rFonts w:cs="Segoe UI"/>
        </w:rPr>
        <w:t xml:space="preserve">premature death for tāne Māori and </w:t>
      </w:r>
      <w:r>
        <w:rPr>
          <w:rFonts w:cs="Segoe UI"/>
        </w:rPr>
        <w:t xml:space="preserve">the </w:t>
      </w:r>
      <w:r w:rsidRPr="00EE0997">
        <w:rPr>
          <w:rFonts w:cs="Segoe UI"/>
        </w:rPr>
        <w:t>second leading cause for wāhine Māori (</w:t>
      </w:r>
      <w:r>
        <w:rPr>
          <w:rFonts w:cs="Segoe UI"/>
        </w:rPr>
        <w:t xml:space="preserve">see </w:t>
      </w:r>
      <w:r w:rsidR="006D1A39">
        <w:rPr>
          <w:rFonts w:cs="Segoe UI"/>
        </w:rPr>
        <w:fldChar w:fldCharType="begin"/>
      </w:r>
      <w:r w:rsidR="006D1A39">
        <w:rPr>
          <w:rFonts w:cs="Segoe UI"/>
        </w:rPr>
        <w:instrText xml:space="preserve"> REF _Ref198648402 \h </w:instrText>
      </w:r>
      <w:r w:rsidR="006D1A39">
        <w:rPr>
          <w:rFonts w:cs="Segoe UI"/>
        </w:rPr>
      </w:r>
      <w:r w:rsidR="006D1A39">
        <w:rPr>
          <w:rFonts w:cs="Segoe UI"/>
        </w:rPr>
        <w:fldChar w:fldCharType="separate"/>
      </w:r>
      <w:r w:rsidR="000E725A">
        <w:t xml:space="preserve">Figure </w:t>
      </w:r>
      <w:r w:rsidR="000E725A">
        <w:rPr>
          <w:noProof/>
        </w:rPr>
        <w:t>6</w:t>
      </w:r>
      <w:r w:rsidR="006D1A39">
        <w:rPr>
          <w:rFonts w:cs="Segoe UI"/>
        </w:rPr>
        <w:fldChar w:fldCharType="end"/>
      </w:r>
      <w:r w:rsidRPr="00EE0997">
        <w:rPr>
          <w:rFonts w:cs="Segoe UI"/>
        </w:rPr>
        <w:t xml:space="preserve">). </w:t>
      </w:r>
      <w:r>
        <w:rPr>
          <w:rFonts w:cs="Segoe UI"/>
        </w:rPr>
        <w:t>In total</w:t>
      </w:r>
      <w:r w:rsidRPr="00EE0997">
        <w:rPr>
          <w:rFonts w:cs="Segoe UI"/>
        </w:rPr>
        <w:t>, IHD contributed 12% of total YLL for Māori.</w:t>
      </w:r>
      <w:r w:rsidRPr="00EA17ED">
        <w:rPr>
          <w:rFonts w:cs="Segoe UI"/>
        </w:rPr>
        <w:t xml:space="preserve"> </w:t>
      </w:r>
    </w:p>
    <w:p w14:paraId="00F782C9" w14:textId="77777777" w:rsidR="003016B6" w:rsidRPr="00EA17ED" w:rsidRDefault="003016B6" w:rsidP="003016B6">
      <w:pPr>
        <w:rPr>
          <w:rFonts w:cs="Segoe UI"/>
        </w:rPr>
      </w:pPr>
    </w:p>
    <w:p w14:paraId="6A0D376A" w14:textId="4F111DC3" w:rsidR="003016B6" w:rsidRPr="00EA17ED" w:rsidRDefault="003016B6" w:rsidP="003016B6">
      <w:pPr>
        <w:rPr>
          <w:rFonts w:cs="Segoe UI"/>
        </w:rPr>
      </w:pPr>
      <w:r>
        <w:rPr>
          <w:rFonts w:cs="Segoe UI"/>
          <w:szCs w:val="22"/>
        </w:rPr>
        <w:fldChar w:fldCharType="begin"/>
      </w:r>
      <w:r>
        <w:rPr>
          <w:rFonts w:cs="Segoe UI"/>
        </w:rPr>
        <w:instrText xml:space="preserve"> REF _Ref200622337 \h </w:instrText>
      </w:r>
      <w:r>
        <w:rPr>
          <w:rFonts w:cs="Segoe UI"/>
          <w:szCs w:val="22"/>
        </w:rPr>
      </w:r>
      <w:r>
        <w:rPr>
          <w:rFonts w:cs="Segoe UI"/>
          <w:szCs w:val="22"/>
        </w:rPr>
        <w:fldChar w:fldCharType="separate"/>
      </w:r>
      <w:r w:rsidR="000E725A">
        <w:t xml:space="preserve">Figure </w:t>
      </w:r>
      <w:r w:rsidR="000E725A">
        <w:rPr>
          <w:noProof/>
        </w:rPr>
        <w:t>27</w:t>
      </w:r>
      <w:r>
        <w:rPr>
          <w:rFonts w:cs="Segoe UI"/>
          <w:szCs w:val="22"/>
        </w:rPr>
        <w:fldChar w:fldCharType="end"/>
      </w:r>
      <w:r>
        <w:rPr>
          <w:rFonts w:cs="Segoe UI"/>
          <w:szCs w:val="22"/>
        </w:rPr>
        <w:t xml:space="preserve"> </w:t>
      </w:r>
      <w:r w:rsidRPr="00EA17ED">
        <w:rPr>
          <w:rFonts w:cs="Segoe UI"/>
        </w:rPr>
        <w:t xml:space="preserve">shows the trend in age-standardised YLL rates for </w:t>
      </w:r>
      <w:r>
        <w:rPr>
          <w:rFonts w:cs="Segoe UI"/>
        </w:rPr>
        <w:t xml:space="preserve">IHD among </w:t>
      </w:r>
      <w:r w:rsidRPr="00EA17ED">
        <w:rPr>
          <w:rFonts w:cs="Segoe UI"/>
        </w:rPr>
        <w:t xml:space="preserve">Māori and non-Māori from 1996 to 2021, and </w:t>
      </w:r>
      <w:r>
        <w:rPr>
          <w:rFonts w:cs="Segoe UI"/>
        </w:rPr>
        <w:fldChar w:fldCharType="begin"/>
      </w:r>
      <w:r>
        <w:rPr>
          <w:rFonts w:cs="Segoe UI"/>
        </w:rPr>
        <w:instrText xml:space="preserve"> REF _Ref200622367 \h </w:instrText>
      </w:r>
      <w:r>
        <w:rPr>
          <w:rFonts w:cs="Segoe UI"/>
        </w:rPr>
      </w:r>
      <w:r>
        <w:rPr>
          <w:rFonts w:cs="Segoe UI"/>
        </w:rPr>
        <w:fldChar w:fldCharType="separate"/>
      </w:r>
      <w:r w:rsidR="000E725A">
        <w:t xml:space="preserve">Figure </w:t>
      </w:r>
      <w:r w:rsidR="000E725A">
        <w:rPr>
          <w:noProof/>
        </w:rPr>
        <w:t>28</w:t>
      </w:r>
      <w:r>
        <w:rPr>
          <w:rFonts w:cs="Segoe UI"/>
        </w:rPr>
        <w:fldChar w:fldCharType="end"/>
      </w:r>
      <w:r w:rsidRPr="00EA17ED">
        <w:rPr>
          <w:rFonts w:cs="Segoe UI"/>
        </w:rPr>
        <w:t xml:space="preserve"> shows the respective rate ratios between Māori and non-Māori.</w:t>
      </w:r>
      <w:r w:rsidRPr="00EA17ED" w:rsidDel="00F8705A">
        <w:rPr>
          <w:rFonts w:cs="Segoe UI"/>
        </w:rPr>
        <w:t xml:space="preserve"> </w:t>
      </w:r>
      <w:r>
        <w:rPr>
          <w:rFonts w:cs="Segoe UI"/>
        </w:rPr>
        <w:t>There was a</w:t>
      </w:r>
      <w:r w:rsidRPr="00EA17ED">
        <w:rPr>
          <w:rFonts w:cs="Segoe UI"/>
        </w:rPr>
        <w:t xml:space="preserve"> declining trend in premature death from IHD for both Māori and non-Māori</w:t>
      </w:r>
      <w:r>
        <w:rPr>
          <w:rFonts w:cs="Segoe UI"/>
        </w:rPr>
        <w:t xml:space="preserve"> over the years reported on</w:t>
      </w:r>
      <w:r w:rsidRPr="00EA17ED">
        <w:rPr>
          <w:rFonts w:cs="Segoe UI"/>
        </w:rPr>
        <w:t>. However, rates for</w:t>
      </w:r>
      <w:r w:rsidRPr="00EA17ED" w:rsidDel="00F8705A">
        <w:rPr>
          <w:rFonts w:cs="Segoe UI"/>
        </w:rPr>
        <w:t xml:space="preserve"> </w:t>
      </w:r>
      <w:r w:rsidRPr="00EA17ED">
        <w:rPr>
          <w:rFonts w:cs="Segoe UI"/>
        </w:rPr>
        <w:t>Māori were consistently around twice as high as rates for non-Māori.</w:t>
      </w:r>
    </w:p>
    <w:p w14:paraId="1813DBD7" w14:textId="77777777" w:rsidR="003016B6" w:rsidRPr="00EA17ED" w:rsidRDefault="003016B6" w:rsidP="003016B6"/>
    <w:p w14:paraId="4CE58406" w14:textId="531DABA5" w:rsidR="003016B6" w:rsidRDefault="003016B6" w:rsidP="003016B6">
      <w:pPr>
        <w:pStyle w:val="Figure"/>
      </w:pPr>
      <w:bookmarkStart w:id="158" w:name="_Ref200622337"/>
      <w:bookmarkStart w:id="159" w:name="_Toc215236577"/>
      <w:bookmarkStart w:id="160" w:name="_Toc216377212"/>
      <w:r>
        <w:t xml:space="preserve">Figure </w:t>
      </w:r>
      <w:r>
        <w:fldChar w:fldCharType="begin"/>
      </w:r>
      <w:r>
        <w:instrText xml:space="preserve"> SEQ Figure \* ARABIC </w:instrText>
      </w:r>
      <w:r>
        <w:fldChar w:fldCharType="separate"/>
      </w:r>
      <w:r w:rsidR="000E725A">
        <w:rPr>
          <w:noProof/>
        </w:rPr>
        <w:t>27</w:t>
      </w:r>
      <w:r>
        <w:fldChar w:fldCharType="end"/>
      </w:r>
      <w:bookmarkEnd w:id="158"/>
      <w:r>
        <w:t xml:space="preserve">: </w:t>
      </w:r>
      <w:r w:rsidRPr="00EA17ED">
        <w:rPr>
          <w:rFonts w:cs="Segoe UI"/>
          <w:sz w:val="22"/>
          <w:szCs w:val="22"/>
        </w:rPr>
        <w:t xml:space="preserve">Ischaemic </w:t>
      </w:r>
      <w:r w:rsidRPr="00D86F1D">
        <w:t xml:space="preserve">heart disease: Māori and non-Māori age-standardised </w:t>
      </w:r>
      <w:r>
        <w:t xml:space="preserve">years of life lost </w:t>
      </w:r>
      <w:r w:rsidRPr="00D86F1D">
        <w:t>rates, 1996</w:t>
      </w:r>
      <w:r>
        <w:t>–</w:t>
      </w:r>
      <w:r w:rsidRPr="00D86F1D">
        <w:t>2021</w:t>
      </w:r>
      <w:bookmarkEnd w:id="159"/>
      <w:bookmarkEnd w:id="160"/>
    </w:p>
    <w:p w14:paraId="1C06A782" w14:textId="77777777" w:rsidR="003016B6" w:rsidRPr="00EA17ED" w:rsidRDefault="003016B6" w:rsidP="003016B6">
      <w:pPr>
        <w:keepNext/>
        <w:rPr>
          <w:rFonts w:cs="Segoe UI"/>
        </w:rPr>
      </w:pPr>
      <w:r w:rsidRPr="00EA17ED">
        <w:rPr>
          <w:rFonts w:cs="Segoe UI"/>
          <w:noProof/>
          <w14:ligatures w14:val="standardContextual"/>
        </w:rPr>
        <w:drawing>
          <wp:inline distT="0" distB="0" distL="0" distR="0" wp14:anchorId="1F9C6BB0" wp14:editId="658D5227">
            <wp:extent cx="5105400" cy="2871365"/>
            <wp:effectExtent l="0" t="0" r="0" b="5715"/>
            <wp:docPr id="499246506" name="Picture 11" descr="A line graph showing age-standardised  IHD YLL rates for Māori and non-Māori. Both decline between 1996 and 2021, but Māori rates remain about twice as high as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46506" name="Picture 11" descr="A line graph showing age-standardised  IHD YLL rates for Māori and non-Māori. Both decline between 1996 and 2021, but Māori rates remain about twice as high as non-Māori."/>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11471" cy="2874780"/>
                    </a:xfrm>
                    <a:prstGeom prst="rect">
                      <a:avLst/>
                    </a:prstGeom>
                  </pic:spPr>
                </pic:pic>
              </a:graphicData>
            </a:graphic>
          </wp:inline>
        </w:drawing>
      </w:r>
    </w:p>
    <w:p w14:paraId="4654EB16" w14:textId="77777777" w:rsidR="003016B6" w:rsidRPr="00B8392D" w:rsidRDefault="003016B6" w:rsidP="003016B6">
      <w:pPr>
        <w:pStyle w:val="Note"/>
        <w:rPr>
          <w:b/>
          <w:bCs/>
        </w:rPr>
      </w:pPr>
      <w:r w:rsidRPr="009A1D13">
        <w:t>Note: the</w:t>
      </w:r>
      <w:r>
        <w:t xml:space="preserve"> shaded areas</w:t>
      </w:r>
      <w:r w:rsidRPr="009A1D13">
        <w:t xml:space="preserve"> indicate 95% uncertainty intervals</w:t>
      </w:r>
    </w:p>
    <w:p w14:paraId="42CB820F" w14:textId="77777777" w:rsidR="003016B6" w:rsidRPr="00EA17ED" w:rsidRDefault="003016B6" w:rsidP="003016B6"/>
    <w:p w14:paraId="144955D7" w14:textId="1F1E731C" w:rsidR="003016B6" w:rsidRDefault="003016B6" w:rsidP="003016B6">
      <w:pPr>
        <w:pStyle w:val="Figure"/>
      </w:pPr>
      <w:bookmarkStart w:id="161" w:name="_Ref200622367"/>
      <w:bookmarkStart w:id="162" w:name="_Toc215236578"/>
      <w:bookmarkStart w:id="163" w:name="_Toc216377213"/>
      <w:r>
        <w:lastRenderedPageBreak/>
        <w:t xml:space="preserve">Figure </w:t>
      </w:r>
      <w:r>
        <w:fldChar w:fldCharType="begin"/>
      </w:r>
      <w:r>
        <w:instrText xml:space="preserve"> SEQ Figure \* ARABIC </w:instrText>
      </w:r>
      <w:r>
        <w:fldChar w:fldCharType="separate"/>
      </w:r>
      <w:r w:rsidR="000E725A">
        <w:rPr>
          <w:noProof/>
        </w:rPr>
        <w:t>28</w:t>
      </w:r>
      <w:r>
        <w:fldChar w:fldCharType="end"/>
      </w:r>
      <w:bookmarkEnd w:id="161"/>
      <w:r>
        <w:t xml:space="preserve">: </w:t>
      </w:r>
      <w:r w:rsidRPr="00150512">
        <w:t xml:space="preserve">Ischaemic heart disease: Māori/non-Māori age-standardised </w:t>
      </w:r>
      <w:r>
        <w:t xml:space="preserve">years of life lost </w:t>
      </w:r>
      <w:r w:rsidRPr="00150512">
        <w:t xml:space="preserve">rate </w:t>
      </w:r>
      <w:r>
        <w:t>ratios</w:t>
      </w:r>
      <w:r w:rsidRPr="00150512">
        <w:t>, 1996</w:t>
      </w:r>
      <w:r>
        <w:t>–</w:t>
      </w:r>
      <w:r w:rsidRPr="00150512">
        <w:t>2021</w:t>
      </w:r>
      <w:bookmarkEnd w:id="162"/>
      <w:bookmarkEnd w:id="163"/>
    </w:p>
    <w:p w14:paraId="5C6ECB28" w14:textId="77777777" w:rsidR="003016B6" w:rsidRDefault="003016B6" w:rsidP="003016B6">
      <w:pPr>
        <w:keepNext/>
        <w:rPr>
          <w:rFonts w:cs="Segoe UI"/>
        </w:rPr>
      </w:pPr>
      <w:r w:rsidRPr="00EA17ED">
        <w:rPr>
          <w:rFonts w:cs="Segoe UI"/>
          <w:noProof/>
          <w14:ligatures w14:val="standardContextual"/>
        </w:rPr>
        <w:drawing>
          <wp:inline distT="0" distB="0" distL="0" distR="0" wp14:anchorId="6A92F447" wp14:editId="1DC9E61B">
            <wp:extent cx="4870450" cy="2434150"/>
            <wp:effectExtent l="0" t="0" r="6350" b="4445"/>
            <wp:docPr id="688696827" name="Picture 14" descr="A line graph showing the rate ratio of age-standardised IHD YLL between Māori and non-Māori. The ratio stays around 2.0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96827" name="Picture 14" descr="A line graph showing the rate ratio of age-standardised IHD YLL between Māori and non-Māori. The ratio stays around 2.0 over ti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74668" cy="2436258"/>
                    </a:xfrm>
                    <a:prstGeom prst="rect">
                      <a:avLst/>
                    </a:prstGeom>
                  </pic:spPr>
                </pic:pic>
              </a:graphicData>
            </a:graphic>
          </wp:inline>
        </w:drawing>
      </w:r>
    </w:p>
    <w:p w14:paraId="2174A443" w14:textId="77777777" w:rsidR="003016B6" w:rsidRPr="002A7A49" w:rsidRDefault="003016B6" w:rsidP="003016B6">
      <w:pPr>
        <w:pStyle w:val="Note"/>
        <w:rPr>
          <w:b/>
          <w:bCs/>
        </w:rPr>
      </w:pPr>
      <w:r w:rsidRPr="009A1D13">
        <w:t>Note: the</w:t>
      </w:r>
      <w:r>
        <w:t xml:space="preserve"> shaded area</w:t>
      </w:r>
      <w:r w:rsidRPr="009A1D13">
        <w:t xml:space="preserve"> indicate</w:t>
      </w:r>
      <w:r>
        <w:t>s 95% uncertainty</w:t>
      </w:r>
      <w:r w:rsidRPr="009A1D13">
        <w:t xml:space="preserve"> interval</w:t>
      </w:r>
    </w:p>
    <w:p w14:paraId="7DF576FD" w14:textId="77777777" w:rsidR="003016B6" w:rsidRDefault="003016B6" w:rsidP="003016B6">
      <w:pPr>
        <w:rPr>
          <w:rFonts w:cs="Segoe UI"/>
        </w:rPr>
      </w:pPr>
    </w:p>
    <w:p w14:paraId="12CE52F1" w14:textId="2F4512C7" w:rsidR="003016B6" w:rsidRDefault="003016B6" w:rsidP="003016B6">
      <w:pPr>
        <w:rPr>
          <w:rFonts w:cs="Segoe UI"/>
        </w:rPr>
      </w:pPr>
      <w:r w:rsidRPr="00EA17ED">
        <w:rPr>
          <w:rFonts w:cs="Segoe UI"/>
        </w:rPr>
        <w:t>In addition to differences between Māori and non-Māori, there are differences in rates of IHD-related YLL between tāne and wāhine Māori. Tāne Māori experience a higher rate of premature death from IHD compared to wāhine Māori</w:t>
      </w:r>
      <w:r>
        <w:rPr>
          <w:rFonts w:cs="Segoe UI"/>
        </w:rPr>
        <w:t xml:space="preserve"> (see </w:t>
      </w:r>
      <w:r>
        <w:rPr>
          <w:rFonts w:cs="Segoe UI"/>
        </w:rPr>
        <w:fldChar w:fldCharType="begin"/>
      </w:r>
      <w:r>
        <w:rPr>
          <w:rFonts w:cs="Segoe UI"/>
        </w:rPr>
        <w:instrText xml:space="preserve"> REF _Ref198650570 \h </w:instrText>
      </w:r>
      <w:r>
        <w:rPr>
          <w:rFonts w:cs="Segoe UI"/>
        </w:rPr>
      </w:r>
      <w:r>
        <w:rPr>
          <w:rFonts w:cs="Segoe UI"/>
        </w:rPr>
        <w:fldChar w:fldCharType="separate"/>
      </w:r>
      <w:r w:rsidR="000E725A">
        <w:t xml:space="preserve">Figure </w:t>
      </w:r>
      <w:r w:rsidR="000E725A">
        <w:rPr>
          <w:noProof/>
        </w:rPr>
        <w:t>29</w:t>
      </w:r>
      <w:r>
        <w:rPr>
          <w:rFonts w:cs="Segoe UI"/>
        </w:rPr>
        <w:fldChar w:fldCharType="end"/>
      </w:r>
      <w:r>
        <w:rPr>
          <w:rFonts w:cs="Segoe UI"/>
        </w:rPr>
        <w:t>)</w:t>
      </w:r>
      <w:r w:rsidRPr="00EA17ED">
        <w:rPr>
          <w:rFonts w:cs="Segoe UI"/>
        </w:rPr>
        <w:t xml:space="preserve">. There </w:t>
      </w:r>
      <w:r>
        <w:rPr>
          <w:rFonts w:cs="Segoe UI"/>
        </w:rPr>
        <w:t xml:space="preserve">was </w:t>
      </w:r>
      <w:r w:rsidRPr="00EA17ED">
        <w:rPr>
          <w:rFonts w:cs="Segoe UI"/>
        </w:rPr>
        <w:t xml:space="preserve">a decline in YLL rates for both tāne and wāhine Māori over </w:t>
      </w:r>
      <w:r>
        <w:rPr>
          <w:rFonts w:cs="Segoe UI"/>
        </w:rPr>
        <w:t>the years to 2021</w:t>
      </w:r>
      <w:r w:rsidRPr="00EA17ED">
        <w:rPr>
          <w:rFonts w:cs="Segoe UI"/>
        </w:rPr>
        <w:t xml:space="preserve">. However, this decline </w:t>
      </w:r>
      <w:r>
        <w:rPr>
          <w:rFonts w:cs="Segoe UI"/>
        </w:rPr>
        <w:t>slowed down</w:t>
      </w:r>
      <w:r w:rsidRPr="00EA17ED">
        <w:rPr>
          <w:rFonts w:cs="Segoe UI"/>
        </w:rPr>
        <w:t xml:space="preserve"> over the last decade, especially </w:t>
      </w:r>
      <w:r>
        <w:rPr>
          <w:rFonts w:cs="Segoe UI"/>
        </w:rPr>
        <w:t>for</w:t>
      </w:r>
      <w:r w:rsidRPr="00EA17ED">
        <w:rPr>
          <w:rFonts w:cs="Segoe UI"/>
        </w:rPr>
        <w:t xml:space="preserve"> tāne Māori. The gap between tāne and wāhine Māori lessened over time, but tāne Māori continue</w:t>
      </w:r>
      <w:r>
        <w:rPr>
          <w:rFonts w:cs="Segoe UI"/>
        </w:rPr>
        <w:t>d</w:t>
      </w:r>
      <w:r w:rsidRPr="00EA17ED">
        <w:rPr>
          <w:rFonts w:cs="Segoe UI"/>
        </w:rPr>
        <w:t xml:space="preserve"> to experience a higher rate of YLL from IHD than wāhine Māori, with a rate ratio 2.4 times higher </w:t>
      </w:r>
      <w:r>
        <w:rPr>
          <w:rFonts w:cs="Segoe UI"/>
        </w:rPr>
        <w:t xml:space="preserve">than that of </w:t>
      </w:r>
      <w:r w:rsidRPr="00EA17ED">
        <w:rPr>
          <w:rFonts w:cs="Segoe UI"/>
        </w:rPr>
        <w:t xml:space="preserve">tāne Māori in 2021. </w:t>
      </w:r>
    </w:p>
    <w:p w14:paraId="4FE4C9BF" w14:textId="77777777" w:rsidR="003016B6" w:rsidRPr="00EA17ED" w:rsidRDefault="003016B6" w:rsidP="003016B6">
      <w:pPr>
        <w:rPr>
          <w:rFonts w:cs="Segoe UI"/>
        </w:rPr>
      </w:pPr>
    </w:p>
    <w:p w14:paraId="1050AEA9" w14:textId="668EA515" w:rsidR="003016B6" w:rsidRDefault="003016B6" w:rsidP="003016B6">
      <w:pPr>
        <w:pStyle w:val="Figure"/>
      </w:pPr>
      <w:bookmarkStart w:id="164" w:name="_Ref198650570"/>
      <w:bookmarkStart w:id="165" w:name="_Toc215236579"/>
      <w:bookmarkStart w:id="166" w:name="_Toc216377214"/>
      <w:r>
        <w:t xml:space="preserve">Figure </w:t>
      </w:r>
      <w:r>
        <w:fldChar w:fldCharType="begin"/>
      </w:r>
      <w:r>
        <w:instrText xml:space="preserve"> SEQ Figure \* ARABIC </w:instrText>
      </w:r>
      <w:r>
        <w:fldChar w:fldCharType="separate"/>
      </w:r>
      <w:r w:rsidR="000E725A">
        <w:rPr>
          <w:noProof/>
        </w:rPr>
        <w:t>29</w:t>
      </w:r>
      <w:r>
        <w:fldChar w:fldCharType="end"/>
      </w:r>
      <w:bookmarkEnd w:id="164"/>
      <w:r>
        <w:t xml:space="preserve">: </w:t>
      </w:r>
      <w:r w:rsidRPr="00EF2F78">
        <w:t xml:space="preserve">Ischaemic heart disease: Māori tāne and wāhine age-standardised </w:t>
      </w:r>
      <w:r>
        <w:t xml:space="preserve">years of life lost </w:t>
      </w:r>
      <w:r w:rsidRPr="00EF2F78">
        <w:t>rates</w:t>
      </w:r>
      <w:r>
        <w:t xml:space="preserve">, </w:t>
      </w:r>
      <w:r w:rsidRPr="00EF2F78">
        <w:t>1996</w:t>
      </w:r>
      <w:r>
        <w:t>–</w:t>
      </w:r>
      <w:r w:rsidRPr="00EF2F78">
        <w:t>2021</w:t>
      </w:r>
      <w:bookmarkEnd w:id="165"/>
      <w:bookmarkEnd w:id="166"/>
    </w:p>
    <w:p w14:paraId="70B22835" w14:textId="77777777" w:rsidR="003016B6" w:rsidRDefault="003016B6" w:rsidP="003016B6">
      <w:pPr>
        <w:pStyle w:val="NormalWeb"/>
        <w:keepNext/>
        <w:rPr>
          <w:rStyle w:val="NoteChar"/>
        </w:rPr>
      </w:pPr>
      <w:r w:rsidRPr="00EA17ED">
        <w:rPr>
          <w:rFonts w:ascii="Segoe UI" w:hAnsi="Segoe UI" w:cs="Segoe UI"/>
          <w:noProof/>
          <w14:ligatures w14:val="standardContextual"/>
        </w:rPr>
        <w:drawing>
          <wp:inline distT="0" distB="0" distL="0" distR="0" wp14:anchorId="27CF495E" wp14:editId="38E7558D">
            <wp:extent cx="4877518" cy="2743200"/>
            <wp:effectExtent l="0" t="0" r="0" b="0"/>
            <wp:docPr id="1828440886" name="Picture 13" descr="A line graph showing IHD YLL rates for tāne and wāhine Māori. Both lines go down between 1996 and 2021. Tāne have consistently higher rates, though the gap narrows around 2010, to increase again later because the tāne rate stayed more or less flat then until 2019, while the wāhine rate continued to decrease consist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40886" name="Picture 13" descr="A line graph showing IHD YLL rates for tāne and wāhine Māori. Both lines go down between 1996 and 2021. Tāne have consistently higher rates, though the gap narrows around 2010, to increase again later because the tāne rate stayed more or less flat then until 2019, while the wāhine rate continued to decrease consistentl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83802" cy="2746734"/>
                    </a:xfrm>
                    <a:prstGeom prst="rect">
                      <a:avLst/>
                    </a:prstGeom>
                  </pic:spPr>
                </pic:pic>
              </a:graphicData>
            </a:graphic>
          </wp:inline>
        </w:drawing>
      </w:r>
    </w:p>
    <w:p w14:paraId="50DBCFB9" w14:textId="7AFDABBB" w:rsidR="003016B6" w:rsidRPr="003016B6" w:rsidRDefault="003016B6" w:rsidP="003016B6">
      <w:pPr>
        <w:pStyle w:val="NormalWeb"/>
        <w:keepNext/>
        <w:rPr>
          <w:rStyle w:val="NoteChar"/>
        </w:rPr>
      </w:pPr>
      <w:r w:rsidRPr="003016B6">
        <w:rPr>
          <w:rStyle w:val="NoteChar"/>
        </w:rPr>
        <w:t>Note: the shaded areas indicate 95% uncertainty intervals</w:t>
      </w:r>
    </w:p>
    <w:p w14:paraId="7DC0058A" w14:textId="77777777" w:rsidR="003016B6" w:rsidRDefault="003016B6" w:rsidP="003016B6">
      <w:pPr>
        <w:rPr>
          <w:rFonts w:cs="Segoe UI"/>
        </w:rPr>
      </w:pPr>
      <w:r>
        <w:rPr>
          <w:rFonts w:cs="Segoe UI"/>
        </w:rPr>
        <w:br w:type="page"/>
      </w:r>
    </w:p>
    <w:p w14:paraId="1BBCCFDE" w14:textId="58B13BDB" w:rsidR="003016B6" w:rsidRDefault="003016B6" w:rsidP="003016B6">
      <w:pPr>
        <w:rPr>
          <w:rFonts w:cs="Segoe UI"/>
        </w:rPr>
      </w:pPr>
      <w:r>
        <w:rPr>
          <w:rFonts w:cs="Segoe UI"/>
        </w:rPr>
        <w:lastRenderedPageBreak/>
        <w:fldChar w:fldCharType="begin"/>
      </w:r>
      <w:r>
        <w:rPr>
          <w:rFonts w:cs="Segoe UI"/>
        </w:rPr>
        <w:instrText xml:space="preserve"> REF _Ref198650652 \h </w:instrText>
      </w:r>
      <w:r>
        <w:rPr>
          <w:rFonts w:cs="Segoe UI"/>
        </w:rPr>
      </w:r>
      <w:r>
        <w:rPr>
          <w:rFonts w:cs="Segoe UI"/>
        </w:rPr>
        <w:fldChar w:fldCharType="separate"/>
      </w:r>
      <w:r w:rsidR="000E725A">
        <w:t xml:space="preserve">Figure </w:t>
      </w:r>
      <w:r w:rsidR="000E725A">
        <w:rPr>
          <w:noProof/>
        </w:rPr>
        <w:t>30</w:t>
      </w:r>
      <w:r>
        <w:rPr>
          <w:rFonts w:cs="Segoe UI"/>
        </w:rPr>
        <w:fldChar w:fldCharType="end"/>
      </w:r>
      <w:r>
        <w:rPr>
          <w:rFonts w:cs="Segoe UI"/>
        </w:rPr>
        <w:t xml:space="preserve"> </w:t>
      </w:r>
      <w:r w:rsidRPr="00EA17ED">
        <w:rPr>
          <w:rFonts w:cs="Segoe UI"/>
        </w:rPr>
        <w:t>shows YLL age-specific rates per 100,000 people for IHD in 2021, by age group</w:t>
      </w:r>
      <w:r>
        <w:rPr>
          <w:rFonts w:cs="Segoe UI"/>
        </w:rPr>
        <w:t>,</w:t>
      </w:r>
      <w:r w:rsidRPr="00EA17ED">
        <w:rPr>
          <w:rFonts w:cs="Segoe UI"/>
        </w:rPr>
        <w:t xml:space="preserve"> for Māori and non-Māori. Rates of IHD increase</w:t>
      </w:r>
      <w:r>
        <w:rPr>
          <w:rFonts w:cs="Segoe UI"/>
        </w:rPr>
        <w:t>d</w:t>
      </w:r>
      <w:r w:rsidRPr="00EA17ED">
        <w:rPr>
          <w:rFonts w:cs="Segoe UI"/>
        </w:rPr>
        <w:t xml:space="preserve"> with age for both Māori and non-Māori</w:t>
      </w:r>
      <w:r>
        <w:rPr>
          <w:rFonts w:cs="Segoe UI"/>
        </w:rPr>
        <w:t>.</w:t>
      </w:r>
      <w:r w:rsidRPr="00EA17ED">
        <w:rPr>
          <w:rFonts w:cs="Segoe UI"/>
        </w:rPr>
        <w:t xml:space="preserve"> Māori experienc</w:t>
      </w:r>
      <w:r>
        <w:rPr>
          <w:rFonts w:cs="Segoe UI"/>
        </w:rPr>
        <w:t>ed</w:t>
      </w:r>
      <w:r w:rsidRPr="00EA17ED">
        <w:rPr>
          <w:rFonts w:cs="Segoe UI"/>
        </w:rPr>
        <w:t xml:space="preserve"> a</w:t>
      </w:r>
      <w:r>
        <w:rPr>
          <w:rFonts w:cs="Segoe UI"/>
        </w:rPr>
        <w:t>n earlie</w:t>
      </w:r>
      <w:r w:rsidRPr="00EA17ED">
        <w:rPr>
          <w:rFonts w:cs="Segoe UI"/>
        </w:rPr>
        <w:t xml:space="preserve">r increase and higher rates of YLL at every age group up to </w:t>
      </w:r>
      <w:r>
        <w:rPr>
          <w:rFonts w:cs="Segoe UI"/>
        </w:rPr>
        <w:t xml:space="preserve">age </w:t>
      </w:r>
      <w:r w:rsidRPr="00EA17ED">
        <w:rPr>
          <w:rFonts w:cs="Segoe UI"/>
        </w:rPr>
        <w:t>80</w:t>
      </w:r>
      <w:r>
        <w:rPr>
          <w:rFonts w:cs="Segoe UI"/>
        </w:rPr>
        <w:t>–</w:t>
      </w:r>
      <w:r w:rsidRPr="00EA17ED">
        <w:rPr>
          <w:rFonts w:cs="Segoe UI"/>
        </w:rPr>
        <w:t xml:space="preserve">84 years compared to non-Māori. The higher non-Māori rate in the 85 and over age category shows that </w:t>
      </w:r>
      <w:r>
        <w:rPr>
          <w:rFonts w:cs="Segoe UI"/>
        </w:rPr>
        <w:t>non-Māori were living longer with IHD or developing the disease at an older age, resulting in a</w:t>
      </w:r>
      <w:r w:rsidRPr="00EA17ED">
        <w:rPr>
          <w:rFonts w:cs="Segoe UI"/>
        </w:rPr>
        <w:t xml:space="preserve"> higher number of deaths for non-Māori compared to Māori in </w:t>
      </w:r>
      <w:r>
        <w:rPr>
          <w:rFonts w:cs="Segoe UI"/>
        </w:rPr>
        <w:t xml:space="preserve">that </w:t>
      </w:r>
      <w:r w:rsidRPr="00EA17ED">
        <w:rPr>
          <w:rFonts w:cs="Segoe UI"/>
        </w:rPr>
        <w:t>age category</w:t>
      </w:r>
      <w:r>
        <w:rPr>
          <w:rFonts w:cs="Segoe UI"/>
        </w:rPr>
        <w:t xml:space="preserve">. </w:t>
      </w:r>
    </w:p>
    <w:p w14:paraId="304B7BD1" w14:textId="77777777" w:rsidR="003016B6" w:rsidRPr="00EA17ED" w:rsidRDefault="003016B6" w:rsidP="003016B6">
      <w:pPr>
        <w:rPr>
          <w:rFonts w:cs="Segoe UI"/>
        </w:rPr>
      </w:pPr>
    </w:p>
    <w:p w14:paraId="357F3218" w14:textId="5E7EEF4E" w:rsidR="003016B6" w:rsidRDefault="003016B6" w:rsidP="003016B6">
      <w:pPr>
        <w:pStyle w:val="Figure"/>
      </w:pPr>
      <w:bookmarkStart w:id="167" w:name="_Ref198650652"/>
      <w:bookmarkStart w:id="168" w:name="_Toc215236580"/>
      <w:bookmarkStart w:id="169" w:name="_Toc216377215"/>
      <w:r>
        <w:t xml:space="preserve">Figure </w:t>
      </w:r>
      <w:r>
        <w:fldChar w:fldCharType="begin"/>
      </w:r>
      <w:r>
        <w:instrText xml:space="preserve"> SEQ Figure \* ARABIC </w:instrText>
      </w:r>
      <w:r>
        <w:fldChar w:fldCharType="separate"/>
      </w:r>
      <w:r w:rsidR="000E725A">
        <w:rPr>
          <w:noProof/>
        </w:rPr>
        <w:t>30</w:t>
      </w:r>
      <w:r>
        <w:fldChar w:fldCharType="end"/>
      </w:r>
      <w:bookmarkEnd w:id="167"/>
      <w:r>
        <w:t xml:space="preserve">: </w:t>
      </w:r>
      <w:r w:rsidRPr="00EF79C5">
        <w:t xml:space="preserve">Ischaemic heart disease: Māori and non-Māori </w:t>
      </w:r>
      <w:r>
        <w:t xml:space="preserve">years of life lost </w:t>
      </w:r>
      <w:r w:rsidRPr="00EF79C5">
        <w:t>rates by age group</w:t>
      </w:r>
      <w:r>
        <w:t xml:space="preserve">, </w:t>
      </w:r>
      <w:r w:rsidRPr="00EF79C5">
        <w:t>2021</w:t>
      </w:r>
      <w:bookmarkEnd w:id="168"/>
      <w:bookmarkEnd w:id="169"/>
    </w:p>
    <w:p w14:paraId="6BB19044" w14:textId="77777777" w:rsidR="003016B6" w:rsidRDefault="003016B6" w:rsidP="003016B6">
      <w:pPr>
        <w:keepNext/>
        <w:rPr>
          <w:rFonts w:cs="Segoe UI"/>
        </w:rPr>
      </w:pPr>
      <w:r w:rsidRPr="00EA17ED">
        <w:rPr>
          <w:rFonts w:cs="Segoe UI"/>
          <w:noProof/>
          <w14:ligatures w14:val="standardContextual"/>
        </w:rPr>
        <w:drawing>
          <wp:inline distT="0" distB="0" distL="0" distR="0" wp14:anchorId="3479E6D3" wp14:editId="4CAA3606">
            <wp:extent cx="5099050" cy="2867793"/>
            <wp:effectExtent l="0" t="0" r="6350" b="8890"/>
            <wp:docPr id="2017367365" name="Picture 16" descr="A vertical bar chart comparing IHD YLL rates by age group. Māori have higher rates in all age groups up to 80–84, with non-Māori higher in the 85+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67365" name="Picture 16" descr="A vertical bar chart comparing IHD YLL rates by age group. Māori have higher rates in all age groups up to 80–84, with non-Māori higher in the 85+ age grou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07999" cy="2872826"/>
                    </a:xfrm>
                    <a:prstGeom prst="rect">
                      <a:avLst/>
                    </a:prstGeom>
                  </pic:spPr>
                </pic:pic>
              </a:graphicData>
            </a:graphic>
          </wp:inline>
        </w:drawing>
      </w:r>
    </w:p>
    <w:p w14:paraId="15F880D5" w14:textId="77777777" w:rsidR="003016B6" w:rsidRPr="002A7A49" w:rsidRDefault="003016B6" w:rsidP="003016B6">
      <w:pPr>
        <w:pStyle w:val="Note"/>
        <w:rPr>
          <w:b/>
          <w:bCs/>
        </w:rPr>
      </w:pPr>
      <w:r w:rsidRPr="009A1D13">
        <w:t>Note: the</w:t>
      </w:r>
      <w:r>
        <w:t xml:space="preserve"> bars</w:t>
      </w:r>
      <w:r w:rsidRPr="009A1D13">
        <w:t xml:space="preserve"> indicate 95% uncertainty intervals</w:t>
      </w:r>
    </w:p>
    <w:p w14:paraId="7269A867" w14:textId="77777777" w:rsidR="003016B6" w:rsidRDefault="003016B6" w:rsidP="003016B6">
      <w:pPr>
        <w:rPr>
          <w:rFonts w:cs="Segoe UI"/>
        </w:rPr>
      </w:pPr>
    </w:p>
    <w:p w14:paraId="5697727B" w14:textId="45AFAFDE" w:rsidR="003016B6" w:rsidRDefault="003016B6" w:rsidP="003016B6">
      <w:pPr>
        <w:rPr>
          <w:rFonts w:cs="Segoe UI"/>
        </w:rPr>
      </w:pPr>
      <w:r w:rsidRPr="1DC091DB">
        <w:rPr>
          <w:rFonts w:cs="Segoe UI"/>
        </w:rPr>
        <w:t>In 2021, YLL rates for IHD differed by gender. Tāne Māori experienced a higher burden of premature death compared to wāhine Māori (</w:t>
      </w:r>
      <w:r>
        <w:rPr>
          <w:rFonts w:cs="Segoe UI"/>
        </w:rPr>
        <w:t xml:space="preserve">see </w:t>
      </w:r>
      <w:r>
        <w:rPr>
          <w:rFonts w:cs="Segoe UI"/>
        </w:rPr>
        <w:fldChar w:fldCharType="begin"/>
      </w:r>
      <w:r>
        <w:rPr>
          <w:rFonts w:cs="Segoe UI"/>
        </w:rPr>
        <w:instrText xml:space="preserve"> REF _Ref198650786 \h </w:instrText>
      </w:r>
      <w:r>
        <w:rPr>
          <w:rFonts w:cs="Segoe UI"/>
        </w:rPr>
      </w:r>
      <w:r>
        <w:rPr>
          <w:rFonts w:cs="Segoe UI"/>
        </w:rPr>
        <w:fldChar w:fldCharType="separate"/>
      </w:r>
      <w:r w:rsidR="000E725A">
        <w:t xml:space="preserve">Figure </w:t>
      </w:r>
      <w:r w:rsidR="000E725A">
        <w:rPr>
          <w:noProof/>
        </w:rPr>
        <w:t>31</w:t>
      </w:r>
      <w:r>
        <w:rPr>
          <w:rFonts w:cs="Segoe UI"/>
        </w:rPr>
        <w:fldChar w:fldCharType="end"/>
      </w:r>
      <w:r w:rsidRPr="1DC091DB">
        <w:rPr>
          <w:rFonts w:cs="Segoe UI"/>
        </w:rPr>
        <w:t xml:space="preserve">). </w:t>
      </w:r>
      <w:r>
        <w:rPr>
          <w:rFonts w:cs="Segoe UI"/>
        </w:rPr>
        <w:t>Rates for b</w:t>
      </w:r>
      <w:r w:rsidRPr="1DC091DB">
        <w:rPr>
          <w:rFonts w:cs="Segoe UI"/>
        </w:rPr>
        <w:t xml:space="preserve">oth </w:t>
      </w:r>
      <w:r>
        <w:rPr>
          <w:rFonts w:cs="Segoe UI"/>
        </w:rPr>
        <w:t>tāne</w:t>
      </w:r>
      <w:r w:rsidRPr="1DC091DB">
        <w:rPr>
          <w:rFonts w:cs="Segoe UI"/>
        </w:rPr>
        <w:t xml:space="preserve"> and </w:t>
      </w:r>
      <w:r>
        <w:rPr>
          <w:rFonts w:cs="Segoe UI"/>
        </w:rPr>
        <w:t>wāhine</w:t>
      </w:r>
      <w:r w:rsidRPr="1DC091DB">
        <w:rPr>
          <w:rFonts w:cs="Segoe UI"/>
        </w:rPr>
        <w:t xml:space="preserve"> Māori gradually increase</w:t>
      </w:r>
      <w:r>
        <w:rPr>
          <w:rFonts w:cs="Segoe UI"/>
        </w:rPr>
        <w:t>d</w:t>
      </w:r>
      <w:r w:rsidRPr="1DC091DB">
        <w:rPr>
          <w:rFonts w:cs="Segoe UI"/>
        </w:rPr>
        <w:t xml:space="preserve"> with age</w:t>
      </w:r>
      <w:r>
        <w:rPr>
          <w:rFonts w:cs="Segoe UI"/>
        </w:rPr>
        <w:t>;</w:t>
      </w:r>
      <w:r w:rsidRPr="1DC091DB">
        <w:rPr>
          <w:rFonts w:cs="Segoe UI"/>
        </w:rPr>
        <w:t xml:space="preserve"> rates </w:t>
      </w:r>
      <w:r>
        <w:rPr>
          <w:rFonts w:cs="Segoe UI"/>
        </w:rPr>
        <w:t>for tāne</w:t>
      </w:r>
      <w:r w:rsidRPr="1DC091DB">
        <w:rPr>
          <w:rFonts w:cs="Segoe UI"/>
        </w:rPr>
        <w:t xml:space="preserve"> </w:t>
      </w:r>
      <w:r>
        <w:rPr>
          <w:rFonts w:cs="Segoe UI"/>
        </w:rPr>
        <w:t xml:space="preserve">Māori </w:t>
      </w:r>
      <w:r w:rsidRPr="1DC091DB">
        <w:rPr>
          <w:rFonts w:cs="Segoe UI"/>
        </w:rPr>
        <w:t>increas</w:t>
      </w:r>
      <w:r>
        <w:rPr>
          <w:rFonts w:cs="Segoe UI"/>
        </w:rPr>
        <w:t>ed</w:t>
      </w:r>
      <w:r w:rsidRPr="1DC091DB">
        <w:rPr>
          <w:rFonts w:cs="Segoe UI"/>
        </w:rPr>
        <w:t xml:space="preserve"> at an earlier age. </w:t>
      </w:r>
    </w:p>
    <w:p w14:paraId="7973363B" w14:textId="2A3052E3" w:rsidR="003016B6" w:rsidRPr="00EA17ED" w:rsidRDefault="003016B6" w:rsidP="003016B6"/>
    <w:p w14:paraId="53F460E1" w14:textId="77777777" w:rsidR="003016B6" w:rsidRDefault="003016B6" w:rsidP="003016B6">
      <w:pPr>
        <w:rPr>
          <w:rFonts w:cs="Segoe UI"/>
        </w:rPr>
      </w:pPr>
    </w:p>
    <w:p w14:paraId="2C63E17A" w14:textId="77777777" w:rsidR="003016B6" w:rsidRPr="00EA17ED" w:rsidRDefault="003016B6" w:rsidP="003016B6">
      <w:pPr>
        <w:rPr>
          <w:rFonts w:cs="Segoe UI"/>
        </w:rPr>
      </w:pPr>
    </w:p>
    <w:p w14:paraId="613583DC" w14:textId="17DF755E" w:rsidR="003016B6" w:rsidRDefault="003016B6" w:rsidP="003016B6">
      <w:pPr>
        <w:pStyle w:val="Figure"/>
      </w:pPr>
      <w:bookmarkStart w:id="170" w:name="_Ref198650786"/>
      <w:bookmarkStart w:id="171" w:name="_Toc215236581"/>
      <w:bookmarkStart w:id="172" w:name="_Toc216377216"/>
      <w:r>
        <w:lastRenderedPageBreak/>
        <w:t xml:space="preserve">Figure </w:t>
      </w:r>
      <w:r>
        <w:fldChar w:fldCharType="begin"/>
      </w:r>
      <w:r>
        <w:instrText xml:space="preserve"> SEQ Figure \* ARABIC </w:instrText>
      </w:r>
      <w:r>
        <w:fldChar w:fldCharType="separate"/>
      </w:r>
      <w:r w:rsidR="000E725A">
        <w:rPr>
          <w:noProof/>
        </w:rPr>
        <w:t>31</w:t>
      </w:r>
      <w:r>
        <w:fldChar w:fldCharType="end"/>
      </w:r>
      <w:bookmarkEnd w:id="170"/>
      <w:r>
        <w:t xml:space="preserve">: </w:t>
      </w:r>
      <w:r w:rsidRPr="00462317">
        <w:t xml:space="preserve">Ischaemic heart disease: Māori tāne and wāhine </w:t>
      </w:r>
      <w:r>
        <w:t xml:space="preserve">years of life lost </w:t>
      </w:r>
      <w:r w:rsidRPr="00462317">
        <w:t>rates by age group</w:t>
      </w:r>
      <w:r>
        <w:t xml:space="preserve">, </w:t>
      </w:r>
      <w:r w:rsidRPr="00462317">
        <w:t>2021</w:t>
      </w:r>
      <w:bookmarkEnd w:id="171"/>
      <w:bookmarkEnd w:id="172"/>
    </w:p>
    <w:p w14:paraId="5D106CE1" w14:textId="77777777" w:rsidR="003016B6" w:rsidRPr="00EA17ED" w:rsidRDefault="003016B6" w:rsidP="003016B6">
      <w:pPr>
        <w:keepNext/>
        <w:rPr>
          <w:rFonts w:cs="Segoe UI"/>
        </w:rPr>
      </w:pPr>
      <w:r w:rsidRPr="00EA17ED">
        <w:rPr>
          <w:rFonts w:cs="Segoe UI"/>
          <w:i/>
          <w:noProof/>
          <w:sz w:val="24"/>
          <w14:ligatures w14:val="standardContextual"/>
        </w:rPr>
        <w:drawing>
          <wp:inline distT="0" distB="0" distL="0" distR="0" wp14:anchorId="60A0A12F" wp14:editId="72B00482">
            <wp:extent cx="4826000" cy="2714225"/>
            <wp:effectExtent l="0" t="0" r="0" b="0"/>
            <wp:docPr id="485583679" name="Picture 15" descr="A bar chart showing Māori tāne and wāhine YLL rates for ischaemic heart disease by age group in 2021. Rates for tāne are significantly higher than rates for wāhine, particularly in the 50-84 ag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83679" name="Picture 15" descr="A bar chart showing Māori tāne and wāhine YLL rates for ischaemic heart disease by age group in 2021. Rates for tāne are significantly higher than rates for wāhine, particularly in the 50-84 age groups.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29121" cy="2715980"/>
                    </a:xfrm>
                    <a:prstGeom prst="rect">
                      <a:avLst/>
                    </a:prstGeom>
                  </pic:spPr>
                </pic:pic>
              </a:graphicData>
            </a:graphic>
          </wp:inline>
        </w:drawing>
      </w:r>
    </w:p>
    <w:p w14:paraId="5A2DEB66" w14:textId="77777777" w:rsidR="003016B6" w:rsidRPr="00B8392D" w:rsidRDefault="003016B6" w:rsidP="003016B6">
      <w:pPr>
        <w:pStyle w:val="Note"/>
        <w:rPr>
          <w:b/>
          <w:bCs/>
        </w:rPr>
      </w:pPr>
      <w:r w:rsidRPr="009A1D13">
        <w:t>Note: the</w:t>
      </w:r>
      <w:r>
        <w:t xml:space="preserve"> bars</w:t>
      </w:r>
      <w:r w:rsidRPr="009A1D13">
        <w:t xml:space="preserve"> indicate 95% uncertainty intervals</w:t>
      </w:r>
    </w:p>
    <w:p w14:paraId="634E9031" w14:textId="77777777" w:rsidR="003016B6" w:rsidRPr="00EA17ED" w:rsidRDefault="003016B6" w:rsidP="003016B6">
      <w:pPr>
        <w:pStyle w:val="Heading2"/>
        <w:rPr>
          <w:rFonts w:cs="Segoe UI"/>
        </w:rPr>
      </w:pPr>
      <w:bookmarkStart w:id="173" w:name="_Toc187999536"/>
      <w:bookmarkStart w:id="174" w:name="_Toc215236536"/>
      <w:bookmarkStart w:id="175" w:name="_Toc216376564"/>
      <w:r w:rsidRPr="00EA17ED">
        <w:rPr>
          <w:rFonts w:cs="Segoe UI"/>
        </w:rPr>
        <w:t>Self-</w:t>
      </w:r>
      <w:r>
        <w:rPr>
          <w:rFonts w:cs="Segoe UI"/>
        </w:rPr>
        <w:t>h</w:t>
      </w:r>
      <w:r w:rsidRPr="00EA17ED">
        <w:rPr>
          <w:rFonts w:cs="Segoe UI"/>
        </w:rPr>
        <w:t>arm</w:t>
      </w:r>
      <w:bookmarkEnd w:id="173"/>
      <w:bookmarkEnd w:id="174"/>
      <w:bookmarkEnd w:id="175"/>
    </w:p>
    <w:p w14:paraId="57FE8563" w14:textId="68918AF6" w:rsidR="003016B6" w:rsidRDefault="003016B6" w:rsidP="003016B6">
      <w:pPr>
        <w:rPr>
          <w:rFonts w:cs="Segoe UI"/>
        </w:rPr>
      </w:pPr>
      <w:r w:rsidRPr="00EA17ED">
        <w:rPr>
          <w:rFonts w:cs="Segoe UI"/>
        </w:rPr>
        <w:t xml:space="preserve">Self-harm refers to deliberate bodily damage inflicted on oneself </w:t>
      </w:r>
      <w:r>
        <w:rPr>
          <w:rFonts w:cs="Segoe UI"/>
        </w:rPr>
        <w:t xml:space="preserve">that </w:t>
      </w:r>
      <w:r w:rsidRPr="00EA17ED">
        <w:rPr>
          <w:rFonts w:cs="Segoe UI"/>
        </w:rPr>
        <w:t>result</w:t>
      </w:r>
      <w:r>
        <w:rPr>
          <w:rFonts w:cs="Segoe UI"/>
        </w:rPr>
        <w:t>s</w:t>
      </w:r>
      <w:r w:rsidRPr="00EA17ED">
        <w:rPr>
          <w:rFonts w:cs="Segoe UI"/>
        </w:rPr>
        <w:t xml:space="preserve"> in death or injury</w:t>
      </w:r>
      <w:r>
        <w:rPr>
          <w:rFonts w:cs="Segoe UI"/>
        </w:rPr>
        <w:t xml:space="preserve"> </w:t>
      </w:r>
      <w:r>
        <w:rPr>
          <w:rFonts w:cs="Segoe UI"/>
          <w:noProof/>
        </w:rPr>
        <w:t>(Global Health Metrics 2020)</w:t>
      </w:r>
      <w:r>
        <w:rPr>
          <w:rFonts w:cs="Segoe UI"/>
        </w:rPr>
        <w:t>; it</w:t>
      </w:r>
      <w:r w:rsidRPr="00EA17ED">
        <w:rPr>
          <w:rFonts w:cs="Segoe UI"/>
        </w:rPr>
        <w:t xml:space="preserve"> includes suicide. </w:t>
      </w:r>
      <w:r>
        <w:rPr>
          <w:rFonts w:cs="Segoe UI"/>
        </w:rPr>
        <w:t xml:space="preserve">For the purposes of </w:t>
      </w:r>
      <w:r w:rsidRPr="0ECD342A">
        <w:rPr>
          <w:rFonts w:cs="Segoe UI"/>
        </w:rPr>
        <w:t>this report</w:t>
      </w:r>
      <w:r>
        <w:rPr>
          <w:rFonts w:cs="Segoe UI"/>
        </w:rPr>
        <w:t>,</w:t>
      </w:r>
      <w:r w:rsidRPr="0ECD342A">
        <w:rPr>
          <w:rFonts w:cs="Segoe UI"/>
        </w:rPr>
        <w:t xml:space="preserve"> </w:t>
      </w:r>
      <w:r>
        <w:rPr>
          <w:rFonts w:cs="Segoe UI"/>
        </w:rPr>
        <w:t>‘</w:t>
      </w:r>
      <w:r w:rsidRPr="7A449155">
        <w:rPr>
          <w:rFonts w:cs="Segoe UI"/>
        </w:rPr>
        <w:t>suicide</w:t>
      </w:r>
      <w:r>
        <w:rPr>
          <w:rFonts w:cs="Segoe UI"/>
        </w:rPr>
        <w:t>’</w:t>
      </w:r>
      <w:r w:rsidRPr="7A449155">
        <w:rPr>
          <w:rFonts w:cs="Segoe UI"/>
        </w:rPr>
        <w:t xml:space="preserve"> </w:t>
      </w:r>
      <w:r>
        <w:rPr>
          <w:rFonts w:cs="Segoe UI"/>
        </w:rPr>
        <w:t xml:space="preserve">refers to </w:t>
      </w:r>
      <w:r w:rsidRPr="7A449155">
        <w:rPr>
          <w:rFonts w:cs="Segoe UI"/>
        </w:rPr>
        <w:t>YLL</w:t>
      </w:r>
      <w:r w:rsidRPr="00EA17ED">
        <w:rPr>
          <w:rFonts w:cs="Segoe UI"/>
        </w:rPr>
        <w:t xml:space="preserve"> </w:t>
      </w:r>
      <w:r w:rsidRPr="4BFB7B4E">
        <w:rPr>
          <w:rFonts w:cs="Segoe UI"/>
        </w:rPr>
        <w:t xml:space="preserve">resulting from self-harm. </w:t>
      </w:r>
      <w:r>
        <w:rPr>
          <w:rFonts w:cs="Segoe UI"/>
        </w:rPr>
        <w:t>Self-harm rates</w:t>
      </w:r>
      <w:r w:rsidDel="00A27DB7">
        <w:rPr>
          <w:rFonts w:cs="Segoe UI"/>
        </w:rPr>
        <w:t xml:space="preserve"> </w:t>
      </w:r>
      <w:r>
        <w:rPr>
          <w:rFonts w:cs="Segoe UI"/>
        </w:rPr>
        <w:t xml:space="preserve">were higher for Māori than non-Māori, and the gap increased in the years to 2021, as the non-Māori rate decreased but the Māori rate remained high (see </w:t>
      </w:r>
      <w:r>
        <w:rPr>
          <w:rFonts w:cs="Segoe UI"/>
        </w:rPr>
        <w:fldChar w:fldCharType="begin"/>
      </w:r>
      <w:r>
        <w:rPr>
          <w:rFonts w:cs="Segoe UI"/>
        </w:rPr>
        <w:instrText xml:space="preserve"> REF _Ref202797161 \h </w:instrText>
      </w:r>
      <w:r>
        <w:rPr>
          <w:rFonts w:cs="Segoe UI"/>
        </w:rPr>
      </w:r>
      <w:r>
        <w:rPr>
          <w:rFonts w:cs="Segoe UI"/>
        </w:rPr>
        <w:fldChar w:fldCharType="separate"/>
      </w:r>
      <w:r w:rsidR="000E725A">
        <w:t xml:space="preserve">Figure </w:t>
      </w:r>
      <w:r w:rsidR="000E725A">
        <w:rPr>
          <w:noProof/>
        </w:rPr>
        <w:t>32</w:t>
      </w:r>
      <w:r>
        <w:rPr>
          <w:rFonts w:cs="Segoe UI"/>
        </w:rPr>
        <w:fldChar w:fldCharType="end"/>
      </w:r>
      <w:r>
        <w:rPr>
          <w:rFonts w:cs="Segoe UI"/>
        </w:rPr>
        <w:t>).</w:t>
      </w:r>
    </w:p>
    <w:p w14:paraId="31D75D20" w14:textId="77777777" w:rsidR="003016B6" w:rsidRDefault="003016B6" w:rsidP="003016B6">
      <w:pPr>
        <w:rPr>
          <w:rFonts w:cs="Segoe UI"/>
        </w:rPr>
      </w:pPr>
    </w:p>
    <w:p w14:paraId="5A4FFBC8" w14:textId="3BBB31F7" w:rsidR="003016B6" w:rsidRDefault="003016B6" w:rsidP="003016B6">
      <w:pPr>
        <w:pStyle w:val="Figure"/>
      </w:pPr>
      <w:bookmarkStart w:id="176" w:name="_Ref202797161"/>
      <w:bookmarkStart w:id="177" w:name="_Toc215236582"/>
      <w:bookmarkStart w:id="178" w:name="_Toc216377217"/>
      <w:r>
        <w:t xml:space="preserve">Figure </w:t>
      </w:r>
      <w:r>
        <w:fldChar w:fldCharType="begin"/>
      </w:r>
      <w:r>
        <w:instrText xml:space="preserve"> SEQ Figure \* ARABIC </w:instrText>
      </w:r>
      <w:r>
        <w:fldChar w:fldCharType="separate"/>
      </w:r>
      <w:r w:rsidR="000E725A">
        <w:rPr>
          <w:noProof/>
        </w:rPr>
        <w:t>32</w:t>
      </w:r>
      <w:r>
        <w:fldChar w:fldCharType="end"/>
      </w:r>
      <w:bookmarkEnd w:id="176"/>
      <w:r>
        <w:t xml:space="preserve">: </w:t>
      </w:r>
      <w:r w:rsidRPr="004E0109">
        <w:t xml:space="preserve">Self-harm: Māori and non-Māori age-standardised </w:t>
      </w:r>
      <w:r>
        <w:t xml:space="preserve">years of life lost </w:t>
      </w:r>
      <w:r w:rsidRPr="004E0109">
        <w:t>rates, 1996</w:t>
      </w:r>
      <w:r>
        <w:t>–</w:t>
      </w:r>
      <w:r w:rsidRPr="004E0109">
        <w:t>2021</w:t>
      </w:r>
      <w:bookmarkEnd w:id="177"/>
      <w:bookmarkEnd w:id="178"/>
    </w:p>
    <w:p w14:paraId="497B192C" w14:textId="77777777" w:rsidR="003016B6" w:rsidRDefault="003016B6" w:rsidP="003016B6">
      <w:pPr>
        <w:keepNext/>
      </w:pPr>
      <w:r>
        <w:rPr>
          <w:rFonts w:cs="Segoe UI"/>
          <w:noProof/>
          <w14:ligatures w14:val="standardContextual"/>
        </w:rPr>
        <w:drawing>
          <wp:inline distT="0" distB="0" distL="0" distR="0" wp14:anchorId="7DAF6C77" wp14:editId="09D50840">
            <wp:extent cx="5143500" cy="2892793"/>
            <wp:effectExtent l="0" t="0" r="0" b="3175"/>
            <wp:docPr id="2136987696" name="Picture 5" descr="A line graph showing age-standardised self-harm YLL rates for Māori and non-Māori over time.  The rates for Māori are consistently higher The non-Māori line shows a clear downward trend while the Māori line oscillates sinc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87696" name="Picture 5" descr="A line graph showing age-standardised self-harm YLL rates for Māori and non-Māori over time.  The rates for Māori are consistently higher The non-Māori line shows a clear downward trend while the Māori line oscillates since 200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49427" cy="2896126"/>
                    </a:xfrm>
                    <a:prstGeom prst="rect">
                      <a:avLst/>
                    </a:prstGeom>
                  </pic:spPr>
                </pic:pic>
              </a:graphicData>
            </a:graphic>
          </wp:inline>
        </w:drawing>
      </w:r>
    </w:p>
    <w:p w14:paraId="12818DF2" w14:textId="77777777" w:rsidR="003016B6" w:rsidRPr="002A7A49" w:rsidRDefault="003016B6" w:rsidP="003016B6">
      <w:pPr>
        <w:pStyle w:val="Note"/>
        <w:rPr>
          <w:b/>
          <w:bCs/>
        </w:rPr>
      </w:pPr>
      <w:r w:rsidRPr="009A1D13">
        <w:t>Note: the</w:t>
      </w:r>
      <w:r>
        <w:t xml:space="preserve"> shaded areas</w:t>
      </w:r>
      <w:r w:rsidRPr="009A1D13">
        <w:t xml:space="preserve"> indicate 95% uncertainty intervals</w:t>
      </w:r>
    </w:p>
    <w:p w14:paraId="0F2F320B" w14:textId="3D67E722" w:rsidR="003016B6" w:rsidRDefault="006D1A39" w:rsidP="003016B6">
      <w:pPr>
        <w:rPr>
          <w:rFonts w:cs="Segoe UI"/>
        </w:rPr>
      </w:pPr>
      <w:r>
        <w:rPr>
          <w:rFonts w:cs="Segoe UI"/>
        </w:rPr>
        <w:lastRenderedPageBreak/>
        <w:fldChar w:fldCharType="begin"/>
      </w:r>
      <w:r>
        <w:rPr>
          <w:rFonts w:cs="Segoe UI"/>
        </w:rPr>
        <w:instrText xml:space="preserve"> REF _Ref198650898 \h </w:instrText>
      </w:r>
      <w:r>
        <w:rPr>
          <w:rFonts w:cs="Segoe UI"/>
        </w:rPr>
      </w:r>
      <w:r>
        <w:rPr>
          <w:rFonts w:cs="Segoe UI"/>
        </w:rPr>
        <w:fldChar w:fldCharType="separate"/>
      </w:r>
      <w:r w:rsidR="000E725A">
        <w:t xml:space="preserve">Figure </w:t>
      </w:r>
      <w:r w:rsidR="000E725A">
        <w:rPr>
          <w:noProof/>
        </w:rPr>
        <w:t>33</w:t>
      </w:r>
      <w:r>
        <w:rPr>
          <w:rFonts w:cs="Segoe UI"/>
        </w:rPr>
        <w:fldChar w:fldCharType="end"/>
      </w:r>
      <w:r w:rsidR="003016B6">
        <w:rPr>
          <w:rFonts w:cs="Segoe UI"/>
        </w:rPr>
        <w:t xml:space="preserve"> clearly shows the difference between the non-Māori and Māori rates increasing.</w:t>
      </w:r>
    </w:p>
    <w:p w14:paraId="47690003" w14:textId="77777777" w:rsidR="003016B6" w:rsidRDefault="003016B6" w:rsidP="003016B6"/>
    <w:p w14:paraId="209F7B28" w14:textId="1E654C76" w:rsidR="003016B6" w:rsidRDefault="003016B6" w:rsidP="003016B6">
      <w:pPr>
        <w:pStyle w:val="Figure"/>
      </w:pPr>
      <w:bookmarkStart w:id="179" w:name="_Ref198650898"/>
      <w:bookmarkStart w:id="180" w:name="_Toc215236583"/>
      <w:bookmarkStart w:id="181" w:name="_Toc216377218"/>
      <w:r>
        <w:t xml:space="preserve">Figure </w:t>
      </w:r>
      <w:r>
        <w:fldChar w:fldCharType="begin"/>
      </w:r>
      <w:r>
        <w:instrText xml:space="preserve"> SEQ Figure \* ARABIC </w:instrText>
      </w:r>
      <w:r>
        <w:fldChar w:fldCharType="separate"/>
      </w:r>
      <w:r w:rsidR="000E725A">
        <w:rPr>
          <w:noProof/>
        </w:rPr>
        <w:t>33</w:t>
      </w:r>
      <w:r>
        <w:fldChar w:fldCharType="end"/>
      </w:r>
      <w:bookmarkEnd w:id="179"/>
      <w:r>
        <w:t xml:space="preserve">: </w:t>
      </w:r>
      <w:r w:rsidRPr="00AD539C">
        <w:t xml:space="preserve">Self-harm: Māori/non-Māori age-standardised </w:t>
      </w:r>
      <w:r>
        <w:t xml:space="preserve">years of life lost </w:t>
      </w:r>
      <w:r w:rsidRPr="00AD539C">
        <w:t>rate ratios</w:t>
      </w:r>
      <w:r>
        <w:t>,</w:t>
      </w:r>
      <w:r w:rsidRPr="00AD539C">
        <w:t xml:space="preserve"> 1996</w:t>
      </w:r>
      <w:r>
        <w:t>–</w:t>
      </w:r>
      <w:r w:rsidRPr="00AD539C">
        <w:t>2021</w:t>
      </w:r>
      <w:bookmarkEnd w:id="180"/>
      <w:bookmarkEnd w:id="181"/>
    </w:p>
    <w:p w14:paraId="214478FC" w14:textId="77777777" w:rsidR="003016B6" w:rsidRDefault="003016B6" w:rsidP="003016B6">
      <w:r>
        <w:rPr>
          <w:rFonts w:cs="Segoe UI"/>
          <w:noProof/>
          <w14:ligatures w14:val="standardContextual"/>
        </w:rPr>
        <w:drawing>
          <wp:inline distT="0" distB="0" distL="0" distR="0" wp14:anchorId="4B3C058A" wp14:editId="58AD6ABB">
            <wp:extent cx="5759986" cy="2878723"/>
            <wp:effectExtent l="0" t="0" r="0" b="0"/>
            <wp:docPr id="1667035784" name="Picture 6" descr="A line graph showing how the self-harm aged-standardised YLL Māori/non-Māori rate ratio increased from under 1.5 in 1996 to over 2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35784" name="Picture 6" descr="A line graph showing how the self-harm aged-standardised YLL Māori/non-Māori rate ratio increased from under 1.5 in 1996 to over 2 in 202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986" cy="2878723"/>
                    </a:xfrm>
                    <a:prstGeom prst="rect">
                      <a:avLst/>
                    </a:prstGeom>
                  </pic:spPr>
                </pic:pic>
              </a:graphicData>
            </a:graphic>
          </wp:inline>
        </w:drawing>
      </w:r>
    </w:p>
    <w:p w14:paraId="5AE23203" w14:textId="77777777" w:rsidR="003016B6" w:rsidRPr="002A7A49" w:rsidRDefault="003016B6" w:rsidP="003016B6">
      <w:pPr>
        <w:pStyle w:val="Note"/>
        <w:rPr>
          <w:b/>
          <w:bCs/>
        </w:rPr>
      </w:pPr>
      <w:r w:rsidRPr="009A1D13">
        <w:t>Note: the</w:t>
      </w:r>
      <w:r>
        <w:t xml:space="preserve"> shaded area</w:t>
      </w:r>
      <w:r w:rsidRPr="009A1D13">
        <w:t xml:space="preserve"> indicate</w:t>
      </w:r>
      <w:r>
        <w:t>s 95% uncertainty</w:t>
      </w:r>
      <w:r w:rsidRPr="009A1D13">
        <w:t xml:space="preserve"> interval</w:t>
      </w:r>
    </w:p>
    <w:p w14:paraId="429D0C02" w14:textId="77777777" w:rsidR="003016B6" w:rsidRDefault="003016B6" w:rsidP="003016B6">
      <w:pPr>
        <w:rPr>
          <w:rFonts w:cs="Segoe UI"/>
        </w:rPr>
      </w:pPr>
    </w:p>
    <w:p w14:paraId="32A58E75" w14:textId="326A1B53" w:rsidR="003016B6" w:rsidRDefault="003016B6" w:rsidP="003016B6">
      <w:pPr>
        <w:rPr>
          <w:rFonts w:cs="Segoe UI"/>
        </w:rPr>
      </w:pPr>
      <w:r w:rsidRPr="00EA17ED">
        <w:rPr>
          <w:rFonts w:cs="Segoe UI"/>
        </w:rPr>
        <w:t xml:space="preserve">Self-harm </w:t>
      </w:r>
      <w:r>
        <w:rPr>
          <w:rFonts w:cs="Segoe UI"/>
        </w:rPr>
        <w:t>was</w:t>
      </w:r>
      <w:r w:rsidRPr="00EA17ED">
        <w:rPr>
          <w:rFonts w:cs="Segoe UI"/>
        </w:rPr>
        <w:t xml:space="preserve"> the second leading cause of YLL for tāne Māori and</w:t>
      </w:r>
      <w:r>
        <w:rPr>
          <w:rFonts w:cs="Segoe UI"/>
        </w:rPr>
        <w:t xml:space="preserve"> the</w:t>
      </w:r>
      <w:r w:rsidRPr="00EA17ED">
        <w:rPr>
          <w:rFonts w:cs="Segoe UI"/>
        </w:rPr>
        <w:t xml:space="preserve"> fifth leading cause for wāhine Māori</w:t>
      </w:r>
      <w:r>
        <w:rPr>
          <w:rFonts w:cs="Segoe UI"/>
        </w:rPr>
        <w:t xml:space="preserve"> (see </w:t>
      </w:r>
      <w:r w:rsidR="006D1A39">
        <w:rPr>
          <w:rFonts w:cs="Segoe UI"/>
        </w:rPr>
        <w:fldChar w:fldCharType="begin"/>
      </w:r>
      <w:r w:rsidR="006D1A39">
        <w:rPr>
          <w:rFonts w:cs="Segoe UI"/>
        </w:rPr>
        <w:instrText xml:space="preserve"> REF _Ref198648402 \h </w:instrText>
      </w:r>
      <w:r w:rsidR="006D1A39">
        <w:rPr>
          <w:rFonts w:cs="Segoe UI"/>
        </w:rPr>
      </w:r>
      <w:r w:rsidR="006D1A39">
        <w:rPr>
          <w:rFonts w:cs="Segoe UI"/>
        </w:rPr>
        <w:fldChar w:fldCharType="separate"/>
      </w:r>
      <w:r w:rsidR="000E725A">
        <w:t xml:space="preserve">Figure </w:t>
      </w:r>
      <w:r w:rsidR="000E725A">
        <w:rPr>
          <w:noProof/>
        </w:rPr>
        <w:t>6</w:t>
      </w:r>
      <w:r w:rsidR="006D1A39">
        <w:rPr>
          <w:rFonts w:cs="Segoe UI"/>
        </w:rPr>
        <w:fldChar w:fldCharType="end"/>
      </w:r>
      <w:r>
        <w:rPr>
          <w:rFonts w:cs="Segoe UI"/>
        </w:rPr>
        <w:t>)</w:t>
      </w:r>
      <w:r w:rsidRPr="00EA17ED">
        <w:rPr>
          <w:rFonts w:cs="Segoe UI"/>
        </w:rPr>
        <w:t>.</w:t>
      </w:r>
      <w:r>
        <w:rPr>
          <w:rFonts w:cs="Segoe UI"/>
        </w:rPr>
        <w:t xml:space="preserve"> </w:t>
      </w:r>
      <w:r w:rsidR="006D1A39">
        <w:rPr>
          <w:rFonts w:cs="Segoe UI"/>
        </w:rPr>
        <w:fldChar w:fldCharType="begin"/>
      </w:r>
      <w:r w:rsidR="006D1A39">
        <w:rPr>
          <w:rFonts w:cs="Segoe UI"/>
        </w:rPr>
        <w:instrText xml:space="preserve"> REF _Ref198650960 \h </w:instrText>
      </w:r>
      <w:r w:rsidR="006D1A39">
        <w:rPr>
          <w:rFonts w:cs="Segoe UI"/>
        </w:rPr>
      </w:r>
      <w:r w:rsidR="006D1A39">
        <w:rPr>
          <w:rFonts w:cs="Segoe UI"/>
        </w:rPr>
        <w:fldChar w:fldCharType="separate"/>
      </w:r>
      <w:r w:rsidR="000E725A">
        <w:t xml:space="preserve">Figure </w:t>
      </w:r>
      <w:r w:rsidR="000E725A">
        <w:rPr>
          <w:noProof/>
        </w:rPr>
        <w:t>34</w:t>
      </w:r>
      <w:r w:rsidR="006D1A39">
        <w:rPr>
          <w:rFonts w:cs="Segoe UI"/>
        </w:rPr>
        <w:fldChar w:fldCharType="end"/>
      </w:r>
      <w:r>
        <w:rPr>
          <w:rFonts w:cs="Segoe UI"/>
        </w:rPr>
        <w:t xml:space="preserve"> shows t</w:t>
      </w:r>
      <w:r w:rsidRPr="00EA17ED">
        <w:rPr>
          <w:rFonts w:cs="Segoe UI"/>
        </w:rPr>
        <w:t xml:space="preserve">he trend in YLL rates for self-harm between 1996 and 2021 for tāne and wāhine Māori. In 2021, </w:t>
      </w:r>
      <w:r>
        <w:rPr>
          <w:rFonts w:cs="Segoe UI"/>
        </w:rPr>
        <w:t>t</w:t>
      </w:r>
      <w:r w:rsidRPr="00EA17ED">
        <w:rPr>
          <w:rFonts w:cs="Segoe UI"/>
        </w:rPr>
        <w:t xml:space="preserve">āne Māori </w:t>
      </w:r>
      <w:r>
        <w:rPr>
          <w:rFonts w:cs="Segoe UI"/>
        </w:rPr>
        <w:t>experienced</w:t>
      </w:r>
      <w:r w:rsidRPr="00EA17ED">
        <w:rPr>
          <w:rFonts w:cs="Segoe UI"/>
        </w:rPr>
        <w:t xml:space="preserve"> more than twice the burden of premature death from self-harm (</w:t>
      </w:r>
      <w:r>
        <w:rPr>
          <w:rFonts w:cs="Segoe UI"/>
        </w:rPr>
        <w:t xml:space="preserve">an </w:t>
      </w:r>
      <w:r w:rsidRPr="00EA17ED">
        <w:rPr>
          <w:rFonts w:cs="Segoe UI"/>
        </w:rPr>
        <w:t>age-standardised rate of 1,267 per 100,000) than wāhine Māori (</w:t>
      </w:r>
      <w:r>
        <w:rPr>
          <w:rFonts w:cs="Segoe UI"/>
        </w:rPr>
        <w:t xml:space="preserve">a rate of </w:t>
      </w:r>
      <w:r w:rsidRPr="00EA17ED">
        <w:rPr>
          <w:rFonts w:cs="Segoe UI"/>
        </w:rPr>
        <w:t xml:space="preserve">564 per 100,000). </w:t>
      </w:r>
      <w:r>
        <w:rPr>
          <w:rFonts w:cs="Segoe UI"/>
        </w:rPr>
        <w:t xml:space="preserve">The self-harm rate for wāhine Māori slowly increased over </w:t>
      </w:r>
      <w:r w:rsidRPr="00EA17ED">
        <w:rPr>
          <w:rFonts w:cs="Segoe UI"/>
        </w:rPr>
        <w:t>the decade</w:t>
      </w:r>
      <w:r>
        <w:rPr>
          <w:rFonts w:cs="Segoe UI"/>
        </w:rPr>
        <w:t xml:space="preserve"> to 2021</w:t>
      </w:r>
      <w:r w:rsidRPr="00EA17ED">
        <w:rPr>
          <w:rFonts w:cs="Segoe UI"/>
        </w:rPr>
        <w:t xml:space="preserve">. </w:t>
      </w:r>
    </w:p>
    <w:p w14:paraId="1564A0B9" w14:textId="77777777" w:rsidR="00D938A8" w:rsidRDefault="00D938A8" w:rsidP="003016B6"/>
    <w:p w14:paraId="1456F187" w14:textId="3AE9B4C6" w:rsidR="003016B6" w:rsidRDefault="003016B6" w:rsidP="003016B6">
      <w:pPr>
        <w:pStyle w:val="Figure"/>
      </w:pPr>
      <w:bookmarkStart w:id="182" w:name="_Ref198650960"/>
      <w:bookmarkStart w:id="183" w:name="_Toc215236584"/>
      <w:bookmarkStart w:id="184" w:name="_Toc216377219"/>
      <w:r>
        <w:t xml:space="preserve">Figure </w:t>
      </w:r>
      <w:r>
        <w:fldChar w:fldCharType="begin"/>
      </w:r>
      <w:r>
        <w:instrText xml:space="preserve"> SEQ Figure \* ARABIC </w:instrText>
      </w:r>
      <w:r>
        <w:fldChar w:fldCharType="separate"/>
      </w:r>
      <w:r w:rsidR="000E725A">
        <w:rPr>
          <w:noProof/>
        </w:rPr>
        <w:t>34</w:t>
      </w:r>
      <w:r>
        <w:fldChar w:fldCharType="end"/>
      </w:r>
      <w:bookmarkEnd w:id="182"/>
      <w:r>
        <w:t xml:space="preserve">: </w:t>
      </w:r>
      <w:r w:rsidRPr="005964AF">
        <w:t xml:space="preserve">Self-harm: tāne and wāhine Māori age-standardised </w:t>
      </w:r>
      <w:r>
        <w:t xml:space="preserve">years of life lost </w:t>
      </w:r>
      <w:r w:rsidRPr="005964AF">
        <w:t>rates</w:t>
      </w:r>
      <w:r>
        <w:t xml:space="preserve">, </w:t>
      </w:r>
      <w:r w:rsidRPr="005964AF">
        <w:t>1996</w:t>
      </w:r>
      <w:r>
        <w:t>–</w:t>
      </w:r>
      <w:r w:rsidRPr="005964AF">
        <w:t>2021</w:t>
      </w:r>
      <w:bookmarkEnd w:id="183"/>
      <w:bookmarkEnd w:id="184"/>
    </w:p>
    <w:p w14:paraId="55BE74D2" w14:textId="77777777" w:rsidR="003016B6" w:rsidRDefault="003016B6" w:rsidP="003016B6">
      <w:pPr>
        <w:rPr>
          <w:rStyle w:val="NoteChar"/>
        </w:rPr>
      </w:pPr>
      <w:r>
        <w:rPr>
          <w:noProof/>
        </w:rPr>
        <w:drawing>
          <wp:inline distT="0" distB="0" distL="0" distR="0" wp14:anchorId="0FE45B7B" wp14:editId="5B1D305B">
            <wp:extent cx="4819650" cy="2710654"/>
            <wp:effectExtent l="0" t="0" r="0" b="0"/>
            <wp:docPr id="998671680" name="Picture 1" descr="Line graph showing self-harm YLL standardised rates for Māori. Rates for tāne were about 3 times as high as rates for wāhine in 1995, but reduced slightly sinc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71680" name="Picture 1" descr="Line graph showing self-harm YLL standardised rates for Māori. Rates for tāne were about 3 times as high as rates for wāhine in 1995, but reduced slightly since 200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27448" cy="2715040"/>
                    </a:xfrm>
                    <a:prstGeom prst="rect">
                      <a:avLst/>
                    </a:prstGeom>
                  </pic:spPr>
                </pic:pic>
              </a:graphicData>
            </a:graphic>
          </wp:inline>
        </w:drawing>
      </w:r>
    </w:p>
    <w:p w14:paraId="667C8568" w14:textId="431D4A76" w:rsidR="003016B6" w:rsidRPr="003016B6" w:rsidRDefault="003016B6" w:rsidP="003016B6">
      <w:pPr>
        <w:rPr>
          <w:rStyle w:val="NoteChar"/>
        </w:rPr>
      </w:pPr>
      <w:r w:rsidRPr="003016B6">
        <w:rPr>
          <w:rStyle w:val="NoteChar"/>
        </w:rPr>
        <w:t>Note: the shaded areas indicate 95% uncertainty intervals</w:t>
      </w:r>
    </w:p>
    <w:p w14:paraId="5216DDEB" w14:textId="77777777" w:rsidR="003016B6" w:rsidRPr="00EA17ED" w:rsidRDefault="003016B6" w:rsidP="003016B6">
      <w:pPr>
        <w:rPr>
          <w:rFonts w:cs="Segoe UI"/>
        </w:rPr>
      </w:pPr>
    </w:p>
    <w:p w14:paraId="524C52DE" w14:textId="3DFEAB89" w:rsidR="003016B6" w:rsidRDefault="003016B6" w:rsidP="003016B6">
      <w:pPr>
        <w:rPr>
          <w:rFonts w:cs="Segoe UI"/>
        </w:rPr>
      </w:pPr>
      <w:r w:rsidRPr="009243EC">
        <w:rPr>
          <w:rFonts w:cs="Segoe UI"/>
        </w:rPr>
        <w:lastRenderedPageBreak/>
        <w:fldChar w:fldCharType="begin"/>
      </w:r>
      <w:r w:rsidRPr="009243EC">
        <w:rPr>
          <w:rFonts w:cs="Segoe UI"/>
        </w:rPr>
        <w:instrText xml:space="preserve"> REF _Ref198647475 \h </w:instrText>
      </w:r>
      <w:r>
        <w:rPr>
          <w:rFonts w:cs="Segoe UI"/>
        </w:rPr>
        <w:instrText xml:space="preserve"> \* MERGEFORMAT </w:instrText>
      </w:r>
      <w:r w:rsidRPr="009243EC">
        <w:rPr>
          <w:rFonts w:cs="Segoe UI"/>
        </w:rPr>
      </w:r>
      <w:r w:rsidRPr="009243EC">
        <w:rPr>
          <w:rFonts w:cs="Segoe UI"/>
        </w:rPr>
        <w:fldChar w:fldCharType="separate"/>
      </w:r>
      <w:r w:rsidR="000E725A">
        <w:t xml:space="preserve">Figure </w:t>
      </w:r>
      <w:r w:rsidR="000E725A">
        <w:rPr>
          <w:noProof/>
        </w:rPr>
        <w:t>35</w:t>
      </w:r>
      <w:r w:rsidRPr="009243EC">
        <w:rPr>
          <w:rFonts w:cs="Segoe UI"/>
        </w:rPr>
        <w:fldChar w:fldCharType="end"/>
      </w:r>
      <w:r>
        <w:rPr>
          <w:rFonts w:cs="Segoe UI"/>
        </w:rPr>
        <w:t xml:space="preserve"> </w:t>
      </w:r>
      <w:r w:rsidRPr="00EA17ED">
        <w:rPr>
          <w:rFonts w:cs="Segoe UI"/>
        </w:rPr>
        <w:t xml:space="preserve">shows the YLL rates for self-harm </w:t>
      </w:r>
      <w:r>
        <w:rPr>
          <w:rFonts w:cs="Segoe UI"/>
        </w:rPr>
        <w:t xml:space="preserve">by age group </w:t>
      </w:r>
      <w:r w:rsidRPr="00EA17ED">
        <w:rPr>
          <w:rFonts w:cs="Segoe UI"/>
        </w:rPr>
        <w:t>in 2021. The</w:t>
      </w:r>
      <w:r>
        <w:rPr>
          <w:rFonts w:cs="Segoe UI"/>
        </w:rPr>
        <w:t>se</w:t>
      </w:r>
      <w:r w:rsidRPr="00EA17ED">
        <w:rPr>
          <w:rFonts w:cs="Segoe UI"/>
        </w:rPr>
        <w:t xml:space="preserve"> rates </w:t>
      </w:r>
      <w:r>
        <w:rPr>
          <w:rFonts w:cs="Segoe UI"/>
        </w:rPr>
        <w:t xml:space="preserve">were </w:t>
      </w:r>
      <w:r w:rsidRPr="00EA17ED">
        <w:rPr>
          <w:rFonts w:cs="Segoe UI"/>
        </w:rPr>
        <w:t>highest among younger age groups for both Māori and non-Māori.</w:t>
      </w:r>
      <w:r w:rsidRPr="00EA17ED" w:rsidDel="003B5565">
        <w:rPr>
          <w:rFonts w:cs="Segoe UI"/>
        </w:rPr>
        <w:t xml:space="preserve"> </w:t>
      </w:r>
      <w:r w:rsidRPr="00EA17ED">
        <w:rPr>
          <w:rFonts w:cs="Segoe UI"/>
        </w:rPr>
        <w:t xml:space="preserve">The YLL rates for self-harm </w:t>
      </w:r>
      <w:r>
        <w:rPr>
          <w:rFonts w:cs="Segoe UI"/>
        </w:rPr>
        <w:t>were</w:t>
      </w:r>
      <w:r w:rsidRPr="00EA17ED">
        <w:rPr>
          <w:rFonts w:cs="Segoe UI"/>
        </w:rPr>
        <w:t xml:space="preserve"> consistently higher for Māori compared to non-Māori across all age groups </w:t>
      </w:r>
      <w:r>
        <w:rPr>
          <w:rFonts w:cs="Segoe UI"/>
        </w:rPr>
        <w:t>between 15 and 80 years, with the greatest inequity seen for rangatahi aged 15-24 years and pakeke aged 25-44 years.</w:t>
      </w:r>
    </w:p>
    <w:p w14:paraId="1D01B64A" w14:textId="77777777" w:rsidR="00D938A8" w:rsidRDefault="00D938A8" w:rsidP="003016B6">
      <w:pPr>
        <w:rPr>
          <w:rFonts w:cs="Segoe UI"/>
          <w:b/>
        </w:rPr>
      </w:pPr>
    </w:p>
    <w:p w14:paraId="5513E7F6" w14:textId="1209635D" w:rsidR="003016B6" w:rsidRDefault="003016B6" w:rsidP="00D938A8">
      <w:pPr>
        <w:pStyle w:val="Figure"/>
      </w:pPr>
      <w:bookmarkStart w:id="185" w:name="_Ref198647475"/>
      <w:bookmarkStart w:id="186" w:name="_Toc215236585"/>
      <w:bookmarkStart w:id="187" w:name="_Toc216377220"/>
      <w:r>
        <w:t xml:space="preserve">Figure </w:t>
      </w:r>
      <w:r>
        <w:fldChar w:fldCharType="begin"/>
      </w:r>
      <w:r>
        <w:instrText xml:space="preserve"> SEQ Figure \* ARABIC </w:instrText>
      </w:r>
      <w:r>
        <w:fldChar w:fldCharType="separate"/>
      </w:r>
      <w:r w:rsidR="000E725A">
        <w:rPr>
          <w:noProof/>
        </w:rPr>
        <w:t>35</w:t>
      </w:r>
      <w:r>
        <w:fldChar w:fldCharType="end"/>
      </w:r>
      <w:bookmarkEnd w:id="185"/>
      <w:r>
        <w:t xml:space="preserve">: </w:t>
      </w:r>
      <w:r w:rsidRPr="00B52413">
        <w:t xml:space="preserve">Self-harm: Māori and non-Māori </w:t>
      </w:r>
      <w:r>
        <w:t xml:space="preserve">years of life lost </w:t>
      </w:r>
      <w:r w:rsidRPr="00B52413">
        <w:t>rates by age group, 2021</w:t>
      </w:r>
      <w:bookmarkEnd w:id="186"/>
      <w:bookmarkEnd w:id="187"/>
    </w:p>
    <w:p w14:paraId="77B6B5FC" w14:textId="77777777" w:rsidR="003016B6" w:rsidRPr="00EA17ED" w:rsidRDefault="003016B6" w:rsidP="003016B6">
      <w:pPr>
        <w:rPr>
          <w:rFonts w:cs="Segoe UI"/>
        </w:rPr>
      </w:pPr>
      <w:r w:rsidRPr="00EA17ED">
        <w:rPr>
          <w:rFonts w:cs="Segoe UI"/>
          <w:noProof/>
        </w:rPr>
        <w:drawing>
          <wp:inline distT="0" distB="0" distL="0" distR="0" wp14:anchorId="0DF3C086" wp14:editId="640C5117">
            <wp:extent cx="4831080" cy="2717082"/>
            <wp:effectExtent l="0" t="0" r="7620" b="7620"/>
            <wp:docPr id="1323104702" name="Picture 1" descr="Bar graph showing self-harm YLL rates by age group for Māori and non-Māori. The Māori rates are higher for all age groups between 15 and 84 years old. The difference is particularly high in the 15-44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04702" name="Picture 1" descr="Bar graph showing self-harm YLL rates by age group for Māori and non-Māori. The Māori rates are higher for all age groups between 15 and 84 years old. The difference is particularly high in the 15-44 age group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38971" cy="2721520"/>
                    </a:xfrm>
                    <a:prstGeom prst="rect">
                      <a:avLst/>
                    </a:prstGeom>
                  </pic:spPr>
                </pic:pic>
              </a:graphicData>
            </a:graphic>
          </wp:inline>
        </w:drawing>
      </w:r>
    </w:p>
    <w:p w14:paraId="37707AC9" w14:textId="77777777" w:rsidR="003016B6" w:rsidRPr="002A7A49" w:rsidRDefault="003016B6" w:rsidP="00D938A8">
      <w:pPr>
        <w:pStyle w:val="Note"/>
        <w:rPr>
          <w:b/>
          <w:bCs/>
        </w:rPr>
      </w:pPr>
      <w:r w:rsidRPr="009A1D13">
        <w:t>Note: the</w:t>
      </w:r>
      <w:r>
        <w:t xml:space="preserve"> bars</w:t>
      </w:r>
      <w:r w:rsidRPr="009A1D13">
        <w:t xml:space="preserve"> indicate 95% uncertainty intervals</w:t>
      </w:r>
    </w:p>
    <w:p w14:paraId="25964460" w14:textId="77777777" w:rsidR="00D938A8" w:rsidRDefault="00D938A8" w:rsidP="003016B6">
      <w:pPr>
        <w:rPr>
          <w:rFonts w:cs="Segoe UI"/>
          <w:szCs w:val="22"/>
        </w:rPr>
      </w:pPr>
    </w:p>
    <w:p w14:paraId="71233CC5" w14:textId="5F9EAAEA" w:rsidR="003016B6" w:rsidRDefault="003016B6" w:rsidP="003016B6">
      <w:pPr>
        <w:rPr>
          <w:rFonts w:cs="Segoe UI"/>
        </w:rPr>
      </w:pPr>
      <w:r>
        <w:rPr>
          <w:rFonts w:cs="Segoe UI"/>
          <w:szCs w:val="22"/>
        </w:rPr>
        <w:fldChar w:fldCharType="begin"/>
      </w:r>
      <w:r>
        <w:rPr>
          <w:rFonts w:cs="Segoe UI"/>
        </w:rPr>
        <w:instrText xml:space="preserve"> REF _Ref198651006 \h </w:instrText>
      </w:r>
      <w:r>
        <w:rPr>
          <w:rFonts w:cs="Segoe UI"/>
          <w:szCs w:val="22"/>
        </w:rPr>
      </w:r>
      <w:r>
        <w:rPr>
          <w:rFonts w:cs="Segoe UI"/>
          <w:szCs w:val="22"/>
        </w:rPr>
        <w:fldChar w:fldCharType="separate"/>
      </w:r>
      <w:r w:rsidR="000E725A">
        <w:t xml:space="preserve">Figure </w:t>
      </w:r>
      <w:r w:rsidR="000E725A">
        <w:rPr>
          <w:noProof/>
        </w:rPr>
        <w:t>36</w:t>
      </w:r>
      <w:r>
        <w:rPr>
          <w:rFonts w:cs="Segoe UI"/>
          <w:szCs w:val="22"/>
        </w:rPr>
        <w:fldChar w:fldCharType="end"/>
      </w:r>
      <w:r>
        <w:rPr>
          <w:rFonts w:cs="Segoe UI"/>
          <w:szCs w:val="22"/>
        </w:rPr>
        <w:t xml:space="preserve"> </w:t>
      </w:r>
      <w:r w:rsidRPr="00EA17ED">
        <w:rPr>
          <w:rFonts w:cs="Segoe UI"/>
        </w:rPr>
        <w:t xml:space="preserve">shows YLL rates for self-harm by age for tāne and wāhine Māori </w:t>
      </w:r>
      <w:r>
        <w:rPr>
          <w:rFonts w:cs="Segoe UI"/>
        </w:rPr>
        <w:t>in 2021</w:t>
      </w:r>
      <w:r w:rsidRPr="00EA17ED">
        <w:rPr>
          <w:rFonts w:cs="Segoe UI"/>
        </w:rPr>
        <w:t>.</w:t>
      </w:r>
      <w:r w:rsidRPr="00EA17ED" w:rsidDel="00F8705A">
        <w:rPr>
          <w:rFonts w:cs="Segoe UI"/>
        </w:rPr>
        <w:t xml:space="preserve"> </w:t>
      </w:r>
      <w:r>
        <w:rPr>
          <w:rFonts w:cs="Segoe UI"/>
        </w:rPr>
        <w:t xml:space="preserve">For </w:t>
      </w:r>
      <w:r w:rsidRPr="00EA17ED">
        <w:rPr>
          <w:rFonts w:cs="Segoe UI"/>
        </w:rPr>
        <w:t>wāhine Māori, there was a peak between 15 and 24 years.</w:t>
      </w:r>
      <w:r w:rsidRPr="00EA17ED" w:rsidDel="00F8705A">
        <w:rPr>
          <w:rFonts w:cs="Segoe UI"/>
        </w:rPr>
        <w:t xml:space="preserve"> </w:t>
      </w:r>
      <w:r w:rsidRPr="00EA17ED">
        <w:rPr>
          <w:rFonts w:cs="Segoe UI"/>
        </w:rPr>
        <w:t xml:space="preserve">Among tāne Māori, </w:t>
      </w:r>
      <w:r>
        <w:rPr>
          <w:rFonts w:cs="Segoe UI"/>
        </w:rPr>
        <w:t>those</w:t>
      </w:r>
      <w:r w:rsidRPr="00EA17ED">
        <w:rPr>
          <w:rFonts w:cs="Segoe UI"/>
        </w:rPr>
        <w:t xml:space="preserve"> age</w:t>
      </w:r>
      <w:r>
        <w:rPr>
          <w:rFonts w:cs="Segoe UI"/>
        </w:rPr>
        <w:t>d</w:t>
      </w:r>
      <w:r w:rsidRPr="00EA17ED">
        <w:rPr>
          <w:rFonts w:cs="Segoe UI"/>
        </w:rPr>
        <w:t xml:space="preserve"> between 20 and 34 years were most affected.</w:t>
      </w:r>
      <w:r w:rsidRPr="00EA17ED" w:rsidDel="00F8705A">
        <w:rPr>
          <w:rFonts w:cs="Segoe UI"/>
        </w:rPr>
        <w:t xml:space="preserve"> </w:t>
      </w:r>
      <w:r w:rsidRPr="00EA17ED">
        <w:rPr>
          <w:rFonts w:cs="Segoe UI"/>
        </w:rPr>
        <w:t xml:space="preserve">The fatal burden from self-harm </w:t>
      </w:r>
      <w:r>
        <w:rPr>
          <w:rFonts w:cs="Segoe UI"/>
        </w:rPr>
        <w:t>was</w:t>
      </w:r>
      <w:r w:rsidRPr="00EA17ED">
        <w:rPr>
          <w:rFonts w:cs="Segoe UI"/>
        </w:rPr>
        <w:t xml:space="preserve"> greater among tāne Māori than </w:t>
      </w:r>
      <w:r>
        <w:rPr>
          <w:rFonts w:cs="Segoe UI"/>
        </w:rPr>
        <w:t xml:space="preserve">among </w:t>
      </w:r>
      <w:r w:rsidRPr="00EA17ED">
        <w:rPr>
          <w:rFonts w:cs="Segoe UI"/>
        </w:rPr>
        <w:t>wāhine Māori.</w:t>
      </w:r>
      <w:r w:rsidRPr="00EA17ED" w:rsidDel="00F8705A">
        <w:rPr>
          <w:rFonts w:cs="Segoe UI"/>
        </w:rPr>
        <w:t xml:space="preserve">  </w:t>
      </w:r>
      <w:r>
        <w:rPr>
          <w:rFonts w:cs="Segoe UI"/>
        </w:rPr>
        <w:t xml:space="preserve"> </w:t>
      </w:r>
    </w:p>
    <w:p w14:paraId="29BDA0DA" w14:textId="77777777" w:rsidR="00D938A8" w:rsidRPr="00EA17ED" w:rsidRDefault="00D938A8" w:rsidP="003016B6">
      <w:pPr>
        <w:rPr>
          <w:rFonts w:cs="Segoe UI"/>
        </w:rPr>
      </w:pPr>
    </w:p>
    <w:p w14:paraId="6FDF43E8" w14:textId="0331B4C0" w:rsidR="003016B6" w:rsidRDefault="003016B6" w:rsidP="00D938A8">
      <w:pPr>
        <w:pStyle w:val="Figure"/>
      </w:pPr>
      <w:bookmarkStart w:id="188" w:name="_Ref198651006"/>
      <w:bookmarkStart w:id="189" w:name="_Toc215236586"/>
      <w:bookmarkStart w:id="190" w:name="_Toc216377221"/>
      <w:r>
        <w:t xml:space="preserve">Figure </w:t>
      </w:r>
      <w:r>
        <w:fldChar w:fldCharType="begin"/>
      </w:r>
      <w:r>
        <w:instrText xml:space="preserve"> SEQ Figure \* ARABIC </w:instrText>
      </w:r>
      <w:r>
        <w:fldChar w:fldCharType="separate"/>
      </w:r>
      <w:r w:rsidR="000E725A">
        <w:rPr>
          <w:noProof/>
        </w:rPr>
        <w:t>36</w:t>
      </w:r>
      <w:r>
        <w:fldChar w:fldCharType="end"/>
      </w:r>
      <w:bookmarkEnd w:id="188"/>
      <w:r>
        <w:t xml:space="preserve">: </w:t>
      </w:r>
      <w:r w:rsidRPr="00E94137">
        <w:t>Self-</w:t>
      </w:r>
      <w:r>
        <w:t>h</w:t>
      </w:r>
      <w:r w:rsidRPr="00E94137">
        <w:t xml:space="preserve">arm: tāne and wāhine Māori </w:t>
      </w:r>
      <w:r>
        <w:t xml:space="preserve">years of life lost </w:t>
      </w:r>
      <w:r w:rsidRPr="00E94137">
        <w:t>rates by age group, 2021</w:t>
      </w:r>
      <w:bookmarkEnd w:id="189"/>
      <w:bookmarkEnd w:id="190"/>
    </w:p>
    <w:p w14:paraId="633CFC50" w14:textId="77777777" w:rsidR="003016B6" w:rsidRDefault="003016B6" w:rsidP="003016B6">
      <w:pPr>
        <w:keepNext/>
        <w:rPr>
          <w:rFonts w:cs="Segoe UI"/>
        </w:rPr>
      </w:pPr>
      <w:r w:rsidRPr="00EA17ED">
        <w:rPr>
          <w:noProof/>
        </w:rPr>
        <w:drawing>
          <wp:inline distT="0" distB="0" distL="0" distR="0" wp14:anchorId="7C182059" wp14:editId="7D8B4CC0">
            <wp:extent cx="5120640" cy="2879936"/>
            <wp:effectExtent l="0" t="0" r="3810" b="0"/>
            <wp:docPr id="1748649935" name="Picture 2" descr="Bar chart displaying Years of Life Lost (YLL) rates due to self-harm, broken down by age group and gender (tāne and wāhine Māori).&#10;Tāne Māori have higher rates than wāhine Māori across all age groups except for the 10-14.&#10;The highest rates are observed in the younger age groups, particularly between ages 20 an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9935" name="Picture 2" descr="Bar chart displaying Years of Life Lost (YLL) rates due to self-harm, broken down by age group and gender (tāne and wāhine Māori).&#10;Tāne Māori have higher rates than wāhine Māori across all age groups except for the 10-14.&#10;The highest rates are observed in the younger age groups, particularly between ages 20 and 3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29143" cy="2884718"/>
                    </a:xfrm>
                    <a:prstGeom prst="rect">
                      <a:avLst/>
                    </a:prstGeom>
                  </pic:spPr>
                </pic:pic>
              </a:graphicData>
            </a:graphic>
          </wp:inline>
        </w:drawing>
      </w:r>
    </w:p>
    <w:p w14:paraId="35A86B98" w14:textId="77777777" w:rsidR="003016B6" w:rsidRPr="002A7A49" w:rsidRDefault="003016B6" w:rsidP="00D938A8">
      <w:pPr>
        <w:pStyle w:val="Note"/>
        <w:rPr>
          <w:b/>
          <w:bCs/>
        </w:rPr>
      </w:pPr>
      <w:r w:rsidRPr="009A1D13">
        <w:t>Note: the</w:t>
      </w:r>
      <w:r>
        <w:t xml:space="preserve"> bars</w:t>
      </w:r>
      <w:r w:rsidRPr="009A1D13">
        <w:t xml:space="preserve"> indicate 95% uncertainty intervals</w:t>
      </w:r>
    </w:p>
    <w:p w14:paraId="19347A97" w14:textId="77777777" w:rsidR="003016B6" w:rsidRPr="00EA17ED" w:rsidRDefault="003016B6" w:rsidP="003016B6">
      <w:pPr>
        <w:pStyle w:val="Heading2"/>
        <w:rPr>
          <w:rFonts w:cs="Segoe UI"/>
        </w:rPr>
      </w:pPr>
      <w:bookmarkStart w:id="191" w:name="_Toc215236537"/>
      <w:bookmarkStart w:id="192" w:name="_Toc216376565"/>
      <w:r w:rsidRPr="00EA17ED">
        <w:rPr>
          <w:rFonts w:cs="Segoe UI"/>
        </w:rPr>
        <w:lastRenderedPageBreak/>
        <w:t xml:space="preserve">Chronic </w:t>
      </w:r>
      <w:r>
        <w:rPr>
          <w:rFonts w:cs="Segoe UI"/>
        </w:rPr>
        <w:t>o</w:t>
      </w:r>
      <w:r w:rsidRPr="00EA17ED">
        <w:rPr>
          <w:rFonts w:cs="Segoe UI"/>
        </w:rPr>
        <w:t xml:space="preserve">bstructive </w:t>
      </w:r>
      <w:r>
        <w:rPr>
          <w:rFonts w:cs="Segoe UI"/>
        </w:rPr>
        <w:t>p</w:t>
      </w:r>
      <w:r w:rsidRPr="00EA17ED">
        <w:rPr>
          <w:rFonts w:cs="Segoe UI"/>
        </w:rPr>
        <w:t xml:space="preserve">ulmonary </w:t>
      </w:r>
      <w:r>
        <w:rPr>
          <w:rFonts w:cs="Segoe UI"/>
        </w:rPr>
        <w:t>d</w:t>
      </w:r>
      <w:r w:rsidRPr="00EA17ED">
        <w:rPr>
          <w:rFonts w:cs="Segoe UI"/>
        </w:rPr>
        <w:t>isease</w:t>
      </w:r>
      <w:bookmarkEnd w:id="191"/>
      <w:bookmarkEnd w:id="192"/>
    </w:p>
    <w:p w14:paraId="0D4FBA91" w14:textId="79BA1FA6" w:rsidR="003016B6" w:rsidRDefault="003016B6" w:rsidP="003016B6">
      <w:pPr>
        <w:rPr>
          <w:rFonts w:cs="Segoe UI"/>
        </w:rPr>
      </w:pPr>
      <w:r w:rsidRPr="00EA17ED">
        <w:rPr>
          <w:rFonts w:cs="Segoe UI"/>
        </w:rPr>
        <w:t xml:space="preserve">Chronic </w:t>
      </w:r>
      <w:r>
        <w:rPr>
          <w:rFonts w:cs="Segoe UI"/>
        </w:rPr>
        <w:t>o</w:t>
      </w:r>
      <w:r w:rsidRPr="00EA17ED">
        <w:rPr>
          <w:rFonts w:cs="Segoe UI"/>
        </w:rPr>
        <w:t xml:space="preserve">bstructive </w:t>
      </w:r>
      <w:r>
        <w:rPr>
          <w:rFonts w:cs="Segoe UI"/>
        </w:rPr>
        <w:t>p</w:t>
      </w:r>
      <w:r w:rsidRPr="00EA17ED">
        <w:rPr>
          <w:rFonts w:cs="Segoe UI"/>
        </w:rPr>
        <w:t xml:space="preserve">ulmonary </w:t>
      </w:r>
      <w:r>
        <w:rPr>
          <w:rFonts w:cs="Segoe UI"/>
        </w:rPr>
        <w:t>d</w:t>
      </w:r>
      <w:r w:rsidRPr="00EA17ED">
        <w:rPr>
          <w:rFonts w:cs="Segoe UI"/>
        </w:rPr>
        <w:t>isease is a progressive lung disease causing reduced airflow and difficulty breathing.</w:t>
      </w:r>
      <w:r w:rsidRPr="00EA17ED" w:rsidDel="00F8705A">
        <w:rPr>
          <w:rFonts w:cs="Segoe UI"/>
        </w:rPr>
        <w:t xml:space="preserve"> </w:t>
      </w:r>
      <w:r w:rsidRPr="00EA17ED">
        <w:rPr>
          <w:rFonts w:cs="Segoe UI"/>
        </w:rPr>
        <w:t>Parts of the lung can become damaged</w:t>
      </w:r>
      <w:r>
        <w:rPr>
          <w:rFonts w:cs="Segoe UI"/>
        </w:rPr>
        <w:t xml:space="preserve"> or</w:t>
      </w:r>
      <w:r w:rsidRPr="00EA17ED">
        <w:rPr>
          <w:rFonts w:cs="Segoe UI"/>
        </w:rPr>
        <w:t xml:space="preserve"> blocked by phlegm</w:t>
      </w:r>
      <w:r>
        <w:rPr>
          <w:rFonts w:cs="Segoe UI"/>
        </w:rPr>
        <w:t>,</w:t>
      </w:r>
      <w:r w:rsidRPr="00EA17ED">
        <w:rPr>
          <w:rFonts w:cs="Segoe UI"/>
        </w:rPr>
        <w:t xml:space="preserve"> or the airways </w:t>
      </w:r>
      <w:r>
        <w:rPr>
          <w:rFonts w:cs="Segoe UI"/>
        </w:rPr>
        <w:t xml:space="preserve">can </w:t>
      </w:r>
      <w:r w:rsidRPr="00EA17ED">
        <w:rPr>
          <w:rFonts w:cs="Segoe UI"/>
        </w:rPr>
        <w:t xml:space="preserve">become inflamed (WHO 2024). </w:t>
      </w:r>
      <w:r>
        <w:rPr>
          <w:rFonts w:cs="Segoe UI"/>
        </w:rPr>
        <w:t>O</w:t>
      </w:r>
      <w:r w:rsidRPr="00EA17ED">
        <w:rPr>
          <w:rFonts w:cs="Segoe UI"/>
        </w:rPr>
        <w:t>verall</w:t>
      </w:r>
      <w:r>
        <w:rPr>
          <w:rFonts w:cs="Segoe UI"/>
        </w:rPr>
        <w:t>,</w:t>
      </w:r>
      <w:r w:rsidRPr="00EA17ED">
        <w:rPr>
          <w:rFonts w:cs="Segoe UI"/>
        </w:rPr>
        <w:t xml:space="preserve"> rates of COPD reduced between 1996 and 2021</w:t>
      </w:r>
      <w:r>
        <w:rPr>
          <w:rFonts w:cs="Segoe UI"/>
        </w:rPr>
        <w:t xml:space="preserve"> (see </w:t>
      </w:r>
      <w:r>
        <w:rPr>
          <w:rFonts w:cs="Segoe UI"/>
          <w:szCs w:val="22"/>
        </w:rPr>
        <w:fldChar w:fldCharType="begin"/>
      </w:r>
      <w:r>
        <w:rPr>
          <w:rFonts w:cs="Segoe UI"/>
          <w:szCs w:val="22"/>
        </w:rPr>
        <w:instrText xml:space="preserve"> REF _Ref200622385 \h </w:instrText>
      </w:r>
      <w:r>
        <w:rPr>
          <w:rFonts w:cs="Segoe UI"/>
          <w:szCs w:val="22"/>
        </w:rPr>
      </w:r>
      <w:r>
        <w:rPr>
          <w:rFonts w:cs="Segoe UI"/>
          <w:szCs w:val="22"/>
        </w:rPr>
        <w:fldChar w:fldCharType="separate"/>
      </w:r>
      <w:r w:rsidR="000E725A">
        <w:t xml:space="preserve">Figure </w:t>
      </w:r>
      <w:r w:rsidR="000E725A">
        <w:rPr>
          <w:noProof/>
        </w:rPr>
        <w:t>37</w:t>
      </w:r>
      <w:r>
        <w:rPr>
          <w:rFonts w:cs="Segoe UI"/>
          <w:szCs w:val="22"/>
        </w:rPr>
        <w:fldChar w:fldCharType="end"/>
      </w:r>
      <w:r>
        <w:rPr>
          <w:rFonts w:cs="Segoe UI"/>
          <w:szCs w:val="22"/>
        </w:rPr>
        <w:t>)</w:t>
      </w:r>
      <w:r w:rsidRPr="00EA17ED">
        <w:rPr>
          <w:rFonts w:cs="Segoe UI"/>
        </w:rPr>
        <w:t xml:space="preserve">, </w:t>
      </w:r>
      <w:r>
        <w:rPr>
          <w:rFonts w:cs="Segoe UI"/>
        </w:rPr>
        <w:t xml:space="preserve">but </w:t>
      </w:r>
      <w:r w:rsidRPr="00EA17ED">
        <w:rPr>
          <w:rFonts w:cs="Segoe UI"/>
        </w:rPr>
        <w:t xml:space="preserve">COPD was </w:t>
      </w:r>
      <w:r>
        <w:rPr>
          <w:rFonts w:cs="Segoe UI"/>
        </w:rPr>
        <w:t xml:space="preserve">still </w:t>
      </w:r>
      <w:r w:rsidRPr="00EA17ED">
        <w:rPr>
          <w:rFonts w:cs="Segoe UI"/>
        </w:rPr>
        <w:t xml:space="preserve">the third leading cause </w:t>
      </w:r>
      <w:r>
        <w:rPr>
          <w:rFonts w:cs="Segoe UI"/>
        </w:rPr>
        <w:t xml:space="preserve">of </w:t>
      </w:r>
      <w:r w:rsidRPr="00EA17ED">
        <w:rPr>
          <w:rFonts w:cs="Segoe UI"/>
        </w:rPr>
        <w:t xml:space="preserve">early death for wāhine Māori </w:t>
      </w:r>
      <w:r>
        <w:rPr>
          <w:rFonts w:cs="Segoe UI"/>
        </w:rPr>
        <w:t xml:space="preserve">(7%) </w:t>
      </w:r>
      <w:r w:rsidRPr="00EA17ED">
        <w:rPr>
          <w:rFonts w:cs="Segoe UI"/>
        </w:rPr>
        <w:t xml:space="preserve">and the sixth leading cause for tāne Māori in 2021, contributing </w:t>
      </w:r>
      <w:r>
        <w:rPr>
          <w:rFonts w:cs="Segoe UI"/>
        </w:rPr>
        <w:t>3</w:t>
      </w:r>
      <w:r w:rsidRPr="00EA17ED">
        <w:rPr>
          <w:rFonts w:cs="Segoe UI"/>
        </w:rPr>
        <w:t xml:space="preserve">% of early deaths. </w:t>
      </w:r>
    </w:p>
    <w:p w14:paraId="750E388E" w14:textId="77777777" w:rsidR="00D938A8" w:rsidRPr="00EA17ED" w:rsidRDefault="00D938A8" w:rsidP="003016B6">
      <w:pPr>
        <w:rPr>
          <w:rFonts w:cs="Segoe UI"/>
        </w:rPr>
      </w:pPr>
    </w:p>
    <w:p w14:paraId="46B4F9A2" w14:textId="18B52C0D" w:rsidR="003016B6" w:rsidRDefault="003016B6" w:rsidP="003016B6">
      <w:pPr>
        <w:rPr>
          <w:rFonts w:cs="Segoe UI"/>
        </w:rPr>
      </w:pPr>
      <w:r w:rsidRPr="00EA17ED">
        <w:rPr>
          <w:rFonts w:cs="Segoe UI"/>
        </w:rPr>
        <w:t>Rates of YLL reduced for both Māori and non-Māori during this time</w:t>
      </w:r>
      <w:r>
        <w:rPr>
          <w:rFonts w:cs="Segoe UI"/>
        </w:rPr>
        <w:t xml:space="preserve"> (see </w:t>
      </w:r>
      <w:r>
        <w:rPr>
          <w:rFonts w:cs="Segoe UI"/>
        </w:rPr>
        <w:fldChar w:fldCharType="begin"/>
      </w:r>
      <w:r>
        <w:rPr>
          <w:rFonts w:cs="Segoe UI"/>
        </w:rPr>
        <w:instrText xml:space="preserve"> REF _Ref200622385 \h </w:instrText>
      </w:r>
      <w:r>
        <w:rPr>
          <w:rFonts w:cs="Segoe UI"/>
        </w:rPr>
      </w:r>
      <w:r>
        <w:rPr>
          <w:rFonts w:cs="Segoe UI"/>
        </w:rPr>
        <w:fldChar w:fldCharType="separate"/>
      </w:r>
      <w:r w:rsidR="000E725A">
        <w:t xml:space="preserve">Figure </w:t>
      </w:r>
      <w:r w:rsidR="000E725A">
        <w:rPr>
          <w:noProof/>
        </w:rPr>
        <w:t>37</w:t>
      </w:r>
      <w:r>
        <w:rPr>
          <w:rFonts w:cs="Segoe UI"/>
        </w:rPr>
        <w:fldChar w:fldCharType="end"/>
      </w:r>
      <w:r>
        <w:rPr>
          <w:rFonts w:cs="Segoe UI"/>
        </w:rPr>
        <w:t>).</w:t>
      </w:r>
      <w:r w:rsidRPr="00EA17ED">
        <w:rPr>
          <w:rFonts w:cs="Segoe UI"/>
        </w:rPr>
        <w:t xml:space="preserve"> </w:t>
      </w:r>
      <w:r>
        <w:rPr>
          <w:rFonts w:cs="Segoe UI"/>
        </w:rPr>
        <w:t>H</w:t>
      </w:r>
      <w:r w:rsidRPr="00EA17ED">
        <w:rPr>
          <w:rFonts w:cs="Segoe UI"/>
        </w:rPr>
        <w:t>owever</w:t>
      </w:r>
      <w:r>
        <w:rPr>
          <w:rFonts w:cs="Segoe UI"/>
        </w:rPr>
        <w:t>,</w:t>
      </w:r>
      <w:r w:rsidRPr="00EA17ED">
        <w:rPr>
          <w:rFonts w:cs="Segoe UI"/>
        </w:rPr>
        <w:t xml:space="preserve"> a persistent equity gap remained</w:t>
      </w:r>
      <w:r>
        <w:rPr>
          <w:rFonts w:cs="Segoe UI"/>
        </w:rPr>
        <w:t>:</w:t>
      </w:r>
      <w:r w:rsidRPr="00EA17ED">
        <w:rPr>
          <w:rFonts w:cs="Segoe UI"/>
        </w:rPr>
        <w:t xml:space="preserve"> Māori experienc</w:t>
      </w:r>
      <w:r>
        <w:rPr>
          <w:rFonts w:cs="Segoe UI"/>
        </w:rPr>
        <w:t>ed nearly</w:t>
      </w:r>
      <w:r w:rsidRPr="00EA17ED">
        <w:rPr>
          <w:rFonts w:cs="Segoe UI"/>
        </w:rPr>
        <w:t xml:space="preserve"> </w:t>
      </w:r>
      <w:r>
        <w:rPr>
          <w:rFonts w:cs="Segoe UI"/>
        </w:rPr>
        <w:t xml:space="preserve">three times </w:t>
      </w:r>
      <w:r w:rsidRPr="00EA17ED">
        <w:rPr>
          <w:rFonts w:cs="Segoe UI"/>
        </w:rPr>
        <w:t xml:space="preserve">the rate of YLL from COPD </w:t>
      </w:r>
      <w:r>
        <w:rPr>
          <w:rFonts w:cs="Segoe UI"/>
        </w:rPr>
        <w:t xml:space="preserve">than </w:t>
      </w:r>
      <w:r w:rsidRPr="00EA17ED">
        <w:rPr>
          <w:rFonts w:cs="Segoe UI"/>
        </w:rPr>
        <w:t xml:space="preserve">non-Māori </w:t>
      </w:r>
      <w:r>
        <w:rPr>
          <w:rFonts w:cs="Segoe UI"/>
        </w:rPr>
        <w:t xml:space="preserve">did </w:t>
      </w:r>
      <w:r w:rsidRPr="00EA17ED">
        <w:rPr>
          <w:rFonts w:cs="Segoe UI"/>
        </w:rPr>
        <w:t>(</w:t>
      </w:r>
      <w:r>
        <w:rPr>
          <w:rFonts w:cs="Segoe UI"/>
        </w:rPr>
        <w:t xml:space="preserve">the </w:t>
      </w:r>
      <w:r w:rsidRPr="00EA17ED">
        <w:rPr>
          <w:rFonts w:cs="Segoe UI"/>
        </w:rPr>
        <w:t xml:space="preserve">age-standardised rates </w:t>
      </w:r>
      <w:r>
        <w:rPr>
          <w:rFonts w:cs="Segoe UI"/>
        </w:rPr>
        <w:t>were 841</w:t>
      </w:r>
      <w:r w:rsidRPr="00EA17ED">
        <w:rPr>
          <w:rFonts w:cs="Segoe UI"/>
        </w:rPr>
        <w:t xml:space="preserve"> YLL per 100,000 for Māori</w:t>
      </w:r>
      <w:r>
        <w:rPr>
          <w:rFonts w:cs="Segoe UI"/>
        </w:rPr>
        <w:t>,</w:t>
      </w:r>
      <w:r w:rsidRPr="00EA17ED">
        <w:rPr>
          <w:rFonts w:cs="Segoe UI"/>
        </w:rPr>
        <w:t xml:space="preserve"> compared to </w:t>
      </w:r>
      <w:r>
        <w:rPr>
          <w:rFonts w:cs="Segoe UI"/>
        </w:rPr>
        <w:t>309</w:t>
      </w:r>
      <w:r w:rsidRPr="00EA17ED">
        <w:rPr>
          <w:rFonts w:cs="Segoe UI"/>
        </w:rPr>
        <w:t xml:space="preserve"> YLL per 100,000 for non-Māori</w:t>
      </w:r>
      <w:r>
        <w:rPr>
          <w:rFonts w:cs="Segoe UI"/>
        </w:rPr>
        <w:t xml:space="preserve"> in 2021; see </w:t>
      </w:r>
      <w:r>
        <w:rPr>
          <w:rFonts w:cs="Segoe UI"/>
        </w:rPr>
        <w:fldChar w:fldCharType="begin"/>
      </w:r>
      <w:r>
        <w:rPr>
          <w:rFonts w:cs="Segoe UI"/>
        </w:rPr>
        <w:instrText xml:space="preserve"> REF _Ref200092911 \h </w:instrText>
      </w:r>
      <w:r>
        <w:rPr>
          <w:rFonts w:cs="Segoe UI"/>
        </w:rPr>
      </w:r>
      <w:r>
        <w:rPr>
          <w:rFonts w:cs="Segoe UI"/>
        </w:rPr>
        <w:fldChar w:fldCharType="separate"/>
      </w:r>
      <w:r w:rsidR="000E725A">
        <w:t xml:space="preserve">Figure </w:t>
      </w:r>
      <w:r w:rsidR="000E725A">
        <w:rPr>
          <w:noProof/>
        </w:rPr>
        <w:t>38</w:t>
      </w:r>
      <w:r>
        <w:rPr>
          <w:rFonts w:cs="Segoe UI"/>
        </w:rPr>
        <w:fldChar w:fldCharType="end"/>
      </w:r>
      <w:r>
        <w:rPr>
          <w:rFonts w:cs="Segoe UI"/>
        </w:rPr>
        <w:t>).</w:t>
      </w:r>
    </w:p>
    <w:p w14:paraId="3437DF97" w14:textId="77777777" w:rsidR="00D938A8" w:rsidRPr="00EA17ED" w:rsidRDefault="00D938A8" w:rsidP="003016B6">
      <w:pPr>
        <w:rPr>
          <w:rFonts w:cs="Segoe UI"/>
        </w:rPr>
      </w:pPr>
    </w:p>
    <w:p w14:paraId="27D99518" w14:textId="39197492" w:rsidR="003016B6" w:rsidRDefault="003016B6" w:rsidP="00D938A8">
      <w:pPr>
        <w:pStyle w:val="Figure"/>
      </w:pPr>
      <w:bookmarkStart w:id="193" w:name="_Ref200622385"/>
      <w:bookmarkStart w:id="194" w:name="_Toc215236587"/>
      <w:bookmarkStart w:id="195" w:name="_Toc216377222"/>
      <w:r>
        <w:t xml:space="preserve">Figure </w:t>
      </w:r>
      <w:r>
        <w:fldChar w:fldCharType="begin"/>
      </w:r>
      <w:r>
        <w:instrText xml:space="preserve"> SEQ Figure \* ARABIC </w:instrText>
      </w:r>
      <w:r>
        <w:fldChar w:fldCharType="separate"/>
      </w:r>
      <w:r w:rsidR="000E725A">
        <w:rPr>
          <w:noProof/>
        </w:rPr>
        <w:t>37</w:t>
      </w:r>
      <w:r>
        <w:fldChar w:fldCharType="end"/>
      </w:r>
      <w:bookmarkEnd w:id="193"/>
      <w:r>
        <w:t xml:space="preserve">: </w:t>
      </w:r>
      <w:r w:rsidRPr="009F61DC">
        <w:t xml:space="preserve">Chronic </w:t>
      </w:r>
      <w:r>
        <w:t>o</w:t>
      </w:r>
      <w:r w:rsidRPr="009F61DC">
        <w:t xml:space="preserve">bstructive </w:t>
      </w:r>
      <w:r>
        <w:t>p</w:t>
      </w:r>
      <w:r w:rsidRPr="009F61DC">
        <w:t xml:space="preserve">ulmonary </w:t>
      </w:r>
      <w:r>
        <w:t>d</w:t>
      </w:r>
      <w:r w:rsidRPr="009F61DC">
        <w:t xml:space="preserve">isease: Māori and non-Māori age-standardised </w:t>
      </w:r>
      <w:r>
        <w:t xml:space="preserve">years of life lost </w:t>
      </w:r>
      <w:r w:rsidRPr="009F61DC">
        <w:t>rates, 1996</w:t>
      </w:r>
      <w:r>
        <w:t>–</w:t>
      </w:r>
      <w:r w:rsidRPr="009F61DC">
        <w:t>2021</w:t>
      </w:r>
      <w:bookmarkEnd w:id="194"/>
      <w:bookmarkEnd w:id="195"/>
    </w:p>
    <w:p w14:paraId="61397A01" w14:textId="77777777" w:rsidR="003016B6" w:rsidRDefault="003016B6" w:rsidP="003016B6">
      <w:pPr>
        <w:keepNext/>
        <w:rPr>
          <w:rFonts w:cs="Segoe UI"/>
        </w:rPr>
      </w:pPr>
      <w:r w:rsidRPr="00EA17ED">
        <w:rPr>
          <w:rFonts w:cs="Segoe UI"/>
          <w:noProof/>
        </w:rPr>
        <w:drawing>
          <wp:inline distT="0" distB="0" distL="0" distR="0" wp14:anchorId="79A067C1" wp14:editId="5BFEDACF">
            <wp:extent cx="5097780" cy="2867079"/>
            <wp:effectExtent l="0" t="0" r="7620" b="9525"/>
            <wp:docPr id="1781684664" name="Picture 21" descr="Line graph showing the COPD age-standardised YLL rates for Māori and non-Māori from 1996 to 2021. Both groups show a decreasing trend over time, but Māori consistently have higher YLL rates than non-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84664" name="Picture 21" descr="Line graph showing the COPD age-standardised YLL rates for Māori and non-Māori from 1996 to 2021. Both groups show a decreasing trend over time, but Māori consistently have higher YLL rates than non-Māori.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04524" cy="2870872"/>
                    </a:xfrm>
                    <a:prstGeom prst="rect">
                      <a:avLst/>
                    </a:prstGeom>
                  </pic:spPr>
                </pic:pic>
              </a:graphicData>
            </a:graphic>
          </wp:inline>
        </w:drawing>
      </w:r>
    </w:p>
    <w:p w14:paraId="750A72B8" w14:textId="77777777" w:rsidR="003016B6" w:rsidRDefault="003016B6" w:rsidP="00D938A8">
      <w:pPr>
        <w:pStyle w:val="Note"/>
      </w:pPr>
      <w:r w:rsidRPr="009A1D13">
        <w:t>Note: the</w:t>
      </w:r>
      <w:r>
        <w:t xml:space="preserve"> shaded areas</w:t>
      </w:r>
      <w:r w:rsidRPr="009A1D13">
        <w:t xml:space="preserve"> indicate 95% uncertainty intervals</w:t>
      </w:r>
    </w:p>
    <w:p w14:paraId="081F68C4" w14:textId="77777777" w:rsidR="00D938A8" w:rsidRDefault="00D938A8" w:rsidP="00D938A8"/>
    <w:p w14:paraId="395FF59F" w14:textId="6391F179" w:rsidR="00BF0A3F" w:rsidRDefault="00BF0A3F" w:rsidP="0007695A">
      <w:pPr>
        <w:pStyle w:val="Figure"/>
      </w:pPr>
      <w:bookmarkStart w:id="196" w:name="_Ref200092911"/>
      <w:bookmarkStart w:id="197" w:name="_Ref200092879"/>
      <w:bookmarkStart w:id="198" w:name="_Toc215236588"/>
      <w:bookmarkStart w:id="199" w:name="_Toc216377223"/>
      <w:r>
        <w:lastRenderedPageBreak/>
        <w:t xml:space="preserve">Figure </w:t>
      </w:r>
      <w:r>
        <w:fldChar w:fldCharType="begin"/>
      </w:r>
      <w:r>
        <w:instrText xml:space="preserve"> SEQ Figure \* ARABIC </w:instrText>
      </w:r>
      <w:r>
        <w:fldChar w:fldCharType="separate"/>
      </w:r>
      <w:r w:rsidR="000E725A">
        <w:rPr>
          <w:noProof/>
        </w:rPr>
        <w:t>38</w:t>
      </w:r>
      <w:r>
        <w:fldChar w:fldCharType="end"/>
      </w:r>
      <w:bookmarkEnd w:id="196"/>
      <w:r>
        <w:t xml:space="preserve">: </w:t>
      </w:r>
      <w:r w:rsidRPr="00A63583">
        <w:t xml:space="preserve">Chronic obstructive pulmonary disease: Māori/non-Māori age-standardised </w:t>
      </w:r>
      <w:r>
        <w:t xml:space="preserve">years of life lost </w:t>
      </w:r>
      <w:r w:rsidRPr="00A63583">
        <w:t>rate ratios</w:t>
      </w:r>
      <w:r>
        <w:t xml:space="preserve">, </w:t>
      </w:r>
      <w:r w:rsidRPr="00A63583">
        <w:t>1996</w:t>
      </w:r>
      <w:r>
        <w:t>–</w:t>
      </w:r>
      <w:r w:rsidRPr="00A63583">
        <w:t>2021</w:t>
      </w:r>
      <w:bookmarkEnd w:id="197"/>
      <w:bookmarkEnd w:id="198"/>
      <w:bookmarkEnd w:id="199"/>
    </w:p>
    <w:p w14:paraId="42782F88" w14:textId="77777777" w:rsidR="0007695A" w:rsidRDefault="00BF0A3F" w:rsidP="00BF0A3F">
      <w:pPr>
        <w:keepNext/>
        <w:rPr>
          <w:rStyle w:val="NoteChar"/>
        </w:rPr>
      </w:pPr>
      <w:r>
        <w:rPr>
          <w:noProof/>
          <w14:ligatures w14:val="standardContextual"/>
        </w:rPr>
        <w:drawing>
          <wp:inline distT="0" distB="0" distL="0" distR="0" wp14:anchorId="4B360836" wp14:editId="37C0014E">
            <wp:extent cx="4861560" cy="2429708"/>
            <wp:effectExtent l="0" t="0" r="0" b="8890"/>
            <wp:docPr id="1336034175" name="Picture 1" descr="Line graph showing age-standardised YLL rate ratios for COPD comparing Māori and non-Māori from 1996 to 2021. The rate ratio remains between 2 and 3, with minor fluc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4175" name="Picture 1" descr="Line graph showing age-standardised YLL rate ratios for COPD comparing Māori and non-Māori from 1996 to 2021. The rate ratio remains between 2 and 3, with minor fluctuation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66487" cy="2432170"/>
                    </a:xfrm>
                    <a:prstGeom prst="rect">
                      <a:avLst/>
                    </a:prstGeom>
                  </pic:spPr>
                </pic:pic>
              </a:graphicData>
            </a:graphic>
          </wp:inline>
        </w:drawing>
      </w:r>
    </w:p>
    <w:p w14:paraId="315EB6B2" w14:textId="6D9684F9" w:rsidR="00BF0A3F" w:rsidRPr="0007695A" w:rsidRDefault="00BF0A3F" w:rsidP="00BF0A3F">
      <w:pPr>
        <w:keepNext/>
        <w:rPr>
          <w:rStyle w:val="NoteChar"/>
        </w:rPr>
      </w:pPr>
      <w:r w:rsidRPr="0007695A">
        <w:rPr>
          <w:rStyle w:val="NoteChar"/>
        </w:rPr>
        <w:t>Note: the shaded area indicates 95% uncertainty interval</w:t>
      </w:r>
    </w:p>
    <w:p w14:paraId="5E7C7544" w14:textId="77777777" w:rsidR="0007695A" w:rsidRDefault="0007695A" w:rsidP="00BF0A3F">
      <w:pPr>
        <w:tabs>
          <w:tab w:val="left" w:pos="5103"/>
        </w:tabs>
        <w:rPr>
          <w:rFonts w:cs="Segoe UI"/>
          <w:szCs w:val="22"/>
        </w:rPr>
      </w:pPr>
    </w:p>
    <w:p w14:paraId="19938DA7" w14:textId="47D977AC" w:rsidR="00BF0A3F" w:rsidRDefault="00BF0A3F" w:rsidP="00BF0A3F">
      <w:pPr>
        <w:tabs>
          <w:tab w:val="left" w:pos="5103"/>
        </w:tabs>
        <w:rPr>
          <w:rFonts w:cs="Segoe UI"/>
        </w:rPr>
      </w:pPr>
      <w:r>
        <w:rPr>
          <w:rFonts w:cs="Segoe UI"/>
          <w:szCs w:val="22"/>
        </w:rPr>
        <w:fldChar w:fldCharType="begin"/>
      </w:r>
      <w:r>
        <w:rPr>
          <w:rFonts w:cs="Segoe UI"/>
        </w:rPr>
        <w:instrText xml:space="preserve"> REF _Ref200622410 \h </w:instrText>
      </w:r>
      <w:r>
        <w:rPr>
          <w:rFonts w:cs="Segoe UI"/>
          <w:szCs w:val="22"/>
        </w:rPr>
      </w:r>
      <w:r>
        <w:rPr>
          <w:rFonts w:cs="Segoe UI"/>
          <w:szCs w:val="22"/>
        </w:rPr>
        <w:fldChar w:fldCharType="separate"/>
      </w:r>
      <w:r w:rsidR="000E725A">
        <w:t xml:space="preserve">Figure </w:t>
      </w:r>
      <w:r w:rsidR="000E725A">
        <w:rPr>
          <w:noProof/>
        </w:rPr>
        <w:t>39</w:t>
      </w:r>
      <w:r>
        <w:rPr>
          <w:rFonts w:cs="Segoe UI"/>
          <w:szCs w:val="22"/>
        </w:rPr>
        <w:fldChar w:fldCharType="end"/>
      </w:r>
      <w:r>
        <w:rPr>
          <w:rFonts w:cs="Segoe UI"/>
          <w:szCs w:val="22"/>
        </w:rPr>
        <w:t xml:space="preserve"> </w:t>
      </w:r>
      <w:r w:rsidRPr="00EA17ED">
        <w:rPr>
          <w:rFonts w:cs="Segoe UI"/>
        </w:rPr>
        <w:t>shows the trend in age standardised YLL rates for COPD in tāne and wāhine Māori from 1996 to 2021.</w:t>
      </w:r>
      <w:r w:rsidRPr="00EA17ED" w:rsidDel="00F8705A">
        <w:rPr>
          <w:rFonts w:cs="Segoe UI"/>
        </w:rPr>
        <w:t xml:space="preserve"> </w:t>
      </w:r>
      <w:r w:rsidRPr="00EA17ED">
        <w:rPr>
          <w:rFonts w:cs="Segoe UI"/>
        </w:rPr>
        <w:t>The</w:t>
      </w:r>
      <w:r>
        <w:rPr>
          <w:rFonts w:cs="Segoe UI"/>
        </w:rPr>
        <w:t>se</w:t>
      </w:r>
      <w:r w:rsidRPr="00EA17ED">
        <w:rPr>
          <w:rFonts w:cs="Segoe UI"/>
        </w:rPr>
        <w:t xml:space="preserve"> rates increased between 1998 and 2001 for both tāne and wāhine Māori.</w:t>
      </w:r>
      <w:r w:rsidRPr="00EA17ED" w:rsidDel="00F8705A">
        <w:rPr>
          <w:rFonts w:cs="Segoe UI"/>
        </w:rPr>
        <w:t xml:space="preserve"> </w:t>
      </w:r>
      <w:r w:rsidRPr="00EA17ED">
        <w:rPr>
          <w:rFonts w:cs="Segoe UI"/>
        </w:rPr>
        <w:t xml:space="preserve">Thereafter, a declining trend </w:t>
      </w:r>
      <w:r>
        <w:rPr>
          <w:rFonts w:cs="Segoe UI"/>
        </w:rPr>
        <w:t xml:space="preserve">was </w:t>
      </w:r>
      <w:r w:rsidRPr="00EA17ED">
        <w:rPr>
          <w:rFonts w:cs="Segoe UI"/>
        </w:rPr>
        <w:t>observed among tāne Māori</w:t>
      </w:r>
      <w:r>
        <w:rPr>
          <w:rFonts w:cs="Segoe UI"/>
        </w:rPr>
        <w:t>. T</w:t>
      </w:r>
      <w:r w:rsidRPr="00EA17ED">
        <w:rPr>
          <w:rFonts w:cs="Segoe UI"/>
        </w:rPr>
        <w:t xml:space="preserve">he trend </w:t>
      </w:r>
      <w:r>
        <w:rPr>
          <w:rFonts w:cs="Segoe UI"/>
        </w:rPr>
        <w:t>declined overall</w:t>
      </w:r>
      <w:r w:rsidRPr="00EA17ED">
        <w:rPr>
          <w:rFonts w:cs="Segoe UI"/>
        </w:rPr>
        <w:t xml:space="preserve"> among wāhine Māori</w:t>
      </w:r>
      <w:r>
        <w:rPr>
          <w:rFonts w:cs="Segoe UI"/>
        </w:rPr>
        <w:t>, but plateaued from around 2013 onwards</w:t>
      </w:r>
      <w:r w:rsidRPr="00EA17ED">
        <w:rPr>
          <w:rFonts w:cs="Segoe UI"/>
        </w:rPr>
        <w:t>.</w:t>
      </w:r>
      <w:r w:rsidRPr="00EA17ED" w:rsidDel="00F8705A">
        <w:rPr>
          <w:rFonts w:cs="Segoe UI"/>
        </w:rPr>
        <w:t xml:space="preserve"> </w:t>
      </w:r>
    </w:p>
    <w:p w14:paraId="3FE36DD1" w14:textId="77777777" w:rsidR="0007695A" w:rsidRPr="00EA17ED" w:rsidRDefault="0007695A" w:rsidP="00BF0A3F">
      <w:pPr>
        <w:tabs>
          <w:tab w:val="left" w:pos="5103"/>
        </w:tabs>
        <w:rPr>
          <w:rFonts w:cs="Segoe UI"/>
        </w:rPr>
      </w:pPr>
    </w:p>
    <w:p w14:paraId="4CAE01FB" w14:textId="4144CE3B" w:rsidR="00BF0A3F" w:rsidRDefault="00BF0A3F" w:rsidP="0007695A">
      <w:pPr>
        <w:pStyle w:val="Figure"/>
      </w:pPr>
      <w:bookmarkStart w:id="200" w:name="_Ref200622410"/>
      <w:bookmarkStart w:id="201" w:name="_Toc215236589"/>
      <w:bookmarkStart w:id="202" w:name="_Toc216377224"/>
      <w:r>
        <w:t xml:space="preserve">Figure </w:t>
      </w:r>
      <w:r>
        <w:fldChar w:fldCharType="begin"/>
      </w:r>
      <w:r>
        <w:instrText xml:space="preserve"> SEQ Figure \* ARABIC </w:instrText>
      </w:r>
      <w:r>
        <w:fldChar w:fldCharType="separate"/>
      </w:r>
      <w:r w:rsidR="000E725A">
        <w:rPr>
          <w:noProof/>
        </w:rPr>
        <w:t>39</w:t>
      </w:r>
      <w:r>
        <w:fldChar w:fldCharType="end"/>
      </w:r>
      <w:bookmarkEnd w:id="200"/>
      <w:r>
        <w:t xml:space="preserve">: </w:t>
      </w:r>
      <w:r w:rsidRPr="001C7D3D">
        <w:t xml:space="preserve">Chronic </w:t>
      </w:r>
      <w:r>
        <w:t>o</w:t>
      </w:r>
      <w:r w:rsidRPr="001C7D3D">
        <w:t xml:space="preserve">bstructive </w:t>
      </w:r>
      <w:r>
        <w:t>p</w:t>
      </w:r>
      <w:r w:rsidRPr="001C7D3D">
        <w:t xml:space="preserve">ulmonary </w:t>
      </w:r>
      <w:r>
        <w:t>d</w:t>
      </w:r>
      <w:r w:rsidRPr="001C7D3D">
        <w:t xml:space="preserve">isease: tāne and wāhine Māori age-standardised </w:t>
      </w:r>
      <w:r>
        <w:t xml:space="preserve">years of life lost </w:t>
      </w:r>
      <w:r w:rsidRPr="001C7D3D">
        <w:t>rates</w:t>
      </w:r>
      <w:r>
        <w:t xml:space="preserve">, </w:t>
      </w:r>
      <w:r w:rsidRPr="001C7D3D">
        <w:t>1996</w:t>
      </w:r>
      <w:r>
        <w:t>–</w:t>
      </w:r>
      <w:r w:rsidRPr="001C7D3D">
        <w:t>2021</w:t>
      </w:r>
      <w:bookmarkEnd w:id="201"/>
      <w:bookmarkEnd w:id="202"/>
    </w:p>
    <w:p w14:paraId="4A8ECA82" w14:textId="77777777" w:rsidR="00BF0A3F" w:rsidRPr="00EA17ED" w:rsidRDefault="00BF0A3F" w:rsidP="00BF0A3F">
      <w:pPr>
        <w:keepNext/>
        <w:rPr>
          <w:rFonts w:cs="Segoe UI"/>
        </w:rPr>
      </w:pPr>
      <w:r w:rsidRPr="00EA17ED">
        <w:rPr>
          <w:rFonts w:cs="Segoe UI"/>
          <w:noProof/>
        </w:rPr>
        <w:drawing>
          <wp:inline distT="0" distB="0" distL="0" distR="0" wp14:anchorId="747E4A13" wp14:editId="33F0CB9C">
            <wp:extent cx="4861560" cy="2734225"/>
            <wp:effectExtent l="0" t="0" r="0" b="9525"/>
            <wp:docPr id="1355289940" name="Picture 22" descr="Line graph showing age standardised YLL due to COPD for tāne and wāhine Māori between 1996 and 2021.  Both lines are generally trending down, although the wāhine rate seems to plateau from 2013 onwards. The rates were higher for tāne than wāhine until 2004 and have been higher for wāhine than for tāne sinc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89940" name="Picture 22" descr="Line graph showing age standardised YLL due to COPD for tāne and wāhine Māori between 1996 and 2021.  Both lines are generally trending down, although the wāhine rate seems to plateau from 2013 onwards. The rates were higher for tāne than wāhine until 2004 and have been higher for wāhine than for tāne since 201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68891" cy="2738348"/>
                    </a:xfrm>
                    <a:prstGeom prst="rect">
                      <a:avLst/>
                    </a:prstGeom>
                  </pic:spPr>
                </pic:pic>
              </a:graphicData>
            </a:graphic>
          </wp:inline>
        </w:drawing>
      </w:r>
    </w:p>
    <w:p w14:paraId="62FBAC46" w14:textId="77777777" w:rsidR="00BF0A3F" w:rsidRPr="0007695A" w:rsidRDefault="00BF0A3F" w:rsidP="0007695A">
      <w:pPr>
        <w:pStyle w:val="Note"/>
      </w:pPr>
      <w:r w:rsidRPr="0007695A">
        <w:t>Note: the shaded areas indicate 95% uncertainty intervals</w:t>
      </w:r>
    </w:p>
    <w:p w14:paraId="2C30AD3D" w14:textId="77777777" w:rsidR="0007695A" w:rsidRDefault="0007695A" w:rsidP="00BF0A3F">
      <w:pPr>
        <w:rPr>
          <w:rFonts w:cs="Segoe UI"/>
          <w:szCs w:val="22"/>
        </w:rPr>
      </w:pPr>
    </w:p>
    <w:p w14:paraId="6C0CEB78" w14:textId="7EFDA9D7" w:rsidR="00BF0A3F" w:rsidRPr="00EA17ED" w:rsidRDefault="00BF0A3F" w:rsidP="00BF0A3F">
      <w:pPr>
        <w:rPr>
          <w:rFonts w:cs="Segoe UI"/>
        </w:rPr>
      </w:pPr>
      <w:r>
        <w:rPr>
          <w:rFonts w:cs="Segoe UI"/>
          <w:szCs w:val="22"/>
        </w:rPr>
        <w:fldChar w:fldCharType="begin"/>
      </w:r>
      <w:r>
        <w:rPr>
          <w:rFonts w:cs="Segoe UI"/>
        </w:rPr>
        <w:instrText xml:space="preserve"> REF _Ref200622424 \h </w:instrText>
      </w:r>
      <w:r>
        <w:rPr>
          <w:rFonts w:cs="Segoe UI"/>
          <w:szCs w:val="22"/>
        </w:rPr>
      </w:r>
      <w:r>
        <w:rPr>
          <w:rFonts w:cs="Segoe UI"/>
          <w:szCs w:val="22"/>
        </w:rPr>
        <w:fldChar w:fldCharType="separate"/>
      </w:r>
      <w:r w:rsidR="000E725A">
        <w:t xml:space="preserve">Figure </w:t>
      </w:r>
      <w:r w:rsidR="000E725A">
        <w:rPr>
          <w:noProof/>
        </w:rPr>
        <w:t>40</w:t>
      </w:r>
      <w:r>
        <w:rPr>
          <w:rFonts w:cs="Segoe UI"/>
          <w:szCs w:val="22"/>
        </w:rPr>
        <w:fldChar w:fldCharType="end"/>
      </w:r>
      <w:r w:rsidRPr="00EA17ED">
        <w:rPr>
          <w:rFonts w:cs="Segoe UI"/>
          <w:szCs w:val="22"/>
        </w:rPr>
        <w:t xml:space="preserve"> </w:t>
      </w:r>
      <w:r w:rsidRPr="00EA17ED">
        <w:rPr>
          <w:rFonts w:cs="Segoe UI"/>
        </w:rPr>
        <w:t>shows the trend</w:t>
      </w:r>
      <w:r>
        <w:rPr>
          <w:rFonts w:cs="Segoe UI"/>
        </w:rPr>
        <w:t>s</w:t>
      </w:r>
      <w:r w:rsidRPr="00EA17ED">
        <w:rPr>
          <w:rFonts w:cs="Segoe UI"/>
        </w:rPr>
        <w:t xml:space="preserve"> in YLL rates for COPD for Māori and non-Māori by age group </w:t>
      </w:r>
      <w:r>
        <w:rPr>
          <w:rFonts w:cs="Segoe UI"/>
        </w:rPr>
        <w:t>in</w:t>
      </w:r>
      <w:r w:rsidRPr="00EA17ED">
        <w:rPr>
          <w:rFonts w:cs="Segoe UI"/>
        </w:rPr>
        <w:t xml:space="preserve"> 2021. There </w:t>
      </w:r>
      <w:r>
        <w:rPr>
          <w:rFonts w:cs="Segoe UI"/>
        </w:rPr>
        <w:t xml:space="preserve">was </w:t>
      </w:r>
      <w:r w:rsidRPr="00EA17ED">
        <w:rPr>
          <w:rFonts w:cs="Segoe UI"/>
        </w:rPr>
        <w:t xml:space="preserve">a gap between Māori and non-Māori </w:t>
      </w:r>
      <w:r>
        <w:rPr>
          <w:rFonts w:cs="Segoe UI"/>
        </w:rPr>
        <w:t xml:space="preserve">rates in most age groups; </w:t>
      </w:r>
      <w:r w:rsidRPr="00EA17ED">
        <w:rPr>
          <w:rFonts w:cs="Segoe UI"/>
        </w:rPr>
        <w:t xml:space="preserve">rates </w:t>
      </w:r>
      <w:r>
        <w:rPr>
          <w:rFonts w:cs="Segoe UI"/>
        </w:rPr>
        <w:t xml:space="preserve">were </w:t>
      </w:r>
      <w:r w:rsidRPr="00EA17ED">
        <w:rPr>
          <w:rFonts w:cs="Segoe UI"/>
        </w:rPr>
        <w:t xml:space="preserve">more than double </w:t>
      </w:r>
      <w:r>
        <w:rPr>
          <w:rFonts w:cs="Segoe UI"/>
        </w:rPr>
        <w:t>for Māori for those aged 50–84 years</w:t>
      </w:r>
      <w:r w:rsidRPr="00EA17ED">
        <w:rPr>
          <w:rFonts w:cs="Segoe UI"/>
        </w:rPr>
        <w:t>.</w:t>
      </w:r>
      <w:r w:rsidRPr="00EA17ED" w:rsidDel="00F8705A">
        <w:rPr>
          <w:rFonts w:cs="Segoe UI"/>
        </w:rPr>
        <w:t xml:space="preserve"> </w:t>
      </w:r>
    </w:p>
    <w:p w14:paraId="46B245F7" w14:textId="09F32346" w:rsidR="00BF0A3F" w:rsidRDefault="00BF0A3F" w:rsidP="0007695A">
      <w:pPr>
        <w:pStyle w:val="Figure"/>
      </w:pPr>
      <w:bookmarkStart w:id="203" w:name="_Ref200622424"/>
      <w:bookmarkStart w:id="204" w:name="_Toc215236590"/>
      <w:bookmarkStart w:id="205" w:name="_Toc216377225"/>
      <w:r>
        <w:lastRenderedPageBreak/>
        <w:t xml:space="preserve">Figure </w:t>
      </w:r>
      <w:r>
        <w:fldChar w:fldCharType="begin"/>
      </w:r>
      <w:r>
        <w:instrText xml:space="preserve"> SEQ Figure \* ARABIC </w:instrText>
      </w:r>
      <w:r>
        <w:fldChar w:fldCharType="separate"/>
      </w:r>
      <w:r w:rsidR="000E725A">
        <w:rPr>
          <w:noProof/>
        </w:rPr>
        <w:t>40</w:t>
      </w:r>
      <w:r>
        <w:fldChar w:fldCharType="end"/>
      </w:r>
      <w:bookmarkEnd w:id="203"/>
      <w:r>
        <w:t xml:space="preserve">: </w:t>
      </w:r>
      <w:r w:rsidRPr="00F345CB">
        <w:t xml:space="preserve">Chronic </w:t>
      </w:r>
      <w:r>
        <w:t>o</w:t>
      </w:r>
      <w:r w:rsidRPr="00F345CB">
        <w:t xml:space="preserve">bstructive </w:t>
      </w:r>
      <w:r>
        <w:t>p</w:t>
      </w:r>
      <w:r w:rsidRPr="00F345CB">
        <w:t xml:space="preserve">ulmonary </w:t>
      </w:r>
      <w:r>
        <w:t>d</w:t>
      </w:r>
      <w:r w:rsidRPr="00F345CB">
        <w:t xml:space="preserve">isease: Māori and non-Māori </w:t>
      </w:r>
      <w:r>
        <w:t xml:space="preserve">years of life lost </w:t>
      </w:r>
      <w:r w:rsidRPr="00F345CB">
        <w:t>rates by age group</w:t>
      </w:r>
      <w:r>
        <w:t xml:space="preserve">, </w:t>
      </w:r>
      <w:r w:rsidRPr="00F345CB">
        <w:t>2021</w:t>
      </w:r>
      <w:bookmarkEnd w:id="204"/>
      <w:bookmarkEnd w:id="205"/>
    </w:p>
    <w:p w14:paraId="4032F9CF" w14:textId="77777777" w:rsidR="00BF0A3F" w:rsidRDefault="00BF0A3F" w:rsidP="00BF0A3F">
      <w:pPr>
        <w:keepNext/>
        <w:rPr>
          <w:rFonts w:cs="Segoe UI"/>
        </w:rPr>
      </w:pPr>
      <w:r w:rsidRPr="00EA17ED">
        <w:rPr>
          <w:rFonts w:cs="Segoe UI"/>
          <w:noProof/>
        </w:rPr>
        <w:drawing>
          <wp:inline distT="0" distB="0" distL="0" distR="0" wp14:anchorId="30017887" wp14:editId="3B951010">
            <wp:extent cx="5143500" cy="2892794"/>
            <wp:effectExtent l="0" t="0" r="0" b="3175"/>
            <wp:docPr id="384290095" name="Picture 1" descr="The chart displays YYLL rates due to COPD by age group, comparing Māori and non-Māori in 2021.&#10;Māori have higher YLL rates than non-Māori across all age groups except 95+. The highest difference is observed in the 80-8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90095" name="Picture 1" descr="The chart displays YYLL rates due to COPD by age group, comparing Māori and non-Māori in 2021.&#10;Māori have higher YLL rates than non-Māori across all age groups except 95+. The highest difference is observed in the 80-84 age grou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51687" cy="2897399"/>
                    </a:xfrm>
                    <a:prstGeom prst="rect">
                      <a:avLst/>
                    </a:prstGeom>
                  </pic:spPr>
                </pic:pic>
              </a:graphicData>
            </a:graphic>
          </wp:inline>
        </w:drawing>
      </w:r>
    </w:p>
    <w:p w14:paraId="7EA6554F" w14:textId="77777777" w:rsidR="00BF0A3F" w:rsidRPr="0007695A" w:rsidRDefault="00BF0A3F" w:rsidP="0007695A">
      <w:pPr>
        <w:pStyle w:val="Note"/>
      </w:pPr>
      <w:r w:rsidRPr="0007695A">
        <w:t>Note: the bars indicate 95% uncertainty intervals</w:t>
      </w:r>
    </w:p>
    <w:p w14:paraId="02D11462" w14:textId="77777777" w:rsidR="0007695A" w:rsidRDefault="0007695A" w:rsidP="00BF0A3F">
      <w:pPr>
        <w:rPr>
          <w:rFonts w:cs="Segoe UI"/>
        </w:rPr>
      </w:pPr>
    </w:p>
    <w:p w14:paraId="4E23B31B" w14:textId="069C461C" w:rsidR="00BF0A3F" w:rsidRDefault="00BF0A3F" w:rsidP="00BF0A3F">
      <w:pPr>
        <w:rPr>
          <w:rFonts w:cs="Segoe UI"/>
        </w:rPr>
      </w:pPr>
      <w:r>
        <w:rPr>
          <w:rFonts w:cs="Segoe UI"/>
        </w:rPr>
        <w:t xml:space="preserve">The YLL rates for Māori with COPD varied little by gender, except in the 95+ year age group, where tāne had higher rates (see </w:t>
      </w:r>
      <w:r>
        <w:rPr>
          <w:rFonts w:cs="Segoe UI"/>
        </w:rPr>
        <w:fldChar w:fldCharType="begin"/>
      </w:r>
      <w:r>
        <w:rPr>
          <w:rFonts w:cs="Segoe UI"/>
        </w:rPr>
        <w:instrText xml:space="preserve"> REF _Ref202797236 \h </w:instrText>
      </w:r>
      <w:r>
        <w:rPr>
          <w:rFonts w:cs="Segoe UI"/>
        </w:rPr>
      </w:r>
      <w:r>
        <w:rPr>
          <w:rFonts w:cs="Segoe UI"/>
        </w:rPr>
        <w:fldChar w:fldCharType="separate"/>
      </w:r>
      <w:r w:rsidR="000E725A">
        <w:t xml:space="preserve">Figure </w:t>
      </w:r>
      <w:r w:rsidR="000E725A">
        <w:rPr>
          <w:noProof/>
        </w:rPr>
        <w:t>41</w:t>
      </w:r>
      <w:r>
        <w:rPr>
          <w:rFonts w:cs="Segoe UI"/>
        </w:rPr>
        <w:fldChar w:fldCharType="end"/>
      </w:r>
      <w:r>
        <w:rPr>
          <w:rFonts w:cs="Segoe UI"/>
        </w:rPr>
        <w:t>).</w:t>
      </w:r>
    </w:p>
    <w:p w14:paraId="00B5F20F" w14:textId="77777777" w:rsidR="0007695A" w:rsidRPr="00EA17ED" w:rsidRDefault="0007695A" w:rsidP="00BF0A3F">
      <w:pPr>
        <w:rPr>
          <w:rFonts w:cs="Segoe UI"/>
        </w:rPr>
      </w:pPr>
    </w:p>
    <w:p w14:paraId="4A9AF2F1" w14:textId="4CB2E051" w:rsidR="00BF0A3F" w:rsidRDefault="00BF0A3F" w:rsidP="0007695A">
      <w:pPr>
        <w:pStyle w:val="Figure"/>
      </w:pPr>
      <w:bookmarkStart w:id="206" w:name="_Ref202797236"/>
      <w:bookmarkStart w:id="207" w:name="_Toc215236591"/>
      <w:bookmarkStart w:id="208" w:name="_Toc216377226"/>
      <w:r>
        <w:t xml:space="preserve">Figure </w:t>
      </w:r>
      <w:r>
        <w:fldChar w:fldCharType="begin"/>
      </w:r>
      <w:r>
        <w:instrText xml:space="preserve"> SEQ Figure \* ARABIC </w:instrText>
      </w:r>
      <w:r>
        <w:fldChar w:fldCharType="separate"/>
      </w:r>
      <w:r w:rsidR="000E725A">
        <w:rPr>
          <w:noProof/>
        </w:rPr>
        <w:t>41</w:t>
      </w:r>
      <w:r>
        <w:fldChar w:fldCharType="end"/>
      </w:r>
      <w:bookmarkEnd w:id="206"/>
      <w:r>
        <w:t xml:space="preserve">: </w:t>
      </w:r>
      <w:r w:rsidRPr="00F43A88">
        <w:t xml:space="preserve">Chronic </w:t>
      </w:r>
      <w:r>
        <w:t>o</w:t>
      </w:r>
      <w:r w:rsidRPr="00F43A88">
        <w:t xml:space="preserve">bstructive </w:t>
      </w:r>
      <w:r>
        <w:t>p</w:t>
      </w:r>
      <w:r w:rsidRPr="00F43A88">
        <w:t xml:space="preserve">ulmonary </w:t>
      </w:r>
      <w:r>
        <w:t>d</w:t>
      </w:r>
      <w:r w:rsidRPr="00F43A88">
        <w:t xml:space="preserve">isease: tāne and wāhine Māori </w:t>
      </w:r>
      <w:r>
        <w:t xml:space="preserve">years of life lost </w:t>
      </w:r>
      <w:r w:rsidRPr="00F43A88">
        <w:t>rates by age group, 2021</w:t>
      </w:r>
      <w:bookmarkEnd w:id="207"/>
      <w:bookmarkEnd w:id="208"/>
    </w:p>
    <w:p w14:paraId="3566E31D" w14:textId="77777777" w:rsidR="00BF0A3F" w:rsidRDefault="00BF0A3F" w:rsidP="00BF0A3F">
      <w:pPr>
        <w:keepNext/>
      </w:pPr>
      <w:r>
        <w:rPr>
          <w:rFonts w:cs="Segoe UI"/>
          <w:noProof/>
          <w14:ligatures w14:val="standardContextual"/>
        </w:rPr>
        <w:drawing>
          <wp:inline distT="0" distB="0" distL="0" distR="0" wp14:anchorId="2C26E014" wp14:editId="72940781">
            <wp:extent cx="5105400" cy="2871365"/>
            <wp:effectExtent l="0" t="0" r="0" b="5715"/>
            <wp:docPr id="1599666283" name="Picture 2" descr="Bar chart displaying COPD YLL rates for tāne and wāhine Māori over 50 years old. The rates are similar for both genders across most age groups, but tāne have a significantly higher rate in the 95+ age group. Wāhine have higher rates in all age groups unde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6283" name="Picture 2" descr="Bar chart displaying COPD YLL rates for tāne and wāhine Māori over 50 years old. The rates are similar for both genders across most age groups, but tāne have a significantly higher rate in the 95+ age group. Wāhine have higher rates in all age groups under 8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09846" cy="2873865"/>
                    </a:xfrm>
                    <a:prstGeom prst="rect">
                      <a:avLst/>
                    </a:prstGeom>
                  </pic:spPr>
                </pic:pic>
              </a:graphicData>
            </a:graphic>
          </wp:inline>
        </w:drawing>
      </w:r>
    </w:p>
    <w:p w14:paraId="4723A806" w14:textId="77777777" w:rsidR="00BF0A3F" w:rsidRPr="0007695A" w:rsidRDefault="00BF0A3F" w:rsidP="0007695A">
      <w:pPr>
        <w:pStyle w:val="Note"/>
      </w:pPr>
      <w:r w:rsidRPr="0007695A">
        <w:t>Note: the bars indicate 95% uncertainty intervals</w:t>
      </w:r>
    </w:p>
    <w:p w14:paraId="3DF1DBE0" w14:textId="77777777" w:rsidR="00BF0A3F" w:rsidRPr="00EA17ED" w:rsidRDefault="00BF0A3F" w:rsidP="00BF0A3F">
      <w:pPr>
        <w:rPr>
          <w:rFonts w:cs="Segoe UI"/>
        </w:rPr>
      </w:pPr>
    </w:p>
    <w:p w14:paraId="028CF739" w14:textId="77777777" w:rsidR="00BF0A3F" w:rsidRPr="00EA17ED" w:rsidRDefault="00BF0A3F" w:rsidP="00BF0A3F">
      <w:pPr>
        <w:pStyle w:val="Heading2"/>
        <w:rPr>
          <w:rFonts w:cs="Segoe UI"/>
        </w:rPr>
      </w:pPr>
      <w:bookmarkStart w:id="209" w:name="_Toc187999538"/>
      <w:bookmarkStart w:id="210" w:name="_Toc215236538"/>
      <w:bookmarkStart w:id="211" w:name="_Toc216376566"/>
      <w:r w:rsidRPr="00EA17ED">
        <w:rPr>
          <w:rFonts w:cs="Segoe UI"/>
        </w:rPr>
        <w:lastRenderedPageBreak/>
        <w:t xml:space="preserve">Chronic </w:t>
      </w:r>
      <w:r>
        <w:rPr>
          <w:rFonts w:cs="Segoe UI"/>
        </w:rPr>
        <w:t>k</w:t>
      </w:r>
      <w:r w:rsidRPr="00EA17ED">
        <w:rPr>
          <w:rFonts w:cs="Segoe UI"/>
        </w:rPr>
        <w:t xml:space="preserve">idney </w:t>
      </w:r>
      <w:r>
        <w:rPr>
          <w:rFonts w:cs="Segoe UI"/>
        </w:rPr>
        <w:t>d</w:t>
      </w:r>
      <w:r w:rsidRPr="00EA17ED">
        <w:rPr>
          <w:rFonts w:cs="Segoe UI"/>
        </w:rPr>
        <w:t>isease</w:t>
      </w:r>
      <w:bookmarkEnd w:id="209"/>
      <w:bookmarkEnd w:id="210"/>
      <w:bookmarkEnd w:id="211"/>
    </w:p>
    <w:p w14:paraId="74F4E6D3" w14:textId="77777777" w:rsidR="00BF0A3F" w:rsidRDefault="00BF0A3F" w:rsidP="00BF0A3F">
      <w:pPr>
        <w:rPr>
          <w:rFonts w:cs="Segoe UI"/>
        </w:rPr>
      </w:pPr>
      <w:r w:rsidRPr="00EA17ED">
        <w:rPr>
          <w:rFonts w:cs="Segoe UI"/>
        </w:rPr>
        <w:t xml:space="preserve">Chronic kidney disease, also called chronic kidney failure, is a condition </w:t>
      </w:r>
      <w:r>
        <w:rPr>
          <w:rFonts w:cs="Segoe UI"/>
        </w:rPr>
        <w:t xml:space="preserve">in which </w:t>
      </w:r>
      <w:r w:rsidRPr="00EA17ED">
        <w:rPr>
          <w:rFonts w:cs="Segoe UI"/>
        </w:rPr>
        <w:t xml:space="preserve">the kidneys are </w:t>
      </w:r>
      <w:r>
        <w:rPr>
          <w:rFonts w:cs="Segoe UI"/>
        </w:rPr>
        <w:t xml:space="preserve">not working properly and are unlikely to get better; the disease affects how the kidneys </w:t>
      </w:r>
      <w:r w:rsidRPr="00EA17ED">
        <w:rPr>
          <w:rFonts w:cs="Segoe UI"/>
        </w:rPr>
        <w:t>filter blood</w:t>
      </w:r>
      <w:r>
        <w:rPr>
          <w:rFonts w:cs="Segoe UI"/>
        </w:rPr>
        <w:t>,</w:t>
      </w:r>
      <w:r w:rsidRPr="00EA17ED">
        <w:rPr>
          <w:rFonts w:cs="Segoe UI"/>
        </w:rPr>
        <w:t xml:space="preserve"> and </w:t>
      </w:r>
      <w:r>
        <w:rPr>
          <w:rFonts w:cs="Segoe UI"/>
        </w:rPr>
        <w:t>results in</w:t>
      </w:r>
      <w:r w:rsidRPr="00EA17ED">
        <w:rPr>
          <w:rFonts w:cs="Segoe UI"/>
        </w:rPr>
        <w:t xml:space="preserve"> a gradual loss of kidney function </w:t>
      </w:r>
      <w:r>
        <w:rPr>
          <w:rFonts w:cs="Segoe UI"/>
          <w:noProof/>
        </w:rPr>
        <w:t>(Health New Zealand 2024)</w:t>
      </w:r>
      <w:r w:rsidRPr="00EA17ED">
        <w:rPr>
          <w:rFonts w:cs="Segoe UI"/>
        </w:rPr>
        <w:t>.</w:t>
      </w:r>
      <w:r>
        <w:rPr>
          <w:rFonts w:cs="Segoe UI"/>
        </w:rPr>
        <w:t xml:space="preserve"> Having CKD is a risk factor for developing high blood pressure and cardiovascular disease.</w:t>
      </w:r>
    </w:p>
    <w:p w14:paraId="2947A59B" w14:textId="77777777" w:rsidR="0007695A" w:rsidRDefault="0007695A" w:rsidP="00BF0A3F">
      <w:pPr>
        <w:rPr>
          <w:rFonts w:cs="Segoe UI"/>
        </w:rPr>
      </w:pPr>
    </w:p>
    <w:p w14:paraId="7248116E" w14:textId="77777777" w:rsidR="00BF0A3F" w:rsidRDefault="00BF0A3F" w:rsidP="00BF0A3F">
      <w:pPr>
        <w:rPr>
          <w:rFonts w:cs="Segoe UI"/>
        </w:rPr>
      </w:pPr>
      <w:r w:rsidRPr="00EA17ED">
        <w:rPr>
          <w:rFonts w:cs="Segoe UI"/>
        </w:rPr>
        <w:t>There was a significant increase in YLL due to CKD in 2000 for both tāne and wāhine Māori</w:t>
      </w:r>
      <w:r>
        <w:rPr>
          <w:rFonts w:cs="Segoe UI"/>
        </w:rPr>
        <w:t>, and a</w:t>
      </w:r>
      <w:r w:rsidRPr="00EA17ED">
        <w:rPr>
          <w:rFonts w:cs="Segoe UI"/>
        </w:rPr>
        <w:t xml:space="preserve"> sharp decrease in 2016.</w:t>
      </w:r>
      <w:r w:rsidRPr="00EA17ED" w:rsidDel="00F8705A">
        <w:rPr>
          <w:rFonts w:cs="Segoe UI"/>
        </w:rPr>
        <w:t xml:space="preserve"> </w:t>
      </w:r>
      <w:r w:rsidRPr="00EA17ED">
        <w:rPr>
          <w:rFonts w:cs="Segoe UI"/>
        </w:rPr>
        <w:t xml:space="preserve">These </w:t>
      </w:r>
      <w:r>
        <w:rPr>
          <w:rFonts w:cs="Segoe UI"/>
        </w:rPr>
        <w:t xml:space="preserve">sharp </w:t>
      </w:r>
      <w:r w:rsidRPr="00EA17ED">
        <w:rPr>
          <w:rFonts w:cs="Segoe UI"/>
        </w:rPr>
        <w:t xml:space="preserve">fluctuations are likely due to changes in coding practices between </w:t>
      </w:r>
      <w:r>
        <w:rPr>
          <w:rFonts w:cs="Segoe UI"/>
        </w:rPr>
        <w:t xml:space="preserve">CKD </w:t>
      </w:r>
      <w:r w:rsidRPr="00EA17ED">
        <w:rPr>
          <w:rFonts w:cs="Segoe UI"/>
        </w:rPr>
        <w:t xml:space="preserve">and diabetes when </w:t>
      </w:r>
      <w:r>
        <w:rPr>
          <w:rFonts w:cs="Segoe UI"/>
        </w:rPr>
        <w:t xml:space="preserve">the </w:t>
      </w:r>
      <w:r w:rsidRPr="00EA17ED">
        <w:rPr>
          <w:rFonts w:cs="Segoe UI"/>
        </w:rPr>
        <w:t>International Classification of Disease</w:t>
      </w:r>
      <w:r>
        <w:rPr>
          <w:rFonts w:cs="Segoe UI"/>
        </w:rPr>
        <w:t xml:space="preserve">s (ICD) coding system transitioned </w:t>
      </w:r>
      <w:r w:rsidRPr="00EA17ED">
        <w:rPr>
          <w:rFonts w:cs="Segoe UI"/>
        </w:rPr>
        <w:t xml:space="preserve">from </w:t>
      </w:r>
      <w:r>
        <w:rPr>
          <w:rFonts w:cs="Segoe UI"/>
        </w:rPr>
        <w:t xml:space="preserve">ICD9 to ICD10 in 1999 and when </w:t>
      </w:r>
      <w:r w:rsidRPr="00EA17ED">
        <w:rPr>
          <w:rFonts w:cs="Segoe UI"/>
        </w:rPr>
        <w:t xml:space="preserve">mortality coding rules based on </w:t>
      </w:r>
      <w:r>
        <w:rPr>
          <w:rFonts w:cs="Segoe UI"/>
        </w:rPr>
        <w:t xml:space="preserve">the ICD </w:t>
      </w:r>
      <w:r w:rsidRPr="00EA17ED">
        <w:rPr>
          <w:rFonts w:cs="Segoe UI"/>
        </w:rPr>
        <w:t xml:space="preserve">Australian Modification (ICD10-AM) </w:t>
      </w:r>
      <w:r>
        <w:rPr>
          <w:rFonts w:cs="Segoe UI"/>
        </w:rPr>
        <w:t xml:space="preserve">changed </w:t>
      </w:r>
      <w:r w:rsidRPr="00EA17ED">
        <w:rPr>
          <w:rFonts w:cs="Segoe UI"/>
        </w:rPr>
        <w:t>to WHO mortality coding standards in 2016</w:t>
      </w:r>
      <w:r>
        <w:rPr>
          <w:rFonts w:cs="Segoe UI"/>
        </w:rPr>
        <w:t xml:space="preserve"> (Health New Zealand 2025a).</w:t>
      </w:r>
    </w:p>
    <w:p w14:paraId="51D1A591" w14:textId="77777777" w:rsidR="00BF0A3F" w:rsidRDefault="00BF0A3F" w:rsidP="00BF0A3F">
      <w:pPr>
        <w:rPr>
          <w:rFonts w:cs="Segoe UI"/>
        </w:rPr>
      </w:pPr>
    </w:p>
    <w:p w14:paraId="72C98836" w14:textId="666A04DC" w:rsidR="00BF0A3F" w:rsidRDefault="00BF0A3F" w:rsidP="00BF0A3F">
      <w:pPr>
        <w:rPr>
          <w:rFonts w:cs="Segoe UI"/>
        </w:rPr>
      </w:pPr>
      <w:r>
        <w:rPr>
          <w:rFonts w:cs="Segoe UI"/>
        </w:rPr>
        <w:t xml:space="preserve">The YLL rates for non-Māori with CKD did not change much between 1996 and 2021, but the rates for Māori increased by 17% over that time (see </w:t>
      </w:r>
      <w:r>
        <w:rPr>
          <w:rFonts w:cs="Segoe UI"/>
        </w:rPr>
        <w:fldChar w:fldCharType="begin"/>
      </w:r>
      <w:r>
        <w:rPr>
          <w:rFonts w:cs="Segoe UI"/>
        </w:rPr>
        <w:instrText xml:space="preserve"> REF _Ref200099902 \h </w:instrText>
      </w:r>
      <w:r>
        <w:rPr>
          <w:rFonts w:cs="Segoe UI"/>
        </w:rPr>
      </w:r>
      <w:r>
        <w:rPr>
          <w:rFonts w:cs="Segoe UI"/>
        </w:rPr>
        <w:fldChar w:fldCharType="separate"/>
      </w:r>
      <w:r w:rsidR="000E725A">
        <w:t xml:space="preserve">Figure </w:t>
      </w:r>
      <w:r w:rsidR="000E725A">
        <w:rPr>
          <w:noProof/>
        </w:rPr>
        <w:t>42</w:t>
      </w:r>
      <w:r>
        <w:rPr>
          <w:rFonts w:cs="Segoe UI"/>
        </w:rPr>
        <w:fldChar w:fldCharType="end"/>
      </w:r>
      <w:r>
        <w:rPr>
          <w:rFonts w:cs="Segoe UI"/>
        </w:rPr>
        <w:t xml:space="preserve">). </w:t>
      </w:r>
    </w:p>
    <w:p w14:paraId="39C48529" w14:textId="77777777" w:rsidR="0007695A" w:rsidRPr="00EA17ED" w:rsidRDefault="0007695A" w:rsidP="00BF0A3F">
      <w:pPr>
        <w:rPr>
          <w:rFonts w:cs="Segoe UI"/>
        </w:rPr>
      </w:pPr>
    </w:p>
    <w:p w14:paraId="387B65F8" w14:textId="4D53FC97" w:rsidR="00BF0A3F" w:rsidRDefault="00BF0A3F" w:rsidP="0007695A">
      <w:pPr>
        <w:pStyle w:val="Figure"/>
      </w:pPr>
      <w:bookmarkStart w:id="212" w:name="_Ref200099902"/>
      <w:bookmarkStart w:id="213" w:name="_Toc215236592"/>
      <w:bookmarkStart w:id="214" w:name="_Toc216377227"/>
      <w:r>
        <w:t xml:space="preserve">Figure </w:t>
      </w:r>
      <w:r>
        <w:fldChar w:fldCharType="begin"/>
      </w:r>
      <w:r>
        <w:instrText xml:space="preserve"> SEQ Figure \* ARABIC </w:instrText>
      </w:r>
      <w:r>
        <w:fldChar w:fldCharType="separate"/>
      </w:r>
      <w:r w:rsidR="000E725A">
        <w:rPr>
          <w:noProof/>
        </w:rPr>
        <w:t>42</w:t>
      </w:r>
      <w:r>
        <w:fldChar w:fldCharType="end"/>
      </w:r>
      <w:bookmarkEnd w:id="212"/>
      <w:r>
        <w:t xml:space="preserve">: </w:t>
      </w:r>
      <w:r w:rsidRPr="00E602A8">
        <w:t xml:space="preserve">Chronic </w:t>
      </w:r>
      <w:r>
        <w:t>k</w:t>
      </w:r>
      <w:r w:rsidRPr="00E602A8">
        <w:t xml:space="preserve">idney </w:t>
      </w:r>
      <w:r>
        <w:t>d</w:t>
      </w:r>
      <w:r w:rsidRPr="00E602A8">
        <w:t xml:space="preserve">isease: Māori and non-Māori age-standardised </w:t>
      </w:r>
      <w:r>
        <w:t xml:space="preserve">years of life lost </w:t>
      </w:r>
      <w:r w:rsidRPr="00E602A8">
        <w:t>rates</w:t>
      </w:r>
      <w:r>
        <w:t xml:space="preserve">, </w:t>
      </w:r>
      <w:r w:rsidRPr="00E602A8">
        <w:t>1996</w:t>
      </w:r>
      <w:r>
        <w:t>–</w:t>
      </w:r>
      <w:r w:rsidRPr="00E602A8">
        <w:t>2021</w:t>
      </w:r>
      <w:bookmarkEnd w:id="213"/>
      <w:bookmarkEnd w:id="214"/>
    </w:p>
    <w:p w14:paraId="7103B9BA" w14:textId="77777777" w:rsidR="00BF0A3F" w:rsidRDefault="00BF0A3F" w:rsidP="00BF0A3F">
      <w:pPr>
        <w:keepNext/>
      </w:pPr>
      <w:r>
        <w:rPr>
          <w:rFonts w:cs="Segoe UI"/>
          <w:noProof/>
          <w14:ligatures w14:val="standardContextual"/>
        </w:rPr>
        <w:drawing>
          <wp:inline distT="0" distB="0" distL="0" distR="0" wp14:anchorId="4716FC2E" wp14:editId="0437FA90">
            <wp:extent cx="4876800" cy="2742796"/>
            <wp:effectExtent l="0" t="0" r="0" b="635"/>
            <wp:docPr id="565830762" name="Picture 3" descr="Line chart showing age-standardised YLL rates for CKD comparing Māori and non-Māori between 1996 and 2021. Māori rates increased sharply in 2000. Non-Māori rates remained relatively s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30762" name="Picture 3" descr="Line chart showing age-standardised YLL rates for CKD comparing Māori and non-Māori between 1996 and 2021. Māori rates increased sharply in 2000. Non-Māori rates remained relatively stable.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83907" cy="2746793"/>
                    </a:xfrm>
                    <a:prstGeom prst="rect">
                      <a:avLst/>
                    </a:prstGeom>
                  </pic:spPr>
                </pic:pic>
              </a:graphicData>
            </a:graphic>
          </wp:inline>
        </w:drawing>
      </w:r>
    </w:p>
    <w:p w14:paraId="36F8FE38" w14:textId="77777777" w:rsidR="00BF0A3F" w:rsidRPr="0007695A" w:rsidRDefault="00BF0A3F" w:rsidP="0007695A">
      <w:pPr>
        <w:pStyle w:val="Note"/>
      </w:pPr>
      <w:r w:rsidRPr="0007695A">
        <w:t>Note: the shaded areas indicate 95% uncertainty intervals</w:t>
      </w:r>
    </w:p>
    <w:p w14:paraId="093D88AF" w14:textId="77777777" w:rsidR="00BF0A3F" w:rsidRDefault="00BF0A3F" w:rsidP="00BF0A3F">
      <w:pPr>
        <w:keepNext/>
      </w:pPr>
    </w:p>
    <w:p w14:paraId="18B148FD" w14:textId="65493702" w:rsidR="00BF0A3F" w:rsidRDefault="00BF0A3F" w:rsidP="00BF0A3F">
      <w:pPr>
        <w:rPr>
          <w:rFonts w:cs="Segoe UI"/>
        </w:rPr>
      </w:pPr>
      <w:r>
        <w:rPr>
          <w:rFonts w:cs="Segoe UI"/>
        </w:rPr>
        <w:t xml:space="preserve">The rate ratio for Māori with CKD was consistently at least four times that of non-Māori in the years to 2021 (see </w:t>
      </w:r>
      <w:r>
        <w:rPr>
          <w:rFonts w:cs="Segoe UI"/>
        </w:rPr>
        <w:fldChar w:fldCharType="begin"/>
      </w:r>
      <w:r>
        <w:rPr>
          <w:rFonts w:cs="Segoe UI"/>
        </w:rPr>
        <w:instrText xml:space="preserve"> REF _Ref200100028 \h </w:instrText>
      </w:r>
      <w:r>
        <w:rPr>
          <w:rFonts w:cs="Segoe UI"/>
        </w:rPr>
      </w:r>
      <w:r>
        <w:rPr>
          <w:rFonts w:cs="Segoe UI"/>
        </w:rPr>
        <w:fldChar w:fldCharType="separate"/>
      </w:r>
      <w:r w:rsidR="000E725A">
        <w:t xml:space="preserve">Figure </w:t>
      </w:r>
      <w:r w:rsidR="000E725A">
        <w:rPr>
          <w:noProof/>
        </w:rPr>
        <w:t>43</w:t>
      </w:r>
      <w:r>
        <w:rPr>
          <w:rFonts w:cs="Segoe UI"/>
        </w:rPr>
        <w:fldChar w:fldCharType="end"/>
      </w:r>
      <w:r>
        <w:rPr>
          <w:rFonts w:cs="Segoe UI"/>
        </w:rPr>
        <w:t>), peaking between 2000 and 2006. There was a gradual decline after that peak, between 2006 and 2021.</w:t>
      </w:r>
    </w:p>
    <w:p w14:paraId="6449DA37" w14:textId="7BB55DB0" w:rsidR="00BF0A3F" w:rsidRDefault="00BF0A3F" w:rsidP="0007695A">
      <w:pPr>
        <w:pStyle w:val="Figure"/>
      </w:pPr>
      <w:bookmarkStart w:id="215" w:name="_Ref200100028"/>
      <w:bookmarkStart w:id="216" w:name="_Toc215236593"/>
      <w:bookmarkStart w:id="217" w:name="_Toc216377228"/>
      <w:r>
        <w:lastRenderedPageBreak/>
        <w:t xml:space="preserve">Figure </w:t>
      </w:r>
      <w:r>
        <w:fldChar w:fldCharType="begin"/>
      </w:r>
      <w:r>
        <w:instrText xml:space="preserve"> SEQ Figure \* ARABIC </w:instrText>
      </w:r>
      <w:r>
        <w:fldChar w:fldCharType="separate"/>
      </w:r>
      <w:r w:rsidR="000E725A">
        <w:rPr>
          <w:noProof/>
        </w:rPr>
        <w:t>43</w:t>
      </w:r>
      <w:r>
        <w:fldChar w:fldCharType="end"/>
      </w:r>
      <w:bookmarkEnd w:id="215"/>
      <w:r>
        <w:t xml:space="preserve">: </w:t>
      </w:r>
      <w:r w:rsidRPr="00D5726C">
        <w:t xml:space="preserve">Chronic </w:t>
      </w:r>
      <w:r>
        <w:t>k</w:t>
      </w:r>
      <w:r w:rsidRPr="00D5726C">
        <w:t xml:space="preserve">idney </w:t>
      </w:r>
      <w:r>
        <w:t>d</w:t>
      </w:r>
      <w:r w:rsidRPr="00D5726C">
        <w:t xml:space="preserve">isease: Māori/non-Māori age-standardised </w:t>
      </w:r>
      <w:r>
        <w:t xml:space="preserve">years of life lost </w:t>
      </w:r>
      <w:r w:rsidRPr="00D5726C">
        <w:t>rate</w:t>
      </w:r>
      <w:r>
        <w:t xml:space="preserve"> ratios</w:t>
      </w:r>
      <w:r w:rsidRPr="00D5726C">
        <w:t>, 1996</w:t>
      </w:r>
      <w:r>
        <w:t>–</w:t>
      </w:r>
      <w:r w:rsidRPr="00D5726C">
        <w:t>2021</w:t>
      </w:r>
      <w:bookmarkEnd w:id="216"/>
      <w:bookmarkEnd w:id="217"/>
    </w:p>
    <w:p w14:paraId="004554B0" w14:textId="77777777" w:rsidR="00BF0A3F" w:rsidRDefault="00BF0A3F" w:rsidP="00BF0A3F">
      <w:pPr>
        <w:keepNext/>
      </w:pPr>
      <w:r>
        <w:rPr>
          <w:rFonts w:cs="Segoe UI"/>
          <w:noProof/>
          <w14:ligatures w14:val="standardContextual"/>
        </w:rPr>
        <w:drawing>
          <wp:inline distT="0" distB="0" distL="0" distR="0" wp14:anchorId="2CDBF1EC" wp14:editId="79CB3833">
            <wp:extent cx="5135880" cy="2566808"/>
            <wp:effectExtent l="0" t="0" r="7620" b="5080"/>
            <wp:docPr id="1620788434" name="Picture 4" descr="Line graph showing the Māori/non-Māori age-standardised YLL rate ratio for CKD from 1996 to 2021. The rate ratio is consistently above 4. It peaks between 2000 and 2006, then gradually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88434" name="Picture 4" descr="Line graph showing the Māori/non-Māori age-standardised YLL rate ratio for CKD from 1996 to 2021. The rate ratio is consistently above 4. It peaks between 2000 and 2006, then gradually decline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39194" cy="2568464"/>
                    </a:xfrm>
                    <a:prstGeom prst="rect">
                      <a:avLst/>
                    </a:prstGeom>
                  </pic:spPr>
                </pic:pic>
              </a:graphicData>
            </a:graphic>
          </wp:inline>
        </w:drawing>
      </w:r>
    </w:p>
    <w:p w14:paraId="7ECE9C35" w14:textId="77777777" w:rsidR="00BF0A3F" w:rsidRPr="0007695A" w:rsidRDefault="00BF0A3F" w:rsidP="0007695A">
      <w:pPr>
        <w:pStyle w:val="Note"/>
      </w:pPr>
      <w:r w:rsidRPr="0007695A">
        <w:t>Note: the shaded area indicates 95% uncertainty interval</w:t>
      </w:r>
    </w:p>
    <w:p w14:paraId="60BC4645" w14:textId="77777777" w:rsidR="0007695A" w:rsidRDefault="0007695A" w:rsidP="00BF0A3F">
      <w:pPr>
        <w:rPr>
          <w:rFonts w:cs="Segoe UI"/>
        </w:rPr>
      </w:pPr>
    </w:p>
    <w:p w14:paraId="574B86E7" w14:textId="59AB2739" w:rsidR="00BF0A3F" w:rsidRDefault="00BF0A3F" w:rsidP="00BF0A3F">
      <w:pPr>
        <w:rPr>
          <w:rFonts w:cs="Segoe UI"/>
        </w:rPr>
      </w:pPr>
      <w:r>
        <w:rPr>
          <w:rFonts w:cs="Segoe UI"/>
        </w:rPr>
        <w:fldChar w:fldCharType="begin"/>
      </w:r>
      <w:r>
        <w:rPr>
          <w:rFonts w:cs="Segoe UI"/>
        </w:rPr>
        <w:instrText xml:space="preserve"> REF _Ref200622797 \h </w:instrText>
      </w:r>
      <w:r>
        <w:rPr>
          <w:rFonts w:cs="Segoe UI"/>
        </w:rPr>
      </w:r>
      <w:r>
        <w:rPr>
          <w:rFonts w:cs="Segoe UI"/>
        </w:rPr>
        <w:fldChar w:fldCharType="separate"/>
      </w:r>
      <w:r w:rsidR="000E725A">
        <w:t xml:space="preserve">Figure </w:t>
      </w:r>
      <w:r w:rsidR="000E725A">
        <w:rPr>
          <w:noProof/>
        </w:rPr>
        <w:t>44</w:t>
      </w:r>
      <w:r>
        <w:rPr>
          <w:rFonts w:cs="Segoe UI"/>
        </w:rPr>
        <w:fldChar w:fldCharType="end"/>
      </w:r>
      <w:r w:rsidRPr="00EA17ED">
        <w:rPr>
          <w:rFonts w:cs="Segoe UI"/>
        </w:rPr>
        <w:t xml:space="preserve"> shows YLL rates for CKD by age group for Māori and non-Māori </w:t>
      </w:r>
      <w:r>
        <w:rPr>
          <w:rFonts w:cs="Segoe UI"/>
        </w:rPr>
        <w:t>in</w:t>
      </w:r>
      <w:r w:rsidRPr="00EA17ED">
        <w:rPr>
          <w:rFonts w:cs="Segoe UI"/>
        </w:rPr>
        <w:t xml:space="preserve"> 2021.</w:t>
      </w:r>
      <w:r w:rsidRPr="00EA17ED" w:rsidDel="00F8705A">
        <w:rPr>
          <w:rFonts w:cs="Segoe UI"/>
        </w:rPr>
        <w:t xml:space="preserve"> </w:t>
      </w:r>
      <w:r>
        <w:rPr>
          <w:rFonts w:cs="Segoe UI"/>
        </w:rPr>
        <w:t xml:space="preserve">Rates were </w:t>
      </w:r>
      <w:r w:rsidRPr="00EA17ED">
        <w:rPr>
          <w:rFonts w:cs="Segoe UI"/>
        </w:rPr>
        <w:t>consistently higher among Māori compared to non-Māori.</w:t>
      </w:r>
      <w:r w:rsidRPr="00EA17ED" w:rsidDel="00F8705A">
        <w:rPr>
          <w:rFonts w:cs="Segoe UI"/>
        </w:rPr>
        <w:t xml:space="preserve"> </w:t>
      </w:r>
    </w:p>
    <w:p w14:paraId="15A0E964" w14:textId="77777777" w:rsidR="0007695A" w:rsidRPr="00EA17ED" w:rsidRDefault="0007695A" w:rsidP="00BF0A3F">
      <w:pPr>
        <w:rPr>
          <w:rFonts w:cs="Segoe UI"/>
        </w:rPr>
      </w:pPr>
    </w:p>
    <w:p w14:paraId="0783387E" w14:textId="291FEFE1" w:rsidR="00BF0A3F" w:rsidRDefault="00BF0A3F" w:rsidP="0007695A">
      <w:pPr>
        <w:pStyle w:val="Figure"/>
      </w:pPr>
      <w:bookmarkStart w:id="218" w:name="_Ref200622797"/>
      <w:bookmarkStart w:id="219" w:name="_Toc215236594"/>
      <w:bookmarkStart w:id="220" w:name="_Toc216377229"/>
      <w:r>
        <w:t xml:space="preserve">Figure </w:t>
      </w:r>
      <w:r>
        <w:fldChar w:fldCharType="begin"/>
      </w:r>
      <w:r>
        <w:instrText xml:space="preserve"> SEQ Figure \* ARABIC </w:instrText>
      </w:r>
      <w:r>
        <w:fldChar w:fldCharType="separate"/>
      </w:r>
      <w:r w:rsidR="000E725A">
        <w:rPr>
          <w:noProof/>
        </w:rPr>
        <w:t>44</w:t>
      </w:r>
      <w:r>
        <w:fldChar w:fldCharType="end"/>
      </w:r>
      <w:bookmarkEnd w:id="218"/>
      <w:r>
        <w:t xml:space="preserve">: </w:t>
      </w:r>
      <w:r w:rsidRPr="006623E6">
        <w:t xml:space="preserve">Chronic </w:t>
      </w:r>
      <w:r>
        <w:t>k</w:t>
      </w:r>
      <w:r w:rsidRPr="006623E6">
        <w:t xml:space="preserve">idney </w:t>
      </w:r>
      <w:r>
        <w:t>d</w:t>
      </w:r>
      <w:r w:rsidRPr="006623E6">
        <w:t xml:space="preserve">isease: Māori and non-Māori </w:t>
      </w:r>
      <w:r>
        <w:t xml:space="preserve">years of life lost </w:t>
      </w:r>
      <w:r w:rsidRPr="006623E6">
        <w:t>rates by age group, 2021</w:t>
      </w:r>
      <w:bookmarkEnd w:id="219"/>
      <w:bookmarkEnd w:id="220"/>
    </w:p>
    <w:p w14:paraId="501AF4D1" w14:textId="77777777" w:rsidR="00BF0A3F" w:rsidRPr="00EA17ED" w:rsidRDefault="00BF0A3F" w:rsidP="00BF0A3F">
      <w:pPr>
        <w:keepNext/>
        <w:rPr>
          <w:rFonts w:cs="Segoe UI"/>
        </w:rPr>
      </w:pPr>
      <w:r w:rsidRPr="00EA17ED">
        <w:rPr>
          <w:rFonts w:cs="Segoe UI"/>
          <w:noProof/>
        </w:rPr>
        <w:drawing>
          <wp:inline distT="0" distB="0" distL="0" distR="0" wp14:anchorId="09A80D05" wp14:editId="177EE2B0">
            <wp:extent cx="5135880" cy="2888508"/>
            <wp:effectExtent l="0" t="0" r="7620" b="7620"/>
            <wp:docPr id="538849308" name="Picture 1" descr="Bar graph showing CKD YLL rates for Māori and non-Māori over 50 by age group in 2021. Māori have consistently higher YLL rates than non-Māori, especially between age 70 an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9308" name="Picture 1" descr="Bar graph showing CKD YLL rates for Māori and non-Māori over 50 by age group in 2021. Māori have consistently higher YLL rates than non-Māori, especially between age 70 and 8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42485" cy="2892223"/>
                    </a:xfrm>
                    <a:prstGeom prst="rect">
                      <a:avLst/>
                    </a:prstGeom>
                  </pic:spPr>
                </pic:pic>
              </a:graphicData>
            </a:graphic>
          </wp:inline>
        </w:drawing>
      </w:r>
    </w:p>
    <w:p w14:paraId="352ED4DC" w14:textId="77777777" w:rsidR="00BF0A3F" w:rsidRPr="0007695A" w:rsidRDefault="00BF0A3F" w:rsidP="0007695A">
      <w:pPr>
        <w:pStyle w:val="Note"/>
      </w:pPr>
      <w:r w:rsidRPr="0007695A">
        <w:t>Note: the bars indicate 95% uncertainty intervals</w:t>
      </w:r>
    </w:p>
    <w:p w14:paraId="60A8DB14" w14:textId="77777777" w:rsidR="00BF0A3F" w:rsidRPr="00EA17ED" w:rsidRDefault="00BF0A3F" w:rsidP="00BF0A3F">
      <w:pPr>
        <w:rPr>
          <w:rFonts w:cs="Segoe UI"/>
        </w:rPr>
      </w:pPr>
    </w:p>
    <w:p w14:paraId="48E98254" w14:textId="2E9EFFBD" w:rsidR="00BF0A3F" w:rsidRDefault="00BF0A3F" w:rsidP="00BF0A3F">
      <w:pPr>
        <w:rPr>
          <w:rFonts w:cs="Segoe UI"/>
        </w:rPr>
      </w:pPr>
      <w:r w:rsidRPr="3D799324">
        <w:rPr>
          <w:rFonts w:cs="Segoe UI"/>
        </w:rPr>
        <w:t xml:space="preserve">Tāne Māori consistently experienced higher age-standardised rates of YLL from CKD </w:t>
      </w:r>
      <w:r>
        <w:rPr>
          <w:rFonts w:cs="Segoe UI"/>
        </w:rPr>
        <w:t xml:space="preserve">than </w:t>
      </w:r>
      <w:r w:rsidRPr="3D799324">
        <w:rPr>
          <w:rFonts w:cs="Segoe UI"/>
        </w:rPr>
        <w:t>wāhine Māori</w:t>
      </w:r>
      <w:r>
        <w:rPr>
          <w:rFonts w:cs="Segoe UI"/>
        </w:rPr>
        <w:t xml:space="preserve"> between 1996 and 2021, but that disparity decreased over the last few years</w:t>
      </w:r>
      <w:r w:rsidRPr="3D799324">
        <w:rPr>
          <w:rFonts w:cs="Segoe UI"/>
        </w:rPr>
        <w:t xml:space="preserve"> </w:t>
      </w:r>
      <w:r>
        <w:rPr>
          <w:rFonts w:cs="Segoe UI"/>
        </w:rPr>
        <w:t xml:space="preserve">before 2021 </w:t>
      </w:r>
      <w:r w:rsidRPr="3D799324">
        <w:rPr>
          <w:rFonts w:cs="Segoe UI"/>
        </w:rPr>
        <w:t>(</w:t>
      </w:r>
      <w:r>
        <w:rPr>
          <w:rFonts w:cs="Segoe UI"/>
        </w:rPr>
        <w:t xml:space="preserve">see </w:t>
      </w:r>
      <w:r>
        <w:rPr>
          <w:rFonts w:cs="Segoe UI"/>
        </w:rPr>
        <w:fldChar w:fldCharType="begin"/>
      </w:r>
      <w:r>
        <w:rPr>
          <w:rFonts w:cs="Segoe UI"/>
        </w:rPr>
        <w:instrText xml:space="preserve"> REF _Ref200622814 \h </w:instrText>
      </w:r>
      <w:r>
        <w:rPr>
          <w:rFonts w:cs="Segoe UI"/>
        </w:rPr>
      </w:r>
      <w:r>
        <w:rPr>
          <w:rFonts w:cs="Segoe UI"/>
        </w:rPr>
        <w:fldChar w:fldCharType="separate"/>
      </w:r>
      <w:r w:rsidR="000E725A" w:rsidRPr="0007695A">
        <w:t xml:space="preserve">Figure </w:t>
      </w:r>
      <w:r w:rsidR="000E725A">
        <w:rPr>
          <w:noProof/>
        </w:rPr>
        <w:t>45</w:t>
      </w:r>
      <w:r>
        <w:rPr>
          <w:rFonts w:cs="Segoe UI"/>
        </w:rPr>
        <w:fldChar w:fldCharType="end"/>
      </w:r>
      <w:r w:rsidRPr="3D799324">
        <w:rPr>
          <w:rFonts w:cs="Segoe UI"/>
        </w:rPr>
        <w:t>).</w:t>
      </w:r>
      <w:r w:rsidDel="00F8705A">
        <w:rPr>
          <w:rFonts w:cs="Segoe UI"/>
          <w:sz w:val="20"/>
        </w:rPr>
        <w:t xml:space="preserve"> </w:t>
      </w:r>
    </w:p>
    <w:p w14:paraId="4139B837" w14:textId="714D9460" w:rsidR="00BF0A3F" w:rsidRPr="0007695A" w:rsidRDefault="00BF0A3F" w:rsidP="0007695A">
      <w:pPr>
        <w:pStyle w:val="Figure"/>
      </w:pPr>
      <w:bookmarkStart w:id="221" w:name="_Ref200622814"/>
      <w:bookmarkStart w:id="222" w:name="_Toc215236595"/>
      <w:bookmarkStart w:id="223" w:name="_Toc216377230"/>
      <w:r w:rsidRPr="0007695A">
        <w:lastRenderedPageBreak/>
        <w:t xml:space="preserve">Figure </w:t>
      </w:r>
      <w:r w:rsidRPr="0007695A">
        <w:fldChar w:fldCharType="begin"/>
      </w:r>
      <w:r w:rsidRPr="0007695A">
        <w:instrText xml:space="preserve"> SEQ Figure \* ARABIC </w:instrText>
      </w:r>
      <w:r w:rsidRPr="0007695A">
        <w:fldChar w:fldCharType="separate"/>
      </w:r>
      <w:r w:rsidR="000E725A">
        <w:rPr>
          <w:noProof/>
        </w:rPr>
        <w:t>45</w:t>
      </w:r>
      <w:r w:rsidRPr="0007695A">
        <w:fldChar w:fldCharType="end"/>
      </w:r>
      <w:bookmarkEnd w:id="221"/>
      <w:r w:rsidRPr="0007695A">
        <w:t>: Chronic kidney disease: tāne and wāhine Māori age-standardised years of life lost rates, 1996–2021</w:t>
      </w:r>
      <w:bookmarkEnd w:id="222"/>
      <w:bookmarkEnd w:id="223"/>
    </w:p>
    <w:p w14:paraId="5E5CFECE" w14:textId="77777777" w:rsidR="00BF0A3F" w:rsidRPr="00EA17ED" w:rsidRDefault="00BF0A3F" w:rsidP="00BF0A3F">
      <w:pPr>
        <w:keepNext/>
        <w:rPr>
          <w:rFonts w:cs="Segoe UI"/>
        </w:rPr>
      </w:pPr>
      <w:r w:rsidRPr="00EA17ED">
        <w:rPr>
          <w:rFonts w:cs="Segoe UI"/>
          <w:noProof/>
        </w:rPr>
        <w:drawing>
          <wp:inline distT="0" distB="0" distL="0" distR="0" wp14:anchorId="4A978863" wp14:editId="71D51B22">
            <wp:extent cx="4853940" cy="2729939"/>
            <wp:effectExtent l="0" t="0" r="3810" b="0"/>
            <wp:docPr id="1063091077" name="Picture 3" descr="Line graph showing CKD age-standardised YLL rates for Māori and non-Māori. Both lines increase sharply in 2000. Tāne Māori consistently have higher rates than wāhine Māori throughout the period, but the gap between genders has decreased since 2016, when the tāne rate decreased sharply while the wāhine rate has remained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91077" name="Picture 3" descr="Line graph showing CKD age-standardised YLL rates for Māori and non-Māori. Both lines increase sharply in 2000. Tāne Māori consistently have higher rates than wāhine Māori throughout the period, but the gap between genders has decreased since 2016, when the tāne rate decreased sharply while the wāhine rate has remained stabl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63968" cy="2735579"/>
                    </a:xfrm>
                    <a:prstGeom prst="rect">
                      <a:avLst/>
                    </a:prstGeom>
                  </pic:spPr>
                </pic:pic>
              </a:graphicData>
            </a:graphic>
          </wp:inline>
        </w:drawing>
      </w:r>
    </w:p>
    <w:p w14:paraId="30A80319" w14:textId="77777777" w:rsidR="00BF0A3F" w:rsidRPr="0007695A" w:rsidRDefault="00BF0A3F" w:rsidP="0007695A">
      <w:pPr>
        <w:pStyle w:val="Note"/>
      </w:pPr>
      <w:r w:rsidRPr="0007695A">
        <w:t>Note: the shaded areas indicate 95% uncertainty intervals</w:t>
      </w:r>
    </w:p>
    <w:p w14:paraId="388B9CE4" w14:textId="77777777" w:rsidR="00BF0A3F" w:rsidRPr="002A7A49" w:rsidRDefault="00BF0A3F" w:rsidP="00BF0A3F">
      <w:pPr>
        <w:keepNext/>
        <w:rPr>
          <w:rFonts w:asciiTheme="minorHAnsi" w:hAnsiTheme="minorHAnsi" w:cstheme="minorHAnsi"/>
        </w:rPr>
      </w:pPr>
    </w:p>
    <w:p w14:paraId="5F0EA341" w14:textId="552BBA05" w:rsidR="00BF0A3F" w:rsidRDefault="00BF0A3F" w:rsidP="00BF0A3F">
      <w:pPr>
        <w:rPr>
          <w:rFonts w:cs="Segoe UI"/>
          <w:szCs w:val="22"/>
        </w:rPr>
      </w:pPr>
      <w:r>
        <w:rPr>
          <w:rFonts w:cs="Segoe UI"/>
          <w:szCs w:val="22"/>
        </w:rPr>
        <w:fldChar w:fldCharType="begin"/>
      </w:r>
      <w:r>
        <w:rPr>
          <w:rFonts w:cs="Segoe UI"/>
          <w:szCs w:val="22"/>
        </w:rPr>
        <w:instrText xml:space="preserve"> REF _Ref200622831 \h </w:instrText>
      </w:r>
      <w:r>
        <w:rPr>
          <w:rFonts w:cs="Segoe UI"/>
          <w:szCs w:val="22"/>
        </w:rPr>
      </w:r>
      <w:r>
        <w:rPr>
          <w:rFonts w:cs="Segoe UI"/>
          <w:szCs w:val="22"/>
        </w:rPr>
        <w:fldChar w:fldCharType="separate"/>
      </w:r>
      <w:r w:rsidR="000E725A">
        <w:t xml:space="preserve">Figure </w:t>
      </w:r>
      <w:r w:rsidR="000E725A">
        <w:rPr>
          <w:noProof/>
        </w:rPr>
        <w:t>46</w:t>
      </w:r>
      <w:r>
        <w:rPr>
          <w:rFonts w:cs="Segoe UI"/>
          <w:szCs w:val="22"/>
        </w:rPr>
        <w:fldChar w:fldCharType="end"/>
      </w:r>
      <w:r w:rsidRPr="00EA17ED">
        <w:rPr>
          <w:rFonts w:cs="Segoe UI"/>
          <w:szCs w:val="22"/>
        </w:rPr>
        <w:t xml:space="preserve"> shows YLL</w:t>
      </w:r>
      <w:r>
        <w:rPr>
          <w:rFonts w:cs="Segoe UI"/>
          <w:szCs w:val="22"/>
        </w:rPr>
        <w:t xml:space="preserve"> rates</w:t>
      </w:r>
      <w:r w:rsidRPr="00EA17ED">
        <w:rPr>
          <w:rFonts w:cs="Segoe UI"/>
          <w:szCs w:val="22"/>
        </w:rPr>
        <w:t xml:space="preserve"> for </w:t>
      </w:r>
      <w:r>
        <w:rPr>
          <w:rFonts w:cs="Segoe UI"/>
          <w:szCs w:val="22"/>
        </w:rPr>
        <w:t xml:space="preserve">CKD </w:t>
      </w:r>
      <w:r w:rsidRPr="00EA17ED">
        <w:rPr>
          <w:rFonts w:cs="Segoe UI"/>
          <w:szCs w:val="22"/>
        </w:rPr>
        <w:t>by age for tāne and wāhine Māori in 2021.</w:t>
      </w:r>
      <w:r w:rsidRPr="00EA17ED" w:rsidDel="00F8705A">
        <w:rPr>
          <w:rFonts w:cs="Segoe UI"/>
          <w:szCs w:val="22"/>
        </w:rPr>
        <w:t xml:space="preserve"> </w:t>
      </w:r>
      <w:r>
        <w:rPr>
          <w:rFonts w:cs="Segoe UI"/>
          <w:szCs w:val="22"/>
        </w:rPr>
        <w:t>Rates of CKD increase with age for</w:t>
      </w:r>
      <w:r w:rsidRPr="00EA17ED" w:rsidDel="00F8705A">
        <w:rPr>
          <w:rFonts w:cs="Segoe UI"/>
          <w:szCs w:val="22"/>
        </w:rPr>
        <w:t xml:space="preserve"> </w:t>
      </w:r>
      <w:r>
        <w:rPr>
          <w:rFonts w:cs="Segoe UI"/>
          <w:szCs w:val="22"/>
        </w:rPr>
        <w:t>both tāne and wāhine Māori. Tāne have higher YLL rates, particularly in the older age groups, however the uncertainty intervals demonstrate that this is not statistically significant.</w:t>
      </w:r>
    </w:p>
    <w:p w14:paraId="643C2291" w14:textId="77777777" w:rsidR="0007695A" w:rsidRPr="00EA17ED" w:rsidRDefault="0007695A" w:rsidP="0007695A"/>
    <w:p w14:paraId="5C2477B5" w14:textId="40456805" w:rsidR="00BF0A3F" w:rsidRDefault="00BF0A3F" w:rsidP="0007695A">
      <w:pPr>
        <w:pStyle w:val="Figure"/>
      </w:pPr>
      <w:bookmarkStart w:id="224" w:name="_Ref200622831"/>
      <w:bookmarkStart w:id="225" w:name="_Toc215236596"/>
      <w:bookmarkStart w:id="226" w:name="_Toc216377231"/>
      <w:r>
        <w:t xml:space="preserve">Figure </w:t>
      </w:r>
      <w:r>
        <w:fldChar w:fldCharType="begin"/>
      </w:r>
      <w:r>
        <w:instrText xml:space="preserve"> SEQ Figure \* ARABIC </w:instrText>
      </w:r>
      <w:r>
        <w:fldChar w:fldCharType="separate"/>
      </w:r>
      <w:r w:rsidR="000E725A">
        <w:rPr>
          <w:noProof/>
        </w:rPr>
        <w:t>46</w:t>
      </w:r>
      <w:r>
        <w:fldChar w:fldCharType="end"/>
      </w:r>
      <w:bookmarkEnd w:id="224"/>
      <w:r>
        <w:t xml:space="preserve">: </w:t>
      </w:r>
      <w:r w:rsidRPr="00B65131">
        <w:t xml:space="preserve">Chronic </w:t>
      </w:r>
      <w:r>
        <w:t>k</w:t>
      </w:r>
      <w:r w:rsidRPr="00B65131">
        <w:t xml:space="preserve">idney </w:t>
      </w:r>
      <w:r>
        <w:t>d</w:t>
      </w:r>
      <w:r w:rsidRPr="00B65131">
        <w:t xml:space="preserve">isease: tāne and wāhine Māori </w:t>
      </w:r>
      <w:r>
        <w:t xml:space="preserve">years of life lost </w:t>
      </w:r>
      <w:r w:rsidRPr="00B65131">
        <w:t>rates by age group, 2021</w:t>
      </w:r>
      <w:bookmarkEnd w:id="225"/>
      <w:bookmarkEnd w:id="226"/>
    </w:p>
    <w:p w14:paraId="7E1132A4" w14:textId="77777777" w:rsidR="00BF0A3F" w:rsidRDefault="00BF0A3F" w:rsidP="00BF0A3F">
      <w:pPr>
        <w:keepNext/>
        <w:rPr>
          <w:rFonts w:cs="Segoe UI"/>
        </w:rPr>
      </w:pPr>
      <w:r w:rsidRPr="00EA17ED">
        <w:rPr>
          <w:rFonts w:cs="Segoe UI"/>
          <w:noProof/>
        </w:rPr>
        <w:drawing>
          <wp:inline distT="0" distB="0" distL="0" distR="0" wp14:anchorId="7A595733" wp14:editId="010682D0">
            <wp:extent cx="4853940" cy="2729940"/>
            <wp:effectExtent l="0" t="0" r="3810" b="0"/>
            <wp:docPr id="1234235349" name="Picture 1" descr="Bar graph showing CKD YLL rates for tāne and wāhine Māori in 2021. The rates increase with age. The highest rate is experienced by Tāne in the 95+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35349" name="Picture 1" descr="Bar graph showing CKD YLL rates for tāne and wāhine Māori in 2021. The rates increase with age. The highest rate is experienced by Tāne in the 95+ age grou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57174" cy="2731759"/>
                    </a:xfrm>
                    <a:prstGeom prst="rect">
                      <a:avLst/>
                    </a:prstGeom>
                  </pic:spPr>
                </pic:pic>
              </a:graphicData>
            </a:graphic>
          </wp:inline>
        </w:drawing>
      </w:r>
    </w:p>
    <w:p w14:paraId="74D0C040" w14:textId="77777777" w:rsidR="00BF0A3F" w:rsidRPr="0007695A" w:rsidRDefault="00BF0A3F" w:rsidP="0007695A">
      <w:pPr>
        <w:pStyle w:val="Note"/>
      </w:pPr>
      <w:r w:rsidRPr="0007695A">
        <w:t>Note: the bars indicate 95% uncertainty intervals</w:t>
      </w:r>
    </w:p>
    <w:p w14:paraId="076C4F10" w14:textId="77777777" w:rsidR="00BF0A3F" w:rsidRPr="00EA17ED" w:rsidRDefault="00BF0A3F" w:rsidP="00BF0A3F">
      <w:pPr>
        <w:rPr>
          <w:rFonts w:cs="Segoe UI"/>
        </w:rPr>
      </w:pPr>
    </w:p>
    <w:p w14:paraId="6121DD5F" w14:textId="77777777" w:rsidR="00BF0A3F" w:rsidRPr="00EA17ED" w:rsidRDefault="00BF0A3F" w:rsidP="00BF0A3F">
      <w:pPr>
        <w:pStyle w:val="Heading2"/>
        <w:rPr>
          <w:rFonts w:cs="Segoe UI"/>
        </w:rPr>
      </w:pPr>
      <w:bookmarkStart w:id="227" w:name="_Toc187999539"/>
      <w:bookmarkStart w:id="228" w:name="_Toc215236539"/>
      <w:bookmarkStart w:id="229" w:name="_Toc216376567"/>
      <w:r w:rsidRPr="00EA17ED">
        <w:rPr>
          <w:rFonts w:cs="Segoe UI"/>
        </w:rPr>
        <w:lastRenderedPageBreak/>
        <w:t>Stroke</w:t>
      </w:r>
      <w:bookmarkEnd w:id="227"/>
      <w:bookmarkEnd w:id="228"/>
      <w:bookmarkEnd w:id="229"/>
    </w:p>
    <w:p w14:paraId="6B366711" w14:textId="77777777" w:rsidR="00BF0A3F" w:rsidRDefault="00BF0A3F" w:rsidP="00BF0A3F">
      <w:pPr>
        <w:rPr>
          <w:rFonts w:cs="Segoe UI"/>
        </w:rPr>
      </w:pPr>
      <w:r w:rsidRPr="000340C7">
        <w:rPr>
          <w:rFonts w:cs="Segoe UI"/>
        </w:rPr>
        <w:t>A stroke is sudden loss of brain function due to interruption of blood flow or when a blood vessel bursts and damages brain cells.  Stroke is caused by either a blockage (usually a blood clot) that restricts the flow of blood to part of the brain, or when a blood vessel bursts and damages brain cells</w:t>
      </w:r>
      <w:r>
        <w:rPr>
          <w:rFonts w:cs="Segoe UI"/>
        </w:rPr>
        <w:t xml:space="preserve"> (Stroke Foundation of New Zealand 2025)</w:t>
      </w:r>
      <w:r w:rsidRPr="000340C7">
        <w:rPr>
          <w:rFonts w:cs="Segoe UI"/>
        </w:rPr>
        <w:t>.</w:t>
      </w:r>
      <w:r>
        <w:rPr>
          <w:rFonts w:cs="Segoe UI"/>
        </w:rPr>
        <w:t xml:space="preserve"> </w:t>
      </w:r>
      <w:r w:rsidRPr="00EA17ED">
        <w:rPr>
          <w:rFonts w:cs="Segoe UI"/>
        </w:rPr>
        <w:t xml:space="preserve">In 2021, stroke was the </w:t>
      </w:r>
      <w:r>
        <w:rPr>
          <w:rFonts w:cs="Segoe UI"/>
        </w:rPr>
        <w:t>sixth</w:t>
      </w:r>
      <w:r w:rsidRPr="00EA17ED">
        <w:rPr>
          <w:rFonts w:cs="Segoe UI"/>
        </w:rPr>
        <w:t xml:space="preserve"> leading cause for premature death among wāhine Māori and the ninth for tāne Māori</w:t>
      </w:r>
      <w:r>
        <w:rPr>
          <w:rFonts w:cs="Segoe UI"/>
        </w:rPr>
        <w:t>. For all Māori, it accounted for</w:t>
      </w:r>
      <w:r w:rsidRPr="00EA17ED">
        <w:rPr>
          <w:rFonts w:cs="Segoe UI"/>
        </w:rPr>
        <w:t xml:space="preserve"> 4% of total YLL. </w:t>
      </w:r>
    </w:p>
    <w:p w14:paraId="06429035" w14:textId="77777777" w:rsidR="0007695A" w:rsidRPr="00EA17ED" w:rsidRDefault="0007695A" w:rsidP="00BF0A3F">
      <w:pPr>
        <w:rPr>
          <w:rFonts w:cs="Segoe UI"/>
        </w:rPr>
      </w:pPr>
    </w:p>
    <w:p w14:paraId="211CE40C" w14:textId="4FAD1AB3" w:rsidR="00BF0A3F" w:rsidRDefault="00BF0A3F" w:rsidP="00BF0A3F">
      <w:r>
        <w:rPr>
          <w:rFonts w:cs="Segoe UI"/>
        </w:rPr>
        <w:fldChar w:fldCharType="begin"/>
      </w:r>
      <w:r>
        <w:instrText xml:space="preserve"> REF _Ref202797290 \h </w:instrText>
      </w:r>
      <w:r>
        <w:rPr>
          <w:rFonts w:cs="Segoe UI"/>
        </w:rPr>
      </w:r>
      <w:r>
        <w:rPr>
          <w:rFonts w:cs="Segoe UI"/>
        </w:rPr>
        <w:fldChar w:fldCharType="separate"/>
      </w:r>
      <w:r w:rsidR="000E725A">
        <w:t xml:space="preserve">Figure </w:t>
      </w:r>
      <w:r w:rsidR="000E725A">
        <w:rPr>
          <w:noProof/>
        </w:rPr>
        <w:t>47</w:t>
      </w:r>
      <w:r>
        <w:rPr>
          <w:rFonts w:cs="Segoe UI"/>
        </w:rPr>
        <w:fldChar w:fldCharType="end"/>
      </w:r>
      <w:r>
        <w:rPr>
          <w:rFonts w:cs="Segoe UI"/>
        </w:rPr>
        <w:t xml:space="preserve"> </w:t>
      </w:r>
      <w:r w:rsidRPr="00EA17ED">
        <w:t>compares age</w:t>
      </w:r>
      <w:r>
        <w:t>-</w:t>
      </w:r>
      <w:r w:rsidRPr="00EA17ED">
        <w:t xml:space="preserve">standardised YLL rates for stroke for Māori and non-Māori </w:t>
      </w:r>
      <w:r>
        <w:t xml:space="preserve">between </w:t>
      </w:r>
      <w:r w:rsidRPr="00EA17ED">
        <w:t xml:space="preserve">1996 </w:t>
      </w:r>
      <w:r>
        <w:t xml:space="preserve">and </w:t>
      </w:r>
      <w:r w:rsidRPr="00EA17ED">
        <w:t>2021. During this time</w:t>
      </w:r>
      <w:r>
        <w:t>,</w:t>
      </w:r>
      <w:r w:rsidRPr="00EA17ED">
        <w:t xml:space="preserve"> </w:t>
      </w:r>
      <w:r>
        <w:t xml:space="preserve">there was </w:t>
      </w:r>
      <w:r w:rsidRPr="00EA17ED">
        <w:t>a declining trend in premature death due to stroke, particularly among Māori. However, this downward trend slow</w:t>
      </w:r>
      <w:r>
        <w:t>ed</w:t>
      </w:r>
      <w:r w:rsidRPr="00EA17ED">
        <w:t xml:space="preserve"> down over the decade </w:t>
      </w:r>
      <w:r>
        <w:t xml:space="preserve">to 2021, </w:t>
      </w:r>
      <w:r w:rsidRPr="00EA17ED">
        <w:t>and the equity gap persist</w:t>
      </w:r>
      <w:r>
        <w:t>ed</w:t>
      </w:r>
      <w:r w:rsidRPr="00EA17ED">
        <w:t>.</w:t>
      </w:r>
      <w:r w:rsidRPr="00EA17ED" w:rsidDel="00F8705A">
        <w:t xml:space="preserve"> </w:t>
      </w:r>
      <w:r w:rsidRPr="00EA17ED">
        <w:t xml:space="preserve">Māori consistently </w:t>
      </w:r>
      <w:r>
        <w:t xml:space="preserve">had </w:t>
      </w:r>
      <w:r w:rsidRPr="00EA17ED">
        <w:t xml:space="preserve">YLL rates for stroke </w:t>
      </w:r>
      <w:r>
        <w:t xml:space="preserve">that were over 1.5 times greater than the rates for </w:t>
      </w:r>
      <w:r w:rsidRPr="00EA17ED">
        <w:t>non-Māori</w:t>
      </w:r>
      <w:r>
        <w:t xml:space="preserve"> (see </w:t>
      </w:r>
      <w:r>
        <w:fldChar w:fldCharType="begin"/>
      </w:r>
      <w:r>
        <w:instrText xml:space="preserve"> REF _Ref202797322 \h </w:instrText>
      </w:r>
      <w:r>
        <w:fldChar w:fldCharType="separate"/>
      </w:r>
      <w:r w:rsidR="000E725A">
        <w:t xml:space="preserve">Figure </w:t>
      </w:r>
      <w:r w:rsidR="000E725A">
        <w:rPr>
          <w:noProof/>
        </w:rPr>
        <w:t>48</w:t>
      </w:r>
      <w:r>
        <w:fldChar w:fldCharType="end"/>
      </w:r>
      <w:r>
        <w:t>)</w:t>
      </w:r>
      <w:r w:rsidRPr="00EA17ED">
        <w:t>.</w:t>
      </w:r>
      <w:r>
        <w:t xml:space="preserve"> </w:t>
      </w:r>
    </w:p>
    <w:p w14:paraId="706AB6EA" w14:textId="77777777" w:rsidR="000E74C8" w:rsidRPr="00EA17ED" w:rsidRDefault="000E74C8" w:rsidP="00BF0A3F"/>
    <w:p w14:paraId="6C657759" w14:textId="196A1231" w:rsidR="00BF0A3F" w:rsidRDefault="00BF0A3F" w:rsidP="0007695A">
      <w:pPr>
        <w:pStyle w:val="Figure"/>
      </w:pPr>
      <w:bookmarkStart w:id="230" w:name="_Ref202797290"/>
      <w:bookmarkStart w:id="231" w:name="_Toc215236597"/>
      <w:bookmarkStart w:id="232" w:name="_Toc216377232"/>
      <w:r>
        <w:t xml:space="preserve">Figure </w:t>
      </w:r>
      <w:r>
        <w:fldChar w:fldCharType="begin"/>
      </w:r>
      <w:r>
        <w:instrText xml:space="preserve"> SEQ Figure \* ARABIC </w:instrText>
      </w:r>
      <w:r>
        <w:fldChar w:fldCharType="separate"/>
      </w:r>
      <w:r w:rsidR="000E725A">
        <w:rPr>
          <w:noProof/>
        </w:rPr>
        <w:t>47</w:t>
      </w:r>
      <w:r>
        <w:fldChar w:fldCharType="end"/>
      </w:r>
      <w:bookmarkEnd w:id="230"/>
      <w:r>
        <w:t xml:space="preserve">: </w:t>
      </w:r>
      <w:r w:rsidRPr="00BB70E8">
        <w:t xml:space="preserve">Stroke: Māori and non-Māori age-standardised </w:t>
      </w:r>
      <w:r>
        <w:t xml:space="preserve">years of life lost </w:t>
      </w:r>
      <w:r w:rsidRPr="00BB70E8">
        <w:t>rates, 1996</w:t>
      </w:r>
      <w:r>
        <w:t>–</w:t>
      </w:r>
      <w:r w:rsidRPr="00BB70E8">
        <w:t>2021</w:t>
      </w:r>
      <w:bookmarkEnd w:id="231"/>
      <w:bookmarkEnd w:id="232"/>
    </w:p>
    <w:p w14:paraId="0BA08D1E" w14:textId="77777777" w:rsidR="00BF0A3F" w:rsidRDefault="00BF0A3F" w:rsidP="00BF0A3F">
      <w:pPr>
        <w:keepNext/>
        <w:spacing w:line="259" w:lineRule="auto"/>
      </w:pPr>
      <w:r w:rsidRPr="00EA17ED">
        <w:rPr>
          <w:noProof/>
          <w14:ligatures w14:val="standardContextual"/>
        </w:rPr>
        <w:drawing>
          <wp:inline distT="0" distB="0" distL="0" distR="0" wp14:anchorId="7115D29B" wp14:editId="5A36BD3C">
            <wp:extent cx="4907280" cy="2759939"/>
            <wp:effectExtent l="0" t="0" r="7620" b="2540"/>
            <wp:docPr id="2068869106" name="Picture 3" descr="Line graph showing the age-standardised YLL rates due to stroke for Māori and non-Māori. Both groups show a declining trend over time.&#10;Māori consistently have higher YLL rates than non-Māori throughout the period. The gap between the groups persis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69106" name="Picture 3" descr="Line graph showing the age-standardised YLL rates due to stroke for Māori and non-Māori. Both groups show a declining trend over time.&#10;Māori consistently have higher YLL rates than non-Māori throughout the period. The gap between the groups persist over ti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12629" cy="2762947"/>
                    </a:xfrm>
                    <a:prstGeom prst="rect">
                      <a:avLst/>
                    </a:prstGeom>
                  </pic:spPr>
                </pic:pic>
              </a:graphicData>
            </a:graphic>
          </wp:inline>
        </w:drawing>
      </w:r>
    </w:p>
    <w:p w14:paraId="29526E13" w14:textId="77777777" w:rsidR="00BF0A3F" w:rsidRPr="0007695A" w:rsidRDefault="00BF0A3F" w:rsidP="0007695A">
      <w:pPr>
        <w:pStyle w:val="Note"/>
      </w:pPr>
      <w:r w:rsidRPr="0007695A">
        <w:t>Note: the shaded areas indicate 95% uncertainty intervals</w:t>
      </w:r>
    </w:p>
    <w:p w14:paraId="1F579F51" w14:textId="1F86465F" w:rsidR="00BF0A3F" w:rsidRDefault="00BF0A3F" w:rsidP="0007695A">
      <w:pPr>
        <w:pStyle w:val="Figure"/>
      </w:pPr>
      <w:bookmarkStart w:id="233" w:name="_Ref202797322"/>
      <w:bookmarkStart w:id="234" w:name="_Toc215236598"/>
      <w:bookmarkStart w:id="235" w:name="_Toc216377233"/>
      <w:r>
        <w:lastRenderedPageBreak/>
        <w:t xml:space="preserve">Figure </w:t>
      </w:r>
      <w:r>
        <w:fldChar w:fldCharType="begin"/>
      </w:r>
      <w:r>
        <w:instrText xml:space="preserve"> SEQ Figure \* ARABIC </w:instrText>
      </w:r>
      <w:r>
        <w:fldChar w:fldCharType="separate"/>
      </w:r>
      <w:r w:rsidR="000E725A">
        <w:rPr>
          <w:noProof/>
        </w:rPr>
        <w:t>48</w:t>
      </w:r>
      <w:r>
        <w:fldChar w:fldCharType="end"/>
      </w:r>
      <w:bookmarkEnd w:id="233"/>
      <w:r>
        <w:t xml:space="preserve">: </w:t>
      </w:r>
      <w:r w:rsidRPr="0075623B">
        <w:t xml:space="preserve">Stroke: Māori/non-Māori age-standardised </w:t>
      </w:r>
      <w:r>
        <w:t xml:space="preserve">years of life lost </w:t>
      </w:r>
      <w:r w:rsidRPr="0075623B">
        <w:t>rate ratios, 1996–2021</w:t>
      </w:r>
      <w:bookmarkEnd w:id="234"/>
      <w:bookmarkEnd w:id="235"/>
    </w:p>
    <w:p w14:paraId="7F879BC5" w14:textId="77777777" w:rsidR="00BF0A3F" w:rsidRDefault="00BF0A3F" w:rsidP="00BF0A3F">
      <w:pPr>
        <w:keepNext/>
        <w:widowControl w:val="0"/>
        <w:spacing w:line="278" w:lineRule="auto"/>
      </w:pPr>
      <w:r w:rsidRPr="00EA17ED">
        <w:rPr>
          <w:rFonts w:cs="Segoe UI"/>
          <w:noProof/>
        </w:rPr>
        <w:drawing>
          <wp:inline distT="0" distB="0" distL="0" distR="0" wp14:anchorId="69AD22F5" wp14:editId="2BC5B17C">
            <wp:extent cx="4884420" cy="2441133"/>
            <wp:effectExtent l="0" t="0" r="0" b="0"/>
            <wp:docPr id="1532560591" name="Picture 1532560591" descr="Line graph showing the YLL rate ratio between Māori and non-Māori for stroke. The rate ratio hovers over 1.5 throughout the period, with minor fluc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60591" name="Picture 1532560591" descr="Line graph showing the YLL rate ratio between Māori and non-Māori for stroke. The rate ratio hovers over 1.5 throughout the period, with minor fluctuation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87318" cy="2442581"/>
                    </a:xfrm>
                    <a:prstGeom prst="rect">
                      <a:avLst/>
                    </a:prstGeom>
                  </pic:spPr>
                </pic:pic>
              </a:graphicData>
            </a:graphic>
          </wp:inline>
        </w:drawing>
      </w:r>
    </w:p>
    <w:p w14:paraId="106FE15C" w14:textId="77777777" w:rsidR="00BF0A3F" w:rsidRPr="0007695A" w:rsidRDefault="00BF0A3F" w:rsidP="0007695A">
      <w:pPr>
        <w:pStyle w:val="Note"/>
      </w:pPr>
      <w:r w:rsidRPr="0007695A">
        <w:t>Note: the shaded area indicates 95% uncertainty interval</w:t>
      </w:r>
    </w:p>
    <w:p w14:paraId="24BEF9BA" w14:textId="77777777" w:rsidR="0007695A" w:rsidRDefault="0007695A" w:rsidP="00BF0A3F">
      <w:pPr>
        <w:rPr>
          <w:rFonts w:cs="Segoe UI"/>
          <w:highlight w:val="yellow"/>
        </w:rPr>
      </w:pPr>
    </w:p>
    <w:p w14:paraId="2F254596" w14:textId="33438E40" w:rsidR="00BF0A3F" w:rsidRDefault="00BF0A3F" w:rsidP="00BF0A3F">
      <w:pPr>
        <w:rPr>
          <w:rFonts w:cs="Segoe UI"/>
        </w:rPr>
      </w:pPr>
      <w:r>
        <w:rPr>
          <w:rFonts w:cs="Segoe UI"/>
          <w:highlight w:val="yellow"/>
        </w:rPr>
        <w:fldChar w:fldCharType="begin"/>
      </w:r>
      <w:r>
        <w:rPr>
          <w:rFonts w:cs="Segoe UI"/>
        </w:rPr>
        <w:instrText xml:space="preserve"> REF _Ref198651401 \h </w:instrText>
      </w:r>
      <w:r>
        <w:rPr>
          <w:rFonts w:cs="Segoe UI"/>
          <w:highlight w:val="yellow"/>
        </w:rPr>
      </w:r>
      <w:r>
        <w:rPr>
          <w:rFonts w:cs="Segoe UI"/>
          <w:highlight w:val="yellow"/>
        </w:rPr>
        <w:fldChar w:fldCharType="separate"/>
      </w:r>
      <w:r w:rsidR="000E725A">
        <w:t xml:space="preserve">Figure </w:t>
      </w:r>
      <w:r w:rsidR="000E725A">
        <w:rPr>
          <w:noProof/>
        </w:rPr>
        <w:t>49</w:t>
      </w:r>
      <w:r>
        <w:rPr>
          <w:rFonts w:cs="Segoe UI"/>
          <w:highlight w:val="yellow"/>
        </w:rPr>
        <w:fldChar w:fldCharType="end"/>
      </w:r>
      <w:r w:rsidRPr="223D5628">
        <w:rPr>
          <w:rFonts w:cs="Segoe UI"/>
        </w:rPr>
        <w:t xml:space="preserve"> shows YLL rates for stroke by age group for Māori and non-Māori in 2021. Māori had higher rates of premature death due to </w:t>
      </w:r>
      <w:r>
        <w:rPr>
          <w:rFonts w:cs="Segoe UI"/>
        </w:rPr>
        <w:t>stroke</w:t>
      </w:r>
      <w:r w:rsidRPr="223D5628">
        <w:rPr>
          <w:rFonts w:cs="Segoe UI"/>
        </w:rPr>
        <w:t xml:space="preserve"> than non-Māori for every age group</w:t>
      </w:r>
      <w:r>
        <w:rPr>
          <w:rFonts w:cs="Segoe UI"/>
        </w:rPr>
        <w:t xml:space="preserve"> under 90</w:t>
      </w:r>
      <w:r w:rsidRPr="223D5628">
        <w:rPr>
          <w:rFonts w:cs="Segoe UI"/>
        </w:rPr>
        <w:t xml:space="preserve">. </w:t>
      </w:r>
    </w:p>
    <w:p w14:paraId="21E8120B" w14:textId="77777777" w:rsidR="0007695A" w:rsidRPr="00904F0A" w:rsidRDefault="0007695A" w:rsidP="00BF0A3F">
      <w:pPr>
        <w:rPr>
          <w:rFonts w:cs="Segoe UI"/>
        </w:rPr>
      </w:pPr>
    </w:p>
    <w:p w14:paraId="43EB6A0D" w14:textId="5EE01B56" w:rsidR="00BF0A3F" w:rsidRDefault="00BF0A3F" w:rsidP="0007695A">
      <w:pPr>
        <w:pStyle w:val="Figure"/>
      </w:pPr>
      <w:bookmarkStart w:id="236" w:name="_Ref198651401"/>
      <w:bookmarkStart w:id="237" w:name="_Toc215236599"/>
      <w:bookmarkStart w:id="238" w:name="_Toc216377234"/>
      <w:r>
        <w:t xml:space="preserve">Figure </w:t>
      </w:r>
      <w:r>
        <w:fldChar w:fldCharType="begin"/>
      </w:r>
      <w:r>
        <w:instrText xml:space="preserve"> SEQ Figure \* ARABIC </w:instrText>
      </w:r>
      <w:r>
        <w:fldChar w:fldCharType="separate"/>
      </w:r>
      <w:r w:rsidR="000E725A">
        <w:rPr>
          <w:noProof/>
        </w:rPr>
        <w:t>49</w:t>
      </w:r>
      <w:r>
        <w:fldChar w:fldCharType="end"/>
      </w:r>
      <w:bookmarkEnd w:id="236"/>
      <w:r>
        <w:t xml:space="preserve">: </w:t>
      </w:r>
      <w:r w:rsidRPr="00A65A68">
        <w:t xml:space="preserve">Stroke: Māori and non-Māori </w:t>
      </w:r>
      <w:r>
        <w:t xml:space="preserve">years of life lost </w:t>
      </w:r>
      <w:r w:rsidRPr="00A65A68">
        <w:t>rates by age group, 2021</w:t>
      </w:r>
      <w:bookmarkEnd w:id="237"/>
      <w:bookmarkEnd w:id="238"/>
    </w:p>
    <w:p w14:paraId="39505767" w14:textId="77777777" w:rsidR="00BF0A3F" w:rsidRDefault="00BF0A3F" w:rsidP="00BF0A3F">
      <w:pPr>
        <w:keepNext/>
        <w:widowControl w:val="0"/>
        <w:spacing w:line="278" w:lineRule="auto"/>
        <w:rPr>
          <w:rFonts w:cs="Segoe UI"/>
        </w:rPr>
      </w:pPr>
      <w:r w:rsidRPr="00EA17ED">
        <w:rPr>
          <w:rFonts w:cs="Segoe UI"/>
          <w:noProof/>
        </w:rPr>
        <w:drawing>
          <wp:inline distT="0" distB="0" distL="0" distR="0" wp14:anchorId="01F122A0" wp14:editId="0BE35878">
            <wp:extent cx="4877516" cy="2743200"/>
            <wp:effectExtent l="0" t="0" r="0" b="0"/>
            <wp:docPr id="2016119154" name="Picture 4" descr="Bar graph showing stroke YLL rates by age group for Māori and non-Māori over 40. Māori have higher YLL rates than non-Māori across all age groups under 90.&#10;The highest rate is observed in the 95+ age category for non-Māori, and in the 90-94 age group for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19154" name="Picture 4" descr="Bar graph showing stroke YLL rates by age group for Māori and non-Māori over 40. Māori have higher YLL rates than non-Māori across all age groups under 90.&#10;The highest rate is observed in the 95+ age category for non-Māori, and in the 90-94 age group for Māori."/>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80777" cy="2745034"/>
                    </a:xfrm>
                    <a:prstGeom prst="rect">
                      <a:avLst/>
                    </a:prstGeom>
                  </pic:spPr>
                </pic:pic>
              </a:graphicData>
            </a:graphic>
          </wp:inline>
        </w:drawing>
      </w:r>
    </w:p>
    <w:p w14:paraId="5A35ECB9" w14:textId="77777777" w:rsidR="00BF0A3F" w:rsidRPr="0007695A" w:rsidRDefault="00BF0A3F" w:rsidP="0007695A">
      <w:pPr>
        <w:pStyle w:val="Note"/>
      </w:pPr>
      <w:r w:rsidRPr="0007695A">
        <w:t>Note: the bars indicate 95% uncertainty intervals</w:t>
      </w:r>
    </w:p>
    <w:p w14:paraId="7D445258" w14:textId="77777777" w:rsidR="0007695A" w:rsidRDefault="0007695A" w:rsidP="00BF0A3F"/>
    <w:p w14:paraId="61C75B08" w14:textId="4665766A" w:rsidR="00BF0A3F" w:rsidRPr="006E4177" w:rsidRDefault="00BF0A3F" w:rsidP="00BF0A3F">
      <w:r>
        <w:t xml:space="preserve">There has been little difference in age-standardised YLL rates for stroke between tāne Māori and wāhine Māori over the past two decades (see </w:t>
      </w:r>
      <w:r>
        <w:fldChar w:fldCharType="begin"/>
      </w:r>
      <w:r>
        <w:instrText xml:space="preserve"> REF _Ref202797418 \h </w:instrText>
      </w:r>
      <w:r>
        <w:fldChar w:fldCharType="separate"/>
      </w:r>
      <w:r w:rsidR="000E725A">
        <w:t xml:space="preserve">Figure </w:t>
      </w:r>
      <w:r w:rsidR="000E725A">
        <w:rPr>
          <w:noProof/>
        </w:rPr>
        <w:t>50</w:t>
      </w:r>
      <w:r>
        <w:fldChar w:fldCharType="end"/>
      </w:r>
      <w:r>
        <w:t xml:space="preserve">). </w:t>
      </w:r>
    </w:p>
    <w:p w14:paraId="37FC3C57" w14:textId="77777777" w:rsidR="00BF0A3F" w:rsidRDefault="00BF0A3F" w:rsidP="00BF0A3F">
      <w:pPr>
        <w:rPr>
          <w:rFonts w:cs="Segoe UI"/>
          <w:szCs w:val="22"/>
        </w:rPr>
      </w:pPr>
    </w:p>
    <w:p w14:paraId="62A3A7CD" w14:textId="68CD7A76" w:rsidR="00BF0A3F" w:rsidRDefault="00BF0A3F" w:rsidP="0007695A">
      <w:pPr>
        <w:pStyle w:val="Figure"/>
      </w:pPr>
      <w:bookmarkStart w:id="239" w:name="_Ref202797418"/>
      <w:bookmarkStart w:id="240" w:name="_Toc215236600"/>
      <w:bookmarkStart w:id="241" w:name="_Toc216377235"/>
      <w:r>
        <w:lastRenderedPageBreak/>
        <w:t xml:space="preserve">Figure </w:t>
      </w:r>
      <w:r>
        <w:fldChar w:fldCharType="begin"/>
      </w:r>
      <w:r>
        <w:instrText xml:space="preserve"> SEQ Figure \* ARABIC </w:instrText>
      </w:r>
      <w:r>
        <w:fldChar w:fldCharType="separate"/>
      </w:r>
      <w:r w:rsidR="000E725A">
        <w:rPr>
          <w:noProof/>
        </w:rPr>
        <w:t>50</w:t>
      </w:r>
      <w:r>
        <w:fldChar w:fldCharType="end"/>
      </w:r>
      <w:bookmarkEnd w:id="239"/>
      <w:r>
        <w:t xml:space="preserve">: </w:t>
      </w:r>
      <w:r w:rsidRPr="00BE6BF1">
        <w:t xml:space="preserve">Stroke: tāne and wāhine Māori age-standardised </w:t>
      </w:r>
      <w:r>
        <w:t xml:space="preserve">years of life lost </w:t>
      </w:r>
      <w:r w:rsidRPr="00BE6BF1">
        <w:t>rates, 1996</w:t>
      </w:r>
      <w:r>
        <w:t>–</w:t>
      </w:r>
      <w:r w:rsidRPr="00BE6BF1">
        <w:t>2021</w:t>
      </w:r>
      <w:bookmarkEnd w:id="240"/>
      <w:bookmarkEnd w:id="241"/>
    </w:p>
    <w:p w14:paraId="3B694747" w14:textId="77777777" w:rsidR="00BF0A3F" w:rsidRDefault="00BF0A3F" w:rsidP="00BF0A3F">
      <w:pPr>
        <w:keepNext/>
      </w:pPr>
      <w:r>
        <w:rPr>
          <w:rFonts w:cs="Segoe UI"/>
          <w:noProof/>
          <w:szCs w:val="22"/>
          <w14:ligatures w14:val="standardContextual"/>
        </w:rPr>
        <w:drawing>
          <wp:inline distT="0" distB="0" distL="0" distR="0" wp14:anchorId="54222A27" wp14:editId="4555E948">
            <wp:extent cx="5114925" cy="2876723"/>
            <wp:effectExtent l="0" t="0" r="0" b="0"/>
            <wp:docPr id="1763615290" name="Picture 7" descr="Line graph comparing age-standardised rates of YLL due to stroke for tāne and wāhine Māori. Both lines decreased significantly between 1996 and 2008. The rates for wāhine are higher but the confidence intervals generally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15290" name="Picture 7" descr="Line graph comparing age-standardised rates of YLL due to stroke for tāne and wāhine Māori. Both lines decreased significantly between 1996 and 2008. The rates for wāhine are higher but the confidence intervals generally overla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20729" cy="2879987"/>
                    </a:xfrm>
                    <a:prstGeom prst="rect">
                      <a:avLst/>
                    </a:prstGeom>
                  </pic:spPr>
                </pic:pic>
              </a:graphicData>
            </a:graphic>
          </wp:inline>
        </w:drawing>
      </w:r>
    </w:p>
    <w:p w14:paraId="50E04689" w14:textId="77777777" w:rsidR="00BF0A3F" w:rsidRPr="0007695A" w:rsidRDefault="00BF0A3F" w:rsidP="0007695A">
      <w:pPr>
        <w:pStyle w:val="Note"/>
      </w:pPr>
      <w:r w:rsidRPr="0007695A">
        <w:t>Note: the shaded areas indicate 95% uncertainty intervals</w:t>
      </w:r>
    </w:p>
    <w:p w14:paraId="1E6D0FE0" w14:textId="77777777" w:rsidR="0007695A" w:rsidRDefault="0007695A" w:rsidP="00BF0A3F">
      <w:pPr>
        <w:rPr>
          <w:rFonts w:cs="Segoe UI"/>
          <w:highlight w:val="yellow"/>
        </w:rPr>
      </w:pPr>
    </w:p>
    <w:p w14:paraId="46FEC425" w14:textId="16BAE8AF" w:rsidR="00BF0A3F" w:rsidRDefault="00BF0A3F" w:rsidP="00BF0A3F">
      <w:pPr>
        <w:rPr>
          <w:rFonts w:cs="Segoe UI"/>
        </w:rPr>
      </w:pPr>
      <w:r>
        <w:rPr>
          <w:rFonts w:cs="Segoe UI"/>
          <w:highlight w:val="yellow"/>
        </w:rPr>
        <w:fldChar w:fldCharType="begin"/>
      </w:r>
      <w:r>
        <w:rPr>
          <w:rFonts w:cs="Segoe UI"/>
          <w:highlight w:val="yellow"/>
        </w:rPr>
        <w:instrText xml:space="preserve"> REF _Ref198651458 \h </w:instrText>
      </w:r>
      <w:r>
        <w:rPr>
          <w:rFonts w:cs="Segoe UI"/>
          <w:highlight w:val="yellow"/>
        </w:rPr>
      </w:r>
      <w:r>
        <w:rPr>
          <w:rFonts w:cs="Segoe UI"/>
          <w:highlight w:val="yellow"/>
        </w:rPr>
        <w:fldChar w:fldCharType="separate"/>
      </w:r>
      <w:r w:rsidR="000E725A">
        <w:t xml:space="preserve">Figure </w:t>
      </w:r>
      <w:r w:rsidR="000E725A">
        <w:rPr>
          <w:noProof/>
        </w:rPr>
        <w:t>51</w:t>
      </w:r>
      <w:r>
        <w:rPr>
          <w:rFonts w:cs="Segoe UI"/>
          <w:highlight w:val="yellow"/>
        </w:rPr>
        <w:fldChar w:fldCharType="end"/>
      </w:r>
      <w:r w:rsidRPr="6FB67471">
        <w:rPr>
          <w:rFonts w:cs="Segoe UI"/>
        </w:rPr>
        <w:t xml:space="preserve"> shows age</w:t>
      </w:r>
      <w:r>
        <w:rPr>
          <w:rFonts w:cs="Segoe UI"/>
        </w:rPr>
        <w:t>-</w:t>
      </w:r>
      <w:r w:rsidRPr="6FB67471">
        <w:rPr>
          <w:rFonts w:cs="Segoe UI"/>
        </w:rPr>
        <w:t xml:space="preserve">specific YLL rates for stroke for </w:t>
      </w:r>
      <w:r w:rsidRPr="00EA17ED">
        <w:rPr>
          <w:rFonts w:cs="Segoe UI"/>
        </w:rPr>
        <w:t xml:space="preserve">tāne and wāhine </w:t>
      </w:r>
      <w:r w:rsidRPr="6FB67471">
        <w:rPr>
          <w:rFonts w:cs="Segoe UI"/>
        </w:rPr>
        <w:t xml:space="preserve">Māori in 2021. Rates </w:t>
      </w:r>
      <w:r>
        <w:rPr>
          <w:rFonts w:cs="Segoe UI"/>
        </w:rPr>
        <w:t>were slightly higher for tāne Māori in the younger age groups to 74 years. After that age, rates were higher for wāhine Māori. Overall, Māori aged 80 years and over experienced stroke at the highest rates</w:t>
      </w:r>
      <w:r w:rsidRPr="6FB67471">
        <w:rPr>
          <w:rFonts w:cs="Segoe UI"/>
        </w:rPr>
        <w:t>.</w:t>
      </w:r>
    </w:p>
    <w:p w14:paraId="72BF2CBE" w14:textId="77777777" w:rsidR="0007695A" w:rsidRDefault="0007695A" w:rsidP="00BF0A3F">
      <w:pPr>
        <w:rPr>
          <w:rFonts w:cs="Segoe UI"/>
        </w:rPr>
      </w:pPr>
    </w:p>
    <w:p w14:paraId="36B79922" w14:textId="135DBC74" w:rsidR="00BF0A3F" w:rsidRDefault="00BF0A3F" w:rsidP="0007695A">
      <w:pPr>
        <w:pStyle w:val="Figure"/>
      </w:pPr>
      <w:bookmarkStart w:id="242" w:name="_Ref198651458"/>
      <w:bookmarkStart w:id="243" w:name="_Toc215236601"/>
      <w:bookmarkStart w:id="244" w:name="_Toc216377236"/>
      <w:r>
        <w:t xml:space="preserve">Figure </w:t>
      </w:r>
      <w:r>
        <w:fldChar w:fldCharType="begin"/>
      </w:r>
      <w:r>
        <w:instrText xml:space="preserve"> SEQ Figure \* ARABIC </w:instrText>
      </w:r>
      <w:r>
        <w:fldChar w:fldCharType="separate"/>
      </w:r>
      <w:r w:rsidR="000E725A">
        <w:rPr>
          <w:noProof/>
        </w:rPr>
        <w:t>51</w:t>
      </w:r>
      <w:r>
        <w:fldChar w:fldCharType="end"/>
      </w:r>
      <w:bookmarkEnd w:id="242"/>
      <w:r>
        <w:t xml:space="preserve">: </w:t>
      </w:r>
      <w:r w:rsidRPr="008D7D28">
        <w:t>Stroke: tāne and wāhine Māori</w:t>
      </w:r>
      <w:r>
        <w:t xml:space="preserve"> years of life lost </w:t>
      </w:r>
      <w:r w:rsidRPr="008D7D28">
        <w:t>rates by age group, 2021</w:t>
      </w:r>
      <w:bookmarkEnd w:id="243"/>
      <w:bookmarkEnd w:id="244"/>
    </w:p>
    <w:p w14:paraId="3C7A7116" w14:textId="77777777" w:rsidR="00BF0A3F" w:rsidRDefault="00BF0A3F" w:rsidP="0007695A">
      <w:pPr>
        <w:pStyle w:val="NormalWeb"/>
        <w:keepNext/>
        <w:spacing w:after="0" w:afterAutospacing="0"/>
      </w:pPr>
      <w:r w:rsidRPr="00EA17ED">
        <w:rPr>
          <w:noProof/>
        </w:rPr>
        <w:drawing>
          <wp:inline distT="0" distB="0" distL="0" distR="0" wp14:anchorId="5657D40B" wp14:editId="001BCB61">
            <wp:extent cx="4848225" cy="2726725"/>
            <wp:effectExtent l="0" t="0" r="0" b="0"/>
            <wp:docPr id="53751282" name="Picture 1" descr="Bar graph showing the stroke YLL rates for tāne and wāhine Māori over 40 by age group. Tāne have slightly higher rates in the age groups 55 to 74. Wāhine have higher rates in the older age groups. The rates for wāhine increase significantly from the age group 85-89 and the rates for tāne increase significantly from the age group 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282" name="Picture 1" descr="Bar graph showing the stroke YLL rates for tāne and wāhine Māori over 40 by age group. Tāne have slightly higher rates in the age groups 55 to 74. Wāhine have higher rates in the older age groups. The rates for wāhine increase significantly from the age group 85-89 and the rates for tāne increase significantly from the age group 80-8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56420" cy="2731334"/>
                    </a:xfrm>
                    <a:prstGeom prst="rect">
                      <a:avLst/>
                    </a:prstGeom>
                  </pic:spPr>
                </pic:pic>
              </a:graphicData>
            </a:graphic>
          </wp:inline>
        </w:drawing>
      </w:r>
    </w:p>
    <w:p w14:paraId="40513AA0" w14:textId="77777777" w:rsidR="00BF0A3F" w:rsidRPr="0007695A" w:rsidRDefault="00BF0A3F" w:rsidP="0007695A">
      <w:pPr>
        <w:pStyle w:val="Note"/>
      </w:pPr>
      <w:r w:rsidRPr="0007695A">
        <w:t>Note: the bars indicate 95% uncertainty intervals</w:t>
      </w:r>
    </w:p>
    <w:p w14:paraId="0E260312" w14:textId="77777777" w:rsidR="000E74C8" w:rsidRDefault="000E74C8" w:rsidP="00BF0A3F">
      <w:pPr>
        <w:pStyle w:val="Heading2"/>
        <w:rPr>
          <w:rFonts w:cs="Segoe UI"/>
        </w:rPr>
      </w:pPr>
      <w:bookmarkStart w:id="245" w:name="_Toc187999540"/>
      <w:bookmarkStart w:id="246" w:name="_Toc215236540"/>
      <w:r>
        <w:rPr>
          <w:rFonts w:cs="Segoe UI"/>
        </w:rPr>
        <w:br w:type="page"/>
      </w:r>
    </w:p>
    <w:p w14:paraId="2AA2BBBE" w14:textId="52C5ED1B" w:rsidR="00BF0A3F" w:rsidRPr="00EA17ED" w:rsidRDefault="00BF0A3F" w:rsidP="00BF0A3F">
      <w:pPr>
        <w:pStyle w:val="Heading2"/>
        <w:rPr>
          <w:rFonts w:cs="Segoe UI"/>
        </w:rPr>
      </w:pPr>
      <w:bookmarkStart w:id="247" w:name="_Toc216376568"/>
      <w:r w:rsidRPr="00EA17ED">
        <w:rPr>
          <w:rFonts w:cs="Segoe UI"/>
        </w:rPr>
        <w:lastRenderedPageBreak/>
        <w:t>Diabetes</w:t>
      </w:r>
      <w:bookmarkEnd w:id="245"/>
      <w:bookmarkEnd w:id="246"/>
      <w:bookmarkEnd w:id="247"/>
    </w:p>
    <w:p w14:paraId="400936D9" w14:textId="77777777" w:rsidR="00BF0A3F" w:rsidRDefault="00BF0A3F" w:rsidP="00BF0A3F">
      <w:pPr>
        <w:rPr>
          <w:rFonts w:cs="Segoe UI"/>
        </w:rPr>
      </w:pPr>
      <w:r w:rsidRPr="00EA17ED">
        <w:rPr>
          <w:rFonts w:cs="Segoe UI"/>
        </w:rPr>
        <w:t xml:space="preserve">Diabetes is a chronic disease </w:t>
      </w:r>
      <w:r>
        <w:rPr>
          <w:rFonts w:cs="Segoe UI"/>
        </w:rPr>
        <w:t xml:space="preserve">in which </w:t>
      </w:r>
      <w:r w:rsidRPr="00EA17ED">
        <w:rPr>
          <w:rFonts w:cs="Segoe UI"/>
        </w:rPr>
        <w:t>the body is not able to produce</w:t>
      </w:r>
      <w:r>
        <w:rPr>
          <w:rFonts w:cs="Segoe UI"/>
        </w:rPr>
        <w:t xml:space="preserve"> enough</w:t>
      </w:r>
      <w:r w:rsidRPr="00EA17ED">
        <w:rPr>
          <w:rFonts w:cs="Segoe UI"/>
        </w:rPr>
        <w:t xml:space="preserve"> insulin, or </w:t>
      </w:r>
      <w:r>
        <w:rPr>
          <w:rFonts w:cs="Segoe UI"/>
        </w:rPr>
        <w:t xml:space="preserve">to </w:t>
      </w:r>
      <w:r w:rsidRPr="00EA17ED">
        <w:rPr>
          <w:rFonts w:cs="Segoe UI"/>
        </w:rPr>
        <w:t xml:space="preserve">use the insulin it produces, causing high levels of glucose in </w:t>
      </w:r>
      <w:r>
        <w:rPr>
          <w:rFonts w:cs="Segoe UI"/>
        </w:rPr>
        <w:t xml:space="preserve">the </w:t>
      </w:r>
      <w:r w:rsidRPr="00EA17ED">
        <w:rPr>
          <w:rFonts w:cs="Segoe UI"/>
        </w:rPr>
        <w:t xml:space="preserve">blood (hyperglycaemia). Over time, hyperglycaemia can cause damage to the body and failure of various organs and tissues </w:t>
      </w:r>
      <w:r>
        <w:rPr>
          <w:rFonts w:cs="Segoe UI"/>
          <w:noProof/>
        </w:rPr>
        <w:t>(Heart Foundation 2025)</w:t>
      </w:r>
      <w:r w:rsidRPr="00EA17ED">
        <w:rPr>
          <w:rFonts w:cs="Segoe UI"/>
        </w:rPr>
        <w:t xml:space="preserve">. Diabetes </w:t>
      </w:r>
      <w:r>
        <w:rPr>
          <w:rFonts w:cs="Segoe UI"/>
        </w:rPr>
        <w:t>was</w:t>
      </w:r>
      <w:r w:rsidRPr="00EA17ED">
        <w:rPr>
          <w:rFonts w:cs="Segoe UI"/>
        </w:rPr>
        <w:t xml:space="preserve"> the seventh leading cause of early death for tāne Māori and the ninth leading cause for wāhine Māori</w:t>
      </w:r>
      <w:r>
        <w:rPr>
          <w:rFonts w:cs="Segoe UI"/>
        </w:rPr>
        <w:t xml:space="preserve"> in 2021</w:t>
      </w:r>
      <w:r w:rsidRPr="00EA17ED">
        <w:rPr>
          <w:rFonts w:cs="Segoe UI"/>
        </w:rPr>
        <w:t>.</w:t>
      </w:r>
    </w:p>
    <w:p w14:paraId="29010295" w14:textId="77777777" w:rsidR="0007695A" w:rsidRPr="00EA17ED" w:rsidRDefault="0007695A" w:rsidP="00BF0A3F">
      <w:pPr>
        <w:rPr>
          <w:rFonts w:cs="Segoe UI"/>
        </w:rPr>
      </w:pPr>
    </w:p>
    <w:p w14:paraId="3C89FFF8" w14:textId="113CCB74" w:rsidR="00BF0A3F" w:rsidRDefault="00BF0A3F" w:rsidP="00BF0A3F">
      <w:pPr>
        <w:rPr>
          <w:rFonts w:cs="Segoe UI"/>
        </w:rPr>
      </w:pPr>
      <w:r>
        <w:rPr>
          <w:rFonts w:cs="Segoe UI"/>
          <w:sz w:val="20"/>
          <w:szCs w:val="22"/>
        </w:rPr>
        <w:fldChar w:fldCharType="begin"/>
      </w:r>
      <w:r>
        <w:rPr>
          <w:rFonts w:cs="Segoe UI"/>
          <w:sz w:val="20"/>
          <w:szCs w:val="22"/>
        </w:rPr>
        <w:instrText xml:space="preserve"> REF _Ref199844832 \h </w:instrText>
      </w:r>
      <w:r>
        <w:rPr>
          <w:rFonts w:cs="Segoe UI"/>
          <w:sz w:val="20"/>
          <w:szCs w:val="22"/>
        </w:rPr>
      </w:r>
      <w:r>
        <w:rPr>
          <w:rFonts w:cs="Segoe UI"/>
          <w:sz w:val="20"/>
          <w:szCs w:val="22"/>
        </w:rPr>
        <w:fldChar w:fldCharType="separate"/>
      </w:r>
      <w:r w:rsidR="000E725A" w:rsidRPr="0007695A">
        <w:t xml:space="preserve">Figure </w:t>
      </w:r>
      <w:r w:rsidR="000E725A">
        <w:rPr>
          <w:noProof/>
        </w:rPr>
        <w:t>52</w:t>
      </w:r>
      <w:r>
        <w:rPr>
          <w:rFonts w:cs="Segoe UI"/>
          <w:sz w:val="20"/>
          <w:szCs w:val="22"/>
        </w:rPr>
        <w:fldChar w:fldCharType="end"/>
      </w:r>
      <w:r w:rsidRPr="00EA17ED">
        <w:rPr>
          <w:rFonts w:cs="Segoe UI"/>
        </w:rPr>
        <w:t xml:space="preserve"> shows age-standardised </w:t>
      </w:r>
      <w:r>
        <w:rPr>
          <w:rFonts w:cs="Segoe UI"/>
        </w:rPr>
        <w:t xml:space="preserve">YLL </w:t>
      </w:r>
      <w:r w:rsidRPr="00EA17ED">
        <w:rPr>
          <w:rFonts w:cs="Segoe UI"/>
        </w:rPr>
        <w:t xml:space="preserve">rates for diabetes for Māori and non-Māori </w:t>
      </w:r>
      <w:r>
        <w:rPr>
          <w:rFonts w:cs="Segoe UI"/>
        </w:rPr>
        <w:t xml:space="preserve">between </w:t>
      </w:r>
      <w:r w:rsidRPr="00EA17ED">
        <w:rPr>
          <w:rFonts w:cs="Segoe UI"/>
        </w:rPr>
        <w:t xml:space="preserve">1996 </w:t>
      </w:r>
      <w:r>
        <w:rPr>
          <w:rFonts w:cs="Segoe UI"/>
        </w:rPr>
        <w:t xml:space="preserve">and </w:t>
      </w:r>
      <w:r w:rsidRPr="00EA17ED">
        <w:rPr>
          <w:rFonts w:cs="Segoe UI"/>
        </w:rPr>
        <w:t xml:space="preserve">2021. </w:t>
      </w:r>
      <w:r>
        <w:rPr>
          <w:rFonts w:cs="Segoe UI"/>
        </w:rPr>
        <w:t xml:space="preserve">The </w:t>
      </w:r>
      <w:r w:rsidRPr="00EA17ED">
        <w:rPr>
          <w:rFonts w:cs="Segoe UI"/>
        </w:rPr>
        <w:t xml:space="preserve">Māori rates declined steadily </w:t>
      </w:r>
      <w:r>
        <w:rPr>
          <w:rFonts w:cs="Segoe UI"/>
        </w:rPr>
        <w:t xml:space="preserve">after </w:t>
      </w:r>
      <w:r w:rsidRPr="00EA17ED">
        <w:rPr>
          <w:rFonts w:cs="Segoe UI"/>
        </w:rPr>
        <w:t>1996 and levelled out from 2012 to 2021. In 2021, an equity gap remain</w:t>
      </w:r>
      <w:r>
        <w:rPr>
          <w:rFonts w:cs="Segoe UI"/>
        </w:rPr>
        <w:t>ed;</w:t>
      </w:r>
      <w:r w:rsidRPr="00EA17ED">
        <w:rPr>
          <w:rFonts w:cs="Segoe UI"/>
        </w:rPr>
        <w:t xml:space="preserve"> Māori rates </w:t>
      </w:r>
      <w:r>
        <w:rPr>
          <w:rFonts w:cs="Segoe UI"/>
        </w:rPr>
        <w:t xml:space="preserve">were five </w:t>
      </w:r>
      <w:r w:rsidRPr="00EA17ED">
        <w:rPr>
          <w:rFonts w:cs="Segoe UI"/>
        </w:rPr>
        <w:t xml:space="preserve">times higher than </w:t>
      </w:r>
      <w:r>
        <w:rPr>
          <w:rFonts w:cs="Segoe UI"/>
        </w:rPr>
        <w:t xml:space="preserve">those for </w:t>
      </w:r>
      <w:r w:rsidRPr="00EA17ED">
        <w:rPr>
          <w:rFonts w:cs="Segoe UI"/>
        </w:rPr>
        <w:t>non-Māori (</w:t>
      </w:r>
      <w:r>
        <w:rPr>
          <w:rFonts w:cs="Segoe UI"/>
        </w:rPr>
        <w:t xml:space="preserve">see </w:t>
      </w:r>
      <w:r>
        <w:rPr>
          <w:rFonts w:cs="Segoe UI"/>
          <w:szCs w:val="22"/>
        </w:rPr>
        <w:fldChar w:fldCharType="begin"/>
      </w:r>
      <w:r>
        <w:rPr>
          <w:rFonts w:cs="Segoe UI"/>
        </w:rPr>
        <w:instrText xml:space="preserve"> REF _Ref199844850 \h </w:instrText>
      </w:r>
      <w:r>
        <w:rPr>
          <w:rFonts w:cs="Segoe UI"/>
          <w:szCs w:val="22"/>
        </w:rPr>
      </w:r>
      <w:r>
        <w:rPr>
          <w:rFonts w:cs="Segoe UI"/>
          <w:szCs w:val="22"/>
        </w:rPr>
        <w:fldChar w:fldCharType="separate"/>
      </w:r>
      <w:r w:rsidR="000E725A">
        <w:t xml:space="preserve">Figure </w:t>
      </w:r>
      <w:r w:rsidR="000E725A">
        <w:rPr>
          <w:noProof/>
        </w:rPr>
        <w:t>53</w:t>
      </w:r>
      <w:r>
        <w:rPr>
          <w:rFonts w:cs="Segoe UI"/>
          <w:szCs w:val="22"/>
        </w:rPr>
        <w:fldChar w:fldCharType="end"/>
      </w:r>
      <w:r w:rsidRPr="00EA17ED">
        <w:rPr>
          <w:rFonts w:cs="Segoe UI"/>
          <w:szCs w:val="22"/>
        </w:rPr>
        <w:t>)</w:t>
      </w:r>
      <w:r w:rsidRPr="00EA17ED">
        <w:rPr>
          <w:rFonts w:cs="Segoe UI"/>
        </w:rPr>
        <w:t>.</w:t>
      </w:r>
    </w:p>
    <w:p w14:paraId="542A3696" w14:textId="77777777" w:rsidR="0007695A" w:rsidRDefault="0007695A" w:rsidP="00BF0A3F">
      <w:pPr>
        <w:rPr>
          <w:rFonts w:cs="Segoe UI"/>
        </w:rPr>
      </w:pPr>
    </w:p>
    <w:p w14:paraId="12251F1D" w14:textId="20D2B6C9" w:rsidR="00BF0A3F" w:rsidRPr="0007695A" w:rsidRDefault="00BF0A3F" w:rsidP="0007695A">
      <w:pPr>
        <w:pStyle w:val="Figure"/>
      </w:pPr>
      <w:bookmarkStart w:id="248" w:name="_Ref199844832"/>
      <w:bookmarkStart w:id="249" w:name="_Toc215236602"/>
      <w:bookmarkStart w:id="250" w:name="_Toc216377237"/>
      <w:r w:rsidRPr="0007695A">
        <w:t xml:space="preserve">Figure </w:t>
      </w:r>
      <w:r w:rsidRPr="0007695A">
        <w:fldChar w:fldCharType="begin"/>
      </w:r>
      <w:r w:rsidRPr="0007695A">
        <w:instrText xml:space="preserve"> SEQ Figure \* ARABIC </w:instrText>
      </w:r>
      <w:r w:rsidRPr="0007695A">
        <w:fldChar w:fldCharType="separate"/>
      </w:r>
      <w:r w:rsidR="000E725A">
        <w:rPr>
          <w:noProof/>
        </w:rPr>
        <w:t>52</w:t>
      </w:r>
      <w:r w:rsidRPr="0007695A">
        <w:fldChar w:fldCharType="end"/>
      </w:r>
      <w:bookmarkEnd w:id="248"/>
      <w:r w:rsidRPr="0007695A">
        <w:t>: Diabetes: Māori and non-Māori age-standardised years of life lost rates, 1996–2021</w:t>
      </w:r>
      <w:bookmarkEnd w:id="249"/>
      <w:bookmarkEnd w:id="250"/>
    </w:p>
    <w:p w14:paraId="352753E2" w14:textId="77777777" w:rsidR="00BF0A3F" w:rsidRDefault="00BF0A3F" w:rsidP="00BF0A3F">
      <w:pPr>
        <w:keepNext/>
      </w:pPr>
      <w:r w:rsidRPr="00EA17ED">
        <w:rPr>
          <w:rFonts w:cs="Segoe UI"/>
          <w:noProof/>
          <w:sz w:val="16"/>
          <w:szCs w:val="16"/>
        </w:rPr>
        <w:drawing>
          <wp:inline distT="0" distB="0" distL="0" distR="0" wp14:anchorId="65235625" wp14:editId="00C77D3A">
            <wp:extent cx="5105400" cy="2871365"/>
            <wp:effectExtent l="0" t="0" r="0" b="5715"/>
            <wp:docPr id="48377496" name="Picture 23" descr="Line graph showing age-standardised diabetes YLL rates for Māori and non-Māori from 1996 to 2021. Māori YLL rates initially increased but then declined steadily until around 2012, then levelled off. Non-Māori rates remained low and stable throughout the period, declining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7496" name="Picture 23" descr="Line graph showing age-standardised diabetes YLL rates for Māori and non-Māori from 1996 to 2021. Māori YLL rates initially increased but then declined steadily until around 2012, then levelled off. Non-Māori rates remained low and stable throughout the period, declining slightly."/>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13415" cy="2875873"/>
                    </a:xfrm>
                    <a:prstGeom prst="rect">
                      <a:avLst/>
                    </a:prstGeom>
                  </pic:spPr>
                </pic:pic>
              </a:graphicData>
            </a:graphic>
          </wp:inline>
        </w:drawing>
      </w:r>
    </w:p>
    <w:p w14:paraId="40C9CF5B" w14:textId="77777777" w:rsidR="00BF0A3F" w:rsidRPr="0007695A" w:rsidRDefault="00BF0A3F" w:rsidP="0007695A">
      <w:pPr>
        <w:pStyle w:val="Note"/>
      </w:pPr>
      <w:r w:rsidRPr="0007695A">
        <w:t>Note: the shaded areas indicate 95% uncertainty intervals</w:t>
      </w:r>
    </w:p>
    <w:p w14:paraId="2F857BD7" w14:textId="406C6C2C" w:rsidR="00BF0A3F" w:rsidRDefault="00BF0A3F" w:rsidP="0007695A">
      <w:pPr>
        <w:pStyle w:val="Figure"/>
      </w:pPr>
      <w:bookmarkStart w:id="251" w:name="_Ref199844850"/>
      <w:bookmarkStart w:id="252" w:name="_Toc215236603"/>
      <w:bookmarkStart w:id="253" w:name="_Toc216377238"/>
      <w:r>
        <w:lastRenderedPageBreak/>
        <w:t xml:space="preserve">Figure </w:t>
      </w:r>
      <w:r>
        <w:fldChar w:fldCharType="begin"/>
      </w:r>
      <w:r>
        <w:instrText xml:space="preserve"> SEQ Figure \* ARABIC </w:instrText>
      </w:r>
      <w:r>
        <w:fldChar w:fldCharType="separate"/>
      </w:r>
      <w:r w:rsidR="000E725A">
        <w:rPr>
          <w:noProof/>
        </w:rPr>
        <w:t>53</w:t>
      </w:r>
      <w:r>
        <w:fldChar w:fldCharType="end"/>
      </w:r>
      <w:bookmarkEnd w:id="251"/>
      <w:r>
        <w:t xml:space="preserve">: </w:t>
      </w:r>
      <w:r w:rsidRPr="00734199">
        <w:t xml:space="preserve">Diabetes: Māori/non-Māori age-standardised </w:t>
      </w:r>
      <w:r>
        <w:t xml:space="preserve">years of life lost </w:t>
      </w:r>
      <w:r w:rsidRPr="00734199">
        <w:t>rate ratios</w:t>
      </w:r>
      <w:r>
        <w:t>,</w:t>
      </w:r>
      <w:r w:rsidRPr="00734199">
        <w:t xml:space="preserve"> 1996</w:t>
      </w:r>
      <w:r>
        <w:t>–</w:t>
      </w:r>
      <w:r w:rsidRPr="00734199">
        <w:t>2021</w:t>
      </w:r>
      <w:bookmarkEnd w:id="252"/>
      <w:bookmarkEnd w:id="253"/>
    </w:p>
    <w:p w14:paraId="2EECB422" w14:textId="77777777" w:rsidR="00BF0A3F" w:rsidRDefault="00BF0A3F" w:rsidP="00BF0A3F">
      <w:pPr>
        <w:keepNext/>
        <w:rPr>
          <w:rFonts w:cs="Segoe UI"/>
        </w:rPr>
      </w:pPr>
      <w:r w:rsidRPr="00EA17ED">
        <w:rPr>
          <w:rFonts w:cs="Segoe UI"/>
          <w:noProof/>
          <w:sz w:val="16"/>
          <w:szCs w:val="16"/>
        </w:rPr>
        <w:drawing>
          <wp:inline distT="0" distB="0" distL="0" distR="0" wp14:anchorId="578D6C79" wp14:editId="56E74178">
            <wp:extent cx="5105400" cy="2551573"/>
            <wp:effectExtent l="0" t="0" r="0" b="1270"/>
            <wp:docPr id="1344826793" name="Picture 1" descr="Line graph showing the Māori/non-Māori age-standardised YLL rate ratio for diabetes from 1996 to 2021. The trend shows a gradual decline from about 5.5 then stabilises between  4.2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26793" name="Picture 1" descr="Line graph showing the Māori/non-Māori age-standardised YLL rate ratio for diabetes from 1996 to 2021. The trend shows a gradual decline from about 5.5 then stabilises between  4.2 and 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13626" cy="2555684"/>
                    </a:xfrm>
                    <a:prstGeom prst="rect">
                      <a:avLst/>
                    </a:prstGeom>
                  </pic:spPr>
                </pic:pic>
              </a:graphicData>
            </a:graphic>
          </wp:inline>
        </w:drawing>
      </w:r>
    </w:p>
    <w:p w14:paraId="49C74BB3" w14:textId="77777777" w:rsidR="00BF0A3F" w:rsidRPr="0007695A" w:rsidRDefault="00BF0A3F" w:rsidP="0007695A">
      <w:pPr>
        <w:pStyle w:val="Note"/>
      </w:pPr>
      <w:r w:rsidRPr="0007695A">
        <w:t>Note: the shaded area indicates 95% uncertainty interval</w:t>
      </w:r>
    </w:p>
    <w:p w14:paraId="7DAFF993" w14:textId="77777777" w:rsidR="00BF0A3F" w:rsidRPr="00EA17ED" w:rsidRDefault="00BF0A3F" w:rsidP="00BF0A3F">
      <w:pPr>
        <w:keepNext/>
        <w:rPr>
          <w:rFonts w:cs="Segoe UI"/>
        </w:rPr>
      </w:pPr>
    </w:p>
    <w:p w14:paraId="63067DA7" w14:textId="49C55269" w:rsidR="00BF0A3F" w:rsidRDefault="00BF0A3F" w:rsidP="00BF0A3F">
      <w:pPr>
        <w:rPr>
          <w:rFonts w:cs="Segoe UI"/>
        </w:rPr>
      </w:pPr>
      <w:r>
        <w:rPr>
          <w:rFonts w:cs="Segoe UI"/>
        </w:rPr>
        <w:fldChar w:fldCharType="begin"/>
      </w:r>
      <w:r>
        <w:rPr>
          <w:rFonts w:cs="Segoe UI"/>
        </w:rPr>
        <w:instrText xml:space="preserve"> REF _Ref199844893 \h </w:instrText>
      </w:r>
      <w:r>
        <w:rPr>
          <w:rFonts w:cs="Segoe UI"/>
        </w:rPr>
      </w:r>
      <w:r>
        <w:rPr>
          <w:rFonts w:cs="Segoe UI"/>
        </w:rPr>
        <w:fldChar w:fldCharType="separate"/>
      </w:r>
      <w:r w:rsidR="000E725A">
        <w:t xml:space="preserve">Figure </w:t>
      </w:r>
      <w:r w:rsidR="000E725A">
        <w:rPr>
          <w:noProof/>
        </w:rPr>
        <w:t>54</w:t>
      </w:r>
      <w:r>
        <w:rPr>
          <w:rFonts w:cs="Segoe UI"/>
        </w:rPr>
        <w:fldChar w:fldCharType="end"/>
      </w:r>
      <w:r>
        <w:rPr>
          <w:rFonts w:cs="Segoe UI"/>
        </w:rPr>
        <w:t xml:space="preserve"> </w:t>
      </w:r>
      <w:r w:rsidRPr="00EA17ED">
        <w:rPr>
          <w:rFonts w:cs="Segoe UI"/>
        </w:rPr>
        <w:t xml:space="preserve">shows </w:t>
      </w:r>
      <w:r w:rsidRPr="008D2BC5">
        <w:rPr>
          <w:rFonts w:cs="Segoe UI"/>
        </w:rPr>
        <w:t>the tre</w:t>
      </w:r>
      <w:r w:rsidRPr="00EA17ED">
        <w:rPr>
          <w:rFonts w:cs="Segoe UI"/>
        </w:rPr>
        <w:t>nd in age</w:t>
      </w:r>
      <w:r>
        <w:rPr>
          <w:rFonts w:cs="Segoe UI"/>
        </w:rPr>
        <w:t>-</w:t>
      </w:r>
      <w:r w:rsidRPr="00EA17ED">
        <w:rPr>
          <w:rFonts w:cs="Segoe UI"/>
        </w:rPr>
        <w:t>standardised YLL rates for diabetes for tāne and wāhine Māori from 1996 to 2021.</w:t>
      </w:r>
      <w:r w:rsidRPr="00EA17ED" w:rsidDel="00F8705A">
        <w:rPr>
          <w:rFonts w:cs="Segoe UI"/>
        </w:rPr>
        <w:t xml:space="preserve"> </w:t>
      </w:r>
      <w:r w:rsidRPr="00EA17ED">
        <w:rPr>
          <w:rFonts w:cs="Segoe UI"/>
        </w:rPr>
        <w:t>The rates declined steadily between 1998 and 2015 among both tāne and wāhine Māori.</w:t>
      </w:r>
      <w:r w:rsidRPr="00EA17ED" w:rsidDel="00F8705A">
        <w:rPr>
          <w:rFonts w:cs="Segoe UI"/>
        </w:rPr>
        <w:t xml:space="preserve"> </w:t>
      </w:r>
      <w:r w:rsidRPr="00EA17ED">
        <w:rPr>
          <w:rFonts w:cs="Segoe UI"/>
        </w:rPr>
        <w:t>In 2016 there was a sharp increase in diabetes rates</w:t>
      </w:r>
      <w:r>
        <w:rPr>
          <w:rFonts w:cs="Segoe UI"/>
        </w:rPr>
        <w:t>,</w:t>
      </w:r>
      <w:r w:rsidRPr="00EA17ED">
        <w:rPr>
          <w:rFonts w:cs="Segoe UI"/>
        </w:rPr>
        <w:t xml:space="preserve"> especially among tāne Māori.</w:t>
      </w:r>
      <w:r w:rsidRPr="00EA17ED" w:rsidDel="00F8705A">
        <w:rPr>
          <w:rFonts w:cs="Segoe UI"/>
        </w:rPr>
        <w:t xml:space="preserve"> </w:t>
      </w:r>
      <w:r w:rsidRPr="00EA17ED">
        <w:rPr>
          <w:rFonts w:cs="Segoe UI"/>
        </w:rPr>
        <w:t xml:space="preserve">Thereafter, rates </w:t>
      </w:r>
      <w:r>
        <w:rPr>
          <w:rFonts w:cs="Segoe UI"/>
        </w:rPr>
        <w:t xml:space="preserve">remained </w:t>
      </w:r>
      <w:r w:rsidRPr="00EA17ED">
        <w:rPr>
          <w:rFonts w:cs="Segoe UI"/>
        </w:rPr>
        <w:t>stable</w:t>
      </w:r>
      <w:r>
        <w:rPr>
          <w:rFonts w:cs="Segoe UI"/>
        </w:rPr>
        <w:t>,</w:t>
      </w:r>
      <w:r w:rsidRPr="00EA17ED">
        <w:rPr>
          <w:rFonts w:cs="Segoe UI"/>
        </w:rPr>
        <w:t xml:space="preserve"> at around 600 per 100,000 for tāne Māori and </w:t>
      </w:r>
      <w:r>
        <w:rPr>
          <w:rFonts w:cs="Segoe UI"/>
        </w:rPr>
        <w:t>4</w:t>
      </w:r>
      <w:r w:rsidRPr="00EA17ED">
        <w:rPr>
          <w:rFonts w:cs="Segoe UI"/>
        </w:rPr>
        <w:t xml:space="preserve">00 per 100,000 </w:t>
      </w:r>
      <w:r>
        <w:rPr>
          <w:rFonts w:cs="Segoe UI"/>
        </w:rPr>
        <w:t xml:space="preserve">for </w:t>
      </w:r>
      <w:r w:rsidRPr="00EA17ED">
        <w:rPr>
          <w:rFonts w:cs="Segoe UI"/>
        </w:rPr>
        <w:t>wāhine</w:t>
      </w:r>
      <w:r w:rsidRPr="00EA17ED" w:rsidDel="00F8705A">
        <w:rPr>
          <w:rFonts w:cs="Segoe UI"/>
        </w:rPr>
        <w:t xml:space="preserve"> </w:t>
      </w:r>
      <w:r w:rsidRPr="00EA17ED">
        <w:rPr>
          <w:rFonts w:cs="Segoe UI"/>
        </w:rPr>
        <w:t>Māori.</w:t>
      </w:r>
      <w:r w:rsidRPr="00EA17ED" w:rsidDel="00F8705A">
        <w:rPr>
          <w:rFonts w:cs="Segoe UI"/>
        </w:rPr>
        <w:t xml:space="preserve"> </w:t>
      </w:r>
      <w:r w:rsidRPr="00EA17ED">
        <w:rPr>
          <w:rFonts w:cs="Segoe UI"/>
        </w:rPr>
        <w:t>Tāne Māori consistently have higher rates of premature death from diabetes compared to wāhine Māori.</w:t>
      </w:r>
    </w:p>
    <w:p w14:paraId="468A14E8" w14:textId="77777777" w:rsidR="0007695A" w:rsidRPr="00EA17ED" w:rsidRDefault="0007695A" w:rsidP="00BF0A3F">
      <w:pPr>
        <w:rPr>
          <w:rFonts w:cs="Segoe UI"/>
        </w:rPr>
      </w:pPr>
    </w:p>
    <w:p w14:paraId="0B0F5640" w14:textId="59773A04" w:rsidR="00BF0A3F" w:rsidRDefault="00BF0A3F" w:rsidP="0007695A">
      <w:pPr>
        <w:pStyle w:val="Figure"/>
      </w:pPr>
      <w:bookmarkStart w:id="254" w:name="_Ref199844893"/>
      <w:bookmarkStart w:id="255" w:name="_Toc215236604"/>
      <w:bookmarkStart w:id="256" w:name="_Toc216377239"/>
      <w:r>
        <w:t xml:space="preserve">Figure </w:t>
      </w:r>
      <w:r>
        <w:fldChar w:fldCharType="begin"/>
      </w:r>
      <w:r>
        <w:instrText xml:space="preserve"> SEQ Figure \* ARABIC </w:instrText>
      </w:r>
      <w:r>
        <w:fldChar w:fldCharType="separate"/>
      </w:r>
      <w:r w:rsidR="000E725A">
        <w:rPr>
          <w:noProof/>
        </w:rPr>
        <w:t>54</w:t>
      </w:r>
      <w:r>
        <w:fldChar w:fldCharType="end"/>
      </w:r>
      <w:bookmarkEnd w:id="254"/>
      <w:r>
        <w:t xml:space="preserve">: </w:t>
      </w:r>
      <w:r w:rsidRPr="00213A3C">
        <w:t xml:space="preserve">Diabetes: tāne and wāhine Māori age-standardised </w:t>
      </w:r>
      <w:r>
        <w:t xml:space="preserve">years of life lost </w:t>
      </w:r>
      <w:r w:rsidRPr="00213A3C">
        <w:t>rates</w:t>
      </w:r>
      <w:r>
        <w:t>,</w:t>
      </w:r>
      <w:r w:rsidRPr="00213A3C">
        <w:t xml:space="preserve"> 1996–2021</w:t>
      </w:r>
      <w:bookmarkEnd w:id="255"/>
      <w:bookmarkEnd w:id="256"/>
    </w:p>
    <w:p w14:paraId="666C7BE9" w14:textId="77777777" w:rsidR="00BF0A3F" w:rsidRDefault="00BF0A3F" w:rsidP="00BF0A3F">
      <w:pPr>
        <w:keepNext/>
      </w:pPr>
      <w:r w:rsidRPr="00EA17ED">
        <w:rPr>
          <w:noProof/>
        </w:rPr>
        <w:drawing>
          <wp:inline distT="0" distB="0" distL="0" distR="0" wp14:anchorId="4B90C678" wp14:editId="5B6F4642">
            <wp:extent cx="5200650" cy="2924935"/>
            <wp:effectExtent l="0" t="0" r="0" b="8890"/>
            <wp:docPr id="1432616288" name="Picture 24" descr="Line graph showing the diabetes age-standardised YLL rates for tāne and wāhine Māori between 1996 and 2021. The rates for tāne increased sharply until 1998.  The  rates declined steadily between 1998 and 2015 for both genders.&#10;In 2016, there was a sharp increase among tāne Māori.&#10;After 2016, rates stabilized around 600 per 100,000 for tāne and 400 per 100,000 for wā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16288" name="Picture 24" descr="Line graph showing the diabetes age-standardised YLL rates for tāne and wāhine Māori between 1996 and 2021. The rates for tāne increased sharply until 1998.  The  rates declined steadily between 1998 and 2015 for both genders.&#10;In 2016, there was a sharp increase among tāne Māori.&#10;After 2016, rates stabilized around 600 per 100,000 for tāne and 400 per 100,000 for wāhin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09846" cy="2930107"/>
                    </a:xfrm>
                    <a:prstGeom prst="rect">
                      <a:avLst/>
                    </a:prstGeom>
                  </pic:spPr>
                </pic:pic>
              </a:graphicData>
            </a:graphic>
          </wp:inline>
        </w:drawing>
      </w:r>
    </w:p>
    <w:p w14:paraId="6ADA8F5B" w14:textId="77777777" w:rsidR="00BF0A3F" w:rsidRPr="0007695A" w:rsidRDefault="00BF0A3F" w:rsidP="0007695A">
      <w:pPr>
        <w:pStyle w:val="Note"/>
      </w:pPr>
      <w:r w:rsidRPr="0007695A">
        <w:t>Note: the shaded areas indicate 95% uncertainty intervals</w:t>
      </w:r>
    </w:p>
    <w:p w14:paraId="5DBA7D9C" w14:textId="77777777" w:rsidR="00BF0A3F" w:rsidRPr="00EA17ED" w:rsidRDefault="00BF0A3F" w:rsidP="0007695A">
      <w:pPr>
        <w:rPr>
          <w:highlight w:val="yellow"/>
        </w:rPr>
      </w:pPr>
    </w:p>
    <w:p w14:paraId="5671A4B5" w14:textId="6210A7E6" w:rsidR="00BF0A3F" w:rsidRDefault="00BF0A3F" w:rsidP="00BF0A3F">
      <w:pPr>
        <w:rPr>
          <w:rFonts w:cs="Segoe UI"/>
        </w:rPr>
      </w:pPr>
      <w:r>
        <w:rPr>
          <w:rFonts w:cs="Segoe UI"/>
        </w:rPr>
        <w:lastRenderedPageBreak/>
        <w:fldChar w:fldCharType="begin"/>
      </w:r>
      <w:r>
        <w:rPr>
          <w:rFonts w:cs="Segoe UI"/>
        </w:rPr>
        <w:instrText xml:space="preserve"> REF _Ref199844879 \h </w:instrText>
      </w:r>
      <w:r>
        <w:rPr>
          <w:rFonts w:cs="Segoe UI"/>
        </w:rPr>
      </w:r>
      <w:r>
        <w:rPr>
          <w:rFonts w:cs="Segoe UI"/>
        </w:rPr>
        <w:fldChar w:fldCharType="separate"/>
      </w:r>
      <w:r w:rsidR="000E725A">
        <w:t xml:space="preserve">Figure </w:t>
      </w:r>
      <w:r w:rsidR="000E725A">
        <w:rPr>
          <w:noProof/>
        </w:rPr>
        <w:t>55</w:t>
      </w:r>
      <w:r>
        <w:rPr>
          <w:rFonts w:cs="Segoe UI"/>
        </w:rPr>
        <w:fldChar w:fldCharType="end"/>
      </w:r>
      <w:r>
        <w:rPr>
          <w:rFonts w:cs="Segoe UI"/>
        </w:rPr>
        <w:t xml:space="preserve"> </w:t>
      </w:r>
      <w:r w:rsidRPr="00EA17ED">
        <w:rPr>
          <w:rFonts w:cs="Segoe UI"/>
        </w:rPr>
        <w:t>shows the YLL rates for diabetes by age group for Māori and non-Māori in 2021.</w:t>
      </w:r>
      <w:r w:rsidRPr="00EA17ED" w:rsidDel="00F8705A">
        <w:rPr>
          <w:rFonts w:cs="Segoe UI"/>
        </w:rPr>
        <w:t xml:space="preserve"> </w:t>
      </w:r>
      <w:r w:rsidRPr="00EA17ED">
        <w:rPr>
          <w:rFonts w:cs="Segoe UI"/>
        </w:rPr>
        <w:t>Māori had higher rates of premature death due to diabetes than non-Māori for every age group.</w:t>
      </w:r>
      <w:r w:rsidRPr="00EA17ED" w:rsidDel="00F8705A">
        <w:rPr>
          <w:rFonts w:cs="Segoe UI"/>
        </w:rPr>
        <w:t xml:space="preserve"> </w:t>
      </w:r>
      <w:r w:rsidRPr="00EA17ED">
        <w:rPr>
          <w:rFonts w:cs="Segoe UI"/>
        </w:rPr>
        <w:t>Māori in the 80</w:t>
      </w:r>
      <w:r>
        <w:rPr>
          <w:rFonts w:cs="Segoe UI"/>
        </w:rPr>
        <w:t>–</w:t>
      </w:r>
      <w:r w:rsidRPr="00EA17ED">
        <w:rPr>
          <w:rFonts w:cs="Segoe UI"/>
        </w:rPr>
        <w:t>84</w:t>
      </w:r>
      <w:r>
        <w:rPr>
          <w:rFonts w:cs="Segoe UI"/>
        </w:rPr>
        <w:t>-year</w:t>
      </w:r>
      <w:r w:rsidRPr="00EA17ED">
        <w:rPr>
          <w:rFonts w:cs="Segoe UI"/>
        </w:rPr>
        <w:t xml:space="preserve"> age </w:t>
      </w:r>
      <w:r>
        <w:rPr>
          <w:rFonts w:cs="Segoe UI"/>
        </w:rPr>
        <w:t>group</w:t>
      </w:r>
      <w:r w:rsidRPr="00EA17ED">
        <w:rPr>
          <w:rFonts w:cs="Segoe UI"/>
        </w:rPr>
        <w:t xml:space="preserve"> </w:t>
      </w:r>
      <w:r>
        <w:rPr>
          <w:rFonts w:cs="Segoe UI"/>
        </w:rPr>
        <w:t xml:space="preserve">had </w:t>
      </w:r>
      <w:r w:rsidRPr="00EA17ED">
        <w:rPr>
          <w:rFonts w:cs="Segoe UI"/>
        </w:rPr>
        <w:t>the highest YLL rate.</w:t>
      </w:r>
      <w:r w:rsidRPr="00EA17ED" w:rsidDel="00F8705A">
        <w:rPr>
          <w:rFonts w:cs="Segoe UI"/>
        </w:rPr>
        <w:t xml:space="preserve"> </w:t>
      </w:r>
    </w:p>
    <w:p w14:paraId="6F16FC77" w14:textId="77777777" w:rsidR="0007695A" w:rsidRPr="00EA17ED" w:rsidRDefault="0007695A" w:rsidP="0007695A"/>
    <w:p w14:paraId="60C8A831" w14:textId="056A08E1" w:rsidR="00BF0A3F" w:rsidRDefault="00BF0A3F" w:rsidP="0007695A">
      <w:pPr>
        <w:pStyle w:val="Figure"/>
      </w:pPr>
      <w:bookmarkStart w:id="257" w:name="_Ref199844879"/>
      <w:bookmarkStart w:id="258" w:name="_Toc215236605"/>
      <w:bookmarkStart w:id="259" w:name="_Toc216377240"/>
      <w:r>
        <w:t xml:space="preserve">Figure </w:t>
      </w:r>
      <w:r>
        <w:fldChar w:fldCharType="begin"/>
      </w:r>
      <w:r>
        <w:instrText xml:space="preserve"> SEQ Figure \* ARABIC </w:instrText>
      </w:r>
      <w:r>
        <w:fldChar w:fldCharType="separate"/>
      </w:r>
      <w:r w:rsidR="000E725A">
        <w:rPr>
          <w:noProof/>
        </w:rPr>
        <w:t>55</w:t>
      </w:r>
      <w:r>
        <w:fldChar w:fldCharType="end"/>
      </w:r>
      <w:bookmarkEnd w:id="257"/>
      <w:r>
        <w:t xml:space="preserve">: </w:t>
      </w:r>
      <w:r w:rsidRPr="00013403">
        <w:t xml:space="preserve">Diabetes: Māori and non-Māori </w:t>
      </w:r>
      <w:r>
        <w:t xml:space="preserve">years of life lost </w:t>
      </w:r>
      <w:r w:rsidRPr="00013403">
        <w:t>rates by age group</w:t>
      </w:r>
      <w:r>
        <w:t>,</w:t>
      </w:r>
      <w:r w:rsidRPr="00013403">
        <w:t xml:space="preserve"> 2021</w:t>
      </w:r>
      <w:bookmarkEnd w:id="258"/>
      <w:bookmarkEnd w:id="259"/>
    </w:p>
    <w:p w14:paraId="0CE943FC" w14:textId="77777777" w:rsidR="00BF0A3F" w:rsidRDefault="00BF0A3F" w:rsidP="00BF0A3F">
      <w:pPr>
        <w:keepNext/>
      </w:pPr>
      <w:r w:rsidRPr="00EA17ED">
        <w:rPr>
          <w:noProof/>
        </w:rPr>
        <w:drawing>
          <wp:inline distT="0" distB="0" distL="0" distR="0" wp14:anchorId="789798B4" wp14:editId="3C09B4F1">
            <wp:extent cx="4819650" cy="2710654"/>
            <wp:effectExtent l="0" t="0" r="0" b="0"/>
            <wp:docPr id="1532173159" name="Picture 27" descr="Bar graph showing diabetes YLL rates for Māori and non-Māori over 15 by age group. Māori have significantly higher YLL rates than non-Māori across all age groups.&#10;The highest YLL rate is observed in the 80–84 age group for Māori and in the 85+ age group for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73159" name="Picture 27" descr="Bar graph showing diabetes YLL rates for Māori and non-Māori over 15 by age group. Māori have significantly higher YLL rates than non-Māori across all age groups.&#10;The highest YLL rate is observed in the 80–84 age group for Māori and in the 85+ age group for non-Māori."/>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25442" cy="2713912"/>
                    </a:xfrm>
                    <a:prstGeom prst="rect">
                      <a:avLst/>
                    </a:prstGeom>
                  </pic:spPr>
                </pic:pic>
              </a:graphicData>
            </a:graphic>
          </wp:inline>
        </w:drawing>
      </w:r>
    </w:p>
    <w:p w14:paraId="6BE1C867" w14:textId="77777777" w:rsidR="00BF0A3F" w:rsidRPr="0007695A" w:rsidRDefault="00BF0A3F" w:rsidP="0007695A">
      <w:pPr>
        <w:pStyle w:val="Note"/>
      </w:pPr>
      <w:r w:rsidRPr="0007695A">
        <w:t>Note: the bars indicate 95% uncertainty intervals</w:t>
      </w:r>
    </w:p>
    <w:p w14:paraId="4FD1F78D" w14:textId="77777777" w:rsidR="00BF0A3F" w:rsidRPr="00EA17ED" w:rsidRDefault="00BF0A3F" w:rsidP="00BF0A3F">
      <w:pPr>
        <w:keepNext/>
      </w:pPr>
    </w:p>
    <w:p w14:paraId="4512B7DC" w14:textId="06420407" w:rsidR="00BF0A3F" w:rsidRDefault="00BF0A3F" w:rsidP="00BF0A3F">
      <w:pPr>
        <w:rPr>
          <w:rFonts w:cs="Segoe UI"/>
          <w:color w:val="FF0000"/>
        </w:rPr>
      </w:pPr>
      <w:r w:rsidRPr="00EA17ED">
        <w:rPr>
          <w:rFonts w:cs="Segoe UI"/>
        </w:rPr>
        <w:t xml:space="preserve">In 2021, YLL rates for diabetes differed by gender. Tāne Māori experienced a higher burden of premature death </w:t>
      </w:r>
      <w:r>
        <w:rPr>
          <w:rFonts w:cs="Segoe UI"/>
        </w:rPr>
        <w:t xml:space="preserve">than </w:t>
      </w:r>
      <w:r w:rsidRPr="00EA17ED">
        <w:rPr>
          <w:rFonts w:cs="Segoe UI"/>
        </w:rPr>
        <w:t>wāhine Māori (</w:t>
      </w:r>
      <w:r>
        <w:rPr>
          <w:rFonts w:cs="Segoe UI"/>
        </w:rPr>
        <w:t xml:space="preserve">see </w:t>
      </w:r>
      <w:r>
        <w:rPr>
          <w:rFonts w:cs="Segoe UI"/>
          <w:szCs w:val="22"/>
        </w:rPr>
        <w:fldChar w:fldCharType="begin"/>
      </w:r>
      <w:r>
        <w:rPr>
          <w:rFonts w:cs="Segoe UI"/>
        </w:rPr>
        <w:instrText xml:space="preserve"> REF _Ref199844916 \h </w:instrText>
      </w:r>
      <w:r>
        <w:rPr>
          <w:rFonts w:cs="Segoe UI"/>
          <w:szCs w:val="22"/>
        </w:rPr>
      </w:r>
      <w:r>
        <w:rPr>
          <w:rFonts w:cs="Segoe UI"/>
          <w:szCs w:val="22"/>
        </w:rPr>
        <w:fldChar w:fldCharType="separate"/>
      </w:r>
      <w:r w:rsidR="000E725A">
        <w:t xml:space="preserve">Figure </w:t>
      </w:r>
      <w:r w:rsidR="000E725A">
        <w:rPr>
          <w:noProof/>
        </w:rPr>
        <w:t>56</w:t>
      </w:r>
      <w:r>
        <w:rPr>
          <w:rFonts w:cs="Segoe UI"/>
          <w:szCs w:val="22"/>
        </w:rPr>
        <w:fldChar w:fldCharType="end"/>
      </w:r>
      <w:r w:rsidRPr="00EA17ED">
        <w:rPr>
          <w:rFonts w:cs="Segoe UI"/>
          <w:szCs w:val="22"/>
        </w:rPr>
        <w:t>)</w:t>
      </w:r>
      <w:r w:rsidRPr="00EA17ED">
        <w:rPr>
          <w:rFonts w:cs="Segoe UI"/>
        </w:rPr>
        <w:t xml:space="preserve">. </w:t>
      </w:r>
      <w:r>
        <w:rPr>
          <w:rFonts w:cs="Segoe UI"/>
        </w:rPr>
        <w:t>Rates for b</w:t>
      </w:r>
      <w:r w:rsidRPr="00EA17ED">
        <w:rPr>
          <w:rFonts w:cs="Segoe UI"/>
        </w:rPr>
        <w:t>oth tāne and wāhine gradually increase</w:t>
      </w:r>
      <w:r>
        <w:rPr>
          <w:rFonts w:cs="Segoe UI"/>
        </w:rPr>
        <w:t>d</w:t>
      </w:r>
      <w:r w:rsidRPr="00EA17ED">
        <w:rPr>
          <w:rFonts w:cs="Segoe UI"/>
        </w:rPr>
        <w:t xml:space="preserve"> with age, with </w:t>
      </w:r>
      <w:r>
        <w:rPr>
          <w:rFonts w:cs="Segoe UI"/>
        </w:rPr>
        <w:t>tāne diabetes</w:t>
      </w:r>
      <w:r w:rsidRPr="00EA17ED">
        <w:rPr>
          <w:rFonts w:cs="Segoe UI"/>
        </w:rPr>
        <w:t xml:space="preserve"> rates beginning at an earlier age and demonstrating a steeper increase.</w:t>
      </w:r>
      <w:r w:rsidRPr="00EA17ED">
        <w:rPr>
          <w:rFonts w:cs="Segoe UI"/>
          <w:color w:val="FF0000"/>
        </w:rPr>
        <w:t xml:space="preserve"> </w:t>
      </w:r>
    </w:p>
    <w:p w14:paraId="02B68712" w14:textId="77777777" w:rsidR="0007695A" w:rsidRPr="00EA17ED" w:rsidRDefault="0007695A" w:rsidP="0007695A"/>
    <w:p w14:paraId="7A245261" w14:textId="2E33BD8D" w:rsidR="00BF0A3F" w:rsidRDefault="00BF0A3F" w:rsidP="0007695A">
      <w:pPr>
        <w:pStyle w:val="Figure"/>
      </w:pPr>
      <w:bookmarkStart w:id="260" w:name="_Ref199844916"/>
      <w:bookmarkStart w:id="261" w:name="_Toc215236606"/>
      <w:bookmarkStart w:id="262" w:name="_Toc216377241"/>
      <w:r>
        <w:t xml:space="preserve">Figure </w:t>
      </w:r>
      <w:r>
        <w:fldChar w:fldCharType="begin"/>
      </w:r>
      <w:r>
        <w:instrText xml:space="preserve"> SEQ Figure \* ARABIC </w:instrText>
      </w:r>
      <w:r>
        <w:fldChar w:fldCharType="separate"/>
      </w:r>
      <w:r w:rsidR="000E725A">
        <w:rPr>
          <w:noProof/>
        </w:rPr>
        <w:t>56</w:t>
      </w:r>
      <w:r>
        <w:fldChar w:fldCharType="end"/>
      </w:r>
      <w:bookmarkEnd w:id="260"/>
      <w:r>
        <w:t xml:space="preserve">: </w:t>
      </w:r>
      <w:r w:rsidRPr="00BE41DF">
        <w:t xml:space="preserve">Diabetes: tāne and wāhine Māori </w:t>
      </w:r>
      <w:r>
        <w:t xml:space="preserve">years of life lost </w:t>
      </w:r>
      <w:r w:rsidRPr="00BE41DF">
        <w:t xml:space="preserve">age-standardised rates by gender and age </w:t>
      </w:r>
      <w:r>
        <w:t>group,</w:t>
      </w:r>
      <w:r w:rsidRPr="00BE41DF">
        <w:t xml:space="preserve"> 2021</w:t>
      </w:r>
      <w:bookmarkEnd w:id="261"/>
      <w:bookmarkEnd w:id="262"/>
    </w:p>
    <w:p w14:paraId="5E793CD0" w14:textId="77777777" w:rsidR="00BF0A3F" w:rsidRDefault="00BF0A3F" w:rsidP="00BF0A3F">
      <w:pPr>
        <w:keepNext/>
      </w:pPr>
      <w:r w:rsidRPr="00EA17ED">
        <w:rPr>
          <w:rFonts w:cs="Segoe UI"/>
          <w:noProof/>
        </w:rPr>
        <w:drawing>
          <wp:inline distT="0" distB="0" distL="0" distR="0" wp14:anchorId="66458F59" wp14:editId="747B5F73">
            <wp:extent cx="5086350" cy="2860651"/>
            <wp:effectExtent l="0" t="0" r="0" b="0"/>
            <wp:docPr id="2028979500" name="Picture 28" descr="Bar graph showing age-standardised YLL rates for tāne and wāhine Māori over 15 by age group. Tāne Māori have higher YLL rates than wāhine Māori across all age groups over 20. The highest rate for both tāne and wāhine  is observed in the 80-8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79500" name="Picture 28" descr="Bar graph showing age-standardised YLL rates for tāne and wāhine Māori over 15 by age group. Tāne Māori have higher YLL rates than wāhine Māori across all age groups over 20. The highest rate for both tāne and wāhine  is observed in the 80-84 age grou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99126" cy="2867837"/>
                    </a:xfrm>
                    <a:prstGeom prst="rect">
                      <a:avLst/>
                    </a:prstGeom>
                  </pic:spPr>
                </pic:pic>
              </a:graphicData>
            </a:graphic>
          </wp:inline>
        </w:drawing>
      </w:r>
    </w:p>
    <w:p w14:paraId="6C1ECEDA" w14:textId="77777777" w:rsidR="00BF0A3F" w:rsidRPr="0007695A" w:rsidRDefault="00BF0A3F" w:rsidP="0007695A">
      <w:pPr>
        <w:pStyle w:val="Note"/>
      </w:pPr>
      <w:r w:rsidRPr="0007695A">
        <w:t>Note: the bars indicate 95% uncertainty intervals</w:t>
      </w:r>
    </w:p>
    <w:p w14:paraId="74F2727C" w14:textId="77777777" w:rsidR="00BF0A3F" w:rsidRDefault="00BF0A3F" w:rsidP="0007695A"/>
    <w:p w14:paraId="7F67EA28" w14:textId="77777777" w:rsidR="0007695A" w:rsidRDefault="0007695A" w:rsidP="0007695A">
      <w:pPr>
        <w:sectPr w:rsidR="0007695A" w:rsidSect="00AE4FDA">
          <w:pgSz w:w="11907" w:h="16840" w:code="9"/>
          <w:pgMar w:top="1418" w:right="1701" w:bottom="1134" w:left="1843" w:header="284" w:footer="425" w:gutter="284"/>
          <w:cols w:space="720"/>
        </w:sectPr>
      </w:pPr>
    </w:p>
    <w:p w14:paraId="25CE7E74" w14:textId="77777777" w:rsidR="0007695A" w:rsidRPr="0007695A" w:rsidRDefault="0007695A" w:rsidP="0007695A">
      <w:pPr>
        <w:pStyle w:val="Heading1"/>
      </w:pPr>
      <w:bookmarkStart w:id="263" w:name="_Toc216376569"/>
      <w:r w:rsidRPr="0007695A">
        <w:lastRenderedPageBreak/>
        <w:t>Discussion of main findings – He matapaki i ngā kitenga matua</w:t>
      </w:r>
      <w:bookmarkEnd w:id="263"/>
      <w:r w:rsidRPr="0007695A">
        <w:t> </w:t>
      </w:r>
    </w:p>
    <w:p w14:paraId="7DD5DC5D" w14:textId="77777777" w:rsidR="0007695A" w:rsidRDefault="0007695A" w:rsidP="0007695A">
      <w:pPr>
        <w:rPr>
          <w:rFonts w:cs="Segoe UI"/>
        </w:rPr>
      </w:pPr>
      <w:r w:rsidRPr="00EA17ED">
        <w:rPr>
          <w:rFonts w:cs="Segoe UI"/>
        </w:rPr>
        <w:t xml:space="preserve">Over the past 25 years, age-standardised rates of YLL have reduced for both Māori and non-Māori. Despite </w:t>
      </w:r>
      <w:r>
        <w:rPr>
          <w:rFonts w:cs="Segoe UI"/>
        </w:rPr>
        <w:t>this</w:t>
      </w:r>
      <w:r w:rsidRPr="00EA17ED">
        <w:rPr>
          <w:rFonts w:cs="Segoe UI"/>
        </w:rPr>
        <w:t xml:space="preserve">, Māori consistently experience a rate </w:t>
      </w:r>
      <w:r>
        <w:rPr>
          <w:rFonts w:cs="Segoe UI"/>
        </w:rPr>
        <w:t xml:space="preserve">nearly </w:t>
      </w:r>
      <w:r w:rsidRPr="00EA17ED">
        <w:rPr>
          <w:rFonts w:cs="Segoe UI"/>
        </w:rPr>
        <w:t xml:space="preserve">twice as high as </w:t>
      </w:r>
      <w:r>
        <w:rPr>
          <w:rFonts w:cs="Segoe UI"/>
        </w:rPr>
        <w:t xml:space="preserve">that of </w:t>
      </w:r>
      <w:r w:rsidRPr="00EA17ED">
        <w:rPr>
          <w:rFonts w:cs="Segoe UI"/>
        </w:rPr>
        <w:t>non-Māori. The GBD estimates that a total of 123,</w:t>
      </w:r>
      <w:r w:rsidRPr="31B1C99C">
        <w:rPr>
          <w:rFonts w:cs="Segoe UI"/>
        </w:rPr>
        <w:t>685</w:t>
      </w:r>
      <w:r w:rsidRPr="00EA17ED">
        <w:rPr>
          <w:rFonts w:cs="Segoe UI"/>
        </w:rPr>
        <w:t xml:space="preserve"> years of Māori life were lost prematurely in 2021. </w:t>
      </w:r>
      <w:r>
        <w:rPr>
          <w:rFonts w:cs="Segoe UI"/>
        </w:rPr>
        <w:t>N</w:t>
      </w:r>
      <w:r w:rsidRPr="00EA17ED">
        <w:rPr>
          <w:rFonts w:cs="Segoe UI"/>
        </w:rPr>
        <w:t xml:space="preserve">on-communicable diseases contributed the most to </w:t>
      </w:r>
      <w:r>
        <w:rPr>
          <w:rFonts w:cs="Segoe UI"/>
        </w:rPr>
        <w:t xml:space="preserve">these </w:t>
      </w:r>
      <w:r w:rsidRPr="00EA17ED">
        <w:rPr>
          <w:rFonts w:cs="Segoe UI"/>
        </w:rPr>
        <w:t xml:space="preserve">early deaths for Māori (78%), followed by injuries (17%) such as self-harm. Over 50% of premature death for Māori </w:t>
      </w:r>
      <w:r>
        <w:rPr>
          <w:rFonts w:cs="Segoe UI"/>
        </w:rPr>
        <w:t>was</w:t>
      </w:r>
      <w:r w:rsidRPr="00EA17ED">
        <w:rPr>
          <w:rFonts w:cs="Segoe UI"/>
        </w:rPr>
        <w:t xml:space="preserve"> caused by cancers (</w:t>
      </w:r>
      <w:r>
        <w:rPr>
          <w:rFonts w:cs="Segoe UI"/>
        </w:rPr>
        <w:t>29</w:t>
      </w:r>
      <w:r w:rsidRPr="00EA17ED">
        <w:rPr>
          <w:rFonts w:cs="Segoe UI"/>
        </w:rPr>
        <w:t xml:space="preserve">%) and cardiovascular diseases (22%). </w:t>
      </w:r>
    </w:p>
    <w:p w14:paraId="2140BD8E" w14:textId="77777777" w:rsidR="0007695A" w:rsidRPr="00EA17ED" w:rsidRDefault="0007695A" w:rsidP="0007695A">
      <w:pPr>
        <w:rPr>
          <w:rFonts w:cs="Segoe UI"/>
        </w:rPr>
      </w:pPr>
    </w:p>
    <w:p w14:paraId="1073CCC8" w14:textId="77777777" w:rsidR="0007695A" w:rsidRPr="00EA17ED" w:rsidRDefault="0007695A" w:rsidP="0007695A">
      <w:pPr>
        <w:rPr>
          <w:rFonts w:cs="Segoe UI"/>
        </w:rPr>
      </w:pPr>
      <w:r>
        <w:rPr>
          <w:rFonts w:cs="Segoe UI"/>
        </w:rPr>
        <w:t>B</w:t>
      </w:r>
      <w:r w:rsidRPr="00EA17ED">
        <w:rPr>
          <w:rFonts w:cs="Segoe UI"/>
        </w:rPr>
        <w:t xml:space="preserve">roken down into specific conditions, the leading causes of YLL for Māori </w:t>
      </w:r>
      <w:r>
        <w:rPr>
          <w:rFonts w:cs="Segoe UI"/>
        </w:rPr>
        <w:t>we</w:t>
      </w:r>
      <w:r w:rsidRPr="00EA17ED">
        <w:rPr>
          <w:rFonts w:cs="Segoe UI"/>
        </w:rPr>
        <w:t xml:space="preserve">re </w:t>
      </w:r>
      <w:r>
        <w:rPr>
          <w:rFonts w:cs="Segoe UI"/>
        </w:rPr>
        <w:t>IHD</w:t>
      </w:r>
      <w:r w:rsidRPr="00EA17ED">
        <w:rPr>
          <w:rFonts w:cs="Segoe UI"/>
        </w:rPr>
        <w:t>, lung cancer, self-harm</w:t>
      </w:r>
      <w:r>
        <w:rPr>
          <w:rFonts w:cs="Segoe UI"/>
        </w:rPr>
        <w:t xml:space="preserve"> and</w:t>
      </w:r>
      <w:r w:rsidRPr="00EA17ED">
        <w:rPr>
          <w:rFonts w:cs="Segoe UI"/>
        </w:rPr>
        <w:t xml:space="preserve"> COPD. Across the lifespan, the leading cause of premature death change</w:t>
      </w:r>
      <w:r>
        <w:rPr>
          <w:rFonts w:cs="Segoe UI"/>
        </w:rPr>
        <w:t>d</w:t>
      </w:r>
      <w:r w:rsidRPr="00EA17ED">
        <w:rPr>
          <w:rFonts w:cs="Segoe UI"/>
        </w:rPr>
        <w:t xml:space="preserve">. Among </w:t>
      </w:r>
      <w:r>
        <w:rPr>
          <w:rFonts w:cs="Segoe UI"/>
        </w:rPr>
        <w:t>t</w:t>
      </w:r>
      <w:r w:rsidRPr="00EA17ED">
        <w:rPr>
          <w:rFonts w:cs="Segoe UI"/>
        </w:rPr>
        <w:t xml:space="preserve">amariki </w:t>
      </w:r>
      <w:r>
        <w:rPr>
          <w:rFonts w:cs="Segoe UI"/>
        </w:rPr>
        <w:t xml:space="preserve">aged </w:t>
      </w:r>
      <w:r w:rsidRPr="00EA17ED">
        <w:rPr>
          <w:rFonts w:cs="Segoe UI"/>
        </w:rPr>
        <w:t xml:space="preserve">under </w:t>
      </w:r>
      <w:r>
        <w:rPr>
          <w:rFonts w:cs="Segoe UI"/>
        </w:rPr>
        <w:t xml:space="preserve">five </w:t>
      </w:r>
      <w:r w:rsidRPr="00EA17ED">
        <w:rPr>
          <w:rFonts w:cs="Segoe UI"/>
        </w:rPr>
        <w:t xml:space="preserve">years, neonatal conditions </w:t>
      </w:r>
      <w:r>
        <w:rPr>
          <w:rFonts w:cs="Segoe UI"/>
        </w:rPr>
        <w:t xml:space="preserve">were </w:t>
      </w:r>
      <w:r w:rsidRPr="00EA17ED">
        <w:rPr>
          <w:rFonts w:cs="Segoe UI"/>
        </w:rPr>
        <w:t xml:space="preserve">the leading causes. Self-harm </w:t>
      </w:r>
      <w:r>
        <w:rPr>
          <w:rFonts w:cs="Segoe UI"/>
        </w:rPr>
        <w:t xml:space="preserve">was </w:t>
      </w:r>
      <w:r w:rsidRPr="00EA17ED">
        <w:rPr>
          <w:rFonts w:cs="Segoe UI"/>
        </w:rPr>
        <w:t>the leading cause for rangatahi aged 15</w:t>
      </w:r>
      <w:r>
        <w:rPr>
          <w:rFonts w:cs="Segoe UI"/>
        </w:rPr>
        <w:t>–</w:t>
      </w:r>
      <w:r w:rsidRPr="00EA17ED">
        <w:rPr>
          <w:rFonts w:cs="Segoe UI"/>
        </w:rPr>
        <w:t>24 years and pakeke aged 25</w:t>
      </w:r>
      <w:r>
        <w:rPr>
          <w:rFonts w:cs="Segoe UI"/>
        </w:rPr>
        <w:t>–</w:t>
      </w:r>
      <w:r w:rsidRPr="00EA17ED">
        <w:rPr>
          <w:rFonts w:cs="Segoe UI"/>
        </w:rPr>
        <w:t xml:space="preserve">44 years. </w:t>
      </w:r>
      <w:r>
        <w:rPr>
          <w:rFonts w:cs="Segoe UI"/>
        </w:rPr>
        <w:t>For pakeke aged 45–64 and kaumātua aged 65+ years, it was lo</w:t>
      </w:r>
      <w:r w:rsidRPr="00EA17ED">
        <w:rPr>
          <w:rFonts w:cs="Segoe UI"/>
        </w:rPr>
        <w:t xml:space="preserve">ng-term conditions, including </w:t>
      </w:r>
      <w:r>
        <w:rPr>
          <w:rFonts w:cs="Segoe UI"/>
        </w:rPr>
        <w:t>IHD</w:t>
      </w:r>
      <w:r w:rsidRPr="00EA17ED">
        <w:rPr>
          <w:rFonts w:cs="Segoe UI"/>
        </w:rPr>
        <w:t xml:space="preserve">, lung cancer and COPD. </w:t>
      </w:r>
    </w:p>
    <w:p w14:paraId="4583C4D6" w14:textId="77777777" w:rsidR="0007695A" w:rsidRPr="00EA17ED" w:rsidRDefault="0007695A" w:rsidP="0007695A">
      <w:pPr>
        <w:pStyle w:val="Heading2"/>
      </w:pPr>
      <w:bookmarkStart w:id="264" w:name="_Toc216376570"/>
      <w:r w:rsidRPr="00EA17ED">
        <w:t>Cancer</w:t>
      </w:r>
      <w:bookmarkEnd w:id="264"/>
    </w:p>
    <w:p w14:paraId="6B2317B6" w14:textId="77777777" w:rsidR="0007695A" w:rsidRDefault="0007695A" w:rsidP="0007695A">
      <w:pPr>
        <w:rPr>
          <w:rFonts w:cs="Segoe UI"/>
        </w:rPr>
      </w:pPr>
      <w:r w:rsidRPr="00EA17ED">
        <w:rPr>
          <w:rFonts w:cs="Segoe UI"/>
        </w:rPr>
        <w:t>Cancers ma</w:t>
      </w:r>
      <w:r>
        <w:rPr>
          <w:rFonts w:cs="Segoe UI"/>
        </w:rPr>
        <w:t>d</w:t>
      </w:r>
      <w:r w:rsidRPr="00EA17ED">
        <w:rPr>
          <w:rFonts w:cs="Segoe UI"/>
        </w:rPr>
        <w:t xml:space="preserve">e up </w:t>
      </w:r>
      <w:r>
        <w:rPr>
          <w:rFonts w:cs="Segoe UI"/>
        </w:rPr>
        <w:t>29</w:t>
      </w:r>
      <w:r w:rsidRPr="00EA17ED">
        <w:rPr>
          <w:rFonts w:cs="Segoe UI"/>
        </w:rPr>
        <w:t>% of YLL for Māori</w:t>
      </w:r>
      <w:r>
        <w:rPr>
          <w:rFonts w:cs="Segoe UI"/>
        </w:rPr>
        <w:t>. L</w:t>
      </w:r>
      <w:r w:rsidRPr="00EA17ED">
        <w:rPr>
          <w:rFonts w:cs="Segoe UI"/>
        </w:rPr>
        <w:t xml:space="preserve">ung cancer </w:t>
      </w:r>
      <w:r>
        <w:rPr>
          <w:rFonts w:cs="Segoe UI"/>
        </w:rPr>
        <w:t xml:space="preserve">was </w:t>
      </w:r>
      <w:r w:rsidRPr="00EA17ED">
        <w:rPr>
          <w:rFonts w:cs="Segoe UI"/>
        </w:rPr>
        <w:t xml:space="preserve">the leading cancer contributor, accounting for about a third of </w:t>
      </w:r>
      <w:r>
        <w:rPr>
          <w:rFonts w:cs="Segoe UI"/>
        </w:rPr>
        <w:t xml:space="preserve">YLL </w:t>
      </w:r>
      <w:r w:rsidRPr="00EA17ED">
        <w:rPr>
          <w:rFonts w:cs="Segoe UI"/>
        </w:rPr>
        <w:t xml:space="preserve">among all cancer types. Lung cancer </w:t>
      </w:r>
      <w:r>
        <w:rPr>
          <w:rFonts w:cs="Segoe UI"/>
        </w:rPr>
        <w:t xml:space="preserve">was </w:t>
      </w:r>
      <w:r w:rsidRPr="00EA17ED">
        <w:rPr>
          <w:rFonts w:cs="Segoe UI"/>
        </w:rPr>
        <w:t>the leading cause for premature death for wāhine Māori and</w:t>
      </w:r>
      <w:r>
        <w:rPr>
          <w:rFonts w:cs="Segoe UI"/>
        </w:rPr>
        <w:t xml:space="preserve"> the third leading cause for</w:t>
      </w:r>
      <w:r w:rsidRPr="00EA17ED">
        <w:rPr>
          <w:rFonts w:cs="Segoe UI"/>
        </w:rPr>
        <w:t xml:space="preserve"> tāne Māori. In addition to lung cancer, the cancer types showing the greatest equity gaps were liver and cervical cancers, with YLL age-standardised rates </w:t>
      </w:r>
      <w:r>
        <w:rPr>
          <w:rFonts w:cs="Segoe UI"/>
        </w:rPr>
        <w:t xml:space="preserve">three </w:t>
      </w:r>
      <w:r w:rsidRPr="00EA17ED">
        <w:rPr>
          <w:rFonts w:cs="Segoe UI"/>
        </w:rPr>
        <w:t>times higher for Māori</w:t>
      </w:r>
      <w:r>
        <w:rPr>
          <w:rFonts w:cs="Segoe UI"/>
        </w:rPr>
        <w:t xml:space="preserve"> than for </w:t>
      </w:r>
      <w:r w:rsidRPr="00EA17ED">
        <w:rPr>
          <w:rFonts w:cs="Segoe UI"/>
        </w:rPr>
        <w:t>non-Māori.</w:t>
      </w:r>
    </w:p>
    <w:p w14:paraId="6DCA172D" w14:textId="77777777" w:rsidR="0007695A" w:rsidRPr="00EA17ED" w:rsidRDefault="0007695A" w:rsidP="0007695A">
      <w:pPr>
        <w:rPr>
          <w:rFonts w:cs="Segoe UI"/>
        </w:rPr>
      </w:pPr>
    </w:p>
    <w:p w14:paraId="3C519661" w14:textId="77777777" w:rsidR="0007695A" w:rsidRPr="00EA17ED" w:rsidRDefault="0007695A" w:rsidP="0007695A">
      <w:pPr>
        <w:rPr>
          <w:rFonts w:cs="Segoe UI"/>
        </w:rPr>
      </w:pPr>
      <w:r w:rsidRPr="00EA17ED">
        <w:rPr>
          <w:rFonts w:cs="Segoe UI"/>
        </w:rPr>
        <w:t>The inequities between Māori and non-Māori in cancer outcomes are well</w:t>
      </w:r>
      <w:r>
        <w:rPr>
          <w:rFonts w:cs="Segoe UI"/>
        </w:rPr>
        <w:t xml:space="preserve"> </w:t>
      </w:r>
      <w:r w:rsidRPr="00EA17ED">
        <w:rPr>
          <w:rFonts w:cs="Segoe UI"/>
        </w:rPr>
        <w:t xml:space="preserve">known and enduring. Wāhine Māori are 3.8 times as likely to die from lung cancer, 2.2 times as likely to die from cervical cancer and 1.5 times as likely to die from breast cancer </w:t>
      </w:r>
      <w:r>
        <w:rPr>
          <w:rFonts w:cs="Segoe UI"/>
        </w:rPr>
        <w:t xml:space="preserve">as </w:t>
      </w:r>
      <w:r w:rsidRPr="00EA17ED">
        <w:rPr>
          <w:rFonts w:cs="Segoe UI"/>
        </w:rPr>
        <w:t xml:space="preserve">non-Māori women </w:t>
      </w:r>
      <w:r>
        <w:rPr>
          <w:rFonts w:cs="Segoe UI"/>
          <w:noProof/>
        </w:rPr>
        <w:t>(Health New Zealand 2025b)</w:t>
      </w:r>
      <w:r w:rsidRPr="00EA17ED">
        <w:rPr>
          <w:rFonts w:cs="Segoe UI"/>
        </w:rPr>
        <w:t xml:space="preserve">. Tāne Māori are 2.8 times as likely to die from liver cancer and 2.3 times as likely to die from lung cancer </w:t>
      </w:r>
      <w:r>
        <w:rPr>
          <w:rFonts w:cs="Segoe UI"/>
        </w:rPr>
        <w:t xml:space="preserve">as </w:t>
      </w:r>
      <w:r w:rsidRPr="00EA17ED">
        <w:rPr>
          <w:rFonts w:cs="Segoe UI"/>
        </w:rPr>
        <w:t xml:space="preserve">non-Māori men </w:t>
      </w:r>
      <w:r>
        <w:rPr>
          <w:rFonts w:cs="Segoe UI"/>
          <w:noProof/>
        </w:rPr>
        <w:t>(Health New Zealand 2025b)</w:t>
      </w:r>
      <w:r w:rsidRPr="00EA17ED">
        <w:rPr>
          <w:rFonts w:cs="Segoe UI"/>
        </w:rPr>
        <w:t xml:space="preserve">. </w:t>
      </w:r>
      <w:r>
        <w:rPr>
          <w:rFonts w:cs="Segoe UI"/>
        </w:rPr>
        <w:t>Not only do Māori have higher rates of YLLs for cancer; they also die at younger ages.</w:t>
      </w:r>
      <w:r w:rsidRPr="00EA17ED">
        <w:rPr>
          <w:rFonts w:cs="Segoe UI"/>
        </w:rPr>
        <w:t xml:space="preserve"> </w:t>
      </w:r>
    </w:p>
    <w:p w14:paraId="2102EB6B" w14:textId="77777777" w:rsidR="0007695A" w:rsidRPr="00EA17ED" w:rsidRDefault="0007695A" w:rsidP="0007695A">
      <w:pPr>
        <w:pStyle w:val="Heading2"/>
      </w:pPr>
      <w:bookmarkStart w:id="265" w:name="_Toc216376571"/>
      <w:r w:rsidRPr="00EA17ED">
        <w:t>Cardiovascular diseases</w:t>
      </w:r>
      <w:bookmarkEnd w:id="265"/>
    </w:p>
    <w:p w14:paraId="080E3C18" w14:textId="77777777" w:rsidR="0007695A" w:rsidRDefault="0007695A" w:rsidP="0007695A">
      <w:pPr>
        <w:rPr>
          <w:rFonts w:cs="Segoe UI"/>
        </w:rPr>
      </w:pPr>
      <w:r w:rsidRPr="00E3777E">
        <w:rPr>
          <w:rFonts w:cs="Segoe UI"/>
        </w:rPr>
        <w:t xml:space="preserve">Cardiovascular diseases make up 22% of all YLL for Māori. </w:t>
      </w:r>
      <w:r>
        <w:rPr>
          <w:rFonts w:cs="Segoe UI"/>
        </w:rPr>
        <w:t>The biggest contributor is IHD (12%), which</w:t>
      </w:r>
      <w:r w:rsidRPr="00E3777E">
        <w:rPr>
          <w:rFonts w:cs="Segoe UI"/>
        </w:rPr>
        <w:t xml:space="preserve"> makes up just over half of cardiovascular disease YLL for Māori</w:t>
      </w:r>
      <w:r>
        <w:rPr>
          <w:rFonts w:cs="Segoe UI"/>
        </w:rPr>
        <w:t xml:space="preserve">. The second biggest contributor is stroke (4%), which is the fourth leading cause of premature death for kaumātua Māori aged 65 and over years. Ischaemic heart disease </w:t>
      </w:r>
      <w:r w:rsidRPr="00E3777E">
        <w:rPr>
          <w:rFonts w:cs="Segoe UI"/>
        </w:rPr>
        <w:lastRenderedPageBreak/>
        <w:t xml:space="preserve">is the leading cause of premature death for tāne Māori (15%) and the second leading cause for wāhine Māori (8%). </w:t>
      </w:r>
      <w:r>
        <w:rPr>
          <w:rFonts w:cs="Segoe UI"/>
        </w:rPr>
        <w:t xml:space="preserve">In contrast, wāhine Māori are more affected by stroke (5%) than tāne Māori (3%). </w:t>
      </w:r>
      <w:r w:rsidRPr="00E3777E">
        <w:rPr>
          <w:rFonts w:cs="Segoe UI"/>
        </w:rPr>
        <w:t>We</w:t>
      </w:r>
      <w:r>
        <w:rPr>
          <w:rFonts w:cs="Segoe UI"/>
        </w:rPr>
        <w:t xml:space="preserve"> know that Māori have higher death rates from cardiovascular diseases: Māori are 1.8 times as likely to die from IHD as non-Māori. This trend in the context of IHD and stroke is present across all age groups up to the age of 85, which contributes to lower life expectancy for Māori. </w:t>
      </w:r>
    </w:p>
    <w:p w14:paraId="25241E7E" w14:textId="77777777" w:rsidR="0007695A" w:rsidRPr="00EA17ED" w:rsidRDefault="0007695A" w:rsidP="0007695A">
      <w:pPr>
        <w:pStyle w:val="Heading2"/>
      </w:pPr>
      <w:bookmarkStart w:id="266" w:name="_Toc216376572"/>
      <w:r w:rsidRPr="00EA17ED">
        <w:t>Self-harm</w:t>
      </w:r>
      <w:bookmarkEnd w:id="266"/>
    </w:p>
    <w:p w14:paraId="75B27CF8" w14:textId="77777777" w:rsidR="0007695A" w:rsidRPr="00EA17ED" w:rsidRDefault="0007695A" w:rsidP="0007695A">
      <w:pPr>
        <w:rPr>
          <w:rFonts w:cs="Segoe UI"/>
        </w:rPr>
      </w:pPr>
      <w:r w:rsidRPr="00EA17ED">
        <w:rPr>
          <w:rFonts w:cs="Segoe UI"/>
        </w:rPr>
        <w:t>In this report</w:t>
      </w:r>
      <w:r>
        <w:rPr>
          <w:rFonts w:cs="Segoe UI"/>
        </w:rPr>
        <w:t>,</w:t>
      </w:r>
      <w:r w:rsidRPr="00EA17ED">
        <w:rPr>
          <w:rFonts w:cs="Segoe UI"/>
        </w:rPr>
        <w:t xml:space="preserve"> we refer to self-harm as a cause of death. Self-harm is the third overall contributor to YLL for Māori, and the leading cause of YLL for rangatahi Māori and pakeke Māori age</w:t>
      </w:r>
      <w:r>
        <w:rPr>
          <w:rFonts w:cs="Segoe UI"/>
        </w:rPr>
        <w:t>d</w:t>
      </w:r>
      <w:r w:rsidRPr="00EA17ED">
        <w:rPr>
          <w:rFonts w:cs="Segoe UI"/>
        </w:rPr>
        <w:t xml:space="preserve"> 25</w:t>
      </w:r>
      <w:r>
        <w:rPr>
          <w:rFonts w:cs="Segoe UI"/>
        </w:rPr>
        <w:t>–</w:t>
      </w:r>
      <w:r w:rsidRPr="00EA17ED">
        <w:rPr>
          <w:rFonts w:cs="Segoe UI"/>
        </w:rPr>
        <w:t>44 years. Māori have experienced enduring health inequity relating to self-harm and suicide</w:t>
      </w:r>
      <w:r>
        <w:rPr>
          <w:rFonts w:cs="Segoe UI"/>
        </w:rPr>
        <w:t xml:space="preserve">. Rangatahi Māori experienced a 1.3 times higher rate of self-harm-related hospitalisations and a 1.7 higher rate of </w:t>
      </w:r>
      <w:r w:rsidRPr="00EA17ED">
        <w:rPr>
          <w:rFonts w:cs="Segoe UI"/>
        </w:rPr>
        <w:t>suicide</w:t>
      </w:r>
      <w:r>
        <w:rPr>
          <w:rFonts w:cs="Segoe UI"/>
        </w:rPr>
        <w:t xml:space="preserve"> in 2021 compared to non-Māori </w:t>
      </w:r>
      <w:r>
        <w:rPr>
          <w:rFonts w:cs="Segoe UI"/>
          <w:noProof/>
        </w:rPr>
        <w:t>(Hauora Māori Advisory Committee 2025)</w:t>
      </w:r>
      <w:r>
        <w:rPr>
          <w:rFonts w:cs="Segoe UI"/>
        </w:rPr>
        <w:t>.</w:t>
      </w:r>
      <w:r w:rsidRPr="00EA17ED">
        <w:rPr>
          <w:rFonts w:cs="Segoe UI"/>
        </w:rPr>
        <w:t xml:space="preserve"> The </w:t>
      </w:r>
      <w:r>
        <w:rPr>
          <w:rFonts w:cs="Segoe UI"/>
        </w:rPr>
        <w:t xml:space="preserve">data in this report </w:t>
      </w:r>
      <w:r w:rsidRPr="00EA17ED">
        <w:rPr>
          <w:rFonts w:cs="Segoe UI"/>
        </w:rPr>
        <w:t>add</w:t>
      </w:r>
      <w:r>
        <w:rPr>
          <w:rFonts w:cs="Segoe UI"/>
        </w:rPr>
        <w:t>s</w:t>
      </w:r>
      <w:r w:rsidRPr="00EA17ED">
        <w:rPr>
          <w:rFonts w:cs="Segoe UI"/>
        </w:rPr>
        <w:t xml:space="preserve"> to the existing evidence by showing that Māori experience a greater burden of </w:t>
      </w:r>
      <w:r>
        <w:rPr>
          <w:rFonts w:cs="Segoe UI"/>
        </w:rPr>
        <w:t xml:space="preserve">YLL </w:t>
      </w:r>
      <w:r w:rsidRPr="00EA17ED">
        <w:rPr>
          <w:rFonts w:cs="Segoe UI"/>
        </w:rPr>
        <w:t xml:space="preserve">from self-harm compared to non-Māori and that self-harm is a major contributor </w:t>
      </w:r>
      <w:r>
        <w:rPr>
          <w:rFonts w:cs="Segoe UI"/>
        </w:rPr>
        <w:t>to</w:t>
      </w:r>
      <w:r w:rsidRPr="00EA17ED">
        <w:rPr>
          <w:rFonts w:cs="Segoe UI"/>
        </w:rPr>
        <w:t xml:space="preserve"> Māori dying </w:t>
      </w:r>
      <w:r>
        <w:rPr>
          <w:rFonts w:cs="Segoe UI"/>
        </w:rPr>
        <w:t>younger</w:t>
      </w:r>
      <w:r w:rsidRPr="00EA17ED">
        <w:rPr>
          <w:rFonts w:cs="Segoe UI"/>
        </w:rPr>
        <w:t xml:space="preserve">. </w:t>
      </w:r>
    </w:p>
    <w:p w14:paraId="5B7134F2" w14:textId="77777777" w:rsidR="0007695A" w:rsidRPr="00EA17ED" w:rsidRDefault="0007695A" w:rsidP="0007695A">
      <w:pPr>
        <w:pStyle w:val="Heading2"/>
      </w:pPr>
      <w:bookmarkStart w:id="267" w:name="_Toc216376573"/>
      <w:r>
        <w:t>Chronic obstructive pulmonary disease</w:t>
      </w:r>
      <w:bookmarkEnd w:id="267"/>
    </w:p>
    <w:p w14:paraId="210915B0" w14:textId="77777777" w:rsidR="0007695A" w:rsidRPr="00EA17ED" w:rsidRDefault="0007695A" w:rsidP="0007695A">
      <w:pPr>
        <w:rPr>
          <w:rFonts w:cs="Segoe UI"/>
        </w:rPr>
      </w:pPr>
      <w:r w:rsidRPr="00EA17ED">
        <w:rPr>
          <w:rFonts w:cs="Segoe UI"/>
        </w:rPr>
        <w:t xml:space="preserve">Māori are twice as likely to have COPD compared to European/Other populations and Pacific peoples and more likely to be diagnosed at an earlier age </w:t>
      </w:r>
      <w:r>
        <w:rPr>
          <w:rFonts w:cs="Segoe UI"/>
        </w:rPr>
        <w:t xml:space="preserve">than </w:t>
      </w:r>
      <w:r w:rsidRPr="00EA17ED">
        <w:rPr>
          <w:rFonts w:cs="Segoe UI"/>
        </w:rPr>
        <w:t>non-Māori</w:t>
      </w:r>
      <w:r>
        <w:rPr>
          <w:rFonts w:cs="Segoe UI"/>
        </w:rPr>
        <w:t xml:space="preserve"> </w:t>
      </w:r>
      <w:r>
        <w:rPr>
          <w:rFonts w:cs="Segoe UI"/>
          <w:noProof/>
        </w:rPr>
        <w:t>(Health Quality &amp; Safety Commission 2024)</w:t>
      </w:r>
      <w:r w:rsidRPr="00EA17ED">
        <w:rPr>
          <w:rFonts w:cs="Segoe UI"/>
        </w:rPr>
        <w:t xml:space="preserve">. Māori with COPD are </w:t>
      </w:r>
      <w:r>
        <w:rPr>
          <w:rFonts w:cs="Segoe UI"/>
        </w:rPr>
        <w:t>more</w:t>
      </w:r>
      <w:r w:rsidRPr="00EA17ED">
        <w:rPr>
          <w:rFonts w:cs="Segoe UI"/>
        </w:rPr>
        <w:t xml:space="preserve"> likely to be hospitalis</w:t>
      </w:r>
      <w:r>
        <w:rPr>
          <w:rFonts w:cs="Segoe UI"/>
        </w:rPr>
        <w:t>ed</w:t>
      </w:r>
      <w:r w:rsidRPr="00EA17ED">
        <w:rPr>
          <w:rFonts w:cs="Segoe UI"/>
        </w:rPr>
        <w:t xml:space="preserve"> </w:t>
      </w:r>
      <w:r>
        <w:rPr>
          <w:rFonts w:cs="Segoe UI"/>
        </w:rPr>
        <w:t>because of</w:t>
      </w:r>
      <w:r w:rsidRPr="00EA17ED">
        <w:rPr>
          <w:rFonts w:cs="Segoe UI"/>
        </w:rPr>
        <w:t xml:space="preserve"> their COPD</w:t>
      </w:r>
      <w:r>
        <w:rPr>
          <w:rFonts w:cs="Segoe UI"/>
        </w:rPr>
        <w:t>, more likely to have a repeat hospitalisation for COPD in the same year</w:t>
      </w:r>
      <w:r w:rsidRPr="00EA17ED">
        <w:rPr>
          <w:rFonts w:cs="Segoe UI"/>
        </w:rPr>
        <w:t xml:space="preserve"> and</w:t>
      </w:r>
      <w:r>
        <w:rPr>
          <w:rFonts w:cs="Segoe UI"/>
        </w:rPr>
        <w:t xml:space="preserve"> </w:t>
      </w:r>
      <w:r w:rsidRPr="00EA17ED">
        <w:rPr>
          <w:rFonts w:cs="Segoe UI"/>
        </w:rPr>
        <w:t xml:space="preserve">more likely to be diagnosed </w:t>
      </w:r>
      <w:r>
        <w:rPr>
          <w:rFonts w:cs="Segoe UI"/>
        </w:rPr>
        <w:t xml:space="preserve">at an earlier age </w:t>
      </w:r>
      <w:r>
        <w:rPr>
          <w:rFonts w:cs="Segoe UI"/>
          <w:noProof/>
        </w:rPr>
        <w:t>(Health Quality &amp; Safety Commission 2024)</w:t>
      </w:r>
      <w:r w:rsidRPr="00EA17ED">
        <w:rPr>
          <w:rFonts w:cs="Segoe UI"/>
        </w:rPr>
        <w:t xml:space="preserve">. These </w:t>
      </w:r>
      <w:r>
        <w:rPr>
          <w:rFonts w:cs="Segoe UI"/>
        </w:rPr>
        <w:t xml:space="preserve">inequities </w:t>
      </w:r>
      <w:r w:rsidRPr="00EA17ED">
        <w:rPr>
          <w:rFonts w:cs="Segoe UI"/>
        </w:rPr>
        <w:t>mean</w:t>
      </w:r>
      <w:r>
        <w:rPr>
          <w:rFonts w:cs="Segoe UI"/>
        </w:rPr>
        <w:t xml:space="preserve"> that</w:t>
      </w:r>
      <w:r w:rsidRPr="00EA17ED">
        <w:rPr>
          <w:rFonts w:cs="Segoe UI"/>
        </w:rPr>
        <w:t xml:space="preserve"> Māori are more likely to die from COPD at younger ages. The GBD 2021 study shows that COPD is the </w:t>
      </w:r>
      <w:r>
        <w:rPr>
          <w:rFonts w:cs="Segoe UI"/>
        </w:rPr>
        <w:t>fifth</w:t>
      </w:r>
      <w:r w:rsidRPr="00EA17ED">
        <w:rPr>
          <w:rFonts w:cs="Segoe UI"/>
        </w:rPr>
        <w:t xml:space="preserve"> leading cause of premature death for Māori, </w:t>
      </w:r>
      <w:r>
        <w:rPr>
          <w:rFonts w:cs="Segoe UI"/>
        </w:rPr>
        <w:t>who have 2.7 times</w:t>
      </w:r>
      <w:r w:rsidRPr="00EA17ED">
        <w:rPr>
          <w:rFonts w:cs="Segoe UI"/>
        </w:rPr>
        <w:t xml:space="preserve"> the non-Māori rate of YLL. </w:t>
      </w:r>
    </w:p>
    <w:p w14:paraId="7491B862" w14:textId="77777777" w:rsidR="0007695A" w:rsidRPr="00AF03C3" w:rsidRDefault="0007695A" w:rsidP="0007695A">
      <w:pPr>
        <w:pStyle w:val="Heading2"/>
      </w:pPr>
      <w:bookmarkStart w:id="268" w:name="_Toc216376574"/>
      <w:r w:rsidRPr="00AF03C3">
        <w:t xml:space="preserve">Diabetes and </w:t>
      </w:r>
      <w:r>
        <w:t>chronic kidney disease</w:t>
      </w:r>
      <w:bookmarkEnd w:id="268"/>
    </w:p>
    <w:p w14:paraId="155B7154" w14:textId="77777777" w:rsidR="0007695A" w:rsidRDefault="0007695A" w:rsidP="0007695A">
      <w:pPr>
        <w:rPr>
          <w:rFonts w:cs="Segoe UI"/>
        </w:rPr>
      </w:pPr>
      <w:r w:rsidRPr="4288D8DF">
        <w:rPr>
          <w:rFonts w:cs="Segoe UI"/>
        </w:rPr>
        <w:t>Māori have lower prevalence rates of diabetes compared to Pacific and Indian populations</w:t>
      </w:r>
      <w:r>
        <w:rPr>
          <w:rFonts w:cs="Segoe UI"/>
        </w:rPr>
        <w:t>.</w:t>
      </w:r>
      <w:r w:rsidRPr="4288D8DF">
        <w:rPr>
          <w:rFonts w:cs="Segoe UI"/>
        </w:rPr>
        <w:t xml:space="preserve"> </w:t>
      </w:r>
      <w:r>
        <w:rPr>
          <w:rFonts w:cs="Segoe UI"/>
        </w:rPr>
        <w:t>However, they</w:t>
      </w:r>
      <w:r w:rsidRPr="4288D8DF">
        <w:rPr>
          <w:rFonts w:cs="Segoe UI"/>
        </w:rPr>
        <w:t xml:space="preserve"> have twice the rate of diabetes compared to</w:t>
      </w:r>
      <w:r>
        <w:rPr>
          <w:rFonts w:cs="Segoe UI"/>
        </w:rPr>
        <w:t xml:space="preserve"> the</w:t>
      </w:r>
      <w:r w:rsidRPr="4288D8DF">
        <w:rPr>
          <w:rFonts w:cs="Segoe UI"/>
        </w:rPr>
        <w:t xml:space="preserve"> European</w:t>
      </w:r>
      <w:r>
        <w:rPr>
          <w:rFonts w:cs="Segoe UI"/>
        </w:rPr>
        <w:t>/O</w:t>
      </w:r>
      <w:r w:rsidRPr="4288D8DF">
        <w:rPr>
          <w:rFonts w:cs="Segoe UI"/>
        </w:rPr>
        <w:t xml:space="preserve">ther </w:t>
      </w:r>
      <w:r>
        <w:rPr>
          <w:rFonts w:cs="Segoe UI"/>
        </w:rPr>
        <w:t xml:space="preserve">population </w:t>
      </w:r>
      <w:r>
        <w:rPr>
          <w:rFonts w:cs="Segoe UI"/>
          <w:noProof/>
        </w:rPr>
        <w:t>(Health New Zealand 2025c)</w:t>
      </w:r>
      <w:r w:rsidRPr="4288D8DF">
        <w:rPr>
          <w:rFonts w:cs="Segoe UI"/>
        </w:rPr>
        <w:t xml:space="preserve">. Despite having lower prevalence rates compared to Pacific and Indian peoples, Māori experience a 3.6 times higher rate of deaths from </w:t>
      </w:r>
      <w:r>
        <w:rPr>
          <w:rFonts w:cs="Segoe UI"/>
        </w:rPr>
        <w:t>d</w:t>
      </w:r>
      <w:r w:rsidRPr="4288D8DF">
        <w:rPr>
          <w:rFonts w:cs="Segoe UI"/>
        </w:rPr>
        <w:t xml:space="preserve">iabetes </w:t>
      </w:r>
      <w:r>
        <w:rPr>
          <w:rFonts w:cs="Segoe UI"/>
        </w:rPr>
        <w:t xml:space="preserve">than </w:t>
      </w:r>
      <w:r w:rsidRPr="4288D8DF">
        <w:rPr>
          <w:rFonts w:cs="Segoe UI"/>
        </w:rPr>
        <w:t>non-Māori</w:t>
      </w:r>
      <w:r>
        <w:rPr>
          <w:rFonts w:cs="Segoe UI"/>
        </w:rPr>
        <w:t xml:space="preserve"> </w:t>
      </w:r>
      <w:r>
        <w:rPr>
          <w:rFonts w:cs="Segoe UI"/>
          <w:noProof/>
        </w:rPr>
        <w:t>(Health New Zealand 2025b)</w:t>
      </w:r>
      <w:r w:rsidRPr="4288D8DF">
        <w:rPr>
          <w:rFonts w:cs="Segoe UI"/>
        </w:rPr>
        <w:t xml:space="preserve">.  </w:t>
      </w:r>
    </w:p>
    <w:p w14:paraId="461BF32B" w14:textId="77777777" w:rsidR="0007695A" w:rsidRPr="00AF03C3" w:rsidRDefault="0007695A" w:rsidP="0007695A">
      <w:pPr>
        <w:rPr>
          <w:rFonts w:cs="Segoe UI"/>
        </w:rPr>
      </w:pPr>
    </w:p>
    <w:p w14:paraId="70176261" w14:textId="77777777" w:rsidR="0007695A" w:rsidRDefault="0007695A" w:rsidP="0007695A">
      <w:pPr>
        <w:rPr>
          <w:rFonts w:cs="Segoe UI"/>
        </w:rPr>
      </w:pPr>
      <w:r w:rsidRPr="00AF03C3">
        <w:rPr>
          <w:rFonts w:cs="Segoe UI"/>
        </w:rPr>
        <w:t xml:space="preserve">People with diabetes are more likely to develop </w:t>
      </w:r>
      <w:r>
        <w:rPr>
          <w:rFonts w:cs="Segoe UI"/>
        </w:rPr>
        <w:t>CKD</w:t>
      </w:r>
      <w:r w:rsidRPr="00AF03C3">
        <w:rPr>
          <w:rFonts w:cs="Segoe UI"/>
        </w:rPr>
        <w:t xml:space="preserve">. Māori also experience a higher rate of diabetes complications, including hospitalisations due to kidney failure and lower-limb amputations. Māori with diabetes are 3.1 times as likely to be hospitalised </w:t>
      </w:r>
      <w:r w:rsidRPr="00AF03C3">
        <w:rPr>
          <w:rFonts w:cs="Segoe UI"/>
        </w:rPr>
        <w:lastRenderedPageBreak/>
        <w:t>for kidney failure and 2.</w:t>
      </w:r>
      <w:r>
        <w:rPr>
          <w:rFonts w:cs="Segoe UI"/>
        </w:rPr>
        <w:t>4</w:t>
      </w:r>
      <w:r w:rsidRPr="00AF03C3">
        <w:rPr>
          <w:rFonts w:cs="Segoe UI"/>
        </w:rPr>
        <w:t xml:space="preserve"> times as likely to be hospitalised for a limb amputation compared </w:t>
      </w:r>
      <w:r>
        <w:rPr>
          <w:rFonts w:cs="Segoe UI"/>
        </w:rPr>
        <w:t xml:space="preserve">as </w:t>
      </w:r>
      <w:r w:rsidRPr="00AF03C3">
        <w:rPr>
          <w:rFonts w:cs="Segoe UI"/>
        </w:rPr>
        <w:t>non-Māori</w:t>
      </w:r>
      <w:r>
        <w:rPr>
          <w:rFonts w:cs="Segoe UI"/>
        </w:rPr>
        <w:t>,</w:t>
      </w:r>
      <w:r w:rsidRPr="00AF03C3">
        <w:rPr>
          <w:rFonts w:cs="Segoe UI"/>
        </w:rPr>
        <w:t xml:space="preserve"> non-Pacific peoples</w:t>
      </w:r>
      <w:r>
        <w:rPr>
          <w:rFonts w:cs="Segoe UI"/>
        </w:rPr>
        <w:t xml:space="preserve"> </w:t>
      </w:r>
      <w:r>
        <w:rPr>
          <w:rFonts w:cs="Segoe UI"/>
          <w:noProof/>
        </w:rPr>
        <w:t>(Ministry of Health 2024b)</w:t>
      </w:r>
      <w:r>
        <w:rPr>
          <w:rFonts w:cs="Segoe UI"/>
        </w:rPr>
        <w:t>.</w:t>
      </w:r>
    </w:p>
    <w:p w14:paraId="49734C59" w14:textId="77777777" w:rsidR="0007695A" w:rsidRPr="00AF03C3" w:rsidRDefault="0007695A" w:rsidP="0007695A">
      <w:pPr>
        <w:rPr>
          <w:rFonts w:cs="Segoe UI"/>
        </w:rPr>
      </w:pPr>
    </w:p>
    <w:p w14:paraId="4C260C4A" w14:textId="77777777" w:rsidR="0007695A" w:rsidRPr="000D60CF" w:rsidRDefault="0007695A" w:rsidP="0007695A">
      <w:pPr>
        <w:rPr>
          <w:rFonts w:cs="Segoe UI"/>
        </w:rPr>
      </w:pPr>
      <w:r>
        <w:rPr>
          <w:rFonts w:cs="Segoe UI"/>
        </w:rPr>
        <w:t>H</w:t>
      </w:r>
      <w:r w:rsidRPr="00AF03C3">
        <w:rPr>
          <w:rFonts w:cs="Segoe UI"/>
        </w:rPr>
        <w:t>igher rates of diabetes</w:t>
      </w:r>
      <w:r>
        <w:rPr>
          <w:rFonts w:cs="Segoe UI"/>
        </w:rPr>
        <w:t xml:space="preserve">-related deaths </w:t>
      </w:r>
      <w:r w:rsidRPr="00AF03C3">
        <w:rPr>
          <w:rFonts w:cs="Segoe UI"/>
        </w:rPr>
        <w:t xml:space="preserve">and diabetes-related complications for Māori contribute to higher rates of </w:t>
      </w:r>
      <w:r>
        <w:rPr>
          <w:rFonts w:cs="Segoe UI"/>
        </w:rPr>
        <w:t>YLL</w:t>
      </w:r>
      <w:r w:rsidRPr="00AF03C3">
        <w:rPr>
          <w:rFonts w:cs="Segoe UI"/>
        </w:rPr>
        <w:t xml:space="preserve"> </w:t>
      </w:r>
      <w:r>
        <w:rPr>
          <w:rFonts w:cs="Segoe UI"/>
        </w:rPr>
        <w:t xml:space="preserve">due to diabetes and CKD among </w:t>
      </w:r>
      <w:r w:rsidRPr="00AF03C3">
        <w:rPr>
          <w:rFonts w:cs="Segoe UI"/>
        </w:rPr>
        <w:t xml:space="preserve">Māori. </w:t>
      </w:r>
      <w:r>
        <w:rPr>
          <w:rFonts w:cs="Segoe UI"/>
        </w:rPr>
        <w:t>This report contributes further evidence of t</w:t>
      </w:r>
      <w:r w:rsidRPr="00AF03C3">
        <w:rPr>
          <w:rFonts w:cs="Segoe UI"/>
        </w:rPr>
        <w:t>hese known inequities</w:t>
      </w:r>
      <w:r>
        <w:rPr>
          <w:rFonts w:cs="Segoe UI"/>
        </w:rPr>
        <w:t xml:space="preserve">. </w:t>
      </w:r>
    </w:p>
    <w:p w14:paraId="6AB23FD5" w14:textId="77777777" w:rsidR="0007695A" w:rsidRPr="00EA17ED" w:rsidRDefault="0007695A" w:rsidP="0007695A">
      <w:pPr>
        <w:pStyle w:val="Heading2"/>
      </w:pPr>
      <w:bookmarkStart w:id="269" w:name="_Toc216376575"/>
      <w:r>
        <w:t>Implications of these findings</w:t>
      </w:r>
      <w:bookmarkEnd w:id="269"/>
    </w:p>
    <w:p w14:paraId="5347BD1F" w14:textId="77777777" w:rsidR="0007695A" w:rsidRDefault="0007695A" w:rsidP="0007695A">
      <w:pPr>
        <w:rPr>
          <w:rFonts w:cs="Segoe UI"/>
        </w:rPr>
      </w:pPr>
      <w:r w:rsidRPr="00EA17ED">
        <w:rPr>
          <w:rFonts w:cs="Segoe UI"/>
        </w:rPr>
        <w:t>This GBD release is the first time that the international GBD framework has been applied to Māori, and to any indigenous population worldwide. Consideration of the wider determinants of health relevant to Māori in New Zealand is necessary when interpreting and using the information provided in this report. This includes social, economic and cultural contexts</w:t>
      </w:r>
      <w:r>
        <w:rPr>
          <w:rFonts w:cs="Segoe UI"/>
        </w:rPr>
        <w:t>;</w:t>
      </w:r>
      <w:r w:rsidRPr="00EA17ED">
        <w:rPr>
          <w:rFonts w:cs="Segoe UI"/>
        </w:rPr>
        <w:t xml:space="preserve"> experiences of discrimination</w:t>
      </w:r>
      <w:r>
        <w:rPr>
          <w:rFonts w:cs="Segoe UI"/>
        </w:rPr>
        <w:t>;</w:t>
      </w:r>
      <w:r w:rsidRPr="00EA17ED">
        <w:rPr>
          <w:rFonts w:cs="Segoe UI"/>
        </w:rPr>
        <w:t xml:space="preserve"> and the ongoing impacts of colonisation. Despite limitations in the use of the GBD methodology for an indigenous population, this report provides useful information on </w:t>
      </w:r>
      <w:r>
        <w:rPr>
          <w:rFonts w:cs="Segoe UI"/>
        </w:rPr>
        <w:t xml:space="preserve">some of the </w:t>
      </w:r>
      <w:r w:rsidRPr="00EA17ED">
        <w:rPr>
          <w:rFonts w:cs="Segoe UI"/>
        </w:rPr>
        <w:t xml:space="preserve">areas </w:t>
      </w:r>
      <w:r>
        <w:rPr>
          <w:rFonts w:cs="Segoe UI"/>
        </w:rPr>
        <w:t xml:space="preserve">we </w:t>
      </w:r>
      <w:r w:rsidRPr="00EA17ED">
        <w:rPr>
          <w:rFonts w:cs="Segoe UI"/>
        </w:rPr>
        <w:t xml:space="preserve">must address for Māori to achieve health equity. </w:t>
      </w:r>
    </w:p>
    <w:p w14:paraId="582DE511" w14:textId="77777777" w:rsidR="0007695A" w:rsidRDefault="0007695A" w:rsidP="0007695A">
      <w:pPr>
        <w:rPr>
          <w:rFonts w:cs="Segoe UI"/>
        </w:rPr>
      </w:pPr>
    </w:p>
    <w:p w14:paraId="7882BCCB" w14:textId="77777777" w:rsidR="0045355F" w:rsidRPr="0066297A" w:rsidRDefault="0045355F" w:rsidP="0045355F">
      <w:pPr>
        <w:rPr>
          <w:rFonts w:cs="Segoe UI"/>
          <w:szCs w:val="21"/>
          <w:lang w:val="en-US"/>
        </w:rPr>
      </w:pPr>
      <w:r w:rsidRPr="0066297A">
        <w:rPr>
          <w:rFonts w:cs="Segoe UI"/>
          <w:szCs w:val="21"/>
          <w:lang w:val="en-US"/>
        </w:rPr>
        <w:t xml:space="preserve">This report highlights areas of health inequity for Māori. Based on the findings in this report, the biggest contributors to premature death for Māori are: </w:t>
      </w:r>
    </w:p>
    <w:p w14:paraId="4A91B22E" w14:textId="47730F02" w:rsidR="0045355F" w:rsidRPr="00984917" w:rsidRDefault="00090548" w:rsidP="00984917">
      <w:pPr>
        <w:pStyle w:val="Bullet"/>
        <w:numPr>
          <w:ilvl w:val="0"/>
          <w:numId w:val="6"/>
        </w:numPr>
        <w:ind w:left="284" w:hanging="284"/>
        <w:rPr>
          <w:lang w:val="en-US"/>
        </w:rPr>
      </w:pPr>
      <w:r>
        <w:rPr>
          <w:lang w:val="en-US"/>
        </w:rPr>
        <w:t>c</w:t>
      </w:r>
      <w:r w:rsidR="0045355F" w:rsidRPr="00984917">
        <w:rPr>
          <w:lang w:val="en-US"/>
        </w:rPr>
        <w:t>ancers (particularly lung cancer)</w:t>
      </w:r>
    </w:p>
    <w:p w14:paraId="526D610E" w14:textId="1CE07968" w:rsidR="0045355F" w:rsidRPr="00984917" w:rsidRDefault="00090548" w:rsidP="00984917">
      <w:pPr>
        <w:pStyle w:val="Bullet"/>
        <w:numPr>
          <w:ilvl w:val="0"/>
          <w:numId w:val="6"/>
        </w:numPr>
        <w:ind w:left="284" w:hanging="284"/>
        <w:rPr>
          <w:lang w:val="en-US"/>
        </w:rPr>
      </w:pPr>
      <w:r>
        <w:rPr>
          <w:lang w:val="en-US"/>
        </w:rPr>
        <w:t>c</w:t>
      </w:r>
      <w:r w:rsidR="0045355F" w:rsidRPr="00984917">
        <w:rPr>
          <w:lang w:val="en-US"/>
        </w:rPr>
        <w:t>ardiovascular diseases (including ischaemic heart disease and stroke)</w:t>
      </w:r>
    </w:p>
    <w:p w14:paraId="493147D4" w14:textId="53993DB7" w:rsidR="0045355F" w:rsidRPr="00984917" w:rsidRDefault="00090548" w:rsidP="00984917">
      <w:pPr>
        <w:pStyle w:val="Bullet"/>
        <w:numPr>
          <w:ilvl w:val="0"/>
          <w:numId w:val="6"/>
        </w:numPr>
        <w:ind w:left="284" w:hanging="284"/>
        <w:rPr>
          <w:lang w:val="en-US"/>
        </w:rPr>
      </w:pPr>
      <w:r>
        <w:rPr>
          <w:lang w:val="en-US"/>
        </w:rPr>
        <w:t>s</w:t>
      </w:r>
      <w:r w:rsidR="0045355F" w:rsidRPr="00984917">
        <w:rPr>
          <w:lang w:val="en-US"/>
        </w:rPr>
        <w:t>elf-harm</w:t>
      </w:r>
    </w:p>
    <w:p w14:paraId="25C81CDE" w14:textId="3F88FFA5" w:rsidR="008E043F" w:rsidRDefault="00090548" w:rsidP="008E043F">
      <w:pPr>
        <w:pStyle w:val="Bullet"/>
        <w:numPr>
          <w:ilvl w:val="0"/>
          <w:numId w:val="6"/>
        </w:numPr>
        <w:ind w:left="284" w:hanging="284"/>
        <w:rPr>
          <w:lang w:val="en-US"/>
        </w:rPr>
      </w:pPr>
      <w:r>
        <w:rPr>
          <w:lang w:val="en-US"/>
        </w:rPr>
        <w:t>d</w:t>
      </w:r>
      <w:r w:rsidR="0045355F" w:rsidRPr="00984917">
        <w:rPr>
          <w:lang w:val="en-US"/>
        </w:rPr>
        <w:t>iabetes and chronic kidney diseas</w:t>
      </w:r>
      <w:r w:rsidR="00821D55" w:rsidRPr="00984917">
        <w:rPr>
          <w:lang w:val="en-US"/>
        </w:rPr>
        <w:t>e</w:t>
      </w:r>
      <w:r w:rsidR="00A31312" w:rsidRPr="00984917">
        <w:rPr>
          <w:lang w:val="en-US"/>
        </w:rPr>
        <w:t>.</w:t>
      </w:r>
    </w:p>
    <w:p w14:paraId="67C32CAE" w14:textId="77777777" w:rsidR="008E043F" w:rsidRDefault="008E043F" w:rsidP="0045355F">
      <w:pPr>
        <w:rPr>
          <w:rFonts w:cs="Segoe UI"/>
        </w:rPr>
      </w:pPr>
    </w:p>
    <w:p w14:paraId="6A661A13" w14:textId="34C7959B" w:rsidR="0045355F" w:rsidRPr="008E043F" w:rsidRDefault="0045355F" w:rsidP="0045355F">
      <w:pPr>
        <w:rPr>
          <w:rFonts w:cs="Segoe UI"/>
        </w:rPr>
      </w:pPr>
      <w:r w:rsidRPr="008E043F">
        <w:rPr>
          <w:rFonts w:cs="Segoe UI"/>
        </w:rPr>
        <w:t>Whilst this report focuses on how to use and interpret YLL estimates for Māori, attention should also be given to insights related to morbidity (YLD) and total health loss (DALY), ensuring a more complete perspective of health loss is explored. Estimates of morbidity and total health loss are available as part of the full set of GBD 2021 estimates for Māori.</w:t>
      </w:r>
      <w:r w:rsidR="00171400" w:rsidRPr="008E043F">
        <w:rPr>
          <w:rFonts w:cs="Segoe UI"/>
        </w:rPr>
        <w:t xml:space="preserve"> </w:t>
      </w:r>
      <w:r w:rsidRPr="008E043F">
        <w:rPr>
          <w:rFonts w:cs="Segoe UI"/>
        </w:rPr>
        <w:t xml:space="preserve">Insights from this report add to existing literature about major causes of premature death and inequities in health outcomes for Māori. These insights may be used alongside information on morbidity and service utilisation (ie prevention) as supporting evidence for targeted policies and effective health interventions for Māori, acknowledging the limitations and assumptions built into the analysis and interpretation of the </w:t>
      </w:r>
      <w:r w:rsidRPr="008E043F" w:rsidDel="00CE106B">
        <w:rPr>
          <w:rFonts w:cs="Segoe UI"/>
        </w:rPr>
        <w:t>GBD</w:t>
      </w:r>
      <w:r w:rsidRPr="008E043F">
        <w:rPr>
          <w:rFonts w:cs="Segoe UI"/>
        </w:rPr>
        <w:t xml:space="preserve"> estimates. Addressing the areas of health inequity identified in this report has the potential to make a meaningful contribution to Māori health outcomes and achieve progress towards pae ora (healthy futures) for Māori. </w:t>
      </w:r>
    </w:p>
    <w:p w14:paraId="5F78B39B" w14:textId="77777777" w:rsidR="0007695A" w:rsidRDefault="0007695A" w:rsidP="0007695A">
      <w:pPr>
        <w:sectPr w:rsidR="0007695A" w:rsidSect="00AE4FDA">
          <w:pgSz w:w="11907" w:h="16840" w:code="9"/>
          <w:pgMar w:top="1418" w:right="1701" w:bottom="1134" w:left="1843" w:header="284" w:footer="425" w:gutter="284"/>
          <w:cols w:space="720"/>
        </w:sectPr>
      </w:pPr>
    </w:p>
    <w:p w14:paraId="3E8B343E" w14:textId="77777777" w:rsidR="004B12B6" w:rsidRPr="004B12B6" w:rsidRDefault="004B12B6" w:rsidP="004B12B6">
      <w:pPr>
        <w:pStyle w:val="Heading1"/>
      </w:pPr>
      <w:bookmarkStart w:id="270" w:name="_Toc215236548"/>
      <w:bookmarkStart w:id="271" w:name="_Toc216376576"/>
      <w:r w:rsidRPr="004B12B6">
        <w:lastRenderedPageBreak/>
        <w:t>Appendix 1 – Tāpiritanga 1</w:t>
      </w:r>
      <w:bookmarkEnd w:id="270"/>
      <w:bookmarkEnd w:id="271"/>
      <w:r w:rsidRPr="004B12B6">
        <w:t> </w:t>
      </w:r>
    </w:p>
    <w:p w14:paraId="67D48D77" w14:textId="77777777" w:rsidR="004B12B6" w:rsidRDefault="004B12B6" w:rsidP="004B12B6">
      <w:pPr>
        <w:pStyle w:val="Table"/>
      </w:pPr>
      <w:bookmarkStart w:id="272" w:name="_Toc216377243"/>
      <w:r>
        <w:t>Table S1: R</w:t>
      </w:r>
      <w:r w:rsidRPr="00EA17ED">
        <w:t>isk factors included in the G</w:t>
      </w:r>
      <w:r>
        <w:t xml:space="preserve">lobal </w:t>
      </w:r>
      <w:r w:rsidRPr="00EA17ED">
        <w:t>B</w:t>
      </w:r>
      <w:r>
        <w:t xml:space="preserve">urden of </w:t>
      </w:r>
      <w:r w:rsidRPr="00EA17ED">
        <w:t>D</w:t>
      </w:r>
      <w:r>
        <w:t>isease</w:t>
      </w:r>
      <w:r w:rsidRPr="00EA17ED">
        <w:t xml:space="preserve"> study at levels 2 and 3</w:t>
      </w:r>
      <w:bookmarkEnd w:id="272"/>
      <w:r w:rsidRPr="00EA17ED">
        <w:t xml:space="preserve"> </w:t>
      </w:r>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3"/>
        <w:gridCol w:w="2977"/>
        <w:gridCol w:w="2410"/>
      </w:tblGrid>
      <w:tr w:rsidR="007654A1" w:rsidRPr="00EA17ED" w14:paraId="00883536" w14:textId="77777777" w:rsidTr="007654A1">
        <w:tc>
          <w:tcPr>
            <w:tcW w:w="2693" w:type="dxa"/>
            <w:tcBorders>
              <w:top w:val="nil"/>
              <w:bottom w:val="nil"/>
            </w:tcBorders>
            <w:shd w:val="clear" w:color="auto" w:fill="D9D9D9" w:themeFill="background1" w:themeFillShade="D9"/>
          </w:tcPr>
          <w:p w14:paraId="6043F45B" w14:textId="77777777" w:rsidR="004B12B6" w:rsidRPr="004B12B6" w:rsidRDefault="004B12B6" w:rsidP="004B12B6">
            <w:pPr>
              <w:pStyle w:val="TableText"/>
              <w:rPr>
                <w:b/>
                <w:bCs/>
              </w:rPr>
            </w:pPr>
            <w:r w:rsidRPr="004B12B6">
              <w:rPr>
                <w:b/>
                <w:bCs/>
              </w:rPr>
              <w:t>Environmental / occupational risks</w:t>
            </w:r>
          </w:p>
        </w:tc>
        <w:tc>
          <w:tcPr>
            <w:tcW w:w="2977" w:type="dxa"/>
            <w:tcBorders>
              <w:top w:val="nil"/>
              <w:bottom w:val="nil"/>
            </w:tcBorders>
            <w:shd w:val="clear" w:color="auto" w:fill="D9D9D9" w:themeFill="background1" w:themeFillShade="D9"/>
          </w:tcPr>
          <w:p w14:paraId="2A023701" w14:textId="77777777" w:rsidR="004B12B6" w:rsidRPr="004B12B6" w:rsidRDefault="004B12B6" w:rsidP="004B12B6">
            <w:pPr>
              <w:pStyle w:val="TableText"/>
              <w:rPr>
                <w:b/>
                <w:bCs/>
              </w:rPr>
            </w:pPr>
            <w:r w:rsidRPr="004B12B6">
              <w:rPr>
                <w:b/>
                <w:bCs/>
              </w:rPr>
              <w:t>Modifiable behavioural* risks</w:t>
            </w:r>
          </w:p>
        </w:tc>
        <w:tc>
          <w:tcPr>
            <w:tcW w:w="2410" w:type="dxa"/>
            <w:tcBorders>
              <w:top w:val="nil"/>
              <w:bottom w:val="nil"/>
            </w:tcBorders>
            <w:shd w:val="clear" w:color="auto" w:fill="D9D9D9" w:themeFill="background1" w:themeFillShade="D9"/>
          </w:tcPr>
          <w:p w14:paraId="3204E314" w14:textId="77777777" w:rsidR="004B12B6" w:rsidRPr="004B12B6" w:rsidRDefault="004B12B6" w:rsidP="004B12B6">
            <w:pPr>
              <w:pStyle w:val="TableText"/>
              <w:rPr>
                <w:b/>
                <w:bCs/>
              </w:rPr>
            </w:pPr>
            <w:r w:rsidRPr="004B12B6">
              <w:rPr>
                <w:b/>
                <w:bCs/>
              </w:rPr>
              <w:t>Metabolic risks</w:t>
            </w:r>
          </w:p>
        </w:tc>
      </w:tr>
      <w:tr w:rsidR="007654A1" w:rsidRPr="00EA17ED" w14:paraId="464FF41A" w14:textId="77777777" w:rsidTr="007654A1">
        <w:tc>
          <w:tcPr>
            <w:tcW w:w="2693" w:type="dxa"/>
            <w:tcBorders>
              <w:top w:val="nil"/>
            </w:tcBorders>
          </w:tcPr>
          <w:p w14:paraId="046DFBEA" w14:textId="77777777" w:rsidR="004B12B6" w:rsidRPr="007654A1" w:rsidRDefault="004B12B6" w:rsidP="007654A1">
            <w:pPr>
              <w:pStyle w:val="TableText"/>
            </w:pPr>
            <w:r w:rsidRPr="007654A1">
              <w:t>Unsafe water, sanitation and handwashing</w:t>
            </w:r>
          </w:p>
          <w:p w14:paraId="01A876D6" w14:textId="0E7B7ADF" w:rsidR="004B12B6" w:rsidRPr="004B12B6" w:rsidRDefault="004B12B6" w:rsidP="007654A1">
            <w:pPr>
              <w:pStyle w:val="TableBullet"/>
            </w:pPr>
            <w:r w:rsidRPr="004B12B6">
              <w:t>Unsafe water source, unsafe sanitation, no access to handwashing facility</w:t>
            </w:r>
          </w:p>
        </w:tc>
        <w:tc>
          <w:tcPr>
            <w:tcW w:w="2977" w:type="dxa"/>
            <w:tcBorders>
              <w:top w:val="nil"/>
            </w:tcBorders>
          </w:tcPr>
          <w:p w14:paraId="36E39A6F" w14:textId="77777777" w:rsidR="004B12B6" w:rsidRPr="007654A1" w:rsidRDefault="004B12B6" w:rsidP="007654A1">
            <w:pPr>
              <w:pStyle w:val="TableText"/>
            </w:pPr>
            <w:r w:rsidRPr="007654A1">
              <w:t>Child and maternal malnutrition</w:t>
            </w:r>
          </w:p>
          <w:p w14:paraId="54A8642E" w14:textId="77777777" w:rsidR="004B12B6" w:rsidRPr="007654A1" w:rsidRDefault="004B12B6" w:rsidP="007654A1">
            <w:pPr>
              <w:pStyle w:val="TableBullet"/>
            </w:pPr>
            <w:r w:rsidRPr="007654A1">
              <w:t>Suboptimal breastfeeding, child growth failure, low birth weight and short gestation, iron deficiency, vitamin A deficiency, zinc deficiency</w:t>
            </w:r>
          </w:p>
        </w:tc>
        <w:tc>
          <w:tcPr>
            <w:tcW w:w="2410" w:type="dxa"/>
            <w:tcBorders>
              <w:top w:val="nil"/>
            </w:tcBorders>
          </w:tcPr>
          <w:p w14:paraId="5B1817A5" w14:textId="77777777" w:rsidR="004B12B6" w:rsidRPr="007654A1" w:rsidRDefault="004B12B6" w:rsidP="007654A1">
            <w:pPr>
              <w:pStyle w:val="TableText"/>
            </w:pPr>
            <w:r w:rsidRPr="007654A1">
              <w:t>High fasting plasma glucose</w:t>
            </w:r>
          </w:p>
        </w:tc>
      </w:tr>
      <w:tr w:rsidR="007654A1" w:rsidRPr="00EA17ED" w14:paraId="15146BDB" w14:textId="77777777" w:rsidTr="007654A1">
        <w:tc>
          <w:tcPr>
            <w:tcW w:w="2693" w:type="dxa"/>
          </w:tcPr>
          <w:p w14:paraId="04545726" w14:textId="77777777" w:rsidR="004B12B6" w:rsidRPr="007654A1" w:rsidRDefault="004B12B6" w:rsidP="007654A1">
            <w:pPr>
              <w:pStyle w:val="TableText"/>
            </w:pPr>
            <w:r w:rsidRPr="007654A1">
              <w:t>Air pollution</w:t>
            </w:r>
          </w:p>
          <w:p w14:paraId="414B63E7" w14:textId="16387209" w:rsidR="004B12B6" w:rsidRPr="004B12B6" w:rsidRDefault="004B12B6" w:rsidP="007654A1">
            <w:pPr>
              <w:pStyle w:val="TableBullet"/>
            </w:pPr>
            <w:r w:rsidRPr="004B12B6">
              <w:t>Particulate matter pollution, ambient ozone pollution, nitrogen dioxide pollution</w:t>
            </w:r>
          </w:p>
        </w:tc>
        <w:tc>
          <w:tcPr>
            <w:tcW w:w="2977" w:type="dxa"/>
          </w:tcPr>
          <w:p w14:paraId="0444732F" w14:textId="77777777" w:rsidR="004B12B6" w:rsidRPr="007654A1" w:rsidRDefault="004B12B6" w:rsidP="007654A1">
            <w:pPr>
              <w:pStyle w:val="TableText"/>
            </w:pPr>
            <w:r w:rsidRPr="007654A1">
              <w:t>Tobacco</w:t>
            </w:r>
          </w:p>
          <w:p w14:paraId="51037284" w14:textId="77777777" w:rsidR="004B12B6" w:rsidRPr="007654A1" w:rsidRDefault="004B12B6" w:rsidP="007654A1">
            <w:pPr>
              <w:pStyle w:val="TableBullet"/>
            </w:pPr>
            <w:r w:rsidRPr="007654A1">
              <w:t>Smoking, chewing tobacco, second-hand smoke</w:t>
            </w:r>
          </w:p>
        </w:tc>
        <w:tc>
          <w:tcPr>
            <w:tcW w:w="2410" w:type="dxa"/>
          </w:tcPr>
          <w:p w14:paraId="0687715B" w14:textId="322567F2" w:rsidR="004B12B6" w:rsidRPr="007654A1" w:rsidRDefault="004B12B6" w:rsidP="007654A1">
            <w:pPr>
              <w:pStyle w:val="TableText"/>
            </w:pPr>
            <w:r w:rsidRPr="007654A1">
              <w:t>High LDL cholesterol</w:t>
            </w:r>
          </w:p>
        </w:tc>
      </w:tr>
      <w:tr w:rsidR="007654A1" w:rsidRPr="00EA17ED" w14:paraId="14080309" w14:textId="77777777" w:rsidTr="007654A1">
        <w:tc>
          <w:tcPr>
            <w:tcW w:w="2693" w:type="dxa"/>
          </w:tcPr>
          <w:p w14:paraId="4B7A6216" w14:textId="77777777" w:rsidR="004B12B6" w:rsidRPr="004B12B6" w:rsidRDefault="004B12B6" w:rsidP="004B12B6">
            <w:pPr>
              <w:pStyle w:val="TableText"/>
            </w:pPr>
            <w:r w:rsidRPr="004B12B6">
              <w:t>Non-optimal temperature</w:t>
            </w:r>
          </w:p>
          <w:p w14:paraId="1157FBC9" w14:textId="300A4CFE" w:rsidR="004B12B6" w:rsidRPr="004B12B6" w:rsidRDefault="004B12B6" w:rsidP="007654A1">
            <w:pPr>
              <w:pStyle w:val="TableBullet"/>
            </w:pPr>
            <w:r w:rsidRPr="004B12B6">
              <w:t>High temperature, low temperature</w:t>
            </w:r>
          </w:p>
        </w:tc>
        <w:tc>
          <w:tcPr>
            <w:tcW w:w="2977" w:type="dxa"/>
          </w:tcPr>
          <w:p w14:paraId="77631280" w14:textId="77777777" w:rsidR="004B12B6" w:rsidRPr="007654A1" w:rsidRDefault="004B12B6" w:rsidP="007654A1">
            <w:pPr>
              <w:pStyle w:val="TableText"/>
            </w:pPr>
            <w:r w:rsidRPr="007654A1">
              <w:t>High alcohol use</w:t>
            </w:r>
          </w:p>
          <w:p w14:paraId="2EC9B974" w14:textId="77777777" w:rsidR="004B12B6" w:rsidRPr="007654A1" w:rsidRDefault="004B12B6" w:rsidP="007654A1">
            <w:pPr>
              <w:pStyle w:val="TableText"/>
            </w:pPr>
          </w:p>
        </w:tc>
        <w:tc>
          <w:tcPr>
            <w:tcW w:w="2410" w:type="dxa"/>
          </w:tcPr>
          <w:p w14:paraId="0BDC61D9" w14:textId="77777777" w:rsidR="004B12B6" w:rsidRPr="007654A1" w:rsidRDefault="004B12B6" w:rsidP="007654A1">
            <w:pPr>
              <w:pStyle w:val="TableText"/>
            </w:pPr>
            <w:r w:rsidRPr="007654A1">
              <w:t>High systolic blood pressure</w:t>
            </w:r>
          </w:p>
          <w:p w14:paraId="20A278FB" w14:textId="77777777" w:rsidR="004B12B6" w:rsidRPr="007654A1" w:rsidRDefault="004B12B6" w:rsidP="007654A1">
            <w:pPr>
              <w:pStyle w:val="TableText"/>
            </w:pPr>
          </w:p>
        </w:tc>
      </w:tr>
      <w:tr w:rsidR="007654A1" w:rsidRPr="00EA17ED" w14:paraId="55F7471E" w14:textId="77777777" w:rsidTr="007654A1">
        <w:tc>
          <w:tcPr>
            <w:tcW w:w="2693" w:type="dxa"/>
          </w:tcPr>
          <w:p w14:paraId="12693F8C" w14:textId="77777777" w:rsidR="004B12B6" w:rsidRPr="004B12B6" w:rsidRDefault="004B12B6" w:rsidP="004B12B6">
            <w:pPr>
              <w:pStyle w:val="TableText"/>
            </w:pPr>
            <w:r w:rsidRPr="004B12B6">
              <w:t>Other environmental risks</w:t>
            </w:r>
          </w:p>
          <w:p w14:paraId="6AB79814" w14:textId="77777777" w:rsidR="004B12B6" w:rsidRPr="004B12B6" w:rsidRDefault="004B12B6" w:rsidP="007654A1">
            <w:pPr>
              <w:pStyle w:val="TableBullet"/>
            </w:pPr>
            <w:r w:rsidRPr="004B12B6">
              <w:t>Residential radon, lead exposure</w:t>
            </w:r>
          </w:p>
        </w:tc>
        <w:tc>
          <w:tcPr>
            <w:tcW w:w="2977" w:type="dxa"/>
          </w:tcPr>
          <w:p w14:paraId="20521647" w14:textId="77777777" w:rsidR="004B12B6" w:rsidRPr="004B12B6" w:rsidRDefault="004B12B6" w:rsidP="004B12B6">
            <w:pPr>
              <w:pStyle w:val="TableText"/>
            </w:pPr>
            <w:r w:rsidRPr="004B12B6">
              <w:t>Drug use</w:t>
            </w:r>
          </w:p>
        </w:tc>
        <w:tc>
          <w:tcPr>
            <w:tcW w:w="2410" w:type="dxa"/>
          </w:tcPr>
          <w:p w14:paraId="082D6190" w14:textId="77777777" w:rsidR="004B12B6" w:rsidRPr="004B12B6" w:rsidRDefault="004B12B6" w:rsidP="004B12B6">
            <w:pPr>
              <w:pStyle w:val="TableText"/>
            </w:pPr>
            <w:r w:rsidRPr="004B12B6">
              <w:t>High body-mass index</w:t>
            </w:r>
          </w:p>
          <w:p w14:paraId="50047487" w14:textId="77777777" w:rsidR="004B12B6" w:rsidRPr="004B12B6" w:rsidRDefault="004B12B6" w:rsidP="004B12B6">
            <w:pPr>
              <w:pStyle w:val="TableText"/>
            </w:pPr>
          </w:p>
        </w:tc>
      </w:tr>
      <w:tr w:rsidR="007654A1" w:rsidRPr="00EA17ED" w14:paraId="0A67ED57" w14:textId="77777777" w:rsidTr="007654A1">
        <w:tc>
          <w:tcPr>
            <w:tcW w:w="2693" w:type="dxa"/>
          </w:tcPr>
          <w:p w14:paraId="0A702F35" w14:textId="77777777" w:rsidR="004B12B6" w:rsidRPr="004B12B6" w:rsidRDefault="004B12B6" w:rsidP="004B12B6">
            <w:pPr>
              <w:pStyle w:val="TableText"/>
            </w:pPr>
            <w:r w:rsidRPr="004B12B6">
              <w:t>Occupational risks</w:t>
            </w:r>
          </w:p>
          <w:p w14:paraId="0CCFA78C" w14:textId="77777777" w:rsidR="004B12B6" w:rsidRPr="004B12B6" w:rsidRDefault="004B12B6" w:rsidP="007654A1">
            <w:pPr>
              <w:pStyle w:val="TableBullet"/>
            </w:pPr>
            <w:r w:rsidRPr="004B12B6">
              <w:t>Occupational carcinogens</w:t>
            </w:r>
          </w:p>
        </w:tc>
        <w:tc>
          <w:tcPr>
            <w:tcW w:w="2977" w:type="dxa"/>
          </w:tcPr>
          <w:p w14:paraId="155B6E8B" w14:textId="77777777" w:rsidR="004B12B6" w:rsidRPr="004B12B6" w:rsidRDefault="004B12B6" w:rsidP="004B12B6">
            <w:pPr>
              <w:pStyle w:val="TableText"/>
            </w:pPr>
            <w:r w:rsidRPr="004B12B6">
              <w:t>Dietary risks</w:t>
            </w:r>
          </w:p>
          <w:p w14:paraId="6FAC8550" w14:textId="77777777" w:rsidR="004B12B6" w:rsidRPr="004B12B6" w:rsidRDefault="004B12B6" w:rsidP="007654A1">
            <w:pPr>
              <w:pStyle w:val="TableBullet"/>
            </w:pPr>
            <w:r w:rsidRPr="004B12B6">
              <w:t>Diet low in fruits, vegetables, legumes, whole grains, nuts and seeds, milk, fibre, calcium, seafood omega-3 fatty acids, omega-6 polyunsaturated fatty acids</w:t>
            </w:r>
          </w:p>
          <w:p w14:paraId="48833E74" w14:textId="77777777" w:rsidR="004B12B6" w:rsidRPr="004B12B6" w:rsidRDefault="004B12B6" w:rsidP="007654A1">
            <w:pPr>
              <w:pStyle w:val="TableBullet"/>
            </w:pPr>
            <w:r w:rsidRPr="004B12B6">
              <w:t xml:space="preserve">Diet high in red meat, processed meat, sugar-sweetened beverages, trans fatty acids, sodium </w:t>
            </w:r>
          </w:p>
        </w:tc>
        <w:tc>
          <w:tcPr>
            <w:tcW w:w="2410" w:type="dxa"/>
          </w:tcPr>
          <w:p w14:paraId="6DFFD3A9" w14:textId="77777777" w:rsidR="004B12B6" w:rsidRPr="004B12B6" w:rsidRDefault="004B12B6" w:rsidP="004B12B6">
            <w:pPr>
              <w:pStyle w:val="TableText"/>
            </w:pPr>
            <w:r w:rsidRPr="004B12B6">
              <w:t>Low bone mineral density</w:t>
            </w:r>
          </w:p>
        </w:tc>
      </w:tr>
      <w:tr w:rsidR="007654A1" w:rsidRPr="00EA17ED" w14:paraId="07359CD2" w14:textId="77777777" w:rsidTr="007654A1">
        <w:tc>
          <w:tcPr>
            <w:tcW w:w="2693" w:type="dxa"/>
          </w:tcPr>
          <w:p w14:paraId="5008C84B" w14:textId="77777777" w:rsidR="004B12B6" w:rsidRPr="004B12B6" w:rsidRDefault="004B12B6" w:rsidP="004B12B6">
            <w:pPr>
              <w:pStyle w:val="TableText"/>
            </w:pPr>
          </w:p>
        </w:tc>
        <w:tc>
          <w:tcPr>
            <w:tcW w:w="2977" w:type="dxa"/>
          </w:tcPr>
          <w:p w14:paraId="12E1087C" w14:textId="419E04FD" w:rsidR="004B12B6" w:rsidRPr="004B12B6" w:rsidRDefault="004B12B6" w:rsidP="004B12B6">
            <w:pPr>
              <w:pStyle w:val="TableText"/>
            </w:pPr>
            <w:r w:rsidRPr="004B12B6">
              <w:t>Intimate partner violence</w:t>
            </w:r>
          </w:p>
        </w:tc>
        <w:tc>
          <w:tcPr>
            <w:tcW w:w="2410" w:type="dxa"/>
          </w:tcPr>
          <w:p w14:paraId="5E0F2CC6" w14:textId="77777777" w:rsidR="004B12B6" w:rsidRPr="004B12B6" w:rsidRDefault="004B12B6" w:rsidP="004B12B6">
            <w:pPr>
              <w:pStyle w:val="TableText"/>
            </w:pPr>
            <w:r w:rsidRPr="004B12B6">
              <w:t>Kidney dysfunction</w:t>
            </w:r>
          </w:p>
        </w:tc>
      </w:tr>
      <w:tr w:rsidR="007654A1" w:rsidRPr="00EA17ED" w14:paraId="264C1D9C" w14:textId="77777777" w:rsidTr="007654A1">
        <w:tc>
          <w:tcPr>
            <w:tcW w:w="2693" w:type="dxa"/>
          </w:tcPr>
          <w:p w14:paraId="2ECDE58E" w14:textId="77777777" w:rsidR="004B12B6" w:rsidRPr="004B12B6" w:rsidRDefault="004B12B6" w:rsidP="004B12B6">
            <w:pPr>
              <w:pStyle w:val="TableText"/>
            </w:pPr>
          </w:p>
        </w:tc>
        <w:tc>
          <w:tcPr>
            <w:tcW w:w="2977" w:type="dxa"/>
          </w:tcPr>
          <w:p w14:paraId="1F96C5A6" w14:textId="66323AE5" w:rsidR="004B12B6" w:rsidRPr="004B12B6" w:rsidRDefault="004B12B6" w:rsidP="004B12B6">
            <w:pPr>
              <w:pStyle w:val="TableText"/>
            </w:pPr>
            <w:r w:rsidRPr="004B12B6">
              <w:t>Childhood sexual abuse and bullying</w:t>
            </w:r>
          </w:p>
        </w:tc>
        <w:tc>
          <w:tcPr>
            <w:tcW w:w="2410" w:type="dxa"/>
          </w:tcPr>
          <w:p w14:paraId="762937BC" w14:textId="77777777" w:rsidR="004B12B6" w:rsidRPr="004B12B6" w:rsidRDefault="004B12B6" w:rsidP="004B12B6">
            <w:pPr>
              <w:pStyle w:val="TableText"/>
            </w:pPr>
          </w:p>
        </w:tc>
      </w:tr>
      <w:tr w:rsidR="007654A1" w:rsidRPr="00EA17ED" w14:paraId="50C251B1" w14:textId="77777777" w:rsidTr="007654A1">
        <w:tc>
          <w:tcPr>
            <w:tcW w:w="2693" w:type="dxa"/>
          </w:tcPr>
          <w:p w14:paraId="5118BC51" w14:textId="77777777" w:rsidR="004B12B6" w:rsidRPr="004B12B6" w:rsidRDefault="004B12B6" w:rsidP="004B12B6">
            <w:pPr>
              <w:pStyle w:val="TableText"/>
            </w:pPr>
          </w:p>
        </w:tc>
        <w:tc>
          <w:tcPr>
            <w:tcW w:w="2977" w:type="dxa"/>
          </w:tcPr>
          <w:p w14:paraId="3CFD56AD" w14:textId="77777777" w:rsidR="004B12B6" w:rsidRPr="004B12B6" w:rsidRDefault="004B12B6" w:rsidP="004B12B6">
            <w:pPr>
              <w:pStyle w:val="TableText"/>
            </w:pPr>
            <w:r w:rsidRPr="004B12B6">
              <w:t>Unsafe sex</w:t>
            </w:r>
          </w:p>
        </w:tc>
        <w:tc>
          <w:tcPr>
            <w:tcW w:w="2410" w:type="dxa"/>
          </w:tcPr>
          <w:p w14:paraId="5DF31039" w14:textId="77777777" w:rsidR="004B12B6" w:rsidRPr="004B12B6" w:rsidRDefault="004B12B6" w:rsidP="004B12B6">
            <w:pPr>
              <w:pStyle w:val="TableText"/>
            </w:pPr>
          </w:p>
        </w:tc>
      </w:tr>
      <w:tr w:rsidR="007654A1" w:rsidRPr="00EA17ED" w14:paraId="3BECCB89" w14:textId="77777777" w:rsidTr="007654A1">
        <w:tc>
          <w:tcPr>
            <w:tcW w:w="2693" w:type="dxa"/>
          </w:tcPr>
          <w:p w14:paraId="49C4DE39" w14:textId="77777777" w:rsidR="004B12B6" w:rsidRPr="004B12B6" w:rsidRDefault="004B12B6" w:rsidP="004B12B6">
            <w:pPr>
              <w:pStyle w:val="TableText"/>
            </w:pPr>
          </w:p>
        </w:tc>
        <w:tc>
          <w:tcPr>
            <w:tcW w:w="2977" w:type="dxa"/>
          </w:tcPr>
          <w:p w14:paraId="208E1244" w14:textId="77777777" w:rsidR="004B12B6" w:rsidRPr="004B12B6" w:rsidRDefault="004B12B6" w:rsidP="004B12B6">
            <w:pPr>
              <w:pStyle w:val="TableText"/>
            </w:pPr>
            <w:r w:rsidRPr="004B12B6">
              <w:t>Low physical activity</w:t>
            </w:r>
          </w:p>
        </w:tc>
        <w:tc>
          <w:tcPr>
            <w:tcW w:w="2410" w:type="dxa"/>
          </w:tcPr>
          <w:p w14:paraId="055F8137" w14:textId="77777777" w:rsidR="004B12B6" w:rsidRPr="004B12B6" w:rsidRDefault="004B12B6" w:rsidP="004B12B6">
            <w:pPr>
              <w:pStyle w:val="TableText"/>
            </w:pPr>
          </w:p>
        </w:tc>
      </w:tr>
    </w:tbl>
    <w:p w14:paraId="3CBFE600" w14:textId="77777777" w:rsidR="004B12B6" w:rsidRPr="00EA17ED" w:rsidRDefault="004B12B6" w:rsidP="007654A1">
      <w:pPr>
        <w:pStyle w:val="Source"/>
        <w:rPr>
          <w:i/>
        </w:rPr>
      </w:pPr>
      <w:r w:rsidRPr="008F79D8">
        <w:t>Source: Supplement to Brauer et al, 2024.</w:t>
      </w:r>
    </w:p>
    <w:p w14:paraId="52591FD3" w14:textId="77777777" w:rsidR="004B12B6" w:rsidRPr="00BC6BC6" w:rsidRDefault="004B12B6" w:rsidP="007654A1">
      <w:pPr>
        <w:pStyle w:val="Note"/>
      </w:pPr>
      <w:r w:rsidRPr="003D271F">
        <w:t>*</w:t>
      </w:r>
      <w:r>
        <w:t xml:space="preserve"> </w:t>
      </w:r>
      <w:r w:rsidRPr="003D271F">
        <w:t xml:space="preserve">GBD methodology uses the term </w:t>
      </w:r>
      <w:r>
        <w:t>‘</w:t>
      </w:r>
      <w:r w:rsidRPr="003D271F">
        <w:t>behavioural risks</w:t>
      </w:r>
      <w:r>
        <w:t>’</w:t>
      </w:r>
      <w:r w:rsidRPr="003D271F">
        <w:t xml:space="preserve"> to describe the risk factors under modifiable behaviour risk factors</w:t>
      </w:r>
      <w:r>
        <w:t>.</w:t>
      </w:r>
    </w:p>
    <w:p w14:paraId="4026D1F8" w14:textId="77777777" w:rsidR="004B12B6" w:rsidRDefault="004B12B6" w:rsidP="004B12B6">
      <w:pPr>
        <w:rPr>
          <w:rFonts w:cs="Segoe UI"/>
        </w:rPr>
      </w:pPr>
    </w:p>
    <w:p w14:paraId="2C51FBA6" w14:textId="77777777" w:rsidR="004B12B6" w:rsidRDefault="004B12B6" w:rsidP="004B12B6">
      <w:pPr>
        <w:spacing w:line="259" w:lineRule="auto"/>
        <w:rPr>
          <w:rFonts w:asciiTheme="minorHAnsi" w:hAnsiTheme="minorHAnsi"/>
          <w:b/>
          <w:bCs/>
          <w:color w:val="1F497D" w:themeColor="text2"/>
          <w:sz w:val="24"/>
        </w:rPr>
      </w:pPr>
      <w:r>
        <w:br w:type="page"/>
      </w:r>
    </w:p>
    <w:p w14:paraId="602FE000" w14:textId="77777777" w:rsidR="004B12B6" w:rsidRPr="00407C5F" w:rsidRDefault="004B12B6" w:rsidP="004B12B6">
      <w:pPr>
        <w:pStyle w:val="Heading1"/>
      </w:pPr>
      <w:bookmarkStart w:id="273" w:name="_Toc215236549"/>
      <w:bookmarkStart w:id="274" w:name="_Toc216376577"/>
      <w:r w:rsidRPr="00407C5F">
        <w:lastRenderedPageBreak/>
        <w:t>Appendix 2</w:t>
      </w:r>
      <w:r>
        <w:t xml:space="preserve"> – </w:t>
      </w:r>
      <w:r w:rsidRPr="00323C59">
        <w:t xml:space="preserve">Tāpiritanga </w:t>
      </w:r>
      <w:r>
        <w:t>2</w:t>
      </w:r>
      <w:bookmarkEnd w:id="273"/>
      <w:bookmarkEnd w:id="274"/>
      <w:r w:rsidRPr="00323C59">
        <w:t> </w:t>
      </w:r>
    </w:p>
    <w:p w14:paraId="27B151E5" w14:textId="77777777" w:rsidR="004B12B6" w:rsidRDefault="004B12B6" w:rsidP="007654A1">
      <w:pPr>
        <w:pStyle w:val="Table"/>
      </w:pPr>
      <w:bookmarkStart w:id="275" w:name="_Toc216377244"/>
      <w:r>
        <w:t>Table S2: Differences between the Stats NZ Māori population and the IHME Māori population</w:t>
      </w:r>
      <w:bookmarkEnd w:id="275"/>
    </w:p>
    <w:tbl>
      <w:tblPr>
        <w:tblW w:w="8639" w:type="dxa"/>
        <w:tblBorders>
          <w:top w:val="single" w:sz="6" w:space="0" w:color="909090"/>
          <w:bottom w:val="single" w:sz="6" w:space="0" w:color="909090"/>
          <w:insideH w:val="single" w:sz="6" w:space="0" w:color="909090"/>
        </w:tblBorders>
        <w:tblLayout w:type="fixed"/>
        <w:tblCellMar>
          <w:left w:w="0" w:type="dxa"/>
          <w:right w:w="0" w:type="dxa"/>
        </w:tblCellMar>
        <w:tblLook w:val="04A0" w:firstRow="1" w:lastRow="0" w:firstColumn="1" w:lastColumn="0" w:noHBand="0" w:noVBand="1"/>
      </w:tblPr>
      <w:tblGrid>
        <w:gridCol w:w="985"/>
        <w:gridCol w:w="916"/>
        <w:gridCol w:w="917"/>
        <w:gridCol w:w="917"/>
        <w:gridCol w:w="917"/>
        <w:gridCol w:w="916"/>
        <w:gridCol w:w="917"/>
        <w:gridCol w:w="737"/>
        <w:gridCol w:w="708"/>
        <w:gridCol w:w="709"/>
      </w:tblGrid>
      <w:tr w:rsidR="007654A1" w:rsidRPr="00624641" w14:paraId="31662186" w14:textId="77777777" w:rsidTr="000E74C8">
        <w:tc>
          <w:tcPr>
            <w:tcW w:w="985" w:type="dxa"/>
            <w:tcBorders>
              <w:top w:val="nil"/>
              <w:bottom w:val="nil"/>
            </w:tcBorders>
            <w:shd w:val="clear" w:color="auto" w:fill="D9D9D9" w:themeFill="background1" w:themeFillShade="D9"/>
            <w:tcMar>
              <w:top w:w="45" w:type="dxa"/>
              <w:left w:w="0" w:type="dxa"/>
              <w:bottom w:w="45" w:type="dxa"/>
              <w:right w:w="0" w:type="dxa"/>
            </w:tcMar>
            <w:hideMark/>
          </w:tcPr>
          <w:p w14:paraId="589F7543" w14:textId="77777777" w:rsidR="007654A1" w:rsidRPr="001C635A" w:rsidRDefault="007654A1" w:rsidP="007654A1">
            <w:pPr>
              <w:pStyle w:val="TableText"/>
              <w:ind w:left="57"/>
              <w:rPr>
                <w:rFonts w:cs="Segoe UI"/>
                <w:b/>
                <w:bCs/>
                <w:lang w:eastAsia="en-NZ"/>
              </w:rPr>
            </w:pPr>
            <w:r w:rsidRPr="001C635A">
              <w:rPr>
                <w:b/>
                <w:bCs/>
                <w:lang w:eastAsia="en-NZ"/>
              </w:rPr>
              <w:t> Age</w:t>
            </w:r>
          </w:p>
        </w:tc>
        <w:tc>
          <w:tcPr>
            <w:tcW w:w="2750" w:type="dxa"/>
            <w:gridSpan w:val="3"/>
            <w:tcBorders>
              <w:top w:val="nil"/>
              <w:bottom w:val="nil"/>
            </w:tcBorders>
            <w:shd w:val="clear" w:color="auto" w:fill="D9D9D9" w:themeFill="background1" w:themeFillShade="D9"/>
            <w:tcMar>
              <w:top w:w="45" w:type="dxa"/>
              <w:left w:w="0" w:type="dxa"/>
              <w:bottom w:w="45" w:type="dxa"/>
              <w:right w:w="0" w:type="dxa"/>
            </w:tcMar>
            <w:hideMark/>
          </w:tcPr>
          <w:p w14:paraId="01A3B0CB" w14:textId="2DF8D417" w:rsidR="007654A1" w:rsidRPr="001C635A" w:rsidRDefault="007654A1" w:rsidP="001C635A">
            <w:pPr>
              <w:pStyle w:val="TableText"/>
              <w:ind w:left="57"/>
              <w:jc w:val="center"/>
              <w:rPr>
                <w:rFonts w:cs="Segoe UI"/>
                <w:b/>
                <w:bCs/>
                <w:lang w:eastAsia="en-NZ"/>
              </w:rPr>
            </w:pPr>
            <w:r w:rsidRPr="001C635A">
              <w:rPr>
                <w:b/>
                <w:bCs/>
                <w:lang w:eastAsia="en-NZ"/>
              </w:rPr>
              <w:t>Stats NZ Māori Population</w:t>
            </w:r>
          </w:p>
          <w:p w14:paraId="724729F5" w14:textId="3DED4CD3" w:rsidR="007654A1" w:rsidRPr="001C635A" w:rsidRDefault="007654A1" w:rsidP="001C635A">
            <w:pPr>
              <w:pStyle w:val="TableText"/>
              <w:ind w:left="57"/>
              <w:jc w:val="center"/>
              <w:rPr>
                <w:rFonts w:cs="Segoe UI"/>
                <w:b/>
                <w:bCs/>
                <w:lang w:eastAsia="en-NZ"/>
              </w:rPr>
            </w:pPr>
            <w:r w:rsidRPr="001C635A">
              <w:rPr>
                <w:b/>
                <w:bCs/>
                <w:lang w:eastAsia="en-NZ"/>
              </w:rPr>
              <w:t>(Infoshare 16 November 2023)</w:t>
            </w:r>
          </w:p>
        </w:tc>
        <w:tc>
          <w:tcPr>
            <w:tcW w:w="2750" w:type="dxa"/>
            <w:gridSpan w:val="3"/>
            <w:tcBorders>
              <w:top w:val="nil"/>
              <w:bottom w:val="nil"/>
            </w:tcBorders>
            <w:shd w:val="clear" w:color="auto" w:fill="D9D9D9" w:themeFill="background1" w:themeFillShade="D9"/>
            <w:tcMar>
              <w:top w:w="45" w:type="dxa"/>
              <w:left w:w="0" w:type="dxa"/>
              <w:bottom w:w="45" w:type="dxa"/>
              <w:right w:w="0" w:type="dxa"/>
            </w:tcMar>
            <w:hideMark/>
          </w:tcPr>
          <w:p w14:paraId="2002B332" w14:textId="53A905A8" w:rsidR="007654A1" w:rsidRPr="001C635A" w:rsidRDefault="007654A1" w:rsidP="001C635A">
            <w:pPr>
              <w:pStyle w:val="TableText"/>
              <w:ind w:left="57"/>
              <w:jc w:val="center"/>
              <w:rPr>
                <w:rFonts w:cs="Segoe UI"/>
                <w:b/>
                <w:bCs/>
                <w:lang w:eastAsia="en-NZ"/>
              </w:rPr>
            </w:pPr>
            <w:r w:rsidRPr="001C635A">
              <w:rPr>
                <w:b/>
                <w:bCs/>
                <w:lang w:eastAsia="en-NZ"/>
              </w:rPr>
              <w:t>IHME Māori Population</w:t>
            </w:r>
          </w:p>
          <w:p w14:paraId="3DB173A2" w14:textId="164AD10E" w:rsidR="007654A1" w:rsidRPr="001C635A" w:rsidRDefault="007654A1" w:rsidP="001C635A">
            <w:pPr>
              <w:pStyle w:val="TableText"/>
              <w:ind w:left="57"/>
              <w:jc w:val="center"/>
              <w:rPr>
                <w:rFonts w:cs="Segoe UI"/>
                <w:b/>
                <w:bCs/>
                <w:lang w:eastAsia="en-NZ"/>
              </w:rPr>
            </w:pPr>
            <w:r w:rsidRPr="001C635A">
              <w:rPr>
                <w:b/>
                <w:bCs/>
                <w:lang w:eastAsia="en-NZ"/>
              </w:rPr>
              <w:t>(IHME October 2023)</w:t>
            </w:r>
          </w:p>
        </w:tc>
        <w:tc>
          <w:tcPr>
            <w:tcW w:w="2154" w:type="dxa"/>
            <w:gridSpan w:val="3"/>
            <w:tcBorders>
              <w:top w:val="nil"/>
              <w:bottom w:val="nil"/>
            </w:tcBorders>
            <w:shd w:val="clear" w:color="auto" w:fill="D9D9D9" w:themeFill="background1" w:themeFillShade="D9"/>
            <w:tcMar>
              <w:top w:w="45" w:type="dxa"/>
              <w:left w:w="0" w:type="dxa"/>
              <w:bottom w:w="45" w:type="dxa"/>
              <w:right w:w="0" w:type="dxa"/>
            </w:tcMar>
            <w:hideMark/>
          </w:tcPr>
          <w:p w14:paraId="2E3D1141" w14:textId="4F42C374" w:rsidR="007654A1" w:rsidRPr="001C635A" w:rsidRDefault="007654A1" w:rsidP="001C635A">
            <w:pPr>
              <w:pStyle w:val="TableText"/>
              <w:ind w:left="57"/>
              <w:jc w:val="center"/>
              <w:rPr>
                <w:rFonts w:cs="Segoe UI"/>
                <w:b/>
                <w:bCs/>
                <w:lang w:eastAsia="en-NZ"/>
              </w:rPr>
            </w:pPr>
            <w:r w:rsidRPr="001C635A">
              <w:rPr>
                <w:b/>
                <w:bCs/>
                <w:lang w:eastAsia="en-NZ"/>
              </w:rPr>
              <w:t>Percentage difference</w:t>
            </w:r>
          </w:p>
          <w:p w14:paraId="68341713" w14:textId="4F5109EA" w:rsidR="007654A1" w:rsidRPr="001C635A" w:rsidRDefault="007654A1" w:rsidP="001C635A">
            <w:pPr>
              <w:pStyle w:val="TableText"/>
              <w:ind w:left="57"/>
              <w:jc w:val="center"/>
              <w:rPr>
                <w:rFonts w:cs="Segoe UI"/>
                <w:b/>
                <w:bCs/>
                <w:lang w:eastAsia="en-NZ"/>
              </w:rPr>
            </w:pPr>
          </w:p>
        </w:tc>
      </w:tr>
      <w:tr w:rsidR="001C635A" w:rsidRPr="001C635A" w14:paraId="28855CB6" w14:textId="77777777" w:rsidTr="000E74C8">
        <w:tc>
          <w:tcPr>
            <w:tcW w:w="985" w:type="dxa"/>
            <w:tcBorders>
              <w:top w:val="nil"/>
              <w:bottom w:val="nil"/>
            </w:tcBorders>
            <w:shd w:val="clear" w:color="auto" w:fill="D9D9D9" w:themeFill="background1" w:themeFillShade="D9"/>
            <w:tcMar>
              <w:top w:w="45" w:type="dxa"/>
              <w:left w:w="0" w:type="dxa"/>
              <w:bottom w:w="45" w:type="dxa"/>
              <w:right w:w="0" w:type="dxa"/>
            </w:tcMar>
          </w:tcPr>
          <w:p w14:paraId="3F34E99C" w14:textId="4F9BFAFE" w:rsidR="001C635A" w:rsidRPr="001C635A" w:rsidRDefault="001C635A">
            <w:pPr>
              <w:pStyle w:val="TableText"/>
              <w:ind w:left="57"/>
              <w:rPr>
                <w:b/>
                <w:bCs/>
                <w:lang w:eastAsia="en-NZ"/>
              </w:rPr>
            </w:pPr>
          </w:p>
        </w:tc>
        <w:tc>
          <w:tcPr>
            <w:tcW w:w="916" w:type="dxa"/>
            <w:tcBorders>
              <w:top w:val="nil"/>
              <w:bottom w:val="nil"/>
            </w:tcBorders>
            <w:shd w:val="clear" w:color="auto" w:fill="D9D9D9" w:themeFill="background1" w:themeFillShade="D9"/>
            <w:tcMar>
              <w:top w:w="45" w:type="dxa"/>
              <w:left w:w="0" w:type="dxa"/>
              <w:bottom w:w="45" w:type="dxa"/>
              <w:right w:w="0" w:type="dxa"/>
            </w:tcMar>
          </w:tcPr>
          <w:p w14:paraId="6BF2D5EB" w14:textId="6746822B" w:rsidR="001C635A" w:rsidRPr="001C635A" w:rsidRDefault="001C635A">
            <w:pPr>
              <w:pStyle w:val="TableText"/>
              <w:ind w:left="57"/>
              <w:jc w:val="right"/>
              <w:rPr>
                <w:b/>
                <w:bCs/>
                <w:lang w:eastAsia="en-NZ"/>
              </w:rPr>
            </w:pPr>
            <w:r w:rsidRPr="001C635A">
              <w:rPr>
                <w:b/>
                <w:bCs/>
                <w:lang w:eastAsia="en-NZ"/>
              </w:rPr>
              <w:t>2010 </w:t>
            </w:r>
          </w:p>
        </w:tc>
        <w:tc>
          <w:tcPr>
            <w:tcW w:w="917" w:type="dxa"/>
            <w:tcBorders>
              <w:top w:val="nil"/>
              <w:bottom w:val="nil"/>
            </w:tcBorders>
            <w:shd w:val="clear" w:color="auto" w:fill="D9D9D9" w:themeFill="background1" w:themeFillShade="D9"/>
            <w:tcMar>
              <w:top w:w="45" w:type="dxa"/>
              <w:left w:w="0" w:type="dxa"/>
              <w:bottom w:w="45" w:type="dxa"/>
              <w:right w:w="0" w:type="dxa"/>
            </w:tcMar>
          </w:tcPr>
          <w:p w14:paraId="5E0586D0" w14:textId="1D12D912" w:rsidR="001C635A" w:rsidRPr="001C635A" w:rsidRDefault="001C635A">
            <w:pPr>
              <w:pStyle w:val="TableText"/>
              <w:ind w:left="57"/>
              <w:jc w:val="right"/>
              <w:rPr>
                <w:b/>
                <w:bCs/>
                <w:lang w:eastAsia="en-NZ"/>
              </w:rPr>
            </w:pPr>
            <w:r w:rsidRPr="001C635A">
              <w:rPr>
                <w:b/>
                <w:bCs/>
                <w:lang w:eastAsia="en-NZ"/>
              </w:rPr>
              <w:t>2015 </w:t>
            </w:r>
          </w:p>
        </w:tc>
        <w:tc>
          <w:tcPr>
            <w:tcW w:w="917" w:type="dxa"/>
            <w:tcBorders>
              <w:top w:val="nil"/>
              <w:bottom w:val="nil"/>
            </w:tcBorders>
            <w:shd w:val="clear" w:color="auto" w:fill="D9D9D9" w:themeFill="background1" w:themeFillShade="D9"/>
            <w:tcMar>
              <w:top w:w="45" w:type="dxa"/>
              <w:left w:w="0" w:type="dxa"/>
              <w:bottom w:w="45" w:type="dxa"/>
              <w:right w:w="0" w:type="dxa"/>
            </w:tcMar>
          </w:tcPr>
          <w:p w14:paraId="1511CFE1" w14:textId="057BB106" w:rsidR="001C635A" w:rsidRPr="001C635A" w:rsidRDefault="001C635A">
            <w:pPr>
              <w:pStyle w:val="TableText"/>
              <w:ind w:left="57"/>
              <w:jc w:val="right"/>
              <w:rPr>
                <w:b/>
                <w:bCs/>
                <w:lang w:eastAsia="en-NZ"/>
              </w:rPr>
            </w:pPr>
            <w:r w:rsidRPr="001C635A">
              <w:rPr>
                <w:b/>
                <w:bCs/>
                <w:lang w:eastAsia="en-NZ"/>
              </w:rPr>
              <w:t>2020 </w:t>
            </w:r>
          </w:p>
        </w:tc>
        <w:tc>
          <w:tcPr>
            <w:tcW w:w="917" w:type="dxa"/>
            <w:tcBorders>
              <w:top w:val="nil"/>
              <w:bottom w:val="nil"/>
            </w:tcBorders>
            <w:shd w:val="clear" w:color="auto" w:fill="D9D9D9" w:themeFill="background1" w:themeFillShade="D9"/>
            <w:tcMar>
              <w:top w:w="45" w:type="dxa"/>
              <w:left w:w="0" w:type="dxa"/>
              <w:bottom w:w="45" w:type="dxa"/>
              <w:right w:w="0" w:type="dxa"/>
            </w:tcMar>
          </w:tcPr>
          <w:p w14:paraId="676096F2" w14:textId="474DB94E" w:rsidR="001C635A" w:rsidRPr="001C635A" w:rsidRDefault="001C635A">
            <w:pPr>
              <w:pStyle w:val="TableText"/>
              <w:ind w:left="57"/>
              <w:jc w:val="right"/>
              <w:rPr>
                <w:b/>
                <w:bCs/>
                <w:lang w:eastAsia="en-NZ"/>
              </w:rPr>
            </w:pPr>
            <w:r w:rsidRPr="001C635A">
              <w:rPr>
                <w:b/>
                <w:bCs/>
                <w:lang w:eastAsia="en-NZ"/>
              </w:rPr>
              <w:t>2010 </w:t>
            </w:r>
          </w:p>
        </w:tc>
        <w:tc>
          <w:tcPr>
            <w:tcW w:w="916" w:type="dxa"/>
            <w:tcBorders>
              <w:top w:val="nil"/>
              <w:bottom w:val="nil"/>
            </w:tcBorders>
            <w:shd w:val="clear" w:color="auto" w:fill="D9D9D9" w:themeFill="background1" w:themeFillShade="D9"/>
            <w:tcMar>
              <w:top w:w="45" w:type="dxa"/>
              <w:left w:w="0" w:type="dxa"/>
              <w:bottom w:w="45" w:type="dxa"/>
              <w:right w:w="0" w:type="dxa"/>
            </w:tcMar>
          </w:tcPr>
          <w:p w14:paraId="7F8BA232" w14:textId="54462387" w:rsidR="001C635A" w:rsidRPr="001C635A" w:rsidRDefault="001C635A">
            <w:pPr>
              <w:pStyle w:val="TableText"/>
              <w:ind w:left="57"/>
              <w:jc w:val="right"/>
              <w:rPr>
                <w:b/>
                <w:bCs/>
                <w:lang w:eastAsia="en-NZ"/>
              </w:rPr>
            </w:pPr>
            <w:r w:rsidRPr="001C635A">
              <w:rPr>
                <w:b/>
                <w:bCs/>
                <w:lang w:eastAsia="en-NZ"/>
              </w:rPr>
              <w:t>2015 </w:t>
            </w:r>
          </w:p>
        </w:tc>
        <w:tc>
          <w:tcPr>
            <w:tcW w:w="917" w:type="dxa"/>
            <w:tcBorders>
              <w:top w:val="nil"/>
              <w:bottom w:val="nil"/>
            </w:tcBorders>
            <w:shd w:val="clear" w:color="auto" w:fill="D9D9D9" w:themeFill="background1" w:themeFillShade="D9"/>
            <w:tcMar>
              <w:top w:w="45" w:type="dxa"/>
              <w:left w:w="0" w:type="dxa"/>
              <w:bottom w:w="45" w:type="dxa"/>
              <w:right w:w="0" w:type="dxa"/>
            </w:tcMar>
          </w:tcPr>
          <w:p w14:paraId="2ADA41AA" w14:textId="36AE3BA9" w:rsidR="001C635A" w:rsidRPr="001C635A" w:rsidRDefault="001C635A">
            <w:pPr>
              <w:pStyle w:val="TableText"/>
              <w:ind w:left="57"/>
              <w:jc w:val="right"/>
              <w:rPr>
                <w:b/>
                <w:bCs/>
                <w:lang w:eastAsia="en-NZ"/>
              </w:rPr>
            </w:pPr>
            <w:r w:rsidRPr="001C635A">
              <w:rPr>
                <w:b/>
                <w:bCs/>
                <w:lang w:eastAsia="en-NZ"/>
              </w:rPr>
              <w:t>2020 </w:t>
            </w:r>
          </w:p>
        </w:tc>
        <w:tc>
          <w:tcPr>
            <w:tcW w:w="737" w:type="dxa"/>
            <w:tcBorders>
              <w:top w:val="nil"/>
              <w:bottom w:val="nil"/>
            </w:tcBorders>
            <w:shd w:val="clear" w:color="auto" w:fill="D9D9D9" w:themeFill="background1" w:themeFillShade="D9"/>
            <w:tcMar>
              <w:top w:w="45" w:type="dxa"/>
              <w:left w:w="0" w:type="dxa"/>
              <w:bottom w:w="45" w:type="dxa"/>
              <w:right w:w="0" w:type="dxa"/>
            </w:tcMar>
          </w:tcPr>
          <w:p w14:paraId="1215E702" w14:textId="0676AFDC" w:rsidR="001C635A" w:rsidRPr="001C635A" w:rsidRDefault="001C635A">
            <w:pPr>
              <w:pStyle w:val="TableText"/>
              <w:ind w:left="57"/>
              <w:jc w:val="right"/>
              <w:rPr>
                <w:b/>
                <w:bCs/>
                <w:lang w:eastAsia="en-NZ"/>
              </w:rPr>
            </w:pPr>
            <w:r w:rsidRPr="001C635A">
              <w:rPr>
                <w:b/>
                <w:bCs/>
                <w:lang w:eastAsia="en-NZ"/>
              </w:rPr>
              <w:t>% </w:t>
            </w:r>
          </w:p>
        </w:tc>
        <w:tc>
          <w:tcPr>
            <w:tcW w:w="708" w:type="dxa"/>
            <w:tcBorders>
              <w:top w:val="nil"/>
              <w:bottom w:val="nil"/>
            </w:tcBorders>
            <w:shd w:val="clear" w:color="auto" w:fill="D9D9D9" w:themeFill="background1" w:themeFillShade="D9"/>
            <w:tcMar>
              <w:top w:w="45" w:type="dxa"/>
              <w:left w:w="0" w:type="dxa"/>
              <w:bottom w:w="45" w:type="dxa"/>
              <w:right w:w="0" w:type="dxa"/>
            </w:tcMar>
          </w:tcPr>
          <w:p w14:paraId="6D4BFFCE" w14:textId="07494BC8" w:rsidR="001C635A" w:rsidRPr="001C635A" w:rsidRDefault="001C635A">
            <w:pPr>
              <w:pStyle w:val="TableText"/>
              <w:ind w:left="57"/>
              <w:jc w:val="right"/>
              <w:rPr>
                <w:b/>
                <w:bCs/>
                <w:lang w:eastAsia="en-NZ"/>
              </w:rPr>
            </w:pPr>
            <w:r w:rsidRPr="001C635A">
              <w:rPr>
                <w:b/>
                <w:bCs/>
                <w:lang w:eastAsia="en-NZ"/>
              </w:rPr>
              <w:t>% </w:t>
            </w:r>
          </w:p>
        </w:tc>
        <w:tc>
          <w:tcPr>
            <w:tcW w:w="709" w:type="dxa"/>
            <w:tcBorders>
              <w:top w:val="nil"/>
              <w:bottom w:val="nil"/>
            </w:tcBorders>
            <w:shd w:val="clear" w:color="auto" w:fill="D9D9D9" w:themeFill="background1" w:themeFillShade="D9"/>
            <w:tcMar>
              <w:top w:w="45" w:type="dxa"/>
              <w:left w:w="0" w:type="dxa"/>
              <w:bottom w:w="45" w:type="dxa"/>
              <w:right w:w="0" w:type="dxa"/>
            </w:tcMar>
          </w:tcPr>
          <w:p w14:paraId="17A17800" w14:textId="21ECDB40" w:rsidR="001C635A" w:rsidRPr="001C635A" w:rsidRDefault="001C635A">
            <w:pPr>
              <w:pStyle w:val="TableText"/>
              <w:ind w:left="57"/>
              <w:jc w:val="right"/>
              <w:rPr>
                <w:b/>
                <w:bCs/>
                <w:lang w:eastAsia="en-NZ"/>
              </w:rPr>
            </w:pPr>
            <w:r w:rsidRPr="001C635A">
              <w:rPr>
                <w:b/>
                <w:bCs/>
                <w:lang w:eastAsia="en-NZ"/>
              </w:rPr>
              <w:t>% </w:t>
            </w:r>
          </w:p>
        </w:tc>
      </w:tr>
      <w:tr w:rsidR="001C635A" w:rsidRPr="00624641" w14:paraId="026C0E98" w14:textId="77777777" w:rsidTr="000E74C8">
        <w:tc>
          <w:tcPr>
            <w:tcW w:w="985" w:type="dxa"/>
            <w:tcBorders>
              <w:top w:val="nil"/>
            </w:tcBorders>
            <w:tcMar>
              <w:top w:w="45" w:type="dxa"/>
              <w:left w:w="0" w:type="dxa"/>
              <w:bottom w:w="45" w:type="dxa"/>
              <w:right w:w="0" w:type="dxa"/>
            </w:tcMar>
          </w:tcPr>
          <w:p w14:paraId="5ADEBAEC" w14:textId="38CA4FE3" w:rsidR="001C635A" w:rsidRPr="00624641" w:rsidRDefault="001C635A" w:rsidP="001C635A">
            <w:pPr>
              <w:pStyle w:val="TableText"/>
              <w:ind w:left="57"/>
              <w:rPr>
                <w:lang w:eastAsia="en-NZ"/>
              </w:rPr>
            </w:pPr>
            <w:r w:rsidRPr="00624641">
              <w:rPr>
                <w:lang w:eastAsia="en-NZ"/>
              </w:rPr>
              <w:t>0</w:t>
            </w:r>
            <w:r>
              <w:rPr>
                <w:lang w:eastAsia="en-NZ"/>
              </w:rPr>
              <w:t>–</w:t>
            </w:r>
            <w:r w:rsidRPr="00624641">
              <w:rPr>
                <w:lang w:eastAsia="en-NZ"/>
              </w:rPr>
              <w:t>4 </w:t>
            </w:r>
          </w:p>
        </w:tc>
        <w:tc>
          <w:tcPr>
            <w:tcW w:w="916" w:type="dxa"/>
            <w:tcBorders>
              <w:top w:val="nil"/>
            </w:tcBorders>
            <w:tcMar>
              <w:top w:w="45" w:type="dxa"/>
              <w:left w:w="0" w:type="dxa"/>
              <w:bottom w:w="45" w:type="dxa"/>
              <w:right w:w="0" w:type="dxa"/>
            </w:tcMar>
          </w:tcPr>
          <w:p w14:paraId="2DB5E6B9" w14:textId="44678B03" w:rsidR="001C635A" w:rsidRPr="00624641" w:rsidRDefault="001C635A" w:rsidP="001C635A">
            <w:pPr>
              <w:pStyle w:val="TableText"/>
              <w:ind w:left="57"/>
              <w:jc w:val="right"/>
              <w:rPr>
                <w:lang w:eastAsia="en-NZ"/>
              </w:rPr>
            </w:pPr>
            <w:r w:rsidRPr="00624641">
              <w:rPr>
                <w:lang w:eastAsia="en-NZ"/>
              </w:rPr>
              <w:t>89,700 </w:t>
            </w:r>
          </w:p>
        </w:tc>
        <w:tc>
          <w:tcPr>
            <w:tcW w:w="917" w:type="dxa"/>
            <w:tcBorders>
              <w:top w:val="nil"/>
            </w:tcBorders>
            <w:tcMar>
              <w:top w:w="45" w:type="dxa"/>
              <w:left w:w="0" w:type="dxa"/>
              <w:bottom w:w="45" w:type="dxa"/>
              <w:right w:w="0" w:type="dxa"/>
            </w:tcMar>
          </w:tcPr>
          <w:p w14:paraId="36610BC4" w14:textId="534CB9DF" w:rsidR="001C635A" w:rsidRPr="00624641" w:rsidRDefault="001C635A" w:rsidP="001C635A">
            <w:pPr>
              <w:pStyle w:val="TableText"/>
              <w:ind w:left="57"/>
              <w:jc w:val="right"/>
              <w:rPr>
                <w:lang w:eastAsia="en-NZ"/>
              </w:rPr>
            </w:pPr>
            <w:r w:rsidRPr="00624641">
              <w:rPr>
                <w:lang w:eastAsia="en-NZ"/>
              </w:rPr>
              <w:t>85,820 </w:t>
            </w:r>
          </w:p>
        </w:tc>
        <w:tc>
          <w:tcPr>
            <w:tcW w:w="917" w:type="dxa"/>
            <w:tcBorders>
              <w:top w:val="nil"/>
            </w:tcBorders>
            <w:tcMar>
              <w:top w:w="45" w:type="dxa"/>
              <w:left w:w="0" w:type="dxa"/>
              <w:bottom w:w="45" w:type="dxa"/>
              <w:right w:w="0" w:type="dxa"/>
            </w:tcMar>
          </w:tcPr>
          <w:p w14:paraId="440D3FC3" w14:textId="41837A4D" w:rsidR="001C635A" w:rsidRPr="00624641" w:rsidRDefault="001C635A" w:rsidP="001C635A">
            <w:pPr>
              <w:pStyle w:val="TableText"/>
              <w:ind w:left="57"/>
              <w:jc w:val="right"/>
              <w:rPr>
                <w:lang w:eastAsia="en-NZ"/>
              </w:rPr>
            </w:pPr>
            <w:r w:rsidRPr="00624641">
              <w:rPr>
                <w:lang w:eastAsia="en-NZ"/>
              </w:rPr>
              <w:t>85,100 </w:t>
            </w:r>
          </w:p>
        </w:tc>
        <w:tc>
          <w:tcPr>
            <w:tcW w:w="917" w:type="dxa"/>
            <w:tcBorders>
              <w:top w:val="nil"/>
            </w:tcBorders>
            <w:tcMar>
              <w:top w:w="45" w:type="dxa"/>
              <w:left w:w="0" w:type="dxa"/>
              <w:bottom w:w="45" w:type="dxa"/>
              <w:right w:w="0" w:type="dxa"/>
            </w:tcMar>
          </w:tcPr>
          <w:p w14:paraId="4B53E259" w14:textId="6BF7B117" w:rsidR="001C635A" w:rsidRPr="00624641" w:rsidRDefault="001C635A" w:rsidP="001C635A">
            <w:pPr>
              <w:pStyle w:val="TableText"/>
              <w:ind w:left="57"/>
              <w:jc w:val="right"/>
              <w:rPr>
                <w:lang w:eastAsia="en-NZ"/>
              </w:rPr>
            </w:pPr>
            <w:r w:rsidRPr="00624641">
              <w:rPr>
                <w:lang w:eastAsia="en-NZ"/>
              </w:rPr>
              <w:t>81,493 </w:t>
            </w:r>
          </w:p>
        </w:tc>
        <w:tc>
          <w:tcPr>
            <w:tcW w:w="916" w:type="dxa"/>
            <w:tcBorders>
              <w:top w:val="nil"/>
            </w:tcBorders>
            <w:tcMar>
              <w:top w:w="45" w:type="dxa"/>
              <w:left w:w="0" w:type="dxa"/>
              <w:bottom w:w="45" w:type="dxa"/>
              <w:right w:w="0" w:type="dxa"/>
            </w:tcMar>
          </w:tcPr>
          <w:p w14:paraId="6C1F473F" w14:textId="1851A662" w:rsidR="001C635A" w:rsidRPr="00624641" w:rsidRDefault="001C635A" w:rsidP="001C635A">
            <w:pPr>
              <w:pStyle w:val="TableText"/>
              <w:ind w:left="57"/>
              <w:jc w:val="right"/>
              <w:rPr>
                <w:lang w:eastAsia="en-NZ"/>
              </w:rPr>
            </w:pPr>
            <w:r w:rsidRPr="00624641">
              <w:rPr>
                <w:lang w:eastAsia="en-NZ"/>
              </w:rPr>
              <w:t>79,729 </w:t>
            </w:r>
          </w:p>
        </w:tc>
        <w:tc>
          <w:tcPr>
            <w:tcW w:w="917" w:type="dxa"/>
            <w:tcBorders>
              <w:top w:val="nil"/>
            </w:tcBorders>
            <w:tcMar>
              <w:top w:w="45" w:type="dxa"/>
              <w:left w:w="0" w:type="dxa"/>
              <w:bottom w:w="45" w:type="dxa"/>
              <w:right w:w="0" w:type="dxa"/>
            </w:tcMar>
          </w:tcPr>
          <w:p w14:paraId="06FD30B4" w14:textId="0F68CE27" w:rsidR="001C635A" w:rsidRPr="00624641" w:rsidRDefault="001C635A" w:rsidP="001C635A">
            <w:pPr>
              <w:pStyle w:val="TableText"/>
              <w:ind w:left="57"/>
              <w:jc w:val="right"/>
              <w:rPr>
                <w:lang w:eastAsia="en-NZ"/>
              </w:rPr>
            </w:pPr>
            <w:r w:rsidRPr="00624641">
              <w:rPr>
                <w:lang w:eastAsia="en-NZ"/>
              </w:rPr>
              <w:t>87,002 </w:t>
            </w:r>
          </w:p>
        </w:tc>
        <w:tc>
          <w:tcPr>
            <w:tcW w:w="737" w:type="dxa"/>
            <w:tcBorders>
              <w:top w:val="nil"/>
            </w:tcBorders>
            <w:tcMar>
              <w:top w:w="45" w:type="dxa"/>
              <w:left w:w="0" w:type="dxa"/>
              <w:bottom w:w="45" w:type="dxa"/>
              <w:right w:w="0" w:type="dxa"/>
            </w:tcMar>
          </w:tcPr>
          <w:p w14:paraId="3A4223C3" w14:textId="42B96BC2" w:rsidR="001C635A" w:rsidRPr="00624641" w:rsidRDefault="001C635A" w:rsidP="001C635A">
            <w:pPr>
              <w:pStyle w:val="TableText"/>
              <w:ind w:left="57"/>
              <w:jc w:val="right"/>
              <w:rPr>
                <w:lang w:eastAsia="en-NZ"/>
              </w:rPr>
            </w:pPr>
            <w:r w:rsidRPr="00624641">
              <w:rPr>
                <w:lang w:eastAsia="en-NZ"/>
              </w:rPr>
              <w:t>-9% </w:t>
            </w:r>
          </w:p>
        </w:tc>
        <w:tc>
          <w:tcPr>
            <w:tcW w:w="708" w:type="dxa"/>
            <w:tcBorders>
              <w:top w:val="nil"/>
            </w:tcBorders>
            <w:tcMar>
              <w:top w:w="45" w:type="dxa"/>
              <w:left w:w="0" w:type="dxa"/>
              <w:bottom w:w="45" w:type="dxa"/>
              <w:right w:w="0" w:type="dxa"/>
            </w:tcMar>
          </w:tcPr>
          <w:p w14:paraId="1662B66D" w14:textId="5E67D727" w:rsidR="001C635A" w:rsidRPr="00624641" w:rsidRDefault="001C635A" w:rsidP="001C635A">
            <w:pPr>
              <w:pStyle w:val="TableText"/>
              <w:ind w:left="57"/>
              <w:jc w:val="right"/>
              <w:rPr>
                <w:lang w:eastAsia="en-NZ"/>
              </w:rPr>
            </w:pPr>
            <w:r w:rsidRPr="00624641">
              <w:rPr>
                <w:lang w:eastAsia="en-NZ"/>
              </w:rPr>
              <w:t>-7% </w:t>
            </w:r>
          </w:p>
        </w:tc>
        <w:tc>
          <w:tcPr>
            <w:tcW w:w="709" w:type="dxa"/>
            <w:tcBorders>
              <w:top w:val="nil"/>
            </w:tcBorders>
            <w:tcMar>
              <w:top w:w="45" w:type="dxa"/>
              <w:left w:w="0" w:type="dxa"/>
              <w:bottom w:w="45" w:type="dxa"/>
              <w:right w:w="0" w:type="dxa"/>
            </w:tcMar>
          </w:tcPr>
          <w:p w14:paraId="63FD2B1E" w14:textId="50B5DFAA" w:rsidR="001C635A" w:rsidRPr="00624641" w:rsidRDefault="001C635A" w:rsidP="001C635A">
            <w:pPr>
              <w:pStyle w:val="TableText"/>
              <w:ind w:left="57"/>
              <w:jc w:val="right"/>
              <w:rPr>
                <w:lang w:eastAsia="en-NZ"/>
              </w:rPr>
            </w:pPr>
            <w:r w:rsidRPr="00624641">
              <w:rPr>
                <w:lang w:eastAsia="en-NZ"/>
              </w:rPr>
              <w:t>2% </w:t>
            </w:r>
          </w:p>
        </w:tc>
      </w:tr>
      <w:tr w:rsidR="001C635A" w:rsidRPr="00624641" w14:paraId="24CE549C" w14:textId="77777777" w:rsidTr="000E74C8">
        <w:tc>
          <w:tcPr>
            <w:tcW w:w="985" w:type="dxa"/>
            <w:tcMar>
              <w:top w:w="45" w:type="dxa"/>
              <w:left w:w="0" w:type="dxa"/>
              <w:bottom w:w="45" w:type="dxa"/>
              <w:right w:w="0" w:type="dxa"/>
            </w:tcMar>
            <w:hideMark/>
          </w:tcPr>
          <w:p w14:paraId="72D30E6E" w14:textId="77777777" w:rsidR="001C635A" w:rsidRPr="00624641" w:rsidRDefault="001C635A" w:rsidP="001C635A">
            <w:pPr>
              <w:pStyle w:val="TableText"/>
              <w:ind w:left="57"/>
              <w:rPr>
                <w:rFonts w:cs="Segoe UI"/>
                <w:lang w:eastAsia="en-NZ"/>
              </w:rPr>
            </w:pPr>
            <w:r w:rsidRPr="00624641">
              <w:rPr>
                <w:lang w:eastAsia="en-NZ"/>
              </w:rPr>
              <w:t>5</w:t>
            </w:r>
            <w:r>
              <w:rPr>
                <w:lang w:eastAsia="en-NZ"/>
              </w:rPr>
              <w:t>–</w:t>
            </w:r>
            <w:r w:rsidRPr="00624641">
              <w:rPr>
                <w:lang w:eastAsia="en-NZ"/>
              </w:rPr>
              <w:t>9 </w:t>
            </w:r>
          </w:p>
        </w:tc>
        <w:tc>
          <w:tcPr>
            <w:tcW w:w="916" w:type="dxa"/>
            <w:tcMar>
              <w:top w:w="45" w:type="dxa"/>
              <w:left w:w="0" w:type="dxa"/>
              <w:bottom w:w="45" w:type="dxa"/>
              <w:right w:w="0" w:type="dxa"/>
            </w:tcMar>
            <w:hideMark/>
          </w:tcPr>
          <w:p w14:paraId="25DD9610" w14:textId="77777777" w:rsidR="001C635A" w:rsidRPr="00624641" w:rsidRDefault="001C635A" w:rsidP="001C635A">
            <w:pPr>
              <w:pStyle w:val="TableText"/>
              <w:ind w:left="57"/>
              <w:jc w:val="right"/>
              <w:rPr>
                <w:rFonts w:cs="Segoe UI"/>
                <w:lang w:eastAsia="en-NZ"/>
              </w:rPr>
            </w:pPr>
            <w:r w:rsidRPr="00624641">
              <w:rPr>
                <w:lang w:eastAsia="en-NZ"/>
              </w:rPr>
              <w:t>74,840 </w:t>
            </w:r>
          </w:p>
        </w:tc>
        <w:tc>
          <w:tcPr>
            <w:tcW w:w="917" w:type="dxa"/>
            <w:tcMar>
              <w:top w:w="45" w:type="dxa"/>
              <w:left w:w="0" w:type="dxa"/>
              <w:bottom w:w="45" w:type="dxa"/>
              <w:right w:w="0" w:type="dxa"/>
            </w:tcMar>
            <w:hideMark/>
          </w:tcPr>
          <w:p w14:paraId="40D2A048" w14:textId="77777777" w:rsidR="001C635A" w:rsidRPr="00624641" w:rsidRDefault="001C635A" w:rsidP="001C635A">
            <w:pPr>
              <w:pStyle w:val="TableText"/>
              <w:ind w:left="57"/>
              <w:jc w:val="right"/>
              <w:rPr>
                <w:rFonts w:cs="Segoe UI"/>
                <w:lang w:eastAsia="en-NZ"/>
              </w:rPr>
            </w:pPr>
            <w:r w:rsidRPr="00624641">
              <w:rPr>
                <w:lang w:eastAsia="en-NZ"/>
              </w:rPr>
              <w:t>87,830 </w:t>
            </w:r>
          </w:p>
        </w:tc>
        <w:tc>
          <w:tcPr>
            <w:tcW w:w="917" w:type="dxa"/>
            <w:tcMar>
              <w:top w:w="45" w:type="dxa"/>
              <w:left w:w="0" w:type="dxa"/>
              <w:bottom w:w="45" w:type="dxa"/>
              <w:right w:w="0" w:type="dxa"/>
            </w:tcMar>
            <w:hideMark/>
          </w:tcPr>
          <w:p w14:paraId="6B5BB409" w14:textId="77777777" w:rsidR="001C635A" w:rsidRPr="00624641" w:rsidRDefault="001C635A" w:rsidP="001C635A">
            <w:pPr>
              <w:pStyle w:val="TableText"/>
              <w:ind w:left="57"/>
              <w:jc w:val="right"/>
              <w:rPr>
                <w:rFonts w:cs="Segoe UI"/>
                <w:lang w:eastAsia="en-NZ"/>
              </w:rPr>
            </w:pPr>
            <w:r w:rsidRPr="00624641">
              <w:rPr>
                <w:lang w:eastAsia="en-NZ"/>
              </w:rPr>
              <w:t>87,940 </w:t>
            </w:r>
          </w:p>
        </w:tc>
        <w:tc>
          <w:tcPr>
            <w:tcW w:w="917" w:type="dxa"/>
            <w:tcMar>
              <w:top w:w="45" w:type="dxa"/>
              <w:left w:w="0" w:type="dxa"/>
              <w:bottom w:w="45" w:type="dxa"/>
              <w:right w:w="0" w:type="dxa"/>
            </w:tcMar>
            <w:hideMark/>
          </w:tcPr>
          <w:p w14:paraId="38169ADB" w14:textId="77777777" w:rsidR="001C635A" w:rsidRPr="00624641" w:rsidRDefault="001C635A" w:rsidP="001C635A">
            <w:pPr>
              <w:pStyle w:val="TableText"/>
              <w:ind w:left="57"/>
              <w:jc w:val="right"/>
              <w:rPr>
                <w:rFonts w:cs="Segoe UI"/>
                <w:lang w:eastAsia="en-NZ"/>
              </w:rPr>
            </w:pPr>
            <w:r w:rsidRPr="00624641">
              <w:rPr>
                <w:lang w:eastAsia="en-NZ"/>
              </w:rPr>
              <w:t>72,521 </w:t>
            </w:r>
          </w:p>
        </w:tc>
        <w:tc>
          <w:tcPr>
            <w:tcW w:w="916" w:type="dxa"/>
            <w:tcMar>
              <w:top w:w="45" w:type="dxa"/>
              <w:left w:w="0" w:type="dxa"/>
              <w:bottom w:w="45" w:type="dxa"/>
              <w:right w:w="0" w:type="dxa"/>
            </w:tcMar>
            <w:hideMark/>
          </w:tcPr>
          <w:p w14:paraId="563F9874" w14:textId="77777777" w:rsidR="001C635A" w:rsidRPr="00624641" w:rsidRDefault="001C635A" w:rsidP="001C635A">
            <w:pPr>
              <w:pStyle w:val="TableText"/>
              <w:ind w:left="57"/>
              <w:jc w:val="right"/>
              <w:rPr>
                <w:rFonts w:cs="Segoe UI"/>
                <w:lang w:eastAsia="en-NZ"/>
              </w:rPr>
            </w:pPr>
            <w:r w:rsidRPr="00624641">
              <w:rPr>
                <w:lang w:eastAsia="en-NZ"/>
              </w:rPr>
              <w:t>83,893 </w:t>
            </w:r>
          </w:p>
        </w:tc>
        <w:tc>
          <w:tcPr>
            <w:tcW w:w="917" w:type="dxa"/>
            <w:tcMar>
              <w:top w:w="45" w:type="dxa"/>
              <w:left w:w="0" w:type="dxa"/>
              <w:bottom w:w="45" w:type="dxa"/>
              <w:right w:w="0" w:type="dxa"/>
            </w:tcMar>
            <w:hideMark/>
          </w:tcPr>
          <w:p w14:paraId="60C86C43" w14:textId="77777777" w:rsidR="001C635A" w:rsidRPr="00624641" w:rsidRDefault="001C635A" w:rsidP="001C635A">
            <w:pPr>
              <w:pStyle w:val="TableText"/>
              <w:ind w:left="57"/>
              <w:jc w:val="right"/>
              <w:rPr>
                <w:rFonts w:cs="Segoe UI"/>
                <w:lang w:eastAsia="en-NZ"/>
              </w:rPr>
            </w:pPr>
            <w:r w:rsidRPr="00624641">
              <w:rPr>
                <w:lang w:eastAsia="en-NZ"/>
              </w:rPr>
              <w:t>90,595 </w:t>
            </w:r>
          </w:p>
        </w:tc>
        <w:tc>
          <w:tcPr>
            <w:tcW w:w="737" w:type="dxa"/>
            <w:tcMar>
              <w:top w:w="45" w:type="dxa"/>
              <w:left w:w="0" w:type="dxa"/>
              <w:bottom w:w="45" w:type="dxa"/>
              <w:right w:w="0" w:type="dxa"/>
            </w:tcMar>
            <w:hideMark/>
          </w:tcPr>
          <w:p w14:paraId="03EE232E" w14:textId="77777777" w:rsidR="001C635A" w:rsidRPr="00624641" w:rsidRDefault="001C635A" w:rsidP="001C635A">
            <w:pPr>
              <w:pStyle w:val="TableText"/>
              <w:ind w:left="57"/>
              <w:jc w:val="right"/>
              <w:rPr>
                <w:rFonts w:cs="Segoe UI"/>
                <w:lang w:eastAsia="en-NZ"/>
              </w:rPr>
            </w:pPr>
            <w:r w:rsidRPr="00624641">
              <w:rPr>
                <w:lang w:eastAsia="en-NZ"/>
              </w:rPr>
              <w:t>-3% </w:t>
            </w:r>
          </w:p>
        </w:tc>
        <w:tc>
          <w:tcPr>
            <w:tcW w:w="708" w:type="dxa"/>
            <w:tcMar>
              <w:top w:w="45" w:type="dxa"/>
              <w:left w:w="0" w:type="dxa"/>
              <w:bottom w:w="45" w:type="dxa"/>
              <w:right w:w="0" w:type="dxa"/>
            </w:tcMar>
            <w:hideMark/>
          </w:tcPr>
          <w:p w14:paraId="61C85135" w14:textId="77777777" w:rsidR="001C635A" w:rsidRPr="00624641" w:rsidRDefault="001C635A" w:rsidP="001C635A">
            <w:pPr>
              <w:pStyle w:val="TableText"/>
              <w:ind w:left="57"/>
              <w:jc w:val="right"/>
              <w:rPr>
                <w:rFonts w:cs="Segoe UI"/>
                <w:lang w:eastAsia="en-NZ"/>
              </w:rPr>
            </w:pPr>
            <w:r w:rsidRPr="00624641">
              <w:rPr>
                <w:lang w:eastAsia="en-NZ"/>
              </w:rPr>
              <w:t>-4% </w:t>
            </w:r>
          </w:p>
        </w:tc>
        <w:tc>
          <w:tcPr>
            <w:tcW w:w="709" w:type="dxa"/>
            <w:tcMar>
              <w:top w:w="45" w:type="dxa"/>
              <w:left w:w="0" w:type="dxa"/>
              <w:bottom w:w="45" w:type="dxa"/>
              <w:right w:w="0" w:type="dxa"/>
            </w:tcMar>
            <w:hideMark/>
          </w:tcPr>
          <w:p w14:paraId="5CE0529E" w14:textId="77777777" w:rsidR="001C635A" w:rsidRPr="00624641" w:rsidRDefault="001C635A" w:rsidP="001C635A">
            <w:pPr>
              <w:pStyle w:val="TableText"/>
              <w:ind w:left="57"/>
              <w:jc w:val="right"/>
              <w:rPr>
                <w:rFonts w:cs="Segoe UI"/>
                <w:lang w:eastAsia="en-NZ"/>
              </w:rPr>
            </w:pPr>
            <w:r w:rsidRPr="00624641">
              <w:rPr>
                <w:lang w:eastAsia="en-NZ"/>
              </w:rPr>
              <w:t>3% </w:t>
            </w:r>
          </w:p>
        </w:tc>
      </w:tr>
      <w:tr w:rsidR="001C635A" w:rsidRPr="00624641" w14:paraId="599CD398" w14:textId="77777777" w:rsidTr="000E74C8">
        <w:tc>
          <w:tcPr>
            <w:tcW w:w="985" w:type="dxa"/>
            <w:tcMar>
              <w:top w:w="45" w:type="dxa"/>
              <w:left w:w="0" w:type="dxa"/>
              <w:bottom w:w="45" w:type="dxa"/>
              <w:right w:w="0" w:type="dxa"/>
            </w:tcMar>
            <w:hideMark/>
          </w:tcPr>
          <w:p w14:paraId="1A90BD04" w14:textId="77777777" w:rsidR="001C635A" w:rsidRPr="00624641" w:rsidRDefault="001C635A" w:rsidP="001C635A">
            <w:pPr>
              <w:pStyle w:val="TableText"/>
              <w:ind w:left="57"/>
              <w:rPr>
                <w:rFonts w:cs="Segoe UI"/>
                <w:lang w:eastAsia="en-NZ"/>
              </w:rPr>
            </w:pPr>
            <w:r w:rsidRPr="00624641">
              <w:rPr>
                <w:lang w:eastAsia="en-NZ"/>
              </w:rPr>
              <w:t>10</w:t>
            </w:r>
            <w:r>
              <w:rPr>
                <w:lang w:eastAsia="en-NZ"/>
              </w:rPr>
              <w:t>–</w:t>
            </w:r>
            <w:r w:rsidRPr="00624641">
              <w:rPr>
                <w:lang w:eastAsia="en-NZ"/>
              </w:rPr>
              <w:t>14 </w:t>
            </w:r>
          </w:p>
        </w:tc>
        <w:tc>
          <w:tcPr>
            <w:tcW w:w="916" w:type="dxa"/>
            <w:tcMar>
              <w:top w:w="45" w:type="dxa"/>
              <w:left w:w="0" w:type="dxa"/>
              <w:bottom w:w="45" w:type="dxa"/>
              <w:right w:w="0" w:type="dxa"/>
            </w:tcMar>
            <w:hideMark/>
          </w:tcPr>
          <w:p w14:paraId="3DAFFBD9" w14:textId="77777777" w:rsidR="001C635A" w:rsidRPr="00624641" w:rsidRDefault="001C635A" w:rsidP="001C635A">
            <w:pPr>
              <w:pStyle w:val="TableText"/>
              <w:ind w:left="57"/>
              <w:jc w:val="right"/>
              <w:rPr>
                <w:rFonts w:cs="Segoe UI"/>
                <w:lang w:eastAsia="en-NZ"/>
              </w:rPr>
            </w:pPr>
            <w:r w:rsidRPr="00624641">
              <w:rPr>
                <w:lang w:eastAsia="en-NZ"/>
              </w:rPr>
              <w:t>72,840 </w:t>
            </w:r>
          </w:p>
        </w:tc>
        <w:tc>
          <w:tcPr>
            <w:tcW w:w="917" w:type="dxa"/>
            <w:tcMar>
              <w:top w:w="45" w:type="dxa"/>
              <w:left w:w="0" w:type="dxa"/>
              <w:bottom w:w="45" w:type="dxa"/>
              <w:right w:w="0" w:type="dxa"/>
            </w:tcMar>
            <w:hideMark/>
          </w:tcPr>
          <w:p w14:paraId="235D92EB" w14:textId="77777777" w:rsidR="001C635A" w:rsidRPr="00624641" w:rsidRDefault="001C635A" w:rsidP="001C635A">
            <w:pPr>
              <w:pStyle w:val="TableText"/>
              <w:ind w:left="57"/>
              <w:jc w:val="right"/>
              <w:rPr>
                <w:rFonts w:cs="Segoe UI"/>
                <w:lang w:eastAsia="en-NZ"/>
              </w:rPr>
            </w:pPr>
            <w:r w:rsidRPr="00624641">
              <w:rPr>
                <w:lang w:eastAsia="en-NZ"/>
              </w:rPr>
              <w:t>76,210 </w:t>
            </w:r>
          </w:p>
        </w:tc>
        <w:tc>
          <w:tcPr>
            <w:tcW w:w="917" w:type="dxa"/>
            <w:tcMar>
              <w:top w:w="45" w:type="dxa"/>
              <w:left w:w="0" w:type="dxa"/>
              <w:bottom w:w="45" w:type="dxa"/>
              <w:right w:w="0" w:type="dxa"/>
            </w:tcMar>
            <w:hideMark/>
          </w:tcPr>
          <w:p w14:paraId="57DA081A" w14:textId="77777777" w:rsidR="001C635A" w:rsidRPr="00624641" w:rsidRDefault="001C635A" w:rsidP="001C635A">
            <w:pPr>
              <w:pStyle w:val="TableText"/>
              <w:ind w:left="57"/>
              <w:jc w:val="right"/>
              <w:rPr>
                <w:rFonts w:cs="Segoe UI"/>
                <w:lang w:eastAsia="en-NZ"/>
              </w:rPr>
            </w:pPr>
            <w:r w:rsidRPr="00624641">
              <w:rPr>
                <w:lang w:eastAsia="en-NZ"/>
              </w:rPr>
              <w:t>89,070 </w:t>
            </w:r>
          </w:p>
        </w:tc>
        <w:tc>
          <w:tcPr>
            <w:tcW w:w="917" w:type="dxa"/>
            <w:tcMar>
              <w:top w:w="45" w:type="dxa"/>
              <w:left w:w="0" w:type="dxa"/>
              <w:bottom w:w="45" w:type="dxa"/>
              <w:right w:w="0" w:type="dxa"/>
            </w:tcMar>
            <w:hideMark/>
          </w:tcPr>
          <w:p w14:paraId="6275B944" w14:textId="77777777" w:rsidR="001C635A" w:rsidRPr="00624641" w:rsidRDefault="001C635A" w:rsidP="001C635A">
            <w:pPr>
              <w:pStyle w:val="TableText"/>
              <w:ind w:left="57"/>
              <w:jc w:val="right"/>
              <w:rPr>
                <w:rFonts w:cs="Segoe UI"/>
                <w:lang w:eastAsia="en-NZ"/>
              </w:rPr>
            </w:pPr>
            <w:r w:rsidRPr="00624641">
              <w:rPr>
                <w:lang w:eastAsia="en-NZ"/>
              </w:rPr>
              <w:t>70,705 </w:t>
            </w:r>
          </w:p>
        </w:tc>
        <w:tc>
          <w:tcPr>
            <w:tcW w:w="916" w:type="dxa"/>
            <w:tcMar>
              <w:top w:w="45" w:type="dxa"/>
              <w:left w:w="0" w:type="dxa"/>
              <w:bottom w:w="45" w:type="dxa"/>
              <w:right w:w="0" w:type="dxa"/>
            </w:tcMar>
            <w:hideMark/>
          </w:tcPr>
          <w:p w14:paraId="59514E27" w14:textId="77777777" w:rsidR="001C635A" w:rsidRPr="00624641" w:rsidRDefault="001C635A" w:rsidP="001C635A">
            <w:pPr>
              <w:pStyle w:val="TableText"/>
              <w:ind w:left="57"/>
              <w:jc w:val="right"/>
              <w:rPr>
                <w:rFonts w:cs="Segoe UI"/>
                <w:lang w:eastAsia="en-NZ"/>
              </w:rPr>
            </w:pPr>
            <w:r w:rsidRPr="00624641">
              <w:rPr>
                <w:lang w:eastAsia="en-NZ"/>
              </w:rPr>
              <w:t>74,119 </w:t>
            </w:r>
          </w:p>
        </w:tc>
        <w:tc>
          <w:tcPr>
            <w:tcW w:w="917" w:type="dxa"/>
            <w:tcMar>
              <w:top w:w="45" w:type="dxa"/>
              <w:left w:w="0" w:type="dxa"/>
              <w:bottom w:w="45" w:type="dxa"/>
              <w:right w:w="0" w:type="dxa"/>
            </w:tcMar>
            <w:hideMark/>
          </w:tcPr>
          <w:p w14:paraId="1F300FF4" w14:textId="77777777" w:rsidR="001C635A" w:rsidRPr="00624641" w:rsidRDefault="001C635A" w:rsidP="001C635A">
            <w:pPr>
              <w:pStyle w:val="TableText"/>
              <w:ind w:left="57"/>
              <w:jc w:val="right"/>
              <w:rPr>
                <w:rFonts w:cs="Segoe UI"/>
                <w:lang w:eastAsia="en-NZ"/>
              </w:rPr>
            </w:pPr>
            <w:r w:rsidRPr="00624641">
              <w:rPr>
                <w:lang w:eastAsia="en-NZ"/>
              </w:rPr>
              <w:t>90,070 </w:t>
            </w:r>
          </w:p>
        </w:tc>
        <w:tc>
          <w:tcPr>
            <w:tcW w:w="737" w:type="dxa"/>
            <w:tcMar>
              <w:top w:w="45" w:type="dxa"/>
              <w:left w:w="0" w:type="dxa"/>
              <w:bottom w:w="45" w:type="dxa"/>
              <w:right w:w="0" w:type="dxa"/>
            </w:tcMar>
            <w:hideMark/>
          </w:tcPr>
          <w:p w14:paraId="11E0B8B1" w14:textId="77777777" w:rsidR="001C635A" w:rsidRPr="00624641" w:rsidRDefault="001C635A" w:rsidP="001C635A">
            <w:pPr>
              <w:pStyle w:val="TableText"/>
              <w:ind w:left="57"/>
              <w:jc w:val="right"/>
              <w:rPr>
                <w:rFonts w:cs="Segoe UI"/>
                <w:lang w:eastAsia="en-NZ"/>
              </w:rPr>
            </w:pPr>
            <w:r w:rsidRPr="00624641">
              <w:rPr>
                <w:lang w:eastAsia="en-NZ"/>
              </w:rPr>
              <w:t>-3% </w:t>
            </w:r>
          </w:p>
        </w:tc>
        <w:tc>
          <w:tcPr>
            <w:tcW w:w="708" w:type="dxa"/>
            <w:tcMar>
              <w:top w:w="45" w:type="dxa"/>
              <w:left w:w="0" w:type="dxa"/>
              <w:bottom w:w="45" w:type="dxa"/>
              <w:right w:w="0" w:type="dxa"/>
            </w:tcMar>
            <w:hideMark/>
          </w:tcPr>
          <w:p w14:paraId="751A28DA" w14:textId="77777777" w:rsidR="001C635A" w:rsidRPr="00624641" w:rsidRDefault="001C635A" w:rsidP="001C635A">
            <w:pPr>
              <w:pStyle w:val="TableText"/>
              <w:ind w:left="57"/>
              <w:jc w:val="right"/>
              <w:rPr>
                <w:rFonts w:cs="Segoe UI"/>
                <w:lang w:eastAsia="en-NZ"/>
              </w:rPr>
            </w:pPr>
            <w:r w:rsidRPr="00624641">
              <w:rPr>
                <w:lang w:eastAsia="en-NZ"/>
              </w:rPr>
              <w:t>-3% </w:t>
            </w:r>
          </w:p>
        </w:tc>
        <w:tc>
          <w:tcPr>
            <w:tcW w:w="709" w:type="dxa"/>
            <w:tcMar>
              <w:top w:w="45" w:type="dxa"/>
              <w:left w:w="0" w:type="dxa"/>
              <w:bottom w:w="45" w:type="dxa"/>
              <w:right w:w="0" w:type="dxa"/>
            </w:tcMar>
            <w:hideMark/>
          </w:tcPr>
          <w:p w14:paraId="079E2923" w14:textId="77777777" w:rsidR="001C635A" w:rsidRPr="00624641" w:rsidRDefault="001C635A" w:rsidP="001C635A">
            <w:pPr>
              <w:pStyle w:val="TableText"/>
              <w:ind w:left="57"/>
              <w:jc w:val="right"/>
              <w:rPr>
                <w:rFonts w:cs="Segoe UI"/>
                <w:lang w:eastAsia="en-NZ"/>
              </w:rPr>
            </w:pPr>
            <w:r w:rsidRPr="00624641">
              <w:rPr>
                <w:lang w:eastAsia="en-NZ"/>
              </w:rPr>
              <w:t>1% </w:t>
            </w:r>
          </w:p>
        </w:tc>
      </w:tr>
      <w:tr w:rsidR="001C635A" w:rsidRPr="00624641" w14:paraId="1E8F2701" w14:textId="77777777" w:rsidTr="000E74C8">
        <w:tc>
          <w:tcPr>
            <w:tcW w:w="985" w:type="dxa"/>
            <w:tcMar>
              <w:top w:w="45" w:type="dxa"/>
              <w:left w:w="0" w:type="dxa"/>
              <w:bottom w:w="45" w:type="dxa"/>
              <w:right w:w="0" w:type="dxa"/>
            </w:tcMar>
            <w:hideMark/>
          </w:tcPr>
          <w:p w14:paraId="706E4AAD" w14:textId="77777777" w:rsidR="001C635A" w:rsidRPr="00624641" w:rsidRDefault="001C635A" w:rsidP="001C635A">
            <w:pPr>
              <w:pStyle w:val="TableText"/>
              <w:ind w:left="57"/>
              <w:rPr>
                <w:rFonts w:cs="Segoe UI"/>
                <w:lang w:eastAsia="en-NZ"/>
              </w:rPr>
            </w:pPr>
            <w:r w:rsidRPr="00624641">
              <w:rPr>
                <w:lang w:eastAsia="en-NZ"/>
              </w:rPr>
              <w:t>15</w:t>
            </w:r>
            <w:r>
              <w:rPr>
                <w:lang w:eastAsia="en-NZ"/>
              </w:rPr>
              <w:t>–</w:t>
            </w:r>
            <w:r w:rsidRPr="00624641">
              <w:rPr>
                <w:lang w:eastAsia="en-NZ"/>
              </w:rPr>
              <w:t>19 </w:t>
            </w:r>
          </w:p>
        </w:tc>
        <w:tc>
          <w:tcPr>
            <w:tcW w:w="916" w:type="dxa"/>
            <w:tcMar>
              <w:top w:w="45" w:type="dxa"/>
              <w:left w:w="0" w:type="dxa"/>
              <w:bottom w:w="45" w:type="dxa"/>
              <w:right w:w="0" w:type="dxa"/>
            </w:tcMar>
            <w:hideMark/>
          </w:tcPr>
          <w:p w14:paraId="5233D498" w14:textId="77777777" w:rsidR="001C635A" w:rsidRPr="00624641" w:rsidRDefault="001C635A" w:rsidP="001C635A">
            <w:pPr>
              <w:pStyle w:val="TableText"/>
              <w:ind w:left="57"/>
              <w:jc w:val="right"/>
              <w:rPr>
                <w:rFonts w:cs="Segoe UI"/>
                <w:lang w:eastAsia="en-NZ"/>
              </w:rPr>
            </w:pPr>
            <w:r w:rsidRPr="00624641">
              <w:rPr>
                <w:lang w:eastAsia="en-NZ"/>
              </w:rPr>
              <w:t>71,400 </w:t>
            </w:r>
          </w:p>
        </w:tc>
        <w:tc>
          <w:tcPr>
            <w:tcW w:w="917" w:type="dxa"/>
            <w:tcMar>
              <w:top w:w="45" w:type="dxa"/>
              <w:left w:w="0" w:type="dxa"/>
              <w:bottom w:w="45" w:type="dxa"/>
              <w:right w:w="0" w:type="dxa"/>
            </w:tcMar>
            <w:hideMark/>
          </w:tcPr>
          <w:p w14:paraId="296FADE7" w14:textId="77777777" w:rsidR="001C635A" w:rsidRPr="00624641" w:rsidRDefault="001C635A" w:rsidP="001C635A">
            <w:pPr>
              <w:pStyle w:val="TableText"/>
              <w:ind w:left="57"/>
              <w:jc w:val="right"/>
              <w:rPr>
                <w:rFonts w:cs="Segoe UI"/>
                <w:lang w:eastAsia="en-NZ"/>
              </w:rPr>
            </w:pPr>
            <w:r w:rsidRPr="00624641">
              <w:rPr>
                <w:lang w:eastAsia="en-NZ"/>
              </w:rPr>
              <w:t>72,510 </w:t>
            </w:r>
          </w:p>
        </w:tc>
        <w:tc>
          <w:tcPr>
            <w:tcW w:w="917" w:type="dxa"/>
            <w:tcMar>
              <w:top w:w="45" w:type="dxa"/>
              <w:left w:w="0" w:type="dxa"/>
              <w:bottom w:w="45" w:type="dxa"/>
              <w:right w:w="0" w:type="dxa"/>
            </w:tcMar>
            <w:hideMark/>
          </w:tcPr>
          <w:p w14:paraId="3C6F32DC" w14:textId="77777777" w:rsidR="001C635A" w:rsidRPr="00624641" w:rsidRDefault="001C635A" w:rsidP="001C635A">
            <w:pPr>
              <w:pStyle w:val="TableText"/>
              <w:ind w:left="57"/>
              <w:jc w:val="right"/>
              <w:rPr>
                <w:rFonts w:cs="Segoe UI"/>
                <w:lang w:eastAsia="en-NZ"/>
              </w:rPr>
            </w:pPr>
            <w:r w:rsidRPr="00624641">
              <w:rPr>
                <w:lang w:eastAsia="en-NZ"/>
              </w:rPr>
              <w:t>78,160 </w:t>
            </w:r>
          </w:p>
        </w:tc>
        <w:tc>
          <w:tcPr>
            <w:tcW w:w="917" w:type="dxa"/>
            <w:tcMar>
              <w:top w:w="45" w:type="dxa"/>
              <w:left w:w="0" w:type="dxa"/>
              <w:bottom w:w="45" w:type="dxa"/>
              <w:right w:w="0" w:type="dxa"/>
            </w:tcMar>
            <w:hideMark/>
          </w:tcPr>
          <w:p w14:paraId="10FF07C1" w14:textId="77777777" w:rsidR="001C635A" w:rsidRPr="00624641" w:rsidRDefault="001C635A" w:rsidP="001C635A">
            <w:pPr>
              <w:pStyle w:val="TableText"/>
              <w:ind w:left="57"/>
              <w:jc w:val="right"/>
              <w:rPr>
                <w:rFonts w:cs="Segoe UI"/>
                <w:lang w:eastAsia="en-NZ"/>
              </w:rPr>
            </w:pPr>
            <w:r w:rsidRPr="00624641">
              <w:rPr>
                <w:lang w:eastAsia="en-NZ"/>
              </w:rPr>
              <w:t>68,565 </w:t>
            </w:r>
          </w:p>
        </w:tc>
        <w:tc>
          <w:tcPr>
            <w:tcW w:w="916" w:type="dxa"/>
            <w:tcMar>
              <w:top w:w="45" w:type="dxa"/>
              <w:left w:w="0" w:type="dxa"/>
              <w:bottom w:w="45" w:type="dxa"/>
              <w:right w:w="0" w:type="dxa"/>
            </w:tcMar>
            <w:hideMark/>
          </w:tcPr>
          <w:p w14:paraId="22D924D2" w14:textId="77777777" w:rsidR="001C635A" w:rsidRPr="00624641" w:rsidRDefault="001C635A" w:rsidP="001C635A">
            <w:pPr>
              <w:pStyle w:val="TableText"/>
              <w:ind w:left="57"/>
              <w:jc w:val="right"/>
              <w:rPr>
                <w:rFonts w:cs="Segoe UI"/>
                <w:lang w:eastAsia="en-NZ"/>
              </w:rPr>
            </w:pPr>
            <w:r w:rsidRPr="00624641">
              <w:rPr>
                <w:lang w:eastAsia="en-NZ"/>
              </w:rPr>
              <w:t>69,676 </w:t>
            </w:r>
          </w:p>
        </w:tc>
        <w:tc>
          <w:tcPr>
            <w:tcW w:w="917" w:type="dxa"/>
            <w:tcMar>
              <w:top w:w="45" w:type="dxa"/>
              <w:left w:w="0" w:type="dxa"/>
              <w:bottom w:w="45" w:type="dxa"/>
              <w:right w:w="0" w:type="dxa"/>
            </w:tcMar>
            <w:hideMark/>
          </w:tcPr>
          <w:p w14:paraId="7F665E7B" w14:textId="77777777" w:rsidR="001C635A" w:rsidRPr="00624641" w:rsidRDefault="001C635A" w:rsidP="001C635A">
            <w:pPr>
              <w:pStyle w:val="TableText"/>
              <w:ind w:left="57"/>
              <w:jc w:val="right"/>
              <w:rPr>
                <w:rFonts w:cs="Segoe UI"/>
                <w:lang w:eastAsia="en-NZ"/>
              </w:rPr>
            </w:pPr>
            <w:r w:rsidRPr="00624641">
              <w:rPr>
                <w:lang w:eastAsia="en-NZ"/>
              </w:rPr>
              <w:t>79,210 </w:t>
            </w:r>
          </w:p>
        </w:tc>
        <w:tc>
          <w:tcPr>
            <w:tcW w:w="737" w:type="dxa"/>
            <w:tcMar>
              <w:top w:w="45" w:type="dxa"/>
              <w:left w:w="0" w:type="dxa"/>
              <w:bottom w:w="45" w:type="dxa"/>
              <w:right w:w="0" w:type="dxa"/>
            </w:tcMar>
            <w:hideMark/>
          </w:tcPr>
          <w:p w14:paraId="15439EDB" w14:textId="77777777" w:rsidR="001C635A" w:rsidRPr="00624641" w:rsidRDefault="001C635A" w:rsidP="001C635A">
            <w:pPr>
              <w:pStyle w:val="TableText"/>
              <w:ind w:left="57"/>
              <w:jc w:val="right"/>
              <w:rPr>
                <w:rFonts w:cs="Segoe UI"/>
                <w:lang w:eastAsia="en-NZ"/>
              </w:rPr>
            </w:pPr>
            <w:r w:rsidRPr="00624641">
              <w:rPr>
                <w:lang w:eastAsia="en-NZ"/>
              </w:rPr>
              <w:t>-4% </w:t>
            </w:r>
          </w:p>
        </w:tc>
        <w:tc>
          <w:tcPr>
            <w:tcW w:w="708" w:type="dxa"/>
            <w:tcMar>
              <w:top w:w="45" w:type="dxa"/>
              <w:left w:w="0" w:type="dxa"/>
              <w:bottom w:w="45" w:type="dxa"/>
              <w:right w:w="0" w:type="dxa"/>
            </w:tcMar>
            <w:hideMark/>
          </w:tcPr>
          <w:p w14:paraId="5E31E8EF" w14:textId="77777777" w:rsidR="001C635A" w:rsidRPr="00624641" w:rsidRDefault="001C635A" w:rsidP="001C635A">
            <w:pPr>
              <w:pStyle w:val="TableText"/>
              <w:ind w:left="57"/>
              <w:jc w:val="right"/>
              <w:rPr>
                <w:rFonts w:cs="Segoe UI"/>
                <w:lang w:eastAsia="en-NZ"/>
              </w:rPr>
            </w:pPr>
            <w:r w:rsidRPr="00624641">
              <w:rPr>
                <w:lang w:eastAsia="en-NZ"/>
              </w:rPr>
              <w:t>-4% </w:t>
            </w:r>
          </w:p>
        </w:tc>
        <w:tc>
          <w:tcPr>
            <w:tcW w:w="709" w:type="dxa"/>
            <w:tcMar>
              <w:top w:w="45" w:type="dxa"/>
              <w:left w:w="0" w:type="dxa"/>
              <w:bottom w:w="45" w:type="dxa"/>
              <w:right w:w="0" w:type="dxa"/>
            </w:tcMar>
            <w:hideMark/>
          </w:tcPr>
          <w:p w14:paraId="3BC20D90" w14:textId="77777777" w:rsidR="001C635A" w:rsidRPr="00624641" w:rsidRDefault="001C635A" w:rsidP="001C635A">
            <w:pPr>
              <w:pStyle w:val="TableText"/>
              <w:ind w:left="57"/>
              <w:jc w:val="right"/>
              <w:rPr>
                <w:rFonts w:cs="Segoe UI"/>
                <w:lang w:eastAsia="en-NZ"/>
              </w:rPr>
            </w:pPr>
            <w:r w:rsidRPr="00624641">
              <w:rPr>
                <w:lang w:eastAsia="en-NZ"/>
              </w:rPr>
              <w:t>1% </w:t>
            </w:r>
          </w:p>
        </w:tc>
      </w:tr>
      <w:tr w:rsidR="001C635A" w:rsidRPr="00624641" w14:paraId="3CAD045B" w14:textId="77777777" w:rsidTr="000E74C8">
        <w:tc>
          <w:tcPr>
            <w:tcW w:w="985" w:type="dxa"/>
            <w:tcMar>
              <w:top w:w="45" w:type="dxa"/>
              <w:left w:w="0" w:type="dxa"/>
              <w:bottom w:w="45" w:type="dxa"/>
              <w:right w:w="0" w:type="dxa"/>
            </w:tcMar>
            <w:hideMark/>
          </w:tcPr>
          <w:p w14:paraId="74D81518" w14:textId="77777777" w:rsidR="001C635A" w:rsidRPr="00624641" w:rsidRDefault="001C635A" w:rsidP="001C635A">
            <w:pPr>
              <w:pStyle w:val="TableText"/>
              <w:ind w:left="57"/>
              <w:rPr>
                <w:rFonts w:cs="Segoe UI"/>
                <w:lang w:eastAsia="en-NZ"/>
              </w:rPr>
            </w:pPr>
            <w:r w:rsidRPr="00624641">
              <w:rPr>
                <w:lang w:eastAsia="en-NZ"/>
              </w:rPr>
              <w:t>20</w:t>
            </w:r>
            <w:r>
              <w:rPr>
                <w:lang w:eastAsia="en-NZ"/>
              </w:rPr>
              <w:t>–</w:t>
            </w:r>
            <w:r w:rsidRPr="00624641">
              <w:rPr>
                <w:lang w:eastAsia="en-NZ"/>
              </w:rPr>
              <w:t>24 </w:t>
            </w:r>
          </w:p>
        </w:tc>
        <w:tc>
          <w:tcPr>
            <w:tcW w:w="916" w:type="dxa"/>
            <w:tcMar>
              <w:top w:w="45" w:type="dxa"/>
              <w:left w:w="0" w:type="dxa"/>
              <w:bottom w:w="45" w:type="dxa"/>
              <w:right w:w="0" w:type="dxa"/>
            </w:tcMar>
            <w:hideMark/>
          </w:tcPr>
          <w:p w14:paraId="20AE41B7" w14:textId="77777777" w:rsidR="001C635A" w:rsidRPr="00624641" w:rsidRDefault="001C635A" w:rsidP="001C635A">
            <w:pPr>
              <w:pStyle w:val="TableText"/>
              <w:ind w:left="57"/>
              <w:jc w:val="right"/>
              <w:rPr>
                <w:rFonts w:cs="Segoe UI"/>
                <w:lang w:eastAsia="en-NZ"/>
              </w:rPr>
            </w:pPr>
            <w:r w:rsidRPr="00624641">
              <w:rPr>
                <w:lang w:eastAsia="en-NZ"/>
              </w:rPr>
              <w:t>61,560 </w:t>
            </w:r>
          </w:p>
        </w:tc>
        <w:tc>
          <w:tcPr>
            <w:tcW w:w="917" w:type="dxa"/>
            <w:tcMar>
              <w:top w:w="45" w:type="dxa"/>
              <w:left w:w="0" w:type="dxa"/>
              <w:bottom w:w="45" w:type="dxa"/>
              <w:right w:w="0" w:type="dxa"/>
            </w:tcMar>
            <w:hideMark/>
          </w:tcPr>
          <w:p w14:paraId="581BD708" w14:textId="77777777" w:rsidR="001C635A" w:rsidRPr="00624641" w:rsidRDefault="001C635A" w:rsidP="001C635A">
            <w:pPr>
              <w:pStyle w:val="TableText"/>
              <w:ind w:left="57"/>
              <w:jc w:val="right"/>
              <w:rPr>
                <w:rFonts w:cs="Segoe UI"/>
                <w:lang w:eastAsia="en-NZ"/>
              </w:rPr>
            </w:pPr>
            <w:r w:rsidRPr="00624641">
              <w:rPr>
                <w:lang w:eastAsia="en-NZ"/>
              </w:rPr>
              <w:t>68,790 </w:t>
            </w:r>
          </w:p>
        </w:tc>
        <w:tc>
          <w:tcPr>
            <w:tcW w:w="917" w:type="dxa"/>
            <w:tcMar>
              <w:top w:w="45" w:type="dxa"/>
              <w:left w:w="0" w:type="dxa"/>
              <w:bottom w:w="45" w:type="dxa"/>
              <w:right w:w="0" w:type="dxa"/>
            </w:tcMar>
            <w:hideMark/>
          </w:tcPr>
          <w:p w14:paraId="3F1527AC" w14:textId="77777777" w:rsidR="001C635A" w:rsidRPr="00624641" w:rsidRDefault="001C635A" w:rsidP="001C635A">
            <w:pPr>
              <w:pStyle w:val="TableText"/>
              <w:ind w:left="57"/>
              <w:jc w:val="right"/>
              <w:rPr>
                <w:rFonts w:cs="Segoe UI"/>
                <w:lang w:eastAsia="en-NZ"/>
              </w:rPr>
            </w:pPr>
            <w:r w:rsidRPr="00624641">
              <w:rPr>
                <w:lang w:eastAsia="en-NZ"/>
              </w:rPr>
              <w:t>71,770 </w:t>
            </w:r>
          </w:p>
        </w:tc>
        <w:tc>
          <w:tcPr>
            <w:tcW w:w="917" w:type="dxa"/>
            <w:tcMar>
              <w:top w:w="45" w:type="dxa"/>
              <w:left w:w="0" w:type="dxa"/>
              <w:bottom w:w="45" w:type="dxa"/>
              <w:right w:w="0" w:type="dxa"/>
            </w:tcMar>
            <w:hideMark/>
          </w:tcPr>
          <w:p w14:paraId="299FBC31" w14:textId="77777777" w:rsidR="001C635A" w:rsidRPr="00624641" w:rsidRDefault="001C635A" w:rsidP="001C635A">
            <w:pPr>
              <w:pStyle w:val="TableText"/>
              <w:ind w:left="57"/>
              <w:jc w:val="right"/>
              <w:rPr>
                <w:rFonts w:cs="Segoe UI"/>
                <w:lang w:eastAsia="en-NZ"/>
              </w:rPr>
            </w:pPr>
            <w:r w:rsidRPr="00624641">
              <w:rPr>
                <w:lang w:eastAsia="en-NZ"/>
              </w:rPr>
              <w:t>58,480 </w:t>
            </w:r>
          </w:p>
        </w:tc>
        <w:tc>
          <w:tcPr>
            <w:tcW w:w="916" w:type="dxa"/>
            <w:tcMar>
              <w:top w:w="45" w:type="dxa"/>
              <w:left w:w="0" w:type="dxa"/>
              <w:bottom w:w="45" w:type="dxa"/>
              <w:right w:w="0" w:type="dxa"/>
            </w:tcMar>
            <w:hideMark/>
          </w:tcPr>
          <w:p w14:paraId="70035AF2" w14:textId="77777777" w:rsidR="001C635A" w:rsidRPr="00624641" w:rsidRDefault="001C635A" w:rsidP="001C635A">
            <w:pPr>
              <w:pStyle w:val="TableText"/>
              <w:ind w:left="57"/>
              <w:jc w:val="right"/>
              <w:rPr>
                <w:rFonts w:cs="Segoe UI"/>
                <w:lang w:eastAsia="en-NZ"/>
              </w:rPr>
            </w:pPr>
            <w:r w:rsidRPr="00624641">
              <w:rPr>
                <w:lang w:eastAsia="en-NZ"/>
              </w:rPr>
              <w:t>63,014 </w:t>
            </w:r>
          </w:p>
        </w:tc>
        <w:tc>
          <w:tcPr>
            <w:tcW w:w="917" w:type="dxa"/>
            <w:tcMar>
              <w:top w:w="45" w:type="dxa"/>
              <w:left w:w="0" w:type="dxa"/>
              <w:bottom w:w="45" w:type="dxa"/>
              <w:right w:w="0" w:type="dxa"/>
            </w:tcMar>
            <w:hideMark/>
          </w:tcPr>
          <w:p w14:paraId="4BC4EA21" w14:textId="77777777" w:rsidR="001C635A" w:rsidRPr="00624641" w:rsidRDefault="001C635A" w:rsidP="001C635A">
            <w:pPr>
              <w:pStyle w:val="TableText"/>
              <w:ind w:left="57"/>
              <w:jc w:val="right"/>
              <w:rPr>
                <w:rFonts w:cs="Segoe UI"/>
                <w:lang w:eastAsia="en-NZ"/>
              </w:rPr>
            </w:pPr>
            <w:r w:rsidRPr="00624641">
              <w:rPr>
                <w:lang w:eastAsia="en-NZ"/>
              </w:rPr>
              <w:t>73,843 </w:t>
            </w:r>
          </w:p>
        </w:tc>
        <w:tc>
          <w:tcPr>
            <w:tcW w:w="737" w:type="dxa"/>
            <w:tcMar>
              <w:top w:w="45" w:type="dxa"/>
              <w:left w:w="0" w:type="dxa"/>
              <w:bottom w:w="45" w:type="dxa"/>
              <w:right w:w="0" w:type="dxa"/>
            </w:tcMar>
            <w:hideMark/>
          </w:tcPr>
          <w:p w14:paraId="5C56C356" w14:textId="77777777" w:rsidR="001C635A" w:rsidRPr="00624641" w:rsidRDefault="001C635A" w:rsidP="001C635A">
            <w:pPr>
              <w:pStyle w:val="TableText"/>
              <w:ind w:left="57"/>
              <w:jc w:val="right"/>
              <w:rPr>
                <w:rFonts w:cs="Segoe UI"/>
                <w:lang w:eastAsia="en-NZ"/>
              </w:rPr>
            </w:pPr>
            <w:r w:rsidRPr="00624641">
              <w:rPr>
                <w:lang w:eastAsia="en-NZ"/>
              </w:rPr>
              <w:t>-5% </w:t>
            </w:r>
          </w:p>
        </w:tc>
        <w:tc>
          <w:tcPr>
            <w:tcW w:w="708" w:type="dxa"/>
            <w:tcMar>
              <w:top w:w="45" w:type="dxa"/>
              <w:left w:w="0" w:type="dxa"/>
              <w:bottom w:w="45" w:type="dxa"/>
              <w:right w:w="0" w:type="dxa"/>
            </w:tcMar>
            <w:hideMark/>
          </w:tcPr>
          <w:p w14:paraId="0790A1CC" w14:textId="77777777" w:rsidR="001C635A" w:rsidRPr="00624641" w:rsidRDefault="001C635A" w:rsidP="001C635A">
            <w:pPr>
              <w:pStyle w:val="TableText"/>
              <w:ind w:left="57"/>
              <w:jc w:val="right"/>
              <w:rPr>
                <w:rFonts w:cs="Segoe UI"/>
                <w:lang w:eastAsia="en-NZ"/>
              </w:rPr>
            </w:pPr>
            <w:r w:rsidRPr="00624641">
              <w:rPr>
                <w:lang w:eastAsia="en-NZ"/>
              </w:rPr>
              <w:t>-8% </w:t>
            </w:r>
          </w:p>
        </w:tc>
        <w:tc>
          <w:tcPr>
            <w:tcW w:w="709" w:type="dxa"/>
            <w:tcMar>
              <w:top w:w="45" w:type="dxa"/>
              <w:left w:w="0" w:type="dxa"/>
              <w:bottom w:w="45" w:type="dxa"/>
              <w:right w:w="0" w:type="dxa"/>
            </w:tcMar>
            <w:hideMark/>
          </w:tcPr>
          <w:p w14:paraId="529BC3A2" w14:textId="77777777" w:rsidR="001C635A" w:rsidRPr="00624641" w:rsidRDefault="001C635A" w:rsidP="001C635A">
            <w:pPr>
              <w:pStyle w:val="TableText"/>
              <w:ind w:left="57"/>
              <w:jc w:val="right"/>
              <w:rPr>
                <w:rFonts w:cs="Segoe UI"/>
                <w:lang w:eastAsia="en-NZ"/>
              </w:rPr>
            </w:pPr>
            <w:r w:rsidRPr="00624641">
              <w:rPr>
                <w:lang w:eastAsia="en-NZ"/>
              </w:rPr>
              <w:t>3% </w:t>
            </w:r>
          </w:p>
        </w:tc>
      </w:tr>
      <w:tr w:rsidR="001C635A" w:rsidRPr="00624641" w14:paraId="58B8A18D" w14:textId="77777777" w:rsidTr="000E74C8">
        <w:tc>
          <w:tcPr>
            <w:tcW w:w="985" w:type="dxa"/>
            <w:tcMar>
              <w:top w:w="45" w:type="dxa"/>
              <w:left w:w="0" w:type="dxa"/>
              <w:bottom w:w="45" w:type="dxa"/>
              <w:right w:w="0" w:type="dxa"/>
            </w:tcMar>
            <w:hideMark/>
          </w:tcPr>
          <w:p w14:paraId="548CDD1E" w14:textId="77777777" w:rsidR="001C635A" w:rsidRPr="00624641" w:rsidRDefault="001C635A" w:rsidP="001C635A">
            <w:pPr>
              <w:pStyle w:val="TableText"/>
              <w:ind w:left="57"/>
              <w:rPr>
                <w:rFonts w:cs="Segoe UI"/>
                <w:lang w:eastAsia="en-NZ"/>
              </w:rPr>
            </w:pPr>
            <w:r w:rsidRPr="00624641">
              <w:rPr>
                <w:lang w:eastAsia="en-NZ"/>
              </w:rPr>
              <w:t>25</w:t>
            </w:r>
            <w:r>
              <w:rPr>
                <w:lang w:eastAsia="en-NZ"/>
              </w:rPr>
              <w:t>–</w:t>
            </w:r>
            <w:r w:rsidRPr="00624641">
              <w:rPr>
                <w:lang w:eastAsia="en-NZ"/>
              </w:rPr>
              <w:t>29 </w:t>
            </w:r>
          </w:p>
        </w:tc>
        <w:tc>
          <w:tcPr>
            <w:tcW w:w="916" w:type="dxa"/>
            <w:tcMar>
              <w:top w:w="45" w:type="dxa"/>
              <w:left w:w="0" w:type="dxa"/>
              <w:bottom w:w="45" w:type="dxa"/>
              <w:right w:w="0" w:type="dxa"/>
            </w:tcMar>
            <w:hideMark/>
          </w:tcPr>
          <w:p w14:paraId="3B0B9B5F" w14:textId="77777777" w:rsidR="001C635A" w:rsidRPr="00624641" w:rsidRDefault="001C635A" w:rsidP="001C635A">
            <w:pPr>
              <w:pStyle w:val="TableText"/>
              <w:ind w:left="57"/>
              <w:jc w:val="right"/>
              <w:rPr>
                <w:rFonts w:cs="Segoe UI"/>
                <w:lang w:eastAsia="en-NZ"/>
              </w:rPr>
            </w:pPr>
            <w:r w:rsidRPr="00624641">
              <w:rPr>
                <w:lang w:eastAsia="en-NZ"/>
              </w:rPr>
              <w:t>46,200 </w:t>
            </w:r>
          </w:p>
        </w:tc>
        <w:tc>
          <w:tcPr>
            <w:tcW w:w="917" w:type="dxa"/>
            <w:tcMar>
              <w:top w:w="45" w:type="dxa"/>
              <w:left w:w="0" w:type="dxa"/>
              <w:bottom w:w="45" w:type="dxa"/>
              <w:right w:w="0" w:type="dxa"/>
            </w:tcMar>
            <w:hideMark/>
          </w:tcPr>
          <w:p w14:paraId="47544C53" w14:textId="77777777" w:rsidR="001C635A" w:rsidRPr="00624641" w:rsidRDefault="001C635A" w:rsidP="001C635A">
            <w:pPr>
              <w:pStyle w:val="TableText"/>
              <w:ind w:left="57"/>
              <w:jc w:val="right"/>
              <w:rPr>
                <w:rFonts w:cs="Segoe UI"/>
                <w:lang w:eastAsia="en-NZ"/>
              </w:rPr>
            </w:pPr>
            <w:r w:rsidRPr="00624641">
              <w:rPr>
                <w:lang w:eastAsia="en-NZ"/>
              </w:rPr>
              <w:t>57,080 </w:t>
            </w:r>
          </w:p>
        </w:tc>
        <w:tc>
          <w:tcPr>
            <w:tcW w:w="917" w:type="dxa"/>
            <w:tcMar>
              <w:top w:w="45" w:type="dxa"/>
              <w:left w:w="0" w:type="dxa"/>
              <w:bottom w:w="45" w:type="dxa"/>
              <w:right w:w="0" w:type="dxa"/>
            </w:tcMar>
            <w:hideMark/>
          </w:tcPr>
          <w:p w14:paraId="0800EA91" w14:textId="77777777" w:rsidR="001C635A" w:rsidRPr="00624641" w:rsidRDefault="001C635A" w:rsidP="001C635A">
            <w:pPr>
              <w:pStyle w:val="TableText"/>
              <w:ind w:left="57"/>
              <w:jc w:val="right"/>
              <w:rPr>
                <w:rFonts w:cs="Segoe UI"/>
                <w:lang w:eastAsia="en-NZ"/>
              </w:rPr>
            </w:pPr>
            <w:r w:rsidRPr="00624641">
              <w:rPr>
                <w:lang w:eastAsia="en-NZ"/>
              </w:rPr>
              <w:t>67,980 </w:t>
            </w:r>
          </w:p>
        </w:tc>
        <w:tc>
          <w:tcPr>
            <w:tcW w:w="917" w:type="dxa"/>
            <w:tcMar>
              <w:top w:w="45" w:type="dxa"/>
              <w:left w:w="0" w:type="dxa"/>
              <w:bottom w:w="45" w:type="dxa"/>
              <w:right w:w="0" w:type="dxa"/>
            </w:tcMar>
            <w:hideMark/>
          </w:tcPr>
          <w:p w14:paraId="26336B0F" w14:textId="77777777" w:rsidR="001C635A" w:rsidRPr="00624641" w:rsidRDefault="001C635A" w:rsidP="001C635A">
            <w:pPr>
              <w:pStyle w:val="TableText"/>
              <w:ind w:left="57"/>
              <w:jc w:val="right"/>
              <w:rPr>
                <w:rFonts w:cs="Segoe UI"/>
                <w:lang w:eastAsia="en-NZ"/>
              </w:rPr>
            </w:pPr>
            <w:r w:rsidRPr="00624641">
              <w:rPr>
                <w:lang w:eastAsia="en-NZ"/>
              </w:rPr>
              <w:t>45,162 </w:t>
            </w:r>
          </w:p>
        </w:tc>
        <w:tc>
          <w:tcPr>
            <w:tcW w:w="916" w:type="dxa"/>
            <w:tcMar>
              <w:top w:w="45" w:type="dxa"/>
              <w:left w:w="0" w:type="dxa"/>
              <w:bottom w:w="45" w:type="dxa"/>
              <w:right w:w="0" w:type="dxa"/>
            </w:tcMar>
            <w:hideMark/>
          </w:tcPr>
          <w:p w14:paraId="1D9EE2A3" w14:textId="77777777" w:rsidR="001C635A" w:rsidRPr="00624641" w:rsidRDefault="001C635A" w:rsidP="001C635A">
            <w:pPr>
              <w:pStyle w:val="TableText"/>
              <w:ind w:left="57"/>
              <w:jc w:val="right"/>
              <w:rPr>
                <w:rFonts w:cs="Segoe UI"/>
                <w:lang w:eastAsia="en-NZ"/>
              </w:rPr>
            </w:pPr>
            <w:r w:rsidRPr="00624641">
              <w:rPr>
                <w:lang w:eastAsia="en-NZ"/>
              </w:rPr>
              <w:t>54,153 </w:t>
            </w:r>
          </w:p>
        </w:tc>
        <w:tc>
          <w:tcPr>
            <w:tcW w:w="917" w:type="dxa"/>
            <w:tcMar>
              <w:top w:w="45" w:type="dxa"/>
              <w:left w:w="0" w:type="dxa"/>
              <w:bottom w:w="45" w:type="dxa"/>
              <w:right w:w="0" w:type="dxa"/>
            </w:tcMar>
            <w:hideMark/>
          </w:tcPr>
          <w:p w14:paraId="736945ED" w14:textId="77777777" w:rsidR="001C635A" w:rsidRPr="00624641" w:rsidRDefault="001C635A" w:rsidP="001C635A">
            <w:pPr>
              <w:pStyle w:val="TableText"/>
              <w:ind w:left="57"/>
              <w:jc w:val="right"/>
              <w:rPr>
                <w:rFonts w:cs="Segoe UI"/>
                <w:lang w:eastAsia="en-NZ"/>
              </w:rPr>
            </w:pPr>
            <w:r w:rsidRPr="00624641">
              <w:rPr>
                <w:lang w:eastAsia="en-NZ"/>
              </w:rPr>
              <w:t>69,846 </w:t>
            </w:r>
          </w:p>
        </w:tc>
        <w:tc>
          <w:tcPr>
            <w:tcW w:w="737" w:type="dxa"/>
            <w:tcMar>
              <w:top w:w="45" w:type="dxa"/>
              <w:left w:w="0" w:type="dxa"/>
              <w:bottom w:w="45" w:type="dxa"/>
              <w:right w:w="0" w:type="dxa"/>
            </w:tcMar>
            <w:hideMark/>
          </w:tcPr>
          <w:p w14:paraId="28AC9693" w14:textId="77777777" w:rsidR="001C635A" w:rsidRPr="00624641" w:rsidRDefault="001C635A" w:rsidP="001C635A">
            <w:pPr>
              <w:pStyle w:val="TableText"/>
              <w:ind w:left="57"/>
              <w:jc w:val="right"/>
              <w:rPr>
                <w:rFonts w:cs="Segoe UI"/>
                <w:lang w:eastAsia="en-NZ"/>
              </w:rPr>
            </w:pPr>
            <w:r w:rsidRPr="00624641">
              <w:rPr>
                <w:lang w:eastAsia="en-NZ"/>
              </w:rPr>
              <w:t>-2% </w:t>
            </w:r>
          </w:p>
        </w:tc>
        <w:tc>
          <w:tcPr>
            <w:tcW w:w="708" w:type="dxa"/>
            <w:tcMar>
              <w:top w:w="45" w:type="dxa"/>
              <w:left w:w="0" w:type="dxa"/>
              <w:bottom w:w="45" w:type="dxa"/>
              <w:right w:w="0" w:type="dxa"/>
            </w:tcMar>
            <w:hideMark/>
          </w:tcPr>
          <w:p w14:paraId="00195A73" w14:textId="77777777" w:rsidR="001C635A" w:rsidRPr="00624641" w:rsidRDefault="001C635A" w:rsidP="001C635A">
            <w:pPr>
              <w:pStyle w:val="TableText"/>
              <w:ind w:left="57"/>
              <w:jc w:val="right"/>
              <w:rPr>
                <w:rFonts w:cs="Segoe UI"/>
                <w:lang w:eastAsia="en-NZ"/>
              </w:rPr>
            </w:pPr>
            <w:r w:rsidRPr="00624641">
              <w:rPr>
                <w:lang w:eastAsia="en-NZ"/>
              </w:rPr>
              <w:t>-5% </w:t>
            </w:r>
          </w:p>
        </w:tc>
        <w:tc>
          <w:tcPr>
            <w:tcW w:w="709" w:type="dxa"/>
            <w:tcMar>
              <w:top w:w="45" w:type="dxa"/>
              <w:left w:w="0" w:type="dxa"/>
              <w:bottom w:w="45" w:type="dxa"/>
              <w:right w:w="0" w:type="dxa"/>
            </w:tcMar>
            <w:hideMark/>
          </w:tcPr>
          <w:p w14:paraId="67AFA778" w14:textId="77777777" w:rsidR="001C635A" w:rsidRPr="00624641" w:rsidRDefault="001C635A" w:rsidP="001C635A">
            <w:pPr>
              <w:pStyle w:val="TableText"/>
              <w:ind w:left="57"/>
              <w:jc w:val="right"/>
              <w:rPr>
                <w:rFonts w:cs="Segoe UI"/>
                <w:lang w:eastAsia="en-NZ"/>
              </w:rPr>
            </w:pPr>
            <w:r w:rsidRPr="00624641">
              <w:rPr>
                <w:lang w:eastAsia="en-NZ"/>
              </w:rPr>
              <w:t>3% </w:t>
            </w:r>
          </w:p>
        </w:tc>
      </w:tr>
      <w:tr w:rsidR="001C635A" w:rsidRPr="00624641" w14:paraId="37E89D7C" w14:textId="77777777" w:rsidTr="000E74C8">
        <w:tc>
          <w:tcPr>
            <w:tcW w:w="985" w:type="dxa"/>
            <w:tcMar>
              <w:top w:w="45" w:type="dxa"/>
              <w:left w:w="0" w:type="dxa"/>
              <w:bottom w:w="45" w:type="dxa"/>
              <w:right w:w="0" w:type="dxa"/>
            </w:tcMar>
            <w:hideMark/>
          </w:tcPr>
          <w:p w14:paraId="3E1A8879" w14:textId="77777777" w:rsidR="001C635A" w:rsidRPr="00624641" w:rsidRDefault="001C635A" w:rsidP="001C635A">
            <w:pPr>
              <w:pStyle w:val="TableText"/>
              <w:ind w:left="57"/>
              <w:rPr>
                <w:rFonts w:cs="Segoe UI"/>
                <w:lang w:eastAsia="en-NZ"/>
              </w:rPr>
            </w:pPr>
            <w:r w:rsidRPr="00624641">
              <w:rPr>
                <w:lang w:eastAsia="en-NZ"/>
              </w:rPr>
              <w:t>30</w:t>
            </w:r>
            <w:r>
              <w:rPr>
                <w:lang w:eastAsia="en-NZ"/>
              </w:rPr>
              <w:t>–</w:t>
            </w:r>
            <w:r w:rsidRPr="00624641">
              <w:rPr>
                <w:lang w:eastAsia="en-NZ"/>
              </w:rPr>
              <w:t>34 </w:t>
            </w:r>
          </w:p>
        </w:tc>
        <w:tc>
          <w:tcPr>
            <w:tcW w:w="916" w:type="dxa"/>
            <w:tcMar>
              <w:top w:w="45" w:type="dxa"/>
              <w:left w:w="0" w:type="dxa"/>
              <w:bottom w:w="45" w:type="dxa"/>
              <w:right w:w="0" w:type="dxa"/>
            </w:tcMar>
            <w:hideMark/>
          </w:tcPr>
          <w:p w14:paraId="1AF2532A" w14:textId="77777777" w:rsidR="001C635A" w:rsidRPr="00624641" w:rsidRDefault="001C635A" w:rsidP="001C635A">
            <w:pPr>
              <w:pStyle w:val="TableText"/>
              <w:ind w:left="57"/>
              <w:jc w:val="right"/>
              <w:rPr>
                <w:rFonts w:cs="Segoe UI"/>
                <w:lang w:eastAsia="en-NZ"/>
              </w:rPr>
            </w:pPr>
            <w:r w:rsidRPr="00624641">
              <w:rPr>
                <w:lang w:eastAsia="en-NZ"/>
              </w:rPr>
              <w:t>44,020 </w:t>
            </w:r>
          </w:p>
        </w:tc>
        <w:tc>
          <w:tcPr>
            <w:tcW w:w="917" w:type="dxa"/>
            <w:tcMar>
              <w:top w:w="45" w:type="dxa"/>
              <w:left w:w="0" w:type="dxa"/>
              <w:bottom w:w="45" w:type="dxa"/>
              <w:right w:w="0" w:type="dxa"/>
            </w:tcMar>
            <w:hideMark/>
          </w:tcPr>
          <w:p w14:paraId="5D6D377D" w14:textId="77777777" w:rsidR="001C635A" w:rsidRPr="00624641" w:rsidRDefault="001C635A" w:rsidP="001C635A">
            <w:pPr>
              <w:pStyle w:val="TableText"/>
              <w:ind w:left="57"/>
              <w:jc w:val="right"/>
              <w:rPr>
                <w:rFonts w:cs="Segoe UI"/>
                <w:lang w:eastAsia="en-NZ"/>
              </w:rPr>
            </w:pPr>
            <w:r w:rsidRPr="00624641">
              <w:rPr>
                <w:lang w:eastAsia="en-NZ"/>
              </w:rPr>
              <w:t>45,690 </w:t>
            </w:r>
          </w:p>
        </w:tc>
        <w:tc>
          <w:tcPr>
            <w:tcW w:w="917" w:type="dxa"/>
            <w:tcMar>
              <w:top w:w="45" w:type="dxa"/>
              <w:left w:w="0" w:type="dxa"/>
              <w:bottom w:w="45" w:type="dxa"/>
              <w:right w:w="0" w:type="dxa"/>
            </w:tcMar>
            <w:hideMark/>
          </w:tcPr>
          <w:p w14:paraId="41F6B052" w14:textId="77777777" w:rsidR="001C635A" w:rsidRPr="00624641" w:rsidRDefault="001C635A" w:rsidP="001C635A">
            <w:pPr>
              <w:pStyle w:val="TableText"/>
              <w:ind w:left="57"/>
              <w:jc w:val="right"/>
              <w:rPr>
                <w:rFonts w:cs="Segoe UI"/>
                <w:lang w:eastAsia="en-NZ"/>
              </w:rPr>
            </w:pPr>
            <w:r w:rsidRPr="00624641">
              <w:rPr>
                <w:lang w:eastAsia="en-NZ"/>
              </w:rPr>
              <w:t>58,280 </w:t>
            </w:r>
          </w:p>
        </w:tc>
        <w:tc>
          <w:tcPr>
            <w:tcW w:w="917" w:type="dxa"/>
            <w:tcMar>
              <w:top w:w="45" w:type="dxa"/>
              <w:left w:w="0" w:type="dxa"/>
              <w:bottom w:w="45" w:type="dxa"/>
              <w:right w:w="0" w:type="dxa"/>
            </w:tcMar>
            <w:hideMark/>
          </w:tcPr>
          <w:p w14:paraId="2FD70192" w14:textId="77777777" w:rsidR="001C635A" w:rsidRPr="00624641" w:rsidRDefault="001C635A" w:rsidP="001C635A">
            <w:pPr>
              <w:pStyle w:val="TableText"/>
              <w:ind w:left="57"/>
              <w:jc w:val="right"/>
              <w:rPr>
                <w:rFonts w:cs="Segoe UI"/>
                <w:lang w:eastAsia="en-NZ"/>
              </w:rPr>
            </w:pPr>
            <w:r w:rsidRPr="00624641">
              <w:rPr>
                <w:lang w:eastAsia="en-NZ"/>
              </w:rPr>
              <w:t>42,066 </w:t>
            </w:r>
          </w:p>
        </w:tc>
        <w:tc>
          <w:tcPr>
            <w:tcW w:w="916" w:type="dxa"/>
            <w:tcMar>
              <w:top w:w="45" w:type="dxa"/>
              <w:left w:w="0" w:type="dxa"/>
              <w:bottom w:w="45" w:type="dxa"/>
              <w:right w:w="0" w:type="dxa"/>
            </w:tcMar>
            <w:hideMark/>
          </w:tcPr>
          <w:p w14:paraId="66641853" w14:textId="77777777" w:rsidR="001C635A" w:rsidRPr="00624641" w:rsidRDefault="001C635A" w:rsidP="001C635A">
            <w:pPr>
              <w:pStyle w:val="TableText"/>
              <w:ind w:left="57"/>
              <w:jc w:val="right"/>
              <w:rPr>
                <w:rFonts w:cs="Segoe UI"/>
                <w:lang w:eastAsia="en-NZ"/>
              </w:rPr>
            </w:pPr>
            <w:r w:rsidRPr="00624641">
              <w:rPr>
                <w:lang w:eastAsia="en-NZ"/>
              </w:rPr>
              <w:t>44,227 </w:t>
            </w:r>
          </w:p>
        </w:tc>
        <w:tc>
          <w:tcPr>
            <w:tcW w:w="917" w:type="dxa"/>
            <w:tcMar>
              <w:top w:w="45" w:type="dxa"/>
              <w:left w:w="0" w:type="dxa"/>
              <w:bottom w:w="45" w:type="dxa"/>
              <w:right w:w="0" w:type="dxa"/>
            </w:tcMar>
            <w:hideMark/>
          </w:tcPr>
          <w:p w14:paraId="290623A3" w14:textId="77777777" w:rsidR="001C635A" w:rsidRPr="00624641" w:rsidRDefault="001C635A" w:rsidP="001C635A">
            <w:pPr>
              <w:pStyle w:val="TableText"/>
              <w:ind w:left="57"/>
              <w:jc w:val="right"/>
              <w:rPr>
                <w:rFonts w:cs="Segoe UI"/>
                <w:lang w:eastAsia="en-NZ"/>
              </w:rPr>
            </w:pPr>
            <w:r w:rsidRPr="00624641">
              <w:rPr>
                <w:lang w:eastAsia="en-NZ"/>
              </w:rPr>
              <w:t>59,092 </w:t>
            </w:r>
          </w:p>
        </w:tc>
        <w:tc>
          <w:tcPr>
            <w:tcW w:w="737" w:type="dxa"/>
            <w:tcMar>
              <w:top w:w="45" w:type="dxa"/>
              <w:left w:w="0" w:type="dxa"/>
              <w:bottom w:w="45" w:type="dxa"/>
              <w:right w:w="0" w:type="dxa"/>
            </w:tcMar>
            <w:hideMark/>
          </w:tcPr>
          <w:p w14:paraId="6B91E4E0" w14:textId="77777777" w:rsidR="001C635A" w:rsidRPr="00624641" w:rsidRDefault="001C635A" w:rsidP="001C635A">
            <w:pPr>
              <w:pStyle w:val="TableText"/>
              <w:ind w:left="57"/>
              <w:jc w:val="right"/>
              <w:rPr>
                <w:rFonts w:cs="Segoe UI"/>
                <w:lang w:eastAsia="en-NZ"/>
              </w:rPr>
            </w:pPr>
            <w:r w:rsidRPr="00624641">
              <w:rPr>
                <w:lang w:eastAsia="en-NZ"/>
              </w:rPr>
              <w:t>-4% </w:t>
            </w:r>
          </w:p>
        </w:tc>
        <w:tc>
          <w:tcPr>
            <w:tcW w:w="708" w:type="dxa"/>
            <w:tcMar>
              <w:top w:w="45" w:type="dxa"/>
              <w:left w:w="0" w:type="dxa"/>
              <w:bottom w:w="45" w:type="dxa"/>
              <w:right w:w="0" w:type="dxa"/>
            </w:tcMar>
            <w:hideMark/>
          </w:tcPr>
          <w:p w14:paraId="57065C36" w14:textId="77777777" w:rsidR="001C635A" w:rsidRPr="00624641" w:rsidRDefault="001C635A" w:rsidP="001C635A">
            <w:pPr>
              <w:pStyle w:val="TableText"/>
              <w:ind w:left="57"/>
              <w:jc w:val="right"/>
              <w:rPr>
                <w:rFonts w:cs="Segoe UI"/>
                <w:lang w:eastAsia="en-NZ"/>
              </w:rPr>
            </w:pPr>
            <w:r w:rsidRPr="00624641">
              <w:rPr>
                <w:lang w:eastAsia="en-NZ"/>
              </w:rPr>
              <w:t>-3% </w:t>
            </w:r>
          </w:p>
        </w:tc>
        <w:tc>
          <w:tcPr>
            <w:tcW w:w="709" w:type="dxa"/>
            <w:tcMar>
              <w:top w:w="45" w:type="dxa"/>
              <w:left w:w="0" w:type="dxa"/>
              <w:bottom w:w="45" w:type="dxa"/>
              <w:right w:w="0" w:type="dxa"/>
            </w:tcMar>
            <w:hideMark/>
          </w:tcPr>
          <w:p w14:paraId="2A0C60C1" w14:textId="77777777" w:rsidR="001C635A" w:rsidRPr="00624641" w:rsidRDefault="001C635A" w:rsidP="001C635A">
            <w:pPr>
              <w:pStyle w:val="TableText"/>
              <w:ind w:left="57"/>
              <w:jc w:val="right"/>
              <w:rPr>
                <w:rFonts w:cs="Segoe UI"/>
                <w:lang w:eastAsia="en-NZ"/>
              </w:rPr>
            </w:pPr>
            <w:r w:rsidRPr="00624641">
              <w:rPr>
                <w:lang w:eastAsia="en-NZ"/>
              </w:rPr>
              <w:t>1% </w:t>
            </w:r>
          </w:p>
        </w:tc>
      </w:tr>
      <w:tr w:rsidR="001C635A" w:rsidRPr="00624641" w14:paraId="655D5746" w14:textId="77777777" w:rsidTr="000E74C8">
        <w:tc>
          <w:tcPr>
            <w:tcW w:w="985" w:type="dxa"/>
            <w:tcMar>
              <w:top w:w="45" w:type="dxa"/>
              <w:left w:w="0" w:type="dxa"/>
              <w:bottom w:w="45" w:type="dxa"/>
              <w:right w:w="0" w:type="dxa"/>
            </w:tcMar>
            <w:hideMark/>
          </w:tcPr>
          <w:p w14:paraId="71EE81EC" w14:textId="77777777" w:rsidR="001C635A" w:rsidRPr="00624641" w:rsidRDefault="001C635A" w:rsidP="001C635A">
            <w:pPr>
              <w:pStyle w:val="TableText"/>
              <w:ind w:left="57"/>
              <w:rPr>
                <w:rFonts w:cs="Segoe UI"/>
                <w:lang w:eastAsia="en-NZ"/>
              </w:rPr>
            </w:pPr>
            <w:r w:rsidRPr="00624641">
              <w:rPr>
                <w:lang w:eastAsia="en-NZ"/>
              </w:rPr>
              <w:t>35</w:t>
            </w:r>
            <w:r>
              <w:rPr>
                <w:lang w:eastAsia="en-NZ"/>
              </w:rPr>
              <w:t>–</w:t>
            </w:r>
            <w:r w:rsidRPr="00624641">
              <w:rPr>
                <w:lang w:eastAsia="en-NZ"/>
              </w:rPr>
              <w:t>39 </w:t>
            </w:r>
          </w:p>
        </w:tc>
        <w:tc>
          <w:tcPr>
            <w:tcW w:w="916" w:type="dxa"/>
            <w:tcMar>
              <w:top w:w="45" w:type="dxa"/>
              <w:left w:w="0" w:type="dxa"/>
              <w:bottom w:w="45" w:type="dxa"/>
              <w:right w:w="0" w:type="dxa"/>
            </w:tcMar>
            <w:hideMark/>
          </w:tcPr>
          <w:p w14:paraId="65FB3FCE" w14:textId="77777777" w:rsidR="001C635A" w:rsidRPr="00624641" w:rsidRDefault="001C635A" w:rsidP="001C635A">
            <w:pPr>
              <w:pStyle w:val="TableText"/>
              <w:ind w:left="57"/>
              <w:jc w:val="right"/>
              <w:rPr>
                <w:rFonts w:cs="Segoe UI"/>
                <w:lang w:eastAsia="en-NZ"/>
              </w:rPr>
            </w:pPr>
            <w:r w:rsidRPr="00624641">
              <w:rPr>
                <w:lang w:eastAsia="en-NZ"/>
              </w:rPr>
              <w:t>45,880 </w:t>
            </w:r>
          </w:p>
        </w:tc>
        <w:tc>
          <w:tcPr>
            <w:tcW w:w="917" w:type="dxa"/>
            <w:tcMar>
              <w:top w:w="45" w:type="dxa"/>
              <w:left w:w="0" w:type="dxa"/>
              <w:bottom w:w="45" w:type="dxa"/>
              <w:right w:w="0" w:type="dxa"/>
            </w:tcMar>
            <w:hideMark/>
          </w:tcPr>
          <w:p w14:paraId="72CBB273" w14:textId="77777777" w:rsidR="001C635A" w:rsidRPr="00624641" w:rsidRDefault="001C635A" w:rsidP="001C635A">
            <w:pPr>
              <w:pStyle w:val="TableText"/>
              <w:ind w:left="57"/>
              <w:jc w:val="right"/>
              <w:rPr>
                <w:rFonts w:cs="Segoe UI"/>
                <w:lang w:eastAsia="en-NZ"/>
              </w:rPr>
            </w:pPr>
            <w:r w:rsidRPr="00624641">
              <w:rPr>
                <w:lang w:eastAsia="en-NZ"/>
              </w:rPr>
              <w:t>43,920 </w:t>
            </w:r>
          </w:p>
        </w:tc>
        <w:tc>
          <w:tcPr>
            <w:tcW w:w="917" w:type="dxa"/>
            <w:tcMar>
              <w:top w:w="45" w:type="dxa"/>
              <w:left w:w="0" w:type="dxa"/>
              <w:bottom w:w="45" w:type="dxa"/>
              <w:right w:w="0" w:type="dxa"/>
            </w:tcMar>
            <w:hideMark/>
          </w:tcPr>
          <w:p w14:paraId="0B89E635" w14:textId="77777777" w:rsidR="001C635A" w:rsidRPr="00624641" w:rsidRDefault="001C635A" w:rsidP="001C635A">
            <w:pPr>
              <w:pStyle w:val="TableText"/>
              <w:ind w:left="57"/>
              <w:jc w:val="right"/>
              <w:rPr>
                <w:rFonts w:cs="Segoe UI"/>
                <w:lang w:eastAsia="en-NZ"/>
              </w:rPr>
            </w:pPr>
            <w:r w:rsidRPr="00624641">
              <w:rPr>
                <w:lang w:eastAsia="en-NZ"/>
              </w:rPr>
              <w:t>47,220 </w:t>
            </w:r>
          </w:p>
        </w:tc>
        <w:tc>
          <w:tcPr>
            <w:tcW w:w="917" w:type="dxa"/>
            <w:tcMar>
              <w:top w:w="45" w:type="dxa"/>
              <w:left w:w="0" w:type="dxa"/>
              <w:bottom w:w="45" w:type="dxa"/>
              <w:right w:w="0" w:type="dxa"/>
            </w:tcMar>
            <w:hideMark/>
          </w:tcPr>
          <w:p w14:paraId="44513F9E" w14:textId="77777777" w:rsidR="001C635A" w:rsidRPr="00624641" w:rsidRDefault="001C635A" w:rsidP="001C635A">
            <w:pPr>
              <w:pStyle w:val="TableText"/>
              <w:ind w:left="57"/>
              <w:jc w:val="right"/>
              <w:rPr>
                <w:rFonts w:cs="Segoe UI"/>
                <w:lang w:eastAsia="en-NZ"/>
              </w:rPr>
            </w:pPr>
            <w:r w:rsidRPr="00624641">
              <w:rPr>
                <w:lang w:eastAsia="en-NZ"/>
              </w:rPr>
              <w:t>44,067 </w:t>
            </w:r>
          </w:p>
        </w:tc>
        <w:tc>
          <w:tcPr>
            <w:tcW w:w="916" w:type="dxa"/>
            <w:tcMar>
              <w:top w:w="45" w:type="dxa"/>
              <w:left w:w="0" w:type="dxa"/>
              <w:bottom w:w="45" w:type="dxa"/>
              <w:right w:w="0" w:type="dxa"/>
            </w:tcMar>
            <w:hideMark/>
          </w:tcPr>
          <w:p w14:paraId="7C026B5C" w14:textId="77777777" w:rsidR="001C635A" w:rsidRPr="00624641" w:rsidRDefault="001C635A" w:rsidP="001C635A">
            <w:pPr>
              <w:pStyle w:val="TableText"/>
              <w:ind w:left="57"/>
              <w:jc w:val="right"/>
              <w:rPr>
                <w:rFonts w:cs="Segoe UI"/>
                <w:lang w:eastAsia="en-NZ"/>
              </w:rPr>
            </w:pPr>
            <w:r w:rsidRPr="00624641">
              <w:rPr>
                <w:lang w:eastAsia="en-NZ"/>
              </w:rPr>
              <w:t>42,614 </w:t>
            </w:r>
          </w:p>
        </w:tc>
        <w:tc>
          <w:tcPr>
            <w:tcW w:w="917" w:type="dxa"/>
            <w:tcMar>
              <w:top w:w="45" w:type="dxa"/>
              <w:left w:w="0" w:type="dxa"/>
              <w:bottom w:w="45" w:type="dxa"/>
              <w:right w:w="0" w:type="dxa"/>
            </w:tcMar>
            <w:hideMark/>
          </w:tcPr>
          <w:p w14:paraId="03DD95E5" w14:textId="77777777" w:rsidR="001C635A" w:rsidRPr="00624641" w:rsidRDefault="001C635A" w:rsidP="001C635A">
            <w:pPr>
              <w:pStyle w:val="TableText"/>
              <w:ind w:left="57"/>
              <w:jc w:val="right"/>
              <w:rPr>
                <w:rFonts w:cs="Segoe UI"/>
                <w:lang w:eastAsia="en-NZ"/>
              </w:rPr>
            </w:pPr>
            <w:r w:rsidRPr="00624641">
              <w:rPr>
                <w:lang w:eastAsia="en-NZ"/>
              </w:rPr>
              <w:t>47,833 </w:t>
            </w:r>
          </w:p>
        </w:tc>
        <w:tc>
          <w:tcPr>
            <w:tcW w:w="737" w:type="dxa"/>
            <w:tcMar>
              <w:top w:w="45" w:type="dxa"/>
              <w:left w:w="0" w:type="dxa"/>
              <w:bottom w:w="45" w:type="dxa"/>
              <w:right w:w="0" w:type="dxa"/>
            </w:tcMar>
            <w:hideMark/>
          </w:tcPr>
          <w:p w14:paraId="66CC3434" w14:textId="77777777" w:rsidR="001C635A" w:rsidRPr="00624641" w:rsidRDefault="001C635A" w:rsidP="001C635A">
            <w:pPr>
              <w:pStyle w:val="TableText"/>
              <w:ind w:left="57"/>
              <w:jc w:val="right"/>
              <w:rPr>
                <w:rFonts w:cs="Segoe UI"/>
                <w:lang w:eastAsia="en-NZ"/>
              </w:rPr>
            </w:pPr>
            <w:r w:rsidRPr="00624641">
              <w:rPr>
                <w:lang w:eastAsia="en-NZ"/>
              </w:rPr>
              <w:t>-4% </w:t>
            </w:r>
          </w:p>
        </w:tc>
        <w:tc>
          <w:tcPr>
            <w:tcW w:w="708" w:type="dxa"/>
            <w:tcMar>
              <w:top w:w="45" w:type="dxa"/>
              <w:left w:w="0" w:type="dxa"/>
              <w:bottom w:w="45" w:type="dxa"/>
              <w:right w:w="0" w:type="dxa"/>
            </w:tcMar>
            <w:hideMark/>
          </w:tcPr>
          <w:p w14:paraId="42FB89B4" w14:textId="77777777" w:rsidR="001C635A" w:rsidRPr="00624641" w:rsidRDefault="001C635A" w:rsidP="001C635A">
            <w:pPr>
              <w:pStyle w:val="TableText"/>
              <w:ind w:left="57"/>
              <w:jc w:val="right"/>
              <w:rPr>
                <w:rFonts w:cs="Segoe UI"/>
                <w:lang w:eastAsia="en-NZ"/>
              </w:rPr>
            </w:pPr>
            <w:r w:rsidRPr="00624641">
              <w:rPr>
                <w:lang w:eastAsia="en-NZ"/>
              </w:rPr>
              <w:t>-3% </w:t>
            </w:r>
          </w:p>
        </w:tc>
        <w:tc>
          <w:tcPr>
            <w:tcW w:w="709" w:type="dxa"/>
            <w:tcMar>
              <w:top w:w="45" w:type="dxa"/>
              <w:left w:w="0" w:type="dxa"/>
              <w:bottom w:w="45" w:type="dxa"/>
              <w:right w:w="0" w:type="dxa"/>
            </w:tcMar>
            <w:hideMark/>
          </w:tcPr>
          <w:p w14:paraId="46DE9DED" w14:textId="77777777" w:rsidR="001C635A" w:rsidRPr="00624641" w:rsidRDefault="001C635A" w:rsidP="001C635A">
            <w:pPr>
              <w:pStyle w:val="TableText"/>
              <w:ind w:left="57"/>
              <w:jc w:val="right"/>
              <w:rPr>
                <w:rFonts w:cs="Segoe UI"/>
                <w:lang w:eastAsia="en-NZ"/>
              </w:rPr>
            </w:pPr>
            <w:r w:rsidRPr="00624641">
              <w:rPr>
                <w:lang w:eastAsia="en-NZ"/>
              </w:rPr>
              <w:t>1% </w:t>
            </w:r>
          </w:p>
        </w:tc>
      </w:tr>
      <w:tr w:rsidR="001C635A" w:rsidRPr="00624641" w14:paraId="202EC0AD" w14:textId="77777777" w:rsidTr="000E74C8">
        <w:tc>
          <w:tcPr>
            <w:tcW w:w="985" w:type="dxa"/>
            <w:tcMar>
              <w:top w:w="45" w:type="dxa"/>
              <w:left w:w="0" w:type="dxa"/>
              <w:bottom w:w="45" w:type="dxa"/>
              <w:right w:w="0" w:type="dxa"/>
            </w:tcMar>
            <w:hideMark/>
          </w:tcPr>
          <w:p w14:paraId="48EA11E3" w14:textId="77777777" w:rsidR="001C635A" w:rsidRPr="00624641" w:rsidRDefault="001C635A" w:rsidP="001C635A">
            <w:pPr>
              <w:pStyle w:val="TableText"/>
              <w:ind w:left="57"/>
              <w:rPr>
                <w:rFonts w:cs="Segoe UI"/>
                <w:lang w:eastAsia="en-NZ"/>
              </w:rPr>
            </w:pPr>
            <w:r w:rsidRPr="00624641">
              <w:rPr>
                <w:lang w:eastAsia="en-NZ"/>
              </w:rPr>
              <w:t>40</w:t>
            </w:r>
            <w:r>
              <w:rPr>
                <w:lang w:eastAsia="en-NZ"/>
              </w:rPr>
              <w:t>–</w:t>
            </w:r>
            <w:r w:rsidRPr="00624641">
              <w:rPr>
                <w:lang w:eastAsia="en-NZ"/>
              </w:rPr>
              <w:t>44 </w:t>
            </w:r>
          </w:p>
        </w:tc>
        <w:tc>
          <w:tcPr>
            <w:tcW w:w="916" w:type="dxa"/>
            <w:tcMar>
              <w:top w:w="45" w:type="dxa"/>
              <w:left w:w="0" w:type="dxa"/>
              <w:bottom w:w="45" w:type="dxa"/>
              <w:right w:w="0" w:type="dxa"/>
            </w:tcMar>
            <w:hideMark/>
          </w:tcPr>
          <w:p w14:paraId="56BD1C29" w14:textId="77777777" w:rsidR="001C635A" w:rsidRPr="00624641" w:rsidRDefault="001C635A" w:rsidP="001C635A">
            <w:pPr>
              <w:pStyle w:val="TableText"/>
              <w:ind w:left="57"/>
              <w:jc w:val="right"/>
              <w:rPr>
                <w:rFonts w:cs="Segoe UI"/>
                <w:lang w:eastAsia="en-NZ"/>
              </w:rPr>
            </w:pPr>
            <w:r w:rsidRPr="00624641">
              <w:rPr>
                <w:lang w:eastAsia="en-NZ"/>
              </w:rPr>
              <w:t>43,270 </w:t>
            </w:r>
          </w:p>
        </w:tc>
        <w:tc>
          <w:tcPr>
            <w:tcW w:w="917" w:type="dxa"/>
            <w:tcMar>
              <w:top w:w="45" w:type="dxa"/>
              <w:left w:w="0" w:type="dxa"/>
              <w:bottom w:w="45" w:type="dxa"/>
              <w:right w:w="0" w:type="dxa"/>
            </w:tcMar>
            <w:hideMark/>
          </w:tcPr>
          <w:p w14:paraId="2FEE43E9" w14:textId="77777777" w:rsidR="001C635A" w:rsidRPr="00624641" w:rsidRDefault="001C635A" w:rsidP="001C635A">
            <w:pPr>
              <w:pStyle w:val="TableText"/>
              <w:ind w:left="57"/>
              <w:jc w:val="right"/>
              <w:rPr>
                <w:rFonts w:cs="Segoe UI"/>
                <w:lang w:eastAsia="en-NZ"/>
              </w:rPr>
            </w:pPr>
            <w:r w:rsidRPr="00624641">
              <w:rPr>
                <w:lang w:eastAsia="en-NZ"/>
              </w:rPr>
              <w:t>46,610 </w:t>
            </w:r>
          </w:p>
        </w:tc>
        <w:tc>
          <w:tcPr>
            <w:tcW w:w="917" w:type="dxa"/>
            <w:tcMar>
              <w:top w:w="45" w:type="dxa"/>
              <w:left w:w="0" w:type="dxa"/>
              <w:bottom w:w="45" w:type="dxa"/>
              <w:right w:w="0" w:type="dxa"/>
            </w:tcMar>
            <w:hideMark/>
          </w:tcPr>
          <w:p w14:paraId="62B01483" w14:textId="77777777" w:rsidR="001C635A" w:rsidRPr="00624641" w:rsidRDefault="001C635A" w:rsidP="001C635A">
            <w:pPr>
              <w:pStyle w:val="TableText"/>
              <w:ind w:left="57"/>
              <w:jc w:val="right"/>
              <w:rPr>
                <w:rFonts w:cs="Segoe UI"/>
                <w:lang w:eastAsia="en-NZ"/>
              </w:rPr>
            </w:pPr>
            <w:r w:rsidRPr="00624641">
              <w:rPr>
                <w:lang w:eastAsia="en-NZ"/>
              </w:rPr>
              <w:t>45,250 </w:t>
            </w:r>
          </w:p>
        </w:tc>
        <w:tc>
          <w:tcPr>
            <w:tcW w:w="917" w:type="dxa"/>
            <w:tcMar>
              <w:top w:w="45" w:type="dxa"/>
              <w:left w:w="0" w:type="dxa"/>
              <w:bottom w:w="45" w:type="dxa"/>
              <w:right w:w="0" w:type="dxa"/>
            </w:tcMar>
            <w:hideMark/>
          </w:tcPr>
          <w:p w14:paraId="180FE1C0" w14:textId="77777777" w:rsidR="001C635A" w:rsidRPr="00624641" w:rsidRDefault="001C635A" w:rsidP="001C635A">
            <w:pPr>
              <w:pStyle w:val="TableText"/>
              <w:ind w:left="57"/>
              <w:jc w:val="right"/>
              <w:rPr>
                <w:rFonts w:cs="Segoe UI"/>
                <w:lang w:eastAsia="en-NZ"/>
              </w:rPr>
            </w:pPr>
            <w:r w:rsidRPr="00624641">
              <w:rPr>
                <w:lang w:eastAsia="en-NZ"/>
              </w:rPr>
              <w:t>41,594 </w:t>
            </w:r>
          </w:p>
        </w:tc>
        <w:tc>
          <w:tcPr>
            <w:tcW w:w="916" w:type="dxa"/>
            <w:tcMar>
              <w:top w:w="45" w:type="dxa"/>
              <w:left w:w="0" w:type="dxa"/>
              <w:bottom w:w="45" w:type="dxa"/>
              <w:right w:w="0" w:type="dxa"/>
            </w:tcMar>
            <w:hideMark/>
          </w:tcPr>
          <w:p w14:paraId="34543567" w14:textId="77777777" w:rsidR="001C635A" w:rsidRPr="00624641" w:rsidRDefault="001C635A" w:rsidP="001C635A">
            <w:pPr>
              <w:pStyle w:val="TableText"/>
              <w:ind w:left="57"/>
              <w:jc w:val="right"/>
              <w:rPr>
                <w:rFonts w:cs="Segoe UI"/>
                <w:lang w:eastAsia="en-NZ"/>
              </w:rPr>
            </w:pPr>
            <w:r w:rsidRPr="00624641">
              <w:rPr>
                <w:lang w:eastAsia="en-NZ"/>
              </w:rPr>
              <w:t>45,470 </w:t>
            </w:r>
          </w:p>
        </w:tc>
        <w:tc>
          <w:tcPr>
            <w:tcW w:w="917" w:type="dxa"/>
            <w:tcMar>
              <w:top w:w="45" w:type="dxa"/>
              <w:left w:w="0" w:type="dxa"/>
              <w:bottom w:w="45" w:type="dxa"/>
              <w:right w:w="0" w:type="dxa"/>
            </w:tcMar>
            <w:hideMark/>
          </w:tcPr>
          <w:p w14:paraId="1D91822B" w14:textId="77777777" w:rsidR="001C635A" w:rsidRPr="00624641" w:rsidRDefault="001C635A" w:rsidP="001C635A">
            <w:pPr>
              <w:pStyle w:val="TableText"/>
              <w:ind w:left="57"/>
              <w:jc w:val="right"/>
              <w:rPr>
                <w:rFonts w:cs="Segoe UI"/>
                <w:lang w:eastAsia="en-NZ"/>
              </w:rPr>
            </w:pPr>
            <w:r w:rsidRPr="00624641">
              <w:rPr>
                <w:lang w:eastAsia="en-NZ"/>
              </w:rPr>
              <w:t>45,938 </w:t>
            </w:r>
          </w:p>
        </w:tc>
        <w:tc>
          <w:tcPr>
            <w:tcW w:w="737" w:type="dxa"/>
            <w:tcMar>
              <w:top w:w="45" w:type="dxa"/>
              <w:left w:w="0" w:type="dxa"/>
              <w:bottom w:w="45" w:type="dxa"/>
              <w:right w:w="0" w:type="dxa"/>
            </w:tcMar>
            <w:hideMark/>
          </w:tcPr>
          <w:p w14:paraId="723B659D" w14:textId="77777777" w:rsidR="001C635A" w:rsidRPr="00624641" w:rsidRDefault="001C635A" w:rsidP="001C635A">
            <w:pPr>
              <w:pStyle w:val="TableText"/>
              <w:ind w:left="57"/>
              <w:jc w:val="right"/>
              <w:rPr>
                <w:rFonts w:cs="Segoe UI"/>
                <w:lang w:eastAsia="en-NZ"/>
              </w:rPr>
            </w:pPr>
            <w:r w:rsidRPr="00624641">
              <w:rPr>
                <w:lang w:eastAsia="en-NZ"/>
              </w:rPr>
              <w:t>-4% </w:t>
            </w:r>
          </w:p>
        </w:tc>
        <w:tc>
          <w:tcPr>
            <w:tcW w:w="708" w:type="dxa"/>
            <w:tcMar>
              <w:top w:w="45" w:type="dxa"/>
              <w:left w:w="0" w:type="dxa"/>
              <w:bottom w:w="45" w:type="dxa"/>
              <w:right w:w="0" w:type="dxa"/>
            </w:tcMar>
            <w:hideMark/>
          </w:tcPr>
          <w:p w14:paraId="6BB62880" w14:textId="77777777" w:rsidR="001C635A" w:rsidRPr="00624641" w:rsidRDefault="001C635A" w:rsidP="001C635A">
            <w:pPr>
              <w:pStyle w:val="TableText"/>
              <w:ind w:left="57"/>
              <w:jc w:val="right"/>
              <w:rPr>
                <w:rFonts w:cs="Segoe UI"/>
                <w:lang w:eastAsia="en-NZ"/>
              </w:rPr>
            </w:pPr>
            <w:r w:rsidRPr="00624641">
              <w:rPr>
                <w:lang w:eastAsia="en-NZ"/>
              </w:rPr>
              <w:t>-2% </w:t>
            </w:r>
          </w:p>
        </w:tc>
        <w:tc>
          <w:tcPr>
            <w:tcW w:w="709" w:type="dxa"/>
            <w:tcMar>
              <w:top w:w="45" w:type="dxa"/>
              <w:left w:w="0" w:type="dxa"/>
              <w:bottom w:w="45" w:type="dxa"/>
              <w:right w:w="0" w:type="dxa"/>
            </w:tcMar>
            <w:hideMark/>
          </w:tcPr>
          <w:p w14:paraId="463CA911" w14:textId="77777777" w:rsidR="001C635A" w:rsidRPr="00624641" w:rsidRDefault="001C635A" w:rsidP="001C635A">
            <w:pPr>
              <w:pStyle w:val="TableText"/>
              <w:ind w:left="57"/>
              <w:jc w:val="right"/>
              <w:rPr>
                <w:rFonts w:cs="Segoe UI"/>
                <w:lang w:eastAsia="en-NZ"/>
              </w:rPr>
            </w:pPr>
            <w:r w:rsidRPr="00624641">
              <w:rPr>
                <w:lang w:eastAsia="en-NZ"/>
              </w:rPr>
              <w:t>2% </w:t>
            </w:r>
          </w:p>
        </w:tc>
      </w:tr>
      <w:tr w:rsidR="001C635A" w:rsidRPr="00624641" w14:paraId="6A97B883" w14:textId="77777777" w:rsidTr="000E74C8">
        <w:tc>
          <w:tcPr>
            <w:tcW w:w="985" w:type="dxa"/>
            <w:tcMar>
              <w:top w:w="45" w:type="dxa"/>
              <w:left w:w="0" w:type="dxa"/>
              <w:bottom w:w="45" w:type="dxa"/>
              <w:right w:w="0" w:type="dxa"/>
            </w:tcMar>
            <w:hideMark/>
          </w:tcPr>
          <w:p w14:paraId="3CA27BF9" w14:textId="77777777" w:rsidR="001C635A" w:rsidRPr="00624641" w:rsidRDefault="001C635A" w:rsidP="001C635A">
            <w:pPr>
              <w:pStyle w:val="TableText"/>
              <w:ind w:left="57"/>
              <w:rPr>
                <w:rFonts w:cs="Segoe UI"/>
                <w:lang w:eastAsia="en-NZ"/>
              </w:rPr>
            </w:pPr>
            <w:r w:rsidRPr="00624641">
              <w:rPr>
                <w:lang w:eastAsia="en-NZ"/>
              </w:rPr>
              <w:t>45</w:t>
            </w:r>
            <w:r>
              <w:rPr>
                <w:lang w:eastAsia="en-NZ"/>
              </w:rPr>
              <w:t>–</w:t>
            </w:r>
            <w:r w:rsidRPr="00624641">
              <w:rPr>
                <w:lang w:eastAsia="en-NZ"/>
              </w:rPr>
              <w:t>49 </w:t>
            </w:r>
          </w:p>
        </w:tc>
        <w:tc>
          <w:tcPr>
            <w:tcW w:w="916" w:type="dxa"/>
            <w:tcMar>
              <w:top w:w="45" w:type="dxa"/>
              <w:left w:w="0" w:type="dxa"/>
              <w:bottom w:w="45" w:type="dxa"/>
              <w:right w:w="0" w:type="dxa"/>
            </w:tcMar>
            <w:hideMark/>
          </w:tcPr>
          <w:p w14:paraId="407AD21A" w14:textId="77777777" w:rsidR="001C635A" w:rsidRPr="00624641" w:rsidRDefault="001C635A" w:rsidP="001C635A">
            <w:pPr>
              <w:pStyle w:val="TableText"/>
              <w:ind w:left="57"/>
              <w:jc w:val="right"/>
              <w:rPr>
                <w:rFonts w:cs="Segoe UI"/>
                <w:lang w:eastAsia="en-NZ"/>
              </w:rPr>
            </w:pPr>
            <w:r w:rsidRPr="00624641">
              <w:rPr>
                <w:lang w:eastAsia="en-NZ"/>
              </w:rPr>
              <w:t>41,240 </w:t>
            </w:r>
          </w:p>
        </w:tc>
        <w:tc>
          <w:tcPr>
            <w:tcW w:w="917" w:type="dxa"/>
            <w:tcMar>
              <w:top w:w="45" w:type="dxa"/>
              <w:left w:w="0" w:type="dxa"/>
              <w:bottom w:w="45" w:type="dxa"/>
              <w:right w:w="0" w:type="dxa"/>
            </w:tcMar>
            <w:hideMark/>
          </w:tcPr>
          <w:p w14:paraId="42DB16B2" w14:textId="77777777" w:rsidR="001C635A" w:rsidRPr="00624641" w:rsidRDefault="001C635A" w:rsidP="001C635A">
            <w:pPr>
              <w:pStyle w:val="TableText"/>
              <w:ind w:left="57"/>
              <w:jc w:val="right"/>
              <w:rPr>
                <w:rFonts w:cs="Segoe UI"/>
                <w:lang w:eastAsia="en-NZ"/>
              </w:rPr>
            </w:pPr>
            <w:r w:rsidRPr="00624641">
              <w:rPr>
                <w:lang w:eastAsia="en-NZ"/>
              </w:rPr>
              <w:t>43,940 </w:t>
            </w:r>
          </w:p>
        </w:tc>
        <w:tc>
          <w:tcPr>
            <w:tcW w:w="917" w:type="dxa"/>
            <w:tcMar>
              <w:top w:w="45" w:type="dxa"/>
              <w:left w:w="0" w:type="dxa"/>
              <w:bottom w:w="45" w:type="dxa"/>
              <w:right w:w="0" w:type="dxa"/>
            </w:tcMar>
            <w:hideMark/>
          </w:tcPr>
          <w:p w14:paraId="6A02900A" w14:textId="77777777" w:rsidR="001C635A" w:rsidRPr="00624641" w:rsidRDefault="001C635A" w:rsidP="001C635A">
            <w:pPr>
              <w:pStyle w:val="TableText"/>
              <w:ind w:left="57"/>
              <w:jc w:val="right"/>
              <w:rPr>
                <w:rFonts w:cs="Segoe UI"/>
                <w:lang w:eastAsia="en-NZ"/>
              </w:rPr>
            </w:pPr>
            <w:r w:rsidRPr="00624641">
              <w:rPr>
                <w:lang w:eastAsia="en-NZ"/>
              </w:rPr>
              <w:t>47,980 </w:t>
            </w:r>
          </w:p>
        </w:tc>
        <w:tc>
          <w:tcPr>
            <w:tcW w:w="917" w:type="dxa"/>
            <w:tcMar>
              <w:top w:w="45" w:type="dxa"/>
              <w:left w:w="0" w:type="dxa"/>
              <w:bottom w:w="45" w:type="dxa"/>
              <w:right w:w="0" w:type="dxa"/>
            </w:tcMar>
            <w:hideMark/>
          </w:tcPr>
          <w:p w14:paraId="7F5CC69E" w14:textId="77777777" w:rsidR="001C635A" w:rsidRPr="00624641" w:rsidRDefault="001C635A" w:rsidP="001C635A">
            <w:pPr>
              <w:pStyle w:val="TableText"/>
              <w:ind w:left="57"/>
              <w:jc w:val="right"/>
              <w:rPr>
                <w:rFonts w:cs="Segoe UI"/>
                <w:lang w:eastAsia="en-NZ"/>
              </w:rPr>
            </w:pPr>
            <w:r w:rsidRPr="00624641">
              <w:rPr>
                <w:lang w:eastAsia="en-NZ"/>
              </w:rPr>
              <w:t>41,039 </w:t>
            </w:r>
          </w:p>
        </w:tc>
        <w:tc>
          <w:tcPr>
            <w:tcW w:w="916" w:type="dxa"/>
            <w:tcMar>
              <w:top w:w="45" w:type="dxa"/>
              <w:left w:w="0" w:type="dxa"/>
              <w:bottom w:w="45" w:type="dxa"/>
              <w:right w:w="0" w:type="dxa"/>
            </w:tcMar>
            <w:hideMark/>
          </w:tcPr>
          <w:p w14:paraId="253C8653" w14:textId="77777777" w:rsidR="001C635A" w:rsidRPr="00624641" w:rsidRDefault="001C635A" w:rsidP="001C635A">
            <w:pPr>
              <w:pStyle w:val="TableText"/>
              <w:ind w:left="57"/>
              <w:jc w:val="right"/>
              <w:rPr>
                <w:rFonts w:cs="Segoe UI"/>
                <w:lang w:eastAsia="en-NZ"/>
              </w:rPr>
            </w:pPr>
            <w:r w:rsidRPr="00624641">
              <w:rPr>
                <w:lang w:eastAsia="en-NZ"/>
              </w:rPr>
              <w:t>43,451 </w:t>
            </w:r>
          </w:p>
        </w:tc>
        <w:tc>
          <w:tcPr>
            <w:tcW w:w="917" w:type="dxa"/>
            <w:tcMar>
              <w:top w:w="45" w:type="dxa"/>
              <w:left w:w="0" w:type="dxa"/>
              <w:bottom w:w="45" w:type="dxa"/>
              <w:right w:w="0" w:type="dxa"/>
            </w:tcMar>
            <w:hideMark/>
          </w:tcPr>
          <w:p w14:paraId="1DF9D96C" w14:textId="77777777" w:rsidR="001C635A" w:rsidRPr="00624641" w:rsidRDefault="001C635A" w:rsidP="001C635A">
            <w:pPr>
              <w:pStyle w:val="TableText"/>
              <w:ind w:left="57"/>
              <w:jc w:val="right"/>
              <w:rPr>
                <w:rFonts w:cs="Segoe UI"/>
                <w:lang w:eastAsia="en-NZ"/>
              </w:rPr>
            </w:pPr>
            <w:r w:rsidRPr="00624641">
              <w:rPr>
                <w:lang w:eastAsia="en-NZ"/>
              </w:rPr>
              <w:t>48,904 </w:t>
            </w:r>
          </w:p>
        </w:tc>
        <w:tc>
          <w:tcPr>
            <w:tcW w:w="737" w:type="dxa"/>
            <w:tcMar>
              <w:top w:w="45" w:type="dxa"/>
              <w:left w:w="0" w:type="dxa"/>
              <w:bottom w:w="45" w:type="dxa"/>
              <w:right w:w="0" w:type="dxa"/>
            </w:tcMar>
            <w:hideMark/>
          </w:tcPr>
          <w:p w14:paraId="1516D1B7"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8" w:type="dxa"/>
            <w:tcMar>
              <w:top w:w="45" w:type="dxa"/>
              <w:left w:w="0" w:type="dxa"/>
              <w:bottom w:w="45" w:type="dxa"/>
              <w:right w:w="0" w:type="dxa"/>
            </w:tcMar>
            <w:hideMark/>
          </w:tcPr>
          <w:p w14:paraId="277805EA" w14:textId="77777777" w:rsidR="001C635A" w:rsidRPr="00624641" w:rsidRDefault="001C635A" w:rsidP="001C635A">
            <w:pPr>
              <w:pStyle w:val="TableText"/>
              <w:ind w:left="57"/>
              <w:jc w:val="right"/>
              <w:rPr>
                <w:rFonts w:cs="Segoe UI"/>
                <w:lang w:eastAsia="en-NZ"/>
              </w:rPr>
            </w:pPr>
            <w:r w:rsidRPr="00624641">
              <w:rPr>
                <w:lang w:eastAsia="en-NZ"/>
              </w:rPr>
              <w:t>-1% </w:t>
            </w:r>
          </w:p>
        </w:tc>
        <w:tc>
          <w:tcPr>
            <w:tcW w:w="709" w:type="dxa"/>
            <w:tcMar>
              <w:top w:w="45" w:type="dxa"/>
              <w:left w:w="0" w:type="dxa"/>
              <w:bottom w:w="45" w:type="dxa"/>
              <w:right w:w="0" w:type="dxa"/>
            </w:tcMar>
            <w:hideMark/>
          </w:tcPr>
          <w:p w14:paraId="4287B0D5" w14:textId="77777777" w:rsidR="001C635A" w:rsidRPr="00624641" w:rsidRDefault="001C635A" w:rsidP="001C635A">
            <w:pPr>
              <w:pStyle w:val="TableText"/>
              <w:ind w:left="57"/>
              <w:jc w:val="right"/>
              <w:rPr>
                <w:rFonts w:cs="Segoe UI"/>
                <w:lang w:eastAsia="en-NZ"/>
              </w:rPr>
            </w:pPr>
            <w:r w:rsidRPr="00624641">
              <w:rPr>
                <w:lang w:eastAsia="en-NZ"/>
              </w:rPr>
              <w:t>2% </w:t>
            </w:r>
          </w:p>
        </w:tc>
      </w:tr>
      <w:tr w:rsidR="001C635A" w:rsidRPr="00624641" w14:paraId="70A4466D" w14:textId="77777777" w:rsidTr="000E74C8">
        <w:tc>
          <w:tcPr>
            <w:tcW w:w="985" w:type="dxa"/>
            <w:tcMar>
              <w:top w:w="45" w:type="dxa"/>
              <w:left w:w="0" w:type="dxa"/>
              <w:bottom w:w="45" w:type="dxa"/>
              <w:right w:w="0" w:type="dxa"/>
            </w:tcMar>
            <w:hideMark/>
          </w:tcPr>
          <w:p w14:paraId="598E7153" w14:textId="77777777" w:rsidR="001C635A" w:rsidRPr="00624641" w:rsidRDefault="001C635A" w:rsidP="001C635A">
            <w:pPr>
              <w:pStyle w:val="TableText"/>
              <w:ind w:left="57"/>
              <w:rPr>
                <w:rFonts w:cs="Segoe UI"/>
                <w:lang w:eastAsia="en-NZ"/>
              </w:rPr>
            </w:pPr>
            <w:r w:rsidRPr="00624641">
              <w:rPr>
                <w:lang w:eastAsia="en-NZ"/>
              </w:rPr>
              <w:t>50</w:t>
            </w:r>
            <w:r>
              <w:rPr>
                <w:lang w:eastAsia="en-NZ"/>
              </w:rPr>
              <w:t>–</w:t>
            </w:r>
            <w:r w:rsidRPr="00624641">
              <w:rPr>
                <w:lang w:eastAsia="en-NZ"/>
              </w:rPr>
              <w:t>54 </w:t>
            </w:r>
          </w:p>
        </w:tc>
        <w:tc>
          <w:tcPr>
            <w:tcW w:w="916" w:type="dxa"/>
            <w:tcMar>
              <w:top w:w="45" w:type="dxa"/>
              <w:left w:w="0" w:type="dxa"/>
              <w:bottom w:w="45" w:type="dxa"/>
              <w:right w:w="0" w:type="dxa"/>
            </w:tcMar>
            <w:hideMark/>
          </w:tcPr>
          <w:p w14:paraId="489E6108" w14:textId="77777777" w:rsidR="001C635A" w:rsidRPr="00624641" w:rsidRDefault="001C635A" w:rsidP="001C635A">
            <w:pPr>
              <w:pStyle w:val="TableText"/>
              <w:ind w:left="57"/>
              <w:jc w:val="right"/>
              <w:rPr>
                <w:rFonts w:cs="Segoe UI"/>
                <w:lang w:eastAsia="en-NZ"/>
              </w:rPr>
            </w:pPr>
            <w:r w:rsidRPr="00624641">
              <w:rPr>
                <w:lang w:eastAsia="en-NZ"/>
              </w:rPr>
              <w:t>33,390 </w:t>
            </w:r>
          </w:p>
        </w:tc>
        <w:tc>
          <w:tcPr>
            <w:tcW w:w="917" w:type="dxa"/>
            <w:tcMar>
              <w:top w:w="45" w:type="dxa"/>
              <w:left w:w="0" w:type="dxa"/>
              <w:bottom w:w="45" w:type="dxa"/>
              <w:right w:w="0" w:type="dxa"/>
            </w:tcMar>
            <w:hideMark/>
          </w:tcPr>
          <w:p w14:paraId="7EFD4E9D" w14:textId="77777777" w:rsidR="001C635A" w:rsidRPr="00624641" w:rsidRDefault="001C635A" w:rsidP="001C635A">
            <w:pPr>
              <w:pStyle w:val="TableText"/>
              <w:ind w:left="57"/>
              <w:jc w:val="right"/>
              <w:rPr>
                <w:rFonts w:cs="Segoe UI"/>
                <w:lang w:eastAsia="en-NZ"/>
              </w:rPr>
            </w:pPr>
            <w:r w:rsidRPr="00624641">
              <w:rPr>
                <w:lang w:eastAsia="en-NZ"/>
              </w:rPr>
              <w:t>41,500 </w:t>
            </w:r>
          </w:p>
        </w:tc>
        <w:tc>
          <w:tcPr>
            <w:tcW w:w="917" w:type="dxa"/>
            <w:tcMar>
              <w:top w:w="45" w:type="dxa"/>
              <w:left w:w="0" w:type="dxa"/>
              <w:bottom w:w="45" w:type="dxa"/>
              <w:right w:w="0" w:type="dxa"/>
            </w:tcMar>
            <w:hideMark/>
          </w:tcPr>
          <w:p w14:paraId="56BDCDA7" w14:textId="77777777" w:rsidR="001C635A" w:rsidRPr="00624641" w:rsidRDefault="001C635A" w:rsidP="001C635A">
            <w:pPr>
              <w:pStyle w:val="TableText"/>
              <w:ind w:left="57"/>
              <w:jc w:val="right"/>
              <w:rPr>
                <w:rFonts w:cs="Segoe UI"/>
                <w:lang w:eastAsia="en-NZ"/>
              </w:rPr>
            </w:pPr>
            <w:r w:rsidRPr="00624641">
              <w:rPr>
                <w:lang w:eastAsia="en-NZ"/>
              </w:rPr>
              <w:t>45,050 </w:t>
            </w:r>
          </w:p>
        </w:tc>
        <w:tc>
          <w:tcPr>
            <w:tcW w:w="917" w:type="dxa"/>
            <w:tcMar>
              <w:top w:w="45" w:type="dxa"/>
              <w:left w:w="0" w:type="dxa"/>
              <w:bottom w:w="45" w:type="dxa"/>
              <w:right w:w="0" w:type="dxa"/>
            </w:tcMar>
            <w:hideMark/>
          </w:tcPr>
          <w:p w14:paraId="4A8759CE" w14:textId="77777777" w:rsidR="001C635A" w:rsidRPr="00624641" w:rsidRDefault="001C635A" w:rsidP="001C635A">
            <w:pPr>
              <w:pStyle w:val="TableText"/>
              <w:ind w:left="57"/>
              <w:jc w:val="right"/>
              <w:rPr>
                <w:rFonts w:cs="Segoe UI"/>
                <w:lang w:eastAsia="en-NZ"/>
              </w:rPr>
            </w:pPr>
            <w:r w:rsidRPr="00624641">
              <w:rPr>
                <w:lang w:eastAsia="en-NZ"/>
              </w:rPr>
              <w:t>33,466 </w:t>
            </w:r>
          </w:p>
        </w:tc>
        <w:tc>
          <w:tcPr>
            <w:tcW w:w="916" w:type="dxa"/>
            <w:tcMar>
              <w:top w:w="45" w:type="dxa"/>
              <w:left w:w="0" w:type="dxa"/>
              <w:bottom w:w="45" w:type="dxa"/>
              <w:right w:w="0" w:type="dxa"/>
            </w:tcMar>
            <w:hideMark/>
          </w:tcPr>
          <w:p w14:paraId="458D2162" w14:textId="77777777" w:rsidR="001C635A" w:rsidRPr="00624641" w:rsidRDefault="001C635A" w:rsidP="001C635A">
            <w:pPr>
              <w:pStyle w:val="TableText"/>
              <w:ind w:left="57"/>
              <w:jc w:val="right"/>
              <w:rPr>
                <w:rFonts w:cs="Segoe UI"/>
                <w:lang w:eastAsia="en-NZ"/>
              </w:rPr>
            </w:pPr>
            <w:r w:rsidRPr="00624641">
              <w:rPr>
                <w:lang w:eastAsia="en-NZ"/>
              </w:rPr>
              <w:t>41,885 </w:t>
            </w:r>
          </w:p>
        </w:tc>
        <w:tc>
          <w:tcPr>
            <w:tcW w:w="917" w:type="dxa"/>
            <w:tcMar>
              <w:top w:w="45" w:type="dxa"/>
              <w:left w:w="0" w:type="dxa"/>
              <w:bottom w:w="45" w:type="dxa"/>
              <w:right w:w="0" w:type="dxa"/>
            </w:tcMar>
            <w:hideMark/>
          </w:tcPr>
          <w:p w14:paraId="52467582" w14:textId="77777777" w:rsidR="001C635A" w:rsidRPr="00624641" w:rsidRDefault="001C635A" w:rsidP="001C635A">
            <w:pPr>
              <w:pStyle w:val="TableText"/>
              <w:ind w:left="57"/>
              <w:jc w:val="right"/>
              <w:rPr>
                <w:rFonts w:cs="Segoe UI"/>
                <w:lang w:eastAsia="en-NZ"/>
              </w:rPr>
            </w:pPr>
            <w:r w:rsidRPr="00624641">
              <w:rPr>
                <w:lang w:eastAsia="en-NZ"/>
              </w:rPr>
              <w:t>45,306 </w:t>
            </w:r>
          </w:p>
        </w:tc>
        <w:tc>
          <w:tcPr>
            <w:tcW w:w="737" w:type="dxa"/>
            <w:tcMar>
              <w:top w:w="45" w:type="dxa"/>
              <w:left w:w="0" w:type="dxa"/>
              <w:bottom w:w="45" w:type="dxa"/>
              <w:right w:w="0" w:type="dxa"/>
            </w:tcMar>
            <w:hideMark/>
          </w:tcPr>
          <w:p w14:paraId="7416CBF3"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8" w:type="dxa"/>
            <w:tcMar>
              <w:top w:w="45" w:type="dxa"/>
              <w:left w:w="0" w:type="dxa"/>
              <w:bottom w:w="45" w:type="dxa"/>
              <w:right w:w="0" w:type="dxa"/>
            </w:tcMar>
            <w:hideMark/>
          </w:tcPr>
          <w:p w14:paraId="299B0D4F" w14:textId="77777777" w:rsidR="001C635A" w:rsidRPr="00624641" w:rsidRDefault="001C635A" w:rsidP="001C635A">
            <w:pPr>
              <w:pStyle w:val="TableText"/>
              <w:ind w:left="57"/>
              <w:jc w:val="right"/>
              <w:rPr>
                <w:rFonts w:cs="Segoe UI"/>
                <w:lang w:eastAsia="en-NZ"/>
              </w:rPr>
            </w:pPr>
            <w:r w:rsidRPr="00624641">
              <w:rPr>
                <w:lang w:eastAsia="en-NZ"/>
              </w:rPr>
              <w:t>1% </w:t>
            </w:r>
          </w:p>
        </w:tc>
        <w:tc>
          <w:tcPr>
            <w:tcW w:w="709" w:type="dxa"/>
            <w:tcMar>
              <w:top w:w="45" w:type="dxa"/>
              <w:left w:w="0" w:type="dxa"/>
              <w:bottom w:w="45" w:type="dxa"/>
              <w:right w:w="0" w:type="dxa"/>
            </w:tcMar>
            <w:hideMark/>
          </w:tcPr>
          <w:p w14:paraId="3C5A560F" w14:textId="77777777" w:rsidR="001C635A" w:rsidRPr="00624641" w:rsidRDefault="001C635A" w:rsidP="001C635A">
            <w:pPr>
              <w:pStyle w:val="TableText"/>
              <w:ind w:left="57"/>
              <w:jc w:val="right"/>
              <w:rPr>
                <w:rFonts w:cs="Segoe UI"/>
                <w:lang w:eastAsia="en-NZ"/>
              </w:rPr>
            </w:pPr>
            <w:r w:rsidRPr="00624641">
              <w:rPr>
                <w:lang w:eastAsia="en-NZ"/>
              </w:rPr>
              <w:t>1% </w:t>
            </w:r>
          </w:p>
        </w:tc>
      </w:tr>
      <w:tr w:rsidR="001C635A" w:rsidRPr="00624641" w14:paraId="61E9234A" w14:textId="77777777" w:rsidTr="000E74C8">
        <w:tc>
          <w:tcPr>
            <w:tcW w:w="985" w:type="dxa"/>
            <w:tcMar>
              <w:top w:w="45" w:type="dxa"/>
              <w:left w:w="0" w:type="dxa"/>
              <w:bottom w:w="45" w:type="dxa"/>
              <w:right w:w="0" w:type="dxa"/>
            </w:tcMar>
            <w:hideMark/>
          </w:tcPr>
          <w:p w14:paraId="692EC0A7" w14:textId="77777777" w:rsidR="001C635A" w:rsidRPr="00624641" w:rsidRDefault="001C635A" w:rsidP="001C635A">
            <w:pPr>
              <w:pStyle w:val="TableText"/>
              <w:ind w:left="57"/>
              <w:rPr>
                <w:rFonts w:cs="Segoe UI"/>
                <w:lang w:eastAsia="en-NZ"/>
              </w:rPr>
            </w:pPr>
            <w:r w:rsidRPr="00624641">
              <w:rPr>
                <w:lang w:eastAsia="en-NZ"/>
              </w:rPr>
              <w:t>55</w:t>
            </w:r>
            <w:r>
              <w:rPr>
                <w:lang w:eastAsia="en-NZ"/>
              </w:rPr>
              <w:t>–</w:t>
            </w:r>
            <w:r w:rsidRPr="00624641">
              <w:rPr>
                <w:lang w:eastAsia="en-NZ"/>
              </w:rPr>
              <w:t>59 </w:t>
            </w:r>
          </w:p>
        </w:tc>
        <w:tc>
          <w:tcPr>
            <w:tcW w:w="916" w:type="dxa"/>
            <w:tcMar>
              <w:top w:w="45" w:type="dxa"/>
              <w:left w:w="0" w:type="dxa"/>
              <w:bottom w:w="45" w:type="dxa"/>
              <w:right w:w="0" w:type="dxa"/>
            </w:tcMar>
            <w:hideMark/>
          </w:tcPr>
          <w:p w14:paraId="41A1A6A7" w14:textId="77777777" w:rsidR="001C635A" w:rsidRPr="00624641" w:rsidRDefault="001C635A" w:rsidP="001C635A">
            <w:pPr>
              <w:pStyle w:val="TableText"/>
              <w:ind w:left="57"/>
              <w:jc w:val="right"/>
              <w:rPr>
                <w:rFonts w:cs="Segoe UI"/>
                <w:lang w:eastAsia="en-NZ"/>
              </w:rPr>
            </w:pPr>
            <w:r w:rsidRPr="00624641">
              <w:rPr>
                <w:lang w:eastAsia="en-NZ"/>
              </w:rPr>
              <w:t>24,970 </w:t>
            </w:r>
          </w:p>
        </w:tc>
        <w:tc>
          <w:tcPr>
            <w:tcW w:w="917" w:type="dxa"/>
            <w:tcMar>
              <w:top w:w="45" w:type="dxa"/>
              <w:left w:w="0" w:type="dxa"/>
              <w:bottom w:w="45" w:type="dxa"/>
              <w:right w:w="0" w:type="dxa"/>
            </w:tcMar>
            <w:hideMark/>
          </w:tcPr>
          <w:p w14:paraId="7183224A" w14:textId="77777777" w:rsidR="001C635A" w:rsidRPr="00624641" w:rsidRDefault="001C635A" w:rsidP="001C635A">
            <w:pPr>
              <w:pStyle w:val="TableText"/>
              <w:ind w:left="57"/>
              <w:jc w:val="right"/>
              <w:rPr>
                <w:rFonts w:cs="Segoe UI"/>
                <w:lang w:eastAsia="en-NZ"/>
              </w:rPr>
            </w:pPr>
            <w:r w:rsidRPr="00624641">
              <w:rPr>
                <w:lang w:eastAsia="en-NZ"/>
              </w:rPr>
              <w:t>32,970 </w:t>
            </w:r>
          </w:p>
        </w:tc>
        <w:tc>
          <w:tcPr>
            <w:tcW w:w="917" w:type="dxa"/>
            <w:tcMar>
              <w:top w:w="45" w:type="dxa"/>
              <w:left w:w="0" w:type="dxa"/>
              <w:bottom w:w="45" w:type="dxa"/>
              <w:right w:w="0" w:type="dxa"/>
            </w:tcMar>
            <w:hideMark/>
          </w:tcPr>
          <w:p w14:paraId="4EC777FA" w14:textId="77777777" w:rsidR="001C635A" w:rsidRPr="00624641" w:rsidRDefault="001C635A" w:rsidP="001C635A">
            <w:pPr>
              <w:pStyle w:val="TableText"/>
              <w:ind w:left="57"/>
              <w:jc w:val="right"/>
              <w:rPr>
                <w:rFonts w:cs="Segoe UI"/>
                <w:lang w:eastAsia="en-NZ"/>
              </w:rPr>
            </w:pPr>
            <w:r w:rsidRPr="00624641">
              <w:rPr>
                <w:lang w:eastAsia="en-NZ"/>
              </w:rPr>
              <w:t>42,060 </w:t>
            </w:r>
          </w:p>
        </w:tc>
        <w:tc>
          <w:tcPr>
            <w:tcW w:w="917" w:type="dxa"/>
            <w:tcMar>
              <w:top w:w="45" w:type="dxa"/>
              <w:left w:w="0" w:type="dxa"/>
              <w:bottom w:w="45" w:type="dxa"/>
              <w:right w:w="0" w:type="dxa"/>
            </w:tcMar>
            <w:hideMark/>
          </w:tcPr>
          <w:p w14:paraId="55529ED7" w14:textId="77777777" w:rsidR="001C635A" w:rsidRPr="00624641" w:rsidRDefault="001C635A" w:rsidP="001C635A">
            <w:pPr>
              <w:pStyle w:val="TableText"/>
              <w:ind w:left="57"/>
              <w:jc w:val="right"/>
              <w:rPr>
                <w:rFonts w:cs="Segoe UI"/>
                <w:lang w:eastAsia="en-NZ"/>
              </w:rPr>
            </w:pPr>
            <w:r w:rsidRPr="00624641">
              <w:rPr>
                <w:lang w:eastAsia="en-NZ"/>
              </w:rPr>
              <w:t>25,314 </w:t>
            </w:r>
          </w:p>
        </w:tc>
        <w:tc>
          <w:tcPr>
            <w:tcW w:w="916" w:type="dxa"/>
            <w:tcMar>
              <w:top w:w="45" w:type="dxa"/>
              <w:left w:w="0" w:type="dxa"/>
              <w:bottom w:w="45" w:type="dxa"/>
              <w:right w:w="0" w:type="dxa"/>
            </w:tcMar>
            <w:hideMark/>
          </w:tcPr>
          <w:p w14:paraId="5DA482F5" w14:textId="77777777" w:rsidR="001C635A" w:rsidRPr="00624641" w:rsidRDefault="001C635A" w:rsidP="001C635A">
            <w:pPr>
              <w:pStyle w:val="TableText"/>
              <w:ind w:left="57"/>
              <w:jc w:val="right"/>
              <w:rPr>
                <w:rFonts w:cs="Segoe UI"/>
                <w:lang w:eastAsia="en-NZ"/>
              </w:rPr>
            </w:pPr>
            <w:r w:rsidRPr="00624641">
              <w:rPr>
                <w:lang w:eastAsia="en-NZ"/>
              </w:rPr>
              <w:t>33,569 </w:t>
            </w:r>
          </w:p>
        </w:tc>
        <w:tc>
          <w:tcPr>
            <w:tcW w:w="917" w:type="dxa"/>
            <w:tcMar>
              <w:top w:w="45" w:type="dxa"/>
              <w:left w:w="0" w:type="dxa"/>
              <w:bottom w:w="45" w:type="dxa"/>
              <w:right w:w="0" w:type="dxa"/>
            </w:tcMar>
            <w:hideMark/>
          </w:tcPr>
          <w:p w14:paraId="0B40DD94" w14:textId="77777777" w:rsidR="001C635A" w:rsidRPr="00624641" w:rsidRDefault="001C635A" w:rsidP="001C635A">
            <w:pPr>
              <w:pStyle w:val="TableText"/>
              <w:ind w:left="57"/>
              <w:jc w:val="right"/>
              <w:rPr>
                <w:rFonts w:cs="Segoe UI"/>
                <w:lang w:eastAsia="en-NZ"/>
              </w:rPr>
            </w:pPr>
            <w:r w:rsidRPr="00624641">
              <w:rPr>
                <w:lang w:eastAsia="en-NZ"/>
              </w:rPr>
              <w:t>42,410 </w:t>
            </w:r>
          </w:p>
        </w:tc>
        <w:tc>
          <w:tcPr>
            <w:tcW w:w="737" w:type="dxa"/>
            <w:tcMar>
              <w:top w:w="45" w:type="dxa"/>
              <w:left w:w="0" w:type="dxa"/>
              <w:bottom w:w="45" w:type="dxa"/>
              <w:right w:w="0" w:type="dxa"/>
            </w:tcMar>
            <w:hideMark/>
          </w:tcPr>
          <w:p w14:paraId="528131CF" w14:textId="77777777" w:rsidR="001C635A" w:rsidRPr="00624641" w:rsidRDefault="001C635A" w:rsidP="001C635A">
            <w:pPr>
              <w:pStyle w:val="TableText"/>
              <w:ind w:left="57"/>
              <w:jc w:val="right"/>
              <w:rPr>
                <w:rFonts w:cs="Segoe UI"/>
                <w:lang w:eastAsia="en-NZ"/>
              </w:rPr>
            </w:pPr>
            <w:r w:rsidRPr="00624641">
              <w:rPr>
                <w:lang w:eastAsia="en-NZ"/>
              </w:rPr>
              <w:t>1% </w:t>
            </w:r>
          </w:p>
        </w:tc>
        <w:tc>
          <w:tcPr>
            <w:tcW w:w="708" w:type="dxa"/>
            <w:tcMar>
              <w:top w:w="45" w:type="dxa"/>
              <w:left w:w="0" w:type="dxa"/>
              <w:bottom w:w="45" w:type="dxa"/>
              <w:right w:w="0" w:type="dxa"/>
            </w:tcMar>
            <w:hideMark/>
          </w:tcPr>
          <w:p w14:paraId="4160B122" w14:textId="77777777" w:rsidR="001C635A" w:rsidRPr="00624641" w:rsidRDefault="001C635A" w:rsidP="001C635A">
            <w:pPr>
              <w:pStyle w:val="TableText"/>
              <w:ind w:left="57"/>
              <w:jc w:val="right"/>
              <w:rPr>
                <w:rFonts w:cs="Segoe UI"/>
                <w:lang w:eastAsia="en-NZ"/>
              </w:rPr>
            </w:pPr>
            <w:r w:rsidRPr="00624641">
              <w:rPr>
                <w:lang w:eastAsia="en-NZ"/>
              </w:rPr>
              <w:t>2% </w:t>
            </w:r>
          </w:p>
        </w:tc>
        <w:tc>
          <w:tcPr>
            <w:tcW w:w="709" w:type="dxa"/>
            <w:tcMar>
              <w:top w:w="45" w:type="dxa"/>
              <w:left w:w="0" w:type="dxa"/>
              <w:bottom w:w="45" w:type="dxa"/>
              <w:right w:w="0" w:type="dxa"/>
            </w:tcMar>
            <w:hideMark/>
          </w:tcPr>
          <w:p w14:paraId="35784483" w14:textId="77777777" w:rsidR="001C635A" w:rsidRPr="00624641" w:rsidRDefault="001C635A" w:rsidP="001C635A">
            <w:pPr>
              <w:pStyle w:val="TableText"/>
              <w:ind w:left="57"/>
              <w:jc w:val="right"/>
              <w:rPr>
                <w:rFonts w:cs="Segoe UI"/>
                <w:lang w:eastAsia="en-NZ"/>
              </w:rPr>
            </w:pPr>
            <w:r w:rsidRPr="00624641">
              <w:rPr>
                <w:lang w:eastAsia="en-NZ"/>
              </w:rPr>
              <w:t>1% </w:t>
            </w:r>
          </w:p>
        </w:tc>
      </w:tr>
      <w:tr w:rsidR="001C635A" w:rsidRPr="00624641" w14:paraId="6C0302D9" w14:textId="77777777" w:rsidTr="000E74C8">
        <w:tc>
          <w:tcPr>
            <w:tcW w:w="985" w:type="dxa"/>
            <w:tcMar>
              <w:top w:w="45" w:type="dxa"/>
              <w:left w:w="0" w:type="dxa"/>
              <w:bottom w:w="45" w:type="dxa"/>
              <w:right w:w="0" w:type="dxa"/>
            </w:tcMar>
            <w:hideMark/>
          </w:tcPr>
          <w:p w14:paraId="47FBB595" w14:textId="77777777" w:rsidR="001C635A" w:rsidRPr="00624641" w:rsidRDefault="001C635A" w:rsidP="001C635A">
            <w:pPr>
              <w:pStyle w:val="TableText"/>
              <w:ind w:left="57"/>
              <w:rPr>
                <w:rFonts w:cs="Segoe UI"/>
                <w:lang w:eastAsia="en-NZ"/>
              </w:rPr>
            </w:pPr>
            <w:r w:rsidRPr="00624641">
              <w:rPr>
                <w:lang w:eastAsia="en-NZ"/>
              </w:rPr>
              <w:t>60</w:t>
            </w:r>
            <w:r>
              <w:rPr>
                <w:lang w:eastAsia="en-NZ"/>
              </w:rPr>
              <w:t>–</w:t>
            </w:r>
            <w:r w:rsidRPr="00624641">
              <w:rPr>
                <w:lang w:eastAsia="en-NZ"/>
              </w:rPr>
              <w:t>64 </w:t>
            </w:r>
          </w:p>
        </w:tc>
        <w:tc>
          <w:tcPr>
            <w:tcW w:w="916" w:type="dxa"/>
            <w:tcMar>
              <w:top w:w="45" w:type="dxa"/>
              <w:left w:w="0" w:type="dxa"/>
              <w:bottom w:w="45" w:type="dxa"/>
              <w:right w:w="0" w:type="dxa"/>
            </w:tcMar>
            <w:hideMark/>
          </w:tcPr>
          <w:p w14:paraId="1E71FDF5" w14:textId="77777777" w:rsidR="001C635A" w:rsidRPr="00624641" w:rsidRDefault="001C635A" w:rsidP="001C635A">
            <w:pPr>
              <w:pStyle w:val="TableText"/>
              <w:ind w:left="57"/>
              <w:jc w:val="right"/>
              <w:rPr>
                <w:rFonts w:cs="Segoe UI"/>
                <w:lang w:eastAsia="en-NZ"/>
              </w:rPr>
            </w:pPr>
            <w:r w:rsidRPr="00624641">
              <w:rPr>
                <w:lang w:eastAsia="en-NZ"/>
              </w:rPr>
              <w:t>18,660 </w:t>
            </w:r>
          </w:p>
        </w:tc>
        <w:tc>
          <w:tcPr>
            <w:tcW w:w="917" w:type="dxa"/>
            <w:tcMar>
              <w:top w:w="45" w:type="dxa"/>
              <w:left w:w="0" w:type="dxa"/>
              <w:bottom w:w="45" w:type="dxa"/>
              <w:right w:w="0" w:type="dxa"/>
            </w:tcMar>
            <w:hideMark/>
          </w:tcPr>
          <w:p w14:paraId="162857E7" w14:textId="77777777" w:rsidR="001C635A" w:rsidRPr="00624641" w:rsidRDefault="001C635A" w:rsidP="001C635A">
            <w:pPr>
              <w:pStyle w:val="TableText"/>
              <w:ind w:left="57"/>
              <w:jc w:val="right"/>
              <w:rPr>
                <w:rFonts w:cs="Segoe UI"/>
                <w:lang w:eastAsia="en-NZ"/>
              </w:rPr>
            </w:pPr>
            <w:r w:rsidRPr="00624641">
              <w:rPr>
                <w:lang w:eastAsia="en-NZ"/>
              </w:rPr>
              <w:t>24,360 </w:t>
            </w:r>
          </w:p>
        </w:tc>
        <w:tc>
          <w:tcPr>
            <w:tcW w:w="917" w:type="dxa"/>
            <w:tcMar>
              <w:top w:w="45" w:type="dxa"/>
              <w:left w:w="0" w:type="dxa"/>
              <w:bottom w:w="45" w:type="dxa"/>
              <w:right w:w="0" w:type="dxa"/>
            </w:tcMar>
            <w:hideMark/>
          </w:tcPr>
          <w:p w14:paraId="24C0FFBA" w14:textId="77777777" w:rsidR="001C635A" w:rsidRPr="00624641" w:rsidRDefault="001C635A" w:rsidP="001C635A">
            <w:pPr>
              <w:pStyle w:val="TableText"/>
              <w:ind w:left="57"/>
              <w:jc w:val="right"/>
              <w:rPr>
                <w:rFonts w:cs="Segoe UI"/>
                <w:lang w:eastAsia="en-NZ"/>
              </w:rPr>
            </w:pPr>
            <w:r w:rsidRPr="00624641">
              <w:rPr>
                <w:lang w:eastAsia="en-NZ"/>
              </w:rPr>
              <w:t>32,780 </w:t>
            </w:r>
          </w:p>
        </w:tc>
        <w:tc>
          <w:tcPr>
            <w:tcW w:w="917" w:type="dxa"/>
            <w:tcMar>
              <w:top w:w="45" w:type="dxa"/>
              <w:left w:w="0" w:type="dxa"/>
              <w:bottom w:w="45" w:type="dxa"/>
              <w:right w:w="0" w:type="dxa"/>
            </w:tcMar>
            <w:hideMark/>
          </w:tcPr>
          <w:p w14:paraId="1B1F4F00" w14:textId="77777777" w:rsidR="001C635A" w:rsidRPr="00624641" w:rsidRDefault="001C635A" w:rsidP="001C635A">
            <w:pPr>
              <w:pStyle w:val="TableText"/>
              <w:ind w:left="57"/>
              <w:jc w:val="right"/>
              <w:rPr>
                <w:rFonts w:cs="Segoe UI"/>
                <w:lang w:eastAsia="en-NZ"/>
              </w:rPr>
            </w:pPr>
            <w:r w:rsidRPr="00624641">
              <w:rPr>
                <w:lang w:eastAsia="en-NZ"/>
              </w:rPr>
              <w:t>18,659 </w:t>
            </w:r>
          </w:p>
        </w:tc>
        <w:tc>
          <w:tcPr>
            <w:tcW w:w="916" w:type="dxa"/>
            <w:tcMar>
              <w:top w:w="45" w:type="dxa"/>
              <w:left w:w="0" w:type="dxa"/>
              <w:bottom w:w="45" w:type="dxa"/>
              <w:right w:w="0" w:type="dxa"/>
            </w:tcMar>
            <w:hideMark/>
          </w:tcPr>
          <w:p w14:paraId="1B2670F8" w14:textId="77777777" w:rsidR="001C635A" w:rsidRPr="00624641" w:rsidRDefault="001C635A" w:rsidP="001C635A">
            <w:pPr>
              <w:pStyle w:val="TableText"/>
              <w:ind w:left="57"/>
              <w:jc w:val="right"/>
              <w:rPr>
                <w:rFonts w:cs="Segoe UI"/>
                <w:lang w:eastAsia="en-NZ"/>
              </w:rPr>
            </w:pPr>
            <w:r w:rsidRPr="00624641">
              <w:rPr>
                <w:lang w:eastAsia="en-NZ"/>
              </w:rPr>
              <w:t>24,623 </w:t>
            </w:r>
          </w:p>
        </w:tc>
        <w:tc>
          <w:tcPr>
            <w:tcW w:w="917" w:type="dxa"/>
            <w:tcMar>
              <w:top w:w="45" w:type="dxa"/>
              <w:left w:w="0" w:type="dxa"/>
              <w:bottom w:w="45" w:type="dxa"/>
              <w:right w:w="0" w:type="dxa"/>
            </w:tcMar>
            <w:hideMark/>
          </w:tcPr>
          <w:p w14:paraId="2CC895E3" w14:textId="77777777" w:rsidR="001C635A" w:rsidRPr="00624641" w:rsidRDefault="001C635A" w:rsidP="001C635A">
            <w:pPr>
              <w:pStyle w:val="TableText"/>
              <w:ind w:left="57"/>
              <w:jc w:val="right"/>
              <w:rPr>
                <w:rFonts w:cs="Segoe UI"/>
                <w:lang w:eastAsia="en-NZ"/>
              </w:rPr>
            </w:pPr>
            <w:r w:rsidRPr="00624641">
              <w:rPr>
                <w:lang w:eastAsia="en-NZ"/>
              </w:rPr>
              <w:t>32,648 </w:t>
            </w:r>
          </w:p>
        </w:tc>
        <w:tc>
          <w:tcPr>
            <w:tcW w:w="737" w:type="dxa"/>
            <w:tcMar>
              <w:top w:w="45" w:type="dxa"/>
              <w:left w:w="0" w:type="dxa"/>
              <w:bottom w:w="45" w:type="dxa"/>
              <w:right w:w="0" w:type="dxa"/>
            </w:tcMar>
            <w:hideMark/>
          </w:tcPr>
          <w:p w14:paraId="262AFD5C"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8" w:type="dxa"/>
            <w:tcMar>
              <w:top w:w="45" w:type="dxa"/>
              <w:left w:w="0" w:type="dxa"/>
              <w:bottom w:w="45" w:type="dxa"/>
              <w:right w:w="0" w:type="dxa"/>
            </w:tcMar>
            <w:hideMark/>
          </w:tcPr>
          <w:p w14:paraId="5A46685E" w14:textId="77777777" w:rsidR="001C635A" w:rsidRPr="00624641" w:rsidRDefault="001C635A" w:rsidP="001C635A">
            <w:pPr>
              <w:pStyle w:val="TableText"/>
              <w:ind w:left="57"/>
              <w:jc w:val="right"/>
              <w:rPr>
                <w:rFonts w:cs="Segoe UI"/>
                <w:lang w:eastAsia="en-NZ"/>
              </w:rPr>
            </w:pPr>
            <w:r w:rsidRPr="00624641">
              <w:rPr>
                <w:lang w:eastAsia="en-NZ"/>
              </w:rPr>
              <w:t>1% </w:t>
            </w:r>
          </w:p>
        </w:tc>
        <w:tc>
          <w:tcPr>
            <w:tcW w:w="709" w:type="dxa"/>
            <w:tcMar>
              <w:top w:w="45" w:type="dxa"/>
              <w:left w:w="0" w:type="dxa"/>
              <w:bottom w:w="45" w:type="dxa"/>
              <w:right w:w="0" w:type="dxa"/>
            </w:tcMar>
            <w:hideMark/>
          </w:tcPr>
          <w:p w14:paraId="5A1ED5F5" w14:textId="77777777" w:rsidR="001C635A" w:rsidRPr="00624641" w:rsidRDefault="001C635A" w:rsidP="001C635A">
            <w:pPr>
              <w:pStyle w:val="TableText"/>
              <w:ind w:left="57"/>
              <w:jc w:val="right"/>
              <w:rPr>
                <w:rFonts w:cs="Segoe UI"/>
                <w:lang w:eastAsia="en-NZ"/>
              </w:rPr>
            </w:pPr>
            <w:r w:rsidRPr="00624641">
              <w:rPr>
                <w:lang w:eastAsia="en-NZ"/>
              </w:rPr>
              <w:t>0% </w:t>
            </w:r>
          </w:p>
        </w:tc>
      </w:tr>
      <w:tr w:rsidR="001C635A" w:rsidRPr="00624641" w14:paraId="5FE1CE6F" w14:textId="77777777" w:rsidTr="000E74C8">
        <w:tc>
          <w:tcPr>
            <w:tcW w:w="985" w:type="dxa"/>
            <w:tcMar>
              <w:top w:w="45" w:type="dxa"/>
              <w:left w:w="0" w:type="dxa"/>
              <w:bottom w:w="45" w:type="dxa"/>
              <w:right w:w="0" w:type="dxa"/>
            </w:tcMar>
            <w:hideMark/>
          </w:tcPr>
          <w:p w14:paraId="4A913FC9" w14:textId="77777777" w:rsidR="001C635A" w:rsidRPr="00624641" w:rsidRDefault="001C635A" w:rsidP="001C635A">
            <w:pPr>
              <w:pStyle w:val="TableText"/>
              <w:ind w:left="57"/>
              <w:rPr>
                <w:rFonts w:cs="Segoe UI"/>
                <w:lang w:eastAsia="en-NZ"/>
              </w:rPr>
            </w:pPr>
            <w:r w:rsidRPr="00624641">
              <w:rPr>
                <w:lang w:eastAsia="en-NZ"/>
              </w:rPr>
              <w:t>65</w:t>
            </w:r>
            <w:r>
              <w:rPr>
                <w:lang w:eastAsia="en-NZ"/>
              </w:rPr>
              <w:t>–</w:t>
            </w:r>
            <w:r w:rsidRPr="00624641">
              <w:rPr>
                <w:lang w:eastAsia="en-NZ"/>
              </w:rPr>
              <w:t>69 </w:t>
            </w:r>
          </w:p>
        </w:tc>
        <w:tc>
          <w:tcPr>
            <w:tcW w:w="916" w:type="dxa"/>
            <w:tcMar>
              <w:top w:w="45" w:type="dxa"/>
              <w:left w:w="0" w:type="dxa"/>
              <w:bottom w:w="45" w:type="dxa"/>
              <w:right w:w="0" w:type="dxa"/>
            </w:tcMar>
            <w:hideMark/>
          </w:tcPr>
          <w:p w14:paraId="4148CCB9" w14:textId="77777777" w:rsidR="001C635A" w:rsidRPr="00624641" w:rsidRDefault="001C635A" w:rsidP="001C635A">
            <w:pPr>
              <w:pStyle w:val="TableText"/>
              <w:ind w:left="57"/>
              <w:jc w:val="right"/>
              <w:rPr>
                <w:rFonts w:cs="Segoe UI"/>
                <w:lang w:eastAsia="en-NZ"/>
              </w:rPr>
            </w:pPr>
            <w:r w:rsidRPr="00624641">
              <w:rPr>
                <w:lang w:eastAsia="en-NZ"/>
              </w:rPr>
              <w:t>12,720 </w:t>
            </w:r>
          </w:p>
        </w:tc>
        <w:tc>
          <w:tcPr>
            <w:tcW w:w="917" w:type="dxa"/>
            <w:tcMar>
              <w:top w:w="45" w:type="dxa"/>
              <w:left w:w="0" w:type="dxa"/>
              <w:bottom w:w="45" w:type="dxa"/>
              <w:right w:w="0" w:type="dxa"/>
            </w:tcMar>
            <w:hideMark/>
          </w:tcPr>
          <w:p w14:paraId="20E2B2B8" w14:textId="77777777" w:rsidR="001C635A" w:rsidRPr="00624641" w:rsidRDefault="001C635A" w:rsidP="001C635A">
            <w:pPr>
              <w:pStyle w:val="TableText"/>
              <w:ind w:left="57"/>
              <w:jc w:val="right"/>
              <w:rPr>
                <w:rFonts w:cs="Segoe UI"/>
                <w:lang w:eastAsia="en-NZ"/>
              </w:rPr>
            </w:pPr>
            <w:r w:rsidRPr="00624641">
              <w:rPr>
                <w:lang w:eastAsia="en-NZ"/>
              </w:rPr>
              <w:t>17,470 </w:t>
            </w:r>
          </w:p>
        </w:tc>
        <w:tc>
          <w:tcPr>
            <w:tcW w:w="917" w:type="dxa"/>
            <w:tcMar>
              <w:top w:w="45" w:type="dxa"/>
              <w:left w:w="0" w:type="dxa"/>
              <w:bottom w:w="45" w:type="dxa"/>
              <w:right w:w="0" w:type="dxa"/>
            </w:tcMar>
            <w:hideMark/>
          </w:tcPr>
          <w:p w14:paraId="33EF0AB2" w14:textId="77777777" w:rsidR="001C635A" w:rsidRPr="00624641" w:rsidRDefault="001C635A" w:rsidP="001C635A">
            <w:pPr>
              <w:pStyle w:val="TableText"/>
              <w:ind w:left="57"/>
              <w:jc w:val="right"/>
              <w:rPr>
                <w:rFonts w:cs="Segoe UI"/>
                <w:lang w:eastAsia="en-NZ"/>
              </w:rPr>
            </w:pPr>
            <w:r w:rsidRPr="00624641">
              <w:rPr>
                <w:lang w:eastAsia="en-NZ"/>
              </w:rPr>
              <w:t>23,220 </w:t>
            </w:r>
          </w:p>
        </w:tc>
        <w:tc>
          <w:tcPr>
            <w:tcW w:w="917" w:type="dxa"/>
            <w:tcMar>
              <w:top w:w="45" w:type="dxa"/>
              <w:left w:w="0" w:type="dxa"/>
              <w:bottom w:w="45" w:type="dxa"/>
              <w:right w:w="0" w:type="dxa"/>
            </w:tcMar>
            <w:hideMark/>
          </w:tcPr>
          <w:p w14:paraId="747A1DEF" w14:textId="77777777" w:rsidR="001C635A" w:rsidRPr="00624641" w:rsidRDefault="001C635A" w:rsidP="001C635A">
            <w:pPr>
              <w:pStyle w:val="TableText"/>
              <w:ind w:left="57"/>
              <w:jc w:val="right"/>
              <w:rPr>
                <w:rFonts w:cs="Segoe UI"/>
                <w:lang w:eastAsia="en-NZ"/>
              </w:rPr>
            </w:pPr>
            <w:r w:rsidRPr="00624641">
              <w:rPr>
                <w:lang w:eastAsia="en-NZ"/>
              </w:rPr>
              <w:t>12,758 </w:t>
            </w:r>
          </w:p>
        </w:tc>
        <w:tc>
          <w:tcPr>
            <w:tcW w:w="916" w:type="dxa"/>
            <w:tcMar>
              <w:top w:w="45" w:type="dxa"/>
              <w:left w:w="0" w:type="dxa"/>
              <w:bottom w:w="45" w:type="dxa"/>
              <w:right w:w="0" w:type="dxa"/>
            </w:tcMar>
            <w:hideMark/>
          </w:tcPr>
          <w:p w14:paraId="0BDB60C6" w14:textId="77777777" w:rsidR="001C635A" w:rsidRPr="00624641" w:rsidRDefault="001C635A" w:rsidP="001C635A">
            <w:pPr>
              <w:pStyle w:val="TableText"/>
              <w:ind w:left="57"/>
              <w:jc w:val="right"/>
              <w:rPr>
                <w:rFonts w:cs="Segoe UI"/>
                <w:lang w:eastAsia="en-NZ"/>
              </w:rPr>
            </w:pPr>
            <w:r w:rsidRPr="00624641">
              <w:rPr>
                <w:lang w:eastAsia="en-NZ"/>
              </w:rPr>
              <w:t>17,462 </w:t>
            </w:r>
          </w:p>
        </w:tc>
        <w:tc>
          <w:tcPr>
            <w:tcW w:w="917" w:type="dxa"/>
            <w:tcMar>
              <w:top w:w="45" w:type="dxa"/>
              <w:left w:w="0" w:type="dxa"/>
              <w:bottom w:w="45" w:type="dxa"/>
              <w:right w:w="0" w:type="dxa"/>
            </w:tcMar>
            <w:hideMark/>
          </w:tcPr>
          <w:p w14:paraId="7A1C44A6" w14:textId="77777777" w:rsidR="001C635A" w:rsidRPr="00624641" w:rsidRDefault="001C635A" w:rsidP="001C635A">
            <w:pPr>
              <w:pStyle w:val="TableText"/>
              <w:ind w:left="57"/>
              <w:jc w:val="right"/>
              <w:rPr>
                <w:rFonts w:cs="Segoe UI"/>
                <w:lang w:eastAsia="en-NZ"/>
              </w:rPr>
            </w:pPr>
            <w:r w:rsidRPr="00624641">
              <w:rPr>
                <w:lang w:eastAsia="en-NZ"/>
              </w:rPr>
              <w:t>23,307 </w:t>
            </w:r>
          </w:p>
        </w:tc>
        <w:tc>
          <w:tcPr>
            <w:tcW w:w="737" w:type="dxa"/>
            <w:tcMar>
              <w:top w:w="45" w:type="dxa"/>
              <w:left w:w="0" w:type="dxa"/>
              <w:bottom w:w="45" w:type="dxa"/>
              <w:right w:w="0" w:type="dxa"/>
            </w:tcMar>
            <w:hideMark/>
          </w:tcPr>
          <w:p w14:paraId="29828167"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8" w:type="dxa"/>
            <w:tcMar>
              <w:top w:w="45" w:type="dxa"/>
              <w:left w:w="0" w:type="dxa"/>
              <w:bottom w:w="45" w:type="dxa"/>
              <w:right w:w="0" w:type="dxa"/>
            </w:tcMar>
            <w:hideMark/>
          </w:tcPr>
          <w:p w14:paraId="0EAB11E1"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9" w:type="dxa"/>
            <w:tcMar>
              <w:top w:w="45" w:type="dxa"/>
              <w:left w:w="0" w:type="dxa"/>
              <w:bottom w:w="45" w:type="dxa"/>
              <w:right w:w="0" w:type="dxa"/>
            </w:tcMar>
            <w:hideMark/>
          </w:tcPr>
          <w:p w14:paraId="53D9A6D3" w14:textId="77777777" w:rsidR="001C635A" w:rsidRPr="00624641" w:rsidRDefault="001C635A" w:rsidP="001C635A">
            <w:pPr>
              <w:pStyle w:val="TableText"/>
              <w:ind w:left="57"/>
              <w:jc w:val="right"/>
              <w:rPr>
                <w:rFonts w:cs="Segoe UI"/>
                <w:lang w:eastAsia="en-NZ"/>
              </w:rPr>
            </w:pPr>
            <w:r w:rsidRPr="00624641">
              <w:rPr>
                <w:lang w:eastAsia="en-NZ"/>
              </w:rPr>
              <w:t>0% </w:t>
            </w:r>
          </w:p>
        </w:tc>
      </w:tr>
      <w:tr w:rsidR="001C635A" w:rsidRPr="00624641" w14:paraId="3D9CDF81" w14:textId="77777777" w:rsidTr="000E74C8">
        <w:tc>
          <w:tcPr>
            <w:tcW w:w="985" w:type="dxa"/>
            <w:tcMar>
              <w:top w:w="45" w:type="dxa"/>
              <w:left w:w="0" w:type="dxa"/>
              <w:bottom w:w="45" w:type="dxa"/>
              <w:right w:w="0" w:type="dxa"/>
            </w:tcMar>
            <w:hideMark/>
          </w:tcPr>
          <w:p w14:paraId="74B953BC" w14:textId="77777777" w:rsidR="001C635A" w:rsidRPr="00624641" w:rsidRDefault="001C635A" w:rsidP="001C635A">
            <w:pPr>
              <w:pStyle w:val="TableText"/>
              <w:ind w:left="57"/>
              <w:rPr>
                <w:rFonts w:cs="Segoe UI"/>
                <w:lang w:eastAsia="en-NZ"/>
              </w:rPr>
            </w:pPr>
            <w:r w:rsidRPr="00624641">
              <w:rPr>
                <w:lang w:eastAsia="en-NZ"/>
              </w:rPr>
              <w:t>70</w:t>
            </w:r>
            <w:r>
              <w:rPr>
                <w:lang w:eastAsia="en-NZ"/>
              </w:rPr>
              <w:t>–</w:t>
            </w:r>
            <w:r w:rsidRPr="00624641">
              <w:rPr>
                <w:lang w:eastAsia="en-NZ"/>
              </w:rPr>
              <w:t>74 </w:t>
            </w:r>
          </w:p>
        </w:tc>
        <w:tc>
          <w:tcPr>
            <w:tcW w:w="916" w:type="dxa"/>
            <w:tcMar>
              <w:top w:w="45" w:type="dxa"/>
              <w:left w:w="0" w:type="dxa"/>
              <w:bottom w:w="45" w:type="dxa"/>
              <w:right w:w="0" w:type="dxa"/>
            </w:tcMar>
            <w:hideMark/>
          </w:tcPr>
          <w:p w14:paraId="04CE4438" w14:textId="77777777" w:rsidR="001C635A" w:rsidRPr="00624641" w:rsidRDefault="001C635A" w:rsidP="001C635A">
            <w:pPr>
              <w:pStyle w:val="TableText"/>
              <w:ind w:left="57"/>
              <w:jc w:val="right"/>
              <w:rPr>
                <w:rFonts w:cs="Segoe UI"/>
                <w:lang w:eastAsia="en-NZ"/>
              </w:rPr>
            </w:pPr>
            <w:r w:rsidRPr="00624641">
              <w:rPr>
                <w:lang w:eastAsia="en-NZ"/>
              </w:rPr>
              <w:t>9,210 </w:t>
            </w:r>
          </w:p>
        </w:tc>
        <w:tc>
          <w:tcPr>
            <w:tcW w:w="917" w:type="dxa"/>
            <w:tcMar>
              <w:top w:w="45" w:type="dxa"/>
              <w:left w:w="0" w:type="dxa"/>
              <w:bottom w:w="45" w:type="dxa"/>
              <w:right w:w="0" w:type="dxa"/>
            </w:tcMar>
            <w:hideMark/>
          </w:tcPr>
          <w:p w14:paraId="781BC1A0" w14:textId="77777777" w:rsidR="001C635A" w:rsidRPr="00624641" w:rsidRDefault="001C635A" w:rsidP="001C635A">
            <w:pPr>
              <w:pStyle w:val="TableText"/>
              <w:ind w:left="57"/>
              <w:jc w:val="right"/>
              <w:rPr>
                <w:rFonts w:cs="Segoe UI"/>
                <w:lang w:eastAsia="en-NZ"/>
              </w:rPr>
            </w:pPr>
            <w:r w:rsidRPr="00624641">
              <w:rPr>
                <w:lang w:eastAsia="en-NZ"/>
              </w:rPr>
              <w:t>11,170 </w:t>
            </w:r>
          </w:p>
        </w:tc>
        <w:tc>
          <w:tcPr>
            <w:tcW w:w="917" w:type="dxa"/>
            <w:tcMar>
              <w:top w:w="45" w:type="dxa"/>
              <w:left w:w="0" w:type="dxa"/>
              <w:bottom w:w="45" w:type="dxa"/>
              <w:right w:w="0" w:type="dxa"/>
            </w:tcMar>
            <w:hideMark/>
          </w:tcPr>
          <w:p w14:paraId="5BE01A8C" w14:textId="77777777" w:rsidR="001C635A" w:rsidRPr="00624641" w:rsidRDefault="001C635A" w:rsidP="001C635A">
            <w:pPr>
              <w:pStyle w:val="TableText"/>
              <w:ind w:left="57"/>
              <w:jc w:val="right"/>
              <w:rPr>
                <w:rFonts w:cs="Segoe UI"/>
                <w:lang w:eastAsia="en-NZ"/>
              </w:rPr>
            </w:pPr>
            <w:r w:rsidRPr="00624641">
              <w:rPr>
                <w:lang w:eastAsia="en-NZ"/>
              </w:rPr>
              <w:t>15,510 </w:t>
            </w:r>
          </w:p>
        </w:tc>
        <w:tc>
          <w:tcPr>
            <w:tcW w:w="917" w:type="dxa"/>
            <w:tcMar>
              <w:top w:w="45" w:type="dxa"/>
              <w:left w:w="0" w:type="dxa"/>
              <w:bottom w:w="45" w:type="dxa"/>
              <w:right w:w="0" w:type="dxa"/>
            </w:tcMar>
            <w:hideMark/>
          </w:tcPr>
          <w:p w14:paraId="3F675DC7" w14:textId="77777777" w:rsidR="001C635A" w:rsidRPr="00624641" w:rsidRDefault="001C635A" w:rsidP="001C635A">
            <w:pPr>
              <w:pStyle w:val="TableText"/>
              <w:ind w:left="57"/>
              <w:jc w:val="right"/>
              <w:rPr>
                <w:rFonts w:cs="Segoe UI"/>
                <w:lang w:eastAsia="en-NZ"/>
              </w:rPr>
            </w:pPr>
            <w:r w:rsidRPr="00624641">
              <w:rPr>
                <w:lang w:eastAsia="en-NZ"/>
              </w:rPr>
              <w:t>9,090 </w:t>
            </w:r>
          </w:p>
        </w:tc>
        <w:tc>
          <w:tcPr>
            <w:tcW w:w="916" w:type="dxa"/>
            <w:tcMar>
              <w:top w:w="45" w:type="dxa"/>
              <w:left w:w="0" w:type="dxa"/>
              <w:bottom w:w="45" w:type="dxa"/>
              <w:right w:w="0" w:type="dxa"/>
            </w:tcMar>
            <w:hideMark/>
          </w:tcPr>
          <w:p w14:paraId="7B856ADD" w14:textId="77777777" w:rsidR="001C635A" w:rsidRPr="00624641" w:rsidRDefault="001C635A" w:rsidP="001C635A">
            <w:pPr>
              <w:pStyle w:val="TableText"/>
              <w:ind w:left="57"/>
              <w:jc w:val="right"/>
              <w:rPr>
                <w:rFonts w:cs="Segoe UI"/>
                <w:lang w:eastAsia="en-NZ"/>
              </w:rPr>
            </w:pPr>
            <w:r w:rsidRPr="00624641">
              <w:rPr>
                <w:lang w:eastAsia="en-NZ"/>
              </w:rPr>
              <w:t>11,146 </w:t>
            </w:r>
          </w:p>
        </w:tc>
        <w:tc>
          <w:tcPr>
            <w:tcW w:w="917" w:type="dxa"/>
            <w:tcMar>
              <w:top w:w="45" w:type="dxa"/>
              <w:left w:w="0" w:type="dxa"/>
              <w:bottom w:w="45" w:type="dxa"/>
              <w:right w:w="0" w:type="dxa"/>
            </w:tcMar>
            <w:hideMark/>
          </w:tcPr>
          <w:p w14:paraId="48619CBE" w14:textId="77777777" w:rsidR="001C635A" w:rsidRPr="00624641" w:rsidRDefault="001C635A" w:rsidP="001C635A">
            <w:pPr>
              <w:pStyle w:val="TableText"/>
              <w:ind w:left="57"/>
              <w:jc w:val="right"/>
              <w:rPr>
                <w:rFonts w:cs="Segoe UI"/>
                <w:lang w:eastAsia="en-NZ"/>
              </w:rPr>
            </w:pPr>
            <w:r w:rsidRPr="00624641">
              <w:rPr>
                <w:lang w:eastAsia="en-NZ"/>
              </w:rPr>
              <w:t>15,433 </w:t>
            </w:r>
          </w:p>
        </w:tc>
        <w:tc>
          <w:tcPr>
            <w:tcW w:w="737" w:type="dxa"/>
            <w:tcMar>
              <w:top w:w="45" w:type="dxa"/>
              <w:left w:w="0" w:type="dxa"/>
              <w:bottom w:w="45" w:type="dxa"/>
              <w:right w:w="0" w:type="dxa"/>
            </w:tcMar>
            <w:hideMark/>
          </w:tcPr>
          <w:p w14:paraId="63C6F39F" w14:textId="77777777" w:rsidR="001C635A" w:rsidRPr="00624641" w:rsidRDefault="001C635A" w:rsidP="001C635A">
            <w:pPr>
              <w:pStyle w:val="TableText"/>
              <w:ind w:left="57"/>
              <w:jc w:val="right"/>
              <w:rPr>
                <w:rFonts w:cs="Segoe UI"/>
                <w:lang w:eastAsia="en-NZ"/>
              </w:rPr>
            </w:pPr>
            <w:r w:rsidRPr="00624641">
              <w:rPr>
                <w:lang w:eastAsia="en-NZ"/>
              </w:rPr>
              <w:t>-1% </w:t>
            </w:r>
          </w:p>
        </w:tc>
        <w:tc>
          <w:tcPr>
            <w:tcW w:w="708" w:type="dxa"/>
            <w:tcMar>
              <w:top w:w="45" w:type="dxa"/>
              <w:left w:w="0" w:type="dxa"/>
              <w:bottom w:w="45" w:type="dxa"/>
              <w:right w:w="0" w:type="dxa"/>
            </w:tcMar>
            <w:hideMark/>
          </w:tcPr>
          <w:p w14:paraId="627D095B"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9" w:type="dxa"/>
            <w:tcMar>
              <w:top w:w="45" w:type="dxa"/>
              <w:left w:w="0" w:type="dxa"/>
              <w:bottom w:w="45" w:type="dxa"/>
              <w:right w:w="0" w:type="dxa"/>
            </w:tcMar>
            <w:hideMark/>
          </w:tcPr>
          <w:p w14:paraId="71DCC5CB" w14:textId="77777777" w:rsidR="001C635A" w:rsidRPr="00624641" w:rsidRDefault="001C635A" w:rsidP="001C635A">
            <w:pPr>
              <w:pStyle w:val="TableText"/>
              <w:ind w:left="57"/>
              <w:jc w:val="right"/>
              <w:rPr>
                <w:rFonts w:cs="Segoe UI"/>
                <w:lang w:eastAsia="en-NZ"/>
              </w:rPr>
            </w:pPr>
            <w:r w:rsidRPr="00624641">
              <w:rPr>
                <w:lang w:eastAsia="en-NZ"/>
              </w:rPr>
              <w:t>0% </w:t>
            </w:r>
          </w:p>
        </w:tc>
      </w:tr>
      <w:tr w:rsidR="001C635A" w:rsidRPr="00624641" w14:paraId="2F5AD7CD" w14:textId="77777777" w:rsidTr="000E74C8">
        <w:tc>
          <w:tcPr>
            <w:tcW w:w="985" w:type="dxa"/>
            <w:tcMar>
              <w:top w:w="45" w:type="dxa"/>
              <w:left w:w="0" w:type="dxa"/>
              <w:bottom w:w="45" w:type="dxa"/>
              <w:right w:w="0" w:type="dxa"/>
            </w:tcMar>
            <w:hideMark/>
          </w:tcPr>
          <w:p w14:paraId="46371AED" w14:textId="77777777" w:rsidR="001C635A" w:rsidRPr="00624641" w:rsidRDefault="001C635A" w:rsidP="001C635A">
            <w:pPr>
              <w:pStyle w:val="TableText"/>
              <w:ind w:left="57"/>
              <w:rPr>
                <w:rFonts w:cs="Segoe UI"/>
                <w:lang w:eastAsia="en-NZ"/>
              </w:rPr>
            </w:pPr>
            <w:r w:rsidRPr="00624641">
              <w:rPr>
                <w:lang w:eastAsia="en-NZ"/>
              </w:rPr>
              <w:t>75</w:t>
            </w:r>
            <w:r>
              <w:rPr>
                <w:lang w:eastAsia="en-NZ"/>
              </w:rPr>
              <w:t>–</w:t>
            </w:r>
            <w:r w:rsidRPr="00624641">
              <w:rPr>
                <w:lang w:eastAsia="en-NZ"/>
              </w:rPr>
              <w:t>79 </w:t>
            </w:r>
          </w:p>
        </w:tc>
        <w:tc>
          <w:tcPr>
            <w:tcW w:w="916" w:type="dxa"/>
            <w:tcMar>
              <w:top w:w="45" w:type="dxa"/>
              <w:left w:w="0" w:type="dxa"/>
              <w:bottom w:w="45" w:type="dxa"/>
              <w:right w:w="0" w:type="dxa"/>
            </w:tcMar>
            <w:hideMark/>
          </w:tcPr>
          <w:p w14:paraId="4B10BF61" w14:textId="77777777" w:rsidR="001C635A" w:rsidRPr="00624641" w:rsidRDefault="001C635A" w:rsidP="001C635A">
            <w:pPr>
              <w:pStyle w:val="TableText"/>
              <w:ind w:left="57"/>
              <w:jc w:val="right"/>
              <w:rPr>
                <w:rFonts w:cs="Segoe UI"/>
                <w:lang w:eastAsia="en-NZ"/>
              </w:rPr>
            </w:pPr>
            <w:r w:rsidRPr="00624641">
              <w:rPr>
                <w:lang w:eastAsia="en-NZ"/>
              </w:rPr>
              <w:t>5,370 </w:t>
            </w:r>
          </w:p>
        </w:tc>
        <w:tc>
          <w:tcPr>
            <w:tcW w:w="917" w:type="dxa"/>
            <w:tcMar>
              <w:top w:w="45" w:type="dxa"/>
              <w:left w:w="0" w:type="dxa"/>
              <w:bottom w:w="45" w:type="dxa"/>
              <w:right w:w="0" w:type="dxa"/>
            </w:tcMar>
            <w:hideMark/>
          </w:tcPr>
          <w:p w14:paraId="5C8AB870" w14:textId="77777777" w:rsidR="001C635A" w:rsidRPr="00624641" w:rsidRDefault="001C635A" w:rsidP="001C635A">
            <w:pPr>
              <w:pStyle w:val="TableText"/>
              <w:ind w:left="57"/>
              <w:jc w:val="right"/>
              <w:rPr>
                <w:rFonts w:cs="Segoe UI"/>
                <w:lang w:eastAsia="en-NZ"/>
              </w:rPr>
            </w:pPr>
            <w:r w:rsidRPr="00624641">
              <w:rPr>
                <w:lang w:eastAsia="en-NZ"/>
              </w:rPr>
              <w:t>7,320 </w:t>
            </w:r>
          </w:p>
        </w:tc>
        <w:tc>
          <w:tcPr>
            <w:tcW w:w="917" w:type="dxa"/>
            <w:tcMar>
              <w:top w:w="45" w:type="dxa"/>
              <w:left w:w="0" w:type="dxa"/>
              <w:bottom w:w="45" w:type="dxa"/>
              <w:right w:w="0" w:type="dxa"/>
            </w:tcMar>
            <w:hideMark/>
          </w:tcPr>
          <w:p w14:paraId="50D29679" w14:textId="77777777" w:rsidR="001C635A" w:rsidRPr="00624641" w:rsidRDefault="001C635A" w:rsidP="001C635A">
            <w:pPr>
              <w:pStyle w:val="TableText"/>
              <w:ind w:left="57"/>
              <w:jc w:val="right"/>
              <w:rPr>
                <w:rFonts w:cs="Segoe UI"/>
                <w:lang w:eastAsia="en-NZ"/>
              </w:rPr>
            </w:pPr>
            <w:r w:rsidRPr="00624641">
              <w:rPr>
                <w:lang w:eastAsia="en-NZ"/>
              </w:rPr>
              <w:t>9,110 </w:t>
            </w:r>
          </w:p>
        </w:tc>
        <w:tc>
          <w:tcPr>
            <w:tcW w:w="917" w:type="dxa"/>
            <w:tcMar>
              <w:top w:w="45" w:type="dxa"/>
              <w:left w:w="0" w:type="dxa"/>
              <w:bottom w:w="45" w:type="dxa"/>
              <w:right w:w="0" w:type="dxa"/>
            </w:tcMar>
            <w:hideMark/>
          </w:tcPr>
          <w:p w14:paraId="39E38E7A" w14:textId="77777777" w:rsidR="001C635A" w:rsidRPr="00624641" w:rsidRDefault="001C635A" w:rsidP="001C635A">
            <w:pPr>
              <w:pStyle w:val="TableText"/>
              <w:ind w:left="57"/>
              <w:jc w:val="right"/>
              <w:rPr>
                <w:rFonts w:cs="Segoe UI"/>
                <w:lang w:eastAsia="en-NZ"/>
              </w:rPr>
            </w:pPr>
            <w:r w:rsidRPr="00624641">
              <w:rPr>
                <w:lang w:eastAsia="en-NZ"/>
              </w:rPr>
              <w:t>5,362 </w:t>
            </w:r>
          </w:p>
        </w:tc>
        <w:tc>
          <w:tcPr>
            <w:tcW w:w="916" w:type="dxa"/>
            <w:tcMar>
              <w:top w:w="45" w:type="dxa"/>
              <w:left w:w="0" w:type="dxa"/>
              <w:bottom w:w="45" w:type="dxa"/>
              <w:right w:w="0" w:type="dxa"/>
            </w:tcMar>
            <w:hideMark/>
          </w:tcPr>
          <w:p w14:paraId="69DDB516" w14:textId="77777777" w:rsidR="001C635A" w:rsidRPr="00624641" w:rsidRDefault="001C635A" w:rsidP="001C635A">
            <w:pPr>
              <w:pStyle w:val="TableText"/>
              <w:ind w:left="57"/>
              <w:jc w:val="right"/>
              <w:rPr>
                <w:rFonts w:cs="Segoe UI"/>
                <w:lang w:eastAsia="en-NZ"/>
              </w:rPr>
            </w:pPr>
            <w:r w:rsidRPr="00624641">
              <w:rPr>
                <w:lang w:eastAsia="en-NZ"/>
              </w:rPr>
              <w:t>7,302 </w:t>
            </w:r>
          </w:p>
        </w:tc>
        <w:tc>
          <w:tcPr>
            <w:tcW w:w="917" w:type="dxa"/>
            <w:tcMar>
              <w:top w:w="45" w:type="dxa"/>
              <w:left w:w="0" w:type="dxa"/>
              <w:bottom w:w="45" w:type="dxa"/>
              <w:right w:w="0" w:type="dxa"/>
            </w:tcMar>
            <w:hideMark/>
          </w:tcPr>
          <w:p w14:paraId="7978F3DE" w14:textId="77777777" w:rsidR="001C635A" w:rsidRPr="00624641" w:rsidRDefault="001C635A" w:rsidP="001C635A">
            <w:pPr>
              <w:pStyle w:val="TableText"/>
              <w:ind w:left="57"/>
              <w:jc w:val="right"/>
              <w:rPr>
                <w:rFonts w:cs="Segoe UI"/>
                <w:lang w:eastAsia="en-NZ"/>
              </w:rPr>
            </w:pPr>
            <w:r w:rsidRPr="00624641">
              <w:rPr>
                <w:lang w:eastAsia="en-NZ"/>
              </w:rPr>
              <w:t>9,132 </w:t>
            </w:r>
          </w:p>
        </w:tc>
        <w:tc>
          <w:tcPr>
            <w:tcW w:w="737" w:type="dxa"/>
            <w:tcMar>
              <w:top w:w="45" w:type="dxa"/>
              <w:left w:w="0" w:type="dxa"/>
              <w:bottom w:w="45" w:type="dxa"/>
              <w:right w:w="0" w:type="dxa"/>
            </w:tcMar>
            <w:hideMark/>
          </w:tcPr>
          <w:p w14:paraId="3030748D"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8" w:type="dxa"/>
            <w:tcMar>
              <w:top w:w="45" w:type="dxa"/>
              <w:left w:w="0" w:type="dxa"/>
              <w:bottom w:w="45" w:type="dxa"/>
              <w:right w:w="0" w:type="dxa"/>
            </w:tcMar>
            <w:hideMark/>
          </w:tcPr>
          <w:p w14:paraId="4DF40416"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9" w:type="dxa"/>
            <w:tcMar>
              <w:top w:w="45" w:type="dxa"/>
              <w:left w:w="0" w:type="dxa"/>
              <w:bottom w:w="45" w:type="dxa"/>
              <w:right w:w="0" w:type="dxa"/>
            </w:tcMar>
            <w:hideMark/>
          </w:tcPr>
          <w:p w14:paraId="254DA90B" w14:textId="77777777" w:rsidR="001C635A" w:rsidRPr="00624641" w:rsidRDefault="001C635A" w:rsidP="001C635A">
            <w:pPr>
              <w:pStyle w:val="TableText"/>
              <w:ind w:left="57"/>
              <w:jc w:val="right"/>
              <w:rPr>
                <w:rFonts w:cs="Segoe UI"/>
                <w:lang w:eastAsia="en-NZ"/>
              </w:rPr>
            </w:pPr>
            <w:r w:rsidRPr="00624641">
              <w:rPr>
                <w:lang w:eastAsia="en-NZ"/>
              </w:rPr>
              <w:t>0% </w:t>
            </w:r>
          </w:p>
        </w:tc>
      </w:tr>
      <w:tr w:rsidR="001C635A" w:rsidRPr="00624641" w14:paraId="18C60CF9" w14:textId="77777777" w:rsidTr="000E74C8">
        <w:tc>
          <w:tcPr>
            <w:tcW w:w="985" w:type="dxa"/>
            <w:tcMar>
              <w:top w:w="45" w:type="dxa"/>
              <w:left w:w="0" w:type="dxa"/>
              <w:bottom w:w="45" w:type="dxa"/>
              <w:right w:w="0" w:type="dxa"/>
            </w:tcMar>
            <w:hideMark/>
          </w:tcPr>
          <w:p w14:paraId="4B158DEB" w14:textId="77777777" w:rsidR="001C635A" w:rsidRPr="00624641" w:rsidRDefault="001C635A" w:rsidP="001C635A">
            <w:pPr>
              <w:pStyle w:val="TableText"/>
              <w:ind w:left="57"/>
              <w:rPr>
                <w:rFonts w:cs="Segoe UI"/>
                <w:lang w:eastAsia="en-NZ"/>
              </w:rPr>
            </w:pPr>
            <w:r w:rsidRPr="00624641">
              <w:rPr>
                <w:lang w:eastAsia="en-NZ"/>
              </w:rPr>
              <w:t>80</w:t>
            </w:r>
            <w:r>
              <w:rPr>
                <w:lang w:eastAsia="en-NZ"/>
              </w:rPr>
              <w:t>–</w:t>
            </w:r>
            <w:r w:rsidRPr="00624641">
              <w:rPr>
                <w:lang w:eastAsia="en-NZ"/>
              </w:rPr>
              <w:t>84 </w:t>
            </w:r>
          </w:p>
        </w:tc>
        <w:tc>
          <w:tcPr>
            <w:tcW w:w="916" w:type="dxa"/>
            <w:tcMar>
              <w:top w:w="45" w:type="dxa"/>
              <w:left w:w="0" w:type="dxa"/>
              <w:bottom w:w="45" w:type="dxa"/>
              <w:right w:w="0" w:type="dxa"/>
            </w:tcMar>
            <w:hideMark/>
          </w:tcPr>
          <w:p w14:paraId="14F23DED" w14:textId="77777777" w:rsidR="001C635A" w:rsidRPr="00624641" w:rsidRDefault="001C635A" w:rsidP="001C635A">
            <w:pPr>
              <w:pStyle w:val="TableText"/>
              <w:ind w:left="57"/>
              <w:jc w:val="right"/>
              <w:rPr>
                <w:rFonts w:cs="Segoe UI"/>
                <w:lang w:eastAsia="en-NZ"/>
              </w:rPr>
            </w:pPr>
            <w:r w:rsidRPr="00624641">
              <w:rPr>
                <w:lang w:eastAsia="en-NZ"/>
              </w:rPr>
              <w:t>2,790 </w:t>
            </w:r>
          </w:p>
        </w:tc>
        <w:tc>
          <w:tcPr>
            <w:tcW w:w="917" w:type="dxa"/>
            <w:tcMar>
              <w:top w:w="45" w:type="dxa"/>
              <w:left w:w="0" w:type="dxa"/>
              <w:bottom w:w="45" w:type="dxa"/>
              <w:right w:w="0" w:type="dxa"/>
            </w:tcMar>
            <w:hideMark/>
          </w:tcPr>
          <w:p w14:paraId="2C3E6080" w14:textId="77777777" w:rsidR="001C635A" w:rsidRPr="00624641" w:rsidRDefault="001C635A" w:rsidP="001C635A">
            <w:pPr>
              <w:pStyle w:val="TableText"/>
              <w:ind w:left="57"/>
              <w:jc w:val="right"/>
              <w:rPr>
                <w:rFonts w:cs="Segoe UI"/>
                <w:lang w:eastAsia="en-NZ"/>
              </w:rPr>
            </w:pPr>
            <w:r w:rsidRPr="00624641">
              <w:rPr>
                <w:lang w:eastAsia="en-NZ"/>
              </w:rPr>
              <w:t>3,770 </w:t>
            </w:r>
          </w:p>
        </w:tc>
        <w:tc>
          <w:tcPr>
            <w:tcW w:w="917" w:type="dxa"/>
            <w:tcMar>
              <w:top w:w="45" w:type="dxa"/>
              <w:left w:w="0" w:type="dxa"/>
              <w:bottom w:w="45" w:type="dxa"/>
              <w:right w:w="0" w:type="dxa"/>
            </w:tcMar>
            <w:hideMark/>
          </w:tcPr>
          <w:p w14:paraId="7008D933" w14:textId="77777777" w:rsidR="001C635A" w:rsidRPr="00624641" w:rsidRDefault="001C635A" w:rsidP="001C635A">
            <w:pPr>
              <w:pStyle w:val="TableText"/>
              <w:ind w:left="57"/>
              <w:jc w:val="right"/>
              <w:rPr>
                <w:rFonts w:cs="Segoe UI"/>
                <w:lang w:eastAsia="en-NZ"/>
              </w:rPr>
            </w:pPr>
            <w:r w:rsidRPr="00624641">
              <w:rPr>
                <w:lang w:eastAsia="en-NZ"/>
              </w:rPr>
              <w:t>5,210 </w:t>
            </w:r>
          </w:p>
        </w:tc>
        <w:tc>
          <w:tcPr>
            <w:tcW w:w="917" w:type="dxa"/>
            <w:tcMar>
              <w:top w:w="45" w:type="dxa"/>
              <w:left w:w="0" w:type="dxa"/>
              <w:bottom w:w="45" w:type="dxa"/>
              <w:right w:w="0" w:type="dxa"/>
            </w:tcMar>
            <w:hideMark/>
          </w:tcPr>
          <w:p w14:paraId="1E817D67" w14:textId="77777777" w:rsidR="001C635A" w:rsidRPr="00624641" w:rsidRDefault="001C635A" w:rsidP="001C635A">
            <w:pPr>
              <w:pStyle w:val="TableText"/>
              <w:ind w:left="57"/>
              <w:jc w:val="right"/>
              <w:rPr>
                <w:rFonts w:cs="Segoe UI"/>
                <w:lang w:eastAsia="en-NZ"/>
              </w:rPr>
            </w:pPr>
            <w:r w:rsidRPr="00624641">
              <w:rPr>
                <w:lang w:eastAsia="en-NZ"/>
              </w:rPr>
              <w:t>2,731 </w:t>
            </w:r>
          </w:p>
        </w:tc>
        <w:tc>
          <w:tcPr>
            <w:tcW w:w="916" w:type="dxa"/>
            <w:tcMar>
              <w:top w:w="45" w:type="dxa"/>
              <w:left w:w="0" w:type="dxa"/>
              <w:bottom w:w="45" w:type="dxa"/>
              <w:right w:w="0" w:type="dxa"/>
            </w:tcMar>
            <w:hideMark/>
          </w:tcPr>
          <w:p w14:paraId="68B4A644" w14:textId="77777777" w:rsidR="001C635A" w:rsidRPr="00624641" w:rsidRDefault="001C635A" w:rsidP="001C635A">
            <w:pPr>
              <w:pStyle w:val="TableText"/>
              <w:ind w:left="57"/>
              <w:jc w:val="right"/>
              <w:rPr>
                <w:rFonts w:cs="Segoe UI"/>
                <w:lang w:eastAsia="en-NZ"/>
              </w:rPr>
            </w:pPr>
            <w:r w:rsidRPr="00624641">
              <w:rPr>
                <w:lang w:eastAsia="en-NZ"/>
              </w:rPr>
              <w:t>3,761 </w:t>
            </w:r>
          </w:p>
        </w:tc>
        <w:tc>
          <w:tcPr>
            <w:tcW w:w="917" w:type="dxa"/>
            <w:tcMar>
              <w:top w:w="45" w:type="dxa"/>
              <w:left w:w="0" w:type="dxa"/>
              <w:bottom w:w="45" w:type="dxa"/>
              <w:right w:w="0" w:type="dxa"/>
            </w:tcMar>
            <w:hideMark/>
          </w:tcPr>
          <w:p w14:paraId="755B7456" w14:textId="77777777" w:rsidR="001C635A" w:rsidRPr="00624641" w:rsidRDefault="001C635A" w:rsidP="001C635A">
            <w:pPr>
              <w:pStyle w:val="TableText"/>
              <w:ind w:left="57"/>
              <w:jc w:val="right"/>
              <w:rPr>
                <w:rFonts w:cs="Segoe UI"/>
                <w:lang w:eastAsia="en-NZ"/>
              </w:rPr>
            </w:pPr>
            <w:r w:rsidRPr="00624641">
              <w:rPr>
                <w:lang w:eastAsia="en-NZ"/>
              </w:rPr>
              <w:t>5,174 </w:t>
            </w:r>
          </w:p>
        </w:tc>
        <w:tc>
          <w:tcPr>
            <w:tcW w:w="737" w:type="dxa"/>
            <w:tcMar>
              <w:top w:w="45" w:type="dxa"/>
              <w:left w:w="0" w:type="dxa"/>
              <w:bottom w:w="45" w:type="dxa"/>
              <w:right w:w="0" w:type="dxa"/>
            </w:tcMar>
            <w:hideMark/>
          </w:tcPr>
          <w:p w14:paraId="508B0E30" w14:textId="77777777" w:rsidR="001C635A" w:rsidRPr="00624641" w:rsidRDefault="001C635A" w:rsidP="001C635A">
            <w:pPr>
              <w:pStyle w:val="TableText"/>
              <w:ind w:left="57"/>
              <w:jc w:val="right"/>
              <w:rPr>
                <w:rFonts w:cs="Segoe UI"/>
                <w:lang w:eastAsia="en-NZ"/>
              </w:rPr>
            </w:pPr>
            <w:r w:rsidRPr="00624641">
              <w:rPr>
                <w:lang w:eastAsia="en-NZ"/>
              </w:rPr>
              <w:t>-2% </w:t>
            </w:r>
          </w:p>
        </w:tc>
        <w:tc>
          <w:tcPr>
            <w:tcW w:w="708" w:type="dxa"/>
            <w:tcMar>
              <w:top w:w="45" w:type="dxa"/>
              <w:left w:w="0" w:type="dxa"/>
              <w:bottom w:w="45" w:type="dxa"/>
              <w:right w:w="0" w:type="dxa"/>
            </w:tcMar>
            <w:hideMark/>
          </w:tcPr>
          <w:p w14:paraId="01AC2687" w14:textId="77777777" w:rsidR="001C635A" w:rsidRPr="00624641" w:rsidRDefault="001C635A" w:rsidP="001C635A">
            <w:pPr>
              <w:pStyle w:val="TableText"/>
              <w:ind w:left="57"/>
              <w:jc w:val="right"/>
              <w:rPr>
                <w:rFonts w:cs="Segoe UI"/>
                <w:lang w:eastAsia="en-NZ"/>
              </w:rPr>
            </w:pPr>
            <w:r w:rsidRPr="00624641">
              <w:rPr>
                <w:lang w:eastAsia="en-NZ"/>
              </w:rPr>
              <w:t>0% </w:t>
            </w:r>
          </w:p>
        </w:tc>
        <w:tc>
          <w:tcPr>
            <w:tcW w:w="709" w:type="dxa"/>
            <w:tcMar>
              <w:top w:w="45" w:type="dxa"/>
              <w:left w:w="0" w:type="dxa"/>
              <w:bottom w:w="45" w:type="dxa"/>
              <w:right w:w="0" w:type="dxa"/>
            </w:tcMar>
            <w:hideMark/>
          </w:tcPr>
          <w:p w14:paraId="444EA969" w14:textId="77777777" w:rsidR="001C635A" w:rsidRPr="00624641" w:rsidRDefault="001C635A" w:rsidP="001C635A">
            <w:pPr>
              <w:pStyle w:val="TableText"/>
              <w:ind w:left="57"/>
              <w:jc w:val="right"/>
              <w:rPr>
                <w:rFonts w:cs="Segoe UI"/>
                <w:lang w:eastAsia="en-NZ"/>
              </w:rPr>
            </w:pPr>
            <w:r w:rsidRPr="00624641">
              <w:rPr>
                <w:lang w:eastAsia="en-NZ"/>
              </w:rPr>
              <w:t>-1% </w:t>
            </w:r>
          </w:p>
        </w:tc>
      </w:tr>
      <w:tr w:rsidR="001C635A" w:rsidRPr="00624641" w14:paraId="39BB9AE1" w14:textId="77777777" w:rsidTr="000E74C8">
        <w:tc>
          <w:tcPr>
            <w:tcW w:w="985" w:type="dxa"/>
            <w:tcMar>
              <w:top w:w="45" w:type="dxa"/>
              <w:left w:w="0" w:type="dxa"/>
              <w:bottom w:w="45" w:type="dxa"/>
              <w:right w:w="0" w:type="dxa"/>
            </w:tcMar>
            <w:hideMark/>
          </w:tcPr>
          <w:p w14:paraId="00EC5F30" w14:textId="77777777" w:rsidR="001C635A" w:rsidRPr="00624641" w:rsidRDefault="001C635A" w:rsidP="001C635A">
            <w:pPr>
              <w:pStyle w:val="TableText"/>
              <w:ind w:left="57"/>
              <w:rPr>
                <w:rFonts w:cs="Segoe UI"/>
                <w:lang w:eastAsia="en-NZ"/>
              </w:rPr>
            </w:pPr>
            <w:r w:rsidRPr="00624641">
              <w:rPr>
                <w:lang w:eastAsia="en-NZ"/>
              </w:rPr>
              <w:t>85</w:t>
            </w:r>
            <w:r>
              <w:rPr>
                <w:lang w:eastAsia="en-NZ"/>
              </w:rPr>
              <w:t>–</w:t>
            </w:r>
            <w:r w:rsidRPr="00624641">
              <w:rPr>
                <w:lang w:eastAsia="en-NZ"/>
              </w:rPr>
              <w:t>89 </w:t>
            </w:r>
          </w:p>
        </w:tc>
        <w:tc>
          <w:tcPr>
            <w:tcW w:w="916" w:type="dxa"/>
            <w:tcMar>
              <w:top w:w="45" w:type="dxa"/>
              <w:left w:w="0" w:type="dxa"/>
              <w:bottom w:w="45" w:type="dxa"/>
              <w:right w:w="0" w:type="dxa"/>
            </w:tcMar>
            <w:hideMark/>
          </w:tcPr>
          <w:p w14:paraId="070C66CB" w14:textId="77777777" w:rsidR="001C635A" w:rsidRPr="00624641" w:rsidRDefault="001C635A" w:rsidP="001C635A">
            <w:pPr>
              <w:pStyle w:val="TableText"/>
              <w:ind w:left="57"/>
              <w:jc w:val="right"/>
              <w:rPr>
                <w:rFonts w:cs="Segoe UI"/>
                <w:lang w:eastAsia="en-NZ"/>
              </w:rPr>
            </w:pPr>
            <w:r w:rsidRPr="00624641">
              <w:rPr>
                <w:lang w:eastAsia="en-NZ"/>
              </w:rPr>
              <w:t>1,020 </w:t>
            </w:r>
          </w:p>
        </w:tc>
        <w:tc>
          <w:tcPr>
            <w:tcW w:w="917" w:type="dxa"/>
            <w:tcMar>
              <w:top w:w="45" w:type="dxa"/>
              <w:left w:w="0" w:type="dxa"/>
              <w:bottom w:w="45" w:type="dxa"/>
              <w:right w:w="0" w:type="dxa"/>
            </w:tcMar>
            <w:hideMark/>
          </w:tcPr>
          <w:p w14:paraId="01D02FA0" w14:textId="77777777" w:rsidR="001C635A" w:rsidRPr="00624641" w:rsidRDefault="001C635A" w:rsidP="001C635A">
            <w:pPr>
              <w:pStyle w:val="TableText"/>
              <w:ind w:left="57"/>
              <w:jc w:val="right"/>
              <w:rPr>
                <w:rFonts w:cs="Segoe UI"/>
                <w:lang w:eastAsia="en-NZ"/>
              </w:rPr>
            </w:pPr>
            <w:r w:rsidRPr="00624641">
              <w:rPr>
                <w:lang w:eastAsia="en-NZ"/>
              </w:rPr>
              <w:t>1,570 </w:t>
            </w:r>
          </w:p>
        </w:tc>
        <w:tc>
          <w:tcPr>
            <w:tcW w:w="917" w:type="dxa"/>
            <w:tcMar>
              <w:top w:w="45" w:type="dxa"/>
              <w:left w:w="0" w:type="dxa"/>
              <w:bottom w:w="45" w:type="dxa"/>
              <w:right w:w="0" w:type="dxa"/>
            </w:tcMar>
            <w:hideMark/>
          </w:tcPr>
          <w:p w14:paraId="2ABFBCBE" w14:textId="77777777" w:rsidR="001C635A" w:rsidRPr="00624641" w:rsidRDefault="001C635A" w:rsidP="001C635A">
            <w:pPr>
              <w:pStyle w:val="TableText"/>
              <w:ind w:left="57"/>
              <w:jc w:val="right"/>
              <w:rPr>
                <w:rFonts w:cs="Segoe UI"/>
                <w:lang w:eastAsia="en-NZ"/>
              </w:rPr>
            </w:pPr>
            <w:r w:rsidRPr="00624641">
              <w:rPr>
                <w:lang w:eastAsia="en-NZ"/>
              </w:rPr>
              <w:t>2,230 </w:t>
            </w:r>
          </w:p>
        </w:tc>
        <w:tc>
          <w:tcPr>
            <w:tcW w:w="917" w:type="dxa"/>
            <w:tcMar>
              <w:top w:w="45" w:type="dxa"/>
              <w:left w:w="0" w:type="dxa"/>
              <w:bottom w:w="45" w:type="dxa"/>
              <w:right w:w="0" w:type="dxa"/>
            </w:tcMar>
            <w:hideMark/>
          </w:tcPr>
          <w:p w14:paraId="18B89C48" w14:textId="77777777" w:rsidR="001C635A" w:rsidRPr="00624641" w:rsidRDefault="001C635A" w:rsidP="001C635A">
            <w:pPr>
              <w:pStyle w:val="TableText"/>
              <w:ind w:left="57"/>
              <w:jc w:val="right"/>
              <w:rPr>
                <w:rFonts w:cs="Segoe UI"/>
                <w:lang w:eastAsia="en-NZ"/>
              </w:rPr>
            </w:pPr>
            <w:r w:rsidRPr="00624641">
              <w:rPr>
                <w:lang w:eastAsia="en-NZ"/>
              </w:rPr>
              <w:t>984 </w:t>
            </w:r>
          </w:p>
        </w:tc>
        <w:tc>
          <w:tcPr>
            <w:tcW w:w="916" w:type="dxa"/>
            <w:tcMar>
              <w:top w:w="45" w:type="dxa"/>
              <w:left w:w="0" w:type="dxa"/>
              <w:bottom w:w="45" w:type="dxa"/>
              <w:right w:w="0" w:type="dxa"/>
            </w:tcMar>
            <w:hideMark/>
          </w:tcPr>
          <w:p w14:paraId="7D50416B" w14:textId="77777777" w:rsidR="001C635A" w:rsidRPr="00624641" w:rsidRDefault="001C635A" w:rsidP="001C635A">
            <w:pPr>
              <w:pStyle w:val="TableText"/>
              <w:ind w:left="57"/>
              <w:jc w:val="right"/>
              <w:rPr>
                <w:rFonts w:cs="Segoe UI"/>
                <w:lang w:eastAsia="en-NZ"/>
              </w:rPr>
            </w:pPr>
            <w:r w:rsidRPr="00624641">
              <w:rPr>
                <w:lang w:eastAsia="en-NZ"/>
              </w:rPr>
              <w:t>1543 </w:t>
            </w:r>
          </w:p>
        </w:tc>
        <w:tc>
          <w:tcPr>
            <w:tcW w:w="917" w:type="dxa"/>
            <w:tcMar>
              <w:top w:w="45" w:type="dxa"/>
              <w:left w:w="0" w:type="dxa"/>
              <w:bottom w:w="45" w:type="dxa"/>
              <w:right w:w="0" w:type="dxa"/>
            </w:tcMar>
            <w:hideMark/>
          </w:tcPr>
          <w:p w14:paraId="0AEAA477" w14:textId="77777777" w:rsidR="001C635A" w:rsidRPr="00624641" w:rsidRDefault="001C635A" w:rsidP="001C635A">
            <w:pPr>
              <w:pStyle w:val="TableText"/>
              <w:ind w:left="57"/>
              <w:jc w:val="right"/>
              <w:rPr>
                <w:rFonts w:cs="Segoe UI"/>
                <w:lang w:eastAsia="en-NZ"/>
              </w:rPr>
            </w:pPr>
            <w:r w:rsidRPr="00624641">
              <w:rPr>
                <w:lang w:eastAsia="en-NZ"/>
              </w:rPr>
              <w:t>2,264 </w:t>
            </w:r>
          </w:p>
        </w:tc>
        <w:tc>
          <w:tcPr>
            <w:tcW w:w="737" w:type="dxa"/>
            <w:tcMar>
              <w:top w:w="45" w:type="dxa"/>
              <w:left w:w="0" w:type="dxa"/>
              <w:bottom w:w="45" w:type="dxa"/>
              <w:right w:w="0" w:type="dxa"/>
            </w:tcMar>
            <w:hideMark/>
          </w:tcPr>
          <w:p w14:paraId="66B42B64" w14:textId="77777777" w:rsidR="001C635A" w:rsidRPr="00624641" w:rsidRDefault="001C635A" w:rsidP="001C635A">
            <w:pPr>
              <w:pStyle w:val="TableText"/>
              <w:ind w:left="57"/>
              <w:jc w:val="right"/>
              <w:rPr>
                <w:rFonts w:cs="Segoe UI"/>
                <w:lang w:eastAsia="en-NZ"/>
              </w:rPr>
            </w:pPr>
            <w:r w:rsidRPr="00624641">
              <w:rPr>
                <w:lang w:eastAsia="en-NZ"/>
              </w:rPr>
              <w:t>-4% </w:t>
            </w:r>
          </w:p>
        </w:tc>
        <w:tc>
          <w:tcPr>
            <w:tcW w:w="708" w:type="dxa"/>
            <w:tcMar>
              <w:top w:w="45" w:type="dxa"/>
              <w:left w:w="0" w:type="dxa"/>
              <w:bottom w:w="45" w:type="dxa"/>
              <w:right w:w="0" w:type="dxa"/>
            </w:tcMar>
            <w:hideMark/>
          </w:tcPr>
          <w:p w14:paraId="28F18414" w14:textId="77777777" w:rsidR="001C635A" w:rsidRPr="00624641" w:rsidRDefault="001C635A" w:rsidP="001C635A">
            <w:pPr>
              <w:pStyle w:val="TableText"/>
              <w:ind w:left="57"/>
              <w:jc w:val="right"/>
              <w:rPr>
                <w:rFonts w:cs="Segoe UI"/>
                <w:lang w:eastAsia="en-NZ"/>
              </w:rPr>
            </w:pPr>
            <w:r w:rsidRPr="00624641">
              <w:rPr>
                <w:lang w:eastAsia="en-NZ"/>
              </w:rPr>
              <w:t>-2% </w:t>
            </w:r>
          </w:p>
        </w:tc>
        <w:tc>
          <w:tcPr>
            <w:tcW w:w="709" w:type="dxa"/>
            <w:tcMar>
              <w:top w:w="45" w:type="dxa"/>
              <w:left w:w="0" w:type="dxa"/>
              <w:bottom w:w="45" w:type="dxa"/>
              <w:right w:w="0" w:type="dxa"/>
            </w:tcMar>
            <w:hideMark/>
          </w:tcPr>
          <w:p w14:paraId="5464CA8E" w14:textId="77777777" w:rsidR="001C635A" w:rsidRPr="00624641" w:rsidRDefault="001C635A" w:rsidP="001C635A">
            <w:pPr>
              <w:pStyle w:val="TableText"/>
              <w:ind w:left="57"/>
              <w:jc w:val="right"/>
              <w:rPr>
                <w:rFonts w:cs="Segoe UI"/>
                <w:lang w:eastAsia="en-NZ"/>
              </w:rPr>
            </w:pPr>
            <w:r w:rsidRPr="00624641">
              <w:rPr>
                <w:lang w:eastAsia="en-NZ"/>
              </w:rPr>
              <w:t>2% </w:t>
            </w:r>
          </w:p>
        </w:tc>
      </w:tr>
      <w:tr w:rsidR="001C635A" w:rsidRPr="00624641" w14:paraId="0BB31151" w14:textId="77777777" w:rsidTr="000E74C8">
        <w:tc>
          <w:tcPr>
            <w:tcW w:w="985" w:type="dxa"/>
            <w:tcMar>
              <w:top w:w="45" w:type="dxa"/>
              <w:left w:w="0" w:type="dxa"/>
              <w:bottom w:w="45" w:type="dxa"/>
              <w:right w:w="0" w:type="dxa"/>
            </w:tcMar>
            <w:hideMark/>
          </w:tcPr>
          <w:p w14:paraId="6D3175CA" w14:textId="77777777" w:rsidR="001C635A" w:rsidRPr="00624641" w:rsidRDefault="001C635A" w:rsidP="001C635A">
            <w:pPr>
              <w:pStyle w:val="TableText"/>
              <w:ind w:left="57"/>
              <w:rPr>
                <w:rFonts w:cs="Segoe UI"/>
                <w:lang w:eastAsia="en-NZ"/>
              </w:rPr>
            </w:pPr>
            <w:r w:rsidRPr="00624641">
              <w:rPr>
                <w:lang w:eastAsia="en-NZ"/>
              </w:rPr>
              <w:t>90 plus </w:t>
            </w:r>
          </w:p>
        </w:tc>
        <w:tc>
          <w:tcPr>
            <w:tcW w:w="916" w:type="dxa"/>
            <w:tcMar>
              <w:top w:w="45" w:type="dxa"/>
              <w:left w:w="0" w:type="dxa"/>
              <w:bottom w:w="45" w:type="dxa"/>
              <w:right w:w="0" w:type="dxa"/>
            </w:tcMar>
            <w:hideMark/>
          </w:tcPr>
          <w:p w14:paraId="1D80AE3C" w14:textId="77777777" w:rsidR="001C635A" w:rsidRPr="00624641" w:rsidRDefault="001C635A" w:rsidP="001C635A">
            <w:pPr>
              <w:pStyle w:val="TableText"/>
              <w:ind w:left="57"/>
              <w:jc w:val="right"/>
              <w:rPr>
                <w:rFonts w:cs="Segoe UI"/>
                <w:lang w:eastAsia="en-NZ"/>
              </w:rPr>
            </w:pPr>
            <w:r w:rsidRPr="00624641">
              <w:rPr>
                <w:lang w:eastAsia="en-NZ"/>
              </w:rPr>
              <w:t>390 </w:t>
            </w:r>
          </w:p>
        </w:tc>
        <w:tc>
          <w:tcPr>
            <w:tcW w:w="917" w:type="dxa"/>
            <w:tcMar>
              <w:top w:w="45" w:type="dxa"/>
              <w:left w:w="0" w:type="dxa"/>
              <w:bottom w:w="45" w:type="dxa"/>
              <w:right w:w="0" w:type="dxa"/>
            </w:tcMar>
            <w:hideMark/>
          </w:tcPr>
          <w:p w14:paraId="6CA90458" w14:textId="77777777" w:rsidR="001C635A" w:rsidRPr="00624641" w:rsidRDefault="001C635A" w:rsidP="001C635A">
            <w:pPr>
              <w:pStyle w:val="TableText"/>
              <w:ind w:left="57"/>
              <w:jc w:val="right"/>
              <w:rPr>
                <w:rFonts w:cs="Segoe UI"/>
                <w:lang w:eastAsia="en-NZ"/>
              </w:rPr>
            </w:pPr>
            <w:r w:rsidRPr="00624641">
              <w:rPr>
                <w:lang w:eastAsia="en-NZ"/>
              </w:rPr>
              <w:t>590 </w:t>
            </w:r>
          </w:p>
        </w:tc>
        <w:tc>
          <w:tcPr>
            <w:tcW w:w="917" w:type="dxa"/>
            <w:tcMar>
              <w:top w:w="45" w:type="dxa"/>
              <w:left w:w="0" w:type="dxa"/>
              <w:bottom w:w="45" w:type="dxa"/>
              <w:right w:w="0" w:type="dxa"/>
            </w:tcMar>
            <w:hideMark/>
          </w:tcPr>
          <w:p w14:paraId="2B1887ED" w14:textId="77777777" w:rsidR="001C635A" w:rsidRPr="00624641" w:rsidRDefault="001C635A" w:rsidP="001C635A">
            <w:pPr>
              <w:pStyle w:val="TableText"/>
              <w:ind w:left="57"/>
              <w:jc w:val="right"/>
              <w:rPr>
                <w:rFonts w:cs="Segoe UI"/>
                <w:lang w:eastAsia="en-NZ"/>
              </w:rPr>
            </w:pPr>
            <w:r w:rsidRPr="00624641">
              <w:rPr>
                <w:lang w:eastAsia="en-NZ"/>
              </w:rPr>
              <w:t>950 </w:t>
            </w:r>
          </w:p>
        </w:tc>
        <w:tc>
          <w:tcPr>
            <w:tcW w:w="917" w:type="dxa"/>
            <w:tcMar>
              <w:top w:w="45" w:type="dxa"/>
              <w:left w:w="0" w:type="dxa"/>
              <w:bottom w:w="45" w:type="dxa"/>
              <w:right w:w="0" w:type="dxa"/>
            </w:tcMar>
            <w:hideMark/>
          </w:tcPr>
          <w:p w14:paraId="67234E8F" w14:textId="77777777" w:rsidR="001C635A" w:rsidRPr="00624641" w:rsidRDefault="001C635A" w:rsidP="001C635A">
            <w:pPr>
              <w:pStyle w:val="TableText"/>
              <w:ind w:left="57"/>
              <w:jc w:val="right"/>
              <w:rPr>
                <w:rFonts w:cs="Segoe UI"/>
                <w:lang w:eastAsia="en-NZ"/>
              </w:rPr>
            </w:pPr>
            <w:r w:rsidRPr="00624641">
              <w:rPr>
                <w:lang w:eastAsia="en-NZ"/>
              </w:rPr>
              <w:t>335 </w:t>
            </w:r>
          </w:p>
        </w:tc>
        <w:tc>
          <w:tcPr>
            <w:tcW w:w="916" w:type="dxa"/>
            <w:tcMar>
              <w:top w:w="45" w:type="dxa"/>
              <w:left w:w="0" w:type="dxa"/>
              <w:bottom w:w="45" w:type="dxa"/>
              <w:right w:w="0" w:type="dxa"/>
            </w:tcMar>
            <w:hideMark/>
          </w:tcPr>
          <w:p w14:paraId="5089BE62" w14:textId="77777777" w:rsidR="001C635A" w:rsidRPr="00624641" w:rsidRDefault="001C635A" w:rsidP="001C635A">
            <w:pPr>
              <w:pStyle w:val="TableText"/>
              <w:ind w:left="57"/>
              <w:jc w:val="right"/>
              <w:rPr>
                <w:rFonts w:cs="Segoe UI"/>
                <w:lang w:eastAsia="en-NZ"/>
              </w:rPr>
            </w:pPr>
            <w:r w:rsidRPr="00624641">
              <w:rPr>
                <w:lang w:eastAsia="en-NZ"/>
              </w:rPr>
              <w:t>516 </w:t>
            </w:r>
          </w:p>
        </w:tc>
        <w:tc>
          <w:tcPr>
            <w:tcW w:w="917" w:type="dxa"/>
            <w:tcMar>
              <w:top w:w="45" w:type="dxa"/>
              <w:left w:w="0" w:type="dxa"/>
              <w:bottom w:w="45" w:type="dxa"/>
              <w:right w:w="0" w:type="dxa"/>
            </w:tcMar>
            <w:hideMark/>
          </w:tcPr>
          <w:p w14:paraId="4F5987CC" w14:textId="77777777" w:rsidR="001C635A" w:rsidRPr="00624641" w:rsidRDefault="001C635A" w:rsidP="001C635A">
            <w:pPr>
              <w:pStyle w:val="TableText"/>
              <w:ind w:left="57"/>
              <w:jc w:val="right"/>
              <w:rPr>
                <w:rFonts w:cs="Segoe UI"/>
                <w:lang w:eastAsia="en-NZ"/>
              </w:rPr>
            </w:pPr>
            <w:r w:rsidRPr="00624641">
              <w:rPr>
                <w:lang w:eastAsia="en-NZ"/>
              </w:rPr>
              <w:t>906 </w:t>
            </w:r>
          </w:p>
        </w:tc>
        <w:tc>
          <w:tcPr>
            <w:tcW w:w="737" w:type="dxa"/>
            <w:tcMar>
              <w:top w:w="45" w:type="dxa"/>
              <w:left w:w="0" w:type="dxa"/>
              <w:bottom w:w="45" w:type="dxa"/>
              <w:right w:w="0" w:type="dxa"/>
            </w:tcMar>
            <w:hideMark/>
          </w:tcPr>
          <w:p w14:paraId="38BB80EA" w14:textId="77777777" w:rsidR="001C635A" w:rsidRPr="00624641" w:rsidRDefault="001C635A" w:rsidP="001C635A">
            <w:pPr>
              <w:pStyle w:val="TableText"/>
              <w:ind w:left="57"/>
              <w:jc w:val="right"/>
              <w:rPr>
                <w:rFonts w:cs="Segoe UI"/>
                <w:lang w:eastAsia="en-NZ"/>
              </w:rPr>
            </w:pPr>
            <w:r w:rsidRPr="00624641">
              <w:rPr>
                <w:lang w:eastAsia="en-NZ"/>
              </w:rPr>
              <w:t>-14% </w:t>
            </w:r>
          </w:p>
        </w:tc>
        <w:tc>
          <w:tcPr>
            <w:tcW w:w="708" w:type="dxa"/>
            <w:tcMar>
              <w:top w:w="45" w:type="dxa"/>
              <w:left w:w="0" w:type="dxa"/>
              <w:bottom w:w="45" w:type="dxa"/>
              <w:right w:w="0" w:type="dxa"/>
            </w:tcMar>
            <w:hideMark/>
          </w:tcPr>
          <w:p w14:paraId="0C4D68C1" w14:textId="77777777" w:rsidR="001C635A" w:rsidRPr="00624641" w:rsidRDefault="001C635A" w:rsidP="001C635A">
            <w:pPr>
              <w:pStyle w:val="TableText"/>
              <w:ind w:left="57"/>
              <w:jc w:val="right"/>
              <w:rPr>
                <w:rFonts w:cs="Segoe UI"/>
                <w:lang w:eastAsia="en-NZ"/>
              </w:rPr>
            </w:pPr>
            <w:r w:rsidRPr="00624641">
              <w:rPr>
                <w:lang w:eastAsia="en-NZ"/>
              </w:rPr>
              <w:t>-12% </w:t>
            </w:r>
          </w:p>
        </w:tc>
        <w:tc>
          <w:tcPr>
            <w:tcW w:w="709" w:type="dxa"/>
            <w:tcMar>
              <w:top w:w="45" w:type="dxa"/>
              <w:left w:w="0" w:type="dxa"/>
              <w:bottom w:w="45" w:type="dxa"/>
              <w:right w:w="0" w:type="dxa"/>
            </w:tcMar>
            <w:hideMark/>
          </w:tcPr>
          <w:p w14:paraId="10B85C21" w14:textId="77777777" w:rsidR="001C635A" w:rsidRPr="00624641" w:rsidRDefault="001C635A" w:rsidP="001C635A">
            <w:pPr>
              <w:pStyle w:val="TableText"/>
              <w:ind w:left="57"/>
              <w:jc w:val="right"/>
              <w:rPr>
                <w:rFonts w:cs="Segoe UI"/>
                <w:lang w:eastAsia="en-NZ"/>
              </w:rPr>
            </w:pPr>
            <w:r w:rsidRPr="00624641">
              <w:rPr>
                <w:lang w:eastAsia="en-NZ"/>
              </w:rPr>
              <w:t>-5% </w:t>
            </w:r>
          </w:p>
        </w:tc>
      </w:tr>
    </w:tbl>
    <w:p w14:paraId="6FAC1429" w14:textId="77777777" w:rsidR="004B12B6" w:rsidRDefault="004B12B6" w:rsidP="004B12B6">
      <w:pPr>
        <w:rPr>
          <w:rFonts w:cs="Segoe UI"/>
        </w:rPr>
      </w:pPr>
    </w:p>
    <w:p w14:paraId="378E4A87" w14:textId="77777777" w:rsidR="004B12B6" w:rsidRDefault="004B12B6" w:rsidP="001C635A">
      <w:pPr>
        <w:pStyle w:val="Figure"/>
      </w:pPr>
      <w:bookmarkStart w:id="276" w:name="_Toc216377242"/>
      <w:r>
        <w:lastRenderedPageBreak/>
        <w:t>Figure S1: IHME estimated New Zealand population for Māori and non-Māori, 2020</w:t>
      </w:r>
      <w:bookmarkEnd w:id="276"/>
    </w:p>
    <w:p w14:paraId="03B35567" w14:textId="77777777" w:rsidR="001C635A" w:rsidRDefault="004B12B6" w:rsidP="004B12B6">
      <w:pPr>
        <w:rPr>
          <w:rFonts w:cs="Segoe UI"/>
        </w:rPr>
      </w:pPr>
      <w:r>
        <w:rPr>
          <w:rFonts w:cs="Segoe UI"/>
          <w:noProof/>
        </w:rPr>
        <w:drawing>
          <wp:inline distT="0" distB="0" distL="0" distR="0" wp14:anchorId="28F426B4" wp14:editId="11E01462">
            <wp:extent cx="4838700" cy="2721101"/>
            <wp:effectExtent l="0" t="0" r="0" b="3175"/>
            <wp:docPr id="126494177" name="Picture 6" descr="A population pyramid comparing Māori and non-Māori populations in New Zealand by age group. The Māori population is younger overall and declines sharply after 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4177" name="Picture 6" descr="A population pyramid comparing Māori and non-Māori populations in New Zealand by age group. The Māori population is younger overall and declines sharply after age 45"/>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4846370" cy="2725414"/>
                    </a:xfrm>
                    <a:prstGeom prst="rect">
                      <a:avLst/>
                    </a:prstGeom>
                    <a:noFill/>
                    <a:ln>
                      <a:noFill/>
                    </a:ln>
                  </pic:spPr>
                </pic:pic>
              </a:graphicData>
            </a:graphic>
          </wp:inline>
        </w:drawing>
      </w:r>
    </w:p>
    <w:p w14:paraId="68CDEA97" w14:textId="069455FC" w:rsidR="004B12B6" w:rsidRPr="00EA17ED" w:rsidRDefault="004B12B6" w:rsidP="004B12B6">
      <w:pPr>
        <w:rPr>
          <w:rFonts w:cs="Segoe UI"/>
        </w:rPr>
      </w:pPr>
      <w:r w:rsidRPr="00EA17ED">
        <w:rPr>
          <w:rFonts w:cs="Segoe UI"/>
        </w:rPr>
        <w:br w:type="page"/>
      </w:r>
    </w:p>
    <w:p w14:paraId="3EADA2FC" w14:textId="2E9CFB42" w:rsidR="004B12B6" w:rsidRPr="00323C59" w:rsidRDefault="004B12B6" w:rsidP="004B12B6">
      <w:pPr>
        <w:pStyle w:val="Heading1"/>
      </w:pPr>
      <w:bookmarkStart w:id="277" w:name="_Toc215236550"/>
      <w:bookmarkStart w:id="278" w:name="_Toc216376578"/>
      <w:r w:rsidRPr="00407C5F">
        <w:lastRenderedPageBreak/>
        <w:t>References</w:t>
      </w:r>
      <w:r w:rsidRPr="00323C59">
        <w:t xml:space="preserve"> </w:t>
      </w:r>
      <w:r>
        <w:t xml:space="preserve">– </w:t>
      </w:r>
      <w:r w:rsidRPr="00323C59">
        <w:t xml:space="preserve">Ngā </w:t>
      </w:r>
      <w:r w:rsidR="006D65E2">
        <w:t>t</w:t>
      </w:r>
      <w:r w:rsidRPr="00323C59">
        <w:t>ohutoro</w:t>
      </w:r>
      <w:bookmarkEnd w:id="277"/>
      <w:bookmarkEnd w:id="278"/>
    </w:p>
    <w:p w14:paraId="26526841" w14:textId="77777777" w:rsidR="004B12B6" w:rsidRPr="000F79FB" w:rsidRDefault="004B12B6" w:rsidP="004B12B6">
      <w:pPr>
        <w:pStyle w:val="EndNoteBibliography"/>
      </w:pPr>
      <w:r w:rsidRPr="000F79FB">
        <w:t>Ajwani S, Blakely T, Robson B, et al. 2003. Unlocking the numerator-denominator bias III: adjustment ratios by ethnicity for 1981</w:t>
      </w:r>
      <w:r>
        <w:t>–</w:t>
      </w:r>
      <w:r w:rsidRPr="000F79FB">
        <w:t xml:space="preserve">1999 mortality data. The New Zealand Census-Mortality Study. </w:t>
      </w:r>
      <w:r w:rsidRPr="000F79FB">
        <w:rPr>
          <w:i/>
        </w:rPr>
        <w:t>The New Zealand Medical Journal (Online)</w:t>
      </w:r>
      <w:r w:rsidRPr="000F79FB">
        <w:t xml:space="preserve"> 116(1175): </w:t>
      </w:r>
      <w:r>
        <w:t>U456</w:t>
      </w:r>
      <w:r w:rsidRPr="000F79FB">
        <w:t>.</w:t>
      </w:r>
    </w:p>
    <w:p w14:paraId="4D05D2B1" w14:textId="77777777" w:rsidR="004B12B6" w:rsidRPr="000F79FB" w:rsidRDefault="004B12B6" w:rsidP="004B12B6">
      <w:pPr>
        <w:pStyle w:val="EndNoteBibliography"/>
      </w:pPr>
      <w:r w:rsidRPr="000F79FB">
        <w:t xml:space="preserve">Bergeron DA, Tremblay MC, Dogba MJ, et al. 2021. The use of realist approaches for health research in Indigenous communities. </w:t>
      </w:r>
      <w:r w:rsidRPr="000F79FB">
        <w:rPr>
          <w:i/>
        </w:rPr>
        <w:t xml:space="preserve">AlterNative </w:t>
      </w:r>
      <w:r w:rsidRPr="004E400C">
        <w:rPr>
          <w:iCs/>
        </w:rPr>
        <w:t>17(1)</w:t>
      </w:r>
      <w:r w:rsidRPr="000F79FB">
        <w:t>: 106</w:t>
      </w:r>
      <w:r>
        <w:t>–</w:t>
      </w:r>
      <w:r w:rsidRPr="000F79FB">
        <w:t>10.</w:t>
      </w:r>
    </w:p>
    <w:p w14:paraId="42A6AAFC" w14:textId="77777777" w:rsidR="004B12B6" w:rsidRPr="00D83F30" w:rsidRDefault="004B12B6" w:rsidP="004B12B6">
      <w:pPr>
        <w:pStyle w:val="EndNoteBibliography"/>
        <w:rPr>
          <w:lang w:val="en-NZ"/>
        </w:rPr>
      </w:pPr>
      <w:r>
        <w:t xml:space="preserve">Brauer M, Roth GA, Aravkin AK, et al. 2024. </w:t>
      </w:r>
      <w:r w:rsidRPr="00D83F30">
        <w:rPr>
          <w:lang w:val="en-NZ"/>
        </w:rPr>
        <w:t>Global burden and strength of evidence for 88 risk factors in 204 countries and 811 subnational locations, 1990–2021: a systematic analysis for the Global Burden of Disease Study 2021</w:t>
      </w:r>
      <w:r>
        <w:rPr>
          <w:lang w:val="en-NZ"/>
        </w:rPr>
        <w:t xml:space="preserve">. </w:t>
      </w:r>
      <w:r w:rsidRPr="009F2D32">
        <w:rPr>
          <w:i/>
          <w:iCs/>
          <w:lang w:val="en-NZ"/>
        </w:rPr>
        <w:t>Lancet</w:t>
      </w:r>
      <w:r>
        <w:rPr>
          <w:lang w:val="en-NZ"/>
        </w:rPr>
        <w:t xml:space="preserve"> 403: </w:t>
      </w:r>
      <w:r w:rsidRPr="00D83F30">
        <w:t>2162</w:t>
      </w:r>
      <w:r>
        <w:t>–</w:t>
      </w:r>
      <w:r w:rsidRPr="00D83F30">
        <w:t>203</w:t>
      </w:r>
      <w:r>
        <w:t>.</w:t>
      </w:r>
    </w:p>
    <w:p w14:paraId="36F36196" w14:textId="77777777" w:rsidR="004B12B6" w:rsidRPr="000F79FB" w:rsidRDefault="004B12B6" w:rsidP="004B12B6">
      <w:pPr>
        <w:pStyle w:val="EndNoteBibliography"/>
      </w:pPr>
      <w:r w:rsidRPr="000F79FB">
        <w:t xml:space="preserve">Curtis E. 2016. Indigenous positioning in health research: The importance of Kaupapa Māori theory-informed practice. </w:t>
      </w:r>
      <w:r w:rsidRPr="000F79FB">
        <w:rPr>
          <w:i/>
        </w:rPr>
        <w:t>AlterNative</w:t>
      </w:r>
      <w:r w:rsidRPr="000F79FB">
        <w:t xml:space="preserve"> 12(4): 396</w:t>
      </w:r>
      <w:r>
        <w:t>–</w:t>
      </w:r>
      <w:r w:rsidRPr="000F79FB">
        <w:t>410.</w:t>
      </w:r>
    </w:p>
    <w:p w14:paraId="650D5EBA" w14:textId="77777777" w:rsidR="004B12B6" w:rsidRPr="000F79FB" w:rsidRDefault="004B12B6" w:rsidP="004B12B6">
      <w:pPr>
        <w:pStyle w:val="EndNoteBibliography"/>
      </w:pPr>
      <w:r w:rsidRPr="000F79FB">
        <w:t xml:space="preserve">Curtis E, Jones R, Willing E, et al. 2023. Indigenous adaptation of a model for understanding the determinants of ethnic health inequities. </w:t>
      </w:r>
      <w:r w:rsidRPr="000F79FB">
        <w:rPr>
          <w:i/>
        </w:rPr>
        <w:t>Discover Social Science and Health</w:t>
      </w:r>
      <w:r w:rsidRPr="000F79FB">
        <w:t xml:space="preserve"> 3(10): 10.</w:t>
      </w:r>
    </w:p>
    <w:p w14:paraId="5D73431B" w14:textId="4A3FEEEF" w:rsidR="004B12B6" w:rsidRPr="000F79FB" w:rsidRDefault="004B12B6" w:rsidP="004B12B6">
      <w:pPr>
        <w:pStyle w:val="EndNoteBibliography"/>
      </w:pPr>
      <w:r w:rsidRPr="000F79FB">
        <w:t xml:space="preserve">Dixon R, Batts T, Diener H. 2024. </w:t>
      </w:r>
      <w:r w:rsidRPr="004E400C">
        <w:rPr>
          <w:iCs/>
        </w:rPr>
        <w:t>Reviewing the quality of ethnicity data from administrative sources: Comparison with the census</w:t>
      </w:r>
      <w:r w:rsidRPr="004E3BD0">
        <w:rPr>
          <w:iCs/>
        </w:rPr>
        <w:t>.</w:t>
      </w:r>
      <w:r w:rsidRPr="000F79FB">
        <w:t xml:space="preserve"> URL: </w:t>
      </w:r>
      <w:hyperlink r:id="rId85" w:history="1">
        <w:r w:rsidRPr="001C635A">
          <w:rPr>
            <w:rStyle w:val="Hyperlink"/>
          </w:rPr>
          <w:t>stats.govt.nz/research/reviewing-the-quality-of-ethnicity-data-from-administrative-sources-comparison-with-the-census</w:t>
        </w:r>
      </w:hyperlink>
      <w:r w:rsidRPr="000F79FB">
        <w:t xml:space="preserve"> (accessed </w:t>
      </w:r>
      <w:r>
        <w:t xml:space="preserve">11 November </w:t>
      </w:r>
      <w:r w:rsidRPr="000F79FB">
        <w:t>2025).</w:t>
      </w:r>
    </w:p>
    <w:p w14:paraId="6AB2D624" w14:textId="77777777" w:rsidR="004B12B6" w:rsidRPr="000F79FB" w:rsidRDefault="004B12B6" w:rsidP="004B12B6">
      <w:pPr>
        <w:pStyle w:val="EndNoteBibliography"/>
      </w:pPr>
      <w:r w:rsidRPr="000F79FB">
        <w:t xml:space="preserve">Global Health Metrics. 2020. Communicable, maternal, neonatal, and nutritional diseases—Level 1 cause. </w:t>
      </w:r>
      <w:r w:rsidRPr="000F79FB">
        <w:rPr>
          <w:i/>
        </w:rPr>
        <w:t>The Lancet</w:t>
      </w:r>
      <w:r w:rsidRPr="000F79FB">
        <w:t xml:space="preserve"> 396: S2</w:t>
      </w:r>
      <w:r>
        <w:t>–</w:t>
      </w:r>
      <w:r w:rsidRPr="000F79FB">
        <w:t>S3.</w:t>
      </w:r>
    </w:p>
    <w:p w14:paraId="239C994C" w14:textId="3F108E6B" w:rsidR="004B12B6" w:rsidRDefault="004B12B6" w:rsidP="004B12B6">
      <w:pPr>
        <w:pStyle w:val="EndNoteBibliography"/>
      </w:pPr>
      <w:r w:rsidRPr="000F79FB">
        <w:t xml:space="preserve">Hauora Māori Advisory Committee. 2025. </w:t>
      </w:r>
      <w:r w:rsidRPr="004E400C">
        <w:rPr>
          <w:iCs/>
        </w:rPr>
        <w:t>Rangatahi experience stronger mental health resilience</w:t>
      </w:r>
      <w:r w:rsidRPr="004E3BD0">
        <w:rPr>
          <w:iCs/>
        </w:rPr>
        <w:t>.</w:t>
      </w:r>
      <w:r w:rsidRPr="000F79FB">
        <w:t xml:space="preserve"> URL: </w:t>
      </w:r>
      <w:hyperlink r:id="rId86" w:history="1">
        <w:r w:rsidRPr="001C635A">
          <w:rPr>
            <w:rStyle w:val="Hyperlink"/>
          </w:rPr>
          <w:t>health.govt.nz/system/files/2025-07/priority-4-key-insights–june-2025.pdf</w:t>
        </w:r>
      </w:hyperlink>
      <w:r w:rsidRPr="000F79FB">
        <w:t xml:space="preserve"> (accessed </w:t>
      </w:r>
      <w:r>
        <w:t xml:space="preserve">11 November </w:t>
      </w:r>
      <w:r w:rsidRPr="000F79FB">
        <w:t>2025).</w:t>
      </w:r>
    </w:p>
    <w:p w14:paraId="423481DE" w14:textId="77777777" w:rsidR="004B12B6" w:rsidRPr="000F79FB" w:rsidRDefault="004B12B6" w:rsidP="004B12B6">
      <w:pPr>
        <w:pStyle w:val="EndNoteBibliography"/>
      </w:pPr>
      <w:r>
        <w:t>Health New Zealand</w:t>
      </w:r>
      <w:r w:rsidRPr="000F79FB">
        <w:t xml:space="preserve">. 2017. </w:t>
      </w:r>
      <w:r w:rsidRPr="000F79FB">
        <w:rPr>
          <w:i/>
        </w:rPr>
        <w:t>HISO 10001:2017 Ethnicity Data Protocols</w:t>
      </w:r>
      <w:r w:rsidRPr="000F79FB">
        <w:t>. Wellington, New Zealand: Ministry of Health.</w:t>
      </w:r>
    </w:p>
    <w:p w14:paraId="52126D57" w14:textId="0E596C6F" w:rsidR="004B12B6" w:rsidRPr="000F79FB" w:rsidRDefault="004B12B6" w:rsidP="004B12B6">
      <w:pPr>
        <w:pStyle w:val="EndNoteBibliography"/>
      </w:pPr>
      <w:r w:rsidRPr="000F79FB">
        <w:t>Health N</w:t>
      </w:r>
      <w:r>
        <w:t xml:space="preserve">ew </w:t>
      </w:r>
      <w:r w:rsidRPr="000F79FB">
        <w:t>Z</w:t>
      </w:r>
      <w:r>
        <w:t>ealand</w:t>
      </w:r>
      <w:r w:rsidRPr="000F79FB">
        <w:t xml:space="preserve">. 2024. </w:t>
      </w:r>
      <w:r w:rsidRPr="004E400C">
        <w:rPr>
          <w:iCs/>
        </w:rPr>
        <w:t>Chronic kidney disease</w:t>
      </w:r>
      <w:r w:rsidRPr="004E3BD0">
        <w:rPr>
          <w:iCs/>
        </w:rPr>
        <w:t>.</w:t>
      </w:r>
      <w:r w:rsidRPr="000F79FB">
        <w:t xml:space="preserve"> URL: </w:t>
      </w:r>
      <w:hyperlink r:id="rId87" w:history="1">
        <w:r w:rsidRPr="001C635A">
          <w:rPr>
            <w:rStyle w:val="Hyperlink"/>
          </w:rPr>
          <w:t>info.health.nz/conditions-treatments/bladder-kidney-and-urinary-system/chronic-kidney-disease</w:t>
        </w:r>
      </w:hyperlink>
      <w:r w:rsidRPr="000F79FB">
        <w:t xml:space="preserve"> (accessed </w:t>
      </w:r>
      <w:r>
        <w:t>11 November 2025</w:t>
      </w:r>
      <w:r w:rsidRPr="000F79FB">
        <w:t>).</w:t>
      </w:r>
    </w:p>
    <w:p w14:paraId="27AC8429" w14:textId="73273772" w:rsidR="004B12B6" w:rsidRPr="000F79FB" w:rsidRDefault="004B12B6" w:rsidP="004B12B6">
      <w:pPr>
        <w:pStyle w:val="EndNoteBibliography"/>
      </w:pPr>
      <w:r w:rsidRPr="000F79FB">
        <w:t>Health N</w:t>
      </w:r>
      <w:r>
        <w:t xml:space="preserve">ew </w:t>
      </w:r>
      <w:r w:rsidRPr="000F79FB">
        <w:t>Z</w:t>
      </w:r>
      <w:r>
        <w:t>ealand</w:t>
      </w:r>
      <w:r w:rsidRPr="000F79FB">
        <w:t xml:space="preserve">. 2025a. </w:t>
      </w:r>
      <w:r w:rsidRPr="00F7282E">
        <w:rPr>
          <w:iCs/>
        </w:rPr>
        <w:t xml:space="preserve">“About Classification.” </w:t>
      </w:r>
      <w:r w:rsidRPr="00F7282E">
        <w:rPr>
          <w:i/>
          <w:iCs/>
        </w:rPr>
        <w:t>Data and Statistics – NZ Health Statistics</w:t>
      </w:r>
      <w:r w:rsidRPr="00F7282E">
        <w:rPr>
          <w:iCs/>
        </w:rPr>
        <w:t xml:space="preserve">. Accessed December 1, 2025. </w:t>
      </w:r>
      <w:r>
        <w:rPr>
          <w:iCs/>
        </w:rPr>
        <w:t xml:space="preserve">URL: </w:t>
      </w:r>
      <w:hyperlink r:id="rId88" w:history="1">
        <w:r w:rsidRPr="001C635A">
          <w:rPr>
            <w:rStyle w:val="Hyperlink"/>
            <w:iCs/>
          </w:rPr>
          <w:t>tewhatuora.govt.nz/for-health-professionals/data-and-statistics/nz-health-statistics/classification/about</w:t>
        </w:r>
      </w:hyperlink>
    </w:p>
    <w:p w14:paraId="2056D2D1" w14:textId="431A8036" w:rsidR="004B12B6" w:rsidRPr="000F79FB" w:rsidRDefault="004B12B6" w:rsidP="004B12B6">
      <w:pPr>
        <w:pStyle w:val="EndNoteBibliography"/>
      </w:pPr>
      <w:r w:rsidRPr="000F79FB">
        <w:t>Health N</w:t>
      </w:r>
      <w:r>
        <w:t xml:space="preserve">ew </w:t>
      </w:r>
      <w:r w:rsidRPr="000F79FB">
        <w:t>Z</w:t>
      </w:r>
      <w:r>
        <w:t>ealand</w:t>
      </w:r>
      <w:r w:rsidRPr="000F79FB">
        <w:t>. 2025</w:t>
      </w:r>
      <w:r>
        <w:t>b</w:t>
      </w:r>
      <w:r w:rsidRPr="000F79FB">
        <w:t xml:space="preserve">. </w:t>
      </w:r>
      <w:r w:rsidRPr="004E400C">
        <w:rPr>
          <w:iCs/>
        </w:rPr>
        <w:t>Mortality web tool</w:t>
      </w:r>
      <w:r w:rsidRPr="004E3BD0">
        <w:rPr>
          <w:iCs/>
        </w:rPr>
        <w:t>.</w:t>
      </w:r>
      <w:r w:rsidRPr="000F79FB">
        <w:t xml:space="preserve"> URL: </w:t>
      </w:r>
      <w:hyperlink r:id="rId89" w:history="1">
        <w:r w:rsidRPr="001C635A">
          <w:rPr>
            <w:rStyle w:val="Hyperlink"/>
          </w:rPr>
          <w:t>tewhatuora.shinyapps.io/mortality-web-tool</w:t>
        </w:r>
      </w:hyperlink>
      <w:r w:rsidRPr="000F79FB">
        <w:t xml:space="preserve"> (accessed </w:t>
      </w:r>
      <w:r>
        <w:t xml:space="preserve">11 November </w:t>
      </w:r>
      <w:r w:rsidRPr="000F79FB">
        <w:t>2025).</w:t>
      </w:r>
    </w:p>
    <w:p w14:paraId="3065B910" w14:textId="06342CC0" w:rsidR="004B12B6" w:rsidRDefault="004B12B6" w:rsidP="004B12B6">
      <w:pPr>
        <w:pStyle w:val="EndNoteBibliography"/>
      </w:pPr>
      <w:r w:rsidRPr="000F79FB">
        <w:t>Health N</w:t>
      </w:r>
      <w:r>
        <w:t xml:space="preserve">ew </w:t>
      </w:r>
      <w:r w:rsidRPr="000F79FB">
        <w:t>Z</w:t>
      </w:r>
      <w:r>
        <w:t>ealand</w:t>
      </w:r>
      <w:r w:rsidRPr="000F79FB">
        <w:t>. 2025</w:t>
      </w:r>
      <w:r>
        <w:t>c</w:t>
      </w:r>
      <w:r w:rsidRPr="000F79FB">
        <w:t xml:space="preserve">. </w:t>
      </w:r>
      <w:r w:rsidRPr="004E400C">
        <w:rPr>
          <w:iCs/>
        </w:rPr>
        <w:t xml:space="preserve">Virtual </w:t>
      </w:r>
      <w:r>
        <w:rPr>
          <w:iCs/>
        </w:rPr>
        <w:t>D</w:t>
      </w:r>
      <w:r w:rsidRPr="004E400C">
        <w:rPr>
          <w:iCs/>
        </w:rPr>
        <w:t xml:space="preserve">iabetes </w:t>
      </w:r>
      <w:r>
        <w:rPr>
          <w:iCs/>
        </w:rPr>
        <w:t xml:space="preserve">Register </w:t>
      </w:r>
      <w:r w:rsidRPr="004E400C">
        <w:rPr>
          <w:iCs/>
        </w:rPr>
        <w:t>web tool</w:t>
      </w:r>
      <w:r w:rsidRPr="004E3BD0">
        <w:rPr>
          <w:iCs/>
        </w:rPr>
        <w:t>.</w:t>
      </w:r>
      <w:r w:rsidRPr="000F79FB">
        <w:t xml:space="preserve"> URL: </w:t>
      </w:r>
      <w:hyperlink r:id="rId90" w:history="1">
        <w:r w:rsidRPr="001C635A">
          <w:rPr>
            <w:rStyle w:val="Hyperlink"/>
          </w:rPr>
          <w:t>tewhatuora.shinyapps.io/virtual-diabetes-register-web-tool</w:t>
        </w:r>
      </w:hyperlink>
      <w:r w:rsidRPr="000F79FB">
        <w:t xml:space="preserve"> (accessed </w:t>
      </w:r>
      <w:r>
        <w:t xml:space="preserve">12 November </w:t>
      </w:r>
      <w:r w:rsidRPr="000F79FB">
        <w:t>2025).</w:t>
      </w:r>
    </w:p>
    <w:p w14:paraId="50D3BAFD" w14:textId="19128B02" w:rsidR="004B12B6" w:rsidRPr="000F79FB" w:rsidRDefault="004B12B6" w:rsidP="004B12B6">
      <w:pPr>
        <w:pStyle w:val="EndNoteBibliography"/>
      </w:pPr>
      <w:r w:rsidRPr="000F79FB">
        <w:lastRenderedPageBreak/>
        <w:t xml:space="preserve">Health Quality &amp; Safety Commission. 2024. </w:t>
      </w:r>
      <w:r w:rsidRPr="004E400C">
        <w:rPr>
          <w:iCs/>
        </w:rPr>
        <w:t>Chronic Obstructive Pulmonary Disease in people aged 45 and over</w:t>
      </w:r>
      <w:r w:rsidRPr="008F4411">
        <w:rPr>
          <w:iCs/>
        </w:rPr>
        <w:t>.</w:t>
      </w:r>
      <w:r w:rsidRPr="000F79FB">
        <w:t xml:space="preserve"> URL: </w:t>
      </w:r>
      <w:hyperlink r:id="rId91" w:history="1">
        <w:r w:rsidRPr="001C635A">
          <w:rPr>
            <w:rStyle w:val="Hyperlink"/>
          </w:rPr>
          <w:t>hqsc.govt.nz/our-data/atlas-of-healthcare-variation/chronic-obstructive-pulmonary-disease</w:t>
        </w:r>
      </w:hyperlink>
      <w:r w:rsidRPr="000F79FB">
        <w:t xml:space="preserve"> (accessed </w:t>
      </w:r>
      <w:r>
        <w:t xml:space="preserve">12 November </w:t>
      </w:r>
      <w:r w:rsidRPr="000F79FB">
        <w:t>2025).</w:t>
      </w:r>
    </w:p>
    <w:p w14:paraId="14ADBACF" w14:textId="4830AD95" w:rsidR="004B12B6" w:rsidRPr="000F79FB" w:rsidRDefault="004B12B6" w:rsidP="004B12B6">
      <w:pPr>
        <w:pStyle w:val="EndNoteBibliography"/>
      </w:pPr>
      <w:r w:rsidRPr="000F79FB">
        <w:t xml:space="preserve">Heart Foundation. 2024. </w:t>
      </w:r>
      <w:r w:rsidRPr="004E400C">
        <w:rPr>
          <w:iCs/>
        </w:rPr>
        <w:t>Coronary artery disease</w:t>
      </w:r>
      <w:r w:rsidRPr="008F4411">
        <w:rPr>
          <w:iCs/>
        </w:rPr>
        <w:t>.</w:t>
      </w:r>
      <w:r w:rsidRPr="000F79FB">
        <w:t xml:space="preserve"> URL: </w:t>
      </w:r>
      <w:hyperlink r:id="rId92" w:history="1">
        <w:r w:rsidRPr="001C635A">
          <w:rPr>
            <w:rStyle w:val="Hyperlink"/>
          </w:rPr>
          <w:t>heartfoundation.org.nz/your-heart/heart-conditions/coronary-artery-disease</w:t>
        </w:r>
      </w:hyperlink>
      <w:r w:rsidRPr="000F79FB">
        <w:t xml:space="preserve"> (accessed </w:t>
      </w:r>
      <w:r>
        <w:t xml:space="preserve">12 November </w:t>
      </w:r>
      <w:r w:rsidRPr="000F79FB">
        <w:t>2025).</w:t>
      </w:r>
    </w:p>
    <w:p w14:paraId="3E4DA6C9" w14:textId="78CB1AD1" w:rsidR="004B12B6" w:rsidRPr="000F79FB" w:rsidRDefault="004B12B6" w:rsidP="004B12B6">
      <w:pPr>
        <w:pStyle w:val="EndNoteBibliography"/>
      </w:pPr>
      <w:r w:rsidRPr="000F79FB">
        <w:t xml:space="preserve">Heart Foundation. 2025. </w:t>
      </w:r>
      <w:r w:rsidRPr="004E400C">
        <w:rPr>
          <w:iCs/>
        </w:rPr>
        <w:t>Managing diabetes</w:t>
      </w:r>
      <w:r w:rsidRPr="008F4411">
        <w:rPr>
          <w:iCs/>
        </w:rPr>
        <w:t>.</w:t>
      </w:r>
      <w:r w:rsidRPr="000F79FB">
        <w:t xml:space="preserve"> URL: </w:t>
      </w:r>
      <w:hyperlink r:id="rId93" w:history="1">
        <w:r w:rsidRPr="001C635A">
          <w:rPr>
            <w:rStyle w:val="Hyperlink"/>
          </w:rPr>
          <w:t>heartfoundation.org.nz/wellbeing/managing-risk/managing-diabetes</w:t>
        </w:r>
      </w:hyperlink>
      <w:r w:rsidRPr="000F79FB">
        <w:t xml:space="preserve"> (accessed </w:t>
      </w:r>
      <w:r>
        <w:t xml:space="preserve">12 November </w:t>
      </w:r>
      <w:r w:rsidRPr="000F79FB">
        <w:t>2025).</w:t>
      </w:r>
    </w:p>
    <w:p w14:paraId="70E33154" w14:textId="7396979A" w:rsidR="004B12B6" w:rsidRDefault="004B12B6" w:rsidP="004B12B6">
      <w:pPr>
        <w:pStyle w:val="EndNoteBibliography"/>
      </w:pPr>
      <w:r>
        <w:t xml:space="preserve">IHME. 2025. GBD History. URL: </w:t>
      </w:r>
      <w:hyperlink r:id="rId94" w:history="1">
        <w:r w:rsidRPr="001C635A">
          <w:rPr>
            <w:rStyle w:val="Hyperlink"/>
          </w:rPr>
          <w:t>healthdata.org/research-analysis/about-gbd</w:t>
        </w:r>
      </w:hyperlink>
      <w:r>
        <w:t xml:space="preserve"> (accessed 12 November 2025).</w:t>
      </w:r>
    </w:p>
    <w:p w14:paraId="28A025B3" w14:textId="3056B131" w:rsidR="004B12B6" w:rsidRPr="000F79FB" w:rsidRDefault="004B12B6" w:rsidP="004B12B6">
      <w:pPr>
        <w:pStyle w:val="EndNoteBibliography"/>
      </w:pPr>
      <w:r w:rsidRPr="000F79FB">
        <w:t xml:space="preserve">Kukutai T, Campbell-Kamariera K, Mead A, et al. 2023. </w:t>
      </w:r>
      <w:r w:rsidRPr="004E400C">
        <w:rPr>
          <w:iCs/>
        </w:rPr>
        <w:t>Māori Data Governance Model.</w:t>
      </w:r>
      <w:r w:rsidRPr="000F79FB">
        <w:rPr>
          <w:i/>
        </w:rPr>
        <w:t xml:space="preserve"> </w:t>
      </w:r>
      <w:r w:rsidRPr="000F79FB">
        <w:t xml:space="preserve">URL: </w:t>
      </w:r>
      <w:hyperlink r:id="rId95" w:history="1">
        <w:r w:rsidRPr="001C635A">
          <w:rPr>
            <w:rStyle w:val="Hyperlink"/>
          </w:rPr>
          <w:t>kahuiraraunga.io/maoridatagovernance</w:t>
        </w:r>
      </w:hyperlink>
      <w:r w:rsidRPr="000F79FB">
        <w:t xml:space="preserve"> (accessed</w:t>
      </w:r>
      <w:r>
        <w:t xml:space="preserve"> 12 November 2025)</w:t>
      </w:r>
      <w:r w:rsidRPr="000F79FB">
        <w:t>.</w:t>
      </w:r>
    </w:p>
    <w:p w14:paraId="13F1F014" w14:textId="2257A6AF" w:rsidR="004B12B6" w:rsidRPr="000F79FB" w:rsidRDefault="004B12B6" w:rsidP="004B12B6">
      <w:pPr>
        <w:pStyle w:val="EndNoteBibliography"/>
      </w:pPr>
      <w:r w:rsidRPr="000F79FB">
        <w:t xml:space="preserve">Ministry of Health. 2018. </w:t>
      </w:r>
      <w:r w:rsidRPr="000F79FB">
        <w:rPr>
          <w:i/>
        </w:rPr>
        <w:t xml:space="preserve">Position </w:t>
      </w:r>
      <w:r>
        <w:rPr>
          <w:i/>
        </w:rPr>
        <w:t>P</w:t>
      </w:r>
      <w:r w:rsidRPr="000F79FB">
        <w:rPr>
          <w:i/>
        </w:rPr>
        <w:t xml:space="preserve">aper on Māori </w:t>
      </w:r>
      <w:r>
        <w:rPr>
          <w:i/>
        </w:rPr>
        <w:t>H</w:t>
      </w:r>
      <w:r w:rsidRPr="000F79FB">
        <w:rPr>
          <w:i/>
        </w:rPr>
        <w:t xml:space="preserve">ealth </w:t>
      </w:r>
      <w:r>
        <w:rPr>
          <w:i/>
        </w:rPr>
        <w:t>A</w:t>
      </w:r>
      <w:r w:rsidRPr="000F79FB">
        <w:rPr>
          <w:i/>
        </w:rPr>
        <w:t xml:space="preserve">nalytics </w:t>
      </w:r>
      <w:r>
        <w:rPr>
          <w:i/>
        </w:rPr>
        <w:t>–</w:t>
      </w:r>
      <w:r w:rsidRPr="000F79FB">
        <w:rPr>
          <w:i/>
        </w:rPr>
        <w:t xml:space="preserve"> </w:t>
      </w:r>
      <w:r>
        <w:rPr>
          <w:i/>
        </w:rPr>
        <w:t>A</w:t>
      </w:r>
      <w:r w:rsidRPr="000F79FB">
        <w:rPr>
          <w:i/>
        </w:rPr>
        <w:t>ge standardisation</w:t>
      </w:r>
      <w:r w:rsidRPr="000F79FB">
        <w:t xml:space="preserve">. URL: </w:t>
      </w:r>
      <w:hyperlink r:id="rId96" w:history="1">
        <w:r w:rsidRPr="001C635A">
          <w:rPr>
            <w:rStyle w:val="Hyperlink"/>
          </w:rPr>
          <w:t>health.govt.nz/system/files/2018-11/position-paper-maori-health-analytics-age-standardisation-nov18_0.pdf</w:t>
        </w:r>
      </w:hyperlink>
      <w:r w:rsidRPr="000F79FB">
        <w:t xml:space="preserve"> (accessed </w:t>
      </w:r>
      <w:r>
        <w:t xml:space="preserve">11 November </w:t>
      </w:r>
      <w:r w:rsidRPr="000F79FB">
        <w:t>2025).</w:t>
      </w:r>
    </w:p>
    <w:p w14:paraId="1E3A247F" w14:textId="77777777" w:rsidR="004B12B6" w:rsidRDefault="004B12B6" w:rsidP="004B12B6">
      <w:pPr>
        <w:pStyle w:val="EndNoteBibliography"/>
      </w:pPr>
      <w:r w:rsidRPr="00B73800">
        <w:t xml:space="preserve">Ministry of Health. 2020. </w:t>
      </w:r>
      <w:r w:rsidRPr="00B73800">
        <w:rPr>
          <w:i/>
          <w:iCs/>
        </w:rPr>
        <w:t>Longer, Healthier Lives: New Zealand’s Health 1990–2017</w:t>
      </w:r>
      <w:r w:rsidRPr="00B73800">
        <w:t>. Wellington: Ministry of Health.</w:t>
      </w:r>
    </w:p>
    <w:p w14:paraId="31091BCD" w14:textId="77777777" w:rsidR="004B12B6" w:rsidRDefault="004B12B6" w:rsidP="004B12B6">
      <w:pPr>
        <w:pStyle w:val="EndNoteBibliography"/>
      </w:pPr>
      <w:r w:rsidRPr="000D619A">
        <w:t>Ministry of Health. 2024</w:t>
      </w:r>
      <w:r>
        <w:t>a</w:t>
      </w:r>
      <w:r w:rsidRPr="000D619A">
        <w:t xml:space="preserve">. </w:t>
      </w:r>
      <w:r w:rsidRPr="00685913">
        <w:rPr>
          <w:i/>
          <w:iCs/>
        </w:rPr>
        <w:t>Tatau Kahukura: Māori Health Chart Book 2024</w:t>
      </w:r>
      <w:r w:rsidRPr="000D619A">
        <w:t xml:space="preserve"> (4th edition). Wellington: Ministry of Health</w:t>
      </w:r>
      <w:r>
        <w:t>.</w:t>
      </w:r>
      <w:r w:rsidRPr="000D619A">
        <w:t xml:space="preserve"> </w:t>
      </w:r>
    </w:p>
    <w:p w14:paraId="4E637A9B" w14:textId="3AA9DA52" w:rsidR="004B12B6" w:rsidRDefault="004B12B6" w:rsidP="004B12B6">
      <w:pPr>
        <w:pStyle w:val="EndNoteBibliography"/>
      </w:pPr>
      <w:r w:rsidRPr="000F79FB">
        <w:t>Ministry of Health. 2024</w:t>
      </w:r>
      <w:r>
        <w:t>b</w:t>
      </w:r>
      <w:r w:rsidRPr="000F79FB">
        <w:t xml:space="preserve">. </w:t>
      </w:r>
      <w:r w:rsidRPr="004E400C">
        <w:rPr>
          <w:iCs/>
        </w:rPr>
        <w:t>Whakamaua: 2020–2025</w:t>
      </w:r>
      <w:r w:rsidRPr="008F4411">
        <w:rPr>
          <w:iCs/>
        </w:rPr>
        <w:t>.</w:t>
      </w:r>
      <w:r w:rsidRPr="000F79FB">
        <w:t xml:space="preserve"> URL: </w:t>
      </w:r>
      <w:hyperlink r:id="rId97" w:history="1">
        <w:r w:rsidRPr="001C635A">
          <w:rPr>
            <w:rStyle w:val="Hyperlink"/>
          </w:rPr>
          <w:t>minhealthnz.shinyapps.io/WhakamauaDashboard</w:t>
        </w:r>
      </w:hyperlink>
      <w:r w:rsidRPr="000F79FB">
        <w:t xml:space="preserve"> (accessed </w:t>
      </w:r>
      <w:r>
        <w:t xml:space="preserve">12 November </w:t>
      </w:r>
      <w:r w:rsidRPr="000F79FB">
        <w:t>2025).</w:t>
      </w:r>
    </w:p>
    <w:p w14:paraId="57499AD8" w14:textId="287A7E4F" w:rsidR="004B12B6" w:rsidRPr="000F79FB" w:rsidRDefault="004B12B6" w:rsidP="004B12B6">
      <w:pPr>
        <w:pStyle w:val="EndNoteBibliography"/>
      </w:pPr>
      <w:r>
        <w:t xml:space="preserve">Ministry of Health. 2025. Global Burden of Disease Māori Estimates Estimates. URL: </w:t>
      </w:r>
      <w:hyperlink r:id="rId98" w:history="1">
        <w:r w:rsidRPr="001C635A">
          <w:rPr>
            <w:rStyle w:val="Hyperlink"/>
          </w:rPr>
          <w:t>health.govt.nz/statistics-research/research/global-burden-of-disease-study/maori-years-of-life-lost-estimates</w:t>
        </w:r>
      </w:hyperlink>
      <w:r w:rsidRPr="00477C35" w:rsidDel="00477C35">
        <w:t xml:space="preserve"> </w:t>
      </w:r>
      <w:r>
        <w:t>(accessed 12 December 2025).</w:t>
      </w:r>
    </w:p>
    <w:p w14:paraId="7768BDD3" w14:textId="77777777" w:rsidR="004B12B6" w:rsidRPr="000F79FB" w:rsidRDefault="004B12B6" w:rsidP="004B12B6">
      <w:pPr>
        <w:pStyle w:val="EndNoteBibliography"/>
      </w:pPr>
      <w:r w:rsidRPr="000F79FB">
        <w:t xml:space="preserve">Naghavi M, Ong KL, Aali A, et al. 2024. Global burden of 288 causes of death and life expectancy decomposition in 204 countries and territories and 811 subnational locations, 1990–2021: a systematic analysis for the Global Burden of Disease Study 2021. </w:t>
      </w:r>
      <w:r w:rsidRPr="000F79FB">
        <w:rPr>
          <w:i/>
        </w:rPr>
        <w:t>The Lancet</w:t>
      </w:r>
      <w:r w:rsidRPr="000F79FB">
        <w:t xml:space="preserve"> 403(10440): 2100</w:t>
      </w:r>
      <w:r>
        <w:t>–</w:t>
      </w:r>
      <w:r w:rsidRPr="000F79FB">
        <w:t>32.</w:t>
      </w:r>
    </w:p>
    <w:p w14:paraId="2F212AF6" w14:textId="77777777" w:rsidR="004B12B6" w:rsidRPr="000F79FB" w:rsidRDefault="004B12B6" w:rsidP="004B12B6">
      <w:pPr>
        <w:pStyle w:val="EndNoteBibliography"/>
      </w:pPr>
      <w:r w:rsidRPr="000F79FB">
        <w:t xml:space="preserve">Schlotheuber A, Hosseinpoor AR. 2022. Summary measures of health inequality: A review of existing measures and their application. </w:t>
      </w:r>
      <w:r w:rsidRPr="000F79FB">
        <w:rPr>
          <w:i/>
        </w:rPr>
        <w:t>International Journal of Environmental Research and Public Health</w:t>
      </w:r>
      <w:r w:rsidRPr="000F79FB">
        <w:t xml:space="preserve"> 19(6): 3697.</w:t>
      </w:r>
    </w:p>
    <w:p w14:paraId="30E151D9" w14:textId="77777777" w:rsidR="004B12B6" w:rsidRPr="000F79FB" w:rsidRDefault="004B12B6" w:rsidP="004B12B6">
      <w:pPr>
        <w:pStyle w:val="EndNoteBibliography"/>
      </w:pPr>
      <w:r w:rsidRPr="000F79FB">
        <w:t xml:space="preserve">Schumacher AE, Kyu HH, Aali A, et al. 2024. Global age-sex-specific mortality, life expectancy, and population estimates in 204 countries and territories and 811 subnational locations, 1950–2021, and the impact of the COVID-19 pandemic: a comprehensive demographic analysis for the Global Burden of Disease Study 2021. </w:t>
      </w:r>
      <w:r w:rsidRPr="000F79FB">
        <w:rPr>
          <w:i/>
        </w:rPr>
        <w:t>The Lancet</w:t>
      </w:r>
      <w:r w:rsidRPr="000F79FB">
        <w:t xml:space="preserve"> 403(10440): 1989</w:t>
      </w:r>
      <w:r>
        <w:t>–</w:t>
      </w:r>
      <w:r w:rsidRPr="000F79FB">
        <w:t>2056.</w:t>
      </w:r>
    </w:p>
    <w:p w14:paraId="5EF23B2A" w14:textId="77777777" w:rsidR="004B12B6" w:rsidRPr="000F79FB" w:rsidRDefault="004B12B6" w:rsidP="004B12B6">
      <w:pPr>
        <w:pStyle w:val="EndNoteBibliography"/>
      </w:pPr>
      <w:r w:rsidRPr="000F79FB">
        <w:lastRenderedPageBreak/>
        <w:t xml:space="preserve">Sheridan N, Jansen RM, Harwood M, et al. 2024. Hauora Māori – Māori health: a right to equal outcomes in primary care. </w:t>
      </w:r>
      <w:r w:rsidRPr="000F79FB">
        <w:rPr>
          <w:i/>
        </w:rPr>
        <w:t>International Journal for Equity in Health</w:t>
      </w:r>
      <w:r w:rsidRPr="000F79FB">
        <w:t xml:space="preserve"> 23(1): 42.</w:t>
      </w:r>
    </w:p>
    <w:p w14:paraId="3116DFAD" w14:textId="77777777" w:rsidR="004B12B6" w:rsidRPr="000F79FB" w:rsidRDefault="004B12B6" w:rsidP="004B12B6">
      <w:pPr>
        <w:pStyle w:val="EndNoteBibliography"/>
      </w:pPr>
      <w:r w:rsidRPr="000F79FB">
        <w:t xml:space="preserve">Simmonds S, Robson B, Cram F, et al. 2015. Kaupapa Māori epidemiology. In L Pihama, S-J Tiakiwai, K Southey (ed), </w:t>
      </w:r>
      <w:r w:rsidRPr="000F79FB">
        <w:rPr>
          <w:i/>
        </w:rPr>
        <w:t>Kaupapa Rangahau: A Reader: A collection of readings from the Kaupapa Rangahau Workshop Series</w:t>
      </w:r>
      <w:r w:rsidRPr="000F79FB">
        <w:t xml:space="preserve"> (pp. 125</w:t>
      </w:r>
      <w:r>
        <w:t>–</w:t>
      </w:r>
      <w:r w:rsidRPr="000F79FB">
        <w:t>30). Hamilton: Te Kotahi Research Institute.</w:t>
      </w:r>
    </w:p>
    <w:p w14:paraId="0539B925" w14:textId="1CA7DF07" w:rsidR="004B12B6" w:rsidRDefault="004B12B6" w:rsidP="004B12B6">
      <w:pPr>
        <w:pStyle w:val="EndNoteBibliography"/>
      </w:pPr>
      <w:r w:rsidRPr="000F79FB">
        <w:t xml:space="preserve">Stats NZ. 2022. </w:t>
      </w:r>
      <w:r w:rsidRPr="000F79FB">
        <w:rPr>
          <w:i/>
        </w:rPr>
        <w:t>National ethnic population projections: 2018(base)–2043 (update)</w:t>
      </w:r>
      <w:r w:rsidRPr="000F79FB">
        <w:t xml:space="preserve">. URL: </w:t>
      </w:r>
      <w:hyperlink r:id="rId99" w:history="1">
        <w:r w:rsidRPr="001C635A">
          <w:rPr>
            <w:rStyle w:val="Hyperlink"/>
          </w:rPr>
          <w:t>stats.govt.nz/information-releases/national-ethnic-population-projections-2018base2043-update</w:t>
        </w:r>
      </w:hyperlink>
      <w:r w:rsidRPr="000F79FB">
        <w:t xml:space="preserve"> (accessed </w:t>
      </w:r>
      <w:r>
        <w:t xml:space="preserve">12 November </w:t>
      </w:r>
      <w:r w:rsidRPr="000F79FB">
        <w:t>2025).</w:t>
      </w:r>
    </w:p>
    <w:p w14:paraId="630605E6" w14:textId="5DBA5F07" w:rsidR="004B12B6" w:rsidRPr="000F79FB" w:rsidRDefault="004B12B6" w:rsidP="004B12B6">
      <w:pPr>
        <w:pStyle w:val="EndNoteBibliography"/>
      </w:pPr>
      <w:r>
        <w:t xml:space="preserve">Stroke Foundation of New Zealand. 2025. </w:t>
      </w:r>
      <w:r w:rsidRPr="000340C7">
        <w:t>What Is a Stroke?</w:t>
      </w:r>
      <w:r>
        <w:t xml:space="preserve"> URL: </w:t>
      </w:r>
      <w:hyperlink r:id="rId100" w:history="1">
        <w:r w:rsidRPr="001C635A">
          <w:rPr>
            <w:rStyle w:val="Hyperlink"/>
          </w:rPr>
          <w:t>stroke.org.nz/understanding-stroke/what-is-a-stroke</w:t>
        </w:r>
      </w:hyperlink>
      <w:r>
        <w:t xml:space="preserve"> (accessed 17 November 2025).</w:t>
      </w:r>
    </w:p>
    <w:p w14:paraId="6E8F24EC" w14:textId="77777777" w:rsidR="004B12B6" w:rsidRPr="000F79FB" w:rsidRDefault="004B12B6" w:rsidP="004B12B6">
      <w:pPr>
        <w:pStyle w:val="EndNoteBibliography"/>
      </w:pPr>
      <w:r w:rsidRPr="000F79FB">
        <w:t>Tan L, Blakely T, Atkinson J. 2010. Ethnic counts on mortality and census data 2001</w:t>
      </w:r>
      <w:r>
        <w:t>–</w:t>
      </w:r>
      <w:r w:rsidRPr="000F79FB">
        <w:t xml:space="preserve">06: New Zealand census-mortality study update. </w:t>
      </w:r>
      <w:r w:rsidRPr="000F79FB">
        <w:rPr>
          <w:i/>
        </w:rPr>
        <w:t>N</w:t>
      </w:r>
      <w:r>
        <w:rPr>
          <w:i/>
        </w:rPr>
        <w:t>ew</w:t>
      </w:r>
      <w:r w:rsidRPr="000F79FB">
        <w:rPr>
          <w:i/>
        </w:rPr>
        <w:t xml:space="preserve"> Z</w:t>
      </w:r>
      <w:r>
        <w:rPr>
          <w:i/>
        </w:rPr>
        <w:t>ealand</w:t>
      </w:r>
      <w:r w:rsidRPr="000F79FB">
        <w:rPr>
          <w:i/>
        </w:rPr>
        <w:t xml:space="preserve"> Med</w:t>
      </w:r>
      <w:r>
        <w:rPr>
          <w:i/>
        </w:rPr>
        <w:t>ical</w:t>
      </w:r>
      <w:r w:rsidRPr="000F79FB">
        <w:rPr>
          <w:i/>
        </w:rPr>
        <w:t xml:space="preserve"> J</w:t>
      </w:r>
      <w:r>
        <w:rPr>
          <w:i/>
        </w:rPr>
        <w:t>ournal</w:t>
      </w:r>
      <w:r w:rsidRPr="000F79FB">
        <w:t xml:space="preserve"> 123(1320): 37</w:t>
      </w:r>
      <w:r>
        <w:t>–</w:t>
      </w:r>
      <w:r w:rsidRPr="000F79FB">
        <w:t>44.</w:t>
      </w:r>
    </w:p>
    <w:p w14:paraId="7CA28E51" w14:textId="77777777" w:rsidR="004B12B6" w:rsidRPr="000F79FB" w:rsidRDefault="004B12B6" w:rsidP="004B12B6">
      <w:pPr>
        <w:pStyle w:val="EndNoteBibliography"/>
      </w:pPr>
      <w:r w:rsidRPr="000F79FB">
        <w:t xml:space="preserve">Wheldon MC, Raftery AE, Clark SJ, et al. 2013. Reconstructing past populations with uncertainty from fragmentary data. </w:t>
      </w:r>
      <w:r w:rsidRPr="000F79FB">
        <w:rPr>
          <w:i/>
        </w:rPr>
        <w:t>Journal of the American Statistical Association</w:t>
      </w:r>
      <w:r w:rsidRPr="000F79FB">
        <w:t xml:space="preserve"> 108(501): 96</w:t>
      </w:r>
      <w:r>
        <w:t>–</w:t>
      </w:r>
      <w:r w:rsidRPr="000F79FB">
        <w:t>110.</w:t>
      </w:r>
    </w:p>
    <w:p w14:paraId="7EF8C6EB" w14:textId="5421D2E9" w:rsidR="004B12B6" w:rsidRDefault="004B12B6" w:rsidP="004B12B6">
      <w:pPr>
        <w:rPr>
          <w:rFonts w:cs="Segoe UI"/>
        </w:rPr>
      </w:pPr>
      <w:r>
        <w:rPr>
          <w:rFonts w:cs="Segoe UI"/>
        </w:rPr>
        <w:t>WHO. 2024.</w:t>
      </w:r>
      <w:r w:rsidDel="00743566">
        <w:rPr>
          <w:rFonts w:cs="Segoe UI"/>
        </w:rPr>
        <w:t xml:space="preserve"> </w:t>
      </w:r>
      <w:r w:rsidRPr="003B26F8">
        <w:rPr>
          <w:rFonts w:cs="Segoe UI"/>
        </w:rPr>
        <w:t>Chronic Obstructive Pulmonary Disease (COPD</w:t>
      </w:r>
      <w:r>
        <w:rPr>
          <w:rFonts w:cs="Segoe UI"/>
        </w:rPr>
        <w:t xml:space="preserve">). URL: </w:t>
      </w:r>
      <w:hyperlink r:id="rId101" w:history="1">
        <w:r w:rsidRPr="001C635A">
          <w:rPr>
            <w:rStyle w:val="Hyperlink"/>
            <w:rFonts w:cs="Segoe UI"/>
          </w:rPr>
          <w:t>who.int/news-room/fact-sheets/detail/chronic-obstructive-pulmonary-disease-(copd)</w:t>
        </w:r>
      </w:hyperlink>
      <w:r>
        <w:rPr>
          <w:rFonts w:cs="Segoe UI"/>
        </w:rPr>
        <w:t xml:space="preserve"> (accessed 12 November 2025).</w:t>
      </w:r>
    </w:p>
    <w:p w14:paraId="141EF177" w14:textId="77777777" w:rsidR="00BF0A3F" w:rsidRPr="00EA17ED" w:rsidRDefault="00BF0A3F" w:rsidP="0007695A"/>
    <w:p w14:paraId="022223CC" w14:textId="44073A7A" w:rsidR="00BF0A3F" w:rsidRPr="00EA17ED" w:rsidRDefault="00BF0A3F" w:rsidP="001C635A">
      <w:pPr>
        <w:rPr>
          <w:rFonts w:eastAsiaTheme="majorEastAsia"/>
        </w:rPr>
      </w:pPr>
      <w:bookmarkStart w:id="279" w:name="_Toc187999541"/>
      <w:bookmarkEnd w:id="279"/>
    </w:p>
    <w:sectPr w:rsidR="00BF0A3F" w:rsidRPr="00EA17ED" w:rsidSect="001C635A">
      <w:headerReference w:type="default" r:id="rId102"/>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207B7" w14:textId="77777777" w:rsidR="009E27C3" w:rsidRDefault="009E27C3">
      <w:r>
        <w:separator/>
      </w:r>
    </w:p>
    <w:p w14:paraId="7C2EB525" w14:textId="77777777" w:rsidR="009E27C3" w:rsidRDefault="009E27C3"/>
  </w:endnote>
  <w:endnote w:type="continuationSeparator" w:id="0">
    <w:p w14:paraId="35E2E985" w14:textId="77777777" w:rsidR="009E27C3" w:rsidRDefault="009E27C3">
      <w:r>
        <w:continuationSeparator/>
      </w:r>
    </w:p>
    <w:p w14:paraId="5D2555B4" w14:textId="77777777" w:rsidR="009E27C3" w:rsidRDefault="009E27C3"/>
  </w:endnote>
  <w:endnote w:type="continuationNotice" w:id="1">
    <w:p w14:paraId="7E8E5180" w14:textId="77777777" w:rsidR="009E27C3" w:rsidRDefault="009E2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8357" w14:textId="5F4733B7" w:rsidR="005A79E5" w:rsidRPr="00581136" w:rsidRDefault="005A79E5" w:rsidP="005A79E5">
    <w:pPr>
      <w:pStyle w:val="Footer"/>
      <w:pBdr>
        <w:bottom w:val="single" w:sz="4" w:space="1" w:color="auto"/>
      </w:pBdr>
      <w:tabs>
        <w:tab w:val="right" w:pos="9639"/>
      </w:tabs>
      <w:rPr>
        <w:b/>
      </w:rPr>
    </w:pPr>
    <w:r w:rsidRPr="00581136">
      <w:rPr>
        <w:b/>
      </w:rPr>
      <w:t>Released 20</w:t>
    </w:r>
    <w:r w:rsidR="00651CC6">
      <w:rPr>
        <w:b/>
      </w:rPr>
      <w:t>2</w:t>
    </w:r>
    <w:r w:rsidR="00061F98">
      <w:rPr>
        <w:b/>
      </w:rPr>
      <w:t>5</w:t>
    </w:r>
    <w:r w:rsidRPr="00581136">
      <w:rPr>
        <w:b/>
      </w:rPr>
      <w:tab/>
      <w:t>health.govt.nz</w:t>
    </w:r>
  </w:p>
  <w:p w14:paraId="524869F6" w14:textId="77777777" w:rsidR="005A79E5" w:rsidRPr="005A79E5" w:rsidRDefault="005A79E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567C8E1D" w:rsidR="00D662F8" w:rsidRDefault="008D55BA" w:rsidP="00926083">
          <w:pPr>
            <w:pStyle w:val="RectoFooter"/>
            <w:jc w:val="left"/>
          </w:pPr>
          <w:r w:rsidRPr="00EA3C47">
            <w:t>Māori Years of Life Lost: Estimates from the Global Burden of Disease Study, 2021</w:t>
          </w:r>
        </w:p>
      </w:tc>
    </w:tr>
  </w:tbl>
  <w:p w14:paraId="711B5D80"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1AF2F035" w:rsidR="00D662F8" w:rsidRDefault="00EA3C47" w:rsidP="00926083">
          <w:pPr>
            <w:pStyle w:val="RectoFooter"/>
          </w:pPr>
          <w:r w:rsidRPr="00EA3C47">
            <w:t>Māori Years of Life Lost: Estimates from the Global Burden of Disease Study, 2021</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7DB74E0B" w14:textId="77777777" w:rsidTr="00D662F8">
      <w:trPr>
        <w:cantSplit/>
      </w:trPr>
      <w:tc>
        <w:tcPr>
          <w:tcW w:w="709" w:type="dxa"/>
          <w:vAlign w:val="center"/>
        </w:tcPr>
        <w:p w14:paraId="7FB9EB7B"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viii</w:t>
          </w:r>
          <w:r w:rsidRPr="00931466">
            <w:rPr>
              <w:rStyle w:val="PageNumber"/>
            </w:rPr>
            <w:fldChar w:fldCharType="end"/>
          </w:r>
        </w:p>
      </w:tc>
      <w:tc>
        <w:tcPr>
          <w:tcW w:w="8080" w:type="dxa"/>
          <w:vAlign w:val="center"/>
        </w:tcPr>
        <w:p w14:paraId="1A8BBBFB" w14:textId="29A55A6C" w:rsidR="00D662F8" w:rsidRDefault="00EA3C47" w:rsidP="00926083">
          <w:pPr>
            <w:pStyle w:val="RectoFooter"/>
            <w:jc w:val="left"/>
          </w:pPr>
          <w:r w:rsidRPr="00EA3C47">
            <w:t xml:space="preserve">Māori Years of Life Lost: Estimates from the Global Burden of Disease Study, 2021 </w:t>
          </w:r>
        </w:p>
      </w:tc>
    </w:tr>
  </w:tbl>
  <w:p w14:paraId="7C39EF3C"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423138CB" w14:textId="77777777" w:rsidTr="00D662F8">
      <w:trPr>
        <w:cantSplit/>
      </w:trPr>
      <w:tc>
        <w:tcPr>
          <w:tcW w:w="8080" w:type="dxa"/>
          <w:vAlign w:val="center"/>
        </w:tcPr>
        <w:p w14:paraId="520A68A6" w14:textId="47435362" w:rsidR="00D662F8" w:rsidRDefault="00EA3C47" w:rsidP="00926083">
          <w:pPr>
            <w:pStyle w:val="RectoFooter"/>
          </w:pPr>
          <w:r w:rsidRPr="00EA3C47">
            <w:t>Māori Years of Life Lost: Estimates from the Global Burden of Disease Study, 2021</w:t>
          </w:r>
        </w:p>
      </w:tc>
      <w:tc>
        <w:tcPr>
          <w:tcW w:w="709" w:type="dxa"/>
          <w:vAlign w:val="center"/>
        </w:tcPr>
        <w:p w14:paraId="745D812B"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vii</w:t>
          </w:r>
          <w:r w:rsidRPr="00931466">
            <w:rPr>
              <w:rStyle w:val="PageNumber"/>
            </w:rPr>
            <w:fldChar w:fldCharType="end"/>
          </w:r>
        </w:p>
      </w:tc>
    </w:tr>
  </w:tbl>
  <w:p w14:paraId="755CAC6B" w14:textId="77777777" w:rsidR="00D05D74" w:rsidRPr="00581EB8" w:rsidRDefault="00D05D7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4BB84" w14:textId="77777777" w:rsidR="009E27C3" w:rsidRPr="00A26E6B" w:rsidRDefault="009E27C3" w:rsidP="00A26E6B"/>
  </w:footnote>
  <w:footnote w:type="continuationSeparator" w:id="0">
    <w:p w14:paraId="5E4106A3" w14:textId="77777777" w:rsidR="009E27C3" w:rsidRDefault="009E27C3">
      <w:r>
        <w:continuationSeparator/>
      </w:r>
    </w:p>
    <w:p w14:paraId="7FA87294" w14:textId="77777777" w:rsidR="009E27C3" w:rsidRDefault="009E27C3"/>
  </w:footnote>
  <w:footnote w:type="continuationNotice" w:id="1">
    <w:p w14:paraId="53E2248C" w14:textId="77777777" w:rsidR="009E27C3" w:rsidRDefault="009E27C3"/>
  </w:footnote>
  <w:footnote w:id="2">
    <w:p w14:paraId="568F1864" w14:textId="77777777" w:rsidR="00EA3C47" w:rsidRPr="003C27C7" w:rsidRDefault="00EA3C47" w:rsidP="00EA3C47">
      <w:pPr>
        <w:pStyle w:val="FootnoteText"/>
        <w:rPr>
          <w:lang w:val="mi-NZ"/>
        </w:rPr>
      </w:pPr>
      <w:r>
        <w:rPr>
          <w:rStyle w:val="FootnoteReference"/>
        </w:rPr>
        <w:footnoteRef/>
      </w:r>
      <w:r>
        <w:t xml:space="preserve"> </w:t>
      </w:r>
      <w:r w:rsidRPr="003C27C7">
        <w:rPr>
          <w:rFonts w:cs="Segoe UI"/>
          <w:sz w:val="18"/>
          <w:szCs w:val="18"/>
        </w:rPr>
        <w:t>The descriptions are based on groupings from the relevant International Classification of Diseases (ICD 10th edition) codes.</w:t>
      </w:r>
    </w:p>
  </w:footnote>
  <w:footnote w:id="3">
    <w:p w14:paraId="5B243DE0" w14:textId="77777777" w:rsidR="00E2631E" w:rsidRPr="00A22460" w:rsidRDefault="00E2631E" w:rsidP="00E2631E">
      <w:pPr>
        <w:pStyle w:val="FootnoteText"/>
        <w:rPr>
          <w:lang w:val="mi-NZ"/>
        </w:rPr>
      </w:pPr>
      <w:r>
        <w:rPr>
          <w:rStyle w:val="FootnoteReference"/>
        </w:rPr>
        <w:footnoteRef/>
      </w:r>
      <w:r>
        <w:t xml:space="preserve"> </w:t>
      </w:r>
      <w:r w:rsidRPr="007B7246">
        <w:t xml:space="preserve">Communicable, maternal, neonatal and nutritional diseases are combined into a level 1 category in the GBD study due to shared characteristics including </w:t>
      </w:r>
      <w:r>
        <w:t xml:space="preserve">their </w:t>
      </w:r>
      <w:r w:rsidRPr="007B7246">
        <w:t>increased prevalence in low</w:t>
      </w:r>
      <w:r>
        <w:t>-</w:t>
      </w:r>
      <w:r w:rsidRPr="007B7246">
        <w:t xml:space="preserve"> to middle</w:t>
      </w:r>
      <w:r>
        <w:t>-</w:t>
      </w:r>
      <w:r w:rsidRPr="007B7246">
        <w:t xml:space="preserve">income countries, </w:t>
      </w:r>
      <w:r>
        <w:t xml:space="preserve">their </w:t>
      </w:r>
      <w:r w:rsidRPr="007B7246">
        <w:t xml:space="preserve">being preventable and treatable through </w:t>
      </w:r>
      <w:r>
        <w:t>p</w:t>
      </w:r>
      <w:r w:rsidRPr="007B7246">
        <w:t xml:space="preserve">ublic </w:t>
      </w:r>
      <w:r>
        <w:t>h</w:t>
      </w:r>
      <w:r w:rsidRPr="007B7246">
        <w:t>ealth interventions</w:t>
      </w:r>
      <w:r>
        <w:t>, and overlaps and interactions between the conditions (</w:t>
      </w:r>
      <w:r>
        <w:rPr>
          <w:noProof/>
        </w:rPr>
        <w:t xml:space="preserve">Global Health Metrics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5A79E5" w14:paraId="11530A0D" w14:textId="77777777" w:rsidTr="008F2B72">
      <w:trPr>
        <w:cantSplit/>
      </w:trPr>
      <w:tc>
        <w:tcPr>
          <w:tcW w:w="5210" w:type="dxa"/>
          <w:vAlign w:val="center"/>
        </w:tcPr>
        <w:p w14:paraId="2BDE3162" w14:textId="4E67EED4" w:rsidR="005A79E5" w:rsidRDefault="00B26F0F" w:rsidP="00B26F0F">
          <w:pPr>
            <w:pStyle w:val="Header"/>
          </w:pPr>
          <w:r>
            <w:rPr>
              <w:noProof/>
              <w:lang w:eastAsia="en-NZ"/>
            </w:rPr>
            <w:drawing>
              <wp:inline distT="0" distB="0" distL="0" distR="0" wp14:anchorId="04421456" wp14:editId="7612C822">
                <wp:extent cx="2294626" cy="542925"/>
                <wp:effectExtent l="0" t="0" r="0" b="0"/>
                <wp:docPr id="214215202" name="Picture 21421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5A79E5" w:rsidRDefault="008F2B72">
          <w:pPr>
            <w:pStyle w:val="Header"/>
            <w:jc w:val="right"/>
          </w:pPr>
          <w:r>
            <w:rPr>
              <w:noProof/>
            </w:rPr>
            <w:drawing>
              <wp:anchor distT="0" distB="0" distL="114300" distR="114300" simplePos="0" relativeHeight="251658240" behindDoc="0" locked="0" layoutInCell="1" allowOverlap="1" wp14:anchorId="1D75C094" wp14:editId="46D41AAF">
                <wp:simplePos x="0" y="0"/>
                <wp:positionH relativeFrom="column">
                  <wp:posOffset>1365885</wp:posOffset>
                </wp:positionH>
                <wp:positionV relativeFrom="paragraph">
                  <wp:posOffset>-2540</wp:posOffset>
                </wp:positionV>
                <wp:extent cx="1518285" cy="718185"/>
                <wp:effectExtent l="0" t="0" r="0" b="0"/>
                <wp:wrapNone/>
                <wp:docPr id="79035748" name="Picture 790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5665FD" w:rsidRDefault="0056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22E4F" w14:textId="77777777" w:rsidR="00E42F5D" w:rsidRDefault="00E42F5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17B0" w14:textId="77777777" w:rsidR="00660F74" w:rsidRDefault="00660F7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EC00" w14:textId="77777777" w:rsidR="00926083" w:rsidRDefault="00926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0367D1B"/>
    <w:multiLevelType w:val="hybridMultilevel"/>
    <w:tmpl w:val="AE6A9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893B2F"/>
    <w:multiLevelType w:val="hybridMultilevel"/>
    <w:tmpl w:val="807C7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C1218D3"/>
    <w:multiLevelType w:val="singleLevel"/>
    <w:tmpl w:val="B224B1E2"/>
    <w:lvl w:ilvl="0">
      <w:start w:val="1"/>
      <w:numFmt w:val="bullet"/>
      <w:lvlText w:val=""/>
      <w:lvlJc w:val="left"/>
      <w:pPr>
        <w:tabs>
          <w:tab w:val="num" w:pos="284"/>
        </w:tabs>
        <w:ind w:left="284" w:hanging="284"/>
      </w:pPr>
      <w:rPr>
        <w:rFonts w:ascii="Symbol" w:hAnsi="Symbol" w:hint="default"/>
        <w:sz w:val="18"/>
      </w:rPr>
    </w:lvl>
  </w:abstractNum>
  <w:num w:numId="1" w16cid:durableId="1510607381">
    <w:abstractNumId w:val="6"/>
  </w:num>
  <w:num w:numId="2" w16cid:durableId="72776646">
    <w:abstractNumId w:val="3"/>
  </w:num>
  <w:num w:numId="3" w16cid:durableId="1477456725">
    <w:abstractNumId w:val="4"/>
  </w:num>
  <w:num w:numId="4" w16cid:durableId="1664773935">
    <w:abstractNumId w:val="0"/>
  </w:num>
  <w:num w:numId="5" w16cid:durableId="497965942">
    <w:abstractNumId w:val="2"/>
  </w:num>
  <w:num w:numId="6" w16cid:durableId="819544290">
    <w:abstractNumId w:val="5"/>
  </w:num>
  <w:num w:numId="7" w16cid:durableId="119276761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3E96"/>
    <w:rsid w:val="00005BB5"/>
    <w:rsid w:val="00015F5E"/>
    <w:rsid w:val="00021822"/>
    <w:rsid w:val="00025A6F"/>
    <w:rsid w:val="0002618D"/>
    <w:rsid w:val="00030B26"/>
    <w:rsid w:val="00030E84"/>
    <w:rsid w:val="00032C0A"/>
    <w:rsid w:val="00035257"/>
    <w:rsid w:val="00035D68"/>
    <w:rsid w:val="00054B44"/>
    <w:rsid w:val="00055B69"/>
    <w:rsid w:val="00061F98"/>
    <w:rsid w:val="0006228D"/>
    <w:rsid w:val="00065779"/>
    <w:rsid w:val="000705CF"/>
    <w:rsid w:val="00072BD6"/>
    <w:rsid w:val="00073B12"/>
    <w:rsid w:val="00075B78"/>
    <w:rsid w:val="000763E9"/>
    <w:rsid w:val="0007695A"/>
    <w:rsid w:val="00082CD6"/>
    <w:rsid w:val="00083FB7"/>
    <w:rsid w:val="0008437D"/>
    <w:rsid w:val="00085AFE"/>
    <w:rsid w:val="00090548"/>
    <w:rsid w:val="00094800"/>
    <w:rsid w:val="000956D5"/>
    <w:rsid w:val="000A3CAB"/>
    <w:rsid w:val="000A41ED"/>
    <w:rsid w:val="000B0730"/>
    <w:rsid w:val="000D19F4"/>
    <w:rsid w:val="000D58DD"/>
    <w:rsid w:val="000D62A4"/>
    <w:rsid w:val="000E5910"/>
    <w:rsid w:val="000E725A"/>
    <w:rsid w:val="000E74C8"/>
    <w:rsid w:val="000F173B"/>
    <w:rsid w:val="000F2AE2"/>
    <w:rsid w:val="000F2BFF"/>
    <w:rsid w:val="00102063"/>
    <w:rsid w:val="0010541C"/>
    <w:rsid w:val="00106F93"/>
    <w:rsid w:val="00111D50"/>
    <w:rsid w:val="00113B8E"/>
    <w:rsid w:val="00115CB9"/>
    <w:rsid w:val="0012053C"/>
    <w:rsid w:val="00122363"/>
    <w:rsid w:val="001342C7"/>
    <w:rsid w:val="00134BF4"/>
    <w:rsid w:val="0013585C"/>
    <w:rsid w:val="00142261"/>
    <w:rsid w:val="00142954"/>
    <w:rsid w:val="001460E0"/>
    <w:rsid w:val="001472F0"/>
    <w:rsid w:val="00147F71"/>
    <w:rsid w:val="00150A6E"/>
    <w:rsid w:val="00155A8C"/>
    <w:rsid w:val="0016304B"/>
    <w:rsid w:val="00163749"/>
    <w:rsid w:val="00164167"/>
    <w:rsid w:val="0016468A"/>
    <w:rsid w:val="00171400"/>
    <w:rsid w:val="0018662D"/>
    <w:rsid w:val="00197427"/>
    <w:rsid w:val="001A21B4"/>
    <w:rsid w:val="001A5CF5"/>
    <w:rsid w:val="001B39D2"/>
    <w:rsid w:val="001B4BF8"/>
    <w:rsid w:val="001B6CB9"/>
    <w:rsid w:val="001C4326"/>
    <w:rsid w:val="001C5D2D"/>
    <w:rsid w:val="001C635A"/>
    <w:rsid w:val="001C665E"/>
    <w:rsid w:val="001D0C32"/>
    <w:rsid w:val="001D3541"/>
    <w:rsid w:val="001D3E4E"/>
    <w:rsid w:val="001D4A9B"/>
    <w:rsid w:val="001E254A"/>
    <w:rsid w:val="001E7386"/>
    <w:rsid w:val="001F2145"/>
    <w:rsid w:val="001F45A7"/>
    <w:rsid w:val="001F7C3F"/>
    <w:rsid w:val="00200544"/>
    <w:rsid w:val="00201A01"/>
    <w:rsid w:val="002056EB"/>
    <w:rsid w:val="0020754B"/>
    <w:rsid w:val="002104D3"/>
    <w:rsid w:val="00213485"/>
    <w:rsid w:val="00213A33"/>
    <w:rsid w:val="0021763B"/>
    <w:rsid w:val="00223421"/>
    <w:rsid w:val="002316BA"/>
    <w:rsid w:val="0024622B"/>
    <w:rsid w:val="00246DB1"/>
    <w:rsid w:val="002476B5"/>
    <w:rsid w:val="002520CC"/>
    <w:rsid w:val="00253ECF"/>
    <w:rsid w:val="002546A1"/>
    <w:rsid w:val="00255E3E"/>
    <w:rsid w:val="00256A6C"/>
    <w:rsid w:val="002628F4"/>
    <w:rsid w:val="002652DD"/>
    <w:rsid w:val="0026596B"/>
    <w:rsid w:val="00272A0B"/>
    <w:rsid w:val="00275D08"/>
    <w:rsid w:val="00281280"/>
    <w:rsid w:val="002858E3"/>
    <w:rsid w:val="00286A2A"/>
    <w:rsid w:val="0029190A"/>
    <w:rsid w:val="00292C5A"/>
    <w:rsid w:val="002947D6"/>
    <w:rsid w:val="00295241"/>
    <w:rsid w:val="00297BCA"/>
    <w:rsid w:val="002A4DFC"/>
    <w:rsid w:val="002B047D"/>
    <w:rsid w:val="002B732B"/>
    <w:rsid w:val="002B76A7"/>
    <w:rsid w:val="002C2219"/>
    <w:rsid w:val="002C2552"/>
    <w:rsid w:val="002C380A"/>
    <w:rsid w:val="002D0DF2"/>
    <w:rsid w:val="002D23BD"/>
    <w:rsid w:val="002E0B47"/>
    <w:rsid w:val="002E4339"/>
    <w:rsid w:val="002F4685"/>
    <w:rsid w:val="002F7213"/>
    <w:rsid w:val="003016B6"/>
    <w:rsid w:val="0030382F"/>
    <w:rsid w:val="0030408D"/>
    <w:rsid w:val="003060E4"/>
    <w:rsid w:val="0031593E"/>
    <w:rsid w:val="003160E7"/>
    <w:rsid w:val="0031739E"/>
    <w:rsid w:val="00326272"/>
    <w:rsid w:val="003309CA"/>
    <w:rsid w:val="003325AB"/>
    <w:rsid w:val="003332D1"/>
    <w:rsid w:val="0033412B"/>
    <w:rsid w:val="00341161"/>
    <w:rsid w:val="00342BAD"/>
    <w:rsid w:val="00343365"/>
    <w:rsid w:val="003445F4"/>
    <w:rsid w:val="00353501"/>
    <w:rsid w:val="00353734"/>
    <w:rsid w:val="003606F8"/>
    <w:rsid w:val="0036368E"/>
    <w:rsid w:val="003648EF"/>
    <w:rsid w:val="003673E6"/>
    <w:rsid w:val="00377264"/>
    <w:rsid w:val="003779D2"/>
    <w:rsid w:val="00381EED"/>
    <w:rsid w:val="00385E38"/>
    <w:rsid w:val="003A26A5"/>
    <w:rsid w:val="003A2E16"/>
    <w:rsid w:val="003A3761"/>
    <w:rsid w:val="003A512D"/>
    <w:rsid w:val="003A5FEA"/>
    <w:rsid w:val="003A63FA"/>
    <w:rsid w:val="003B1D10"/>
    <w:rsid w:val="003C76D4"/>
    <w:rsid w:val="003D137D"/>
    <w:rsid w:val="003D2CC5"/>
    <w:rsid w:val="003D3DCF"/>
    <w:rsid w:val="003D7765"/>
    <w:rsid w:val="003E04C1"/>
    <w:rsid w:val="003E0887"/>
    <w:rsid w:val="003E74C8"/>
    <w:rsid w:val="003E7C46"/>
    <w:rsid w:val="003F07B7"/>
    <w:rsid w:val="003F2106"/>
    <w:rsid w:val="003F52A7"/>
    <w:rsid w:val="003F7013"/>
    <w:rsid w:val="003F7EF7"/>
    <w:rsid w:val="0040240C"/>
    <w:rsid w:val="00404612"/>
    <w:rsid w:val="00407FBB"/>
    <w:rsid w:val="00413021"/>
    <w:rsid w:val="004301C6"/>
    <w:rsid w:val="0043478F"/>
    <w:rsid w:val="0043602B"/>
    <w:rsid w:val="00440BE0"/>
    <w:rsid w:val="00442C1C"/>
    <w:rsid w:val="0044584B"/>
    <w:rsid w:val="00447CB7"/>
    <w:rsid w:val="0045355F"/>
    <w:rsid w:val="00455CC9"/>
    <w:rsid w:val="00460826"/>
    <w:rsid w:val="00460EA7"/>
    <w:rsid w:val="0046195B"/>
    <w:rsid w:val="0046362D"/>
    <w:rsid w:val="0046596D"/>
    <w:rsid w:val="00470677"/>
    <w:rsid w:val="00487C04"/>
    <w:rsid w:val="004907E1"/>
    <w:rsid w:val="004A035B"/>
    <w:rsid w:val="004A2108"/>
    <w:rsid w:val="004A38D7"/>
    <w:rsid w:val="004A778C"/>
    <w:rsid w:val="004B12B6"/>
    <w:rsid w:val="004B43AB"/>
    <w:rsid w:val="004B48C7"/>
    <w:rsid w:val="004C2E6A"/>
    <w:rsid w:val="004C64B8"/>
    <w:rsid w:val="004D12B6"/>
    <w:rsid w:val="004D2A2D"/>
    <w:rsid w:val="004D479F"/>
    <w:rsid w:val="004D6689"/>
    <w:rsid w:val="004D6D28"/>
    <w:rsid w:val="004E0225"/>
    <w:rsid w:val="004E1D1D"/>
    <w:rsid w:val="004E7AC8"/>
    <w:rsid w:val="004F0C94"/>
    <w:rsid w:val="004F6C85"/>
    <w:rsid w:val="005019AE"/>
    <w:rsid w:val="00503749"/>
    <w:rsid w:val="00504CF4"/>
    <w:rsid w:val="0050635B"/>
    <w:rsid w:val="005151C2"/>
    <w:rsid w:val="00523060"/>
    <w:rsid w:val="0052323B"/>
    <w:rsid w:val="0053199F"/>
    <w:rsid w:val="00531E12"/>
    <w:rsid w:val="00533B90"/>
    <w:rsid w:val="005410F8"/>
    <w:rsid w:val="005448EC"/>
    <w:rsid w:val="00545963"/>
    <w:rsid w:val="00550256"/>
    <w:rsid w:val="00553165"/>
    <w:rsid w:val="00553958"/>
    <w:rsid w:val="00553FC2"/>
    <w:rsid w:val="00556BB7"/>
    <w:rsid w:val="0055763D"/>
    <w:rsid w:val="00561516"/>
    <w:rsid w:val="005621F2"/>
    <w:rsid w:val="0056291C"/>
    <w:rsid w:val="005665FD"/>
    <w:rsid w:val="00567B58"/>
    <w:rsid w:val="00571223"/>
    <w:rsid w:val="00573A1E"/>
    <w:rsid w:val="005763E0"/>
    <w:rsid w:val="00581136"/>
    <w:rsid w:val="00581EB8"/>
    <w:rsid w:val="0058469C"/>
    <w:rsid w:val="005A27CA"/>
    <w:rsid w:val="005A43BD"/>
    <w:rsid w:val="005A6874"/>
    <w:rsid w:val="005A79E5"/>
    <w:rsid w:val="005D034C"/>
    <w:rsid w:val="005E226E"/>
    <w:rsid w:val="005E2636"/>
    <w:rsid w:val="005F34D4"/>
    <w:rsid w:val="005F44C2"/>
    <w:rsid w:val="005F77FC"/>
    <w:rsid w:val="006015D7"/>
    <w:rsid w:val="00601B21"/>
    <w:rsid w:val="006041F0"/>
    <w:rsid w:val="0060557F"/>
    <w:rsid w:val="00605C6D"/>
    <w:rsid w:val="006120CA"/>
    <w:rsid w:val="006123A8"/>
    <w:rsid w:val="00624174"/>
    <w:rsid w:val="006242A5"/>
    <w:rsid w:val="00626CF8"/>
    <w:rsid w:val="006314AF"/>
    <w:rsid w:val="00634ED8"/>
    <w:rsid w:val="00636D7D"/>
    <w:rsid w:val="00637408"/>
    <w:rsid w:val="00641D5E"/>
    <w:rsid w:val="00642868"/>
    <w:rsid w:val="00647AFE"/>
    <w:rsid w:val="006512BC"/>
    <w:rsid w:val="00651CC6"/>
    <w:rsid w:val="00653A5A"/>
    <w:rsid w:val="006554AC"/>
    <w:rsid w:val="006556D0"/>
    <w:rsid w:val="00655DC2"/>
    <w:rsid w:val="006575F4"/>
    <w:rsid w:val="006579E6"/>
    <w:rsid w:val="00660682"/>
    <w:rsid w:val="00660F74"/>
    <w:rsid w:val="00661595"/>
    <w:rsid w:val="0066297A"/>
    <w:rsid w:val="00663EDC"/>
    <w:rsid w:val="00665F70"/>
    <w:rsid w:val="00667E20"/>
    <w:rsid w:val="00671078"/>
    <w:rsid w:val="006758CA"/>
    <w:rsid w:val="0067720E"/>
    <w:rsid w:val="00680A04"/>
    <w:rsid w:val="00686D80"/>
    <w:rsid w:val="00694895"/>
    <w:rsid w:val="00697E2E"/>
    <w:rsid w:val="006A25A2"/>
    <w:rsid w:val="006A3B87"/>
    <w:rsid w:val="006A3E11"/>
    <w:rsid w:val="006B0E73"/>
    <w:rsid w:val="006B1E3D"/>
    <w:rsid w:val="006B4A4D"/>
    <w:rsid w:val="006B5695"/>
    <w:rsid w:val="006B7B2E"/>
    <w:rsid w:val="006C1FD6"/>
    <w:rsid w:val="006C45D1"/>
    <w:rsid w:val="006C78EB"/>
    <w:rsid w:val="006D1660"/>
    <w:rsid w:val="006D1A39"/>
    <w:rsid w:val="006D63E5"/>
    <w:rsid w:val="006D65E2"/>
    <w:rsid w:val="006E1753"/>
    <w:rsid w:val="006E1830"/>
    <w:rsid w:val="006E3911"/>
    <w:rsid w:val="006E7F9A"/>
    <w:rsid w:val="006F1B67"/>
    <w:rsid w:val="006F4D9C"/>
    <w:rsid w:val="0070091D"/>
    <w:rsid w:val="00702854"/>
    <w:rsid w:val="0071571F"/>
    <w:rsid w:val="00716FD6"/>
    <w:rsid w:val="0071741C"/>
    <w:rsid w:val="00736002"/>
    <w:rsid w:val="00742B90"/>
    <w:rsid w:val="0074434D"/>
    <w:rsid w:val="0074559B"/>
    <w:rsid w:val="00750EC0"/>
    <w:rsid w:val="007570C4"/>
    <w:rsid w:val="007605B8"/>
    <w:rsid w:val="00762386"/>
    <w:rsid w:val="007654A1"/>
    <w:rsid w:val="00771B1E"/>
    <w:rsid w:val="00773C95"/>
    <w:rsid w:val="0078171E"/>
    <w:rsid w:val="0078658E"/>
    <w:rsid w:val="007920E2"/>
    <w:rsid w:val="00794469"/>
    <w:rsid w:val="007949F8"/>
    <w:rsid w:val="0079566E"/>
    <w:rsid w:val="00795B34"/>
    <w:rsid w:val="007A067F"/>
    <w:rsid w:val="007B1770"/>
    <w:rsid w:val="007B4D3E"/>
    <w:rsid w:val="007B7C70"/>
    <w:rsid w:val="007B7DEB"/>
    <w:rsid w:val="007C0449"/>
    <w:rsid w:val="007D179A"/>
    <w:rsid w:val="007D2151"/>
    <w:rsid w:val="007D3B90"/>
    <w:rsid w:val="007D42CC"/>
    <w:rsid w:val="007D4AEB"/>
    <w:rsid w:val="007D5DE4"/>
    <w:rsid w:val="007D7C3A"/>
    <w:rsid w:val="007E0777"/>
    <w:rsid w:val="007E1341"/>
    <w:rsid w:val="007E1B41"/>
    <w:rsid w:val="007E1EC4"/>
    <w:rsid w:val="007E30B9"/>
    <w:rsid w:val="007E51D4"/>
    <w:rsid w:val="007E74F1"/>
    <w:rsid w:val="007F0CAC"/>
    <w:rsid w:val="007F0F0C"/>
    <w:rsid w:val="007F1288"/>
    <w:rsid w:val="00800A8A"/>
    <w:rsid w:val="0080155C"/>
    <w:rsid w:val="00804F03"/>
    <w:rsid w:val="008052E1"/>
    <w:rsid w:val="00807F73"/>
    <w:rsid w:val="008104A3"/>
    <w:rsid w:val="00815765"/>
    <w:rsid w:val="00820835"/>
    <w:rsid w:val="00821491"/>
    <w:rsid w:val="00821D55"/>
    <w:rsid w:val="00822F2C"/>
    <w:rsid w:val="00823DEE"/>
    <w:rsid w:val="00826B58"/>
    <w:rsid w:val="008305E8"/>
    <w:rsid w:val="00836165"/>
    <w:rsid w:val="008414B1"/>
    <w:rsid w:val="0084640C"/>
    <w:rsid w:val="00847458"/>
    <w:rsid w:val="00856088"/>
    <w:rsid w:val="00860826"/>
    <w:rsid w:val="00860A4F"/>
    <w:rsid w:val="00860E21"/>
    <w:rsid w:val="00863117"/>
    <w:rsid w:val="0086388B"/>
    <w:rsid w:val="008642E5"/>
    <w:rsid w:val="00864488"/>
    <w:rsid w:val="00867EB2"/>
    <w:rsid w:val="00870A36"/>
    <w:rsid w:val="00872D93"/>
    <w:rsid w:val="008730E9"/>
    <w:rsid w:val="00876A25"/>
    <w:rsid w:val="00880470"/>
    <w:rsid w:val="00880D94"/>
    <w:rsid w:val="00884A75"/>
    <w:rsid w:val="00886F64"/>
    <w:rsid w:val="00892087"/>
    <w:rsid w:val="008924DE"/>
    <w:rsid w:val="0089665D"/>
    <w:rsid w:val="008A3755"/>
    <w:rsid w:val="008B19DC"/>
    <w:rsid w:val="008B264F"/>
    <w:rsid w:val="008B6F83"/>
    <w:rsid w:val="008B7FD8"/>
    <w:rsid w:val="008C1108"/>
    <w:rsid w:val="008C292E"/>
    <w:rsid w:val="008C2973"/>
    <w:rsid w:val="008C6324"/>
    <w:rsid w:val="008C64C4"/>
    <w:rsid w:val="008D2CDD"/>
    <w:rsid w:val="008D4CB4"/>
    <w:rsid w:val="008D55BA"/>
    <w:rsid w:val="008D74D5"/>
    <w:rsid w:val="008E043F"/>
    <w:rsid w:val="008E0ED1"/>
    <w:rsid w:val="008E3A07"/>
    <w:rsid w:val="008E537B"/>
    <w:rsid w:val="008F12D7"/>
    <w:rsid w:val="008F29BE"/>
    <w:rsid w:val="008F2B72"/>
    <w:rsid w:val="008F4AE5"/>
    <w:rsid w:val="008F51EB"/>
    <w:rsid w:val="00900197"/>
    <w:rsid w:val="00902F55"/>
    <w:rsid w:val="0090582B"/>
    <w:rsid w:val="009060C0"/>
    <w:rsid w:val="009114A2"/>
    <w:rsid w:val="009133F5"/>
    <w:rsid w:val="00917133"/>
    <w:rsid w:val="0091756F"/>
    <w:rsid w:val="00920A27"/>
    <w:rsid w:val="00921216"/>
    <w:rsid w:val="009216CC"/>
    <w:rsid w:val="00926083"/>
    <w:rsid w:val="00930D08"/>
    <w:rsid w:val="00930EDC"/>
    <w:rsid w:val="00931466"/>
    <w:rsid w:val="00932D69"/>
    <w:rsid w:val="0093376A"/>
    <w:rsid w:val="00935589"/>
    <w:rsid w:val="00936272"/>
    <w:rsid w:val="0093794B"/>
    <w:rsid w:val="00944647"/>
    <w:rsid w:val="009525DA"/>
    <w:rsid w:val="0095565C"/>
    <w:rsid w:val="0096158A"/>
    <w:rsid w:val="00964AB6"/>
    <w:rsid w:val="00966F9A"/>
    <w:rsid w:val="00971DCB"/>
    <w:rsid w:val="00977B8A"/>
    <w:rsid w:val="00982971"/>
    <w:rsid w:val="009829D5"/>
    <w:rsid w:val="009845AD"/>
    <w:rsid w:val="00984835"/>
    <w:rsid w:val="00984917"/>
    <w:rsid w:val="0098639B"/>
    <w:rsid w:val="009933EF"/>
    <w:rsid w:val="00995BA0"/>
    <w:rsid w:val="009A418B"/>
    <w:rsid w:val="009A426F"/>
    <w:rsid w:val="009A42D5"/>
    <w:rsid w:val="009A4473"/>
    <w:rsid w:val="009B05C9"/>
    <w:rsid w:val="009B286C"/>
    <w:rsid w:val="009C151C"/>
    <w:rsid w:val="009C440A"/>
    <w:rsid w:val="009C6738"/>
    <w:rsid w:val="009C6E2A"/>
    <w:rsid w:val="009D0929"/>
    <w:rsid w:val="009D5125"/>
    <w:rsid w:val="009D60B8"/>
    <w:rsid w:val="009D7D4B"/>
    <w:rsid w:val="009E27C3"/>
    <w:rsid w:val="009E36ED"/>
    <w:rsid w:val="009E3C8C"/>
    <w:rsid w:val="009E6B77"/>
    <w:rsid w:val="009F460A"/>
    <w:rsid w:val="00A043FB"/>
    <w:rsid w:val="00A06BE4"/>
    <w:rsid w:val="00A0729C"/>
    <w:rsid w:val="00A07779"/>
    <w:rsid w:val="00A1166A"/>
    <w:rsid w:val="00A14795"/>
    <w:rsid w:val="00A20B2E"/>
    <w:rsid w:val="00A24F33"/>
    <w:rsid w:val="00A25069"/>
    <w:rsid w:val="00A26E6B"/>
    <w:rsid w:val="00A3068F"/>
    <w:rsid w:val="00A31312"/>
    <w:rsid w:val="00A3145B"/>
    <w:rsid w:val="00A339D0"/>
    <w:rsid w:val="00A33BA2"/>
    <w:rsid w:val="00A40354"/>
    <w:rsid w:val="00A41002"/>
    <w:rsid w:val="00A4201A"/>
    <w:rsid w:val="00A4352F"/>
    <w:rsid w:val="00A5465D"/>
    <w:rsid w:val="00A553CE"/>
    <w:rsid w:val="00A5677A"/>
    <w:rsid w:val="00A56DCC"/>
    <w:rsid w:val="00A625E8"/>
    <w:rsid w:val="00A63DFF"/>
    <w:rsid w:val="00A6490D"/>
    <w:rsid w:val="00A67B82"/>
    <w:rsid w:val="00A7415D"/>
    <w:rsid w:val="00A75CF3"/>
    <w:rsid w:val="00A80363"/>
    <w:rsid w:val="00A805B0"/>
    <w:rsid w:val="00A80939"/>
    <w:rsid w:val="00A83E9D"/>
    <w:rsid w:val="00A87C05"/>
    <w:rsid w:val="00A9169D"/>
    <w:rsid w:val="00AA240C"/>
    <w:rsid w:val="00AA2ED8"/>
    <w:rsid w:val="00AB5FA5"/>
    <w:rsid w:val="00AC101C"/>
    <w:rsid w:val="00AD4CF1"/>
    <w:rsid w:val="00AD5988"/>
    <w:rsid w:val="00AD6293"/>
    <w:rsid w:val="00AE4FDA"/>
    <w:rsid w:val="00AF1BA8"/>
    <w:rsid w:val="00AF7800"/>
    <w:rsid w:val="00B00CF5"/>
    <w:rsid w:val="00B0395D"/>
    <w:rsid w:val="00B07080"/>
    <w:rsid w:val="00B072E0"/>
    <w:rsid w:val="00B1007E"/>
    <w:rsid w:val="00B133DE"/>
    <w:rsid w:val="00B253F6"/>
    <w:rsid w:val="00B26675"/>
    <w:rsid w:val="00B26F0F"/>
    <w:rsid w:val="00B305DB"/>
    <w:rsid w:val="00B332F8"/>
    <w:rsid w:val="00B3492B"/>
    <w:rsid w:val="00B4646F"/>
    <w:rsid w:val="00B5226D"/>
    <w:rsid w:val="00B55C7D"/>
    <w:rsid w:val="00B63038"/>
    <w:rsid w:val="00B64BD8"/>
    <w:rsid w:val="00B701D1"/>
    <w:rsid w:val="00B71B11"/>
    <w:rsid w:val="00B73AF2"/>
    <w:rsid w:val="00B7551A"/>
    <w:rsid w:val="00B773F1"/>
    <w:rsid w:val="00B86AB1"/>
    <w:rsid w:val="00B944FF"/>
    <w:rsid w:val="00B97F07"/>
    <w:rsid w:val="00BA0822"/>
    <w:rsid w:val="00BA240A"/>
    <w:rsid w:val="00BA66F6"/>
    <w:rsid w:val="00BA7EBA"/>
    <w:rsid w:val="00BB182D"/>
    <w:rsid w:val="00BB2A06"/>
    <w:rsid w:val="00BB2CBB"/>
    <w:rsid w:val="00BB3AD8"/>
    <w:rsid w:val="00BB4198"/>
    <w:rsid w:val="00BC03EE"/>
    <w:rsid w:val="00BC59F1"/>
    <w:rsid w:val="00BC5E94"/>
    <w:rsid w:val="00BD3404"/>
    <w:rsid w:val="00BF0A3F"/>
    <w:rsid w:val="00BF3DE1"/>
    <w:rsid w:val="00BF4574"/>
    <w:rsid w:val="00BF4843"/>
    <w:rsid w:val="00BF5205"/>
    <w:rsid w:val="00C05132"/>
    <w:rsid w:val="00C12508"/>
    <w:rsid w:val="00C21ACA"/>
    <w:rsid w:val="00C23728"/>
    <w:rsid w:val="00C3026C"/>
    <w:rsid w:val="00C313A9"/>
    <w:rsid w:val="00C41FC8"/>
    <w:rsid w:val="00C441CF"/>
    <w:rsid w:val="00C44E3C"/>
    <w:rsid w:val="00C45AA2"/>
    <w:rsid w:val="00C4688D"/>
    <w:rsid w:val="00C47259"/>
    <w:rsid w:val="00C4792C"/>
    <w:rsid w:val="00C55BEF"/>
    <w:rsid w:val="00C601AF"/>
    <w:rsid w:val="00C61A63"/>
    <w:rsid w:val="00C66296"/>
    <w:rsid w:val="00C66985"/>
    <w:rsid w:val="00C7394D"/>
    <w:rsid w:val="00C77282"/>
    <w:rsid w:val="00C84DE5"/>
    <w:rsid w:val="00C86248"/>
    <w:rsid w:val="00C90B31"/>
    <w:rsid w:val="00CA0D6F"/>
    <w:rsid w:val="00CA4C33"/>
    <w:rsid w:val="00CA6F4A"/>
    <w:rsid w:val="00CB6427"/>
    <w:rsid w:val="00CC0FBE"/>
    <w:rsid w:val="00CD20C1"/>
    <w:rsid w:val="00CD2119"/>
    <w:rsid w:val="00CD237A"/>
    <w:rsid w:val="00CD36AC"/>
    <w:rsid w:val="00CD5751"/>
    <w:rsid w:val="00CE13A3"/>
    <w:rsid w:val="00CE36BC"/>
    <w:rsid w:val="00CF1747"/>
    <w:rsid w:val="00CF60ED"/>
    <w:rsid w:val="00D05D74"/>
    <w:rsid w:val="00D10F61"/>
    <w:rsid w:val="00D20C59"/>
    <w:rsid w:val="00D23323"/>
    <w:rsid w:val="00D2392A"/>
    <w:rsid w:val="00D24299"/>
    <w:rsid w:val="00D254DC"/>
    <w:rsid w:val="00D25FFE"/>
    <w:rsid w:val="00D37D80"/>
    <w:rsid w:val="00D4476F"/>
    <w:rsid w:val="00D44CA7"/>
    <w:rsid w:val="00D50573"/>
    <w:rsid w:val="00D54D50"/>
    <w:rsid w:val="00D555F7"/>
    <w:rsid w:val="00D560B4"/>
    <w:rsid w:val="00D6013C"/>
    <w:rsid w:val="00D61673"/>
    <w:rsid w:val="00D662F8"/>
    <w:rsid w:val="00D66797"/>
    <w:rsid w:val="00D70466"/>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938A8"/>
    <w:rsid w:val="00D96C33"/>
    <w:rsid w:val="00DA2999"/>
    <w:rsid w:val="00DB29B8"/>
    <w:rsid w:val="00DB39CF"/>
    <w:rsid w:val="00DB7256"/>
    <w:rsid w:val="00DC0401"/>
    <w:rsid w:val="00DC20BD"/>
    <w:rsid w:val="00DC363C"/>
    <w:rsid w:val="00DC570B"/>
    <w:rsid w:val="00DD0BCD"/>
    <w:rsid w:val="00DD4091"/>
    <w:rsid w:val="00DD447A"/>
    <w:rsid w:val="00DE02C7"/>
    <w:rsid w:val="00DE27D6"/>
    <w:rsid w:val="00DE3B20"/>
    <w:rsid w:val="00DE5DA4"/>
    <w:rsid w:val="00DE6C94"/>
    <w:rsid w:val="00DE6FD7"/>
    <w:rsid w:val="00DF153A"/>
    <w:rsid w:val="00DF4C74"/>
    <w:rsid w:val="00DF6956"/>
    <w:rsid w:val="00E029EB"/>
    <w:rsid w:val="00E16025"/>
    <w:rsid w:val="00E23271"/>
    <w:rsid w:val="00E24F80"/>
    <w:rsid w:val="00E259F3"/>
    <w:rsid w:val="00E2631E"/>
    <w:rsid w:val="00E30985"/>
    <w:rsid w:val="00E33238"/>
    <w:rsid w:val="00E376B7"/>
    <w:rsid w:val="00E40F9D"/>
    <w:rsid w:val="00E410E3"/>
    <w:rsid w:val="00E42F5D"/>
    <w:rsid w:val="00E4486C"/>
    <w:rsid w:val="00E4551B"/>
    <w:rsid w:val="00E460B6"/>
    <w:rsid w:val="00E46CC1"/>
    <w:rsid w:val="00E50175"/>
    <w:rsid w:val="00E511D5"/>
    <w:rsid w:val="00E53A9F"/>
    <w:rsid w:val="00E60249"/>
    <w:rsid w:val="00E65269"/>
    <w:rsid w:val="00E76D66"/>
    <w:rsid w:val="00E80F5F"/>
    <w:rsid w:val="00E876B3"/>
    <w:rsid w:val="00E95AC0"/>
    <w:rsid w:val="00EA3C47"/>
    <w:rsid w:val="00EA608C"/>
    <w:rsid w:val="00EA796A"/>
    <w:rsid w:val="00EB1856"/>
    <w:rsid w:val="00EB58F4"/>
    <w:rsid w:val="00EC21FC"/>
    <w:rsid w:val="00EC3437"/>
    <w:rsid w:val="00EC50CE"/>
    <w:rsid w:val="00EC5B34"/>
    <w:rsid w:val="00EC70BA"/>
    <w:rsid w:val="00ED021E"/>
    <w:rsid w:val="00ED29E0"/>
    <w:rsid w:val="00ED323C"/>
    <w:rsid w:val="00EE1FD7"/>
    <w:rsid w:val="00EE2D5C"/>
    <w:rsid w:val="00EE35A4"/>
    <w:rsid w:val="00EE4ADE"/>
    <w:rsid w:val="00EE4DE8"/>
    <w:rsid w:val="00EE5CB7"/>
    <w:rsid w:val="00EF1829"/>
    <w:rsid w:val="00EF63F3"/>
    <w:rsid w:val="00EF79CB"/>
    <w:rsid w:val="00F024FE"/>
    <w:rsid w:val="00F036E9"/>
    <w:rsid w:val="00F05AD4"/>
    <w:rsid w:val="00F10EB6"/>
    <w:rsid w:val="00F13F07"/>
    <w:rsid w:val="00F140B2"/>
    <w:rsid w:val="00F25970"/>
    <w:rsid w:val="00F311A9"/>
    <w:rsid w:val="00F31538"/>
    <w:rsid w:val="00F335A0"/>
    <w:rsid w:val="00F42452"/>
    <w:rsid w:val="00F5180D"/>
    <w:rsid w:val="00F63781"/>
    <w:rsid w:val="00F67496"/>
    <w:rsid w:val="00F677CA"/>
    <w:rsid w:val="00F72693"/>
    <w:rsid w:val="00F801BA"/>
    <w:rsid w:val="00F9366A"/>
    <w:rsid w:val="00F946C9"/>
    <w:rsid w:val="00FA0EA5"/>
    <w:rsid w:val="00FA74EE"/>
    <w:rsid w:val="00FC3711"/>
    <w:rsid w:val="00FC46E7"/>
    <w:rsid w:val="00FC5D25"/>
    <w:rsid w:val="00FD0D7E"/>
    <w:rsid w:val="00FD4FFB"/>
    <w:rsid w:val="00FE49EF"/>
    <w:rsid w:val="00FE6E13"/>
    <w:rsid w:val="00FF15F6"/>
    <w:rsid w:val="00FF527C"/>
    <w:rsid w:val="00FF65CD"/>
    <w:rsid w:val="15794C19"/>
    <w:rsid w:val="272AED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DBCD8F3B-ABB9-4813-B714-A1C7072E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AE4FDA"/>
    <w:pPr>
      <w:keepNext/>
      <w:spacing w:after="360"/>
      <w:outlineLvl w:val="0"/>
    </w:pPr>
    <w:rPr>
      <w:b/>
      <w:color w:val="23305D"/>
      <w:spacing w:val="-10"/>
      <w:sz w:val="56"/>
      <w:szCs w:val="56"/>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uiPriority w:val="99"/>
    <w:qFormat/>
    <w:rsid w:val="00FA0EA5"/>
    <w:p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AE4FDA"/>
    <w:rPr>
      <w:rFonts w:ascii="Segoe UI" w:hAnsi="Segoe UI"/>
      <w:b/>
      <w:color w:val="23305D"/>
      <w:spacing w:val="-10"/>
      <w:sz w:val="56"/>
      <w:szCs w:val="56"/>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ListParagraph">
    <w:name w:val="List Paragraph"/>
    <w:basedOn w:val="Normal"/>
    <w:uiPriority w:val="34"/>
    <w:qFormat/>
    <w:rsid w:val="00407FBB"/>
    <w:pPr>
      <w:spacing w:after="160" w:line="279" w:lineRule="auto"/>
      <w:ind w:left="720"/>
      <w:contextualSpacing/>
    </w:pPr>
    <w:rPr>
      <w:rFonts w:eastAsiaTheme="minorEastAsia" w:cstheme="minorBidi"/>
      <w:sz w:val="22"/>
      <w:szCs w:val="24"/>
      <w:lang w:val="en-US" w:eastAsia="ja-JP"/>
    </w:rPr>
  </w:style>
  <w:style w:type="character" w:styleId="Strong">
    <w:name w:val="Strong"/>
    <w:basedOn w:val="DefaultParagraphFont"/>
    <w:uiPriority w:val="22"/>
    <w:qFormat/>
    <w:rsid w:val="00EA3C47"/>
    <w:rPr>
      <w:b/>
      <w:bCs/>
    </w:rPr>
  </w:style>
  <w:style w:type="character" w:styleId="SubtleEmphasis">
    <w:name w:val="Subtle Emphasis"/>
    <w:basedOn w:val="DefaultParagraphFont"/>
    <w:uiPriority w:val="19"/>
    <w:qFormat/>
    <w:rsid w:val="00EA3C47"/>
    <w:rPr>
      <w:rFonts w:ascii="Segoe UI" w:hAnsi="Segoe UI"/>
      <w:i/>
      <w:iCs/>
      <w:color w:val="404040" w:themeColor="text1" w:themeTint="BF"/>
      <w:sz w:val="24"/>
    </w:rPr>
  </w:style>
  <w:style w:type="character" w:customStyle="1" w:styleId="normaltextrun">
    <w:name w:val="normaltextrun"/>
    <w:basedOn w:val="DefaultParagraphFont"/>
    <w:rsid w:val="00EA3C47"/>
  </w:style>
  <w:style w:type="character" w:styleId="IntenseEmphasis">
    <w:name w:val="Intense Emphasis"/>
    <w:basedOn w:val="DefaultParagraphFont"/>
    <w:uiPriority w:val="21"/>
    <w:qFormat/>
    <w:rsid w:val="00EA3C47"/>
    <w:rPr>
      <w:b/>
      <w:i/>
      <w:iCs/>
      <w:color w:val="auto"/>
    </w:rPr>
  </w:style>
  <w:style w:type="character" w:customStyle="1" w:styleId="eop">
    <w:name w:val="eop"/>
    <w:basedOn w:val="DefaultParagraphFont"/>
    <w:rsid w:val="00EA3C47"/>
  </w:style>
  <w:style w:type="paragraph" w:styleId="Caption">
    <w:name w:val="caption"/>
    <w:basedOn w:val="Normal"/>
    <w:next w:val="Normal"/>
    <w:uiPriority w:val="35"/>
    <w:unhideWhenUsed/>
    <w:qFormat/>
    <w:rsid w:val="00AE4FDA"/>
    <w:pPr>
      <w:spacing w:after="200"/>
      <w:jc w:val="both"/>
    </w:pPr>
    <w:rPr>
      <w:rFonts w:asciiTheme="minorHAnsi" w:eastAsiaTheme="minorEastAsia" w:hAnsiTheme="minorHAnsi" w:cstheme="minorBidi"/>
      <w:b/>
      <w:bCs/>
      <w:color w:val="1F497D" w:themeColor="text2"/>
      <w:sz w:val="24"/>
      <w:szCs w:val="24"/>
      <w:lang w:val="en-US" w:eastAsia="ja-JP"/>
    </w:rPr>
  </w:style>
  <w:style w:type="paragraph" w:styleId="NormalWeb">
    <w:name w:val="Normal (Web)"/>
    <w:basedOn w:val="Normal"/>
    <w:uiPriority w:val="99"/>
    <w:unhideWhenUsed/>
    <w:rsid w:val="003016B6"/>
    <w:pPr>
      <w:spacing w:before="100" w:beforeAutospacing="1" w:after="100" w:afterAutospacing="1"/>
    </w:pPr>
    <w:rPr>
      <w:rFonts w:ascii="Times New Roman" w:hAnsi="Times New Roman"/>
      <w:sz w:val="24"/>
      <w:szCs w:val="24"/>
      <w:lang w:eastAsia="en-NZ"/>
    </w:rPr>
  </w:style>
  <w:style w:type="paragraph" w:customStyle="1" w:styleId="pf0">
    <w:name w:val="pf0"/>
    <w:basedOn w:val="Normal"/>
    <w:rsid w:val="00BF0A3F"/>
    <w:pPr>
      <w:spacing w:before="100" w:beforeAutospacing="1" w:after="100" w:afterAutospacing="1"/>
    </w:pPr>
    <w:rPr>
      <w:rFonts w:ascii="Times New Roman" w:hAnsi="Times New Roman"/>
      <w:sz w:val="22"/>
      <w:szCs w:val="24"/>
      <w:lang w:eastAsia="en-NZ"/>
    </w:rPr>
  </w:style>
  <w:style w:type="character" w:customStyle="1" w:styleId="cf01">
    <w:name w:val="cf01"/>
    <w:basedOn w:val="DefaultParagraphFont"/>
    <w:rsid w:val="00BF0A3F"/>
    <w:rPr>
      <w:rFonts w:ascii="Segoe UI" w:hAnsi="Segoe UI" w:cs="Segoe UI" w:hint="default"/>
      <w:sz w:val="18"/>
      <w:szCs w:val="18"/>
    </w:rPr>
  </w:style>
  <w:style w:type="character" w:styleId="CommentReference">
    <w:name w:val="annotation reference"/>
    <w:basedOn w:val="DefaultParagraphFont"/>
    <w:uiPriority w:val="99"/>
    <w:semiHidden/>
    <w:unhideWhenUsed/>
    <w:rsid w:val="00BF0A3F"/>
    <w:rPr>
      <w:sz w:val="16"/>
      <w:szCs w:val="16"/>
    </w:rPr>
  </w:style>
  <w:style w:type="paragraph" w:styleId="CommentText">
    <w:name w:val="annotation text"/>
    <w:basedOn w:val="Normal"/>
    <w:link w:val="CommentTextChar"/>
    <w:uiPriority w:val="99"/>
    <w:unhideWhenUsed/>
    <w:rsid w:val="00BF0A3F"/>
    <w:pPr>
      <w:spacing w:after="160"/>
    </w:pPr>
    <w:rPr>
      <w:rFonts w:eastAsiaTheme="minorEastAsia" w:cstheme="minorBidi"/>
      <w:sz w:val="20"/>
      <w:lang w:val="en-US" w:eastAsia="ja-JP"/>
    </w:rPr>
  </w:style>
  <w:style w:type="character" w:customStyle="1" w:styleId="CommentTextChar">
    <w:name w:val="Comment Text Char"/>
    <w:basedOn w:val="DefaultParagraphFont"/>
    <w:link w:val="CommentText"/>
    <w:uiPriority w:val="99"/>
    <w:rsid w:val="00BF0A3F"/>
    <w:rPr>
      <w:rFonts w:ascii="Segoe UI" w:eastAsiaTheme="minorEastAsia" w:hAnsi="Segoe UI" w:cstheme="minorBidi"/>
      <w:lang w:val="en-US" w:eastAsia="ja-JP"/>
    </w:rPr>
  </w:style>
  <w:style w:type="character" w:styleId="EndnoteReference">
    <w:name w:val="endnote reference"/>
    <w:basedOn w:val="DefaultParagraphFont"/>
    <w:uiPriority w:val="99"/>
    <w:semiHidden/>
    <w:unhideWhenUsed/>
    <w:rsid w:val="00BF0A3F"/>
    <w:rPr>
      <w:vertAlign w:val="superscript"/>
    </w:rPr>
  </w:style>
  <w:style w:type="paragraph" w:styleId="EndnoteText">
    <w:name w:val="endnote text"/>
    <w:basedOn w:val="Normal"/>
    <w:link w:val="EndnoteTextChar"/>
    <w:uiPriority w:val="99"/>
    <w:semiHidden/>
    <w:unhideWhenUsed/>
    <w:rsid w:val="00BF0A3F"/>
    <w:rPr>
      <w:rFonts w:eastAsiaTheme="minorEastAsia" w:cstheme="minorBidi"/>
      <w:sz w:val="20"/>
      <w:lang w:val="en-US" w:eastAsia="ja-JP"/>
    </w:rPr>
  </w:style>
  <w:style w:type="character" w:customStyle="1" w:styleId="EndnoteTextChar">
    <w:name w:val="Endnote Text Char"/>
    <w:basedOn w:val="DefaultParagraphFont"/>
    <w:link w:val="EndnoteText"/>
    <w:uiPriority w:val="99"/>
    <w:semiHidden/>
    <w:rsid w:val="00BF0A3F"/>
    <w:rPr>
      <w:rFonts w:ascii="Segoe UI" w:eastAsiaTheme="minorEastAsia" w:hAnsi="Segoe UI" w:cstheme="minorBidi"/>
      <w:lang w:val="en-US" w:eastAsia="ja-JP"/>
    </w:rPr>
  </w:style>
  <w:style w:type="paragraph" w:styleId="CommentSubject">
    <w:name w:val="annotation subject"/>
    <w:basedOn w:val="CommentText"/>
    <w:next w:val="CommentText"/>
    <w:link w:val="CommentSubjectChar"/>
    <w:uiPriority w:val="99"/>
    <w:semiHidden/>
    <w:unhideWhenUsed/>
    <w:rsid w:val="00BF0A3F"/>
    <w:rPr>
      <w:b/>
      <w:bCs/>
    </w:rPr>
  </w:style>
  <w:style w:type="character" w:customStyle="1" w:styleId="CommentSubjectChar">
    <w:name w:val="Comment Subject Char"/>
    <w:basedOn w:val="CommentTextChar"/>
    <w:link w:val="CommentSubject"/>
    <w:uiPriority w:val="99"/>
    <w:semiHidden/>
    <w:rsid w:val="00BF0A3F"/>
    <w:rPr>
      <w:rFonts w:ascii="Segoe UI" w:eastAsiaTheme="minorEastAsia" w:hAnsi="Segoe UI" w:cstheme="minorBidi"/>
      <w:b/>
      <w:bCs/>
      <w:lang w:val="en-US" w:eastAsia="ja-JP"/>
    </w:rPr>
  </w:style>
  <w:style w:type="paragraph" w:styleId="Subtitle">
    <w:name w:val="Subtitle"/>
    <w:basedOn w:val="Normal"/>
    <w:next w:val="Normal"/>
    <w:link w:val="SubtitleChar"/>
    <w:uiPriority w:val="11"/>
    <w:qFormat/>
    <w:rsid w:val="00BF0A3F"/>
    <w:pPr>
      <w:numPr>
        <w:ilvl w:val="1"/>
      </w:numPr>
      <w:spacing w:after="160" w:line="279" w:lineRule="auto"/>
    </w:pPr>
    <w:rPr>
      <w:rFonts w:eastAsiaTheme="minorEastAsia" w:cstheme="minorBidi"/>
      <w:color w:val="5A5A5A" w:themeColor="text1" w:themeTint="A5"/>
      <w:spacing w:val="15"/>
      <w:sz w:val="22"/>
      <w:szCs w:val="22"/>
      <w:lang w:val="en-US" w:eastAsia="ja-JP"/>
    </w:rPr>
  </w:style>
  <w:style w:type="character" w:customStyle="1" w:styleId="SubtitleChar">
    <w:name w:val="Subtitle Char"/>
    <w:basedOn w:val="DefaultParagraphFont"/>
    <w:link w:val="Subtitle"/>
    <w:uiPriority w:val="11"/>
    <w:rsid w:val="00BF0A3F"/>
    <w:rPr>
      <w:rFonts w:ascii="Segoe UI" w:eastAsiaTheme="minorEastAsia" w:hAnsi="Segoe UI" w:cstheme="minorBidi"/>
      <w:color w:val="5A5A5A" w:themeColor="text1" w:themeTint="A5"/>
      <w:spacing w:val="15"/>
      <w:sz w:val="22"/>
      <w:szCs w:val="22"/>
      <w:lang w:val="en-US" w:eastAsia="ja-JP"/>
    </w:rPr>
  </w:style>
  <w:style w:type="character" w:styleId="Mention">
    <w:name w:val="Mention"/>
    <w:basedOn w:val="DefaultParagraphFont"/>
    <w:uiPriority w:val="99"/>
    <w:unhideWhenUsed/>
    <w:rsid w:val="00BF0A3F"/>
    <w:rPr>
      <w:color w:val="2B579A"/>
      <w:shd w:val="clear" w:color="auto" w:fill="E1DFDD"/>
    </w:rPr>
  </w:style>
  <w:style w:type="character" w:customStyle="1" w:styleId="cf11">
    <w:name w:val="cf11"/>
    <w:basedOn w:val="DefaultParagraphFont"/>
    <w:rsid w:val="00BF0A3F"/>
    <w:rPr>
      <w:rFonts w:ascii="Segoe UI" w:hAnsi="Segoe UI" w:cs="Segoe UI" w:hint="default"/>
      <w:color w:val="333333"/>
      <w:sz w:val="18"/>
      <w:szCs w:val="18"/>
      <w:shd w:val="clear" w:color="auto" w:fill="FFFFFF"/>
    </w:rPr>
  </w:style>
  <w:style w:type="character" w:styleId="UnresolvedMention">
    <w:name w:val="Unresolved Mention"/>
    <w:basedOn w:val="DefaultParagraphFont"/>
    <w:uiPriority w:val="99"/>
    <w:semiHidden/>
    <w:unhideWhenUsed/>
    <w:rsid w:val="00BF0A3F"/>
    <w:rPr>
      <w:color w:val="605E5C"/>
      <w:shd w:val="clear" w:color="auto" w:fill="E1DFDD"/>
    </w:rPr>
  </w:style>
  <w:style w:type="character" w:styleId="Emphasis">
    <w:name w:val="Emphasis"/>
    <w:basedOn w:val="DefaultParagraphFont"/>
    <w:uiPriority w:val="20"/>
    <w:qFormat/>
    <w:rsid w:val="00BF0A3F"/>
    <w:rPr>
      <w:i/>
      <w:iCs/>
    </w:rPr>
  </w:style>
  <w:style w:type="paragraph" w:styleId="NoSpacing">
    <w:name w:val="No Spacing"/>
    <w:uiPriority w:val="1"/>
    <w:qFormat/>
    <w:rsid w:val="00BF0A3F"/>
    <w:rPr>
      <w:rFonts w:ascii="Segoe UI" w:eastAsiaTheme="minorEastAsia" w:hAnsi="Segoe UI" w:cstheme="minorBidi"/>
      <w:sz w:val="22"/>
      <w:szCs w:val="24"/>
      <w:lang w:val="en-US" w:eastAsia="ja-JP"/>
    </w:rPr>
  </w:style>
  <w:style w:type="paragraph" w:customStyle="1" w:styleId="EndNoteBibliographyTitle">
    <w:name w:val="EndNote Bibliography Title"/>
    <w:basedOn w:val="Normal"/>
    <w:link w:val="EndNoteBibliographyTitleChar"/>
    <w:rsid w:val="00BF0A3F"/>
    <w:pPr>
      <w:spacing w:line="279" w:lineRule="auto"/>
      <w:jc w:val="center"/>
    </w:pPr>
    <w:rPr>
      <w:rFonts w:eastAsiaTheme="minorEastAsia" w:cs="Segoe UI"/>
      <w:noProof/>
      <w:sz w:val="22"/>
      <w:szCs w:val="24"/>
      <w:lang w:val="en-US" w:eastAsia="ja-JP"/>
    </w:rPr>
  </w:style>
  <w:style w:type="character" w:customStyle="1" w:styleId="EndNoteBibliographyTitleChar">
    <w:name w:val="EndNote Bibliography Title Char"/>
    <w:basedOn w:val="DefaultParagraphFont"/>
    <w:link w:val="EndNoteBibliographyTitle"/>
    <w:rsid w:val="00BF0A3F"/>
    <w:rPr>
      <w:rFonts w:ascii="Segoe UI" w:eastAsiaTheme="minorEastAsia" w:hAnsi="Segoe UI" w:cs="Segoe UI"/>
      <w:noProof/>
      <w:sz w:val="22"/>
      <w:szCs w:val="24"/>
      <w:lang w:val="en-US" w:eastAsia="ja-JP"/>
    </w:rPr>
  </w:style>
  <w:style w:type="paragraph" w:customStyle="1" w:styleId="EndNoteBibliography">
    <w:name w:val="EndNote Bibliography"/>
    <w:basedOn w:val="Normal"/>
    <w:link w:val="EndNoteBibliographyChar"/>
    <w:rsid w:val="00BF0A3F"/>
    <w:pPr>
      <w:spacing w:after="160"/>
    </w:pPr>
    <w:rPr>
      <w:rFonts w:eastAsiaTheme="minorEastAsia" w:cs="Segoe UI"/>
      <w:noProof/>
      <w:sz w:val="22"/>
      <w:szCs w:val="24"/>
      <w:lang w:val="en-US" w:eastAsia="ja-JP"/>
    </w:rPr>
  </w:style>
  <w:style w:type="character" w:customStyle="1" w:styleId="EndNoteBibliographyChar">
    <w:name w:val="EndNote Bibliography Char"/>
    <w:basedOn w:val="DefaultParagraphFont"/>
    <w:link w:val="EndNoteBibliography"/>
    <w:rsid w:val="00BF0A3F"/>
    <w:rPr>
      <w:rFonts w:ascii="Segoe UI" w:eastAsiaTheme="minorEastAsia" w:hAnsi="Segoe UI" w:cs="Segoe UI"/>
      <w:noProof/>
      <w:sz w:val="22"/>
      <w:szCs w:val="24"/>
      <w:lang w:val="en-US" w:eastAsia="ja-JP"/>
    </w:rPr>
  </w:style>
  <w:style w:type="character" w:customStyle="1" w:styleId="cf21">
    <w:name w:val="cf21"/>
    <w:basedOn w:val="DefaultParagraphFont"/>
    <w:rsid w:val="00BF0A3F"/>
    <w:rPr>
      <w:rFonts w:ascii="Segoe UI" w:hAnsi="Segoe UI" w:cs="Segoe UI" w:hint="default"/>
      <w:i/>
      <w:iCs/>
      <w:sz w:val="18"/>
      <w:szCs w:val="18"/>
    </w:rPr>
  </w:style>
  <w:style w:type="table" w:styleId="PlainTable5">
    <w:name w:val="Plain Table 5"/>
    <w:basedOn w:val="TableNormal"/>
    <w:uiPriority w:val="45"/>
    <w:rsid w:val="00BF0A3F"/>
    <w:rPr>
      <w:rFonts w:asciiTheme="minorHAnsi" w:eastAsiaTheme="minorEastAsia" w:hAnsiTheme="minorHAnsi" w:cstheme="minorBidi"/>
      <w:sz w:val="24"/>
      <w:szCs w:val="24"/>
      <w:lang w:val="en-US" w:eastAsia="ja-JP"/>
    </w:rPr>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BF0A3F"/>
    <w:pPr>
      <w:spacing w:line="279" w:lineRule="auto"/>
    </w:pPr>
    <w:rPr>
      <w:rFonts w:eastAsiaTheme="minorEastAsia" w:cstheme="minorBidi"/>
      <w:sz w:val="22"/>
      <w:szCs w:val="24"/>
      <w:lang w:val="en-US" w:eastAsia="ja-JP"/>
    </w:rPr>
  </w:style>
  <w:style w:type="character" w:styleId="FollowedHyperlink">
    <w:name w:val="FollowedHyperlink"/>
    <w:basedOn w:val="DefaultParagraphFont"/>
    <w:uiPriority w:val="99"/>
    <w:semiHidden/>
    <w:unhideWhenUsed/>
    <w:rsid w:val="00BF0A3F"/>
    <w:rPr>
      <w:color w:val="800080" w:themeColor="followedHyperlink"/>
      <w:u w:val="single"/>
    </w:rPr>
  </w:style>
  <w:style w:type="paragraph" w:styleId="TOCHeading">
    <w:name w:val="TOC Heading"/>
    <w:basedOn w:val="Heading1"/>
    <w:next w:val="Normal"/>
    <w:uiPriority w:val="39"/>
    <w:unhideWhenUsed/>
    <w:qFormat/>
    <w:rsid w:val="00BF0A3F"/>
    <w:pPr>
      <w:keepLines/>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paragraph" w:customStyle="1" w:styleId="paragraph">
    <w:name w:val="paragraph"/>
    <w:basedOn w:val="Normal"/>
    <w:rsid w:val="00BF0A3F"/>
    <w:pPr>
      <w:spacing w:before="100" w:beforeAutospacing="1" w:after="100" w:afterAutospacing="1"/>
    </w:pPr>
    <w:rPr>
      <w:rFonts w:ascii="Times New Roman" w:hAnsi="Times New Roman"/>
      <w:sz w:val="24"/>
      <w:szCs w:val="24"/>
      <w:lang w:eastAsia="en-NZ"/>
    </w:rPr>
  </w:style>
  <w:style w:type="paragraph" w:styleId="Bibliography">
    <w:name w:val="Bibliography"/>
    <w:basedOn w:val="Normal"/>
    <w:next w:val="Normal"/>
    <w:uiPriority w:val="37"/>
    <w:unhideWhenUsed/>
    <w:rsid w:val="00BF0A3F"/>
    <w:pPr>
      <w:spacing w:after="160" w:line="279" w:lineRule="auto"/>
    </w:pPr>
    <w:rPr>
      <w:rFonts w:eastAsiaTheme="minorEastAsia" w:cstheme="minorBidi"/>
      <w:sz w:val="22"/>
      <w:szCs w:val="24"/>
      <w:lang w:val="en-US" w:eastAsia="ja-JP"/>
    </w:rPr>
  </w:style>
  <w:style w:type="character" w:customStyle="1" w:styleId="spellingerror">
    <w:name w:val="spellingerror"/>
    <w:basedOn w:val="DefaultParagraphFont"/>
    <w:rsid w:val="00BF0A3F"/>
  </w:style>
  <w:style w:type="character" w:customStyle="1" w:styleId="BulletChar">
    <w:name w:val="Bullet Char"/>
    <w:link w:val="Bullet"/>
    <w:uiPriority w:val="99"/>
    <w:locked/>
    <w:rsid w:val="00984917"/>
    <w:rPr>
      <w:rFonts w:ascii="Segoe UI" w:hAnsi="Segoe UI"/>
      <w:sz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3185">
      <w:bodyDiv w:val="1"/>
      <w:marLeft w:val="0"/>
      <w:marRight w:val="0"/>
      <w:marTop w:val="0"/>
      <w:marBottom w:val="0"/>
      <w:divBdr>
        <w:top w:val="none" w:sz="0" w:space="0" w:color="auto"/>
        <w:left w:val="none" w:sz="0" w:space="0" w:color="auto"/>
        <w:bottom w:val="none" w:sz="0" w:space="0" w:color="auto"/>
        <w:right w:val="none" w:sz="0" w:space="0" w:color="auto"/>
      </w:divBdr>
    </w:div>
    <w:div w:id="909922060">
      <w:bodyDiv w:val="1"/>
      <w:marLeft w:val="0"/>
      <w:marRight w:val="0"/>
      <w:marTop w:val="0"/>
      <w:marBottom w:val="0"/>
      <w:divBdr>
        <w:top w:val="none" w:sz="0" w:space="0" w:color="auto"/>
        <w:left w:val="none" w:sz="0" w:space="0" w:color="auto"/>
        <w:bottom w:val="none" w:sz="0" w:space="0" w:color="auto"/>
        <w:right w:val="none" w:sz="0" w:space="0" w:color="auto"/>
      </w:divBdr>
    </w:div>
    <w:div w:id="129016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zhub.healthdata.org/gbd-compare/" TargetMode="External"/><Relationship Id="rId21" Type="http://schemas.openxmlformats.org/officeDocument/2006/relationships/footer" Target="footer5.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hyperlink" Target="http://www.tewhatuora.shinyapps.io/mortality-web-tool" TargetMode="External"/><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hyperlink" Target="http://www.heartfoundation.org.nz/your-heart/heart-conditions/coronary-artery-disease"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s://gbd2021.healthdata.org/gbd-results/?params=gbd-api-2021-permalink/486d0a08613b5ed1f7d5227084e5ae7c" TargetMode="External"/><Relationship Id="rId32" Type="http://schemas.openxmlformats.org/officeDocument/2006/relationships/image" Target="media/image9.jp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hyperlink" Target="http://www.info.health.nz/conditions-treatments/bladder-kidney-and-urinary-system/chronic-kidney-disease" TargetMode="External"/><Relationship Id="rId102"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9.png"/><Relationship Id="rId90" Type="http://schemas.openxmlformats.org/officeDocument/2006/relationships/hyperlink" Target="http://www.tewhatuora.shinyapps.io/virtual-diabetes-register-web-tool" TargetMode="External"/><Relationship Id="rId95" Type="http://schemas.openxmlformats.org/officeDocument/2006/relationships/hyperlink" Target="http://www.kahuiraraunga.io/maoridatagovernance" TargetMode="Externa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yperlink" Target="https://www.tewhatuora.govt.nz/assets/Our-health-system/Digital-health/Health-information-standards/HISO-10001-2017-Ethnicity-Data-Protocols.pdf"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hyperlink" Target="http://www.stroke.org.nz/understanding-stroke/what-is-a-stroke" TargetMode="Externa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hyperlink" Target="http://www.stats.govt.nz/research/reviewing-the-quality-of-ethnicity-data-from-administrative-sources-comparison-with-the-census" TargetMode="External"/><Relationship Id="rId93" Type="http://schemas.openxmlformats.org/officeDocument/2006/relationships/hyperlink" Target="http://www.heartfoundation.org.nz/wellbeing/managing-risk/managing-diabetes" TargetMode="External"/><Relationship Id="rId98" Type="http://schemas.openxmlformats.org/officeDocument/2006/relationships/hyperlink" Target="http://www.health.govt.nz/statistics-research/research/global-burden-of-disease-study/maori-years-of-life-lost-estimat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ihmeuw.org/7bvl"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hyperlink" Target="http://www.tewhatuora.govt.nz/for-health-professionals/data-and-statistics/nz-health-statistics/classification/about" TargetMode="External"/><Relationship Id="rId91" Type="http://schemas.openxmlformats.org/officeDocument/2006/relationships/hyperlink" Target="http://www.hqsc.govt.nz/our-data/atlas-of-healthcare-variation/chronic-obstructive-pulmonary-disease" TargetMode="External"/><Relationship Id="rId96" Type="http://schemas.openxmlformats.org/officeDocument/2006/relationships/hyperlink" Target="http://www.health.govt.nz/system/files/2018-11/position-paper-maori-health-analytics-age-standardisation-nov18_0.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hyperlink" Target="http://www.health.govt.nz/system/files/2025-07/priority-4-key-insights&#8211;june-2025.pdf" TargetMode="External"/><Relationship Id="rId94" Type="http://schemas.openxmlformats.org/officeDocument/2006/relationships/hyperlink" Target="http://www.healthdata.org/research-analysis/about-gbd" TargetMode="External"/><Relationship Id="rId99" Type="http://schemas.openxmlformats.org/officeDocument/2006/relationships/hyperlink" Target="http://www.stats.govt.nz/information-releases/national-ethnic-population-projections-2018base2043-update" TargetMode="External"/><Relationship Id="rId101" Type="http://schemas.openxmlformats.org/officeDocument/2006/relationships/hyperlink" Target="http://www.who.int/news-room/fact-sheets/detail/chronic-obstructive-pulmonary-disease-(copd)"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hyperlink" Target="http://www.minhealthnz.shinyapps.io/WhakamauaDashboard"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Mail" ma:contentTypeID="0x010100709A465B05B231479C1A947CB383B18C00BA801919B0999C4FBC7EA49F19AB0746" ma:contentTypeVersion="56" ma:contentTypeDescription="Create a new document." ma:contentTypeScope="" ma:versionID="d3f8c361f380b6fcad6ae99518c05041">
  <xsd:schema xmlns:xsd="http://www.w3.org/2001/XMLSchema" xmlns:xs="http://www.w3.org/2001/XMLSchema" xmlns:p="http://schemas.microsoft.com/office/2006/metadata/properties" xmlns:ns1="http://schemas.microsoft.com/sharepoint/v3" xmlns:ns2="4f9c820c-e7e2-444d-97ee-45f2b3485c1d" xmlns:ns3="c91a514c-9034-4fa3-897a-8352025b26ed" xmlns:ns4="15ffb055-6eb4-45a1-bc20-bf2ac0d420da" xmlns:ns5="184c05c4-c568-455d-94a4-7e009b164348" xmlns:ns6="725c79e5-42ce-4aa0-ac78-b6418001f0d2" xmlns:ns7="e26494fe-878b-4c4d-9516-c808f6cc62e4" xmlns:ns8="c5b47098-0215-444c-9096-523bda4ac5c6" targetNamespace="http://schemas.microsoft.com/office/2006/metadata/properties" ma:root="true" ma:fieldsID="960ac24df44a8e6e253723a908aa328f" ns1:_="" ns2:_="" ns3:_="" ns4:_="" ns5:_="" ns6:_="" ns7:_="" ns8:_="">
    <xsd:import namespace="http://schemas.microsoft.com/sharepoint/v3"/>
    <xsd:import namespace="4f9c820c-e7e2-444d-97ee-45f2b3485c1d"/>
    <xsd:import namespace="c91a514c-9034-4fa3-897a-8352025b26ed"/>
    <xsd:import namespace="15ffb055-6eb4-45a1-bc20-bf2ac0d420da"/>
    <xsd:import namespace="184c05c4-c568-455d-94a4-7e009b164348"/>
    <xsd:import namespace="725c79e5-42ce-4aa0-ac78-b6418001f0d2"/>
    <xsd:import namespace="e26494fe-878b-4c4d-9516-c808f6cc62e4"/>
    <xsd:import namespace="c5b47098-0215-444c-9096-523bda4ac5c6"/>
    <xsd:element name="properties">
      <xsd:complexType>
        <xsd:sequence>
          <xsd:element name="documentManagement">
            <xsd:complexType>
              <xsd:all>
                <xsd:element ref="ns2:To" minOccurs="0"/>
                <xsd:element ref="ns3:ILFrom" minOccurs="0"/>
                <xsd:element ref="ns2:Sent" minOccurs="0"/>
                <xsd:element ref="ns4:Received" minOccurs="0"/>
                <xsd:element ref="ns2:OriginalSubject" minOccurs="0"/>
                <xsd:element ref="ns3:CC" minOccurs="0"/>
                <xsd:element ref="ns5:HasNHI" minOccurs="0"/>
                <xsd:element ref="ns4:SecurityClassification" minOccurs="0"/>
                <xsd:element ref="ns6:AggregationNarrative" minOccurs="0"/>
                <xsd:element ref="ns2:RelatedPeople" minOccurs="0"/>
                <xsd:element ref="ns2:Case" minOccurs="0"/>
                <xsd:element ref="ns2:Activity" minOccurs="0"/>
                <xsd:element ref="ns2:Function" minOccurs="0"/>
                <xsd:element ref="ns2:Project" minOccurs="0"/>
                <xsd:element ref="ns2:CategoryName"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CategoryValue" minOccurs="0"/>
                <xsd:element ref="ns2:BusinessValue" minOccurs="0"/>
                <xsd:element ref="ns2:FunctionGroup" minOccurs="0"/>
                <xsd:element ref="ns4:MailPreviewData" minOccurs="0"/>
                <xsd:element ref="ns2:Subactivity" minOccurs="0"/>
                <xsd:element ref="ns3:Channel" minOccurs="0"/>
                <xsd:element ref="ns3:Team" minOccurs="0"/>
                <xsd:element ref="ns2:Narrative" minOccurs="0"/>
                <xsd:element ref="ns4:KeyWords" minOccurs="0"/>
                <xsd:element ref="ns3:Level2" minOccurs="0"/>
                <xsd:element ref="ns3:Level3" minOccurs="0"/>
                <xsd:element ref="ns3:Year" minOccurs="0"/>
                <xsd:element ref="ns2:DocumentType" minOccurs="0"/>
                <xsd:element ref="ns1:_ExtendedDescription" minOccurs="0"/>
                <xsd:element ref="ns4:HarmonieUIHidden" minOccurs="0"/>
                <xsd:element ref="ns3:OverrideLabel" minOccurs="0"/>
                <xsd:element ref="ns3:SetLabel" minOccurs="0"/>
                <xsd:element ref="ns5:zLegacy" minOccurs="0"/>
                <xsd:element ref="ns5:zLegacyID" minOccurs="0"/>
                <xsd:element ref="ns5:zLegacyJSON" minOccurs="0"/>
                <xsd:element ref="ns5:CopiedFrom" minOccurs="0"/>
                <xsd:element ref="ns5:Endorsements" minOccurs="0"/>
                <xsd:element ref="ns7:lcf76f155ced4ddcb4097134ff3c332f" minOccurs="0"/>
                <xsd:element ref="ns8: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49" nillable="true" ma:displayName="Description" ma:hidden="true" ma:internalName="_Extended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To" ma:index="8" nillable="true" ma:displayName="To" ma:internalName="To" ma:readOnly="false">
      <xsd:simpleType>
        <xsd:restriction base="dms:Text">
          <xsd:maxLength value="255"/>
        </xsd:restriction>
      </xsd:simpleType>
    </xsd:element>
    <xsd:element name="Sent" ma:index="10" nillable="true" ma:displayName="Sent" ma:format="DateTime" ma:internalName="Sent" ma:readOnly="false">
      <xsd:simpleType>
        <xsd:restriction base="dms:DateTime"/>
      </xsd:simpleType>
    </xsd:element>
    <xsd:element name="OriginalSubject" ma:index="13" nillable="true" ma:displayName="Original Subject" ma:internalName="OriginalSubject" ma:readOnly="false">
      <xsd:simpleType>
        <xsd:restriction base="dms:Text">
          <xsd:maxLength value="255"/>
        </xsd:restriction>
      </xsd:simpleType>
    </xsd:element>
    <xsd:element name="RelatedPeople" ma:index="18"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 ma:index="19" nillable="true" ma:displayName="Case" ma:default="NA" ma:hidden="true" ma:internalName="Case" ma:readOnly="false">
      <xsd:simpleType>
        <xsd:restriction base="dms:Text">
          <xsd:maxLength value="255"/>
        </xsd:restriction>
      </xsd:simpleType>
    </xsd:element>
    <xsd:element name="Activity" ma:index="20" nillable="true" ma:displayName="Activity" ma:default="Global Burden of Disease [Restricted]" ma:hidden="true" ma:internalName="Activity" ma:readOnly="false">
      <xsd:simpleType>
        <xsd:restriction base="dms:Text">
          <xsd:maxLength value="255"/>
        </xsd:restriction>
      </xsd:simpleType>
    </xsd:element>
    <xsd:element name="Function" ma:index="21" nillable="true" ma:displayName="Function" ma:default="Analytics and Insights" ma:hidden="true" ma:internalName="Function" ma:readOnly="false">
      <xsd:simpleType>
        <xsd:restriction base="dms:Text">
          <xsd:maxLength value="255"/>
        </xsd:restriction>
      </xsd:simpleType>
    </xsd:element>
    <xsd:element name="Project" ma:index="22" nillable="true" ma:displayName="Project" ma:default="NA" ma:hidden="true" ma:internalName="Project" ma:readOnly="false">
      <xsd:simpleType>
        <xsd:restriction base="dms:Text">
          <xsd:maxLength value="255"/>
        </xsd:restriction>
      </xsd:simpleType>
    </xsd:element>
    <xsd:element name="CategoryName" ma:index="23" nillable="true" ma:displayName="Category 1" ma:default="NA" ma:hidden="true" ma:internalName="CategoryName" ma:readOnly="false">
      <xsd:simpleType>
        <xsd:restriction base="dms:Text">
          <xsd:maxLength value="255"/>
        </xsd:restriction>
      </xsd:simpleType>
    </xsd:element>
    <xsd:element name="PRAType" ma:index="24" nillable="true" ma:displayName="PRA Type" ma:default="Doc" ma:hidden="true" ma:indexed="true" ma:internalName="PRAType" ma:readOnly="false">
      <xsd:simpleType>
        <xsd:restriction base="dms:Text">
          <xsd:maxLength value="255"/>
        </xsd:restriction>
      </xsd:simpleType>
    </xsd:element>
    <xsd:element name="PRADate1" ma:index="25" nillable="true" ma:displayName="PRA Date 1" ma:format="DateOnly" ma:hidden="true" ma:internalName="PRADate1" ma:readOnly="false">
      <xsd:simpleType>
        <xsd:restriction base="dms:DateTime"/>
      </xsd:simpleType>
    </xsd:element>
    <xsd:element name="PRADate2" ma:index="26" nillable="true" ma:displayName="PRA Date 2" ma:format="DateOnly" ma:hidden="true" ma:internalName="PRADate2" ma:readOnly="false">
      <xsd:simpleType>
        <xsd:restriction base="dms:DateTime"/>
      </xsd:simpleType>
    </xsd:element>
    <xsd:element name="PRADate3" ma:index="27" nillable="true" ma:displayName="PRA Date 3" ma:format="DateOnly" ma:hidden="true" ma:internalName="PRADate3" ma:readOnly="false">
      <xsd:simpleType>
        <xsd:restriction base="dms:DateTime"/>
      </xsd:simpleType>
    </xsd:element>
    <xsd:element name="PRADateDisposal" ma:index="28" nillable="true" ma:displayName="PRA Date Disposal" ma:format="DateOnly" ma:hidden="true" ma:internalName="PRADateDisposal" ma:readOnly="false">
      <xsd:simpleType>
        <xsd:restriction base="dms:DateTime"/>
      </xsd:simpleType>
    </xsd:element>
    <xsd:element name="PRADateTrigger" ma:index="29" nillable="true" ma:displayName="PRA Date Trigger" ma:format="DateOnly" ma:hidden="true" ma:internalName="PRADateTrigger" ma:readOnly="false">
      <xsd:simpleType>
        <xsd:restriction base="dms:DateTime"/>
      </xsd:simpleType>
    </xsd:element>
    <xsd:element name="PRAText1" ma:index="30" nillable="true" ma:displayName="PRA Text 1" ma:hidden="true" ma:internalName="PRAText1" ma:readOnly="false">
      <xsd:simpleType>
        <xsd:restriction base="dms:Text">
          <xsd:maxLength value="255"/>
        </xsd:restriction>
      </xsd:simpleType>
    </xsd:element>
    <xsd:element name="PRAText2" ma:index="31" nillable="true" ma:displayName="PRA Text 2" ma:hidden="true" ma:internalName="PRAText2" ma:readOnly="false">
      <xsd:simpleType>
        <xsd:restriction base="dms:Text">
          <xsd:maxLength value="255"/>
        </xsd:restriction>
      </xsd:simpleType>
    </xsd:element>
    <xsd:element name="PRAText3" ma:index="32" nillable="true" ma:displayName="PRA Text 3" ma:hidden="true" ma:internalName="PRAText3" ma:readOnly="false">
      <xsd:simpleType>
        <xsd:restriction base="dms:Text">
          <xsd:maxLength value="255"/>
        </xsd:restriction>
      </xsd:simpleType>
    </xsd:element>
    <xsd:element name="PRAText4" ma:index="33" nillable="true" ma:displayName="PRA Text 4" ma:hidden="true" ma:internalName="PRAText4" ma:readOnly="false">
      <xsd:simpleType>
        <xsd:restriction base="dms:Text">
          <xsd:maxLength value="255"/>
        </xsd:restriction>
      </xsd:simpleType>
    </xsd:element>
    <xsd:element name="PRAText5" ma:index="34" nillable="true" ma:displayName="PRA Text 5" ma:hidden="true" ma:internalName="PRAText5" ma:readOnly="false">
      <xsd:simpleType>
        <xsd:restriction base="dms:Text">
          <xsd:maxLength value="255"/>
        </xsd:restriction>
      </xsd:simpleType>
    </xsd:element>
    <xsd:element name="AggregationStatus" ma:index="35"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CategoryValue" ma:index="36" nillable="true" ma:displayName="Category 2" ma:default="NA" ma:hidden="true" ma:internalName="CategoryValue" ma:readOnly="false">
      <xsd:simpleType>
        <xsd:restriction base="dms:Text">
          <xsd:maxLength value="255"/>
        </xsd:restriction>
      </xsd:simpleType>
    </xsd:element>
    <xsd:element name="BusinessValue" ma:index="37" nillable="true" ma:displayName="Business Value" ma:hidden="true" ma:internalName="BusinessValue" ma:readOnly="false">
      <xsd:simpleType>
        <xsd:restriction base="dms:Text">
          <xsd:maxLength value="255"/>
        </xsd:restriction>
      </xsd:simpleType>
    </xsd:element>
    <xsd:element name="FunctionGroup" ma:index="38" nillable="true" ma:displayName="Function Group" ma:default="Evidence and Research" ma:hidden="true" ma:internalName="FunctionGroup" ma:readOnly="false">
      <xsd:simpleType>
        <xsd:restriction base="dms:Text">
          <xsd:maxLength value="255"/>
        </xsd:restriction>
      </xsd:simpleType>
    </xsd:element>
    <xsd:element name="Subactivity" ma:index="40" nillable="true" ma:displayName="Subactivity" ma:default="NA" ma:hidden="true" ma:internalName="Subactivity" ma:readOnly="false">
      <xsd:simpleType>
        <xsd:restriction base="dms:Text">
          <xsd:maxLength value="255"/>
        </xsd:restriction>
      </xsd:simpleType>
    </xsd:element>
    <xsd:element name="Narrative" ma:index="43" nillable="true" ma:displayName="Narrative" ma:hidden="true" ma:internalName="Narrative" ma:readOnly="false">
      <xsd:simpleType>
        <xsd:restriction base="dms:Note"/>
      </xsd:simpleType>
    </xsd:element>
    <xsd:element name="DocumentType" ma:index="48"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ILFrom" ma:index="9" nillable="true" ma:displayName="From" ma:internalName="ILFrom" ma:readOnly="false">
      <xsd:simpleType>
        <xsd:restriction base="dms:Text">
          <xsd:maxLength value="255"/>
        </xsd:restriction>
      </xsd:simpleType>
    </xsd:element>
    <xsd:element name="CC" ma:index="14" nillable="true" ma:displayName="CC" ma:internalName="CC" ma:readOnly="false">
      <xsd:simpleType>
        <xsd:restriction base="dms:Text">
          <xsd:maxLength value="255"/>
        </xsd:restriction>
      </xsd:simpleType>
    </xsd:element>
    <xsd:element name="Channel" ma:index="41" nillable="true" ma:displayName="Channel" ma:default="NA" ma:hidden="true" ma:internalName="Channel" ma:readOnly="false">
      <xsd:simpleType>
        <xsd:restriction base="dms:Text">
          <xsd:maxLength value="255"/>
        </xsd:restriction>
      </xsd:simpleType>
    </xsd:element>
    <xsd:element name="Team" ma:index="42" nillable="true" ma:displayName="Team" ma:default="Analytics and Insights" ma:hidden="true" ma:internalName="Team" ma:readOnly="false">
      <xsd:simpleType>
        <xsd:restriction base="dms:Text">
          <xsd:maxLength value="255"/>
        </xsd:restriction>
      </xsd:simpleType>
    </xsd:element>
    <xsd:element name="Level2" ma:index="45" nillable="true" ma:displayName="Level 2" ma:default="NA" ma:hidden="true" ma:internalName="Level2" ma:readOnly="false">
      <xsd:simpleType>
        <xsd:restriction base="dms:Text">
          <xsd:maxLength value="255"/>
        </xsd:restriction>
      </xsd:simpleType>
    </xsd:element>
    <xsd:element name="Level3" ma:index="46" nillable="true" ma:displayName="Level 3" ma:default="NA" ma:hidden="true" ma:internalName="Level3" ma:readOnly="false">
      <xsd:simpleType>
        <xsd:restriction base="dms:Text">
          <xsd:maxLength value="255"/>
        </xsd:restriction>
      </xsd:simpleType>
    </xsd:element>
    <xsd:element name="Year" ma:index="47" nillable="true" ma:displayName="Year" ma:default="NA" ma:hidden="true" ma:internalName="Year" ma:readOnly="false">
      <xsd:simpleType>
        <xsd:restriction base="dms:Text">
          <xsd:maxLength value="255"/>
        </xsd:restriction>
      </xsd:simpleType>
    </xsd:element>
    <xsd:element name="OverrideLabel" ma:index="51" nillable="true" ma:displayName="Override Label" ma:hidden="true" ma:indexed="true" ma:internalName="OverrideLabel" ma:readOnly="false">
      <xsd:simpleType>
        <xsd:restriction base="dms:Text">
          <xsd:maxLength value="255"/>
        </xsd:restriction>
      </xsd:simpleType>
    </xsd:element>
    <xsd:element name="SetLabel" ma:index="52"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Received" ma:index="11" nillable="true" ma:displayName="Received" ma:format="DateOnly" ma:internalName="Received" ma:readOnly="false">
      <xsd:simpleType>
        <xsd:restriction base="dms:DateTime"/>
      </xsd:simpleType>
    </xsd:element>
    <xsd:element name="SecurityClassification" ma:index="16"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element name="MailPreviewData" ma:index="39" nillable="true" ma:displayName="MailPreviewData" ma:hidden="true" ma:internalName="MailPreviewData" ma:readOnly="false">
      <xsd:simpleType>
        <xsd:restriction base="dms:Note"/>
      </xsd:simpleType>
    </xsd:element>
    <xsd:element name="KeyWords" ma:index="44" nillable="true" ma:displayName="Key Words" ma:hidden="true" ma:internalName="KeyWords" ma:readOnly="false">
      <xsd:simpleType>
        <xsd:restriction base="dms:Note"/>
      </xsd:simpleType>
    </xsd:element>
    <xsd:element name="HarmonieUIHidden" ma:index="50" nillable="true" ma:displayName="HarmonieUIHidden" ma:hidden="true" ma:internalName="HarmonieUIHidde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15" nillable="true" ma:displayName="Has NHI" ma:default="0" ma:internalName="HasNHI" ma:readOnly="false">
      <xsd:simpleType>
        <xsd:restriction base="dms:Boolean"/>
      </xsd:simpleType>
    </xsd:element>
    <xsd:element name="zLegacy" ma:index="53" nillable="true" ma:displayName="zLegacy" ma:hidden="true" ma:internalName="zLegacy" ma:readOnly="false">
      <xsd:simpleType>
        <xsd:restriction base="dms:Note"/>
      </xsd:simpleType>
    </xsd:element>
    <xsd:element name="zLegacyID" ma:index="54" nillable="true" ma:displayName="zLegacyID" ma:hidden="true" ma:indexed="true" ma:internalName="zLegacyID" ma:readOnly="false">
      <xsd:simpleType>
        <xsd:restriction base="dms:Text">
          <xsd:maxLength value="255"/>
        </xsd:restriction>
      </xsd:simpleType>
    </xsd:element>
    <xsd:element name="zLegacyJSON" ma:index="55" nillable="true" ma:displayName="zLegacyJSON" ma:hidden="true" ma:internalName="zLegacyJSON" ma:readOnly="false">
      <xsd:simpleType>
        <xsd:restriction base="dms:Note"/>
      </xsd:simpleType>
    </xsd:element>
    <xsd:element name="CopiedFrom" ma:index="56" nillable="true" ma:displayName="Copied From" ma:hidden="true" ma:internalName="CopiedFrom" ma:readOnly="false">
      <xsd:simpleType>
        <xsd:restriction base="dms:Text">
          <xsd:maxLength value="255"/>
        </xsd:restriction>
      </xsd:simpleType>
    </xsd:element>
    <xsd:element name="Endorsements" ma:index="57"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1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494fe-878b-4c4d-9516-c808f6cc62e4" elementFormDefault="qualified">
    <xsd:import namespace="http://schemas.microsoft.com/office/2006/documentManagement/types"/>
    <xsd:import namespace="http://schemas.microsoft.com/office/infopath/2007/PartnerControls"/>
    <xsd:element name="lcf76f155ced4ddcb4097134ff3c332f" ma:index="58"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TaxCatchAll" ma:index="59" nillable="true" ma:displayName="Taxonomy Catch All Column" ma:hidden="true" ma:list="{aa5b289b-de1c-44a5-94ae-16de97d43951}"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Global Burden of Disease [Restricted]</Activity>
    <AggregationStatus xmlns="4f9c820c-e7e2-444d-97ee-45f2b3485c1d">Normal</AggregationStatus>
    <CategoryValue xmlns="4f9c820c-e7e2-444d-97ee-45f2b3485c1d">NA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Analytics and Insights</Team>
    <Project xmlns="4f9c820c-e7e2-444d-97ee-45f2b3485c1d">NA</Project>
    <HasNHI xmlns="184c05c4-c568-455d-94a4-7e009b164348">false</HasNHI>
    <FunctionGroup xmlns="4f9c820c-e7e2-444d-97ee-45f2b3485c1d">Evidence and Research</FunctionGroup>
    <Function xmlns="4f9c820c-e7e2-444d-97ee-45f2b3485c1d">Analytics and Insights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OverrideLabel xmlns="c91a514c-9034-4fa3-897a-8352025b26ed" xsi:nil="true"/>
    <TaxCatchAll xmlns="c5b47098-0215-444c-9096-523bda4ac5c6" xsi:nil="true"/>
    <lcf76f155ced4ddcb4097134ff3c332f xmlns="e26494fe-878b-4c4d-9516-c808f6cc62e4" xsi:nil="true"/>
    <SetLabel xmlns="c91a514c-9034-4fa3-897a-8352025b26ed">Retain</SetLabel>
    <OriginalSubject xmlns="4f9c820c-e7e2-444d-97ee-45f2b3485c1d" xsi:nil="true"/>
    <ILFrom xmlns="c91a514c-9034-4fa3-897a-8352025b26ed" xsi:nil="true"/>
    <Sent xmlns="4f9c820c-e7e2-444d-97ee-45f2b3485c1d" xsi:nil="true"/>
    <CC xmlns="c91a514c-9034-4fa3-897a-8352025b26ed" xsi:nil="true"/>
    <_ExtendedDescription xmlns="http://schemas.microsoft.com/sharepoint/v3" xsi:nil="true"/>
    <Received xmlns="15ffb055-6eb4-45a1-bc20-bf2ac0d420da" xsi:nil="true"/>
    <HarmonieUIHidden xmlns="15ffb055-6eb4-45a1-bc20-bf2ac0d420da" xsi:nil="true"/>
    <To xmlns="4f9c820c-e7e2-444d-97ee-45f2b3485c1d" xsi:nil="true"/>
    <MailPreviewData xmlns="15ffb055-6eb4-45a1-bc20-bf2ac0d420da" xsi:nil="true"/>
  </documentManagement>
</p:properties>
</file>

<file path=customXml/itemProps1.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2.xml><?xml version="1.0" encoding="utf-8"?>
<ds:datastoreItem xmlns:ds="http://schemas.openxmlformats.org/officeDocument/2006/customXml" ds:itemID="{F2AEA102-2B08-4FCA-B630-49A8171C89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9c820c-e7e2-444d-97ee-45f2b3485c1d"/>
    <ds:schemaRef ds:uri="c91a514c-9034-4fa3-897a-8352025b26ed"/>
    <ds:schemaRef ds:uri="15ffb055-6eb4-45a1-bc20-bf2ac0d420da"/>
    <ds:schemaRef ds:uri="184c05c4-c568-455d-94a4-7e009b164348"/>
    <ds:schemaRef ds:uri="725c79e5-42ce-4aa0-ac78-b6418001f0d2"/>
    <ds:schemaRef ds:uri="e26494fe-878b-4c4d-9516-c808f6cc62e4"/>
    <ds:schemaRef ds:uri="c5b47098-0215-444c-9096-523bda4ac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5.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725c79e5-42ce-4aa0-ac78-b6418001f0d2"/>
    <ds:schemaRef ds:uri="c5b47098-0215-444c-9096-523bda4ac5c6"/>
    <ds:schemaRef ds:uri="e26494fe-878b-4c4d-9516-c808f6cc62e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70</Pages>
  <Words>13837</Words>
  <Characters>78873</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Māori Years of Life Lost: Estimates from the Global Burden of Disease Study, 2021</vt:lpstr>
    </vt:vector>
  </TitlesOfParts>
  <Company>Microsoft</Company>
  <LinksUpToDate>false</LinksUpToDate>
  <CharactersWithSpaces>92525</CharactersWithSpaces>
  <SharedDoc>false</SharedDoc>
  <HLinks>
    <vt:vector size="378" baseType="variant">
      <vt:variant>
        <vt:i4>5636101</vt:i4>
      </vt:variant>
      <vt:variant>
        <vt:i4>840</vt:i4>
      </vt:variant>
      <vt:variant>
        <vt:i4>0</vt:i4>
      </vt:variant>
      <vt:variant>
        <vt:i4>5</vt:i4>
      </vt:variant>
      <vt:variant>
        <vt:lpwstr>http://www.who.int/news-room/fact-sheets/detail/chronic-obstructive-pulmonary-disease-(copd)</vt:lpwstr>
      </vt:variant>
      <vt:variant>
        <vt:lpwstr/>
      </vt:variant>
      <vt:variant>
        <vt:i4>7340132</vt:i4>
      </vt:variant>
      <vt:variant>
        <vt:i4>837</vt:i4>
      </vt:variant>
      <vt:variant>
        <vt:i4>0</vt:i4>
      </vt:variant>
      <vt:variant>
        <vt:i4>5</vt:i4>
      </vt:variant>
      <vt:variant>
        <vt:lpwstr>http://www.stroke.org.nz/understanding-stroke/what-is-a-stroke</vt:lpwstr>
      </vt:variant>
      <vt:variant>
        <vt:lpwstr/>
      </vt:variant>
      <vt:variant>
        <vt:i4>4259935</vt:i4>
      </vt:variant>
      <vt:variant>
        <vt:i4>834</vt:i4>
      </vt:variant>
      <vt:variant>
        <vt:i4>0</vt:i4>
      </vt:variant>
      <vt:variant>
        <vt:i4>5</vt:i4>
      </vt:variant>
      <vt:variant>
        <vt:lpwstr>http://www.stats.govt.nz/information-releases/national-ethnic-population-projections-2018base2043-update</vt:lpwstr>
      </vt:variant>
      <vt:variant>
        <vt:lpwstr/>
      </vt:variant>
      <vt:variant>
        <vt:i4>4980817</vt:i4>
      </vt:variant>
      <vt:variant>
        <vt:i4>831</vt:i4>
      </vt:variant>
      <vt:variant>
        <vt:i4>0</vt:i4>
      </vt:variant>
      <vt:variant>
        <vt:i4>5</vt:i4>
      </vt:variant>
      <vt:variant>
        <vt:lpwstr>http://www.health.govt.nz/statistics-research/research/global-burden-of-disease-study/maori-years-of-life-lost-estimates</vt:lpwstr>
      </vt:variant>
      <vt:variant>
        <vt:lpwstr/>
      </vt:variant>
      <vt:variant>
        <vt:i4>8257585</vt:i4>
      </vt:variant>
      <vt:variant>
        <vt:i4>828</vt:i4>
      </vt:variant>
      <vt:variant>
        <vt:i4>0</vt:i4>
      </vt:variant>
      <vt:variant>
        <vt:i4>5</vt:i4>
      </vt:variant>
      <vt:variant>
        <vt:lpwstr>http://www.minhealthnz.shinyapps.io/WhakamauaDashboard</vt:lpwstr>
      </vt:variant>
      <vt:variant>
        <vt:lpwstr/>
      </vt:variant>
      <vt:variant>
        <vt:i4>852000</vt:i4>
      </vt:variant>
      <vt:variant>
        <vt:i4>825</vt:i4>
      </vt:variant>
      <vt:variant>
        <vt:i4>0</vt:i4>
      </vt:variant>
      <vt:variant>
        <vt:i4>5</vt:i4>
      </vt:variant>
      <vt:variant>
        <vt:lpwstr>http://www.health.govt.nz/system/files/2018-11/position-paper-maori-health-analytics-age-standardisation-nov18_0.pdf</vt:lpwstr>
      </vt:variant>
      <vt:variant>
        <vt:lpwstr/>
      </vt:variant>
      <vt:variant>
        <vt:i4>6946934</vt:i4>
      </vt:variant>
      <vt:variant>
        <vt:i4>822</vt:i4>
      </vt:variant>
      <vt:variant>
        <vt:i4>0</vt:i4>
      </vt:variant>
      <vt:variant>
        <vt:i4>5</vt:i4>
      </vt:variant>
      <vt:variant>
        <vt:lpwstr>http://www.kahuiraraunga.io/maoridatagovernance</vt:lpwstr>
      </vt:variant>
      <vt:variant>
        <vt:lpwstr/>
      </vt:variant>
      <vt:variant>
        <vt:i4>4718600</vt:i4>
      </vt:variant>
      <vt:variant>
        <vt:i4>819</vt:i4>
      </vt:variant>
      <vt:variant>
        <vt:i4>0</vt:i4>
      </vt:variant>
      <vt:variant>
        <vt:i4>5</vt:i4>
      </vt:variant>
      <vt:variant>
        <vt:lpwstr>http://www.healthdata.org/research-analysis/about-gbd</vt:lpwstr>
      </vt:variant>
      <vt:variant>
        <vt:lpwstr/>
      </vt:variant>
      <vt:variant>
        <vt:i4>8257577</vt:i4>
      </vt:variant>
      <vt:variant>
        <vt:i4>816</vt:i4>
      </vt:variant>
      <vt:variant>
        <vt:i4>0</vt:i4>
      </vt:variant>
      <vt:variant>
        <vt:i4>5</vt:i4>
      </vt:variant>
      <vt:variant>
        <vt:lpwstr>http://www.heartfoundation.org.nz/wellbeing/managing-risk/managing-diabetes</vt:lpwstr>
      </vt:variant>
      <vt:variant>
        <vt:lpwstr/>
      </vt:variant>
      <vt:variant>
        <vt:i4>262235</vt:i4>
      </vt:variant>
      <vt:variant>
        <vt:i4>813</vt:i4>
      </vt:variant>
      <vt:variant>
        <vt:i4>0</vt:i4>
      </vt:variant>
      <vt:variant>
        <vt:i4>5</vt:i4>
      </vt:variant>
      <vt:variant>
        <vt:lpwstr>http://www.heartfoundation.org.nz/your-heart/heart-conditions/coronary-artery-disease</vt:lpwstr>
      </vt:variant>
      <vt:variant>
        <vt:lpwstr/>
      </vt:variant>
      <vt:variant>
        <vt:i4>4325471</vt:i4>
      </vt:variant>
      <vt:variant>
        <vt:i4>810</vt:i4>
      </vt:variant>
      <vt:variant>
        <vt:i4>0</vt:i4>
      </vt:variant>
      <vt:variant>
        <vt:i4>5</vt:i4>
      </vt:variant>
      <vt:variant>
        <vt:lpwstr>http://www.hqsc.govt.nz/our-data/atlas-of-healthcare-variation/chronic-obstructive-pulmonary-disease</vt:lpwstr>
      </vt:variant>
      <vt:variant>
        <vt:lpwstr/>
      </vt:variant>
      <vt:variant>
        <vt:i4>458837</vt:i4>
      </vt:variant>
      <vt:variant>
        <vt:i4>807</vt:i4>
      </vt:variant>
      <vt:variant>
        <vt:i4>0</vt:i4>
      </vt:variant>
      <vt:variant>
        <vt:i4>5</vt:i4>
      </vt:variant>
      <vt:variant>
        <vt:lpwstr>http://www.tewhatuora.shinyapps.io/virtual-diabetes-register-web-tool</vt:lpwstr>
      </vt:variant>
      <vt:variant>
        <vt:lpwstr/>
      </vt:variant>
      <vt:variant>
        <vt:i4>5636104</vt:i4>
      </vt:variant>
      <vt:variant>
        <vt:i4>804</vt:i4>
      </vt:variant>
      <vt:variant>
        <vt:i4>0</vt:i4>
      </vt:variant>
      <vt:variant>
        <vt:i4>5</vt:i4>
      </vt:variant>
      <vt:variant>
        <vt:lpwstr>http://www.tewhatuora.shinyapps.io/mortality-web-tool</vt:lpwstr>
      </vt:variant>
      <vt:variant>
        <vt:lpwstr/>
      </vt:variant>
      <vt:variant>
        <vt:i4>1572951</vt:i4>
      </vt:variant>
      <vt:variant>
        <vt:i4>801</vt:i4>
      </vt:variant>
      <vt:variant>
        <vt:i4>0</vt:i4>
      </vt:variant>
      <vt:variant>
        <vt:i4>5</vt:i4>
      </vt:variant>
      <vt:variant>
        <vt:lpwstr>http://www.tewhatuora.govt.nz/for-health-professionals/data-and-statistics/nz-health-statistics/classification/about</vt:lpwstr>
      </vt:variant>
      <vt:variant>
        <vt:lpwstr/>
      </vt:variant>
      <vt:variant>
        <vt:i4>4784195</vt:i4>
      </vt:variant>
      <vt:variant>
        <vt:i4>798</vt:i4>
      </vt:variant>
      <vt:variant>
        <vt:i4>0</vt:i4>
      </vt:variant>
      <vt:variant>
        <vt:i4>5</vt:i4>
      </vt:variant>
      <vt:variant>
        <vt:lpwstr>http://www.info.health.nz/conditions-treatments/bladder-kidney-and-urinary-system/chronic-kidney-disease</vt:lpwstr>
      </vt:variant>
      <vt:variant>
        <vt:lpwstr/>
      </vt:variant>
      <vt:variant>
        <vt:i4>5251180</vt:i4>
      </vt:variant>
      <vt:variant>
        <vt:i4>795</vt:i4>
      </vt:variant>
      <vt:variant>
        <vt:i4>0</vt:i4>
      </vt:variant>
      <vt:variant>
        <vt:i4>5</vt:i4>
      </vt:variant>
      <vt:variant>
        <vt:lpwstr>http://www.health.govt.nz/system/files/2025-07/priority-4-key-insights–june-2025.pdf</vt:lpwstr>
      </vt:variant>
      <vt:variant>
        <vt:lpwstr/>
      </vt:variant>
      <vt:variant>
        <vt:i4>4784193</vt:i4>
      </vt:variant>
      <vt:variant>
        <vt:i4>792</vt:i4>
      </vt:variant>
      <vt:variant>
        <vt:i4>0</vt:i4>
      </vt:variant>
      <vt:variant>
        <vt:i4>5</vt:i4>
      </vt:variant>
      <vt:variant>
        <vt:lpwstr>http://www.stats.govt.nz/research/reviewing-the-quality-of-ethnicity-data-from-administrative-sources-comparison-with-the-census</vt:lpwstr>
      </vt:variant>
      <vt:variant>
        <vt:lpwstr/>
      </vt:variant>
      <vt:variant>
        <vt:i4>537657426</vt:i4>
      </vt:variant>
      <vt:variant>
        <vt:i4>450</vt:i4>
      </vt:variant>
      <vt:variant>
        <vt:i4>0</vt:i4>
      </vt:variant>
      <vt:variant>
        <vt:i4>5</vt:i4>
      </vt:variant>
      <vt:variant>
        <vt:lpwstr/>
      </vt:variant>
      <vt:variant>
        <vt:lpwstr>_Methodology_–_Tikanga</vt:lpwstr>
      </vt:variant>
      <vt:variant>
        <vt:i4>1376331</vt:i4>
      </vt:variant>
      <vt:variant>
        <vt:i4>441</vt:i4>
      </vt:variant>
      <vt:variant>
        <vt:i4>0</vt:i4>
      </vt:variant>
      <vt:variant>
        <vt:i4>5</vt:i4>
      </vt:variant>
      <vt:variant>
        <vt:lpwstr>https://www.tewhatuora.govt.nz/assets/Our-health-system/Digital-health/Health-information-standards/HISO-10001-2017-Ethnicity-Data-Protocols.pdf</vt:lpwstr>
      </vt:variant>
      <vt:variant>
        <vt:lpwstr/>
      </vt:variant>
      <vt:variant>
        <vt:i4>6357111</vt:i4>
      </vt:variant>
      <vt:variant>
        <vt:i4>438</vt:i4>
      </vt:variant>
      <vt:variant>
        <vt:i4>0</vt:i4>
      </vt:variant>
      <vt:variant>
        <vt:i4>5</vt:i4>
      </vt:variant>
      <vt:variant>
        <vt:lpwstr>https://vizhub.healthdata.org/gbd-compare/</vt:lpwstr>
      </vt:variant>
      <vt:variant>
        <vt:lpwstr/>
      </vt:variant>
      <vt:variant>
        <vt:i4>2555962</vt:i4>
      </vt:variant>
      <vt:variant>
        <vt:i4>435</vt:i4>
      </vt:variant>
      <vt:variant>
        <vt:i4>0</vt:i4>
      </vt:variant>
      <vt:variant>
        <vt:i4>5</vt:i4>
      </vt:variant>
      <vt:variant>
        <vt:lpwstr>http://ihmeuw.org/7bvl</vt:lpwstr>
      </vt:variant>
      <vt:variant>
        <vt:lpwstr/>
      </vt:variant>
      <vt:variant>
        <vt:i4>6488098</vt:i4>
      </vt:variant>
      <vt:variant>
        <vt:i4>432</vt:i4>
      </vt:variant>
      <vt:variant>
        <vt:i4>0</vt:i4>
      </vt:variant>
      <vt:variant>
        <vt:i4>5</vt:i4>
      </vt:variant>
      <vt:variant>
        <vt:lpwstr>https://gbd2021.healthdata.org/gbd-results/?params=gbd-api-2021-permalink/486d0a08613b5ed1f7d5227084e5ae7c</vt:lpwstr>
      </vt:variant>
      <vt:variant>
        <vt:lpwstr/>
      </vt:variant>
      <vt:variant>
        <vt:i4>1048625</vt:i4>
      </vt:variant>
      <vt:variant>
        <vt:i4>242</vt:i4>
      </vt:variant>
      <vt:variant>
        <vt:i4>0</vt:i4>
      </vt:variant>
      <vt:variant>
        <vt:i4>5</vt:i4>
      </vt:variant>
      <vt:variant>
        <vt:lpwstr/>
      </vt:variant>
      <vt:variant>
        <vt:lpwstr>_Toc216345109</vt:lpwstr>
      </vt:variant>
      <vt:variant>
        <vt:i4>1048625</vt:i4>
      </vt:variant>
      <vt:variant>
        <vt:i4>236</vt:i4>
      </vt:variant>
      <vt:variant>
        <vt:i4>0</vt:i4>
      </vt:variant>
      <vt:variant>
        <vt:i4>5</vt:i4>
      </vt:variant>
      <vt:variant>
        <vt:lpwstr/>
      </vt:variant>
      <vt:variant>
        <vt:lpwstr>_Toc216345108</vt:lpwstr>
      </vt:variant>
      <vt:variant>
        <vt:i4>1048625</vt:i4>
      </vt:variant>
      <vt:variant>
        <vt:i4>230</vt:i4>
      </vt:variant>
      <vt:variant>
        <vt:i4>0</vt:i4>
      </vt:variant>
      <vt:variant>
        <vt:i4>5</vt:i4>
      </vt:variant>
      <vt:variant>
        <vt:lpwstr/>
      </vt:variant>
      <vt:variant>
        <vt:lpwstr>_Toc216345107</vt:lpwstr>
      </vt:variant>
      <vt:variant>
        <vt:i4>1048625</vt:i4>
      </vt:variant>
      <vt:variant>
        <vt:i4>224</vt:i4>
      </vt:variant>
      <vt:variant>
        <vt:i4>0</vt:i4>
      </vt:variant>
      <vt:variant>
        <vt:i4>5</vt:i4>
      </vt:variant>
      <vt:variant>
        <vt:lpwstr/>
      </vt:variant>
      <vt:variant>
        <vt:lpwstr>_Toc216345106</vt:lpwstr>
      </vt:variant>
      <vt:variant>
        <vt:i4>1048625</vt:i4>
      </vt:variant>
      <vt:variant>
        <vt:i4>218</vt:i4>
      </vt:variant>
      <vt:variant>
        <vt:i4>0</vt:i4>
      </vt:variant>
      <vt:variant>
        <vt:i4>5</vt:i4>
      </vt:variant>
      <vt:variant>
        <vt:lpwstr/>
      </vt:variant>
      <vt:variant>
        <vt:lpwstr>_Toc216345105</vt:lpwstr>
      </vt:variant>
      <vt:variant>
        <vt:i4>1048625</vt:i4>
      </vt:variant>
      <vt:variant>
        <vt:i4>212</vt:i4>
      </vt:variant>
      <vt:variant>
        <vt:i4>0</vt:i4>
      </vt:variant>
      <vt:variant>
        <vt:i4>5</vt:i4>
      </vt:variant>
      <vt:variant>
        <vt:lpwstr/>
      </vt:variant>
      <vt:variant>
        <vt:lpwstr>_Toc216345104</vt:lpwstr>
      </vt:variant>
      <vt:variant>
        <vt:i4>1048625</vt:i4>
      </vt:variant>
      <vt:variant>
        <vt:i4>206</vt:i4>
      </vt:variant>
      <vt:variant>
        <vt:i4>0</vt:i4>
      </vt:variant>
      <vt:variant>
        <vt:i4>5</vt:i4>
      </vt:variant>
      <vt:variant>
        <vt:lpwstr/>
      </vt:variant>
      <vt:variant>
        <vt:lpwstr>_Toc216345103</vt:lpwstr>
      </vt:variant>
      <vt:variant>
        <vt:i4>1048625</vt:i4>
      </vt:variant>
      <vt:variant>
        <vt:i4>200</vt:i4>
      </vt:variant>
      <vt:variant>
        <vt:i4>0</vt:i4>
      </vt:variant>
      <vt:variant>
        <vt:i4>5</vt:i4>
      </vt:variant>
      <vt:variant>
        <vt:lpwstr/>
      </vt:variant>
      <vt:variant>
        <vt:lpwstr>_Toc216345102</vt:lpwstr>
      </vt:variant>
      <vt:variant>
        <vt:i4>1048625</vt:i4>
      </vt:variant>
      <vt:variant>
        <vt:i4>194</vt:i4>
      </vt:variant>
      <vt:variant>
        <vt:i4>0</vt:i4>
      </vt:variant>
      <vt:variant>
        <vt:i4>5</vt:i4>
      </vt:variant>
      <vt:variant>
        <vt:lpwstr/>
      </vt:variant>
      <vt:variant>
        <vt:lpwstr>_Toc216345101</vt:lpwstr>
      </vt:variant>
      <vt:variant>
        <vt:i4>1048625</vt:i4>
      </vt:variant>
      <vt:variant>
        <vt:i4>188</vt:i4>
      </vt:variant>
      <vt:variant>
        <vt:i4>0</vt:i4>
      </vt:variant>
      <vt:variant>
        <vt:i4>5</vt:i4>
      </vt:variant>
      <vt:variant>
        <vt:lpwstr/>
      </vt:variant>
      <vt:variant>
        <vt:lpwstr>_Toc216345100</vt:lpwstr>
      </vt:variant>
      <vt:variant>
        <vt:i4>1638448</vt:i4>
      </vt:variant>
      <vt:variant>
        <vt:i4>182</vt:i4>
      </vt:variant>
      <vt:variant>
        <vt:i4>0</vt:i4>
      </vt:variant>
      <vt:variant>
        <vt:i4>5</vt:i4>
      </vt:variant>
      <vt:variant>
        <vt:lpwstr/>
      </vt:variant>
      <vt:variant>
        <vt:lpwstr>_Toc216345099</vt:lpwstr>
      </vt:variant>
      <vt:variant>
        <vt:i4>1638448</vt:i4>
      </vt:variant>
      <vt:variant>
        <vt:i4>176</vt:i4>
      </vt:variant>
      <vt:variant>
        <vt:i4>0</vt:i4>
      </vt:variant>
      <vt:variant>
        <vt:i4>5</vt:i4>
      </vt:variant>
      <vt:variant>
        <vt:lpwstr/>
      </vt:variant>
      <vt:variant>
        <vt:lpwstr>_Toc216345098</vt:lpwstr>
      </vt:variant>
      <vt:variant>
        <vt:i4>1638448</vt:i4>
      </vt:variant>
      <vt:variant>
        <vt:i4>170</vt:i4>
      </vt:variant>
      <vt:variant>
        <vt:i4>0</vt:i4>
      </vt:variant>
      <vt:variant>
        <vt:i4>5</vt:i4>
      </vt:variant>
      <vt:variant>
        <vt:lpwstr/>
      </vt:variant>
      <vt:variant>
        <vt:lpwstr>_Toc216345097</vt:lpwstr>
      </vt:variant>
      <vt:variant>
        <vt:i4>1638448</vt:i4>
      </vt:variant>
      <vt:variant>
        <vt:i4>164</vt:i4>
      </vt:variant>
      <vt:variant>
        <vt:i4>0</vt:i4>
      </vt:variant>
      <vt:variant>
        <vt:i4>5</vt:i4>
      </vt:variant>
      <vt:variant>
        <vt:lpwstr/>
      </vt:variant>
      <vt:variant>
        <vt:lpwstr>_Toc216345096</vt:lpwstr>
      </vt:variant>
      <vt:variant>
        <vt:i4>1638448</vt:i4>
      </vt:variant>
      <vt:variant>
        <vt:i4>158</vt:i4>
      </vt:variant>
      <vt:variant>
        <vt:i4>0</vt:i4>
      </vt:variant>
      <vt:variant>
        <vt:i4>5</vt:i4>
      </vt:variant>
      <vt:variant>
        <vt:lpwstr/>
      </vt:variant>
      <vt:variant>
        <vt:lpwstr>_Toc216345095</vt:lpwstr>
      </vt:variant>
      <vt:variant>
        <vt:i4>1638448</vt:i4>
      </vt:variant>
      <vt:variant>
        <vt:i4>152</vt:i4>
      </vt:variant>
      <vt:variant>
        <vt:i4>0</vt:i4>
      </vt:variant>
      <vt:variant>
        <vt:i4>5</vt:i4>
      </vt:variant>
      <vt:variant>
        <vt:lpwstr/>
      </vt:variant>
      <vt:variant>
        <vt:lpwstr>_Toc216345094</vt:lpwstr>
      </vt:variant>
      <vt:variant>
        <vt:i4>1638448</vt:i4>
      </vt:variant>
      <vt:variant>
        <vt:i4>146</vt:i4>
      </vt:variant>
      <vt:variant>
        <vt:i4>0</vt:i4>
      </vt:variant>
      <vt:variant>
        <vt:i4>5</vt:i4>
      </vt:variant>
      <vt:variant>
        <vt:lpwstr/>
      </vt:variant>
      <vt:variant>
        <vt:lpwstr>_Toc216345093</vt:lpwstr>
      </vt:variant>
      <vt:variant>
        <vt:i4>1638448</vt:i4>
      </vt:variant>
      <vt:variant>
        <vt:i4>140</vt:i4>
      </vt:variant>
      <vt:variant>
        <vt:i4>0</vt:i4>
      </vt:variant>
      <vt:variant>
        <vt:i4>5</vt:i4>
      </vt:variant>
      <vt:variant>
        <vt:lpwstr/>
      </vt:variant>
      <vt:variant>
        <vt:lpwstr>_Toc216345092</vt:lpwstr>
      </vt:variant>
      <vt:variant>
        <vt:i4>1638448</vt:i4>
      </vt:variant>
      <vt:variant>
        <vt:i4>134</vt:i4>
      </vt:variant>
      <vt:variant>
        <vt:i4>0</vt:i4>
      </vt:variant>
      <vt:variant>
        <vt:i4>5</vt:i4>
      </vt:variant>
      <vt:variant>
        <vt:lpwstr/>
      </vt:variant>
      <vt:variant>
        <vt:lpwstr>_Toc216345091</vt:lpwstr>
      </vt:variant>
      <vt:variant>
        <vt:i4>1638448</vt:i4>
      </vt:variant>
      <vt:variant>
        <vt:i4>128</vt:i4>
      </vt:variant>
      <vt:variant>
        <vt:i4>0</vt:i4>
      </vt:variant>
      <vt:variant>
        <vt:i4>5</vt:i4>
      </vt:variant>
      <vt:variant>
        <vt:lpwstr/>
      </vt:variant>
      <vt:variant>
        <vt:lpwstr>_Toc216345090</vt:lpwstr>
      </vt:variant>
      <vt:variant>
        <vt:i4>1572912</vt:i4>
      </vt:variant>
      <vt:variant>
        <vt:i4>122</vt:i4>
      </vt:variant>
      <vt:variant>
        <vt:i4>0</vt:i4>
      </vt:variant>
      <vt:variant>
        <vt:i4>5</vt:i4>
      </vt:variant>
      <vt:variant>
        <vt:lpwstr/>
      </vt:variant>
      <vt:variant>
        <vt:lpwstr>_Toc216345089</vt:lpwstr>
      </vt:variant>
      <vt:variant>
        <vt:i4>1572912</vt:i4>
      </vt:variant>
      <vt:variant>
        <vt:i4>116</vt:i4>
      </vt:variant>
      <vt:variant>
        <vt:i4>0</vt:i4>
      </vt:variant>
      <vt:variant>
        <vt:i4>5</vt:i4>
      </vt:variant>
      <vt:variant>
        <vt:lpwstr/>
      </vt:variant>
      <vt:variant>
        <vt:lpwstr>_Toc216345088</vt:lpwstr>
      </vt:variant>
      <vt:variant>
        <vt:i4>1572912</vt:i4>
      </vt:variant>
      <vt:variant>
        <vt:i4>110</vt:i4>
      </vt:variant>
      <vt:variant>
        <vt:i4>0</vt:i4>
      </vt:variant>
      <vt:variant>
        <vt:i4>5</vt:i4>
      </vt:variant>
      <vt:variant>
        <vt:lpwstr/>
      </vt:variant>
      <vt:variant>
        <vt:lpwstr>_Toc216345087</vt:lpwstr>
      </vt:variant>
      <vt:variant>
        <vt:i4>1572912</vt:i4>
      </vt:variant>
      <vt:variant>
        <vt:i4>104</vt:i4>
      </vt:variant>
      <vt:variant>
        <vt:i4>0</vt:i4>
      </vt:variant>
      <vt:variant>
        <vt:i4>5</vt:i4>
      </vt:variant>
      <vt:variant>
        <vt:lpwstr/>
      </vt:variant>
      <vt:variant>
        <vt:lpwstr>_Toc216345086</vt:lpwstr>
      </vt:variant>
      <vt:variant>
        <vt:i4>1572912</vt:i4>
      </vt:variant>
      <vt:variant>
        <vt:i4>98</vt:i4>
      </vt:variant>
      <vt:variant>
        <vt:i4>0</vt:i4>
      </vt:variant>
      <vt:variant>
        <vt:i4>5</vt:i4>
      </vt:variant>
      <vt:variant>
        <vt:lpwstr/>
      </vt:variant>
      <vt:variant>
        <vt:lpwstr>_Toc216345085</vt:lpwstr>
      </vt:variant>
      <vt:variant>
        <vt:i4>1572912</vt:i4>
      </vt:variant>
      <vt:variant>
        <vt:i4>92</vt:i4>
      </vt:variant>
      <vt:variant>
        <vt:i4>0</vt:i4>
      </vt:variant>
      <vt:variant>
        <vt:i4>5</vt:i4>
      </vt:variant>
      <vt:variant>
        <vt:lpwstr/>
      </vt:variant>
      <vt:variant>
        <vt:lpwstr>_Toc216345084</vt:lpwstr>
      </vt:variant>
      <vt:variant>
        <vt:i4>1572912</vt:i4>
      </vt:variant>
      <vt:variant>
        <vt:i4>86</vt:i4>
      </vt:variant>
      <vt:variant>
        <vt:i4>0</vt:i4>
      </vt:variant>
      <vt:variant>
        <vt:i4>5</vt:i4>
      </vt:variant>
      <vt:variant>
        <vt:lpwstr/>
      </vt:variant>
      <vt:variant>
        <vt:lpwstr>_Toc216345083</vt:lpwstr>
      </vt:variant>
      <vt:variant>
        <vt:i4>1572912</vt:i4>
      </vt:variant>
      <vt:variant>
        <vt:i4>80</vt:i4>
      </vt:variant>
      <vt:variant>
        <vt:i4>0</vt:i4>
      </vt:variant>
      <vt:variant>
        <vt:i4>5</vt:i4>
      </vt:variant>
      <vt:variant>
        <vt:lpwstr/>
      </vt:variant>
      <vt:variant>
        <vt:lpwstr>_Toc216345082</vt:lpwstr>
      </vt:variant>
      <vt:variant>
        <vt:i4>1572912</vt:i4>
      </vt:variant>
      <vt:variant>
        <vt:i4>74</vt:i4>
      </vt:variant>
      <vt:variant>
        <vt:i4>0</vt:i4>
      </vt:variant>
      <vt:variant>
        <vt:i4>5</vt:i4>
      </vt:variant>
      <vt:variant>
        <vt:lpwstr/>
      </vt:variant>
      <vt:variant>
        <vt:lpwstr>_Toc216345081</vt:lpwstr>
      </vt:variant>
      <vt:variant>
        <vt:i4>1572912</vt:i4>
      </vt:variant>
      <vt:variant>
        <vt:i4>68</vt:i4>
      </vt:variant>
      <vt:variant>
        <vt:i4>0</vt:i4>
      </vt:variant>
      <vt:variant>
        <vt:i4>5</vt:i4>
      </vt:variant>
      <vt:variant>
        <vt:lpwstr/>
      </vt:variant>
      <vt:variant>
        <vt:lpwstr>_Toc216345080</vt:lpwstr>
      </vt:variant>
      <vt:variant>
        <vt:i4>1507376</vt:i4>
      </vt:variant>
      <vt:variant>
        <vt:i4>62</vt:i4>
      </vt:variant>
      <vt:variant>
        <vt:i4>0</vt:i4>
      </vt:variant>
      <vt:variant>
        <vt:i4>5</vt:i4>
      </vt:variant>
      <vt:variant>
        <vt:lpwstr/>
      </vt:variant>
      <vt:variant>
        <vt:lpwstr>_Toc216345079</vt:lpwstr>
      </vt:variant>
      <vt:variant>
        <vt:i4>1507376</vt:i4>
      </vt:variant>
      <vt:variant>
        <vt:i4>56</vt:i4>
      </vt:variant>
      <vt:variant>
        <vt:i4>0</vt:i4>
      </vt:variant>
      <vt:variant>
        <vt:i4>5</vt:i4>
      </vt:variant>
      <vt:variant>
        <vt:lpwstr/>
      </vt:variant>
      <vt:variant>
        <vt:lpwstr>_Toc216345078</vt:lpwstr>
      </vt:variant>
      <vt:variant>
        <vt:i4>1507376</vt:i4>
      </vt:variant>
      <vt:variant>
        <vt:i4>50</vt:i4>
      </vt:variant>
      <vt:variant>
        <vt:i4>0</vt:i4>
      </vt:variant>
      <vt:variant>
        <vt:i4>5</vt:i4>
      </vt:variant>
      <vt:variant>
        <vt:lpwstr/>
      </vt:variant>
      <vt:variant>
        <vt:lpwstr>_Toc216345077</vt:lpwstr>
      </vt:variant>
      <vt:variant>
        <vt:i4>1507376</vt:i4>
      </vt:variant>
      <vt:variant>
        <vt:i4>44</vt:i4>
      </vt:variant>
      <vt:variant>
        <vt:i4>0</vt:i4>
      </vt:variant>
      <vt:variant>
        <vt:i4>5</vt:i4>
      </vt:variant>
      <vt:variant>
        <vt:lpwstr/>
      </vt:variant>
      <vt:variant>
        <vt:lpwstr>_Toc216345076</vt:lpwstr>
      </vt:variant>
      <vt:variant>
        <vt:i4>1507376</vt:i4>
      </vt:variant>
      <vt:variant>
        <vt:i4>38</vt:i4>
      </vt:variant>
      <vt:variant>
        <vt:i4>0</vt:i4>
      </vt:variant>
      <vt:variant>
        <vt:i4>5</vt:i4>
      </vt:variant>
      <vt:variant>
        <vt:lpwstr/>
      </vt:variant>
      <vt:variant>
        <vt:lpwstr>_Toc216345075</vt:lpwstr>
      </vt:variant>
      <vt:variant>
        <vt:i4>1507376</vt:i4>
      </vt:variant>
      <vt:variant>
        <vt:i4>32</vt:i4>
      </vt:variant>
      <vt:variant>
        <vt:i4>0</vt:i4>
      </vt:variant>
      <vt:variant>
        <vt:i4>5</vt:i4>
      </vt:variant>
      <vt:variant>
        <vt:lpwstr/>
      </vt:variant>
      <vt:variant>
        <vt:lpwstr>_Toc216345074</vt:lpwstr>
      </vt:variant>
      <vt:variant>
        <vt:i4>1507376</vt:i4>
      </vt:variant>
      <vt:variant>
        <vt:i4>26</vt:i4>
      </vt:variant>
      <vt:variant>
        <vt:i4>0</vt:i4>
      </vt:variant>
      <vt:variant>
        <vt:i4>5</vt:i4>
      </vt:variant>
      <vt:variant>
        <vt:lpwstr/>
      </vt:variant>
      <vt:variant>
        <vt:lpwstr>_Toc216345073</vt:lpwstr>
      </vt:variant>
      <vt:variant>
        <vt:i4>1507376</vt:i4>
      </vt:variant>
      <vt:variant>
        <vt:i4>20</vt:i4>
      </vt:variant>
      <vt:variant>
        <vt:i4>0</vt:i4>
      </vt:variant>
      <vt:variant>
        <vt:i4>5</vt:i4>
      </vt:variant>
      <vt:variant>
        <vt:lpwstr/>
      </vt:variant>
      <vt:variant>
        <vt:lpwstr>_Toc216345072</vt:lpwstr>
      </vt:variant>
      <vt:variant>
        <vt:i4>1507376</vt:i4>
      </vt:variant>
      <vt:variant>
        <vt:i4>14</vt:i4>
      </vt:variant>
      <vt:variant>
        <vt:i4>0</vt:i4>
      </vt:variant>
      <vt:variant>
        <vt:i4>5</vt:i4>
      </vt:variant>
      <vt:variant>
        <vt:lpwstr/>
      </vt:variant>
      <vt:variant>
        <vt:lpwstr>_Toc216345071</vt:lpwstr>
      </vt:variant>
      <vt:variant>
        <vt:i4>1507376</vt:i4>
      </vt:variant>
      <vt:variant>
        <vt:i4>8</vt:i4>
      </vt:variant>
      <vt:variant>
        <vt:i4>0</vt:i4>
      </vt:variant>
      <vt:variant>
        <vt:i4>5</vt:i4>
      </vt:variant>
      <vt:variant>
        <vt:lpwstr/>
      </vt:variant>
      <vt:variant>
        <vt:lpwstr>_Toc216345070</vt:lpwstr>
      </vt:variant>
      <vt:variant>
        <vt:i4>1441840</vt:i4>
      </vt:variant>
      <vt:variant>
        <vt:i4>2</vt:i4>
      </vt:variant>
      <vt:variant>
        <vt:i4>0</vt:i4>
      </vt:variant>
      <vt:variant>
        <vt:i4>5</vt:i4>
      </vt:variant>
      <vt:variant>
        <vt:lpwstr/>
      </vt:variant>
      <vt:variant>
        <vt:lpwstr>_Toc216345069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Māori Years of Life Lost: Estimates from the Global Burden of Disease Study, 2021</dc:title>
  <dc:subject/>
  <dc:creator>Ministry of Health</dc:creator>
  <cp:keywords/>
  <cp:lastModifiedBy>Ministry of Health</cp:lastModifiedBy>
  <cp:revision>4</cp:revision>
  <cp:lastPrinted>2025-12-11T19:54:00Z</cp:lastPrinted>
  <dcterms:created xsi:type="dcterms:W3CDTF">2025-12-11T07:42:00Z</dcterms:created>
  <dcterms:modified xsi:type="dcterms:W3CDTF">2025-12-11T19:55:00Z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0x010100709A465B05B231479C1A947CB383B18C00BA801919B0999C4FBC7EA49F19AB0746</vt:lpwstr>
  </property>
  <property fmtid="{D5CDD505-2E9C-101B-9397-08002B2CF9AE}" pid="3" name="MediaServiceImageTags">
    <vt:lpwstr/>
  </property>
  <property fmtid="{D5CDD505-2E9C-101B-9397-08002B2CF9AE}" pid="4" name="docLang">
    <vt:lpwstr>en</vt:lpwstr>
  </property>
  <property fmtid="{D5CDD505-2E9C-101B-9397-08002B2CF9AE}" pid="5" name="_dlc_DocIdItemGuid">
    <vt:lpwstr>9d17ca02-7920-4201-9725-86478328abb8</vt:lpwstr>
  </property>
  <property fmtid="{D5CDD505-2E9C-101B-9397-08002B2CF9AE}" pid="6" name="_dlc_DocId">
    <vt:lpwstr>MOHECM-25863497-1272</vt:lpwstr>
  </property>
  <property fmtid="{D5CDD505-2E9C-101B-9397-08002B2CF9AE}" pid="7" name="_dlc_DocIdUrl">
    <vt:lpwstr>https://mohgovtnz.sharepoint.com/sites/moh-ecm-FunAnaandIns/_layouts/15/DocIdRedir.aspx?ID=MOHECM-25863497-1272, MOHECM-25863497-1272</vt:lpwstr>
  </property>
</Properties>
</file>