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8B4747" w14:textId="77777777" w:rsidR="00E54DB7" w:rsidRPr="00E54DB7" w:rsidRDefault="00E54DB7" w:rsidP="00367A8D">
      <w:pPr>
        <w:spacing w:line="360" w:lineRule="auto"/>
      </w:pPr>
    </w:p>
    <w:p w14:paraId="1E52AF73" w14:textId="77777777" w:rsidR="00BB3C33" w:rsidRDefault="00BB3C33" w:rsidP="00BB3C33">
      <w:pPr>
        <w:pStyle w:val="Title"/>
        <w:keepNext w:val="0"/>
        <w:keepLines w:val="0"/>
        <w:spacing w:line="360" w:lineRule="auto"/>
        <w:ind w:hanging="29"/>
        <w:jc w:val="center"/>
        <w:rPr>
          <w:b/>
        </w:rPr>
      </w:pPr>
      <w:bookmarkStart w:id="0" w:name="_u1ya9jn8kz2r" w:colFirst="0" w:colLast="0"/>
      <w:bookmarkEnd w:id="0"/>
    </w:p>
    <w:p w14:paraId="6AC7D0DC" w14:textId="0AD1666A" w:rsidR="00DB689D" w:rsidRPr="00BB3C33" w:rsidRDefault="00310A10" w:rsidP="00BB3C33">
      <w:pPr>
        <w:pStyle w:val="Title"/>
        <w:keepNext w:val="0"/>
        <w:keepLines w:val="0"/>
        <w:spacing w:line="360" w:lineRule="auto"/>
        <w:ind w:hanging="29"/>
        <w:jc w:val="center"/>
        <w:rPr>
          <w:b/>
        </w:rPr>
      </w:pPr>
      <w:r>
        <w:rPr>
          <w:b/>
        </w:rPr>
        <w:t>Economic and Social Costing of Gambling in Aotearoa New Zealand 2023-24</w:t>
      </w:r>
    </w:p>
    <w:p w14:paraId="0EA469EE" w14:textId="77777777" w:rsidR="00DB689D" w:rsidRDefault="00DB689D" w:rsidP="00367A8D">
      <w:pPr>
        <w:spacing w:line="360" w:lineRule="auto"/>
      </w:pPr>
    </w:p>
    <w:p w14:paraId="6C6A2755" w14:textId="1F20BB10" w:rsidR="00DB689D" w:rsidRPr="003043E5" w:rsidRDefault="00AD78F4" w:rsidP="003468C6">
      <w:pPr>
        <w:spacing w:line="360" w:lineRule="auto"/>
        <w:jc w:val="center"/>
        <w:rPr>
          <w:sz w:val="21"/>
          <w:szCs w:val="21"/>
        </w:rPr>
      </w:pPr>
      <w:r>
        <w:t>R</w:t>
      </w:r>
      <w:r w:rsidRPr="003043E5">
        <w:t>eport prepared for the Ministry of Health New Zealand</w:t>
      </w:r>
      <w:r w:rsidRPr="003043E5">
        <w:rPr>
          <w:sz w:val="21"/>
          <w:szCs w:val="21"/>
        </w:rPr>
        <w:br/>
      </w:r>
    </w:p>
    <w:p w14:paraId="3F73D533" w14:textId="77777777" w:rsidR="00DB689D" w:rsidRPr="003043E5" w:rsidRDefault="00DB689D" w:rsidP="00367A8D">
      <w:pPr>
        <w:spacing w:line="360" w:lineRule="auto"/>
        <w:rPr>
          <w:sz w:val="21"/>
          <w:szCs w:val="21"/>
        </w:rPr>
      </w:pPr>
    </w:p>
    <w:p w14:paraId="59C6DFF7" w14:textId="77777777" w:rsidR="00DB689D" w:rsidRPr="003043E5" w:rsidRDefault="00DB689D" w:rsidP="00367A8D">
      <w:pPr>
        <w:spacing w:line="360" w:lineRule="auto"/>
        <w:rPr>
          <w:sz w:val="21"/>
          <w:szCs w:val="21"/>
        </w:rPr>
      </w:pPr>
    </w:p>
    <w:p w14:paraId="3D8AE9C9" w14:textId="6A49C7F5" w:rsidR="00DB689D" w:rsidRPr="003043E5" w:rsidRDefault="00AD78F4" w:rsidP="00367A8D">
      <w:pPr>
        <w:spacing w:line="360" w:lineRule="auto"/>
        <w:jc w:val="center"/>
      </w:pPr>
      <w:r>
        <w:t>August</w:t>
      </w:r>
      <w:r w:rsidRPr="003043E5">
        <w:t xml:space="preserve"> </w:t>
      </w:r>
      <w:r w:rsidR="0038398B" w:rsidRPr="003043E5">
        <w:t>2025</w:t>
      </w:r>
    </w:p>
    <w:p w14:paraId="1537A2CF" w14:textId="77777777" w:rsidR="00DB689D" w:rsidRPr="003043E5" w:rsidRDefault="00DB689D" w:rsidP="00367A8D">
      <w:pPr>
        <w:spacing w:line="360" w:lineRule="auto"/>
        <w:jc w:val="center"/>
      </w:pPr>
    </w:p>
    <w:p w14:paraId="55975503" w14:textId="77777777" w:rsidR="003043E5" w:rsidRDefault="003043E5" w:rsidP="00367A8D">
      <w:pPr>
        <w:spacing w:line="360" w:lineRule="auto"/>
      </w:pPr>
    </w:p>
    <w:p w14:paraId="409DB81C" w14:textId="77777777" w:rsidR="003043E5" w:rsidRPr="003043E5" w:rsidRDefault="003043E5" w:rsidP="00367A8D">
      <w:pPr>
        <w:spacing w:line="360" w:lineRule="auto"/>
      </w:pPr>
    </w:p>
    <w:p w14:paraId="523739A9" w14:textId="77777777" w:rsidR="00DB689D" w:rsidRPr="003043E5" w:rsidRDefault="00DB689D" w:rsidP="00367A8D">
      <w:pPr>
        <w:spacing w:line="360" w:lineRule="auto"/>
      </w:pPr>
    </w:p>
    <w:p w14:paraId="2BABE994" w14:textId="134EAFB3" w:rsidR="00DB689D" w:rsidRPr="003043E5" w:rsidRDefault="00310A10" w:rsidP="00367A8D">
      <w:pPr>
        <w:spacing w:line="360" w:lineRule="auto"/>
        <w:jc w:val="center"/>
      </w:pPr>
      <w:r w:rsidRPr="003043E5">
        <w:t>Matthew Browne</w:t>
      </w:r>
      <w:r w:rsidRPr="003043E5">
        <w:rPr>
          <w:vertAlign w:val="superscript"/>
        </w:rPr>
        <w:t>*</w:t>
      </w:r>
      <w:r w:rsidRPr="003043E5">
        <w:t>, Catherine Tulloch</w:t>
      </w:r>
      <w:r w:rsidRPr="003043E5">
        <w:rPr>
          <w:vertAlign w:val="superscript"/>
        </w:rPr>
        <w:t>*</w:t>
      </w:r>
      <w:r w:rsidRPr="003043E5">
        <w:t>, Georgia Dellosa</w:t>
      </w:r>
      <w:r w:rsidRPr="003043E5">
        <w:rPr>
          <w:vertAlign w:val="superscript"/>
        </w:rPr>
        <w:t>*</w:t>
      </w:r>
      <w:r w:rsidRPr="003043E5">
        <w:t>, Hannah Thorne</w:t>
      </w:r>
      <w:r w:rsidRPr="003043E5">
        <w:rPr>
          <w:vertAlign w:val="superscript"/>
        </w:rPr>
        <w:t>*1</w:t>
      </w:r>
      <w:r w:rsidRPr="003043E5">
        <w:t>, Nerilee Hing</w:t>
      </w:r>
      <w:r w:rsidRPr="003043E5">
        <w:rPr>
          <w:vertAlign w:val="superscript"/>
        </w:rPr>
        <w:t>*2</w:t>
      </w:r>
      <w:r w:rsidRPr="003043E5">
        <w:t>, Chris Doran</w:t>
      </w:r>
      <w:r w:rsidRPr="003043E5">
        <w:rPr>
          <w:vertAlign w:val="superscript"/>
        </w:rPr>
        <w:t>*2</w:t>
      </w:r>
      <w:r w:rsidRPr="003043E5">
        <w:t>, Matthew Rockloff</w:t>
      </w:r>
      <w:r w:rsidRPr="003043E5">
        <w:rPr>
          <w:vertAlign w:val="superscript"/>
        </w:rPr>
        <w:t>*2</w:t>
      </w:r>
      <w:r w:rsidRPr="003043E5">
        <w:t>, Alex M T Russell</w:t>
      </w:r>
      <w:r w:rsidRPr="003043E5">
        <w:rPr>
          <w:vertAlign w:val="superscript"/>
        </w:rPr>
        <w:t>*2</w:t>
      </w:r>
      <w:r w:rsidRPr="003043E5">
        <w:t>, Ellen McGrane</w:t>
      </w:r>
      <w:r w:rsidRPr="003043E5">
        <w:rPr>
          <w:vertAlign w:val="superscript"/>
        </w:rPr>
        <w:t>*3</w:t>
      </w:r>
      <w:r w:rsidRPr="003043E5">
        <w:t xml:space="preserve">, </w:t>
      </w:r>
      <w:r w:rsidR="00BB3C33">
        <w:br/>
      </w:r>
      <w:r w:rsidRPr="003043E5">
        <w:t>Esther Moore</w:t>
      </w:r>
      <w:r w:rsidRPr="003043E5">
        <w:rPr>
          <w:vertAlign w:val="superscript"/>
        </w:rPr>
        <w:t>*3</w:t>
      </w:r>
      <w:r w:rsidRPr="003043E5">
        <w:t>, Rob Pryce</w:t>
      </w:r>
      <w:r w:rsidRPr="003043E5">
        <w:rPr>
          <w:vertAlign w:val="superscript"/>
        </w:rPr>
        <w:t>*3</w:t>
      </w:r>
    </w:p>
    <w:p w14:paraId="7D2C9CCB" w14:textId="77777777" w:rsidR="00DB689D" w:rsidRDefault="00DB689D" w:rsidP="00367A8D">
      <w:pPr>
        <w:spacing w:line="360" w:lineRule="auto"/>
        <w:jc w:val="center"/>
        <w:rPr>
          <w:highlight w:val="yellow"/>
        </w:rPr>
      </w:pPr>
    </w:p>
    <w:p w14:paraId="1EE039A7" w14:textId="6E69672E" w:rsidR="00C65FAF" w:rsidRDefault="00C65FAF" w:rsidP="00367A8D">
      <w:pPr>
        <w:spacing w:line="360" w:lineRule="auto"/>
        <w:jc w:val="center"/>
        <w:rPr>
          <w:highlight w:val="yellow"/>
        </w:rPr>
      </w:pPr>
    </w:p>
    <w:p w14:paraId="35743AF4" w14:textId="77777777" w:rsidR="00E916B3" w:rsidRDefault="00E916B3" w:rsidP="00367A8D">
      <w:pPr>
        <w:spacing w:line="360" w:lineRule="auto"/>
        <w:jc w:val="center"/>
        <w:rPr>
          <w:highlight w:val="yellow"/>
        </w:rPr>
      </w:pPr>
    </w:p>
    <w:p w14:paraId="5FD9813B" w14:textId="77777777" w:rsidR="00E916B3" w:rsidRDefault="00E916B3" w:rsidP="00367A8D">
      <w:pPr>
        <w:spacing w:line="360" w:lineRule="auto"/>
        <w:jc w:val="center"/>
        <w:rPr>
          <w:highlight w:val="yellow"/>
        </w:rPr>
      </w:pPr>
    </w:p>
    <w:p w14:paraId="4391B371" w14:textId="77777777" w:rsidR="00E916B3" w:rsidRDefault="00E916B3" w:rsidP="00367A8D">
      <w:pPr>
        <w:spacing w:line="360" w:lineRule="auto"/>
        <w:jc w:val="center"/>
        <w:rPr>
          <w:highlight w:val="yellow"/>
        </w:rPr>
      </w:pPr>
    </w:p>
    <w:p w14:paraId="0ABC00D5" w14:textId="77777777" w:rsidR="00E916B3" w:rsidRDefault="00E916B3" w:rsidP="00367A8D">
      <w:pPr>
        <w:spacing w:line="360" w:lineRule="auto"/>
        <w:jc w:val="center"/>
        <w:rPr>
          <w:highlight w:val="yellow"/>
        </w:rPr>
      </w:pPr>
    </w:p>
    <w:p w14:paraId="64AC4043" w14:textId="049715E9" w:rsidR="00C65FAF" w:rsidRPr="003043E5" w:rsidRDefault="00BB3C33" w:rsidP="00367A8D">
      <w:pPr>
        <w:spacing w:line="360" w:lineRule="auto"/>
        <w:jc w:val="center"/>
        <w:rPr>
          <w:highlight w:val="yellow"/>
        </w:rPr>
      </w:pPr>
      <w:r w:rsidRPr="00BB3C33">
        <w:rPr>
          <w:noProof/>
          <w:sz w:val="21"/>
          <w:szCs w:val="21"/>
        </w:rPr>
        <w:drawing>
          <wp:anchor distT="0" distB="0" distL="114300" distR="114300" simplePos="0" relativeHeight="251658240" behindDoc="0" locked="0" layoutInCell="1" allowOverlap="1" wp14:anchorId="010B0915" wp14:editId="6AF8BE6B">
            <wp:simplePos x="0" y="0"/>
            <wp:positionH relativeFrom="column">
              <wp:posOffset>3111500</wp:posOffset>
            </wp:positionH>
            <wp:positionV relativeFrom="paragraph">
              <wp:posOffset>166480</wp:posOffset>
            </wp:positionV>
            <wp:extent cx="2900149" cy="915402"/>
            <wp:effectExtent l="0" t="0" r="0" b="0"/>
            <wp:wrapNone/>
            <wp:docPr id="137123178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31782" name="Picture 3">
                      <a:extLst>
                        <a:ext uri="{C183D7F6-B498-43B3-948B-1728B52AA6E4}">
                          <adec:decorative xmlns:adec="http://schemas.microsoft.com/office/drawing/2017/decorative" val="1"/>
                        </a:ext>
                      </a:extLst>
                    </pic:cNvPr>
                    <pic:cNvPicPr/>
                  </pic:nvPicPr>
                  <pic:blipFill rotWithShape="1">
                    <a:blip r:embed="rId12"/>
                    <a:srcRect l="13488" t="30317" r="14226" b="29117"/>
                    <a:stretch>
                      <a:fillRect/>
                    </a:stretch>
                  </pic:blipFill>
                  <pic:spPr bwMode="auto">
                    <a:xfrm>
                      <a:off x="0" y="0"/>
                      <a:ext cx="2900149" cy="9154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880345" w14:textId="601E4703" w:rsidR="00DB689D" w:rsidRPr="00BB3C33" w:rsidRDefault="00310A10" w:rsidP="00367A8D">
      <w:pPr>
        <w:spacing w:line="360" w:lineRule="auto"/>
        <w:rPr>
          <w:sz w:val="20"/>
          <w:szCs w:val="20"/>
        </w:rPr>
      </w:pPr>
      <w:r w:rsidRPr="00BB3C33">
        <w:rPr>
          <w:sz w:val="20"/>
          <w:szCs w:val="20"/>
        </w:rPr>
        <w:t>* CQUniversity Australia</w:t>
      </w:r>
    </w:p>
    <w:p w14:paraId="03F23AB9" w14:textId="77777777" w:rsidR="00DB689D" w:rsidRPr="00BB3C33" w:rsidRDefault="00310A10" w:rsidP="00367A8D">
      <w:pPr>
        <w:spacing w:line="360" w:lineRule="auto"/>
        <w:rPr>
          <w:sz w:val="20"/>
          <w:szCs w:val="20"/>
        </w:rPr>
      </w:pPr>
      <w:r w:rsidRPr="00BB3C33">
        <w:rPr>
          <w:sz w:val="20"/>
          <w:szCs w:val="20"/>
          <w:vertAlign w:val="superscript"/>
        </w:rPr>
        <w:t xml:space="preserve">1 </w:t>
      </w:r>
      <w:r w:rsidRPr="00BB3C33">
        <w:rPr>
          <w:sz w:val="20"/>
          <w:szCs w:val="20"/>
        </w:rPr>
        <w:t>(Community Consultation)</w:t>
      </w:r>
    </w:p>
    <w:p w14:paraId="7EC377B6" w14:textId="5BA7FB6E" w:rsidR="00DB689D" w:rsidRPr="00BB3C33" w:rsidRDefault="00310A10" w:rsidP="00367A8D">
      <w:pPr>
        <w:spacing w:line="360" w:lineRule="auto"/>
        <w:rPr>
          <w:sz w:val="20"/>
          <w:szCs w:val="20"/>
        </w:rPr>
      </w:pPr>
      <w:r w:rsidRPr="00BB3C33">
        <w:rPr>
          <w:sz w:val="20"/>
          <w:szCs w:val="20"/>
          <w:vertAlign w:val="superscript"/>
        </w:rPr>
        <w:t xml:space="preserve">2 </w:t>
      </w:r>
      <w:r w:rsidRPr="00BB3C33">
        <w:rPr>
          <w:sz w:val="20"/>
          <w:szCs w:val="20"/>
        </w:rPr>
        <w:t>(Academic oversight</w:t>
      </w:r>
      <w:r w:rsidR="00D82048" w:rsidRPr="00BB3C33">
        <w:rPr>
          <w:sz w:val="20"/>
          <w:szCs w:val="20"/>
        </w:rPr>
        <w:t xml:space="preserve"> and review</w:t>
      </w:r>
      <w:r w:rsidRPr="00BB3C33">
        <w:rPr>
          <w:sz w:val="20"/>
          <w:szCs w:val="20"/>
        </w:rPr>
        <w:t>)</w:t>
      </w:r>
    </w:p>
    <w:p w14:paraId="2BD47D46" w14:textId="2B88F6E5" w:rsidR="00DB689D" w:rsidRPr="00BB3C33" w:rsidRDefault="00310A10" w:rsidP="00367A8D">
      <w:pPr>
        <w:spacing w:line="360" w:lineRule="auto"/>
        <w:rPr>
          <w:sz w:val="20"/>
          <w:szCs w:val="20"/>
        </w:rPr>
      </w:pPr>
      <w:r w:rsidRPr="00BB3C33">
        <w:rPr>
          <w:sz w:val="20"/>
          <w:szCs w:val="20"/>
          <w:vertAlign w:val="superscript"/>
        </w:rPr>
        <w:t xml:space="preserve">3 </w:t>
      </w:r>
      <w:r w:rsidRPr="00BB3C33">
        <w:rPr>
          <w:sz w:val="20"/>
          <w:szCs w:val="20"/>
        </w:rPr>
        <w:t xml:space="preserve">(Policy options), </w:t>
      </w:r>
      <w:r w:rsidR="003967D6" w:rsidRPr="00BB3C33">
        <w:rPr>
          <w:sz w:val="20"/>
          <w:szCs w:val="20"/>
        </w:rPr>
        <w:t xml:space="preserve">University of </w:t>
      </w:r>
      <w:r w:rsidRPr="00BB3C33">
        <w:rPr>
          <w:sz w:val="20"/>
          <w:szCs w:val="20"/>
        </w:rPr>
        <w:t>Sheffield, United Kingdom</w:t>
      </w:r>
    </w:p>
    <w:p w14:paraId="11D6BF86" w14:textId="7EB3C294" w:rsidR="00DB689D" w:rsidRDefault="00310A10" w:rsidP="00367A8D">
      <w:pPr>
        <w:spacing w:line="360" w:lineRule="auto"/>
      </w:pPr>
      <w:r>
        <w:br w:type="page"/>
      </w:r>
    </w:p>
    <w:p w14:paraId="767E2A07" w14:textId="77777777" w:rsidR="00DB689D" w:rsidRDefault="00310A10" w:rsidP="00367A8D">
      <w:pPr>
        <w:spacing w:line="360" w:lineRule="auto"/>
        <w:rPr>
          <w:b/>
          <w:sz w:val="40"/>
          <w:szCs w:val="40"/>
        </w:rPr>
      </w:pPr>
      <w:r>
        <w:rPr>
          <w:b/>
          <w:sz w:val="40"/>
          <w:szCs w:val="40"/>
        </w:rPr>
        <w:t>Acknowledgement</w:t>
      </w:r>
    </w:p>
    <w:p w14:paraId="611F5124" w14:textId="77777777" w:rsidR="00DB689D" w:rsidRDefault="00DB689D" w:rsidP="00367A8D">
      <w:pPr>
        <w:spacing w:line="360" w:lineRule="auto"/>
      </w:pPr>
    </w:p>
    <w:p w14:paraId="0978C300" w14:textId="77777777" w:rsidR="00DB689D" w:rsidRDefault="00310A10" w:rsidP="00367A8D">
      <w:pPr>
        <w:spacing w:line="360" w:lineRule="auto"/>
      </w:pPr>
      <w:r>
        <w:t>The research team acknowledges the financial support provided by the Ministry of Health to conduct this research.</w:t>
      </w:r>
    </w:p>
    <w:p w14:paraId="78DD8035" w14:textId="77777777" w:rsidR="00DB689D" w:rsidRDefault="00DB689D" w:rsidP="00367A8D">
      <w:pPr>
        <w:spacing w:line="360" w:lineRule="auto"/>
      </w:pPr>
    </w:p>
    <w:p w14:paraId="648C6DB5" w14:textId="348F8D2E" w:rsidR="00DB689D" w:rsidRDefault="00310A10" w:rsidP="00367A8D">
      <w:pPr>
        <w:spacing w:line="360" w:lineRule="auto"/>
      </w:pPr>
      <w:r>
        <w:t xml:space="preserve">This report draws on data from the New Zealand Gambling Survey (NZGS) 2023/24 </w:t>
      </w:r>
      <w:r w:rsidR="0038398B">
        <w:rPr>
          <w:noProof/>
          <w:color w:val="000000"/>
        </w:rPr>
        <w:t>(2025)</w:t>
      </w:r>
      <w:r>
        <w:t>, a partnership between the Ministry of Health</w:t>
      </w:r>
      <w:r w:rsidR="0092684E">
        <w:t xml:space="preserve"> (the Ministry)</w:t>
      </w:r>
      <w:r>
        <w:t xml:space="preserve"> and Health New Zealand – Te Whatu Ora. We gratefully acknowledge the use of this dataset to support our analysis of the economic and social cost of gambling in Aotearoa New Zealand. The authors are solely responsible for the interpretation of the data and the conclusions drawn in this report. The findings do not necessarily reflect the views of the </w:t>
      </w:r>
      <w:r w:rsidR="0092684E">
        <w:t>Ministry</w:t>
      </w:r>
      <w:r>
        <w:t xml:space="preserve">, and no endorsement by the </w:t>
      </w:r>
      <w:r w:rsidR="0092684E">
        <w:t xml:space="preserve">Ministry </w:t>
      </w:r>
      <w:r>
        <w:t>should be inferred.</w:t>
      </w:r>
    </w:p>
    <w:p w14:paraId="7A59ADB7" w14:textId="77777777" w:rsidR="00DB689D" w:rsidRDefault="00DB689D" w:rsidP="00367A8D">
      <w:pPr>
        <w:spacing w:line="360" w:lineRule="auto"/>
      </w:pPr>
    </w:p>
    <w:p w14:paraId="5D6A3413" w14:textId="6A07E82C" w:rsidR="00DB689D" w:rsidRDefault="00F04402" w:rsidP="00367A8D">
      <w:pPr>
        <w:spacing w:line="360" w:lineRule="auto"/>
      </w:pPr>
      <w:r>
        <w:t xml:space="preserve">Suggested citation: </w:t>
      </w:r>
      <w:r w:rsidRPr="00086A2E">
        <w:t xml:space="preserve">Browne M, Tulloch C, Dellosa G, et al. </w:t>
      </w:r>
      <w:r w:rsidR="00CB644A">
        <w:t>(</w:t>
      </w:r>
      <w:r w:rsidRPr="00086A2E">
        <w:t>2025</w:t>
      </w:r>
      <w:r w:rsidR="00CB644A">
        <w:t>)</w:t>
      </w:r>
      <w:r w:rsidRPr="00086A2E">
        <w:t>.</w:t>
      </w:r>
      <w:r w:rsidRPr="00086A2E">
        <w:rPr>
          <w:i/>
          <w:iCs/>
        </w:rPr>
        <w:t xml:space="preserve"> Economic and Social Costing of Gambling in Aotearoa New Zealand 2023-24.</w:t>
      </w:r>
      <w:r>
        <w:t xml:space="preserve"> Wellington: Ministry of Health.</w:t>
      </w:r>
    </w:p>
    <w:p w14:paraId="4E5C9AA3" w14:textId="5C45D8FD" w:rsidR="00DB689D" w:rsidRDefault="00DB689D" w:rsidP="00367A8D">
      <w:pPr>
        <w:spacing w:line="360" w:lineRule="auto"/>
      </w:pPr>
    </w:p>
    <w:p w14:paraId="51A541F8" w14:textId="77777777" w:rsidR="00DB689D" w:rsidRDefault="00310A10" w:rsidP="00367A8D">
      <w:pPr>
        <w:spacing w:line="360" w:lineRule="auto"/>
      </w:pPr>
      <w:r>
        <w:br w:type="page"/>
      </w:r>
    </w:p>
    <w:p w14:paraId="4BE0B05E" w14:textId="77777777" w:rsidR="00DB689D" w:rsidRDefault="00DB689D" w:rsidP="00367A8D">
      <w:pPr>
        <w:spacing w:line="360" w:lineRule="auto"/>
      </w:pPr>
    </w:p>
    <w:p w14:paraId="05DAE7DC" w14:textId="0227FC0D" w:rsidR="00DB689D" w:rsidRPr="0038398B" w:rsidRDefault="00310A10" w:rsidP="00523B7E">
      <w:pPr>
        <w:pStyle w:val="Heading1notnumbered"/>
      </w:pPr>
      <w:bookmarkStart w:id="1" w:name="_9asblxpzsggd" w:colFirst="0" w:colLast="0"/>
      <w:bookmarkStart w:id="2" w:name="_Toc207195866"/>
      <w:bookmarkEnd w:id="1"/>
      <w:r w:rsidRPr="0038398B">
        <w:t xml:space="preserve">Table of </w:t>
      </w:r>
      <w:r w:rsidR="00E06C93">
        <w:t>c</w:t>
      </w:r>
      <w:r w:rsidR="00E06C93" w:rsidRPr="0038398B">
        <w:t>ontents</w:t>
      </w:r>
      <w:bookmarkEnd w:id="2"/>
    </w:p>
    <w:p w14:paraId="0FDA2E15" w14:textId="3250FB60" w:rsidR="00E916B3" w:rsidRDefault="00523B7E" w:rsidP="007473EA">
      <w:pPr>
        <w:pStyle w:val="TOC1"/>
        <w:spacing w:after="0" w:line="276" w:lineRule="auto"/>
        <w:rPr>
          <w:rFonts w:asciiTheme="minorHAnsi" w:eastAsiaTheme="minorEastAsia" w:hAnsiTheme="minorHAnsi" w:cstheme="minorBidi"/>
          <w:noProof/>
          <w:kern w:val="2"/>
          <w14:ligatures w14:val="standardContextual"/>
        </w:rPr>
      </w:pPr>
      <w:r>
        <w:fldChar w:fldCharType="begin"/>
      </w:r>
      <w:r>
        <w:instrText xml:space="preserve"> TOC \o "1-3" \h \z \t "Heading 1 not numbered,1,Heading 2 not numbered,2" </w:instrText>
      </w:r>
      <w:r>
        <w:fldChar w:fldCharType="separate"/>
      </w:r>
      <w:hyperlink w:anchor="_Toc207195866" w:history="1">
        <w:r w:rsidR="00E916B3" w:rsidRPr="0056325A">
          <w:rPr>
            <w:rStyle w:val="Hyperlink"/>
            <w:noProof/>
          </w:rPr>
          <w:t>Table of contents</w:t>
        </w:r>
        <w:r w:rsidR="00E916B3">
          <w:rPr>
            <w:noProof/>
            <w:webHidden/>
          </w:rPr>
          <w:tab/>
        </w:r>
        <w:r w:rsidR="00E916B3">
          <w:rPr>
            <w:noProof/>
            <w:webHidden/>
          </w:rPr>
          <w:fldChar w:fldCharType="begin"/>
        </w:r>
        <w:r w:rsidR="00E916B3">
          <w:rPr>
            <w:noProof/>
            <w:webHidden/>
          </w:rPr>
          <w:instrText xml:space="preserve"> PAGEREF _Toc207195866 \h </w:instrText>
        </w:r>
        <w:r w:rsidR="00E916B3">
          <w:rPr>
            <w:noProof/>
            <w:webHidden/>
          </w:rPr>
        </w:r>
        <w:r w:rsidR="00E916B3">
          <w:rPr>
            <w:noProof/>
            <w:webHidden/>
          </w:rPr>
          <w:fldChar w:fldCharType="separate"/>
        </w:r>
        <w:r w:rsidR="00986A0D">
          <w:rPr>
            <w:noProof/>
            <w:webHidden/>
          </w:rPr>
          <w:t>3</w:t>
        </w:r>
        <w:r w:rsidR="00E916B3">
          <w:rPr>
            <w:noProof/>
            <w:webHidden/>
          </w:rPr>
          <w:fldChar w:fldCharType="end"/>
        </w:r>
      </w:hyperlink>
    </w:p>
    <w:p w14:paraId="402684C4" w14:textId="0E9492FD" w:rsidR="00E916B3" w:rsidRDefault="00E916B3" w:rsidP="007473EA">
      <w:pPr>
        <w:pStyle w:val="TOC1"/>
        <w:spacing w:after="0" w:line="276" w:lineRule="auto"/>
        <w:rPr>
          <w:rFonts w:asciiTheme="minorHAnsi" w:eastAsiaTheme="minorEastAsia" w:hAnsiTheme="minorHAnsi" w:cstheme="minorBidi"/>
          <w:noProof/>
          <w:kern w:val="2"/>
          <w14:ligatures w14:val="standardContextual"/>
        </w:rPr>
      </w:pPr>
      <w:hyperlink w:anchor="_Toc207195867" w:history="1">
        <w:r w:rsidRPr="0056325A">
          <w:rPr>
            <w:rStyle w:val="Hyperlink"/>
            <w:noProof/>
          </w:rPr>
          <w:t>Table of tables</w:t>
        </w:r>
        <w:r>
          <w:rPr>
            <w:noProof/>
            <w:webHidden/>
          </w:rPr>
          <w:tab/>
        </w:r>
        <w:r>
          <w:rPr>
            <w:noProof/>
            <w:webHidden/>
          </w:rPr>
          <w:fldChar w:fldCharType="begin"/>
        </w:r>
        <w:r>
          <w:rPr>
            <w:noProof/>
            <w:webHidden/>
          </w:rPr>
          <w:instrText xml:space="preserve"> PAGEREF _Toc207195867 \h </w:instrText>
        </w:r>
        <w:r>
          <w:rPr>
            <w:noProof/>
            <w:webHidden/>
          </w:rPr>
        </w:r>
        <w:r>
          <w:rPr>
            <w:noProof/>
            <w:webHidden/>
          </w:rPr>
          <w:fldChar w:fldCharType="separate"/>
        </w:r>
        <w:r w:rsidR="00986A0D">
          <w:rPr>
            <w:noProof/>
            <w:webHidden/>
          </w:rPr>
          <w:t>7</w:t>
        </w:r>
        <w:r>
          <w:rPr>
            <w:noProof/>
            <w:webHidden/>
          </w:rPr>
          <w:fldChar w:fldCharType="end"/>
        </w:r>
      </w:hyperlink>
    </w:p>
    <w:p w14:paraId="20C02254" w14:textId="7065ABBD" w:rsidR="00E916B3" w:rsidRDefault="00E916B3" w:rsidP="007473EA">
      <w:pPr>
        <w:pStyle w:val="TOC1"/>
        <w:spacing w:after="0" w:line="276" w:lineRule="auto"/>
        <w:rPr>
          <w:rFonts w:asciiTheme="minorHAnsi" w:eastAsiaTheme="minorEastAsia" w:hAnsiTheme="minorHAnsi" w:cstheme="minorBidi"/>
          <w:noProof/>
          <w:kern w:val="2"/>
          <w14:ligatures w14:val="standardContextual"/>
        </w:rPr>
      </w:pPr>
      <w:hyperlink w:anchor="_Toc207195868" w:history="1">
        <w:r w:rsidRPr="0056325A">
          <w:rPr>
            <w:rStyle w:val="Hyperlink"/>
            <w:noProof/>
          </w:rPr>
          <w:t>Table of figures</w:t>
        </w:r>
        <w:r>
          <w:rPr>
            <w:noProof/>
            <w:webHidden/>
          </w:rPr>
          <w:tab/>
        </w:r>
        <w:r>
          <w:rPr>
            <w:noProof/>
            <w:webHidden/>
          </w:rPr>
          <w:fldChar w:fldCharType="begin"/>
        </w:r>
        <w:r>
          <w:rPr>
            <w:noProof/>
            <w:webHidden/>
          </w:rPr>
          <w:instrText xml:space="preserve"> PAGEREF _Toc207195868 \h </w:instrText>
        </w:r>
        <w:r>
          <w:rPr>
            <w:noProof/>
            <w:webHidden/>
          </w:rPr>
        </w:r>
        <w:r>
          <w:rPr>
            <w:noProof/>
            <w:webHidden/>
          </w:rPr>
          <w:fldChar w:fldCharType="separate"/>
        </w:r>
        <w:r w:rsidR="00986A0D">
          <w:rPr>
            <w:noProof/>
            <w:webHidden/>
          </w:rPr>
          <w:t>9</w:t>
        </w:r>
        <w:r>
          <w:rPr>
            <w:noProof/>
            <w:webHidden/>
          </w:rPr>
          <w:fldChar w:fldCharType="end"/>
        </w:r>
      </w:hyperlink>
    </w:p>
    <w:p w14:paraId="05F1C32A" w14:textId="3454DE68" w:rsidR="00E916B3" w:rsidRDefault="00E916B3" w:rsidP="007473EA">
      <w:pPr>
        <w:pStyle w:val="TOC1"/>
        <w:spacing w:after="0" w:line="276" w:lineRule="auto"/>
        <w:rPr>
          <w:rFonts w:asciiTheme="minorHAnsi" w:eastAsiaTheme="minorEastAsia" w:hAnsiTheme="minorHAnsi" w:cstheme="minorBidi"/>
          <w:noProof/>
          <w:kern w:val="2"/>
          <w14:ligatures w14:val="standardContextual"/>
        </w:rPr>
      </w:pPr>
      <w:hyperlink w:anchor="_Toc207195869" w:history="1">
        <w:r w:rsidRPr="0056325A">
          <w:rPr>
            <w:rStyle w:val="Hyperlink"/>
            <w:noProof/>
          </w:rPr>
          <w:t>Glossary of terms and abbreviations</w:t>
        </w:r>
        <w:r>
          <w:rPr>
            <w:noProof/>
            <w:webHidden/>
          </w:rPr>
          <w:tab/>
        </w:r>
        <w:r>
          <w:rPr>
            <w:noProof/>
            <w:webHidden/>
          </w:rPr>
          <w:fldChar w:fldCharType="begin"/>
        </w:r>
        <w:r>
          <w:rPr>
            <w:noProof/>
            <w:webHidden/>
          </w:rPr>
          <w:instrText xml:space="preserve"> PAGEREF _Toc207195869 \h </w:instrText>
        </w:r>
        <w:r>
          <w:rPr>
            <w:noProof/>
            <w:webHidden/>
          </w:rPr>
        </w:r>
        <w:r>
          <w:rPr>
            <w:noProof/>
            <w:webHidden/>
          </w:rPr>
          <w:fldChar w:fldCharType="separate"/>
        </w:r>
        <w:r w:rsidR="00986A0D">
          <w:rPr>
            <w:noProof/>
            <w:webHidden/>
          </w:rPr>
          <w:t>10</w:t>
        </w:r>
        <w:r>
          <w:rPr>
            <w:noProof/>
            <w:webHidden/>
          </w:rPr>
          <w:fldChar w:fldCharType="end"/>
        </w:r>
      </w:hyperlink>
    </w:p>
    <w:p w14:paraId="26D8E326" w14:textId="77B60DCE" w:rsidR="00E916B3" w:rsidRDefault="00E916B3" w:rsidP="007473EA">
      <w:pPr>
        <w:pStyle w:val="TOC1"/>
        <w:spacing w:after="0" w:line="276" w:lineRule="auto"/>
        <w:rPr>
          <w:rFonts w:asciiTheme="minorHAnsi" w:eastAsiaTheme="minorEastAsia" w:hAnsiTheme="minorHAnsi" w:cstheme="minorBidi"/>
          <w:noProof/>
          <w:kern w:val="2"/>
          <w14:ligatures w14:val="standardContextual"/>
        </w:rPr>
      </w:pPr>
      <w:hyperlink w:anchor="_Toc207195870" w:history="1">
        <w:r w:rsidRPr="0056325A">
          <w:rPr>
            <w:rStyle w:val="Hyperlink"/>
            <w:noProof/>
          </w:rPr>
          <w:t>Executive summary</w:t>
        </w:r>
        <w:r>
          <w:rPr>
            <w:noProof/>
            <w:webHidden/>
          </w:rPr>
          <w:tab/>
        </w:r>
        <w:r>
          <w:rPr>
            <w:noProof/>
            <w:webHidden/>
          </w:rPr>
          <w:fldChar w:fldCharType="begin"/>
        </w:r>
        <w:r>
          <w:rPr>
            <w:noProof/>
            <w:webHidden/>
          </w:rPr>
          <w:instrText xml:space="preserve"> PAGEREF _Toc207195870 \h </w:instrText>
        </w:r>
        <w:r>
          <w:rPr>
            <w:noProof/>
            <w:webHidden/>
          </w:rPr>
        </w:r>
        <w:r>
          <w:rPr>
            <w:noProof/>
            <w:webHidden/>
          </w:rPr>
          <w:fldChar w:fldCharType="separate"/>
        </w:r>
        <w:r w:rsidR="00986A0D">
          <w:rPr>
            <w:noProof/>
            <w:webHidden/>
          </w:rPr>
          <w:t>13</w:t>
        </w:r>
        <w:r>
          <w:rPr>
            <w:noProof/>
            <w:webHidden/>
          </w:rPr>
          <w:fldChar w:fldCharType="end"/>
        </w:r>
      </w:hyperlink>
    </w:p>
    <w:p w14:paraId="698EE7D1" w14:textId="648D5038"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871" w:history="1">
        <w:r w:rsidRPr="0056325A">
          <w:rPr>
            <w:rStyle w:val="Hyperlink"/>
            <w:noProof/>
          </w:rPr>
          <w:t>Introduction and purpose</w:t>
        </w:r>
        <w:r>
          <w:rPr>
            <w:noProof/>
            <w:webHidden/>
          </w:rPr>
          <w:tab/>
        </w:r>
        <w:r>
          <w:rPr>
            <w:noProof/>
            <w:webHidden/>
          </w:rPr>
          <w:fldChar w:fldCharType="begin"/>
        </w:r>
        <w:r>
          <w:rPr>
            <w:noProof/>
            <w:webHidden/>
          </w:rPr>
          <w:instrText xml:space="preserve"> PAGEREF _Toc207195871 \h </w:instrText>
        </w:r>
        <w:r>
          <w:rPr>
            <w:noProof/>
            <w:webHidden/>
          </w:rPr>
        </w:r>
        <w:r>
          <w:rPr>
            <w:noProof/>
            <w:webHidden/>
          </w:rPr>
          <w:fldChar w:fldCharType="separate"/>
        </w:r>
        <w:r w:rsidR="00986A0D">
          <w:rPr>
            <w:noProof/>
            <w:webHidden/>
          </w:rPr>
          <w:t>13</w:t>
        </w:r>
        <w:r>
          <w:rPr>
            <w:noProof/>
            <w:webHidden/>
          </w:rPr>
          <w:fldChar w:fldCharType="end"/>
        </w:r>
      </w:hyperlink>
    </w:p>
    <w:p w14:paraId="2A6033EA" w14:textId="1145D488"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872" w:history="1">
        <w:r w:rsidRPr="0056325A">
          <w:rPr>
            <w:rStyle w:val="Hyperlink"/>
            <w:noProof/>
          </w:rPr>
          <w:t>Headline finding: total social cost</w:t>
        </w:r>
        <w:r>
          <w:rPr>
            <w:noProof/>
            <w:webHidden/>
          </w:rPr>
          <w:tab/>
        </w:r>
        <w:r>
          <w:rPr>
            <w:noProof/>
            <w:webHidden/>
          </w:rPr>
          <w:fldChar w:fldCharType="begin"/>
        </w:r>
        <w:r>
          <w:rPr>
            <w:noProof/>
            <w:webHidden/>
          </w:rPr>
          <w:instrText xml:space="preserve"> PAGEREF _Toc207195872 \h </w:instrText>
        </w:r>
        <w:r>
          <w:rPr>
            <w:noProof/>
            <w:webHidden/>
          </w:rPr>
        </w:r>
        <w:r>
          <w:rPr>
            <w:noProof/>
            <w:webHidden/>
          </w:rPr>
          <w:fldChar w:fldCharType="separate"/>
        </w:r>
        <w:r w:rsidR="00986A0D">
          <w:rPr>
            <w:noProof/>
            <w:webHidden/>
          </w:rPr>
          <w:t>13</w:t>
        </w:r>
        <w:r>
          <w:rPr>
            <w:noProof/>
            <w:webHidden/>
          </w:rPr>
          <w:fldChar w:fldCharType="end"/>
        </w:r>
      </w:hyperlink>
    </w:p>
    <w:p w14:paraId="47B45C91" w14:textId="0D17A533"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873" w:history="1">
        <w:r w:rsidRPr="0056325A">
          <w:rPr>
            <w:rStyle w:val="Hyperlink"/>
            <w:noProof/>
          </w:rPr>
          <w:t>Key drivers of the cost</w:t>
        </w:r>
        <w:r>
          <w:rPr>
            <w:noProof/>
            <w:webHidden/>
          </w:rPr>
          <w:tab/>
        </w:r>
        <w:r>
          <w:rPr>
            <w:noProof/>
            <w:webHidden/>
          </w:rPr>
          <w:fldChar w:fldCharType="begin"/>
        </w:r>
        <w:r>
          <w:rPr>
            <w:noProof/>
            <w:webHidden/>
          </w:rPr>
          <w:instrText xml:space="preserve"> PAGEREF _Toc207195873 \h </w:instrText>
        </w:r>
        <w:r>
          <w:rPr>
            <w:noProof/>
            <w:webHidden/>
          </w:rPr>
        </w:r>
        <w:r>
          <w:rPr>
            <w:noProof/>
            <w:webHidden/>
          </w:rPr>
          <w:fldChar w:fldCharType="separate"/>
        </w:r>
        <w:r w:rsidR="00986A0D">
          <w:rPr>
            <w:noProof/>
            <w:webHidden/>
          </w:rPr>
          <w:t>13</w:t>
        </w:r>
        <w:r>
          <w:rPr>
            <w:noProof/>
            <w:webHidden/>
          </w:rPr>
          <w:fldChar w:fldCharType="end"/>
        </w:r>
      </w:hyperlink>
    </w:p>
    <w:p w14:paraId="6D50083B" w14:textId="76DDDDF2"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874" w:history="1">
        <w:r w:rsidRPr="0056325A">
          <w:rPr>
            <w:rStyle w:val="Hyperlink"/>
            <w:noProof/>
          </w:rPr>
          <w:t>Distribution of costs</w:t>
        </w:r>
        <w:r>
          <w:rPr>
            <w:noProof/>
            <w:webHidden/>
          </w:rPr>
          <w:tab/>
        </w:r>
        <w:r>
          <w:rPr>
            <w:noProof/>
            <w:webHidden/>
          </w:rPr>
          <w:fldChar w:fldCharType="begin"/>
        </w:r>
        <w:r>
          <w:rPr>
            <w:noProof/>
            <w:webHidden/>
          </w:rPr>
          <w:instrText xml:space="preserve"> PAGEREF _Toc207195874 \h </w:instrText>
        </w:r>
        <w:r>
          <w:rPr>
            <w:noProof/>
            <w:webHidden/>
          </w:rPr>
        </w:r>
        <w:r>
          <w:rPr>
            <w:noProof/>
            <w:webHidden/>
          </w:rPr>
          <w:fldChar w:fldCharType="separate"/>
        </w:r>
        <w:r w:rsidR="00986A0D">
          <w:rPr>
            <w:noProof/>
            <w:webHidden/>
          </w:rPr>
          <w:t>16</w:t>
        </w:r>
        <w:r>
          <w:rPr>
            <w:noProof/>
            <w:webHidden/>
          </w:rPr>
          <w:fldChar w:fldCharType="end"/>
        </w:r>
      </w:hyperlink>
    </w:p>
    <w:p w14:paraId="3258AC4E" w14:textId="6BE1F7A3"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875" w:history="1">
        <w:r w:rsidRPr="0056325A">
          <w:rPr>
            <w:rStyle w:val="Hyperlink"/>
            <w:noProof/>
          </w:rPr>
          <w:t>Attribution of costs to gambling forms</w:t>
        </w:r>
        <w:r>
          <w:rPr>
            <w:noProof/>
            <w:webHidden/>
          </w:rPr>
          <w:tab/>
        </w:r>
        <w:r>
          <w:rPr>
            <w:noProof/>
            <w:webHidden/>
          </w:rPr>
          <w:fldChar w:fldCharType="begin"/>
        </w:r>
        <w:r>
          <w:rPr>
            <w:noProof/>
            <w:webHidden/>
          </w:rPr>
          <w:instrText xml:space="preserve"> PAGEREF _Toc207195875 \h </w:instrText>
        </w:r>
        <w:r>
          <w:rPr>
            <w:noProof/>
            <w:webHidden/>
          </w:rPr>
        </w:r>
        <w:r>
          <w:rPr>
            <w:noProof/>
            <w:webHidden/>
          </w:rPr>
          <w:fldChar w:fldCharType="separate"/>
        </w:r>
        <w:r w:rsidR="00986A0D">
          <w:rPr>
            <w:noProof/>
            <w:webHidden/>
          </w:rPr>
          <w:t>17</w:t>
        </w:r>
        <w:r>
          <w:rPr>
            <w:noProof/>
            <w:webHidden/>
          </w:rPr>
          <w:fldChar w:fldCharType="end"/>
        </w:r>
      </w:hyperlink>
    </w:p>
    <w:p w14:paraId="0ED70355" w14:textId="5CFF523E"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876" w:history="1">
        <w:r w:rsidRPr="0056325A">
          <w:rPr>
            <w:rStyle w:val="Hyperlink"/>
            <w:noProof/>
          </w:rPr>
          <w:t>Methodological approach (brief overview)</w:t>
        </w:r>
        <w:r>
          <w:rPr>
            <w:noProof/>
            <w:webHidden/>
          </w:rPr>
          <w:tab/>
        </w:r>
        <w:r>
          <w:rPr>
            <w:noProof/>
            <w:webHidden/>
          </w:rPr>
          <w:fldChar w:fldCharType="begin"/>
        </w:r>
        <w:r>
          <w:rPr>
            <w:noProof/>
            <w:webHidden/>
          </w:rPr>
          <w:instrText xml:space="preserve"> PAGEREF _Toc207195876 \h </w:instrText>
        </w:r>
        <w:r>
          <w:rPr>
            <w:noProof/>
            <w:webHidden/>
          </w:rPr>
        </w:r>
        <w:r>
          <w:rPr>
            <w:noProof/>
            <w:webHidden/>
          </w:rPr>
          <w:fldChar w:fldCharType="separate"/>
        </w:r>
        <w:r w:rsidR="00986A0D">
          <w:rPr>
            <w:noProof/>
            <w:webHidden/>
          </w:rPr>
          <w:t>18</w:t>
        </w:r>
        <w:r>
          <w:rPr>
            <w:noProof/>
            <w:webHidden/>
          </w:rPr>
          <w:fldChar w:fldCharType="end"/>
        </w:r>
      </w:hyperlink>
    </w:p>
    <w:p w14:paraId="69A782EF" w14:textId="20792F25"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877" w:history="1">
        <w:r w:rsidRPr="0056325A">
          <w:rPr>
            <w:rStyle w:val="Hyperlink"/>
            <w:noProof/>
          </w:rPr>
          <w:t>Key implications for policy and harm minimisation</w:t>
        </w:r>
        <w:r>
          <w:rPr>
            <w:noProof/>
            <w:webHidden/>
          </w:rPr>
          <w:tab/>
        </w:r>
        <w:r>
          <w:rPr>
            <w:noProof/>
            <w:webHidden/>
          </w:rPr>
          <w:fldChar w:fldCharType="begin"/>
        </w:r>
        <w:r>
          <w:rPr>
            <w:noProof/>
            <w:webHidden/>
          </w:rPr>
          <w:instrText xml:space="preserve"> PAGEREF _Toc207195877 \h </w:instrText>
        </w:r>
        <w:r>
          <w:rPr>
            <w:noProof/>
            <w:webHidden/>
          </w:rPr>
        </w:r>
        <w:r>
          <w:rPr>
            <w:noProof/>
            <w:webHidden/>
          </w:rPr>
          <w:fldChar w:fldCharType="separate"/>
        </w:r>
        <w:r w:rsidR="00986A0D">
          <w:rPr>
            <w:noProof/>
            <w:webHidden/>
          </w:rPr>
          <w:t>19</w:t>
        </w:r>
        <w:r>
          <w:rPr>
            <w:noProof/>
            <w:webHidden/>
          </w:rPr>
          <w:fldChar w:fldCharType="end"/>
        </w:r>
      </w:hyperlink>
    </w:p>
    <w:p w14:paraId="5A56E75C" w14:textId="34F76E05"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878" w:history="1">
        <w:r w:rsidRPr="0056325A">
          <w:rPr>
            <w:rStyle w:val="Hyperlink"/>
            <w:noProof/>
          </w:rPr>
          <w:t>Future research directions</w:t>
        </w:r>
        <w:r>
          <w:rPr>
            <w:noProof/>
            <w:webHidden/>
          </w:rPr>
          <w:tab/>
        </w:r>
        <w:r>
          <w:rPr>
            <w:noProof/>
            <w:webHidden/>
          </w:rPr>
          <w:fldChar w:fldCharType="begin"/>
        </w:r>
        <w:r>
          <w:rPr>
            <w:noProof/>
            <w:webHidden/>
          </w:rPr>
          <w:instrText xml:space="preserve"> PAGEREF _Toc207195878 \h </w:instrText>
        </w:r>
        <w:r>
          <w:rPr>
            <w:noProof/>
            <w:webHidden/>
          </w:rPr>
        </w:r>
        <w:r>
          <w:rPr>
            <w:noProof/>
            <w:webHidden/>
          </w:rPr>
          <w:fldChar w:fldCharType="separate"/>
        </w:r>
        <w:r w:rsidR="00986A0D">
          <w:rPr>
            <w:noProof/>
            <w:webHidden/>
          </w:rPr>
          <w:t>20</w:t>
        </w:r>
        <w:r>
          <w:rPr>
            <w:noProof/>
            <w:webHidden/>
          </w:rPr>
          <w:fldChar w:fldCharType="end"/>
        </w:r>
      </w:hyperlink>
    </w:p>
    <w:p w14:paraId="52F69AC6" w14:textId="254D7B4D"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879" w:history="1">
        <w:r w:rsidRPr="0056325A">
          <w:rPr>
            <w:rStyle w:val="Hyperlink"/>
            <w:noProof/>
          </w:rPr>
          <w:t>Conclusion</w:t>
        </w:r>
        <w:r>
          <w:rPr>
            <w:noProof/>
            <w:webHidden/>
          </w:rPr>
          <w:tab/>
        </w:r>
        <w:r>
          <w:rPr>
            <w:noProof/>
            <w:webHidden/>
          </w:rPr>
          <w:fldChar w:fldCharType="begin"/>
        </w:r>
        <w:r>
          <w:rPr>
            <w:noProof/>
            <w:webHidden/>
          </w:rPr>
          <w:instrText xml:space="preserve"> PAGEREF _Toc207195879 \h </w:instrText>
        </w:r>
        <w:r>
          <w:rPr>
            <w:noProof/>
            <w:webHidden/>
          </w:rPr>
        </w:r>
        <w:r>
          <w:rPr>
            <w:noProof/>
            <w:webHidden/>
          </w:rPr>
          <w:fldChar w:fldCharType="separate"/>
        </w:r>
        <w:r w:rsidR="00986A0D">
          <w:rPr>
            <w:noProof/>
            <w:webHidden/>
          </w:rPr>
          <w:t>21</w:t>
        </w:r>
        <w:r>
          <w:rPr>
            <w:noProof/>
            <w:webHidden/>
          </w:rPr>
          <w:fldChar w:fldCharType="end"/>
        </w:r>
      </w:hyperlink>
    </w:p>
    <w:p w14:paraId="599C7C6A" w14:textId="605288A6" w:rsidR="00E916B3" w:rsidRDefault="00E916B3" w:rsidP="007473EA">
      <w:pPr>
        <w:pStyle w:val="TOC1"/>
        <w:spacing w:after="0" w:line="276" w:lineRule="auto"/>
        <w:rPr>
          <w:rFonts w:asciiTheme="minorHAnsi" w:eastAsiaTheme="minorEastAsia" w:hAnsiTheme="minorHAnsi" w:cstheme="minorBidi"/>
          <w:noProof/>
          <w:kern w:val="2"/>
          <w14:ligatures w14:val="standardContextual"/>
        </w:rPr>
      </w:pPr>
      <w:hyperlink w:anchor="_Toc207195880" w:history="1">
        <w:r w:rsidRPr="0056325A">
          <w:rPr>
            <w:rStyle w:val="Hyperlink"/>
            <w:noProof/>
          </w:rPr>
          <w:t>Chapter 1: Project overview</w:t>
        </w:r>
        <w:r>
          <w:rPr>
            <w:noProof/>
            <w:webHidden/>
          </w:rPr>
          <w:tab/>
        </w:r>
        <w:r>
          <w:rPr>
            <w:noProof/>
            <w:webHidden/>
          </w:rPr>
          <w:fldChar w:fldCharType="begin"/>
        </w:r>
        <w:r>
          <w:rPr>
            <w:noProof/>
            <w:webHidden/>
          </w:rPr>
          <w:instrText xml:space="preserve"> PAGEREF _Toc207195880 \h </w:instrText>
        </w:r>
        <w:r>
          <w:rPr>
            <w:noProof/>
            <w:webHidden/>
          </w:rPr>
        </w:r>
        <w:r>
          <w:rPr>
            <w:noProof/>
            <w:webHidden/>
          </w:rPr>
          <w:fldChar w:fldCharType="separate"/>
        </w:r>
        <w:r w:rsidR="00986A0D">
          <w:rPr>
            <w:noProof/>
            <w:webHidden/>
          </w:rPr>
          <w:t>22</w:t>
        </w:r>
        <w:r>
          <w:rPr>
            <w:noProof/>
            <w:webHidden/>
          </w:rPr>
          <w:fldChar w:fldCharType="end"/>
        </w:r>
      </w:hyperlink>
    </w:p>
    <w:p w14:paraId="635DCA38" w14:textId="72F187DA"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881" w:history="1">
        <w:r w:rsidRPr="0056325A">
          <w:rPr>
            <w:rStyle w:val="Hyperlink"/>
            <w:noProof/>
          </w:rPr>
          <w:t>1.1 Document structure</w:t>
        </w:r>
        <w:r>
          <w:rPr>
            <w:noProof/>
            <w:webHidden/>
          </w:rPr>
          <w:tab/>
        </w:r>
        <w:r>
          <w:rPr>
            <w:noProof/>
            <w:webHidden/>
          </w:rPr>
          <w:fldChar w:fldCharType="begin"/>
        </w:r>
        <w:r>
          <w:rPr>
            <w:noProof/>
            <w:webHidden/>
          </w:rPr>
          <w:instrText xml:space="preserve"> PAGEREF _Toc207195881 \h </w:instrText>
        </w:r>
        <w:r>
          <w:rPr>
            <w:noProof/>
            <w:webHidden/>
          </w:rPr>
        </w:r>
        <w:r>
          <w:rPr>
            <w:noProof/>
            <w:webHidden/>
          </w:rPr>
          <w:fldChar w:fldCharType="separate"/>
        </w:r>
        <w:r w:rsidR="00986A0D">
          <w:rPr>
            <w:noProof/>
            <w:webHidden/>
          </w:rPr>
          <w:t>24</w:t>
        </w:r>
        <w:r>
          <w:rPr>
            <w:noProof/>
            <w:webHidden/>
          </w:rPr>
          <w:fldChar w:fldCharType="end"/>
        </w:r>
      </w:hyperlink>
    </w:p>
    <w:p w14:paraId="2023ACC6" w14:textId="5B0EF89B" w:rsidR="00E916B3" w:rsidRDefault="00E916B3" w:rsidP="007473EA">
      <w:pPr>
        <w:pStyle w:val="TOC1"/>
        <w:spacing w:after="0" w:line="276" w:lineRule="auto"/>
        <w:rPr>
          <w:rFonts w:asciiTheme="minorHAnsi" w:eastAsiaTheme="minorEastAsia" w:hAnsiTheme="minorHAnsi" w:cstheme="minorBidi"/>
          <w:noProof/>
          <w:kern w:val="2"/>
          <w14:ligatures w14:val="standardContextual"/>
        </w:rPr>
      </w:pPr>
      <w:hyperlink w:anchor="_Toc207195882" w:history="1">
        <w:r w:rsidRPr="0056325A">
          <w:rPr>
            <w:rStyle w:val="Hyperlink"/>
            <w:noProof/>
          </w:rPr>
          <w:t>Chapter 2: Gambling-related harm and implications for costings</w:t>
        </w:r>
        <w:r>
          <w:rPr>
            <w:noProof/>
            <w:webHidden/>
          </w:rPr>
          <w:tab/>
        </w:r>
        <w:r>
          <w:rPr>
            <w:noProof/>
            <w:webHidden/>
          </w:rPr>
          <w:fldChar w:fldCharType="begin"/>
        </w:r>
        <w:r>
          <w:rPr>
            <w:noProof/>
            <w:webHidden/>
          </w:rPr>
          <w:instrText xml:space="preserve"> PAGEREF _Toc207195882 \h </w:instrText>
        </w:r>
        <w:r>
          <w:rPr>
            <w:noProof/>
            <w:webHidden/>
          </w:rPr>
        </w:r>
        <w:r>
          <w:rPr>
            <w:noProof/>
            <w:webHidden/>
          </w:rPr>
          <w:fldChar w:fldCharType="separate"/>
        </w:r>
        <w:r w:rsidR="00986A0D">
          <w:rPr>
            <w:noProof/>
            <w:webHidden/>
          </w:rPr>
          <w:t>25</w:t>
        </w:r>
        <w:r>
          <w:rPr>
            <w:noProof/>
            <w:webHidden/>
          </w:rPr>
          <w:fldChar w:fldCharType="end"/>
        </w:r>
      </w:hyperlink>
    </w:p>
    <w:p w14:paraId="13A7E706" w14:textId="5A2C5FEB"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883" w:history="1">
        <w:r w:rsidRPr="0056325A">
          <w:rPr>
            <w:rStyle w:val="Hyperlink"/>
            <w:noProof/>
          </w:rPr>
          <w:t>2.1 Costs borne by those other than the person who gambles</w:t>
        </w:r>
        <w:r>
          <w:rPr>
            <w:noProof/>
            <w:webHidden/>
          </w:rPr>
          <w:tab/>
        </w:r>
        <w:r>
          <w:rPr>
            <w:noProof/>
            <w:webHidden/>
          </w:rPr>
          <w:fldChar w:fldCharType="begin"/>
        </w:r>
        <w:r>
          <w:rPr>
            <w:noProof/>
            <w:webHidden/>
          </w:rPr>
          <w:instrText xml:space="preserve"> PAGEREF _Toc207195883 \h </w:instrText>
        </w:r>
        <w:r>
          <w:rPr>
            <w:noProof/>
            <w:webHidden/>
          </w:rPr>
        </w:r>
        <w:r>
          <w:rPr>
            <w:noProof/>
            <w:webHidden/>
          </w:rPr>
          <w:fldChar w:fldCharType="separate"/>
        </w:r>
        <w:r w:rsidR="00986A0D">
          <w:rPr>
            <w:noProof/>
            <w:webHidden/>
          </w:rPr>
          <w:t>26</w:t>
        </w:r>
        <w:r>
          <w:rPr>
            <w:noProof/>
            <w:webHidden/>
          </w:rPr>
          <w:fldChar w:fldCharType="end"/>
        </w:r>
      </w:hyperlink>
    </w:p>
    <w:p w14:paraId="2B568269" w14:textId="00B14896"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884" w:history="1">
        <w:r w:rsidRPr="0056325A">
          <w:rPr>
            <w:rStyle w:val="Hyperlink"/>
            <w:noProof/>
          </w:rPr>
          <w:t>2.1.1 Affected others</w:t>
        </w:r>
        <w:r>
          <w:rPr>
            <w:noProof/>
            <w:webHidden/>
          </w:rPr>
          <w:tab/>
        </w:r>
        <w:r>
          <w:rPr>
            <w:noProof/>
            <w:webHidden/>
          </w:rPr>
          <w:fldChar w:fldCharType="begin"/>
        </w:r>
        <w:r>
          <w:rPr>
            <w:noProof/>
            <w:webHidden/>
          </w:rPr>
          <w:instrText xml:space="preserve"> PAGEREF _Toc207195884 \h </w:instrText>
        </w:r>
        <w:r>
          <w:rPr>
            <w:noProof/>
            <w:webHidden/>
          </w:rPr>
        </w:r>
        <w:r>
          <w:rPr>
            <w:noProof/>
            <w:webHidden/>
          </w:rPr>
          <w:fldChar w:fldCharType="separate"/>
        </w:r>
        <w:r w:rsidR="00986A0D">
          <w:rPr>
            <w:noProof/>
            <w:webHidden/>
          </w:rPr>
          <w:t>26</w:t>
        </w:r>
        <w:r>
          <w:rPr>
            <w:noProof/>
            <w:webHidden/>
          </w:rPr>
          <w:fldChar w:fldCharType="end"/>
        </w:r>
      </w:hyperlink>
    </w:p>
    <w:p w14:paraId="30D5B696" w14:textId="7333F0F2"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885" w:history="1">
        <w:r w:rsidRPr="0056325A">
          <w:rPr>
            <w:rStyle w:val="Hyperlink"/>
            <w:noProof/>
          </w:rPr>
          <w:t>2.1.2 Equity issues around gambling harm</w:t>
        </w:r>
        <w:r>
          <w:rPr>
            <w:noProof/>
            <w:webHidden/>
          </w:rPr>
          <w:tab/>
        </w:r>
        <w:r>
          <w:rPr>
            <w:noProof/>
            <w:webHidden/>
          </w:rPr>
          <w:fldChar w:fldCharType="begin"/>
        </w:r>
        <w:r>
          <w:rPr>
            <w:noProof/>
            <w:webHidden/>
          </w:rPr>
          <w:instrText xml:space="preserve"> PAGEREF _Toc207195885 \h </w:instrText>
        </w:r>
        <w:r>
          <w:rPr>
            <w:noProof/>
            <w:webHidden/>
          </w:rPr>
        </w:r>
        <w:r>
          <w:rPr>
            <w:noProof/>
            <w:webHidden/>
          </w:rPr>
          <w:fldChar w:fldCharType="separate"/>
        </w:r>
        <w:r w:rsidR="00986A0D">
          <w:rPr>
            <w:noProof/>
            <w:webHidden/>
          </w:rPr>
          <w:t>28</w:t>
        </w:r>
        <w:r>
          <w:rPr>
            <w:noProof/>
            <w:webHidden/>
          </w:rPr>
          <w:fldChar w:fldCharType="end"/>
        </w:r>
      </w:hyperlink>
    </w:p>
    <w:p w14:paraId="11CA5410" w14:textId="21E9D04F"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886" w:history="1">
        <w:r w:rsidRPr="0056325A">
          <w:rPr>
            <w:rStyle w:val="Hyperlink"/>
            <w:noProof/>
          </w:rPr>
          <w:t>2.2 Financial impacts</w:t>
        </w:r>
        <w:r>
          <w:rPr>
            <w:noProof/>
            <w:webHidden/>
          </w:rPr>
          <w:tab/>
        </w:r>
        <w:r>
          <w:rPr>
            <w:noProof/>
            <w:webHidden/>
          </w:rPr>
          <w:fldChar w:fldCharType="begin"/>
        </w:r>
        <w:r>
          <w:rPr>
            <w:noProof/>
            <w:webHidden/>
          </w:rPr>
          <w:instrText xml:space="preserve"> PAGEREF _Toc207195886 \h </w:instrText>
        </w:r>
        <w:r>
          <w:rPr>
            <w:noProof/>
            <w:webHidden/>
          </w:rPr>
        </w:r>
        <w:r>
          <w:rPr>
            <w:noProof/>
            <w:webHidden/>
          </w:rPr>
          <w:fldChar w:fldCharType="separate"/>
        </w:r>
        <w:r w:rsidR="00986A0D">
          <w:rPr>
            <w:noProof/>
            <w:webHidden/>
          </w:rPr>
          <w:t>30</w:t>
        </w:r>
        <w:r>
          <w:rPr>
            <w:noProof/>
            <w:webHidden/>
          </w:rPr>
          <w:fldChar w:fldCharType="end"/>
        </w:r>
      </w:hyperlink>
    </w:p>
    <w:p w14:paraId="1A07ACCD" w14:textId="70A18FDC"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887" w:history="1">
        <w:r w:rsidRPr="0056325A">
          <w:rPr>
            <w:rStyle w:val="Hyperlink"/>
            <w:noProof/>
          </w:rPr>
          <w:t>2.3 Psychological and emotional harms</w:t>
        </w:r>
        <w:r>
          <w:rPr>
            <w:noProof/>
            <w:webHidden/>
          </w:rPr>
          <w:tab/>
        </w:r>
        <w:r>
          <w:rPr>
            <w:noProof/>
            <w:webHidden/>
          </w:rPr>
          <w:fldChar w:fldCharType="begin"/>
        </w:r>
        <w:r>
          <w:rPr>
            <w:noProof/>
            <w:webHidden/>
          </w:rPr>
          <w:instrText xml:space="preserve"> PAGEREF _Toc207195887 \h </w:instrText>
        </w:r>
        <w:r>
          <w:rPr>
            <w:noProof/>
            <w:webHidden/>
          </w:rPr>
        </w:r>
        <w:r>
          <w:rPr>
            <w:noProof/>
            <w:webHidden/>
          </w:rPr>
          <w:fldChar w:fldCharType="separate"/>
        </w:r>
        <w:r w:rsidR="00986A0D">
          <w:rPr>
            <w:noProof/>
            <w:webHidden/>
          </w:rPr>
          <w:t>32</w:t>
        </w:r>
        <w:r>
          <w:rPr>
            <w:noProof/>
            <w:webHidden/>
          </w:rPr>
          <w:fldChar w:fldCharType="end"/>
        </w:r>
      </w:hyperlink>
    </w:p>
    <w:p w14:paraId="337CF6C9" w14:textId="33843E9F"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888" w:history="1">
        <w:r w:rsidRPr="0056325A">
          <w:rPr>
            <w:rStyle w:val="Hyperlink"/>
            <w:noProof/>
          </w:rPr>
          <w:t>2.4 Relationship disruption, conflict or breakdown</w:t>
        </w:r>
        <w:r>
          <w:rPr>
            <w:noProof/>
            <w:webHidden/>
          </w:rPr>
          <w:tab/>
        </w:r>
        <w:r>
          <w:rPr>
            <w:noProof/>
            <w:webHidden/>
          </w:rPr>
          <w:fldChar w:fldCharType="begin"/>
        </w:r>
        <w:r>
          <w:rPr>
            <w:noProof/>
            <w:webHidden/>
          </w:rPr>
          <w:instrText xml:space="preserve"> PAGEREF _Toc207195888 \h </w:instrText>
        </w:r>
        <w:r>
          <w:rPr>
            <w:noProof/>
            <w:webHidden/>
          </w:rPr>
        </w:r>
        <w:r>
          <w:rPr>
            <w:noProof/>
            <w:webHidden/>
          </w:rPr>
          <w:fldChar w:fldCharType="separate"/>
        </w:r>
        <w:r w:rsidR="00986A0D">
          <w:rPr>
            <w:noProof/>
            <w:webHidden/>
          </w:rPr>
          <w:t>32</w:t>
        </w:r>
        <w:r>
          <w:rPr>
            <w:noProof/>
            <w:webHidden/>
          </w:rPr>
          <w:fldChar w:fldCharType="end"/>
        </w:r>
      </w:hyperlink>
    </w:p>
    <w:p w14:paraId="5C144D57" w14:textId="1CF77311"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889" w:history="1">
        <w:r w:rsidRPr="0056325A">
          <w:rPr>
            <w:rStyle w:val="Hyperlink"/>
            <w:noProof/>
          </w:rPr>
          <w:t>2.5 Health</w:t>
        </w:r>
        <w:r>
          <w:rPr>
            <w:noProof/>
            <w:webHidden/>
          </w:rPr>
          <w:tab/>
        </w:r>
        <w:r>
          <w:rPr>
            <w:noProof/>
            <w:webHidden/>
          </w:rPr>
          <w:fldChar w:fldCharType="begin"/>
        </w:r>
        <w:r>
          <w:rPr>
            <w:noProof/>
            <w:webHidden/>
          </w:rPr>
          <w:instrText xml:space="preserve"> PAGEREF _Toc207195889 \h </w:instrText>
        </w:r>
        <w:r>
          <w:rPr>
            <w:noProof/>
            <w:webHidden/>
          </w:rPr>
        </w:r>
        <w:r>
          <w:rPr>
            <w:noProof/>
            <w:webHidden/>
          </w:rPr>
          <w:fldChar w:fldCharType="separate"/>
        </w:r>
        <w:r w:rsidR="00986A0D">
          <w:rPr>
            <w:noProof/>
            <w:webHidden/>
          </w:rPr>
          <w:t>34</w:t>
        </w:r>
        <w:r>
          <w:rPr>
            <w:noProof/>
            <w:webHidden/>
          </w:rPr>
          <w:fldChar w:fldCharType="end"/>
        </w:r>
      </w:hyperlink>
    </w:p>
    <w:p w14:paraId="11E7F805" w14:textId="11ED4B3F"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890" w:history="1">
        <w:r w:rsidRPr="0056325A">
          <w:rPr>
            <w:rStyle w:val="Hyperlink"/>
            <w:noProof/>
          </w:rPr>
          <w:t>2.6 Cultural harm</w:t>
        </w:r>
        <w:r>
          <w:rPr>
            <w:noProof/>
            <w:webHidden/>
          </w:rPr>
          <w:tab/>
        </w:r>
        <w:r>
          <w:rPr>
            <w:noProof/>
            <w:webHidden/>
          </w:rPr>
          <w:fldChar w:fldCharType="begin"/>
        </w:r>
        <w:r>
          <w:rPr>
            <w:noProof/>
            <w:webHidden/>
          </w:rPr>
          <w:instrText xml:space="preserve"> PAGEREF _Toc207195890 \h </w:instrText>
        </w:r>
        <w:r>
          <w:rPr>
            <w:noProof/>
            <w:webHidden/>
          </w:rPr>
        </w:r>
        <w:r>
          <w:rPr>
            <w:noProof/>
            <w:webHidden/>
          </w:rPr>
          <w:fldChar w:fldCharType="separate"/>
        </w:r>
        <w:r w:rsidR="00986A0D">
          <w:rPr>
            <w:noProof/>
            <w:webHidden/>
          </w:rPr>
          <w:t>36</w:t>
        </w:r>
        <w:r>
          <w:rPr>
            <w:noProof/>
            <w:webHidden/>
          </w:rPr>
          <w:fldChar w:fldCharType="end"/>
        </w:r>
      </w:hyperlink>
    </w:p>
    <w:p w14:paraId="0B22A37F" w14:textId="1C596705"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891" w:history="1">
        <w:r w:rsidRPr="0056325A">
          <w:rPr>
            <w:rStyle w:val="Hyperlink"/>
            <w:noProof/>
          </w:rPr>
          <w:t>2.7 Work or study impacts</w:t>
        </w:r>
        <w:r>
          <w:rPr>
            <w:noProof/>
            <w:webHidden/>
          </w:rPr>
          <w:tab/>
        </w:r>
        <w:r>
          <w:rPr>
            <w:noProof/>
            <w:webHidden/>
          </w:rPr>
          <w:fldChar w:fldCharType="begin"/>
        </w:r>
        <w:r>
          <w:rPr>
            <w:noProof/>
            <w:webHidden/>
          </w:rPr>
          <w:instrText xml:space="preserve"> PAGEREF _Toc207195891 \h </w:instrText>
        </w:r>
        <w:r>
          <w:rPr>
            <w:noProof/>
            <w:webHidden/>
          </w:rPr>
        </w:r>
        <w:r>
          <w:rPr>
            <w:noProof/>
            <w:webHidden/>
          </w:rPr>
          <w:fldChar w:fldCharType="separate"/>
        </w:r>
        <w:r w:rsidR="00986A0D">
          <w:rPr>
            <w:noProof/>
            <w:webHidden/>
          </w:rPr>
          <w:t>38</w:t>
        </w:r>
        <w:r>
          <w:rPr>
            <w:noProof/>
            <w:webHidden/>
          </w:rPr>
          <w:fldChar w:fldCharType="end"/>
        </w:r>
      </w:hyperlink>
    </w:p>
    <w:p w14:paraId="4AE70425" w14:textId="0B696564"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892" w:history="1">
        <w:r w:rsidRPr="0056325A">
          <w:rPr>
            <w:rStyle w:val="Hyperlink"/>
            <w:noProof/>
          </w:rPr>
          <w:t>2.8 Criminal activity</w:t>
        </w:r>
        <w:r>
          <w:rPr>
            <w:noProof/>
            <w:webHidden/>
          </w:rPr>
          <w:tab/>
        </w:r>
        <w:r>
          <w:rPr>
            <w:noProof/>
            <w:webHidden/>
          </w:rPr>
          <w:fldChar w:fldCharType="begin"/>
        </w:r>
        <w:r>
          <w:rPr>
            <w:noProof/>
            <w:webHidden/>
          </w:rPr>
          <w:instrText xml:space="preserve"> PAGEREF _Toc207195892 \h </w:instrText>
        </w:r>
        <w:r>
          <w:rPr>
            <w:noProof/>
            <w:webHidden/>
          </w:rPr>
        </w:r>
        <w:r>
          <w:rPr>
            <w:noProof/>
            <w:webHidden/>
          </w:rPr>
          <w:fldChar w:fldCharType="separate"/>
        </w:r>
        <w:r w:rsidR="00986A0D">
          <w:rPr>
            <w:noProof/>
            <w:webHidden/>
          </w:rPr>
          <w:t>40</w:t>
        </w:r>
        <w:r>
          <w:rPr>
            <w:noProof/>
            <w:webHidden/>
          </w:rPr>
          <w:fldChar w:fldCharType="end"/>
        </w:r>
      </w:hyperlink>
    </w:p>
    <w:p w14:paraId="1B96E473" w14:textId="3D89A4B6"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893" w:history="1">
        <w:r w:rsidRPr="0056325A">
          <w:rPr>
            <w:rStyle w:val="Hyperlink"/>
            <w:noProof/>
          </w:rPr>
          <w:t>2.9 Legacy harm</w:t>
        </w:r>
        <w:r>
          <w:rPr>
            <w:noProof/>
            <w:webHidden/>
          </w:rPr>
          <w:tab/>
        </w:r>
        <w:r>
          <w:rPr>
            <w:noProof/>
            <w:webHidden/>
          </w:rPr>
          <w:fldChar w:fldCharType="begin"/>
        </w:r>
        <w:r>
          <w:rPr>
            <w:noProof/>
            <w:webHidden/>
          </w:rPr>
          <w:instrText xml:space="preserve"> PAGEREF _Toc207195893 \h </w:instrText>
        </w:r>
        <w:r>
          <w:rPr>
            <w:noProof/>
            <w:webHidden/>
          </w:rPr>
        </w:r>
        <w:r>
          <w:rPr>
            <w:noProof/>
            <w:webHidden/>
          </w:rPr>
          <w:fldChar w:fldCharType="separate"/>
        </w:r>
        <w:r w:rsidR="00986A0D">
          <w:rPr>
            <w:noProof/>
            <w:webHidden/>
          </w:rPr>
          <w:t>41</w:t>
        </w:r>
        <w:r>
          <w:rPr>
            <w:noProof/>
            <w:webHidden/>
          </w:rPr>
          <w:fldChar w:fldCharType="end"/>
        </w:r>
      </w:hyperlink>
    </w:p>
    <w:p w14:paraId="06C6BD90" w14:textId="3954F04F"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894" w:history="1">
        <w:r w:rsidRPr="0056325A">
          <w:rPr>
            <w:rStyle w:val="Hyperlink"/>
            <w:noProof/>
          </w:rPr>
          <w:t>2.10 Life course and generational harm</w:t>
        </w:r>
        <w:r>
          <w:rPr>
            <w:noProof/>
            <w:webHidden/>
          </w:rPr>
          <w:tab/>
        </w:r>
        <w:r>
          <w:rPr>
            <w:noProof/>
            <w:webHidden/>
          </w:rPr>
          <w:fldChar w:fldCharType="begin"/>
        </w:r>
        <w:r>
          <w:rPr>
            <w:noProof/>
            <w:webHidden/>
          </w:rPr>
          <w:instrText xml:space="preserve"> PAGEREF _Toc207195894 \h </w:instrText>
        </w:r>
        <w:r>
          <w:rPr>
            <w:noProof/>
            <w:webHidden/>
          </w:rPr>
        </w:r>
        <w:r>
          <w:rPr>
            <w:noProof/>
            <w:webHidden/>
          </w:rPr>
          <w:fldChar w:fldCharType="separate"/>
        </w:r>
        <w:r w:rsidR="00986A0D">
          <w:rPr>
            <w:noProof/>
            <w:webHidden/>
          </w:rPr>
          <w:t>42</w:t>
        </w:r>
        <w:r>
          <w:rPr>
            <w:noProof/>
            <w:webHidden/>
          </w:rPr>
          <w:fldChar w:fldCharType="end"/>
        </w:r>
      </w:hyperlink>
    </w:p>
    <w:p w14:paraId="1162F01E" w14:textId="6E39441E"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895" w:history="1">
        <w:r w:rsidRPr="0056325A">
          <w:rPr>
            <w:rStyle w:val="Hyperlink"/>
            <w:noProof/>
          </w:rPr>
          <w:t>2.11 Other Government or community costs</w:t>
        </w:r>
        <w:r>
          <w:rPr>
            <w:noProof/>
            <w:webHidden/>
          </w:rPr>
          <w:tab/>
        </w:r>
        <w:r>
          <w:rPr>
            <w:noProof/>
            <w:webHidden/>
          </w:rPr>
          <w:fldChar w:fldCharType="begin"/>
        </w:r>
        <w:r>
          <w:rPr>
            <w:noProof/>
            <w:webHidden/>
          </w:rPr>
          <w:instrText xml:space="preserve"> PAGEREF _Toc207195895 \h </w:instrText>
        </w:r>
        <w:r>
          <w:rPr>
            <w:noProof/>
            <w:webHidden/>
          </w:rPr>
        </w:r>
        <w:r>
          <w:rPr>
            <w:noProof/>
            <w:webHidden/>
          </w:rPr>
          <w:fldChar w:fldCharType="separate"/>
        </w:r>
        <w:r w:rsidR="00986A0D">
          <w:rPr>
            <w:noProof/>
            <w:webHidden/>
          </w:rPr>
          <w:t>44</w:t>
        </w:r>
        <w:r>
          <w:rPr>
            <w:noProof/>
            <w:webHidden/>
          </w:rPr>
          <w:fldChar w:fldCharType="end"/>
        </w:r>
      </w:hyperlink>
    </w:p>
    <w:p w14:paraId="1BA26839" w14:textId="2AE6189D"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896" w:history="1">
        <w:r w:rsidRPr="0056325A">
          <w:rPr>
            <w:rStyle w:val="Hyperlink"/>
            <w:noProof/>
          </w:rPr>
          <w:t>2.12 Conclusion</w:t>
        </w:r>
        <w:r>
          <w:rPr>
            <w:noProof/>
            <w:webHidden/>
          </w:rPr>
          <w:tab/>
        </w:r>
        <w:r>
          <w:rPr>
            <w:noProof/>
            <w:webHidden/>
          </w:rPr>
          <w:fldChar w:fldCharType="begin"/>
        </w:r>
        <w:r>
          <w:rPr>
            <w:noProof/>
            <w:webHidden/>
          </w:rPr>
          <w:instrText xml:space="preserve"> PAGEREF _Toc207195896 \h </w:instrText>
        </w:r>
        <w:r>
          <w:rPr>
            <w:noProof/>
            <w:webHidden/>
          </w:rPr>
        </w:r>
        <w:r>
          <w:rPr>
            <w:noProof/>
            <w:webHidden/>
          </w:rPr>
          <w:fldChar w:fldCharType="separate"/>
        </w:r>
        <w:r w:rsidR="00986A0D">
          <w:rPr>
            <w:noProof/>
            <w:webHidden/>
          </w:rPr>
          <w:t>44</w:t>
        </w:r>
        <w:r>
          <w:rPr>
            <w:noProof/>
            <w:webHidden/>
          </w:rPr>
          <w:fldChar w:fldCharType="end"/>
        </w:r>
      </w:hyperlink>
    </w:p>
    <w:p w14:paraId="40850476" w14:textId="68CAE3A9" w:rsidR="00E916B3" w:rsidRDefault="00E916B3" w:rsidP="007473EA">
      <w:pPr>
        <w:pStyle w:val="TOC1"/>
        <w:spacing w:after="0" w:line="276" w:lineRule="auto"/>
        <w:rPr>
          <w:rFonts w:asciiTheme="minorHAnsi" w:eastAsiaTheme="minorEastAsia" w:hAnsiTheme="minorHAnsi" w:cstheme="minorBidi"/>
          <w:noProof/>
          <w:kern w:val="2"/>
          <w14:ligatures w14:val="standardContextual"/>
        </w:rPr>
      </w:pPr>
      <w:hyperlink w:anchor="_Toc207195897" w:history="1">
        <w:r w:rsidRPr="0056325A">
          <w:rPr>
            <w:rStyle w:val="Hyperlink"/>
            <w:noProof/>
          </w:rPr>
          <w:t>Chapter 3: Review of related gambling costing studies</w:t>
        </w:r>
        <w:r>
          <w:rPr>
            <w:noProof/>
            <w:webHidden/>
          </w:rPr>
          <w:tab/>
        </w:r>
        <w:r>
          <w:rPr>
            <w:noProof/>
            <w:webHidden/>
          </w:rPr>
          <w:fldChar w:fldCharType="begin"/>
        </w:r>
        <w:r>
          <w:rPr>
            <w:noProof/>
            <w:webHidden/>
          </w:rPr>
          <w:instrText xml:space="preserve"> PAGEREF _Toc207195897 \h </w:instrText>
        </w:r>
        <w:r>
          <w:rPr>
            <w:noProof/>
            <w:webHidden/>
          </w:rPr>
        </w:r>
        <w:r>
          <w:rPr>
            <w:noProof/>
            <w:webHidden/>
          </w:rPr>
          <w:fldChar w:fldCharType="separate"/>
        </w:r>
        <w:r w:rsidR="00986A0D">
          <w:rPr>
            <w:noProof/>
            <w:webHidden/>
          </w:rPr>
          <w:t>47</w:t>
        </w:r>
        <w:r>
          <w:rPr>
            <w:noProof/>
            <w:webHidden/>
          </w:rPr>
          <w:fldChar w:fldCharType="end"/>
        </w:r>
      </w:hyperlink>
    </w:p>
    <w:p w14:paraId="4A08EDB8" w14:textId="6EFA119E"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898" w:history="1">
        <w:r w:rsidRPr="0056325A">
          <w:rPr>
            <w:rStyle w:val="Hyperlink"/>
            <w:noProof/>
          </w:rPr>
          <w:t>3.1 New Zealand studies</w:t>
        </w:r>
        <w:r>
          <w:rPr>
            <w:noProof/>
            <w:webHidden/>
          </w:rPr>
          <w:tab/>
        </w:r>
        <w:r>
          <w:rPr>
            <w:noProof/>
            <w:webHidden/>
          </w:rPr>
          <w:fldChar w:fldCharType="begin"/>
        </w:r>
        <w:r>
          <w:rPr>
            <w:noProof/>
            <w:webHidden/>
          </w:rPr>
          <w:instrText xml:space="preserve"> PAGEREF _Toc207195898 \h </w:instrText>
        </w:r>
        <w:r>
          <w:rPr>
            <w:noProof/>
            <w:webHidden/>
          </w:rPr>
        </w:r>
        <w:r>
          <w:rPr>
            <w:noProof/>
            <w:webHidden/>
          </w:rPr>
          <w:fldChar w:fldCharType="separate"/>
        </w:r>
        <w:r w:rsidR="00986A0D">
          <w:rPr>
            <w:noProof/>
            <w:webHidden/>
          </w:rPr>
          <w:t>47</w:t>
        </w:r>
        <w:r>
          <w:rPr>
            <w:noProof/>
            <w:webHidden/>
          </w:rPr>
          <w:fldChar w:fldCharType="end"/>
        </w:r>
      </w:hyperlink>
    </w:p>
    <w:p w14:paraId="5394974A" w14:textId="065A01C4"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899" w:history="1">
        <w:r w:rsidRPr="0056325A">
          <w:rPr>
            <w:rStyle w:val="Hyperlink"/>
            <w:noProof/>
          </w:rPr>
          <w:t>3.1.1 Social and Economic Impacts of Gambling in New Zealand (2001)</w:t>
        </w:r>
        <w:r>
          <w:rPr>
            <w:noProof/>
            <w:webHidden/>
          </w:rPr>
          <w:tab/>
        </w:r>
        <w:r>
          <w:rPr>
            <w:noProof/>
            <w:webHidden/>
          </w:rPr>
          <w:fldChar w:fldCharType="begin"/>
        </w:r>
        <w:r>
          <w:rPr>
            <w:noProof/>
            <w:webHidden/>
          </w:rPr>
          <w:instrText xml:space="preserve"> PAGEREF _Toc207195899 \h </w:instrText>
        </w:r>
        <w:r>
          <w:rPr>
            <w:noProof/>
            <w:webHidden/>
          </w:rPr>
        </w:r>
        <w:r>
          <w:rPr>
            <w:noProof/>
            <w:webHidden/>
          </w:rPr>
          <w:fldChar w:fldCharType="separate"/>
        </w:r>
        <w:r w:rsidR="00986A0D">
          <w:rPr>
            <w:noProof/>
            <w:webHidden/>
          </w:rPr>
          <w:t>47</w:t>
        </w:r>
        <w:r>
          <w:rPr>
            <w:noProof/>
            <w:webHidden/>
          </w:rPr>
          <w:fldChar w:fldCharType="end"/>
        </w:r>
      </w:hyperlink>
    </w:p>
    <w:p w14:paraId="067CDDDC" w14:textId="44BDF993"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00" w:history="1">
        <w:r w:rsidRPr="0056325A">
          <w:rPr>
            <w:rStyle w:val="Hyperlink"/>
            <w:noProof/>
          </w:rPr>
          <w:t>3.1.2 Assessment of the Social and Economic Impacts of Gambling in New Zealand (2008)</w:t>
        </w:r>
        <w:r>
          <w:rPr>
            <w:noProof/>
            <w:webHidden/>
          </w:rPr>
          <w:tab/>
        </w:r>
        <w:r>
          <w:rPr>
            <w:noProof/>
            <w:webHidden/>
          </w:rPr>
          <w:fldChar w:fldCharType="begin"/>
        </w:r>
        <w:r>
          <w:rPr>
            <w:noProof/>
            <w:webHidden/>
          </w:rPr>
          <w:instrText xml:space="preserve"> PAGEREF _Toc207195900 \h </w:instrText>
        </w:r>
        <w:r>
          <w:rPr>
            <w:noProof/>
            <w:webHidden/>
          </w:rPr>
        </w:r>
        <w:r>
          <w:rPr>
            <w:noProof/>
            <w:webHidden/>
          </w:rPr>
          <w:fldChar w:fldCharType="separate"/>
        </w:r>
        <w:r w:rsidR="00986A0D">
          <w:rPr>
            <w:noProof/>
            <w:webHidden/>
          </w:rPr>
          <w:t>47</w:t>
        </w:r>
        <w:r>
          <w:rPr>
            <w:noProof/>
            <w:webHidden/>
          </w:rPr>
          <w:fldChar w:fldCharType="end"/>
        </w:r>
      </w:hyperlink>
    </w:p>
    <w:p w14:paraId="7F57EA94" w14:textId="50F0A21C"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01" w:history="1">
        <w:r w:rsidRPr="0056325A">
          <w:rPr>
            <w:rStyle w:val="Hyperlink"/>
            <w:noProof/>
          </w:rPr>
          <w:t>3.1.3 Problem Gambling Research: A study of community level harm from gambling (2010)</w:t>
        </w:r>
        <w:r>
          <w:rPr>
            <w:noProof/>
            <w:webHidden/>
          </w:rPr>
          <w:tab/>
        </w:r>
        <w:r>
          <w:rPr>
            <w:noProof/>
            <w:webHidden/>
          </w:rPr>
          <w:fldChar w:fldCharType="begin"/>
        </w:r>
        <w:r>
          <w:rPr>
            <w:noProof/>
            <w:webHidden/>
          </w:rPr>
          <w:instrText xml:space="preserve"> PAGEREF _Toc207195901 \h </w:instrText>
        </w:r>
        <w:r>
          <w:rPr>
            <w:noProof/>
            <w:webHidden/>
          </w:rPr>
        </w:r>
        <w:r>
          <w:rPr>
            <w:noProof/>
            <w:webHidden/>
          </w:rPr>
          <w:fldChar w:fldCharType="separate"/>
        </w:r>
        <w:r w:rsidR="00986A0D">
          <w:rPr>
            <w:noProof/>
            <w:webHidden/>
          </w:rPr>
          <w:t>48</w:t>
        </w:r>
        <w:r>
          <w:rPr>
            <w:noProof/>
            <w:webHidden/>
          </w:rPr>
          <w:fldChar w:fldCharType="end"/>
        </w:r>
      </w:hyperlink>
    </w:p>
    <w:p w14:paraId="6ACF2FAA" w14:textId="0914B3BA"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902" w:history="1">
        <w:r w:rsidRPr="0056325A">
          <w:rPr>
            <w:rStyle w:val="Hyperlink"/>
            <w:noProof/>
          </w:rPr>
          <w:t>3.2 International studies</w:t>
        </w:r>
        <w:r>
          <w:rPr>
            <w:noProof/>
            <w:webHidden/>
          </w:rPr>
          <w:tab/>
        </w:r>
        <w:r>
          <w:rPr>
            <w:noProof/>
            <w:webHidden/>
          </w:rPr>
          <w:fldChar w:fldCharType="begin"/>
        </w:r>
        <w:r>
          <w:rPr>
            <w:noProof/>
            <w:webHidden/>
          </w:rPr>
          <w:instrText xml:space="preserve"> PAGEREF _Toc207195902 \h </w:instrText>
        </w:r>
        <w:r>
          <w:rPr>
            <w:noProof/>
            <w:webHidden/>
          </w:rPr>
        </w:r>
        <w:r>
          <w:rPr>
            <w:noProof/>
            <w:webHidden/>
          </w:rPr>
          <w:fldChar w:fldCharType="separate"/>
        </w:r>
        <w:r w:rsidR="00986A0D">
          <w:rPr>
            <w:noProof/>
            <w:webHidden/>
          </w:rPr>
          <w:t>49</w:t>
        </w:r>
        <w:r>
          <w:rPr>
            <w:noProof/>
            <w:webHidden/>
          </w:rPr>
          <w:fldChar w:fldCharType="end"/>
        </w:r>
      </w:hyperlink>
    </w:p>
    <w:p w14:paraId="29648F5C" w14:textId="55E0338C"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03" w:history="1">
        <w:r w:rsidRPr="0056325A">
          <w:rPr>
            <w:rStyle w:val="Hyperlink"/>
            <w:noProof/>
          </w:rPr>
          <w:t>3.2.1 Australian Productivity Commission (1999)</w:t>
        </w:r>
        <w:r>
          <w:rPr>
            <w:noProof/>
            <w:webHidden/>
          </w:rPr>
          <w:tab/>
        </w:r>
        <w:r>
          <w:rPr>
            <w:noProof/>
            <w:webHidden/>
          </w:rPr>
          <w:fldChar w:fldCharType="begin"/>
        </w:r>
        <w:r>
          <w:rPr>
            <w:noProof/>
            <w:webHidden/>
          </w:rPr>
          <w:instrText xml:space="preserve"> PAGEREF _Toc207195903 \h </w:instrText>
        </w:r>
        <w:r>
          <w:rPr>
            <w:noProof/>
            <w:webHidden/>
          </w:rPr>
        </w:r>
        <w:r>
          <w:rPr>
            <w:noProof/>
            <w:webHidden/>
          </w:rPr>
          <w:fldChar w:fldCharType="separate"/>
        </w:r>
        <w:r w:rsidR="00986A0D">
          <w:rPr>
            <w:noProof/>
            <w:webHidden/>
          </w:rPr>
          <w:t>49</w:t>
        </w:r>
        <w:r>
          <w:rPr>
            <w:noProof/>
            <w:webHidden/>
          </w:rPr>
          <w:fldChar w:fldCharType="end"/>
        </w:r>
      </w:hyperlink>
    </w:p>
    <w:p w14:paraId="11DC86FB" w14:textId="3908258C"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04" w:history="1">
        <w:r w:rsidRPr="0056325A">
          <w:rPr>
            <w:rStyle w:val="Hyperlink"/>
            <w:noProof/>
          </w:rPr>
          <w:t>3.2.2 Australian Productivity Commission (2010)</w:t>
        </w:r>
        <w:r>
          <w:rPr>
            <w:noProof/>
            <w:webHidden/>
          </w:rPr>
          <w:tab/>
        </w:r>
        <w:r>
          <w:rPr>
            <w:noProof/>
            <w:webHidden/>
          </w:rPr>
          <w:fldChar w:fldCharType="begin"/>
        </w:r>
        <w:r>
          <w:rPr>
            <w:noProof/>
            <w:webHidden/>
          </w:rPr>
          <w:instrText xml:space="preserve"> PAGEREF _Toc207195904 \h </w:instrText>
        </w:r>
        <w:r>
          <w:rPr>
            <w:noProof/>
            <w:webHidden/>
          </w:rPr>
        </w:r>
        <w:r>
          <w:rPr>
            <w:noProof/>
            <w:webHidden/>
          </w:rPr>
          <w:fldChar w:fldCharType="separate"/>
        </w:r>
        <w:r w:rsidR="00986A0D">
          <w:rPr>
            <w:noProof/>
            <w:webHidden/>
          </w:rPr>
          <w:t>50</w:t>
        </w:r>
        <w:r>
          <w:rPr>
            <w:noProof/>
            <w:webHidden/>
          </w:rPr>
          <w:fldChar w:fldCharType="end"/>
        </w:r>
      </w:hyperlink>
    </w:p>
    <w:p w14:paraId="5432F465" w14:textId="2D108C64"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05" w:history="1">
        <w:r w:rsidRPr="0056325A">
          <w:rPr>
            <w:rStyle w:val="Hyperlink"/>
            <w:noProof/>
          </w:rPr>
          <w:t>3.2.3 Social and Economic Impact Study of Gambling in Tasmania (2011)</w:t>
        </w:r>
        <w:r>
          <w:rPr>
            <w:noProof/>
            <w:webHidden/>
          </w:rPr>
          <w:tab/>
        </w:r>
        <w:r>
          <w:rPr>
            <w:noProof/>
            <w:webHidden/>
          </w:rPr>
          <w:fldChar w:fldCharType="begin"/>
        </w:r>
        <w:r>
          <w:rPr>
            <w:noProof/>
            <w:webHidden/>
          </w:rPr>
          <w:instrText xml:space="preserve"> PAGEREF _Toc207195905 \h </w:instrText>
        </w:r>
        <w:r>
          <w:rPr>
            <w:noProof/>
            <w:webHidden/>
          </w:rPr>
        </w:r>
        <w:r>
          <w:rPr>
            <w:noProof/>
            <w:webHidden/>
          </w:rPr>
          <w:fldChar w:fldCharType="separate"/>
        </w:r>
        <w:r w:rsidR="00986A0D">
          <w:rPr>
            <w:noProof/>
            <w:webHidden/>
          </w:rPr>
          <w:t>51</w:t>
        </w:r>
        <w:r>
          <w:rPr>
            <w:noProof/>
            <w:webHidden/>
          </w:rPr>
          <w:fldChar w:fldCharType="end"/>
        </w:r>
      </w:hyperlink>
    </w:p>
    <w:p w14:paraId="41D69CC9" w14:textId="61E032E6"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06" w:history="1">
        <w:r w:rsidRPr="0056325A">
          <w:rPr>
            <w:rStyle w:val="Hyperlink"/>
            <w:noProof/>
          </w:rPr>
          <w:t>3.2.4 Victorian Competition and Efficiency Commission (2012)</w:t>
        </w:r>
        <w:r>
          <w:rPr>
            <w:noProof/>
            <w:webHidden/>
          </w:rPr>
          <w:tab/>
        </w:r>
        <w:r>
          <w:rPr>
            <w:noProof/>
            <w:webHidden/>
          </w:rPr>
          <w:fldChar w:fldCharType="begin"/>
        </w:r>
        <w:r>
          <w:rPr>
            <w:noProof/>
            <w:webHidden/>
          </w:rPr>
          <w:instrText xml:space="preserve"> PAGEREF _Toc207195906 \h </w:instrText>
        </w:r>
        <w:r>
          <w:rPr>
            <w:noProof/>
            <w:webHidden/>
          </w:rPr>
        </w:r>
        <w:r>
          <w:rPr>
            <w:noProof/>
            <w:webHidden/>
          </w:rPr>
          <w:fldChar w:fldCharType="separate"/>
        </w:r>
        <w:r w:rsidR="00986A0D">
          <w:rPr>
            <w:noProof/>
            <w:webHidden/>
          </w:rPr>
          <w:t>51</w:t>
        </w:r>
        <w:r>
          <w:rPr>
            <w:noProof/>
            <w:webHidden/>
          </w:rPr>
          <w:fldChar w:fldCharType="end"/>
        </w:r>
      </w:hyperlink>
    </w:p>
    <w:p w14:paraId="6149998B" w14:textId="164F4C64"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07" w:history="1">
        <w:r w:rsidRPr="0056325A">
          <w:rPr>
            <w:rStyle w:val="Hyperlink"/>
            <w:noProof/>
          </w:rPr>
          <w:t>3.2.5 The Social Cost of Gambling to Victoria (2017)</w:t>
        </w:r>
        <w:r>
          <w:rPr>
            <w:noProof/>
            <w:webHidden/>
          </w:rPr>
          <w:tab/>
        </w:r>
        <w:r>
          <w:rPr>
            <w:noProof/>
            <w:webHidden/>
          </w:rPr>
          <w:fldChar w:fldCharType="begin"/>
        </w:r>
        <w:r>
          <w:rPr>
            <w:noProof/>
            <w:webHidden/>
          </w:rPr>
          <w:instrText xml:space="preserve"> PAGEREF _Toc207195907 \h </w:instrText>
        </w:r>
        <w:r>
          <w:rPr>
            <w:noProof/>
            <w:webHidden/>
          </w:rPr>
        </w:r>
        <w:r>
          <w:rPr>
            <w:noProof/>
            <w:webHidden/>
          </w:rPr>
          <w:fldChar w:fldCharType="separate"/>
        </w:r>
        <w:r w:rsidR="00986A0D">
          <w:rPr>
            <w:noProof/>
            <w:webHidden/>
          </w:rPr>
          <w:t>52</w:t>
        </w:r>
        <w:r>
          <w:rPr>
            <w:noProof/>
            <w:webHidden/>
          </w:rPr>
          <w:fldChar w:fldCharType="end"/>
        </w:r>
      </w:hyperlink>
    </w:p>
    <w:p w14:paraId="5F94511F" w14:textId="60C57134"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08" w:history="1">
        <w:r w:rsidRPr="0056325A">
          <w:rPr>
            <w:rStyle w:val="Hyperlink"/>
            <w:noProof/>
          </w:rPr>
          <w:t>3.2.6 Fourth Social and Economic Impact Study of Gambling in Tasmania (2018)</w:t>
        </w:r>
        <w:r>
          <w:rPr>
            <w:noProof/>
            <w:webHidden/>
          </w:rPr>
          <w:tab/>
        </w:r>
        <w:r>
          <w:rPr>
            <w:noProof/>
            <w:webHidden/>
          </w:rPr>
          <w:fldChar w:fldCharType="begin"/>
        </w:r>
        <w:r>
          <w:rPr>
            <w:noProof/>
            <w:webHidden/>
          </w:rPr>
          <w:instrText xml:space="preserve"> PAGEREF _Toc207195908 \h </w:instrText>
        </w:r>
        <w:r>
          <w:rPr>
            <w:noProof/>
            <w:webHidden/>
          </w:rPr>
        </w:r>
        <w:r>
          <w:rPr>
            <w:noProof/>
            <w:webHidden/>
          </w:rPr>
          <w:fldChar w:fldCharType="separate"/>
        </w:r>
        <w:r w:rsidR="00986A0D">
          <w:rPr>
            <w:noProof/>
            <w:webHidden/>
          </w:rPr>
          <w:t>53</w:t>
        </w:r>
        <w:r>
          <w:rPr>
            <w:noProof/>
            <w:webHidden/>
          </w:rPr>
          <w:fldChar w:fldCharType="end"/>
        </w:r>
      </w:hyperlink>
    </w:p>
    <w:p w14:paraId="57F8F41E" w14:textId="7250D127"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09" w:history="1">
        <w:r w:rsidRPr="0056325A">
          <w:rPr>
            <w:rStyle w:val="Hyperlink"/>
            <w:noProof/>
          </w:rPr>
          <w:t>3.2.7 Social Costs of Gambling in the Czech Republic (2017)</w:t>
        </w:r>
        <w:r>
          <w:rPr>
            <w:noProof/>
            <w:webHidden/>
          </w:rPr>
          <w:tab/>
        </w:r>
        <w:r>
          <w:rPr>
            <w:noProof/>
            <w:webHidden/>
          </w:rPr>
          <w:fldChar w:fldCharType="begin"/>
        </w:r>
        <w:r>
          <w:rPr>
            <w:noProof/>
            <w:webHidden/>
          </w:rPr>
          <w:instrText xml:space="preserve"> PAGEREF _Toc207195909 \h </w:instrText>
        </w:r>
        <w:r>
          <w:rPr>
            <w:noProof/>
            <w:webHidden/>
          </w:rPr>
        </w:r>
        <w:r>
          <w:rPr>
            <w:noProof/>
            <w:webHidden/>
          </w:rPr>
          <w:fldChar w:fldCharType="separate"/>
        </w:r>
        <w:r w:rsidR="00986A0D">
          <w:rPr>
            <w:noProof/>
            <w:webHidden/>
          </w:rPr>
          <w:t>53</w:t>
        </w:r>
        <w:r>
          <w:rPr>
            <w:noProof/>
            <w:webHidden/>
          </w:rPr>
          <w:fldChar w:fldCharType="end"/>
        </w:r>
      </w:hyperlink>
    </w:p>
    <w:p w14:paraId="04BA0549" w14:textId="49E6D0A4"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10" w:history="1">
        <w:r w:rsidRPr="0056325A">
          <w:rPr>
            <w:rStyle w:val="Hyperlink"/>
            <w:noProof/>
          </w:rPr>
          <w:t>3.2.8 The Social Costs of Gambling Harms in the Northern Territory (2018)</w:t>
        </w:r>
        <w:r>
          <w:rPr>
            <w:noProof/>
            <w:webHidden/>
          </w:rPr>
          <w:tab/>
        </w:r>
        <w:r>
          <w:rPr>
            <w:noProof/>
            <w:webHidden/>
          </w:rPr>
          <w:fldChar w:fldCharType="begin"/>
        </w:r>
        <w:r>
          <w:rPr>
            <w:noProof/>
            <w:webHidden/>
          </w:rPr>
          <w:instrText xml:space="preserve"> PAGEREF _Toc207195910 \h </w:instrText>
        </w:r>
        <w:r>
          <w:rPr>
            <w:noProof/>
            <w:webHidden/>
          </w:rPr>
        </w:r>
        <w:r>
          <w:rPr>
            <w:noProof/>
            <w:webHidden/>
          </w:rPr>
          <w:fldChar w:fldCharType="separate"/>
        </w:r>
        <w:r w:rsidR="00986A0D">
          <w:rPr>
            <w:noProof/>
            <w:webHidden/>
          </w:rPr>
          <w:t>53</w:t>
        </w:r>
        <w:r>
          <w:rPr>
            <w:noProof/>
            <w:webHidden/>
          </w:rPr>
          <w:fldChar w:fldCharType="end"/>
        </w:r>
      </w:hyperlink>
    </w:p>
    <w:p w14:paraId="6F696196" w14:textId="5EADC446"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11" w:history="1">
        <w:r w:rsidRPr="0056325A">
          <w:rPr>
            <w:rStyle w:val="Hyperlink"/>
            <w:noProof/>
          </w:rPr>
          <w:t>3.2.9 The Societal Costs of Problem Gambling in Sweden (2020)</w:t>
        </w:r>
        <w:r>
          <w:rPr>
            <w:noProof/>
            <w:webHidden/>
          </w:rPr>
          <w:tab/>
        </w:r>
        <w:r>
          <w:rPr>
            <w:noProof/>
            <w:webHidden/>
          </w:rPr>
          <w:fldChar w:fldCharType="begin"/>
        </w:r>
        <w:r>
          <w:rPr>
            <w:noProof/>
            <w:webHidden/>
          </w:rPr>
          <w:instrText xml:space="preserve"> PAGEREF _Toc207195911 \h </w:instrText>
        </w:r>
        <w:r>
          <w:rPr>
            <w:noProof/>
            <w:webHidden/>
          </w:rPr>
        </w:r>
        <w:r>
          <w:rPr>
            <w:noProof/>
            <w:webHidden/>
          </w:rPr>
          <w:fldChar w:fldCharType="separate"/>
        </w:r>
        <w:r w:rsidR="00986A0D">
          <w:rPr>
            <w:noProof/>
            <w:webHidden/>
          </w:rPr>
          <w:t>54</w:t>
        </w:r>
        <w:r>
          <w:rPr>
            <w:noProof/>
            <w:webHidden/>
          </w:rPr>
          <w:fldChar w:fldCharType="end"/>
        </w:r>
      </w:hyperlink>
    </w:p>
    <w:p w14:paraId="38D1ADCE" w14:textId="28093E08"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12" w:history="1">
        <w:r w:rsidRPr="0056325A">
          <w:rPr>
            <w:rStyle w:val="Hyperlink"/>
            <w:noProof/>
          </w:rPr>
          <w:t>3.2.10 Fifth Social and Economic Impact Study of Gambling in Tasmania (2021)</w:t>
        </w:r>
        <w:r>
          <w:rPr>
            <w:noProof/>
            <w:webHidden/>
          </w:rPr>
          <w:tab/>
        </w:r>
        <w:r>
          <w:rPr>
            <w:noProof/>
            <w:webHidden/>
          </w:rPr>
          <w:fldChar w:fldCharType="begin"/>
        </w:r>
        <w:r>
          <w:rPr>
            <w:noProof/>
            <w:webHidden/>
          </w:rPr>
          <w:instrText xml:space="preserve"> PAGEREF _Toc207195912 \h </w:instrText>
        </w:r>
        <w:r>
          <w:rPr>
            <w:noProof/>
            <w:webHidden/>
          </w:rPr>
        </w:r>
        <w:r>
          <w:rPr>
            <w:noProof/>
            <w:webHidden/>
          </w:rPr>
          <w:fldChar w:fldCharType="separate"/>
        </w:r>
        <w:r w:rsidR="00986A0D">
          <w:rPr>
            <w:noProof/>
            <w:webHidden/>
          </w:rPr>
          <w:t>55</w:t>
        </w:r>
        <w:r>
          <w:rPr>
            <w:noProof/>
            <w:webHidden/>
          </w:rPr>
          <w:fldChar w:fldCharType="end"/>
        </w:r>
      </w:hyperlink>
    </w:p>
    <w:p w14:paraId="5F058A7B" w14:textId="2F10BD13"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13" w:history="1">
        <w:r w:rsidRPr="0056325A">
          <w:rPr>
            <w:rStyle w:val="Hyperlink"/>
            <w:noProof/>
          </w:rPr>
          <w:t>3.2.11 Understanding the Cost of Addiction in Australia (2022)</w:t>
        </w:r>
        <w:r>
          <w:rPr>
            <w:noProof/>
            <w:webHidden/>
          </w:rPr>
          <w:tab/>
        </w:r>
        <w:r>
          <w:rPr>
            <w:noProof/>
            <w:webHidden/>
          </w:rPr>
          <w:fldChar w:fldCharType="begin"/>
        </w:r>
        <w:r>
          <w:rPr>
            <w:noProof/>
            <w:webHidden/>
          </w:rPr>
          <w:instrText xml:space="preserve"> PAGEREF _Toc207195913 \h </w:instrText>
        </w:r>
        <w:r>
          <w:rPr>
            <w:noProof/>
            <w:webHidden/>
          </w:rPr>
        </w:r>
        <w:r>
          <w:rPr>
            <w:noProof/>
            <w:webHidden/>
          </w:rPr>
          <w:fldChar w:fldCharType="separate"/>
        </w:r>
        <w:r w:rsidR="00986A0D">
          <w:rPr>
            <w:noProof/>
            <w:webHidden/>
          </w:rPr>
          <w:t>56</w:t>
        </w:r>
        <w:r>
          <w:rPr>
            <w:noProof/>
            <w:webHidden/>
          </w:rPr>
          <w:fldChar w:fldCharType="end"/>
        </w:r>
      </w:hyperlink>
    </w:p>
    <w:p w14:paraId="729E77EF" w14:textId="3E5CF8B0"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14" w:history="1">
        <w:r w:rsidRPr="0056325A">
          <w:rPr>
            <w:rStyle w:val="Hyperlink"/>
            <w:noProof/>
          </w:rPr>
          <w:t>3.2.12 Social Costs of Gambling Harm in Italy (2022)</w:t>
        </w:r>
        <w:r>
          <w:rPr>
            <w:noProof/>
            <w:webHidden/>
          </w:rPr>
          <w:tab/>
        </w:r>
        <w:r>
          <w:rPr>
            <w:noProof/>
            <w:webHidden/>
          </w:rPr>
          <w:fldChar w:fldCharType="begin"/>
        </w:r>
        <w:r>
          <w:rPr>
            <w:noProof/>
            <w:webHidden/>
          </w:rPr>
          <w:instrText xml:space="preserve"> PAGEREF _Toc207195914 \h </w:instrText>
        </w:r>
        <w:r>
          <w:rPr>
            <w:noProof/>
            <w:webHidden/>
          </w:rPr>
        </w:r>
        <w:r>
          <w:rPr>
            <w:noProof/>
            <w:webHidden/>
          </w:rPr>
          <w:fldChar w:fldCharType="separate"/>
        </w:r>
        <w:r w:rsidR="00986A0D">
          <w:rPr>
            <w:noProof/>
            <w:webHidden/>
          </w:rPr>
          <w:t>56</w:t>
        </w:r>
        <w:r>
          <w:rPr>
            <w:noProof/>
            <w:webHidden/>
          </w:rPr>
          <w:fldChar w:fldCharType="end"/>
        </w:r>
      </w:hyperlink>
    </w:p>
    <w:p w14:paraId="446BF134" w14:textId="2C9A5A4C"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15" w:history="1">
        <w:r w:rsidRPr="0056325A">
          <w:rPr>
            <w:rStyle w:val="Hyperlink"/>
            <w:noProof/>
          </w:rPr>
          <w:t>3.2.13 The Economic and Social Cost of Harms Associated with Gambling in England (2023)</w:t>
        </w:r>
        <w:r>
          <w:rPr>
            <w:noProof/>
            <w:webHidden/>
          </w:rPr>
          <w:tab/>
        </w:r>
        <w:r>
          <w:rPr>
            <w:noProof/>
            <w:webHidden/>
          </w:rPr>
          <w:fldChar w:fldCharType="begin"/>
        </w:r>
        <w:r>
          <w:rPr>
            <w:noProof/>
            <w:webHidden/>
          </w:rPr>
          <w:instrText xml:space="preserve"> PAGEREF _Toc207195915 \h </w:instrText>
        </w:r>
        <w:r>
          <w:rPr>
            <w:noProof/>
            <w:webHidden/>
          </w:rPr>
        </w:r>
        <w:r>
          <w:rPr>
            <w:noProof/>
            <w:webHidden/>
          </w:rPr>
          <w:fldChar w:fldCharType="separate"/>
        </w:r>
        <w:r w:rsidR="00986A0D">
          <w:rPr>
            <w:noProof/>
            <w:webHidden/>
          </w:rPr>
          <w:t>57</w:t>
        </w:r>
        <w:r>
          <w:rPr>
            <w:noProof/>
            <w:webHidden/>
          </w:rPr>
          <w:fldChar w:fldCharType="end"/>
        </w:r>
      </w:hyperlink>
    </w:p>
    <w:p w14:paraId="7C112896" w14:textId="6D34976C"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16" w:history="1">
        <w:r w:rsidRPr="0056325A">
          <w:rPr>
            <w:rStyle w:val="Hyperlink"/>
            <w:noProof/>
          </w:rPr>
          <w:t>3.2.14 The Fiscal Costs and Benefits of Problem Gambling: Towards Better Estimates, United Kingdom (2023)</w:t>
        </w:r>
        <w:r>
          <w:rPr>
            <w:noProof/>
            <w:webHidden/>
          </w:rPr>
          <w:tab/>
        </w:r>
        <w:r>
          <w:rPr>
            <w:noProof/>
            <w:webHidden/>
          </w:rPr>
          <w:fldChar w:fldCharType="begin"/>
        </w:r>
        <w:r>
          <w:rPr>
            <w:noProof/>
            <w:webHidden/>
          </w:rPr>
          <w:instrText xml:space="preserve"> PAGEREF _Toc207195916 \h </w:instrText>
        </w:r>
        <w:r>
          <w:rPr>
            <w:noProof/>
            <w:webHidden/>
          </w:rPr>
        </w:r>
        <w:r>
          <w:rPr>
            <w:noProof/>
            <w:webHidden/>
          </w:rPr>
          <w:fldChar w:fldCharType="separate"/>
        </w:r>
        <w:r w:rsidR="00986A0D">
          <w:rPr>
            <w:noProof/>
            <w:webHidden/>
          </w:rPr>
          <w:t>57</w:t>
        </w:r>
        <w:r>
          <w:rPr>
            <w:noProof/>
            <w:webHidden/>
          </w:rPr>
          <w:fldChar w:fldCharType="end"/>
        </w:r>
      </w:hyperlink>
    </w:p>
    <w:p w14:paraId="394EF462" w14:textId="53F23F88"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17" w:history="1">
        <w:r w:rsidRPr="0056325A">
          <w:rPr>
            <w:rStyle w:val="Hyperlink"/>
            <w:noProof/>
          </w:rPr>
          <w:t>3.2.15 The Social Cost of Gambling to Victoria (2025)</w:t>
        </w:r>
        <w:r>
          <w:rPr>
            <w:noProof/>
            <w:webHidden/>
          </w:rPr>
          <w:tab/>
        </w:r>
        <w:r>
          <w:rPr>
            <w:noProof/>
            <w:webHidden/>
          </w:rPr>
          <w:fldChar w:fldCharType="begin"/>
        </w:r>
        <w:r>
          <w:rPr>
            <w:noProof/>
            <w:webHidden/>
          </w:rPr>
          <w:instrText xml:space="preserve"> PAGEREF _Toc207195917 \h </w:instrText>
        </w:r>
        <w:r>
          <w:rPr>
            <w:noProof/>
            <w:webHidden/>
          </w:rPr>
        </w:r>
        <w:r>
          <w:rPr>
            <w:noProof/>
            <w:webHidden/>
          </w:rPr>
          <w:fldChar w:fldCharType="separate"/>
        </w:r>
        <w:r w:rsidR="00986A0D">
          <w:rPr>
            <w:noProof/>
            <w:webHidden/>
          </w:rPr>
          <w:t>58</w:t>
        </w:r>
        <w:r>
          <w:rPr>
            <w:noProof/>
            <w:webHidden/>
          </w:rPr>
          <w:fldChar w:fldCharType="end"/>
        </w:r>
      </w:hyperlink>
    </w:p>
    <w:p w14:paraId="2502310A" w14:textId="0C39F35E"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18" w:history="1">
        <w:r w:rsidRPr="0056325A">
          <w:rPr>
            <w:rStyle w:val="Hyperlink"/>
            <w:noProof/>
          </w:rPr>
          <w:t>3.2.16 Other frameworks for evaluating gambling’s economic consequences</w:t>
        </w:r>
        <w:r>
          <w:rPr>
            <w:noProof/>
            <w:webHidden/>
          </w:rPr>
          <w:tab/>
        </w:r>
        <w:r>
          <w:rPr>
            <w:noProof/>
            <w:webHidden/>
          </w:rPr>
          <w:fldChar w:fldCharType="begin"/>
        </w:r>
        <w:r>
          <w:rPr>
            <w:noProof/>
            <w:webHidden/>
          </w:rPr>
          <w:instrText xml:space="preserve"> PAGEREF _Toc207195918 \h </w:instrText>
        </w:r>
        <w:r>
          <w:rPr>
            <w:noProof/>
            <w:webHidden/>
          </w:rPr>
        </w:r>
        <w:r>
          <w:rPr>
            <w:noProof/>
            <w:webHidden/>
          </w:rPr>
          <w:fldChar w:fldCharType="separate"/>
        </w:r>
        <w:r w:rsidR="00986A0D">
          <w:rPr>
            <w:noProof/>
            <w:webHidden/>
          </w:rPr>
          <w:t>59</w:t>
        </w:r>
        <w:r>
          <w:rPr>
            <w:noProof/>
            <w:webHidden/>
          </w:rPr>
          <w:fldChar w:fldCharType="end"/>
        </w:r>
      </w:hyperlink>
    </w:p>
    <w:p w14:paraId="60201383" w14:textId="1D5CD546"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919" w:history="1">
        <w:r w:rsidRPr="0056325A">
          <w:rPr>
            <w:rStyle w:val="Hyperlink"/>
            <w:noProof/>
          </w:rPr>
          <w:t>3.3 Conclusion</w:t>
        </w:r>
        <w:r>
          <w:rPr>
            <w:noProof/>
            <w:webHidden/>
          </w:rPr>
          <w:tab/>
        </w:r>
        <w:r>
          <w:rPr>
            <w:noProof/>
            <w:webHidden/>
          </w:rPr>
          <w:fldChar w:fldCharType="begin"/>
        </w:r>
        <w:r>
          <w:rPr>
            <w:noProof/>
            <w:webHidden/>
          </w:rPr>
          <w:instrText xml:space="preserve"> PAGEREF _Toc207195919 \h </w:instrText>
        </w:r>
        <w:r>
          <w:rPr>
            <w:noProof/>
            <w:webHidden/>
          </w:rPr>
        </w:r>
        <w:r>
          <w:rPr>
            <w:noProof/>
            <w:webHidden/>
          </w:rPr>
          <w:fldChar w:fldCharType="separate"/>
        </w:r>
        <w:r w:rsidR="00986A0D">
          <w:rPr>
            <w:noProof/>
            <w:webHidden/>
          </w:rPr>
          <w:t>60</w:t>
        </w:r>
        <w:r>
          <w:rPr>
            <w:noProof/>
            <w:webHidden/>
          </w:rPr>
          <w:fldChar w:fldCharType="end"/>
        </w:r>
      </w:hyperlink>
    </w:p>
    <w:p w14:paraId="49998259" w14:textId="374D9ED9" w:rsidR="00E916B3" w:rsidRDefault="00E916B3" w:rsidP="007473EA">
      <w:pPr>
        <w:pStyle w:val="TOC1"/>
        <w:spacing w:after="0" w:line="276" w:lineRule="auto"/>
        <w:rPr>
          <w:rFonts w:asciiTheme="minorHAnsi" w:eastAsiaTheme="minorEastAsia" w:hAnsiTheme="minorHAnsi" w:cstheme="minorBidi"/>
          <w:noProof/>
          <w:kern w:val="2"/>
          <w14:ligatures w14:val="standardContextual"/>
        </w:rPr>
      </w:pPr>
      <w:hyperlink w:anchor="_Toc207195920" w:history="1">
        <w:r w:rsidRPr="0056325A">
          <w:rPr>
            <w:rStyle w:val="Hyperlink"/>
            <w:noProof/>
          </w:rPr>
          <w:t>Chapter 4: Community Consultation</w:t>
        </w:r>
        <w:r>
          <w:rPr>
            <w:noProof/>
            <w:webHidden/>
          </w:rPr>
          <w:tab/>
        </w:r>
        <w:r>
          <w:rPr>
            <w:noProof/>
            <w:webHidden/>
          </w:rPr>
          <w:fldChar w:fldCharType="begin"/>
        </w:r>
        <w:r>
          <w:rPr>
            <w:noProof/>
            <w:webHidden/>
          </w:rPr>
          <w:instrText xml:space="preserve"> PAGEREF _Toc207195920 \h </w:instrText>
        </w:r>
        <w:r>
          <w:rPr>
            <w:noProof/>
            <w:webHidden/>
          </w:rPr>
        </w:r>
        <w:r>
          <w:rPr>
            <w:noProof/>
            <w:webHidden/>
          </w:rPr>
          <w:fldChar w:fldCharType="separate"/>
        </w:r>
        <w:r w:rsidR="00986A0D">
          <w:rPr>
            <w:noProof/>
            <w:webHidden/>
          </w:rPr>
          <w:t>62</w:t>
        </w:r>
        <w:r>
          <w:rPr>
            <w:noProof/>
            <w:webHidden/>
          </w:rPr>
          <w:fldChar w:fldCharType="end"/>
        </w:r>
      </w:hyperlink>
    </w:p>
    <w:p w14:paraId="212A708B" w14:textId="1822CCD3"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921" w:history="1">
        <w:r w:rsidRPr="0056325A">
          <w:rPr>
            <w:rStyle w:val="Hyperlink"/>
            <w:noProof/>
          </w:rPr>
          <w:t>4.1 Methodology</w:t>
        </w:r>
        <w:r>
          <w:rPr>
            <w:noProof/>
            <w:webHidden/>
          </w:rPr>
          <w:tab/>
        </w:r>
        <w:r>
          <w:rPr>
            <w:noProof/>
            <w:webHidden/>
          </w:rPr>
          <w:fldChar w:fldCharType="begin"/>
        </w:r>
        <w:r>
          <w:rPr>
            <w:noProof/>
            <w:webHidden/>
          </w:rPr>
          <w:instrText xml:space="preserve"> PAGEREF _Toc207195921 \h </w:instrText>
        </w:r>
        <w:r>
          <w:rPr>
            <w:noProof/>
            <w:webHidden/>
          </w:rPr>
        </w:r>
        <w:r>
          <w:rPr>
            <w:noProof/>
            <w:webHidden/>
          </w:rPr>
          <w:fldChar w:fldCharType="separate"/>
        </w:r>
        <w:r w:rsidR="00986A0D">
          <w:rPr>
            <w:noProof/>
            <w:webHidden/>
          </w:rPr>
          <w:t>62</w:t>
        </w:r>
        <w:r>
          <w:rPr>
            <w:noProof/>
            <w:webHidden/>
          </w:rPr>
          <w:fldChar w:fldCharType="end"/>
        </w:r>
      </w:hyperlink>
    </w:p>
    <w:p w14:paraId="742C40A9" w14:textId="60A7090C"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22" w:history="1">
        <w:r w:rsidRPr="0056325A">
          <w:rPr>
            <w:rStyle w:val="Hyperlink"/>
            <w:noProof/>
          </w:rPr>
          <w:t>4.1.1 Study aims, design and setting</w:t>
        </w:r>
        <w:r>
          <w:rPr>
            <w:noProof/>
            <w:webHidden/>
          </w:rPr>
          <w:tab/>
        </w:r>
        <w:r>
          <w:rPr>
            <w:noProof/>
            <w:webHidden/>
          </w:rPr>
          <w:fldChar w:fldCharType="begin"/>
        </w:r>
        <w:r>
          <w:rPr>
            <w:noProof/>
            <w:webHidden/>
          </w:rPr>
          <w:instrText xml:space="preserve"> PAGEREF _Toc207195922 \h </w:instrText>
        </w:r>
        <w:r>
          <w:rPr>
            <w:noProof/>
            <w:webHidden/>
          </w:rPr>
        </w:r>
        <w:r>
          <w:rPr>
            <w:noProof/>
            <w:webHidden/>
          </w:rPr>
          <w:fldChar w:fldCharType="separate"/>
        </w:r>
        <w:r w:rsidR="00986A0D">
          <w:rPr>
            <w:noProof/>
            <w:webHidden/>
          </w:rPr>
          <w:t>62</w:t>
        </w:r>
        <w:r>
          <w:rPr>
            <w:noProof/>
            <w:webHidden/>
          </w:rPr>
          <w:fldChar w:fldCharType="end"/>
        </w:r>
      </w:hyperlink>
    </w:p>
    <w:p w14:paraId="60B98E20" w14:textId="78E5CB7D"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23" w:history="1">
        <w:r w:rsidRPr="0056325A">
          <w:rPr>
            <w:rStyle w:val="Hyperlink"/>
            <w:noProof/>
          </w:rPr>
          <w:t>4.1.2 Recruitment</w:t>
        </w:r>
        <w:r>
          <w:rPr>
            <w:noProof/>
            <w:webHidden/>
          </w:rPr>
          <w:tab/>
        </w:r>
        <w:r>
          <w:rPr>
            <w:noProof/>
            <w:webHidden/>
          </w:rPr>
          <w:fldChar w:fldCharType="begin"/>
        </w:r>
        <w:r>
          <w:rPr>
            <w:noProof/>
            <w:webHidden/>
          </w:rPr>
          <w:instrText xml:space="preserve"> PAGEREF _Toc207195923 \h </w:instrText>
        </w:r>
        <w:r>
          <w:rPr>
            <w:noProof/>
            <w:webHidden/>
          </w:rPr>
        </w:r>
        <w:r>
          <w:rPr>
            <w:noProof/>
            <w:webHidden/>
          </w:rPr>
          <w:fldChar w:fldCharType="separate"/>
        </w:r>
        <w:r w:rsidR="00986A0D">
          <w:rPr>
            <w:noProof/>
            <w:webHidden/>
          </w:rPr>
          <w:t>63</w:t>
        </w:r>
        <w:r>
          <w:rPr>
            <w:noProof/>
            <w:webHidden/>
          </w:rPr>
          <w:fldChar w:fldCharType="end"/>
        </w:r>
      </w:hyperlink>
    </w:p>
    <w:p w14:paraId="498E4FB2" w14:textId="0C087B9E"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24" w:history="1">
        <w:r w:rsidRPr="0056325A">
          <w:rPr>
            <w:rStyle w:val="Hyperlink"/>
            <w:noProof/>
          </w:rPr>
          <w:t>4.1.3 Procedure</w:t>
        </w:r>
        <w:r>
          <w:rPr>
            <w:noProof/>
            <w:webHidden/>
          </w:rPr>
          <w:tab/>
        </w:r>
        <w:r>
          <w:rPr>
            <w:noProof/>
            <w:webHidden/>
          </w:rPr>
          <w:fldChar w:fldCharType="begin"/>
        </w:r>
        <w:r>
          <w:rPr>
            <w:noProof/>
            <w:webHidden/>
          </w:rPr>
          <w:instrText xml:space="preserve"> PAGEREF _Toc207195924 \h </w:instrText>
        </w:r>
        <w:r>
          <w:rPr>
            <w:noProof/>
            <w:webHidden/>
          </w:rPr>
        </w:r>
        <w:r>
          <w:rPr>
            <w:noProof/>
            <w:webHidden/>
          </w:rPr>
          <w:fldChar w:fldCharType="separate"/>
        </w:r>
        <w:r w:rsidR="00986A0D">
          <w:rPr>
            <w:noProof/>
            <w:webHidden/>
          </w:rPr>
          <w:t>63</w:t>
        </w:r>
        <w:r>
          <w:rPr>
            <w:noProof/>
            <w:webHidden/>
          </w:rPr>
          <w:fldChar w:fldCharType="end"/>
        </w:r>
      </w:hyperlink>
    </w:p>
    <w:p w14:paraId="739432FB" w14:textId="1E6BD985"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925" w:history="1">
        <w:r w:rsidRPr="0056325A">
          <w:rPr>
            <w:rStyle w:val="Hyperlink"/>
            <w:noProof/>
          </w:rPr>
          <w:t>4.2 Results</w:t>
        </w:r>
        <w:r>
          <w:rPr>
            <w:noProof/>
            <w:webHidden/>
          </w:rPr>
          <w:tab/>
        </w:r>
        <w:r>
          <w:rPr>
            <w:noProof/>
            <w:webHidden/>
          </w:rPr>
          <w:fldChar w:fldCharType="begin"/>
        </w:r>
        <w:r>
          <w:rPr>
            <w:noProof/>
            <w:webHidden/>
          </w:rPr>
          <w:instrText xml:space="preserve"> PAGEREF _Toc207195925 \h </w:instrText>
        </w:r>
        <w:r>
          <w:rPr>
            <w:noProof/>
            <w:webHidden/>
          </w:rPr>
        </w:r>
        <w:r>
          <w:rPr>
            <w:noProof/>
            <w:webHidden/>
          </w:rPr>
          <w:fldChar w:fldCharType="separate"/>
        </w:r>
        <w:r w:rsidR="00986A0D">
          <w:rPr>
            <w:noProof/>
            <w:webHidden/>
          </w:rPr>
          <w:t>65</w:t>
        </w:r>
        <w:r>
          <w:rPr>
            <w:noProof/>
            <w:webHidden/>
          </w:rPr>
          <w:fldChar w:fldCharType="end"/>
        </w:r>
      </w:hyperlink>
    </w:p>
    <w:p w14:paraId="1774C6CA" w14:textId="38D42678"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26" w:history="1">
        <w:r w:rsidRPr="0056325A">
          <w:rPr>
            <w:rStyle w:val="Hyperlink"/>
            <w:noProof/>
          </w:rPr>
          <w:t>4.2.1 Theme 1. Old risks, new platforms</w:t>
        </w:r>
        <w:r>
          <w:rPr>
            <w:noProof/>
            <w:webHidden/>
          </w:rPr>
          <w:tab/>
        </w:r>
        <w:r>
          <w:rPr>
            <w:noProof/>
            <w:webHidden/>
          </w:rPr>
          <w:fldChar w:fldCharType="begin"/>
        </w:r>
        <w:r>
          <w:rPr>
            <w:noProof/>
            <w:webHidden/>
          </w:rPr>
          <w:instrText xml:space="preserve"> PAGEREF _Toc207195926 \h </w:instrText>
        </w:r>
        <w:r>
          <w:rPr>
            <w:noProof/>
            <w:webHidden/>
          </w:rPr>
        </w:r>
        <w:r>
          <w:rPr>
            <w:noProof/>
            <w:webHidden/>
          </w:rPr>
          <w:fldChar w:fldCharType="separate"/>
        </w:r>
        <w:r w:rsidR="00986A0D">
          <w:rPr>
            <w:noProof/>
            <w:webHidden/>
          </w:rPr>
          <w:t>66</w:t>
        </w:r>
        <w:r>
          <w:rPr>
            <w:noProof/>
            <w:webHidden/>
          </w:rPr>
          <w:fldChar w:fldCharType="end"/>
        </w:r>
      </w:hyperlink>
    </w:p>
    <w:p w14:paraId="75FAF3BE" w14:textId="20B16595"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27" w:history="1">
        <w:r w:rsidRPr="0056325A">
          <w:rPr>
            <w:rStyle w:val="Hyperlink"/>
            <w:noProof/>
          </w:rPr>
          <w:t>4.2.2 Theme 2. The poisoned well of community funding</w:t>
        </w:r>
        <w:r>
          <w:rPr>
            <w:noProof/>
            <w:webHidden/>
          </w:rPr>
          <w:tab/>
        </w:r>
        <w:r>
          <w:rPr>
            <w:noProof/>
            <w:webHidden/>
          </w:rPr>
          <w:fldChar w:fldCharType="begin"/>
        </w:r>
        <w:r>
          <w:rPr>
            <w:noProof/>
            <w:webHidden/>
          </w:rPr>
          <w:instrText xml:space="preserve"> PAGEREF _Toc207195927 \h </w:instrText>
        </w:r>
        <w:r>
          <w:rPr>
            <w:noProof/>
            <w:webHidden/>
          </w:rPr>
        </w:r>
        <w:r>
          <w:rPr>
            <w:noProof/>
            <w:webHidden/>
          </w:rPr>
          <w:fldChar w:fldCharType="separate"/>
        </w:r>
        <w:r w:rsidR="00986A0D">
          <w:rPr>
            <w:noProof/>
            <w:webHidden/>
          </w:rPr>
          <w:t>68</w:t>
        </w:r>
        <w:r>
          <w:rPr>
            <w:noProof/>
            <w:webHidden/>
          </w:rPr>
          <w:fldChar w:fldCharType="end"/>
        </w:r>
      </w:hyperlink>
    </w:p>
    <w:p w14:paraId="3765C15A" w14:textId="358F8A34"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28" w:history="1">
        <w:r w:rsidRPr="0056325A">
          <w:rPr>
            <w:rStyle w:val="Hyperlink"/>
            <w:noProof/>
          </w:rPr>
          <w:t>4.2.3 Theme 3. Lack of help-seeking</w:t>
        </w:r>
        <w:r>
          <w:rPr>
            <w:noProof/>
            <w:webHidden/>
          </w:rPr>
          <w:tab/>
        </w:r>
        <w:r>
          <w:rPr>
            <w:noProof/>
            <w:webHidden/>
          </w:rPr>
          <w:fldChar w:fldCharType="begin"/>
        </w:r>
        <w:r>
          <w:rPr>
            <w:noProof/>
            <w:webHidden/>
          </w:rPr>
          <w:instrText xml:space="preserve"> PAGEREF _Toc207195928 \h </w:instrText>
        </w:r>
        <w:r>
          <w:rPr>
            <w:noProof/>
            <w:webHidden/>
          </w:rPr>
        </w:r>
        <w:r>
          <w:rPr>
            <w:noProof/>
            <w:webHidden/>
          </w:rPr>
          <w:fldChar w:fldCharType="separate"/>
        </w:r>
        <w:r w:rsidR="00986A0D">
          <w:rPr>
            <w:noProof/>
            <w:webHidden/>
          </w:rPr>
          <w:t>69</w:t>
        </w:r>
        <w:r>
          <w:rPr>
            <w:noProof/>
            <w:webHidden/>
          </w:rPr>
          <w:fldChar w:fldCharType="end"/>
        </w:r>
      </w:hyperlink>
    </w:p>
    <w:p w14:paraId="55B760CD" w14:textId="3DC504BD"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29" w:history="1">
        <w:r w:rsidRPr="0056325A">
          <w:rPr>
            <w:rStyle w:val="Hyperlink"/>
            <w:noProof/>
          </w:rPr>
          <w:t>4.2.4 Theme 4. Relationship and family costs</w:t>
        </w:r>
        <w:r>
          <w:rPr>
            <w:noProof/>
            <w:webHidden/>
          </w:rPr>
          <w:tab/>
        </w:r>
        <w:r>
          <w:rPr>
            <w:noProof/>
            <w:webHidden/>
          </w:rPr>
          <w:fldChar w:fldCharType="begin"/>
        </w:r>
        <w:r>
          <w:rPr>
            <w:noProof/>
            <w:webHidden/>
          </w:rPr>
          <w:instrText xml:space="preserve"> PAGEREF _Toc207195929 \h </w:instrText>
        </w:r>
        <w:r>
          <w:rPr>
            <w:noProof/>
            <w:webHidden/>
          </w:rPr>
        </w:r>
        <w:r>
          <w:rPr>
            <w:noProof/>
            <w:webHidden/>
          </w:rPr>
          <w:fldChar w:fldCharType="separate"/>
        </w:r>
        <w:r w:rsidR="00986A0D">
          <w:rPr>
            <w:noProof/>
            <w:webHidden/>
          </w:rPr>
          <w:t>70</w:t>
        </w:r>
        <w:r>
          <w:rPr>
            <w:noProof/>
            <w:webHidden/>
          </w:rPr>
          <w:fldChar w:fldCharType="end"/>
        </w:r>
      </w:hyperlink>
    </w:p>
    <w:p w14:paraId="770980C5" w14:textId="56F55D45"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30" w:history="1">
        <w:r w:rsidRPr="0056325A">
          <w:rPr>
            <w:rStyle w:val="Hyperlink"/>
            <w:noProof/>
          </w:rPr>
          <w:t>4.2.5 Theme 5. The costs of crime</w:t>
        </w:r>
        <w:r>
          <w:rPr>
            <w:noProof/>
            <w:webHidden/>
          </w:rPr>
          <w:tab/>
        </w:r>
        <w:r>
          <w:rPr>
            <w:noProof/>
            <w:webHidden/>
          </w:rPr>
          <w:fldChar w:fldCharType="begin"/>
        </w:r>
        <w:r>
          <w:rPr>
            <w:noProof/>
            <w:webHidden/>
          </w:rPr>
          <w:instrText xml:space="preserve"> PAGEREF _Toc207195930 \h </w:instrText>
        </w:r>
        <w:r>
          <w:rPr>
            <w:noProof/>
            <w:webHidden/>
          </w:rPr>
        </w:r>
        <w:r>
          <w:rPr>
            <w:noProof/>
            <w:webHidden/>
          </w:rPr>
          <w:fldChar w:fldCharType="separate"/>
        </w:r>
        <w:r w:rsidR="00986A0D">
          <w:rPr>
            <w:noProof/>
            <w:webHidden/>
          </w:rPr>
          <w:t>71</w:t>
        </w:r>
        <w:r>
          <w:rPr>
            <w:noProof/>
            <w:webHidden/>
          </w:rPr>
          <w:fldChar w:fldCharType="end"/>
        </w:r>
      </w:hyperlink>
    </w:p>
    <w:p w14:paraId="429DFFC6" w14:textId="2E8B177E"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31" w:history="1">
        <w:r w:rsidRPr="0056325A">
          <w:rPr>
            <w:rStyle w:val="Hyperlink"/>
            <w:noProof/>
          </w:rPr>
          <w:t>4.2.6 Theme 6. Productivity costs</w:t>
        </w:r>
        <w:r>
          <w:rPr>
            <w:noProof/>
            <w:webHidden/>
          </w:rPr>
          <w:tab/>
        </w:r>
        <w:r>
          <w:rPr>
            <w:noProof/>
            <w:webHidden/>
          </w:rPr>
          <w:fldChar w:fldCharType="begin"/>
        </w:r>
        <w:r>
          <w:rPr>
            <w:noProof/>
            <w:webHidden/>
          </w:rPr>
          <w:instrText xml:space="preserve"> PAGEREF _Toc207195931 \h </w:instrText>
        </w:r>
        <w:r>
          <w:rPr>
            <w:noProof/>
            <w:webHidden/>
          </w:rPr>
        </w:r>
        <w:r>
          <w:rPr>
            <w:noProof/>
            <w:webHidden/>
          </w:rPr>
          <w:fldChar w:fldCharType="separate"/>
        </w:r>
        <w:r w:rsidR="00986A0D">
          <w:rPr>
            <w:noProof/>
            <w:webHidden/>
          </w:rPr>
          <w:t>72</w:t>
        </w:r>
        <w:r>
          <w:rPr>
            <w:noProof/>
            <w:webHidden/>
          </w:rPr>
          <w:fldChar w:fldCharType="end"/>
        </w:r>
      </w:hyperlink>
    </w:p>
    <w:p w14:paraId="426A32A9" w14:textId="00AC1572"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32" w:history="1">
        <w:r w:rsidRPr="0056325A">
          <w:rPr>
            <w:rStyle w:val="Hyperlink"/>
            <w:noProof/>
          </w:rPr>
          <w:t>4.2.7 Theme 7. Financial costs</w:t>
        </w:r>
        <w:r>
          <w:rPr>
            <w:noProof/>
            <w:webHidden/>
          </w:rPr>
          <w:tab/>
        </w:r>
        <w:r>
          <w:rPr>
            <w:noProof/>
            <w:webHidden/>
          </w:rPr>
          <w:fldChar w:fldCharType="begin"/>
        </w:r>
        <w:r>
          <w:rPr>
            <w:noProof/>
            <w:webHidden/>
          </w:rPr>
          <w:instrText xml:space="preserve"> PAGEREF _Toc207195932 \h </w:instrText>
        </w:r>
        <w:r>
          <w:rPr>
            <w:noProof/>
            <w:webHidden/>
          </w:rPr>
        </w:r>
        <w:r>
          <w:rPr>
            <w:noProof/>
            <w:webHidden/>
          </w:rPr>
          <w:fldChar w:fldCharType="separate"/>
        </w:r>
        <w:r w:rsidR="00986A0D">
          <w:rPr>
            <w:noProof/>
            <w:webHidden/>
          </w:rPr>
          <w:t>73</w:t>
        </w:r>
        <w:r>
          <w:rPr>
            <w:noProof/>
            <w:webHidden/>
          </w:rPr>
          <w:fldChar w:fldCharType="end"/>
        </w:r>
      </w:hyperlink>
    </w:p>
    <w:p w14:paraId="7F264E2A" w14:textId="4C1B4157"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33" w:history="1">
        <w:r w:rsidRPr="0056325A">
          <w:rPr>
            <w:rStyle w:val="Hyperlink"/>
            <w:noProof/>
          </w:rPr>
          <w:t>4.2.8 Theme 8. Cultural costs</w:t>
        </w:r>
        <w:r>
          <w:rPr>
            <w:noProof/>
            <w:webHidden/>
          </w:rPr>
          <w:tab/>
        </w:r>
        <w:r>
          <w:rPr>
            <w:noProof/>
            <w:webHidden/>
          </w:rPr>
          <w:fldChar w:fldCharType="begin"/>
        </w:r>
        <w:r>
          <w:rPr>
            <w:noProof/>
            <w:webHidden/>
          </w:rPr>
          <w:instrText xml:space="preserve"> PAGEREF _Toc207195933 \h </w:instrText>
        </w:r>
        <w:r>
          <w:rPr>
            <w:noProof/>
            <w:webHidden/>
          </w:rPr>
        </w:r>
        <w:r>
          <w:rPr>
            <w:noProof/>
            <w:webHidden/>
          </w:rPr>
          <w:fldChar w:fldCharType="separate"/>
        </w:r>
        <w:r w:rsidR="00986A0D">
          <w:rPr>
            <w:noProof/>
            <w:webHidden/>
          </w:rPr>
          <w:t>76</w:t>
        </w:r>
        <w:r>
          <w:rPr>
            <w:noProof/>
            <w:webHidden/>
          </w:rPr>
          <w:fldChar w:fldCharType="end"/>
        </w:r>
      </w:hyperlink>
    </w:p>
    <w:p w14:paraId="7B919A1D" w14:textId="513580DE"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34" w:history="1">
        <w:r w:rsidRPr="0056325A">
          <w:rPr>
            <w:rStyle w:val="Hyperlink"/>
            <w:noProof/>
          </w:rPr>
          <w:t>4.2.9 Theme 9. Low-risk gambling paradox</w:t>
        </w:r>
        <w:r>
          <w:rPr>
            <w:noProof/>
            <w:webHidden/>
          </w:rPr>
          <w:tab/>
        </w:r>
        <w:r>
          <w:rPr>
            <w:noProof/>
            <w:webHidden/>
          </w:rPr>
          <w:fldChar w:fldCharType="begin"/>
        </w:r>
        <w:r>
          <w:rPr>
            <w:noProof/>
            <w:webHidden/>
          </w:rPr>
          <w:instrText xml:space="preserve"> PAGEREF _Toc207195934 \h </w:instrText>
        </w:r>
        <w:r>
          <w:rPr>
            <w:noProof/>
            <w:webHidden/>
          </w:rPr>
        </w:r>
        <w:r>
          <w:rPr>
            <w:noProof/>
            <w:webHidden/>
          </w:rPr>
          <w:fldChar w:fldCharType="separate"/>
        </w:r>
        <w:r w:rsidR="00986A0D">
          <w:rPr>
            <w:noProof/>
            <w:webHidden/>
          </w:rPr>
          <w:t>78</w:t>
        </w:r>
        <w:r>
          <w:rPr>
            <w:noProof/>
            <w:webHidden/>
          </w:rPr>
          <w:fldChar w:fldCharType="end"/>
        </w:r>
      </w:hyperlink>
    </w:p>
    <w:p w14:paraId="1BD24A4A" w14:textId="697356CE"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35" w:history="1">
        <w:r w:rsidRPr="0056325A">
          <w:rPr>
            <w:rStyle w:val="Hyperlink"/>
            <w:noProof/>
          </w:rPr>
          <w:t>4.2.10 Theme 10. Expert recommendations to reduce the costs of gambling harm</w:t>
        </w:r>
        <w:r>
          <w:rPr>
            <w:noProof/>
            <w:webHidden/>
          </w:rPr>
          <w:tab/>
        </w:r>
        <w:r>
          <w:rPr>
            <w:noProof/>
            <w:webHidden/>
          </w:rPr>
          <w:fldChar w:fldCharType="begin"/>
        </w:r>
        <w:r>
          <w:rPr>
            <w:noProof/>
            <w:webHidden/>
          </w:rPr>
          <w:instrText xml:space="preserve"> PAGEREF _Toc207195935 \h </w:instrText>
        </w:r>
        <w:r>
          <w:rPr>
            <w:noProof/>
            <w:webHidden/>
          </w:rPr>
        </w:r>
        <w:r>
          <w:rPr>
            <w:noProof/>
            <w:webHidden/>
          </w:rPr>
          <w:fldChar w:fldCharType="separate"/>
        </w:r>
        <w:r w:rsidR="00986A0D">
          <w:rPr>
            <w:noProof/>
            <w:webHidden/>
          </w:rPr>
          <w:t>79</w:t>
        </w:r>
        <w:r>
          <w:rPr>
            <w:noProof/>
            <w:webHidden/>
          </w:rPr>
          <w:fldChar w:fldCharType="end"/>
        </w:r>
      </w:hyperlink>
    </w:p>
    <w:p w14:paraId="6D78C72E" w14:textId="7E5BEA82"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936" w:history="1">
        <w:r w:rsidRPr="0056325A">
          <w:rPr>
            <w:rStyle w:val="Hyperlink"/>
            <w:noProof/>
          </w:rPr>
          <w:t>4.3 Conclusions</w:t>
        </w:r>
        <w:r>
          <w:rPr>
            <w:noProof/>
            <w:webHidden/>
          </w:rPr>
          <w:tab/>
        </w:r>
        <w:r>
          <w:rPr>
            <w:noProof/>
            <w:webHidden/>
          </w:rPr>
          <w:fldChar w:fldCharType="begin"/>
        </w:r>
        <w:r>
          <w:rPr>
            <w:noProof/>
            <w:webHidden/>
          </w:rPr>
          <w:instrText xml:space="preserve"> PAGEREF _Toc207195936 \h </w:instrText>
        </w:r>
        <w:r>
          <w:rPr>
            <w:noProof/>
            <w:webHidden/>
          </w:rPr>
        </w:r>
        <w:r>
          <w:rPr>
            <w:noProof/>
            <w:webHidden/>
          </w:rPr>
          <w:fldChar w:fldCharType="separate"/>
        </w:r>
        <w:r w:rsidR="00986A0D">
          <w:rPr>
            <w:noProof/>
            <w:webHidden/>
          </w:rPr>
          <w:t>80</w:t>
        </w:r>
        <w:r>
          <w:rPr>
            <w:noProof/>
            <w:webHidden/>
          </w:rPr>
          <w:fldChar w:fldCharType="end"/>
        </w:r>
      </w:hyperlink>
    </w:p>
    <w:p w14:paraId="4D7E28CB" w14:textId="7C8D8A55" w:rsidR="00E916B3" w:rsidRDefault="00E916B3" w:rsidP="007473EA">
      <w:pPr>
        <w:pStyle w:val="TOC1"/>
        <w:spacing w:after="0" w:line="276" w:lineRule="auto"/>
        <w:rPr>
          <w:rFonts w:asciiTheme="minorHAnsi" w:eastAsiaTheme="minorEastAsia" w:hAnsiTheme="minorHAnsi" w:cstheme="minorBidi"/>
          <w:noProof/>
          <w:kern w:val="2"/>
          <w14:ligatures w14:val="standardContextual"/>
        </w:rPr>
      </w:pPr>
      <w:hyperlink w:anchor="_Toc207195937" w:history="1">
        <w:r w:rsidRPr="0056325A">
          <w:rPr>
            <w:rStyle w:val="Hyperlink"/>
            <w:noProof/>
          </w:rPr>
          <w:t>Chapter 5: Costing methodology</w:t>
        </w:r>
        <w:r>
          <w:rPr>
            <w:noProof/>
            <w:webHidden/>
          </w:rPr>
          <w:tab/>
        </w:r>
        <w:r>
          <w:rPr>
            <w:noProof/>
            <w:webHidden/>
          </w:rPr>
          <w:fldChar w:fldCharType="begin"/>
        </w:r>
        <w:r>
          <w:rPr>
            <w:noProof/>
            <w:webHidden/>
          </w:rPr>
          <w:instrText xml:space="preserve"> PAGEREF _Toc207195937 \h </w:instrText>
        </w:r>
        <w:r>
          <w:rPr>
            <w:noProof/>
            <w:webHidden/>
          </w:rPr>
        </w:r>
        <w:r>
          <w:rPr>
            <w:noProof/>
            <w:webHidden/>
          </w:rPr>
          <w:fldChar w:fldCharType="separate"/>
        </w:r>
        <w:r w:rsidR="00986A0D">
          <w:rPr>
            <w:noProof/>
            <w:webHidden/>
          </w:rPr>
          <w:t>82</w:t>
        </w:r>
        <w:r>
          <w:rPr>
            <w:noProof/>
            <w:webHidden/>
          </w:rPr>
          <w:fldChar w:fldCharType="end"/>
        </w:r>
      </w:hyperlink>
    </w:p>
    <w:p w14:paraId="7BEFE1F6" w14:textId="63F69FC9"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938" w:history="1">
        <w:r w:rsidRPr="0056325A">
          <w:rPr>
            <w:rStyle w:val="Hyperlink"/>
            <w:noProof/>
          </w:rPr>
          <w:t>5.1 Economic costing framework</w:t>
        </w:r>
        <w:r>
          <w:rPr>
            <w:noProof/>
            <w:webHidden/>
          </w:rPr>
          <w:tab/>
        </w:r>
        <w:r>
          <w:rPr>
            <w:noProof/>
            <w:webHidden/>
          </w:rPr>
          <w:fldChar w:fldCharType="begin"/>
        </w:r>
        <w:r>
          <w:rPr>
            <w:noProof/>
            <w:webHidden/>
          </w:rPr>
          <w:instrText xml:space="preserve"> PAGEREF _Toc207195938 \h </w:instrText>
        </w:r>
        <w:r>
          <w:rPr>
            <w:noProof/>
            <w:webHidden/>
          </w:rPr>
        </w:r>
        <w:r>
          <w:rPr>
            <w:noProof/>
            <w:webHidden/>
          </w:rPr>
          <w:fldChar w:fldCharType="separate"/>
        </w:r>
        <w:r w:rsidR="00986A0D">
          <w:rPr>
            <w:noProof/>
            <w:webHidden/>
          </w:rPr>
          <w:t>82</w:t>
        </w:r>
        <w:r>
          <w:rPr>
            <w:noProof/>
            <w:webHidden/>
          </w:rPr>
          <w:fldChar w:fldCharType="end"/>
        </w:r>
      </w:hyperlink>
    </w:p>
    <w:p w14:paraId="3CBCA1FD" w14:textId="0E915DA6"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939" w:history="1">
        <w:r w:rsidRPr="0056325A">
          <w:rPr>
            <w:rStyle w:val="Hyperlink"/>
            <w:noProof/>
          </w:rPr>
          <w:t>5.2 Key methodological and conceptual issues</w:t>
        </w:r>
        <w:r>
          <w:rPr>
            <w:noProof/>
            <w:webHidden/>
          </w:rPr>
          <w:tab/>
        </w:r>
        <w:r>
          <w:rPr>
            <w:noProof/>
            <w:webHidden/>
          </w:rPr>
          <w:fldChar w:fldCharType="begin"/>
        </w:r>
        <w:r>
          <w:rPr>
            <w:noProof/>
            <w:webHidden/>
          </w:rPr>
          <w:instrText xml:space="preserve"> PAGEREF _Toc207195939 \h </w:instrText>
        </w:r>
        <w:r>
          <w:rPr>
            <w:noProof/>
            <w:webHidden/>
          </w:rPr>
        </w:r>
        <w:r>
          <w:rPr>
            <w:noProof/>
            <w:webHidden/>
          </w:rPr>
          <w:fldChar w:fldCharType="separate"/>
        </w:r>
        <w:r w:rsidR="00986A0D">
          <w:rPr>
            <w:noProof/>
            <w:webHidden/>
          </w:rPr>
          <w:t>84</w:t>
        </w:r>
        <w:r>
          <w:rPr>
            <w:noProof/>
            <w:webHidden/>
          </w:rPr>
          <w:fldChar w:fldCharType="end"/>
        </w:r>
      </w:hyperlink>
    </w:p>
    <w:p w14:paraId="2B9F37E9" w14:textId="670CDBB0"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40" w:history="1">
        <w:r w:rsidRPr="0056325A">
          <w:rPr>
            <w:rStyle w:val="Hyperlink"/>
            <w:noProof/>
          </w:rPr>
          <w:t>5.2.1 Excessive gambling spend as an opportunity cost</w:t>
        </w:r>
        <w:r>
          <w:rPr>
            <w:noProof/>
            <w:webHidden/>
          </w:rPr>
          <w:tab/>
        </w:r>
        <w:r>
          <w:rPr>
            <w:noProof/>
            <w:webHidden/>
          </w:rPr>
          <w:fldChar w:fldCharType="begin"/>
        </w:r>
        <w:r>
          <w:rPr>
            <w:noProof/>
            <w:webHidden/>
          </w:rPr>
          <w:instrText xml:space="preserve"> PAGEREF _Toc207195940 \h </w:instrText>
        </w:r>
        <w:r>
          <w:rPr>
            <w:noProof/>
            <w:webHidden/>
          </w:rPr>
        </w:r>
        <w:r>
          <w:rPr>
            <w:noProof/>
            <w:webHidden/>
          </w:rPr>
          <w:fldChar w:fldCharType="separate"/>
        </w:r>
        <w:r w:rsidR="00986A0D">
          <w:rPr>
            <w:noProof/>
            <w:webHidden/>
          </w:rPr>
          <w:t>84</w:t>
        </w:r>
        <w:r>
          <w:rPr>
            <w:noProof/>
            <w:webHidden/>
          </w:rPr>
          <w:fldChar w:fldCharType="end"/>
        </w:r>
      </w:hyperlink>
    </w:p>
    <w:p w14:paraId="1630A6AF" w14:textId="655B31F4"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41" w:history="1">
        <w:r w:rsidRPr="0056325A">
          <w:rPr>
            <w:rStyle w:val="Hyperlink"/>
            <w:noProof/>
          </w:rPr>
          <w:t>5.2.2 Health-related quality of life</w:t>
        </w:r>
        <w:r>
          <w:rPr>
            <w:noProof/>
            <w:webHidden/>
          </w:rPr>
          <w:tab/>
        </w:r>
        <w:r>
          <w:rPr>
            <w:noProof/>
            <w:webHidden/>
          </w:rPr>
          <w:fldChar w:fldCharType="begin"/>
        </w:r>
        <w:r>
          <w:rPr>
            <w:noProof/>
            <w:webHidden/>
          </w:rPr>
          <w:instrText xml:space="preserve"> PAGEREF _Toc207195941 \h </w:instrText>
        </w:r>
        <w:r>
          <w:rPr>
            <w:noProof/>
            <w:webHidden/>
          </w:rPr>
        </w:r>
        <w:r>
          <w:rPr>
            <w:noProof/>
            <w:webHidden/>
          </w:rPr>
          <w:fldChar w:fldCharType="separate"/>
        </w:r>
        <w:r w:rsidR="00986A0D">
          <w:rPr>
            <w:noProof/>
            <w:webHidden/>
          </w:rPr>
          <w:t>85</w:t>
        </w:r>
        <w:r>
          <w:rPr>
            <w:noProof/>
            <w:webHidden/>
          </w:rPr>
          <w:fldChar w:fldCharType="end"/>
        </w:r>
      </w:hyperlink>
    </w:p>
    <w:p w14:paraId="63775486" w14:textId="74C08D50"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42" w:history="1">
        <w:r w:rsidRPr="0056325A">
          <w:rPr>
            <w:rStyle w:val="Hyperlink"/>
            <w:noProof/>
          </w:rPr>
          <w:t>5.2.3 Application to economic costings</w:t>
        </w:r>
        <w:r>
          <w:rPr>
            <w:noProof/>
            <w:webHidden/>
          </w:rPr>
          <w:tab/>
        </w:r>
        <w:r>
          <w:rPr>
            <w:noProof/>
            <w:webHidden/>
          </w:rPr>
          <w:fldChar w:fldCharType="begin"/>
        </w:r>
        <w:r>
          <w:rPr>
            <w:noProof/>
            <w:webHidden/>
          </w:rPr>
          <w:instrText xml:space="preserve"> PAGEREF _Toc207195942 \h </w:instrText>
        </w:r>
        <w:r>
          <w:rPr>
            <w:noProof/>
            <w:webHidden/>
          </w:rPr>
        </w:r>
        <w:r>
          <w:rPr>
            <w:noProof/>
            <w:webHidden/>
          </w:rPr>
          <w:fldChar w:fldCharType="separate"/>
        </w:r>
        <w:r w:rsidR="00986A0D">
          <w:rPr>
            <w:noProof/>
            <w:webHidden/>
          </w:rPr>
          <w:t>87</w:t>
        </w:r>
        <w:r>
          <w:rPr>
            <w:noProof/>
            <w:webHidden/>
          </w:rPr>
          <w:fldChar w:fldCharType="end"/>
        </w:r>
      </w:hyperlink>
    </w:p>
    <w:p w14:paraId="73F2876C" w14:textId="6B7DA90E"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43" w:history="1">
        <w:r w:rsidRPr="0056325A">
          <w:rPr>
            <w:rStyle w:val="Hyperlink"/>
            <w:noProof/>
          </w:rPr>
          <w:t>5.2.4 HRQoL impacts to affected others</w:t>
        </w:r>
        <w:r>
          <w:rPr>
            <w:noProof/>
            <w:webHidden/>
          </w:rPr>
          <w:tab/>
        </w:r>
        <w:r>
          <w:rPr>
            <w:noProof/>
            <w:webHidden/>
          </w:rPr>
          <w:fldChar w:fldCharType="begin"/>
        </w:r>
        <w:r>
          <w:rPr>
            <w:noProof/>
            <w:webHidden/>
          </w:rPr>
          <w:instrText xml:space="preserve"> PAGEREF _Toc207195943 \h </w:instrText>
        </w:r>
        <w:r>
          <w:rPr>
            <w:noProof/>
            <w:webHidden/>
          </w:rPr>
        </w:r>
        <w:r>
          <w:rPr>
            <w:noProof/>
            <w:webHidden/>
          </w:rPr>
          <w:fldChar w:fldCharType="separate"/>
        </w:r>
        <w:r w:rsidR="00986A0D">
          <w:rPr>
            <w:noProof/>
            <w:webHidden/>
          </w:rPr>
          <w:t>88</w:t>
        </w:r>
        <w:r>
          <w:rPr>
            <w:noProof/>
            <w:webHidden/>
          </w:rPr>
          <w:fldChar w:fldCharType="end"/>
        </w:r>
      </w:hyperlink>
    </w:p>
    <w:p w14:paraId="3A4225E8" w14:textId="0E4A0388"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44" w:history="1">
        <w:r w:rsidRPr="0056325A">
          <w:rPr>
            <w:rStyle w:val="Hyperlink"/>
            <w:noProof/>
          </w:rPr>
          <w:t>5.2.5 Discounting HRQoL to avoid double-counting</w:t>
        </w:r>
        <w:r>
          <w:rPr>
            <w:noProof/>
            <w:webHidden/>
          </w:rPr>
          <w:tab/>
        </w:r>
        <w:r>
          <w:rPr>
            <w:noProof/>
            <w:webHidden/>
          </w:rPr>
          <w:fldChar w:fldCharType="begin"/>
        </w:r>
        <w:r>
          <w:rPr>
            <w:noProof/>
            <w:webHidden/>
          </w:rPr>
          <w:instrText xml:space="preserve"> PAGEREF _Toc207195944 \h </w:instrText>
        </w:r>
        <w:r>
          <w:rPr>
            <w:noProof/>
            <w:webHidden/>
          </w:rPr>
        </w:r>
        <w:r>
          <w:rPr>
            <w:noProof/>
            <w:webHidden/>
          </w:rPr>
          <w:fldChar w:fldCharType="separate"/>
        </w:r>
        <w:r w:rsidR="00986A0D">
          <w:rPr>
            <w:noProof/>
            <w:webHidden/>
          </w:rPr>
          <w:t>89</w:t>
        </w:r>
        <w:r>
          <w:rPr>
            <w:noProof/>
            <w:webHidden/>
          </w:rPr>
          <w:fldChar w:fldCharType="end"/>
        </w:r>
      </w:hyperlink>
    </w:p>
    <w:p w14:paraId="16B50FDF" w14:textId="22FB12D5"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45" w:history="1">
        <w:r w:rsidRPr="0056325A">
          <w:rPr>
            <w:rStyle w:val="Hyperlink"/>
            <w:noProof/>
          </w:rPr>
          <w:t>5.2.6 The prevention paradox</w:t>
        </w:r>
        <w:r>
          <w:rPr>
            <w:noProof/>
            <w:webHidden/>
          </w:rPr>
          <w:tab/>
        </w:r>
        <w:r>
          <w:rPr>
            <w:noProof/>
            <w:webHidden/>
          </w:rPr>
          <w:fldChar w:fldCharType="begin"/>
        </w:r>
        <w:r>
          <w:rPr>
            <w:noProof/>
            <w:webHidden/>
          </w:rPr>
          <w:instrText xml:space="preserve"> PAGEREF _Toc207195945 \h </w:instrText>
        </w:r>
        <w:r>
          <w:rPr>
            <w:noProof/>
            <w:webHidden/>
          </w:rPr>
        </w:r>
        <w:r>
          <w:rPr>
            <w:noProof/>
            <w:webHidden/>
          </w:rPr>
          <w:fldChar w:fldCharType="separate"/>
        </w:r>
        <w:r w:rsidR="00986A0D">
          <w:rPr>
            <w:noProof/>
            <w:webHidden/>
          </w:rPr>
          <w:t>90</w:t>
        </w:r>
        <w:r>
          <w:rPr>
            <w:noProof/>
            <w:webHidden/>
          </w:rPr>
          <w:fldChar w:fldCharType="end"/>
        </w:r>
      </w:hyperlink>
    </w:p>
    <w:p w14:paraId="3B2EA8A4" w14:textId="653CC942"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46" w:history="1">
        <w:r w:rsidRPr="0056325A">
          <w:rPr>
            <w:rStyle w:val="Hyperlink"/>
            <w:noProof/>
          </w:rPr>
          <w:t>5.2.7 Impact attributable to specific gambling forms</w:t>
        </w:r>
        <w:r>
          <w:rPr>
            <w:noProof/>
            <w:webHidden/>
          </w:rPr>
          <w:tab/>
        </w:r>
        <w:r>
          <w:rPr>
            <w:noProof/>
            <w:webHidden/>
          </w:rPr>
          <w:fldChar w:fldCharType="begin"/>
        </w:r>
        <w:r>
          <w:rPr>
            <w:noProof/>
            <w:webHidden/>
          </w:rPr>
          <w:instrText xml:space="preserve"> PAGEREF _Toc207195946 \h </w:instrText>
        </w:r>
        <w:r>
          <w:rPr>
            <w:noProof/>
            <w:webHidden/>
          </w:rPr>
        </w:r>
        <w:r>
          <w:rPr>
            <w:noProof/>
            <w:webHidden/>
          </w:rPr>
          <w:fldChar w:fldCharType="separate"/>
        </w:r>
        <w:r w:rsidR="00986A0D">
          <w:rPr>
            <w:noProof/>
            <w:webHidden/>
          </w:rPr>
          <w:t>91</w:t>
        </w:r>
        <w:r>
          <w:rPr>
            <w:noProof/>
            <w:webHidden/>
          </w:rPr>
          <w:fldChar w:fldCharType="end"/>
        </w:r>
      </w:hyperlink>
    </w:p>
    <w:p w14:paraId="08087220" w14:textId="70D595CF"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47" w:history="1">
        <w:r w:rsidRPr="0056325A">
          <w:rPr>
            <w:rStyle w:val="Hyperlink"/>
            <w:noProof/>
          </w:rPr>
          <w:t>5.2.8 Attribution to cultural groups</w:t>
        </w:r>
        <w:r>
          <w:rPr>
            <w:noProof/>
            <w:webHidden/>
          </w:rPr>
          <w:tab/>
        </w:r>
        <w:r>
          <w:rPr>
            <w:noProof/>
            <w:webHidden/>
          </w:rPr>
          <w:fldChar w:fldCharType="begin"/>
        </w:r>
        <w:r>
          <w:rPr>
            <w:noProof/>
            <w:webHidden/>
          </w:rPr>
          <w:instrText xml:space="preserve"> PAGEREF _Toc207195947 \h </w:instrText>
        </w:r>
        <w:r>
          <w:rPr>
            <w:noProof/>
            <w:webHidden/>
          </w:rPr>
        </w:r>
        <w:r>
          <w:rPr>
            <w:noProof/>
            <w:webHidden/>
          </w:rPr>
          <w:fldChar w:fldCharType="separate"/>
        </w:r>
        <w:r w:rsidR="00986A0D">
          <w:rPr>
            <w:noProof/>
            <w:webHidden/>
          </w:rPr>
          <w:t>93</w:t>
        </w:r>
        <w:r>
          <w:rPr>
            <w:noProof/>
            <w:webHidden/>
          </w:rPr>
          <w:fldChar w:fldCharType="end"/>
        </w:r>
      </w:hyperlink>
    </w:p>
    <w:p w14:paraId="470EE13C" w14:textId="418D07C1"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48" w:history="1">
        <w:r w:rsidRPr="0056325A">
          <w:rPr>
            <w:rStyle w:val="Hyperlink"/>
            <w:noProof/>
          </w:rPr>
          <w:t>5.2.9 Causality</w:t>
        </w:r>
        <w:r>
          <w:rPr>
            <w:noProof/>
            <w:webHidden/>
          </w:rPr>
          <w:tab/>
        </w:r>
        <w:r>
          <w:rPr>
            <w:noProof/>
            <w:webHidden/>
          </w:rPr>
          <w:fldChar w:fldCharType="begin"/>
        </w:r>
        <w:r>
          <w:rPr>
            <w:noProof/>
            <w:webHidden/>
          </w:rPr>
          <w:instrText xml:space="preserve"> PAGEREF _Toc207195948 \h </w:instrText>
        </w:r>
        <w:r>
          <w:rPr>
            <w:noProof/>
            <w:webHidden/>
          </w:rPr>
        </w:r>
        <w:r>
          <w:rPr>
            <w:noProof/>
            <w:webHidden/>
          </w:rPr>
          <w:fldChar w:fldCharType="separate"/>
        </w:r>
        <w:r w:rsidR="00986A0D">
          <w:rPr>
            <w:noProof/>
            <w:webHidden/>
          </w:rPr>
          <w:t>95</w:t>
        </w:r>
        <w:r>
          <w:rPr>
            <w:noProof/>
            <w:webHidden/>
          </w:rPr>
          <w:fldChar w:fldCharType="end"/>
        </w:r>
      </w:hyperlink>
    </w:p>
    <w:p w14:paraId="20E389B3" w14:textId="337B980E"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49" w:history="1">
        <w:r w:rsidRPr="0056325A">
          <w:rPr>
            <w:rStyle w:val="Hyperlink"/>
            <w:noProof/>
          </w:rPr>
          <w:t>5.2.10 Uncertainty</w:t>
        </w:r>
        <w:r>
          <w:rPr>
            <w:noProof/>
            <w:webHidden/>
          </w:rPr>
          <w:tab/>
        </w:r>
        <w:r>
          <w:rPr>
            <w:noProof/>
            <w:webHidden/>
          </w:rPr>
          <w:fldChar w:fldCharType="begin"/>
        </w:r>
        <w:r>
          <w:rPr>
            <w:noProof/>
            <w:webHidden/>
          </w:rPr>
          <w:instrText xml:space="preserve"> PAGEREF _Toc207195949 \h </w:instrText>
        </w:r>
        <w:r>
          <w:rPr>
            <w:noProof/>
            <w:webHidden/>
          </w:rPr>
        </w:r>
        <w:r>
          <w:rPr>
            <w:noProof/>
            <w:webHidden/>
          </w:rPr>
          <w:fldChar w:fldCharType="separate"/>
        </w:r>
        <w:r w:rsidR="00986A0D">
          <w:rPr>
            <w:noProof/>
            <w:webHidden/>
          </w:rPr>
          <w:t>97</w:t>
        </w:r>
        <w:r>
          <w:rPr>
            <w:noProof/>
            <w:webHidden/>
          </w:rPr>
          <w:fldChar w:fldCharType="end"/>
        </w:r>
      </w:hyperlink>
    </w:p>
    <w:p w14:paraId="542655C4" w14:textId="278A6B93"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50" w:history="1">
        <w:r w:rsidRPr="0056325A">
          <w:rPr>
            <w:rStyle w:val="Hyperlink"/>
            <w:noProof/>
          </w:rPr>
          <w:t>5.2.11 Harm attribution approach</w:t>
        </w:r>
        <w:r>
          <w:rPr>
            <w:noProof/>
            <w:webHidden/>
          </w:rPr>
          <w:tab/>
        </w:r>
        <w:r>
          <w:rPr>
            <w:noProof/>
            <w:webHidden/>
          </w:rPr>
          <w:fldChar w:fldCharType="begin"/>
        </w:r>
        <w:r>
          <w:rPr>
            <w:noProof/>
            <w:webHidden/>
          </w:rPr>
          <w:instrText xml:space="preserve"> PAGEREF _Toc207195950 \h </w:instrText>
        </w:r>
        <w:r>
          <w:rPr>
            <w:noProof/>
            <w:webHidden/>
          </w:rPr>
        </w:r>
        <w:r>
          <w:rPr>
            <w:noProof/>
            <w:webHidden/>
          </w:rPr>
          <w:fldChar w:fldCharType="separate"/>
        </w:r>
        <w:r w:rsidR="00986A0D">
          <w:rPr>
            <w:noProof/>
            <w:webHidden/>
          </w:rPr>
          <w:t>98</w:t>
        </w:r>
        <w:r>
          <w:rPr>
            <w:noProof/>
            <w:webHidden/>
          </w:rPr>
          <w:fldChar w:fldCharType="end"/>
        </w:r>
      </w:hyperlink>
    </w:p>
    <w:p w14:paraId="5DB533D1" w14:textId="01B01C9D"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51" w:history="1">
        <w:r w:rsidRPr="0056325A">
          <w:rPr>
            <w:rStyle w:val="Hyperlink"/>
            <w:noProof/>
          </w:rPr>
          <w:t>5.2.12 Rounding</w:t>
        </w:r>
        <w:r>
          <w:rPr>
            <w:noProof/>
            <w:webHidden/>
          </w:rPr>
          <w:tab/>
        </w:r>
        <w:r>
          <w:rPr>
            <w:noProof/>
            <w:webHidden/>
          </w:rPr>
          <w:fldChar w:fldCharType="begin"/>
        </w:r>
        <w:r>
          <w:rPr>
            <w:noProof/>
            <w:webHidden/>
          </w:rPr>
          <w:instrText xml:space="preserve"> PAGEREF _Toc207195951 \h </w:instrText>
        </w:r>
        <w:r>
          <w:rPr>
            <w:noProof/>
            <w:webHidden/>
          </w:rPr>
        </w:r>
        <w:r>
          <w:rPr>
            <w:noProof/>
            <w:webHidden/>
          </w:rPr>
          <w:fldChar w:fldCharType="separate"/>
        </w:r>
        <w:r w:rsidR="00986A0D">
          <w:rPr>
            <w:noProof/>
            <w:webHidden/>
          </w:rPr>
          <w:t>98</w:t>
        </w:r>
        <w:r>
          <w:rPr>
            <w:noProof/>
            <w:webHidden/>
          </w:rPr>
          <w:fldChar w:fldCharType="end"/>
        </w:r>
      </w:hyperlink>
    </w:p>
    <w:p w14:paraId="0B91BD2F" w14:textId="7806DFDD"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952" w:history="1">
        <w:r w:rsidRPr="0056325A">
          <w:rPr>
            <w:rStyle w:val="Hyperlink"/>
            <w:noProof/>
          </w:rPr>
          <w:t>5.3 Data sources</w:t>
        </w:r>
        <w:r>
          <w:rPr>
            <w:noProof/>
            <w:webHidden/>
          </w:rPr>
          <w:tab/>
        </w:r>
        <w:r>
          <w:rPr>
            <w:noProof/>
            <w:webHidden/>
          </w:rPr>
          <w:fldChar w:fldCharType="begin"/>
        </w:r>
        <w:r>
          <w:rPr>
            <w:noProof/>
            <w:webHidden/>
          </w:rPr>
          <w:instrText xml:space="preserve"> PAGEREF _Toc207195952 \h </w:instrText>
        </w:r>
        <w:r>
          <w:rPr>
            <w:noProof/>
            <w:webHidden/>
          </w:rPr>
        </w:r>
        <w:r>
          <w:rPr>
            <w:noProof/>
            <w:webHidden/>
          </w:rPr>
          <w:fldChar w:fldCharType="separate"/>
        </w:r>
        <w:r w:rsidR="00986A0D">
          <w:rPr>
            <w:noProof/>
            <w:webHidden/>
          </w:rPr>
          <w:t>99</w:t>
        </w:r>
        <w:r>
          <w:rPr>
            <w:noProof/>
            <w:webHidden/>
          </w:rPr>
          <w:fldChar w:fldCharType="end"/>
        </w:r>
      </w:hyperlink>
    </w:p>
    <w:p w14:paraId="711368E5" w14:textId="4B1F6B2A"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53" w:history="1">
        <w:r w:rsidRPr="0056325A">
          <w:rPr>
            <w:rStyle w:val="Hyperlink"/>
            <w:noProof/>
          </w:rPr>
          <w:t>5.3.1 Population prevalence</w:t>
        </w:r>
        <w:r>
          <w:rPr>
            <w:noProof/>
            <w:webHidden/>
          </w:rPr>
          <w:tab/>
        </w:r>
        <w:r>
          <w:rPr>
            <w:noProof/>
            <w:webHidden/>
          </w:rPr>
          <w:fldChar w:fldCharType="begin"/>
        </w:r>
        <w:r>
          <w:rPr>
            <w:noProof/>
            <w:webHidden/>
          </w:rPr>
          <w:instrText xml:space="preserve"> PAGEREF _Toc207195953 \h </w:instrText>
        </w:r>
        <w:r>
          <w:rPr>
            <w:noProof/>
            <w:webHidden/>
          </w:rPr>
        </w:r>
        <w:r>
          <w:rPr>
            <w:noProof/>
            <w:webHidden/>
          </w:rPr>
          <w:fldChar w:fldCharType="separate"/>
        </w:r>
        <w:r w:rsidR="00986A0D">
          <w:rPr>
            <w:noProof/>
            <w:webHidden/>
          </w:rPr>
          <w:t>99</w:t>
        </w:r>
        <w:r>
          <w:rPr>
            <w:noProof/>
            <w:webHidden/>
          </w:rPr>
          <w:fldChar w:fldCharType="end"/>
        </w:r>
      </w:hyperlink>
    </w:p>
    <w:p w14:paraId="10AC1B92" w14:textId="6C1747E7"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54" w:history="1">
        <w:r w:rsidRPr="0056325A">
          <w:rPr>
            <w:rStyle w:val="Hyperlink"/>
            <w:noProof/>
          </w:rPr>
          <w:t>5.3.2 Item Prevalence</w:t>
        </w:r>
        <w:r>
          <w:rPr>
            <w:noProof/>
            <w:webHidden/>
          </w:rPr>
          <w:tab/>
        </w:r>
        <w:r>
          <w:rPr>
            <w:noProof/>
            <w:webHidden/>
          </w:rPr>
          <w:fldChar w:fldCharType="begin"/>
        </w:r>
        <w:r>
          <w:rPr>
            <w:noProof/>
            <w:webHidden/>
          </w:rPr>
          <w:instrText xml:space="preserve"> PAGEREF _Toc207195954 \h </w:instrText>
        </w:r>
        <w:r>
          <w:rPr>
            <w:noProof/>
            <w:webHidden/>
          </w:rPr>
        </w:r>
        <w:r>
          <w:rPr>
            <w:noProof/>
            <w:webHidden/>
          </w:rPr>
          <w:fldChar w:fldCharType="separate"/>
        </w:r>
        <w:r w:rsidR="00986A0D">
          <w:rPr>
            <w:noProof/>
            <w:webHidden/>
          </w:rPr>
          <w:t>99</w:t>
        </w:r>
        <w:r>
          <w:rPr>
            <w:noProof/>
            <w:webHidden/>
          </w:rPr>
          <w:fldChar w:fldCharType="end"/>
        </w:r>
      </w:hyperlink>
    </w:p>
    <w:p w14:paraId="35AA659D" w14:textId="498C5459"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55" w:history="1">
        <w:r w:rsidRPr="0056325A">
          <w:rPr>
            <w:rStyle w:val="Hyperlink"/>
            <w:noProof/>
          </w:rPr>
          <w:t>5.3.3 Key data sources</w:t>
        </w:r>
        <w:r>
          <w:rPr>
            <w:noProof/>
            <w:webHidden/>
          </w:rPr>
          <w:tab/>
        </w:r>
        <w:r>
          <w:rPr>
            <w:noProof/>
            <w:webHidden/>
          </w:rPr>
          <w:fldChar w:fldCharType="begin"/>
        </w:r>
        <w:r>
          <w:rPr>
            <w:noProof/>
            <w:webHidden/>
          </w:rPr>
          <w:instrText xml:space="preserve"> PAGEREF _Toc207195955 \h </w:instrText>
        </w:r>
        <w:r>
          <w:rPr>
            <w:noProof/>
            <w:webHidden/>
          </w:rPr>
        </w:r>
        <w:r>
          <w:rPr>
            <w:noProof/>
            <w:webHidden/>
          </w:rPr>
          <w:fldChar w:fldCharType="separate"/>
        </w:r>
        <w:r w:rsidR="00986A0D">
          <w:rPr>
            <w:noProof/>
            <w:webHidden/>
          </w:rPr>
          <w:t>99</w:t>
        </w:r>
        <w:r>
          <w:rPr>
            <w:noProof/>
            <w:webHidden/>
          </w:rPr>
          <w:fldChar w:fldCharType="end"/>
        </w:r>
      </w:hyperlink>
    </w:p>
    <w:p w14:paraId="65090D00" w14:textId="6E880D11"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956" w:history="1">
        <w:r w:rsidRPr="0056325A">
          <w:rPr>
            <w:rStyle w:val="Hyperlink"/>
            <w:noProof/>
          </w:rPr>
          <w:t>5.4 Key data considerations</w:t>
        </w:r>
        <w:r>
          <w:rPr>
            <w:noProof/>
            <w:webHidden/>
          </w:rPr>
          <w:tab/>
        </w:r>
        <w:r>
          <w:rPr>
            <w:noProof/>
            <w:webHidden/>
          </w:rPr>
          <w:fldChar w:fldCharType="begin"/>
        </w:r>
        <w:r>
          <w:rPr>
            <w:noProof/>
            <w:webHidden/>
          </w:rPr>
          <w:instrText xml:space="preserve"> PAGEREF _Toc207195956 \h </w:instrText>
        </w:r>
        <w:r>
          <w:rPr>
            <w:noProof/>
            <w:webHidden/>
          </w:rPr>
        </w:r>
        <w:r>
          <w:rPr>
            <w:noProof/>
            <w:webHidden/>
          </w:rPr>
          <w:fldChar w:fldCharType="separate"/>
        </w:r>
        <w:r w:rsidR="00986A0D">
          <w:rPr>
            <w:noProof/>
            <w:webHidden/>
          </w:rPr>
          <w:t>102</w:t>
        </w:r>
        <w:r>
          <w:rPr>
            <w:noProof/>
            <w:webHidden/>
          </w:rPr>
          <w:fldChar w:fldCharType="end"/>
        </w:r>
      </w:hyperlink>
    </w:p>
    <w:p w14:paraId="2744B874" w14:textId="15D66DDD"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57" w:history="1">
        <w:r w:rsidRPr="0056325A">
          <w:rPr>
            <w:rStyle w:val="Hyperlink"/>
            <w:noProof/>
          </w:rPr>
          <w:t>5.4.1 Prevalence items</w:t>
        </w:r>
        <w:r>
          <w:rPr>
            <w:noProof/>
            <w:webHidden/>
          </w:rPr>
          <w:tab/>
        </w:r>
        <w:r>
          <w:rPr>
            <w:noProof/>
            <w:webHidden/>
          </w:rPr>
          <w:fldChar w:fldCharType="begin"/>
        </w:r>
        <w:r>
          <w:rPr>
            <w:noProof/>
            <w:webHidden/>
          </w:rPr>
          <w:instrText xml:space="preserve"> PAGEREF _Toc207195957 \h </w:instrText>
        </w:r>
        <w:r>
          <w:rPr>
            <w:noProof/>
            <w:webHidden/>
          </w:rPr>
        </w:r>
        <w:r>
          <w:rPr>
            <w:noProof/>
            <w:webHidden/>
          </w:rPr>
          <w:fldChar w:fldCharType="separate"/>
        </w:r>
        <w:r w:rsidR="00986A0D">
          <w:rPr>
            <w:noProof/>
            <w:webHidden/>
          </w:rPr>
          <w:t>102</w:t>
        </w:r>
        <w:r>
          <w:rPr>
            <w:noProof/>
            <w:webHidden/>
          </w:rPr>
          <w:fldChar w:fldCharType="end"/>
        </w:r>
      </w:hyperlink>
    </w:p>
    <w:p w14:paraId="126512DC" w14:textId="3D694692"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58" w:history="1">
        <w:r w:rsidRPr="0056325A">
          <w:rPr>
            <w:rStyle w:val="Hyperlink"/>
            <w:noProof/>
          </w:rPr>
          <w:t>5.4.2 Cost items</w:t>
        </w:r>
        <w:r>
          <w:rPr>
            <w:noProof/>
            <w:webHidden/>
          </w:rPr>
          <w:tab/>
        </w:r>
        <w:r>
          <w:rPr>
            <w:noProof/>
            <w:webHidden/>
          </w:rPr>
          <w:fldChar w:fldCharType="begin"/>
        </w:r>
        <w:r>
          <w:rPr>
            <w:noProof/>
            <w:webHidden/>
          </w:rPr>
          <w:instrText xml:space="preserve"> PAGEREF _Toc207195958 \h </w:instrText>
        </w:r>
        <w:r>
          <w:rPr>
            <w:noProof/>
            <w:webHidden/>
          </w:rPr>
        </w:r>
        <w:r>
          <w:rPr>
            <w:noProof/>
            <w:webHidden/>
          </w:rPr>
          <w:fldChar w:fldCharType="separate"/>
        </w:r>
        <w:r w:rsidR="00986A0D">
          <w:rPr>
            <w:noProof/>
            <w:webHidden/>
          </w:rPr>
          <w:t>104</w:t>
        </w:r>
        <w:r>
          <w:rPr>
            <w:noProof/>
            <w:webHidden/>
          </w:rPr>
          <w:fldChar w:fldCharType="end"/>
        </w:r>
      </w:hyperlink>
    </w:p>
    <w:p w14:paraId="4A9137CC" w14:textId="46E4A77A"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59" w:history="1">
        <w:r w:rsidRPr="0056325A">
          <w:rPr>
            <w:rStyle w:val="Hyperlink"/>
            <w:noProof/>
          </w:rPr>
          <w:t>5.4.3 Proxy for emotional harm</w:t>
        </w:r>
        <w:r>
          <w:rPr>
            <w:noProof/>
            <w:webHidden/>
          </w:rPr>
          <w:tab/>
        </w:r>
        <w:r>
          <w:rPr>
            <w:noProof/>
            <w:webHidden/>
          </w:rPr>
          <w:fldChar w:fldCharType="begin"/>
        </w:r>
        <w:r>
          <w:rPr>
            <w:noProof/>
            <w:webHidden/>
          </w:rPr>
          <w:instrText xml:space="preserve"> PAGEREF _Toc207195959 \h </w:instrText>
        </w:r>
        <w:r>
          <w:rPr>
            <w:noProof/>
            <w:webHidden/>
          </w:rPr>
        </w:r>
        <w:r>
          <w:rPr>
            <w:noProof/>
            <w:webHidden/>
          </w:rPr>
          <w:fldChar w:fldCharType="separate"/>
        </w:r>
        <w:r w:rsidR="00986A0D">
          <w:rPr>
            <w:noProof/>
            <w:webHidden/>
          </w:rPr>
          <w:t>104</w:t>
        </w:r>
        <w:r>
          <w:rPr>
            <w:noProof/>
            <w:webHidden/>
          </w:rPr>
          <w:fldChar w:fldCharType="end"/>
        </w:r>
      </w:hyperlink>
    </w:p>
    <w:p w14:paraId="40165797" w14:textId="3CA79818"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60" w:history="1">
        <w:r w:rsidRPr="0056325A">
          <w:rPr>
            <w:rStyle w:val="Hyperlink"/>
            <w:noProof/>
          </w:rPr>
          <w:t>5.4.4 Proxy for YLD (years lived with disability)</w:t>
        </w:r>
        <w:r>
          <w:rPr>
            <w:noProof/>
            <w:webHidden/>
          </w:rPr>
          <w:tab/>
        </w:r>
        <w:r>
          <w:rPr>
            <w:noProof/>
            <w:webHidden/>
          </w:rPr>
          <w:fldChar w:fldCharType="begin"/>
        </w:r>
        <w:r>
          <w:rPr>
            <w:noProof/>
            <w:webHidden/>
          </w:rPr>
          <w:instrText xml:space="preserve"> PAGEREF _Toc207195960 \h </w:instrText>
        </w:r>
        <w:r>
          <w:rPr>
            <w:noProof/>
            <w:webHidden/>
          </w:rPr>
        </w:r>
        <w:r>
          <w:rPr>
            <w:noProof/>
            <w:webHidden/>
          </w:rPr>
          <w:fldChar w:fldCharType="separate"/>
        </w:r>
        <w:r w:rsidR="00986A0D">
          <w:rPr>
            <w:noProof/>
            <w:webHidden/>
          </w:rPr>
          <w:t>105</w:t>
        </w:r>
        <w:r>
          <w:rPr>
            <w:noProof/>
            <w:webHidden/>
          </w:rPr>
          <w:fldChar w:fldCharType="end"/>
        </w:r>
      </w:hyperlink>
    </w:p>
    <w:p w14:paraId="342B0476" w14:textId="338C878C"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61" w:history="1">
        <w:r w:rsidRPr="0056325A">
          <w:rPr>
            <w:rStyle w:val="Hyperlink"/>
            <w:noProof/>
          </w:rPr>
          <w:t>5.4.5 Costing opportunity costs of excessive spend</w:t>
        </w:r>
        <w:r>
          <w:rPr>
            <w:noProof/>
            <w:webHidden/>
          </w:rPr>
          <w:tab/>
        </w:r>
        <w:r>
          <w:rPr>
            <w:noProof/>
            <w:webHidden/>
          </w:rPr>
          <w:fldChar w:fldCharType="begin"/>
        </w:r>
        <w:r>
          <w:rPr>
            <w:noProof/>
            <w:webHidden/>
          </w:rPr>
          <w:instrText xml:space="preserve"> PAGEREF _Toc207195961 \h </w:instrText>
        </w:r>
        <w:r>
          <w:rPr>
            <w:noProof/>
            <w:webHidden/>
          </w:rPr>
        </w:r>
        <w:r>
          <w:rPr>
            <w:noProof/>
            <w:webHidden/>
          </w:rPr>
          <w:fldChar w:fldCharType="separate"/>
        </w:r>
        <w:r w:rsidR="00986A0D">
          <w:rPr>
            <w:noProof/>
            <w:webHidden/>
          </w:rPr>
          <w:t>106</w:t>
        </w:r>
        <w:r>
          <w:rPr>
            <w:noProof/>
            <w:webHidden/>
          </w:rPr>
          <w:fldChar w:fldCharType="end"/>
        </w:r>
      </w:hyperlink>
    </w:p>
    <w:p w14:paraId="7156FD14" w14:textId="39DEDEAB" w:rsidR="00E916B3" w:rsidRDefault="00E916B3" w:rsidP="007473EA">
      <w:pPr>
        <w:pStyle w:val="TOC1"/>
        <w:spacing w:after="0" w:line="276" w:lineRule="auto"/>
        <w:rPr>
          <w:rFonts w:asciiTheme="minorHAnsi" w:eastAsiaTheme="minorEastAsia" w:hAnsiTheme="minorHAnsi" w:cstheme="minorBidi"/>
          <w:noProof/>
          <w:kern w:val="2"/>
          <w14:ligatures w14:val="standardContextual"/>
        </w:rPr>
      </w:pPr>
      <w:hyperlink w:anchor="_Toc207195962" w:history="1">
        <w:r w:rsidRPr="0056325A">
          <w:rPr>
            <w:rStyle w:val="Hyperlink"/>
            <w:noProof/>
          </w:rPr>
          <w:t>Chapter 6: Results</w:t>
        </w:r>
        <w:r>
          <w:rPr>
            <w:noProof/>
            <w:webHidden/>
          </w:rPr>
          <w:tab/>
        </w:r>
        <w:r>
          <w:rPr>
            <w:noProof/>
            <w:webHidden/>
          </w:rPr>
          <w:fldChar w:fldCharType="begin"/>
        </w:r>
        <w:r>
          <w:rPr>
            <w:noProof/>
            <w:webHidden/>
          </w:rPr>
          <w:instrText xml:space="preserve"> PAGEREF _Toc207195962 \h </w:instrText>
        </w:r>
        <w:r>
          <w:rPr>
            <w:noProof/>
            <w:webHidden/>
          </w:rPr>
        </w:r>
        <w:r>
          <w:rPr>
            <w:noProof/>
            <w:webHidden/>
          </w:rPr>
          <w:fldChar w:fldCharType="separate"/>
        </w:r>
        <w:r w:rsidR="00986A0D">
          <w:rPr>
            <w:noProof/>
            <w:webHidden/>
          </w:rPr>
          <w:t>110</w:t>
        </w:r>
        <w:r>
          <w:rPr>
            <w:noProof/>
            <w:webHidden/>
          </w:rPr>
          <w:fldChar w:fldCharType="end"/>
        </w:r>
      </w:hyperlink>
    </w:p>
    <w:p w14:paraId="3137DCC8" w14:textId="05825932"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963" w:history="1">
        <w:r w:rsidRPr="0056325A">
          <w:rPr>
            <w:rStyle w:val="Hyperlink"/>
            <w:noProof/>
          </w:rPr>
          <w:t>6.1 Summary of cost categories</w:t>
        </w:r>
        <w:r>
          <w:rPr>
            <w:noProof/>
            <w:webHidden/>
          </w:rPr>
          <w:tab/>
        </w:r>
        <w:r>
          <w:rPr>
            <w:noProof/>
            <w:webHidden/>
          </w:rPr>
          <w:fldChar w:fldCharType="begin"/>
        </w:r>
        <w:r>
          <w:rPr>
            <w:noProof/>
            <w:webHidden/>
          </w:rPr>
          <w:instrText xml:space="preserve"> PAGEREF _Toc207195963 \h </w:instrText>
        </w:r>
        <w:r>
          <w:rPr>
            <w:noProof/>
            <w:webHidden/>
          </w:rPr>
        </w:r>
        <w:r>
          <w:rPr>
            <w:noProof/>
            <w:webHidden/>
          </w:rPr>
          <w:fldChar w:fldCharType="separate"/>
        </w:r>
        <w:r w:rsidR="00986A0D">
          <w:rPr>
            <w:noProof/>
            <w:webHidden/>
          </w:rPr>
          <w:t>110</w:t>
        </w:r>
        <w:r>
          <w:rPr>
            <w:noProof/>
            <w:webHidden/>
          </w:rPr>
          <w:fldChar w:fldCharType="end"/>
        </w:r>
      </w:hyperlink>
    </w:p>
    <w:p w14:paraId="471DA984" w14:textId="63646519"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64" w:history="1">
        <w:r w:rsidRPr="0056325A">
          <w:rPr>
            <w:rStyle w:val="Hyperlink"/>
            <w:noProof/>
          </w:rPr>
          <w:t>6.1.1 Summary of cost items</w:t>
        </w:r>
        <w:r>
          <w:rPr>
            <w:noProof/>
            <w:webHidden/>
          </w:rPr>
          <w:tab/>
        </w:r>
        <w:r>
          <w:rPr>
            <w:noProof/>
            <w:webHidden/>
          </w:rPr>
          <w:fldChar w:fldCharType="begin"/>
        </w:r>
        <w:r>
          <w:rPr>
            <w:noProof/>
            <w:webHidden/>
          </w:rPr>
          <w:instrText xml:space="preserve"> PAGEREF _Toc207195964 \h </w:instrText>
        </w:r>
        <w:r>
          <w:rPr>
            <w:noProof/>
            <w:webHidden/>
          </w:rPr>
        </w:r>
        <w:r>
          <w:rPr>
            <w:noProof/>
            <w:webHidden/>
          </w:rPr>
          <w:fldChar w:fldCharType="separate"/>
        </w:r>
        <w:r w:rsidR="00986A0D">
          <w:rPr>
            <w:noProof/>
            <w:webHidden/>
          </w:rPr>
          <w:t>110</w:t>
        </w:r>
        <w:r>
          <w:rPr>
            <w:noProof/>
            <w:webHidden/>
          </w:rPr>
          <w:fldChar w:fldCharType="end"/>
        </w:r>
      </w:hyperlink>
    </w:p>
    <w:p w14:paraId="57FD0405" w14:textId="7C07734A"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65" w:history="1">
        <w:r w:rsidRPr="0056325A">
          <w:rPr>
            <w:rStyle w:val="Hyperlink"/>
            <w:noProof/>
          </w:rPr>
          <w:t>6.1.2 Upper and lower bounds for cost categories and parametric bootstrapping</w:t>
        </w:r>
        <w:r>
          <w:rPr>
            <w:noProof/>
            <w:webHidden/>
          </w:rPr>
          <w:tab/>
        </w:r>
        <w:r>
          <w:rPr>
            <w:noProof/>
            <w:webHidden/>
          </w:rPr>
          <w:fldChar w:fldCharType="begin"/>
        </w:r>
        <w:r>
          <w:rPr>
            <w:noProof/>
            <w:webHidden/>
          </w:rPr>
          <w:instrText xml:space="preserve"> PAGEREF _Toc207195965 \h </w:instrText>
        </w:r>
        <w:r>
          <w:rPr>
            <w:noProof/>
            <w:webHidden/>
          </w:rPr>
        </w:r>
        <w:r>
          <w:rPr>
            <w:noProof/>
            <w:webHidden/>
          </w:rPr>
          <w:fldChar w:fldCharType="separate"/>
        </w:r>
        <w:r w:rsidR="00986A0D">
          <w:rPr>
            <w:noProof/>
            <w:webHidden/>
          </w:rPr>
          <w:t>113</w:t>
        </w:r>
        <w:r>
          <w:rPr>
            <w:noProof/>
            <w:webHidden/>
          </w:rPr>
          <w:fldChar w:fldCharType="end"/>
        </w:r>
      </w:hyperlink>
    </w:p>
    <w:p w14:paraId="20901035" w14:textId="01F5BF5A"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66" w:history="1">
        <w:r w:rsidRPr="0056325A">
          <w:rPr>
            <w:rStyle w:val="Hyperlink"/>
            <w:noProof/>
          </w:rPr>
          <w:t>6.1.3 Cost categories by bearer of cost (people who gamble, affected others, community)</w:t>
        </w:r>
        <w:r>
          <w:rPr>
            <w:noProof/>
            <w:webHidden/>
          </w:rPr>
          <w:tab/>
        </w:r>
        <w:r>
          <w:rPr>
            <w:noProof/>
            <w:webHidden/>
          </w:rPr>
          <w:fldChar w:fldCharType="begin"/>
        </w:r>
        <w:r>
          <w:rPr>
            <w:noProof/>
            <w:webHidden/>
          </w:rPr>
          <w:instrText xml:space="preserve"> PAGEREF _Toc207195966 \h </w:instrText>
        </w:r>
        <w:r>
          <w:rPr>
            <w:noProof/>
            <w:webHidden/>
          </w:rPr>
        </w:r>
        <w:r>
          <w:rPr>
            <w:noProof/>
            <w:webHidden/>
          </w:rPr>
          <w:fldChar w:fldCharType="separate"/>
        </w:r>
        <w:r w:rsidR="00986A0D">
          <w:rPr>
            <w:noProof/>
            <w:webHidden/>
          </w:rPr>
          <w:t>115</w:t>
        </w:r>
        <w:r>
          <w:rPr>
            <w:noProof/>
            <w:webHidden/>
          </w:rPr>
          <w:fldChar w:fldCharType="end"/>
        </w:r>
      </w:hyperlink>
    </w:p>
    <w:p w14:paraId="51CA734E" w14:textId="287C866E"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67" w:history="1">
        <w:r w:rsidRPr="0056325A">
          <w:rPr>
            <w:rStyle w:val="Hyperlink"/>
            <w:noProof/>
          </w:rPr>
          <w:t>6.1.4 Cost of gambling problems to New Zealand, by attribution to form</w:t>
        </w:r>
        <w:r>
          <w:rPr>
            <w:noProof/>
            <w:webHidden/>
          </w:rPr>
          <w:tab/>
        </w:r>
        <w:r>
          <w:rPr>
            <w:noProof/>
            <w:webHidden/>
          </w:rPr>
          <w:fldChar w:fldCharType="begin"/>
        </w:r>
        <w:r>
          <w:rPr>
            <w:noProof/>
            <w:webHidden/>
          </w:rPr>
          <w:instrText xml:space="preserve"> PAGEREF _Toc207195967 \h </w:instrText>
        </w:r>
        <w:r>
          <w:rPr>
            <w:noProof/>
            <w:webHidden/>
          </w:rPr>
        </w:r>
        <w:r>
          <w:rPr>
            <w:noProof/>
            <w:webHidden/>
          </w:rPr>
          <w:fldChar w:fldCharType="separate"/>
        </w:r>
        <w:r w:rsidR="00986A0D">
          <w:rPr>
            <w:noProof/>
            <w:webHidden/>
          </w:rPr>
          <w:t>116</w:t>
        </w:r>
        <w:r>
          <w:rPr>
            <w:noProof/>
            <w:webHidden/>
          </w:rPr>
          <w:fldChar w:fldCharType="end"/>
        </w:r>
      </w:hyperlink>
    </w:p>
    <w:p w14:paraId="5EB65E10" w14:textId="3BC39225"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68" w:history="1">
        <w:r w:rsidRPr="0056325A">
          <w:rPr>
            <w:rStyle w:val="Hyperlink"/>
            <w:noProof/>
          </w:rPr>
          <w:t>6.1.5 Cost categories by cultural background</w:t>
        </w:r>
        <w:r>
          <w:rPr>
            <w:noProof/>
            <w:webHidden/>
          </w:rPr>
          <w:tab/>
        </w:r>
        <w:r>
          <w:rPr>
            <w:noProof/>
            <w:webHidden/>
          </w:rPr>
          <w:fldChar w:fldCharType="begin"/>
        </w:r>
        <w:r>
          <w:rPr>
            <w:noProof/>
            <w:webHidden/>
          </w:rPr>
          <w:instrText xml:space="preserve"> PAGEREF _Toc207195968 \h </w:instrText>
        </w:r>
        <w:r>
          <w:rPr>
            <w:noProof/>
            <w:webHidden/>
          </w:rPr>
        </w:r>
        <w:r>
          <w:rPr>
            <w:noProof/>
            <w:webHidden/>
          </w:rPr>
          <w:fldChar w:fldCharType="separate"/>
        </w:r>
        <w:r w:rsidR="00986A0D">
          <w:rPr>
            <w:noProof/>
            <w:webHidden/>
          </w:rPr>
          <w:t>118</w:t>
        </w:r>
        <w:r>
          <w:rPr>
            <w:noProof/>
            <w:webHidden/>
          </w:rPr>
          <w:fldChar w:fldCharType="end"/>
        </w:r>
      </w:hyperlink>
    </w:p>
    <w:p w14:paraId="154366C7" w14:textId="7ADE1229"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969" w:history="1">
        <w:r w:rsidRPr="0056325A">
          <w:rPr>
            <w:rStyle w:val="Hyperlink"/>
            <w:noProof/>
          </w:rPr>
          <w:t>6.2 Specific cost items</w:t>
        </w:r>
        <w:r>
          <w:rPr>
            <w:noProof/>
            <w:webHidden/>
          </w:rPr>
          <w:tab/>
        </w:r>
        <w:r>
          <w:rPr>
            <w:noProof/>
            <w:webHidden/>
          </w:rPr>
          <w:fldChar w:fldCharType="begin"/>
        </w:r>
        <w:r>
          <w:rPr>
            <w:noProof/>
            <w:webHidden/>
          </w:rPr>
          <w:instrText xml:space="preserve"> PAGEREF _Toc207195969 \h </w:instrText>
        </w:r>
        <w:r>
          <w:rPr>
            <w:noProof/>
            <w:webHidden/>
          </w:rPr>
        </w:r>
        <w:r>
          <w:rPr>
            <w:noProof/>
            <w:webHidden/>
          </w:rPr>
          <w:fldChar w:fldCharType="separate"/>
        </w:r>
        <w:r w:rsidR="00986A0D">
          <w:rPr>
            <w:noProof/>
            <w:webHidden/>
          </w:rPr>
          <w:t>120</w:t>
        </w:r>
        <w:r>
          <w:rPr>
            <w:noProof/>
            <w:webHidden/>
          </w:rPr>
          <w:fldChar w:fldCharType="end"/>
        </w:r>
      </w:hyperlink>
    </w:p>
    <w:p w14:paraId="55CAA766" w14:textId="70245C8D"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970" w:history="1">
        <w:r w:rsidRPr="0056325A">
          <w:rPr>
            <w:rStyle w:val="Hyperlink"/>
            <w:noProof/>
          </w:rPr>
          <w:t>6.3 Financial impacts</w:t>
        </w:r>
        <w:r>
          <w:rPr>
            <w:noProof/>
            <w:webHidden/>
          </w:rPr>
          <w:tab/>
        </w:r>
        <w:r>
          <w:rPr>
            <w:noProof/>
            <w:webHidden/>
          </w:rPr>
          <w:fldChar w:fldCharType="begin"/>
        </w:r>
        <w:r>
          <w:rPr>
            <w:noProof/>
            <w:webHidden/>
          </w:rPr>
          <w:instrText xml:space="preserve"> PAGEREF _Toc207195970 \h </w:instrText>
        </w:r>
        <w:r>
          <w:rPr>
            <w:noProof/>
            <w:webHidden/>
          </w:rPr>
        </w:r>
        <w:r>
          <w:rPr>
            <w:noProof/>
            <w:webHidden/>
          </w:rPr>
          <w:fldChar w:fldCharType="separate"/>
        </w:r>
        <w:r w:rsidR="00986A0D">
          <w:rPr>
            <w:noProof/>
            <w:webHidden/>
          </w:rPr>
          <w:t>120</w:t>
        </w:r>
        <w:r>
          <w:rPr>
            <w:noProof/>
            <w:webHidden/>
          </w:rPr>
          <w:fldChar w:fldCharType="end"/>
        </w:r>
      </w:hyperlink>
    </w:p>
    <w:p w14:paraId="5A84DC5B" w14:textId="76C96640"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71" w:history="1">
        <w:r w:rsidRPr="0056325A">
          <w:rPr>
            <w:rStyle w:val="Hyperlink"/>
            <w:noProof/>
          </w:rPr>
          <w:t>6.3.1 Gambling expenditure in New Zealand</w:t>
        </w:r>
        <w:r>
          <w:rPr>
            <w:noProof/>
            <w:webHidden/>
          </w:rPr>
          <w:tab/>
        </w:r>
        <w:r>
          <w:rPr>
            <w:noProof/>
            <w:webHidden/>
          </w:rPr>
          <w:fldChar w:fldCharType="begin"/>
        </w:r>
        <w:r>
          <w:rPr>
            <w:noProof/>
            <w:webHidden/>
          </w:rPr>
          <w:instrText xml:space="preserve"> PAGEREF _Toc207195971 \h </w:instrText>
        </w:r>
        <w:r>
          <w:rPr>
            <w:noProof/>
            <w:webHidden/>
          </w:rPr>
        </w:r>
        <w:r>
          <w:rPr>
            <w:noProof/>
            <w:webHidden/>
          </w:rPr>
          <w:fldChar w:fldCharType="separate"/>
        </w:r>
        <w:r w:rsidR="00986A0D">
          <w:rPr>
            <w:noProof/>
            <w:webHidden/>
          </w:rPr>
          <w:t>120</w:t>
        </w:r>
        <w:r>
          <w:rPr>
            <w:noProof/>
            <w:webHidden/>
          </w:rPr>
          <w:fldChar w:fldCharType="end"/>
        </w:r>
      </w:hyperlink>
    </w:p>
    <w:p w14:paraId="360662E7" w14:textId="45EBBB45"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72" w:history="1">
        <w:r w:rsidRPr="0056325A">
          <w:rPr>
            <w:rStyle w:val="Hyperlink"/>
            <w:noProof/>
          </w:rPr>
          <w:t>6.3.2 Opportunity cost of excess gambling spend</w:t>
        </w:r>
        <w:r>
          <w:rPr>
            <w:noProof/>
            <w:webHidden/>
          </w:rPr>
          <w:tab/>
        </w:r>
        <w:r>
          <w:rPr>
            <w:noProof/>
            <w:webHidden/>
          </w:rPr>
          <w:fldChar w:fldCharType="begin"/>
        </w:r>
        <w:r>
          <w:rPr>
            <w:noProof/>
            <w:webHidden/>
          </w:rPr>
          <w:instrText xml:space="preserve"> PAGEREF _Toc207195972 \h </w:instrText>
        </w:r>
        <w:r>
          <w:rPr>
            <w:noProof/>
            <w:webHidden/>
          </w:rPr>
        </w:r>
        <w:r>
          <w:rPr>
            <w:noProof/>
            <w:webHidden/>
          </w:rPr>
          <w:fldChar w:fldCharType="separate"/>
        </w:r>
        <w:r w:rsidR="00986A0D">
          <w:rPr>
            <w:noProof/>
            <w:webHidden/>
          </w:rPr>
          <w:t>121</w:t>
        </w:r>
        <w:r>
          <w:rPr>
            <w:noProof/>
            <w:webHidden/>
          </w:rPr>
          <w:fldChar w:fldCharType="end"/>
        </w:r>
      </w:hyperlink>
    </w:p>
    <w:p w14:paraId="2E0D1B93" w14:textId="68193153"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73" w:history="1">
        <w:r w:rsidRPr="0056325A">
          <w:rPr>
            <w:rStyle w:val="Hyperlink"/>
            <w:noProof/>
          </w:rPr>
          <w:t>6.3.3 Bankruptcy</w:t>
        </w:r>
        <w:r>
          <w:rPr>
            <w:noProof/>
            <w:webHidden/>
          </w:rPr>
          <w:tab/>
        </w:r>
        <w:r>
          <w:rPr>
            <w:noProof/>
            <w:webHidden/>
          </w:rPr>
          <w:fldChar w:fldCharType="begin"/>
        </w:r>
        <w:r>
          <w:rPr>
            <w:noProof/>
            <w:webHidden/>
          </w:rPr>
          <w:instrText xml:space="preserve"> PAGEREF _Toc207195973 \h </w:instrText>
        </w:r>
        <w:r>
          <w:rPr>
            <w:noProof/>
            <w:webHidden/>
          </w:rPr>
        </w:r>
        <w:r>
          <w:rPr>
            <w:noProof/>
            <w:webHidden/>
          </w:rPr>
          <w:fldChar w:fldCharType="separate"/>
        </w:r>
        <w:r w:rsidR="00986A0D">
          <w:rPr>
            <w:noProof/>
            <w:webHidden/>
          </w:rPr>
          <w:t>124</w:t>
        </w:r>
        <w:r>
          <w:rPr>
            <w:noProof/>
            <w:webHidden/>
          </w:rPr>
          <w:fldChar w:fldCharType="end"/>
        </w:r>
      </w:hyperlink>
    </w:p>
    <w:p w14:paraId="47E7A035" w14:textId="6BF050CF"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974" w:history="1">
        <w:r w:rsidRPr="0056325A">
          <w:rPr>
            <w:rStyle w:val="Hyperlink"/>
            <w:noProof/>
          </w:rPr>
          <w:t>6.4 Relationship disruption, conflict or breakdown</w:t>
        </w:r>
        <w:r>
          <w:rPr>
            <w:noProof/>
            <w:webHidden/>
          </w:rPr>
          <w:tab/>
        </w:r>
        <w:r>
          <w:rPr>
            <w:noProof/>
            <w:webHidden/>
          </w:rPr>
          <w:fldChar w:fldCharType="begin"/>
        </w:r>
        <w:r>
          <w:rPr>
            <w:noProof/>
            <w:webHidden/>
          </w:rPr>
          <w:instrText xml:space="preserve"> PAGEREF _Toc207195974 \h </w:instrText>
        </w:r>
        <w:r>
          <w:rPr>
            <w:noProof/>
            <w:webHidden/>
          </w:rPr>
        </w:r>
        <w:r>
          <w:rPr>
            <w:noProof/>
            <w:webHidden/>
          </w:rPr>
          <w:fldChar w:fldCharType="separate"/>
        </w:r>
        <w:r w:rsidR="00986A0D">
          <w:rPr>
            <w:noProof/>
            <w:webHidden/>
          </w:rPr>
          <w:t>127</w:t>
        </w:r>
        <w:r>
          <w:rPr>
            <w:noProof/>
            <w:webHidden/>
          </w:rPr>
          <w:fldChar w:fldCharType="end"/>
        </w:r>
      </w:hyperlink>
    </w:p>
    <w:p w14:paraId="1BF9E7E0" w14:textId="21D48716"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75" w:history="1">
        <w:r w:rsidRPr="0056325A">
          <w:rPr>
            <w:rStyle w:val="Hyperlink"/>
            <w:noProof/>
          </w:rPr>
          <w:t>6.4.1 Divorce and separation</w:t>
        </w:r>
        <w:r>
          <w:rPr>
            <w:noProof/>
            <w:webHidden/>
          </w:rPr>
          <w:tab/>
        </w:r>
        <w:r>
          <w:rPr>
            <w:noProof/>
            <w:webHidden/>
          </w:rPr>
          <w:fldChar w:fldCharType="begin"/>
        </w:r>
        <w:r>
          <w:rPr>
            <w:noProof/>
            <w:webHidden/>
          </w:rPr>
          <w:instrText xml:space="preserve"> PAGEREF _Toc207195975 \h </w:instrText>
        </w:r>
        <w:r>
          <w:rPr>
            <w:noProof/>
            <w:webHidden/>
          </w:rPr>
        </w:r>
        <w:r>
          <w:rPr>
            <w:noProof/>
            <w:webHidden/>
          </w:rPr>
          <w:fldChar w:fldCharType="separate"/>
        </w:r>
        <w:r w:rsidR="00986A0D">
          <w:rPr>
            <w:noProof/>
            <w:webHidden/>
          </w:rPr>
          <w:t>127</w:t>
        </w:r>
        <w:r>
          <w:rPr>
            <w:noProof/>
            <w:webHidden/>
          </w:rPr>
          <w:fldChar w:fldCharType="end"/>
        </w:r>
      </w:hyperlink>
    </w:p>
    <w:p w14:paraId="5D412EF3" w14:textId="2C22F96C"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76" w:history="1">
        <w:r w:rsidRPr="0056325A">
          <w:rPr>
            <w:rStyle w:val="Hyperlink"/>
            <w:noProof/>
          </w:rPr>
          <w:t>6.4.2 Experiences of violence</w:t>
        </w:r>
        <w:r>
          <w:rPr>
            <w:noProof/>
            <w:webHidden/>
          </w:rPr>
          <w:tab/>
        </w:r>
        <w:r>
          <w:rPr>
            <w:noProof/>
            <w:webHidden/>
          </w:rPr>
          <w:fldChar w:fldCharType="begin"/>
        </w:r>
        <w:r>
          <w:rPr>
            <w:noProof/>
            <w:webHidden/>
          </w:rPr>
          <w:instrText xml:space="preserve"> PAGEREF _Toc207195976 \h </w:instrText>
        </w:r>
        <w:r>
          <w:rPr>
            <w:noProof/>
            <w:webHidden/>
          </w:rPr>
        </w:r>
        <w:r>
          <w:rPr>
            <w:noProof/>
            <w:webHidden/>
          </w:rPr>
          <w:fldChar w:fldCharType="separate"/>
        </w:r>
        <w:r w:rsidR="00986A0D">
          <w:rPr>
            <w:noProof/>
            <w:webHidden/>
          </w:rPr>
          <w:t>130</w:t>
        </w:r>
        <w:r>
          <w:rPr>
            <w:noProof/>
            <w:webHidden/>
          </w:rPr>
          <w:fldChar w:fldCharType="end"/>
        </w:r>
      </w:hyperlink>
    </w:p>
    <w:p w14:paraId="28B3116C" w14:textId="1D4C429A"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977" w:history="1">
        <w:r w:rsidRPr="0056325A">
          <w:rPr>
            <w:rStyle w:val="Hyperlink"/>
            <w:noProof/>
          </w:rPr>
          <w:t>6.5 Health</w:t>
        </w:r>
        <w:r>
          <w:rPr>
            <w:noProof/>
            <w:webHidden/>
          </w:rPr>
          <w:tab/>
        </w:r>
        <w:r>
          <w:rPr>
            <w:noProof/>
            <w:webHidden/>
          </w:rPr>
          <w:fldChar w:fldCharType="begin"/>
        </w:r>
        <w:r>
          <w:rPr>
            <w:noProof/>
            <w:webHidden/>
          </w:rPr>
          <w:instrText xml:space="preserve"> PAGEREF _Toc207195977 \h </w:instrText>
        </w:r>
        <w:r>
          <w:rPr>
            <w:noProof/>
            <w:webHidden/>
          </w:rPr>
        </w:r>
        <w:r>
          <w:rPr>
            <w:noProof/>
            <w:webHidden/>
          </w:rPr>
          <w:fldChar w:fldCharType="separate"/>
        </w:r>
        <w:r w:rsidR="00986A0D">
          <w:rPr>
            <w:noProof/>
            <w:webHidden/>
          </w:rPr>
          <w:t>133</w:t>
        </w:r>
        <w:r>
          <w:rPr>
            <w:noProof/>
            <w:webHidden/>
          </w:rPr>
          <w:fldChar w:fldCharType="end"/>
        </w:r>
      </w:hyperlink>
    </w:p>
    <w:p w14:paraId="78B01A59" w14:textId="3663C3F7"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78" w:history="1">
        <w:r w:rsidRPr="0056325A">
          <w:rPr>
            <w:rStyle w:val="Hyperlink"/>
            <w:noProof/>
          </w:rPr>
          <w:t>6.5.1 Depression</w:t>
        </w:r>
        <w:r>
          <w:rPr>
            <w:noProof/>
            <w:webHidden/>
          </w:rPr>
          <w:tab/>
        </w:r>
        <w:r>
          <w:rPr>
            <w:noProof/>
            <w:webHidden/>
          </w:rPr>
          <w:fldChar w:fldCharType="begin"/>
        </w:r>
        <w:r>
          <w:rPr>
            <w:noProof/>
            <w:webHidden/>
          </w:rPr>
          <w:instrText xml:space="preserve"> PAGEREF _Toc207195978 \h </w:instrText>
        </w:r>
        <w:r>
          <w:rPr>
            <w:noProof/>
            <w:webHidden/>
          </w:rPr>
        </w:r>
        <w:r>
          <w:rPr>
            <w:noProof/>
            <w:webHidden/>
          </w:rPr>
          <w:fldChar w:fldCharType="separate"/>
        </w:r>
        <w:r w:rsidR="00986A0D">
          <w:rPr>
            <w:noProof/>
            <w:webHidden/>
          </w:rPr>
          <w:t>133</w:t>
        </w:r>
        <w:r>
          <w:rPr>
            <w:noProof/>
            <w:webHidden/>
          </w:rPr>
          <w:fldChar w:fldCharType="end"/>
        </w:r>
      </w:hyperlink>
    </w:p>
    <w:p w14:paraId="16EFB86D" w14:textId="6D1A26A7"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79" w:history="1">
        <w:r w:rsidRPr="0056325A">
          <w:rPr>
            <w:rStyle w:val="Hyperlink"/>
            <w:noProof/>
          </w:rPr>
          <w:t>6.5.2 Costs associated with suicide and suicide attempts</w:t>
        </w:r>
        <w:r>
          <w:rPr>
            <w:noProof/>
            <w:webHidden/>
          </w:rPr>
          <w:tab/>
        </w:r>
        <w:r>
          <w:rPr>
            <w:noProof/>
            <w:webHidden/>
          </w:rPr>
          <w:fldChar w:fldCharType="begin"/>
        </w:r>
        <w:r>
          <w:rPr>
            <w:noProof/>
            <w:webHidden/>
          </w:rPr>
          <w:instrText xml:space="preserve"> PAGEREF _Toc207195979 \h </w:instrText>
        </w:r>
        <w:r>
          <w:rPr>
            <w:noProof/>
            <w:webHidden/>
          </w:rPr>
        </w:r>
        <w:r>
          <w:rPr>
            <w:noProof/>
            <w:webHidden/>
          </w:rPr>
          <w:fldChar w:fldCharType="separate"/>
        </w:r>
        <w:r w:rsidR="00986A0D">
          <w:rPr>
            <w:noProof/>
            <w:webHidden/>
          </w:rPr>
          <w:t>136</w:t>
        </w:r>
        <w:r>
          <w:rPr>
            <w:noProof/>
            <w:webHidden/>
          </w:rPr>
          <w:fldChar w:fldCharType="end"/>
        </w:r>
      </w:hyperlink>
    </w:p>
    <w:p w14:paraId="0582FD40" w14:textId="68B98E08"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80" w:history="1">
        <w:r w:rsidRPr="0056325A">
          <w:rPr>
            <w:rStyle w:val="Hyperlink"/>
            <w:noProof/>
          </w:rPr>
          <w:t>6.5.3 Health-related quality of life</w:t>
        </w:r>
        <w:r>
          <w:rPr>
            <w:noProof/>
            <w:webHidden/>
          </w:rPr>
          <w:tab/>
        </w:r>
        <w:r>
          <w:rPr>
            <w:noProof/>
            <w:webHidden/>
          </w:rPr>
          <w:fldChar w:fldCharType="begin"/>
        </w:r>
        <w:r>
          <w:rPr>
            <w:noProof/>
            <w:webHidden/>
          </w:rPr>
          <w:instrText xml:space="preserve"> PAGEREF _Toc207195980 \h </w:instrText>
        </w:r>
        <w:r>
          <w:rPr>
            <w:noProof/>
            <w:webHidden/>
          </w:rPr>
        </w:r>
        <w:r>
          <w:rPr>
            <w:noProof/>
            <w:webHidden/>
          </w:rPr>
          <w:fldChar w:fldCharType="separate"/>
        </w:r>
        <w:r w:rsidR="00986A0D">
          <w:rPr>
            <w:noProof/>
            <w:webHidden/>
          </w:rPr>
          <w:t>147</w:t>
        </w:r>
        <w:r>
          <w:rPr>
            <w:noProof/>
            <w:webHidden/>
          </w:rPr>
          <w:fldChar w:fldCharType="end"/>
        </w:r>
      </w:hyperlink>
    </w:p>
    <w:p w14:paraId="0D3A36F3" w14:textId="759F74D0"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81" w:history="1">
        <w:r w:rsidRPr="0056325A">
          <w:rPr>
            <w:rStyle w:val="Hyperlink"/>
            <w:noProof/>
          </w:rPr>
          <w:t>6.5.4 New Zealand Health System</w:t>
        </w:r>
        <w:r>
          <w:rPr>
            <w:noProof/>
            <w:webHidden/>
          </w:rPr>
          <w:tab/>
        </w:r>
        <w:r>
          <w:rPr>
            <w:noProof/>
            <w:webHidden/>
          </w:rPr>
          <w:fldChar w:fldCharType="begin"/>
        </w:r>
        <w:r>
          <w:rPr>
            <w:noProof/>
            <w:webHidden/>
          </w:rPr>
          <w:instrText xml:space="preserve"> PAGEREF _Toc207195981 \h </w:instrText>
        </w:r>
        <w:r>
          <w:rPr>
            <w:noProof/>
            <w:webHidden/>
          </w:rPr>
        </w:r>
        <w:r>
          <w:rPr>
            <w:noProof/>
            <w:webHidden/>
          </w:rPr>
          <w:fldChar w:fldCharType="separate"/>
        </w:r>
        <w:r w:rsidR="00986A0D">
          <w:rPr>
            <w:noProof/>
            <w:webHidden/>
          </w:rPr>
          <w:t>151</w:t>
        </w:r>
        <w:r>
          <w:rPr>
            <w:noProof/>
            <w:webHidden/>
          </w:rPr>
          <w:fldChar w:fldCharType="end"/>
        </w:r>
      </w:hyperlink>
    </w:p>
    <w:p w14:paraId="0D5AD2AF" w14:textId="554C8CE6"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982" w:history="1">
        <w:r w:rsidRPr="0056325A">
          <w:rPr>
            <w:rStyle w:val="Hyperlink"/>
            <w:noProof/>
          </w:rPr>
          <w:t>6.6 Work or study impacts</w:t>
        </w:r>
        <w:r>
          <w:rPr>
            <w:noProof/>
            <w:webHidden/>
          </w:rPr>
          <w:tab/>
        </w:r>
        <w:r>
          <w:rPr>
            <w:noProof/>
            <w:webHidden/>
          </w:rPr>
          <w:fldChar w:fldCharType="begin"/>
        </w:r>
        <w:r>
          <w:rPr>
            <w:noProof/>
            <w:webHidden/>
          </w:rPr>
          <w:instrText xml:space="preserve"> PAGEREF _Toc207195982 \h </w:instrText>
        </w:r>
        <w:r>
          <w:rPr>
            <w:noProof/>
            <w:webHidden/>
          </w:rPr>
        </w:r>
        <w:r>
          <w:rPr>
            <w:noProof/>
            <w:webHidden/>
          </w:rPr>
          <w:fldChar w:fldCharType="separate"/>
        </w:r>
        <w:r w:rsidR="00986A0D">
          <w:rPr>
            <w:noProof/>
            <w:webHidden/>
          </w:rPr>
          <w:t>153</w:t>
        </w:r>
        <w:r>
          <w:rPr>
            <w:noProof/>
            <w:webHidden/>
          </w:rPr>
          <w:fldChar w:fldCharType="end"/>
        </w:r>
      </w:hyperlink>
    </w:p>
    <w:p w14:paraId="70514535" w14:textId="3F285B0F"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83" w:history="1">
        <w:r w:rsidRPr="0056325A">
          <w:rPr>
            <w:rStyle w:val="Hyperlink"/>
            <w:noProof/>
          </w:rPr>
          <w:t>6.6.1 Productivity loss to business</w:t>
        </w:r>
        <w:r>
          <w:rPr>
            <w:noProof/>
            <w:webHidden/>
          </w:rPr>
          <w:tab/>
        </w:r>
        <w:r>
          <w:rPr>
            <w:noProof/>
            <w:webHidden/>
          </w:rPr>
          <w:fldChar w:fldCharType="begin"/>
        </w:r>
        <w:r>
          <w:rPr>
            <w:noProof/>
            <w:webHidden/>
          </w:rPr>
          <w:instrText xml:space="preserve"> PAGEREF _Toc207195983 \h </w:instrText>
        </w:r>
        <w:r>
          <w:rPr>
            <w:noProof/>
            <w:webHidden/>
          </w:rPr>
        </w:r>
        <w:r>
          <w:rPr>
            <w:noProof/>
            <w:webHidden/>
          </w:rPr>
          <w:fldChar w:fldCharType="separate"/>
        </w:r>
        <w:r w:rsidR="00986A0D">
          <w:rPr>
            <w:noProof/>
            <w:webHidden/>
          </w:rPr>
          <w:t>154</w:t>
        </w:r>
        <w:r>
          <w:rPr>
            <w:noProof/>
            <w:webHidden/>
          </w:rPr>
          <w:fldChar w:fldCharType="end"/>
        </w:r>
      </w:hyperlink>
    </w:p>
    <w:p w14:paraId="78D906F3" w14:textId="3A5D26D5"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84" w:history="1">
        <w:r w:rsidRPr="0056325A">
          <w:rPr>
            <w:rStyle w:val="Hyperlink"/>
            <w:noProof/>
          </w:rPr>
          <w:t>6.6.2 Cost of absenteeism</w:t>
        </w:r>
        <w:r>
          <w:rPr>
            <w:noProof/>
            <w:webHidden/>
          </w:rPr>
          <w:tab/>
        </w:r>
        <w:r>
          <w:rPr>
            <w:noProof/>
            <w:webHidden/>
          </w:rPr>
          <w:fldChar w:fldCharType="begin"/>
        </w:r>
        <w:r>
          <w:rPr>
            <w:noProof/>
            <w:webHidden/>
          </w:rPr>
          <w:instrText xml:space="preserve"> PAGEREF _Toc207195984 \h </w:instrText>
        </w:r>
        <w:r>
          <w:rPr>
            <w:noProof/>
            <w:webHidden/>
          </w:rPr>
        </w:r>
        <w:r>
          <w:rPr>
            <w:noProof/>
            <w:webHidden/>
          </w:rPr>
          <w:fldChar w:fldCharType="separate"/>
        </w:r>
        <w:r w:rsidR="00986A0D">
          <w:rPr>
            <w:noProof/>
            <w:webHidden/>
          </w:rPr>
          <w:t>157</w:t>
        </w:r>
        <w:r>
          <w:rPr>
            <w:noProof/>
            <w:webHidden/>
          </w:rPr>
          <w:fldChar w:fldCharType="end"/>
        </w:r>
      </w:hyperlink>
    </w:p>
    <w:p w14:paraId="38EC8C7E" w14:textId="7204ABEE"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85" w:history="1">
        <w:r w:rsidRPr="0056325A">
          <w:rPr>
            <w:rStyle w:val="Hyperlink"/>
            <w:noProof/>
          </w:rPr>
          <w:t>6.6.3 Cost of job loss</w:t>
        </w:r>
        <w:r>
          <w:rPr>
            <w:noProof/>
            <w:webHidden/>
          </w:rPr>
          <w:tab/>
        </w:r>
        <w:r>
          <w:rPr>
            <w:noProof/>
            <w:webHidden/>
          </w:rPr>
          <w:fldChar w:fldCharType="begin"/>
        </w:r>
        <w:r>
          <w:rPr>
            <w:noProof/>
            <w:webHidden/>
          </w:rPr>
          <w:instrText xml:space="preserve"> PAGEREF _Toc207195985 \h </w:instrText>
        </w:r>
        <w:r>
          <w:rPr>
            <w:noProof/>
            <w:webHidden/>
          </w:rPr>
        </w:r>
        <w:r>
          <w:rPr>
            <w:noProof/>
            <w:webHidden/>
          </w:rPr>
          <w:fldChar w:fldCharType="separate"/>
        </w:r>
        <w:r w:rsidR="00986A0D">
          <w:rPr>
            <w:noProof/>
            <w:webHidden/>
          </w:rPr>
          <w:t>158</w:t>
        </w:r>
        <w:r>
          <w:rPr>
            <w:noProof/>
            <w:webHidden/>
          </w:rPr>
          <w:fldChar w:fldCharType="end"/>
        </w:r>
      </w:hyperlink>
    </w:p>
    <w:p w14:paraId="65D68D1F" w14:textId="7766C38D"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986" w:history="1">
        <w:r w:rsidRPr="0056325A">
          <w:rPr>
            <w:rStyle w:val="Hyperlink"/>
            <w:noProof/>
          </w:rPr>
          <w:t>6.7 Criminal activity</w:t>
        </w:r>
        <w:r>
          <w:rPr>
            <w:noProof/>
            <w:webHidden/>
          </w:rPr>
          <w:tab/>
        </w:r>
        <w:r>
          <w:rPr>
            <w:noProof/>
            <w:webHidden/>
          </w:rPr>
          <w:fldChar w:fldCharType="begin"/>
        </w:r>
        <w:r>
          <w:rPr>
            <w:noProof/>
            <w:webHidden/>
          </w:rPr>
          <w:instrText xml:space="preserve"> PAGEREF _Toc207195986 \h </w:instrText>
        </w:r>
        <w:r>
          <w:rPr>
            <w:noProof/>
            <w:webHidden/>
          </w:rPr>
        </w:r>
        <w:r>
          <w:rPr>
            <w:noProof/>
            <w:webHidden/>
          </w:rPr>
          <w:fldChar w:fldCharType="separate"/>
        </w:r>
        <w:r w:rsidR="00986A0D">
          <w:rPr>
            <w:noProof/>
            <w:webHidden/>
          </w:rPr>
          <w:t>162</w:t>
        </w:r>
        <w:r>
          <w:rPr>
            <w:noProof/>
            <w:webHidden/>
          </w:rPr>
          <w:fldChar w:fldCharType="end"/>
        </w:r>
      </w:hyperlink>
    </w:p>
    <w:p w14:paraId="72F0C5CF" w14:textId="49238433"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87" w:history="1">
        <w:r w:rsidRPr="0056325A">
          <w:rPr>
            <w:rStyle w:val="Hyperlink"/>
            <w:noProof/>
          </w:rPr>
          <w:t>6.7.1 Costs to the New Zealand Justice system</w:t>
        </w:r>
        <w:r>
          <w:rPr>
            <w:noProof/>
            <w:webHidden/>
          </w:rPr>
          <w:tab/>
        </w:r>
        <w:r>
          <w:rPr>
            <w:noProof/>
            <w:webHidden/>
          </w:rPr>
          <w:fldChar w:fldCharType="begin"/>
        </w:r>
        <w:r>
          <w:rPr>
            <w:noProof/>
            <w:webHidden/>
          </w:rPr>
          <w:instrText xml:space="preserve"> PAGEREF _Toc207195987 \h </w:instrText>
        </w:r>
        <w:r>
          <w:rPr>
            <w:noProof/>
            <w:webHidden/>
          </w:rPr>
        </w:r>
        <w:r>
          <w:rPr>
            <w:noProof/>
            <w:webHidden/>
          </w:rPr>
          <w:fldChar w:fldCharType="separate"/>
        </w:r>
        <w:r w:rsidR="00986A0D">
          <w:rPr>
            <w:noProof/>
            <w:webHidden/>
          </w:rPr>
          <w:t>163</w:t>
        </w:r>
        <w:r>
          <w:rPr>
            <w:noProof/>
            <w:webHidden/>
          </w:rPr>
          <w:fldChar w:fldCharType="end"/>
        </w:r>
      </w:hyperlink>
    </w:p>
    <w:p w14:paraId="19E19774" w14:textId="1A21C22B"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988" w:history="1">
        <w:r w:rsidRPr="0056325A">
          <w:rPr>
            <w:rStyle w:val="Hyperlink"/>
            <w:noProof/>
          </w:rPr>
          <w:t>6.8 Legacy harm</w:t>
        </w:r>
        <w:r>
          <w:rPr>
            <w:noProof/>
            <w:webHidden/>
          </w:rPr>
          <w:tab/>
        </w:r>
        <w:r>
          <w:rPr>
            <w:noProof/>
            <w:webHidden/>
          </w:rPr>
          <w:fldChar w:fldCharType="begin"/>
        </w:r>
        <w:r>
          <w:rPr>
            <w:noProof/>
            <w:webHidden/>
          </w:rPr>
          <w:instrText xml:space="preserve"> PAGEREF _Toc207195988 \h </w:instrText>
        </w:r>
        <w:r>
          <w:rPr>
            <w:noProof/>
            <w:webHidden/>
          </w:rPr>
        </w:r>
        <w:r>
          <w:rPr>
            <w:noProof/>
            <w:webHidden/>
          </w:rPr>
          <w:fldChar w:fldCharType="separate"/>
        </w:r>
        <w:r w:rsidR="00986A0D">
          <w:rPr>
            <w:noProof/>
            <w:webHidden/>
          </w:rPr>
          <w:t>172</w:t>
        </w:r>
        <w:r>
          <w:rPr>
            <w:noProof/>
            <w:webHidden/>
          </w:rPr>
          <w:fldChar w:fldCharType="end"/>
        </w:r>
      </w:hyperlink>
    </w:p>
    <w:p w14:paraId="7E7BFD5A" w14:textId="5DBC0131"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89" w:history="1">
        <w:r w:rsidRPr="0056325A">
          <w:rPr>
            <w:rStyle w:val="Hyperlink"/>
            <w:noProof/>
          </w:rPr>
          <w:t>6.8.1 Homelessness</w:t>
        </w:r>
        <w:r>
          <w:rPr>
            <w:noProof/>
            <w:webHidden/>
          </w:rPr>
          <w:tab/>
        </w:r>
        <w:r>
          <w:rPr>
            <w:noProof/>
            <w:webHidden/>
          </w:rPr>
          <w:fldChar w:fldCharType="begin"/>
        </w:r>
        <w:r>
          <w:rPr>
            <w:noProof/>
            <w:webHidden/>
          </w:rPr>
          <w:instrText xml:space="preserve"> PAGEREF _Toc207195989 \h </w:instrText>
        </w:r>
        <w:r>
          <w:rPr>
            <w:noProof/>
            <w:webHidden/>
          </w:rPr>
        </w:r>
        <w:r>
          <w:rPr>
            <w:noProof/>
            <w:webHidden/>
          </w:rPr>
          <w:fldChar w:fldCharType="separate"/>
        </w:r>
        <w:r w:rsidR="00986A0D">
          <w:rPr>
            <w:noProof/>
            <w:webHidden/>
          </w:rPr>
          <w:t>172</w:t>
        </w:r>
        <w:r>
          <w:rPr>
            <w:noProof/>
            <w:webHidden/>
          </w:rPr>
          <w:fldChar w:fldCharType="end"/>
        </w:r>
      </w:hyperlink>
    </w:p>
    <w:p w14:paraId="75B35915" w14:textId="5DE9DA42"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990" w:history="1">
        <w:r w:rsidRPr="0056325A">
          <w:rPr>
            <w:rStyle w:val="Hyperlink"/>
            <w:noProof/>
          </w:rPr>
          <w:t>6.9 Other Government or community costs</w:t>
        </w:r>
        <w:r>
          <w:rPr>
            <w:noProof/>
            <w:webHidden/>
          </w:rPr>
          <w:tab/>
        </w:r>
        <w:r>
          <w:rPr>
            <w:noProof/>
            <w:webHidden/>
          </w:rPr>
          <w:fldChar w:fldCharType="begin"/>
        </w:r>
        <w:r>
          <w:rPr>
            <w:noProof/>
            <w:webHidden/>
          </w:rPr>
          <w:instrText xml:space="preserve"> PAGEREF _Toc207195990 \h </w:instrText>
        </w:r>
        <w:r>
          <w:rPr>
            <w:noProof/>
            <w:webHidden/>
          </w:rPr>
        </w:r>
        <w:r>
          <w:rPr>
            <w:noProof/>
            <w:webHidden/>
          </w:rPr>
          <w:fldChar w:fldCharType="separate"/>
        </w:r>
        <w:r w:rsidR="00986A0D">
          <w:rPr>
            <w:noProof/>
            <w:webHidden/>
          </w:rPr>
          <w:t>174</w:t>
        </w:r>
        <w:r>
          <w:rPr>
            <w:noProof/>
            <w:webHidden/>
          </w:rPr>
          <w:fldChar w:fldCharType="end"/>
        </w:r>
      </w:hyperlink>
    </w:p>
    <w:p w14:paraId="7C6D7057" w14:textId="11D51C9A"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91" w:history="1">
        <w:r w:rsidRPr="0056325A">
          <w:rPr>
            <w:rStyle w:val="Hyperlink"/>
            <w:noProof/>
          </w:rPr>
          <w:t>6.9.1 Policy, regulation, research (including treatment funding)</w:t>
        </w:r>
        <w:r>
          <w:rPr>
            <w:noProof/>
            <w:webHidden/>
          </w:rPr>
          <w:tab/>
        </w:r>
        <w:r>
          <w:rPr>
            <w:noProof/>
            <w:webHidden/>
          </w:rPr>
          <w:fldChar w:fldCharType="begin"/>
        </w:r>
        <w:r>
          <w:rPr>
            <w:noProof/>
            <w:webHidden/>
          </w:rPr>
          <w:instrText xml:space="preserve"> PAGEREF _Toc207195991 \h </w:instrText>
        </w:r>
        <w:r>
          <w:rPr>
            <w:noProof/>
            <w:webHidden/>
          </w:rPr>
        </w:r>
        <w:r>
          <w:rPr>
            <w:noProof/>
            <w:webHidden/>
          </w:rPr>
          <w:fldChar w:fldCharType="separate"/>
        </w:r>
        <w:r w:rsidR="00986A0D">
          <w:rPr>
            <w:noProof/>
            <w:webHidden/>
          </w:rPr>
          <w:t>174</w:t>
        </w:r>
        <w:r>
          <w:rPr>
            <w:noProof/>
            <w:webHidden/>
          </w:rPr>
          <w:fldChar w:fldCharType="end"/>
        </w:r>
      </w:hyperlink>
    </w:p>
    <w:p w14:paraId="0D7BA13C" w14:textId="306C5E5F"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92" w:history="1">
        <w:r w:rsidRPr="0056325A">
          <w:rPr>
            <w:rStyle w:val="Hyperlink"/>
            <w:noProof/>
          </w:rPr>
          <w:t>6.9.2 Non-profit service delivery</w:t>
        </w:r>
        <w:r>
          <w:rPr>
            <w:noProof/>
            <w:webHidden/>
          </w:rPr>
          <w:tab/>
        </w:r>
        <w:r>
          <w:rPr>
            <w:noProof/>
            <w:webHidden/>
          </w:rPr>
          <w:fldChar w:fldCharType="begin"/>
        </w:r>
        <w:r>
          <w:rPr>
            <w:noProof/>
            <w:webHidden/>
          </w:rPr>
          <w:instrText xml:space="preserve"> PAGEREF _Toc207195992 \h </w:instrText>
        </w:r>
        <w:r>
          <w:rPr>
            <w:noProof/>
            <w:webHidden/>
          </w:rPr>
        </w:r>
        <w:r>
          <w:rPr>
            <w:noProof/>
            <w:webHidden/>
          </w:rPr>
          <w:fldChar w:fldCharType="separate"/>
        </w:r>
        <w:r w:rsidR="00986A0D">
          <w:rPr>
            <w:noProof/>
            <w:webHidden/>
          </w:rPr>
          <w:t>177</w:t>
        </w:r>
        <w:r>
          <w:rPr>
            <w:noProof/>
            <w:webHidden/>
          </w:rPr>
          <w:fldChar w:fldCharType="end"/>
        </w:r>
      </w:hyperlink>
    </w:p>
    <w:p w14:paraId="5AE5365D" w14:textId="03BEC8C1" w:rsidR="00E916B3" w:rsidRDefault="00E916B3" w:rsidP="007473EA">
      <w:pPr>
        <w:pStyle w:val="TOC1"/>
        <w:spacing w:after="0" w:line="276" w:lineRule="auto"/>
        <w:rPr>
          <w:rFonts w:asciiTheme="minorHAnsi" w:eastAsiaTheme="minorEastAsia" w:hAnsiTheme="minorHAnsi" w:cstheme="minorBidi"/>
          <w:noProof/>
          <w:kern w:val="2"/>
          <w14:ligatures w14:val="standardContextual"/>
        </w:rPr>
      </w:pPr>
      <w:hyperlink w:anchor="_Toc207195993" w:history="1">
        <w:r w:rsidRPr="0056325A">
          <w:rPr>
            <w:rStyle w:val="Hyperlink"/>
            <w:noProof/>
          </w:rPr>
          <w:t>Chapter 7: Evaluation of policy options</w:t>
        </w:r>
        <w:r>
          <w:rPr>
            <w:noProof/>
            <w:webHidden/>
          </w:rPr>
          <w:tab/>
        </w:r>
        <w:r>
          <w:rPr>
            <w:noProof/>
            <w:webHidden/>
          </w:rPr>
          <w:fldChar w:fldCharType="begin"/>
        </w:r>
        <w:r>
          <w:rPr>
            <w:noProof/>
            <w:webHidden/>
          </w:rPr>
          <w:instrText xml:space="preserve"> PAGEREF _Toc207195993 \h </w:instrText>
        </w:r>
        <w:r>
          <w:rPr>
            <w:noProof/>
            <w:webHidden/>
          </w:rPr>
        </w:r>
        <w:r>
          <w:rPr>
            <w:noProof/>
            <w:webHidden/>
          </w:rPr>
          <w:fldChar w:fldCharType="separate"/>
        </w:r>
        <w:r w:rsidR="00986A0D">
          <w:rPr>
            <w:noProof/>
            <w:webHidden/>
          </w:rPr>
          <w:t>180</w:t>
        </w:r>
        <w:r>
          <w:rPr>
            <w:noProof/>
            <w:webHidden/>
          </w:rPr>
          <w:fldChar w:fldCharType="end"/>
        </w:r>
      </w:hyperlink>
    </w:p>
    <w:p w14:paraId="26637723" w14:textId="3656E005"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994" w:history="1">
        <w:r w:rsidRPr="0056325A">
          <w:rPr>
            <w:rStyle w:val="Hyperlink"/>
            <w:noProof/>
          </w:rPr>
          <w:t>7.1 Policy 1: A ban on offshore online EGMs</w:t>
        </w:r>
        <w:r>
          <w:rPr>
            <w:noProof/>
            <w:webHidden/>
          </w:rPr>
          <w:tab/>
        </w:r>
        <w:r>
          <w:rPr>
            <w:noProof/>
            <w:webHidden/>
          </w:rPr>
          <w:fldChar w:fldCharType="begin"/>
        </w:r>
        <w:r>
          <w:rPr>
            <w:noProof/>
            <w:webHidden/>
          </w:rPr>
          <w:instrText xml:space="preserve"> PAGEREF _Toc207195994 \h </w:instrText>
        </w:r>
        <w:r>
          <w:rPr>
            <w:noProof/>
            <w:webHidden/>
          </w:rPr>
        </w:r>
        <w:r>
          <w:rPr>
            <w:noProof/>
            <w:webHidden/>
          </w:rPr>
          <w:fldChar w:fldCharType="separate"/>
        </w:r>
        <w:r w:rsidR="00986A0D">
          <w:rPr>
            <w:noProof/>
            <w:webHidden/>
          </w:rPr>
          <w:t>181</w:t>
        </w:r>
        <w:r>
          <w:rPr>
            <w:noProof/>
            <w:webHidden/>
          </w:rPr>
          <w:fldChar w:fldCharType="end"/>
        </w:r>
      </w:hyperlink>
    </w:p>
    <w:p w14:paraId="50DE3C07" w14:textId="7AF4E667"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95" w:history="1">
        <w:r w:rsidRPr="0056325A">
          <w:rPr>
            <w:rStyle w:val="Hyperlink"/>
            <w:noProof/>
          </w:rPr>
          <w:t>7.1.1 Introduction</w:t>
        </w:r>
        <w:r>
          <w:rPr>
            <w:noProof/>
            <w:webHidden/>
          </w:rPr>
          <w:tab/>
        </w:r>
        <w:r>
          <w:rPr>
            <w:noProof/>
            <w:webHidden/>
          </w:rPr>
          <w:fldChar w:fldCharType="begin"/>
        </w:r>
        <w:r>
          <w:rPr>
            <w:noProof/>
            <w:webHidden/>
          </w:rPr>
          <w:instrText xml:space="preserve"> PAGEREF _Toc207195995 \h </w:instrText>
        </w:r>
        <w:r>
          <w:rPr>
            <w:noProof/>
            <w:webHidden/>
          </w:rPr>
        </w:r>
        <w:r>
          <w:rPr>
            <w:noProof/>
            <w:webHidden/>
          </w:rPr>
          <w:fldChar w:fldCharType="separate"/>
        </w:r>
        <w:r w:rsidR="00986A0D">
          <w:rPr>
            <w:noProof/>
            <w:webHidden/>
          </w:rPr>
          <w:t>181</w:t>
        </w:r>
        <w:r>
          <w:rPr>
            <w:noProof/>
            <w:webHidden/>
          </w:rPr>
          <w:fldChar w:fldCharType="end"/>
        </w:r>
      </w:hyperlink>
    </w:p>
    <w:p w14:paraId="78B1A8DD" w14:textId="6106FD5B"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96" w:history="1">
        <w:r w:rsidRPr="0056325A">
          <w:rPr>
            <w:rStyle w:val="Hyperlink"/>
            <w:noProof/>
          </w:rPr>
          <w:t>7.1.2 Methods</w:t>
        </w:r>
        <w:r>
          <w:rPr>
            <w:noProof/>
            <w:webHidden/>
          </w:rPr>
          <w:tab/>
        </w:r>
        <w:r>
          <w:rPr>
            <w:noProof/>
            <w:webHidden/>
          </w:rPr>
          <w:fldChar w:fldCharType="begin"/>
        </w:r>
        <w:r>
          <w:rPr>
            <w:noProof/>
            <w:webHidden/>
          </w:rPr>
          <w:instrText xml:space="preserve"> PAGEREF _Toc207195996 \h </w:instrText>
        </w:r>
        <w:r>
          <w:rPr>
            <w:noProof/>
            <w:webHidden/>
          </w:rPr>
        </w:r>
        <w:r>
          <w:rPr>
            <w:noProof/>
            <w:webHidden/>
          </w:rPr>
          <w:fldChar w:fldCharType="separate"/>
        </w:r>
        <w:r w:rsidR="00986A0D">
          <w:rPr>
            <w:noProof/>
            <w:webHidden/>
          </w:rPr>
          <w:t>181</w:t>
        </w:r>
        <w:r>
          <w:rPr>
            <w:noProof/>
            <w:webHidden/>
          </w:rPr>
          <w:fldChar w:fldCharType="end"/>
        </w:r>
      </w:hyperlink>
    </w:p>
    <w:p w14:paraId="52A81BB2" w14:textId="08EDFA26"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97" w:history="1">
        <w:r w:rsidRPr="0056325A">
          <w:rPr>
            <w:rStyle w:val="Hyperlink"/>
            <w:noProof/>
          </w:rPr>
          <w:t>7.1.3 Results</w:t>
        </w:r>
        <w:r>
          <w:rPr>
            <w:noProof/>
            <w:webHidden/>
          </w:rPr>
          <w:tab/>
        </w:r>
        <w:r>
          <w:rPr>
            <w:noProof/>
            <w:webHidden/>
          </w:rPr>
          <w:fldChar w:fldCharType="begin"/>
        </w:r>
        <w:r>
          <w:rPr>
            <w:noProof/>
            <w:webHidden/>
          </w:rPr>
          <w:instrText xml:space="preserve"> PAGEREF _Toc207195997 \h </w:instrText>
        </w:r>
        <w:r>
          <w:rPr>
            <w:noProof/>
            <w:webHidden/>
          </w:rPr>
        </w:r>
        <w:r>
          <w:rPr>
            <w:noProof/>
            <w:webHidden/>
          </w:rPr>
          <w:fldChar w:fldCharType="separate"/>
        </w:r>
        <w:r w:rsidR="00986A0D">
          <w:rPr>
            <w:noProof/>
            <w:webHidden/>
          </w:rPr>
          <w:t>182</w:t>
        </w:r>
        <w:r>
          <w:rPr>
            <w:noProof/>
            <w:webHidden/>
          </w:rPr>
          <w:fldChar w:fldCharType="end"/>
        </w:r>
      </w:hyperlink>
    </w:p>
    <w:p w14:paraId="163B6DC8" w14:textId="36CBEDF1"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5998" w:history="1">
        <w:r w:rsidRPr="0056325A">
          <w:rPr>
            <w:rStyle w:val="Hyperlink"/>
            <w:noProof/>
          </w:rPr>
          <w:t>7.2 Policy 2: The introduction of loss limits on in-person EGMs</w:t>
        </w:r>
        <w:r>
          <w:rPr>
            <w:noProof/>
            <w:webHidden/>
          </w:rPr>
          <w:tab/>
        </w:r>
        <w:r>
          <w:rPr>
            <w:noProof/>
            <w:webHidden/>
          </w:rPr>
          <w:fldChar w:fldCharType="begin"/>
        </w:r>
        <w:r>
          <w:rPr>
            <w:noProof/>
            <w:webHidden/>
          </w:rPr>
          <w:instrText xml:space="preserve"> PAGEREF _Toc207195998 \h </w:instrText>
        </w:r>
        <w:r>
          <w:rPr>
            <w:noProof/>
            <w:webHidden/>
          </w:rPr>
        </w:r>
        <w:r>
          <w:rPr>
            <w:noProof/>
            <w:webHidden/>
          </w:rPr>
          <w:fldChar w:fldCharType="separate"/>
        </w:r>
        <w:r w:rsidR="00986A0D">
          <w:rPr>
            <w:noProof/>
            <w:webHidden/>
          </w:rPr>
          <w:t>182</w:t>
        </w:r>
        <w:r>
          <w:rPr>
            <w:noProof/>
            <w:webHidden/>
          </w:rPr>
          <w:fldChar w:fldCharType="end"/>
        </w:r>
      </w:hyperlink>
    </w:p>
    <w:p w14:paraId="00EF5DA3" w14:textId="7C04733A"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5999" w:history="1">
        <w:r w:rsidRPr="0056325A">
          <w:rPr>
            <w:rStyle w:val="Hyperlink"/>
            <w:noProof/>
          </w:rPr>
          <w:t>7.2.1 Introduction</w:t>
        </w:r>
        <w:r>
          <w:rPr>
            <w:noProof/>
            <w:webHidden/>
          </w:rPr>
          <w:tab/>
        </w:r>
        <w:r>
          <w:rPr>
            <w:noProof/>
            <w:webHidden/>
          </w:rPr>
          <w:fldChar w:fldCharType="begin"/>
        </w:r>
        <w:r>
          <w:rPr>
            <w:noProof/>
            <w:webHidden/>
          </w:rPr>
          <w:instrText xml:space="preserve"> PAGEREF _Toc207195999 \h </w:instrText>
        </w:r>
        <w:r>
          <w:rPr>
            <w:noProof/>
            <w:webHidden/>
          </w:rPr>
        </w:r>
        <w:r>
          <w:rPr>
            <w:noProof/>
            <w:webHidden/>
          </w:rPr>
          <w:fldChar w:fldCharType="separate"/>
        </w:r>
        <w:r w:rsidR="00986A0D">
          <w:rPr>
            <w:noProof/>
            <w:webHidden/>
          </w:rPr>
          <w:t>182</w:t>
        </w:r>
        <w:r>
          <w:rPr>
            <w:noProof/>
            <w:webHidden/>
          </w:rPr>
          <w:fldChar w:fldCharType="end"/>
        </w:r>
      </w:hyperlink>
    </w:p>
    <w:p w14:paraId="79E7F0BB" w14:textId="7681B558"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6000" w:history="1">
        <w:r w:rsidRPr="0056325A">
          <w:rPr>
            <w:rStyle w:val="Hyperlink"/>
            <w:noProof/>
          </w:rPr>
          <w:t>7.2.2 Methods</w:t>
        </w:r>
        <w:r>
          <w:rPr>
            <w:noProof/>
            <w:webHidden/>
          </w:rPr>
          <w:tab/>
        </w:r>
        <w:r>
          <w:rPr>
            <w:noProof/>
            <w:webHidden/>
          </w:rPr>
          <w:fldChar w:fldCharType="begin"/>
        </w:r>
        <w:r>
          <w:rPr>
            <w:noProof/>
            <w:webHidden/>
          </w:rPr>
          <w:instrText xml:space="preserve"> PAGEREF _Toc207196000 \h </w:instrText>
        </w:r>
        <w:r>
          <w:rPr>
            <w:noProof/>
            <w:webHidden/>
          </w:rPr>
        </w:r>
        <w:r>
          <w:rPr>
            <w:noProof/>
            <w:webHidden/>
          </w:rPr>
          <w:fldChar w:fldCharType="separate"/>
        </w:r>
        <w:r w:rsidR="00986A0D">
          <w:rPr>
            <w:noProof/>
            <w:webHidden/>
          </w:rPr>
          <w:t>183</w:t>
        </w:r>
        <w:r>
          <w:rPr>
            <w:noProof/>
            <w:webHidden/>
          </w:rPr>
          <w:fldChar w:fldCharType="end"/>
        </w:r>
      </w:hyperlink>
    </w:p>
    <w:p w14:paraId="520B30D1" w14:textId="354B02D8"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6001" w:history="1">
        <w:r w:rsidRPr="0056325A">
          <w:rPr>
            <w:rStyle w:val="Hyperlink"/>
            <w:noProof/>
          </w:rPr>
          <w:t>7.2.3 Results</w:t>
        </w:r>
        <w:r>
          <w:rPr>
            <w:noProof/>
            <w:webHidden/>
          </w:rPr>
          <w:tab/>
        </w:r>
        <w:r>
          <w:rPr>
            <w:noProof/>
            <w:webHidden/>
          </w:rPr>
          <w:fldChar w:fldCharType="begin"/>
        </w:r>
        <w:r>
          <w:rPr>
            <w:noProof/>
            <w:webHidden/>
          </w:rPr>
          <w:instrText xml:space="preserve"> PAGEREF _Toc207196001 \h </w:instrText>
        </w:r>
        <w:r>
          <w:rPr>
            <w:noProof/>
            <w:webHidden/>
          </w:rPr>
        </w:r>
        <w:r>
          <w:rPr>
            <w:noProof/>
            <w:webHidden/>
          </w:rPr>
          <w:fldChar w:fldCharType="separate"/>
        </w:r>
        <w:r w:rsidR="00986A0D">
          <w:rPr>
            <w:noProof/>
            <w:webHidden/>
          </w:rPr>
          <w:t>185</w:t>
        </w:r>
        <w:r>
          <w:rPr>
            <w:noProof/>
            <w:webHidden/>
          </w:rPr>
          <w:fldChar w:fldCharType="end"/>
        </w:r>
      </w:hyperlink>
    </w:p>
    <w:p w14:paraId="125CA31C" w14:textId="68FF8AA0"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6002" w:history="1">
        <w:r w:rsidRPr="0056325A">
          <w:rPr>
            <w:rStyle w:val="Hyperlink"/>
            <w:noProof/>
          </w:rPr>
          <w:t>7.3 Policy 3: Reducing the accessibility of in-person EGMs</w:t>
        </w:r>
        <w:r>
          <w:rPr>
            <w:noProof/>
            <w:webHidden/>
          </w:rPr>
          <w:tab/>
        </w:r>
        <w:r>
          <w:rPr>
            <w:noProof/>
            <w:webHidden/>
          </w:rPr>
          <w:fldChar w:fldCharType="begin"/>
        </w:r>
        <w:r>
          <w:rPr>
            <w:noProof/>
            <w:webHidden/>
          </w:rPr>
          <w:instrText xml:space="preserve"> PAGEREF _Toc207196002 \h </w:instrText>
        </w:r>
        <w:r>
          <w:rPr>
            <w:noProof/>
            <w:webHidden/>
          </w:rPr>
        </w:r>
        <w:r>
          <w:rPr>
            <w:noProof/>
            <w:webHidden/>
          </w:rPr>
          <w:fldChar w:fldCharType="separate"/>
        </w:r>
        <w:r w:rsidR="00986A0D">
          <w:rPr>
            <w:noProof/>
            <w:webHidden/>
          </w:rPr>
          <w:t>188</w:t>
        </w:r>
        <w:r>
          <w:rPr>
            <w:noProof/>
            <w:webHidden/>
          </w:rPr>
          <w:fldChar w:fldCharType="end"/>
        </w:r>
      </w:hyperlink>
    </w:p>
    <w:p w14:paraId="06EA3334" w14:textId="66867BCD"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6003" w:history="1">
        <w:r w:rsidRPr="0056325A">
          <w:rPr>
            <w:rStyle w:val="Hyperlink"/>
            <w:noProof/>
          </w:rPr>
          <w:t>7.3.1 Introduction</w:t>
        </w:r>
        <w:r>
          <w:rPr>
            <w:noProof/>
            <w:webHidden/>
          </w:rPr>
          <w:tab/>
        </w:r>
        <w:r>
          <w:rPr>
            <w:noProof/>
            <w:webHidden/>
          </w:rPr>
          <w:fldChar w:fldCharType="begin"/>
        </w:r>
        <w:r>
          <w:rPr>
            <w:noProof/>
            <w:webHidden/>
          </w:rPr>
          <w:instrText xml:space="preserve"> PAGEREF _Toc207196003 \h </w:instrText>
        </w:r>
        <w:r>
          <w:rPr>
            <w:noProof/>
            <w:webHidden/>
          </w:rPr>
        </w:r>
        <w:r>
          <w:rPr>
            <w:noProof/>
            <w:webHidden/>
          </w:rPr>
          <w:fldChar w:fldCharType="separate"/>
        </w:r>
        <w:r w:rsidR="00986A0D">
          <w:rPr>
            <w:noProof/>
            <w:webHidden/>
          </w:rPr>
          <w:t>188</w:t>
        </w:r>
        <w:r>
          <w:rPr>
            <w:noProof/>
            <w:webHidden/>
          </w:rPr>
          <w:fldChar w:fldCharType="end"/>
        </w:r>
      </w:hyperlink>
    </w:p>
    <w:p w14:paraId="61BB170C" w14:textId="5B6CAF9F"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6004" w:history="1">
        <w:r w:rsidRPr="0056325A">
          <w:rPr>
            <w:rStyle w:val="Hyperlink"/>
            <w:noProof/>
          </w:rPr>
          <w:t>7.3.2 Methods</w:t>
        </w:r>
        <w:r>
          <w:rPr>
            <w:noProof/>
            <w:webHidden/>
          </w:rPr>
          <w:tab/>
        </w:r>
        <w:r>
          <w:rPr>
            <w:noProof/>
            <w:webHidden/>
          </w:rPr>
          <w:fldChar w:fldCharType="begin"/>
        </w:r>
        <w:r>
          <w:rPr>
            <w:noProof/>
            <w:webHidden/>
          </w:rPr>
          <w:instrText xml:space="preserve"> PAGEREF _Toc207196004 \h </w:instrText>
        </w:r>
        <w:r>
          <w:rPr>
            <w:noProof/>
            <w:webHidden/>
          </w:rPr>
        </w:r>
        <w:r>
          <w:rPr>
            <w:noProof/>
            <w:webHidden/>
          </w:rPr>
          <w:fldChar w:fldCharType="separate"/>
        </w:r>
        <w:r w:rsidR="00986A0D">
          <w:rPr>
            <w:noProof/>
            <w:webHidden/>
          </w:rPr>
          <w:t>189</w:t>
        </w:r>
        <w:r>
          <w:rPr>
            <w:noProof/>
            <w:webHidden/>
          </w:rPr>
          <w:fldChar w:fldCharType="end"/>
        </w:r>
      </w:hyperlink>
    </w:p>
    <w:p w14:paraId="61701A4C" w14:textId="29F04FB7"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6005" w:history="1">
        <w:r w:rsidRPr="0056325A">
          <w:rPr>
            <w:rStyle w:val="Hyperlink"/>
            <w:noProof/>
          </w:rPr>
          <w:t>7.3.3 Results</w:t>
        </w:r>
        <w:r>
          <w:rPr>
            <w:noProof/>
            <w:webHidden/>
          </w:rPr>
          <w:tab/>
        </w:r>
        <w:r>
          <w:rPr>
            <w:noProof/>
            <w:webHidden/>
          </w:rPr>
          <w:fldChar w:fldCharType="begin"/>
        </w:r>
        <w:r>
          <w:rPr>
            <w:noProof/>
            <w:webHidden/>
          </w:rPr>
          <w:instrText xml:space="preserve"> PAGEREF _Toc207196005 \h </w:instrText>
        </w:r>
        <w:r>
          <w:rPr>
            <w:noProof/>
            <w:webHidden/>
          </w:rPr>
        </w:r>
        <w:r>
          <w:rPr>
            <w:noProof/>
            <w:webHidden/>
          </w:rPr>
          <w:fldChar w:fldCharType="separate"/>
        </w:r>
        <w:r w:rsidR="00986A0D">
          <w:rPr>
            <w:noProof/>
            <w:webHidden/>
          </w:rPr>
          <w:t>189</w:t>
        </w:r>
        <w:r>
          <w:rPr>
            <w:noProof/>
            <w:webHidden/>
          </w:rPr>
          <w:fldChar w:fldCharType="end"/>
        </w:r>
      </w:hyperlink>
    </w:p>
    <w:p w14:paraId="24ADC7E1" w14:textId="13BDB370"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6006" w:history="1">
        <w:r w:rsidRPr="0056325A">
          <w:rPr>
            <w:rStyle w:val="Hyperlink"/>
            <w:noProof/>
          </w:rPr>
          <w:t>7.4 Policy 4: A sinking-lid policy to reduce the number of in-person EGMs</w:t>
        </w:r>
        <w:r>
          <w:rPr>
            <w:noProof/>
            <w:webHidden/>
          </w:rPr>
          <w:tab/>
        </w:r>
        <w:r>
          <w:rPr>
            <w:noProof/>
            <w:webHidden/>
          </w:rPr>
          <w:fldChar w:fldCharType="begin"/>
        </w:r>
        <w:r>
          <w:rPr>
            <w:noProof/>
            <w:webHidden/>
          </w:rPr>
          <w:instrText xml:space="preserve"> PAGEREF _Toc207196006 \h </w:instrText>
        </w:r>
        <w:r>
          <w:rPr>
            <w:noProof/>
            <w:webHidden/>
          </w:rPr>
        </w:r>
        <w:r>
          <w:rPr>
            <w:noProof/>
            <w:webHidden/>
          </w:rPr>
          <w:fldChar w:fldCharType="separate"/>
        </w:r>
        <w:r w:rsidR="00986A0D">
          <w:rPr>
            <w:noProof/>
            <w:webHidden/>
          </w:rPr>
          <w:t>190</w:t>
        </w:r>
        <w:r>
          <w:rPr>
            <w:noProof/>
            <w:webHidden/>
          </w:rPr>
          <w:fldChar w:fldCharType="end"/>
        </w:r>
      </w:hyperlink>
    </w:p>
    <w:p w14:paraId="39D9B64A" w14:textId="1349A3A5"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6007" w:history="1">
        <w:r w:rsidRPr="0056325A">
          <w:rPr>
            <w:rStyle w:val="Hyperlink"/>
            <w:noProof/>
          </w:rPr>
          <w:t>7.4.1 Introduction</w:t>
        </w:r>
        <w:r>
          <w:rPr>
            <w:noProof/>
            <w:webHidden/>
          </w:rPr>
          <w:tab/>
        </w:r>
        <w:r>
          <w:rPr>
            <w:noProof/>
            <w:webHidden/>
          </w:rPr>
          <w:fldChar w:fldCharType="begin"/>
        </w:r>
        <w:r>
          <w:rPr>
            <w:noProof/>
            <w:webHidden/>
          </w:rPr>
          <w:instrText xml:space="preserve"> PAGEREF _Toc207196007 \h </w:instrText>
        </w:r>
        <w:r>
          <w:rPr>
            <w:noProof/>
            <w:webHidden/>
          </w:rPr>
        </w:r>
        <w:r>
          <w:rPr>
            <w:noProof/>
            <w:webHidden/>
          </w:rPr>
          <w:fldChar w:fldCharType="separate"/>
        </w:r>
        <w:r w:rsidR="00986A0D">
          <w:rPr>
            <w:noProof/>
            <w:webHidden/>
          </w:rPr>
          <w:t>190</w:t>
        </w:r>
        <w:r>
          <w:rPr>
            <w:noProof/>
            <w:webHidden/>
          </w:rPr>
          <w:fldChar w:fldCharType="end"/>
        </w:r>
      </w:hyperlink>
    </w:p>
    <w:p w14:paraId="70330D85" w14:textId="44C27BFF"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6008" w:history="1">
        <w:r w:rsidRPr="0056325A">
          <w:rPr>
            <w:rStyle w:val="Hyperlink"/>
            <w:noProof/>
          </w:rPr>
          <w:t>7.4.2 Methods</w:t>
        </w:r>
        <w:r>
          <w:rPr>
            <w:noProof/>
            <w:webHidden/>
          </w:rPr>
          <w:tab/>
        </w:r>
        <w:r>
          <w:rPr>
            <w:noProof/>
            <w:webHidden/>
          </w:rPr>
          <w:fldChar w:fldCharType="begin"/>
        </w:r>
        <w:r>
          <w:rPr>
            <w:noProof/>
            <w:webHidden/>
          </w:rPr>
          <w:instrText xml:space="preserve"> PAGEREF _Toc207196008 \h </w:instrText>
        </w:r>
        <w:r>
          <w:rPr>
            <w:noProof/>
            <w:webHidden/>
          </w:rPr>
        </w:r>
        <w:r>
          <w:rPr>
            <w:noProof/>
            <w:webHidden/>
          </w:rPr>
          <w:fldChar w:fldCharType="separate"/>
        </w:r>
        <w:r w:rsidR="00986A0D">
          <w:rPr>
            <w:noProof/>
            <w:webHidden/>
          </w:rPr>
          <w:t>191</w:t>
        </w:r>
        <w:r>
          <w:rPr>
            <w:noProof/>
            <w:webHidden/>
          </w:rPr>
          <w:fldChar w:fldCharType="end"/>
        </w:r>
      </w:hyperlink>
    </w:p>
    <w:p w14:paraId="719AA2F2" w14:textId="482670E9"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6009" w:history="1">
        <w:r w:rsidRPr="0056325A">
          <w:rPr>
            <w:rStyle w:val="Hyperlink"/>
            <w:noProof/>
          </w:rPr>
          <w:t>7.4.3 Results</w:t>
        </w:r>
        <w:r>
          <w:rPr>
            <w:noProof/>
            <w:webHidden/>
          </w:rPr>
          <w:tab/>
        </w:r>
        <w:r>
          <w:rPr>
            <w:noProof/>
            <w:webHidden/>
          </w:rPr>
          <w:fldChar w:fldCharType="begin"/>
        </w:r>
        <w:r>
          <w:rPr>
            <w:noProof/>
            <w:webHidden/>
          </w:rPr>
          <w:instrText xml:space="preserve"> PAGEREF _Toc207196009 \h </w:instrText>
        </w:r>
        <w:r>
          <w:rPr>
            <w:noProof/>
            <w:webHidden/>
          </w:rPr>
        </w:r>
        <w:r>
          <w:rPr>
            <w:noProof/>
            <w:webHidden/>
          </w:rPr>
          <w:fldChar w:fldCharType="separate"/>
        </w:r>
        <w:r w:rsidR="00986A0D">
          <w:rPr>
            <w:noProof/>
            <w:webHidden/>
          </w:rPr>
          <w:t>191</w:t>
        </w:r>
        <w:r>
          <w:rPr>
            <w:noProof/>
            <w:webHidden/>
          </w:rPr>
          <w:fldChar w:fldCharType="end"/>
        </w:r>
      </w:hyperlink>
    </w:p>
    <w:p w14:paraId="546A12E0" w14:textId="3CA3B978"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6010" w:history="1">
        <w:r w:rsidRPr="0056325A">
          <w:rPr>
            <w:rStyle w:val="Hyperlink"/>
            <w:noProof/>
          </w:rPr>
          <w:t>7.5 Policy 5: Increase in treatment for those at highest risk of harm</w:t>
        </w:r>
        <w:r>
          <w:rPr>
            <w:noProof/>
            <w:webHidden/>
          </w:rPr>
          <w:tab/>
        </w:r>
        <w:r>
          <w:rPr>
            <w:noProof/>
            <w:webHidden/>
          </w:rPr>
          <w:fldChar w:fldCharType="begin"/>
        </w:r>
        <w:r>
          <w:rPr>
            <w:noProof/>
            <w:webHidden/>
          </w:rPr>
          <w:instrText xml:space="preserve"> PAGEREF _Toc207196010 \h </w:instrText>
        </w:r>
        <w:r>
          <w:rPr>
            <w:noProof/>
            <w:webHidden/>
          </w:rPr>
        </w:r>
        <w:r>
          <w:rPr>
            <w:noProof/>
            <w:webHidden/>
          </w:rPr>
          <w:fldChar w:fldCharType="separate"/>
        </w:r>
        <w:r w:rsidR="00986A0D">
          <w:rPr>
            <w:noProof/>
            <w:webHidden/>
          </w:rPr>
          <w:t>193</w:t>
        </w:r>
        <w:r>
          <w:rPr>
            <w:noProof/>
            <w:webHidden/>
          </w:rPr>
          <w:fldChar w:fldCharType="end"/>
        </w:r>
      </w:hyperlink>
    </w:p>
    <w:p w14:paraId="04630A0C" w14:textId="06F0A6B4"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6011" w:history="1">
        <w:r w:rsidRPr="0056325A">
          <w:rPr>
            <w:rStyle w:val="Hyperlink"/>
            <w:noProof/>
          </w:rPr>
          <w:t>7.5.1 Introduction</w:t>
        </w:r>
        <w:r>
          <w:rPr>
            <w:noProof/>
            <w:webHidden/>
          </w:rPr>
          <w:tab/>
        </w:r>
        <w:r>
          <w:rPr>
            <w:noProof/>
            <w:webHidden/>
          </w:rPr>
          <w:fldChar w:fldCharType="begin"/>
        </w:r>
        <w:r>
          <w:rPr>
            <w:noProof/>
            <w:webHidden/>
          </w:rPr>
          <w:instrText xml:space="preserve"> PAGEREF _Toc207196011 \h </w:instrText>
        </w:r>
        <w:r>
          <w:rPr>
            <w:noProof/>
            <w:webHidden/>
          </w:rPr>
        </w:r>
        <w:r>
          <w:rPr>
            <w:noProof/>
            <w:webHidden/>
          </w:rPr>
          <w:fldChar w:fldCharType="separate"/>
        </w:r>
        <w:r w:rsidR="00986A0D">
          <w:rPr>
            <w:noProof/>
            <w:webHidden/>
          </w:rPr>
          <w:t>193</w:t>
        </w:r>
        <w:r>
          <w:rPr>
            <w:noProof/>
            <w:webHidden/>
          </w:rPr>
          <w:fldChar w:fldCharType="end"/>
        </w:r>
      </w:hyperlink>
    </w:p>
    <w:p w14:paraId="66852CB3" w14:textId="12721BA3"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6012" w:history="1">
        <w:r w:rsidRPr="0056325A">
          <w:rPr>
            <w:rStyle w:val="Hyperlink"/>
            <w:noProof/>
          </w:rPr>
          <w:t>7.5.2 Methods</w:t>
        </w:r>
        <w:r>
          <w:rPr>
            <w:noProof/>
            <w:webHidden/>
          </w:rPr>
          <w:tab/>
        </w:r>
        <w:r>
          <w:rPr>
            <w:noProof/>
            <w:webHidden/>
          </w:rPr>
          <w:fldChar w:fldCharType="begin"/>
        </w:r>
        <w:r>
          <w:rPr>
            <w:noProof/>
            <w:webHidden/>
          </w:rPr>
          <w:instrText xml:space="preserve"> PAGEREF _Toc207196012 \h </w:instrText>
        </w:r>
        <w:r>
          <w:rPr>
            <w:noProof/>
            <w:webHidden/>
          </w:rPr>
        </w:r>
        <w:r>
          <w:rPr>
            <w:noProof/>
            <w:webHidden/>
          </w:rPr>
          <w:fldChar w:fldCharType="separate"/>
        </w:r>
        <w:r w:rsidR="00986A0D">
          <w:rPr>
            <w:noProof/>
            <w:webHidden/>
          </w:rPr>
          <w:t>193</w:t>
        </w:r>
        <w:r>
          <w:rPr>
            <w:noProof/>
            <w:webHidden/>
          </w:rPr>
          <w:fldChar w:fldCharType="end"/>
        </w:r>
      </w:hyperlink>
    </w:p>
    <w:p w14:paraId="1E10ADAA" w14:textId="2E35F614"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6013" w:history="1">
        <w:r w:rsidRPr="0056325A">
          <w:rPr>
            <w:rStyle w:val="Hyperlink"/>
            <w:noProof/>
          </w:rPr>
          <w:t>7.5.3 Results</w:t>
        </w:r>
        <w:r>
          <w:rPr>
            <w:noProof/>
            <w:webHidden/>
          </w:rPr>
          <w:tab/>
        </w:r>
        <w:r>
          <w:rPr>
            <w:noProof/>
            <w:webHidden/>
          </w:rPr>
          <w:fldChar w:fldCharType="begin"/>
        </w:r>
        <w:r>
          <w:rPr>
            <w:noProof/>
            <w:webHidden/>
          </w:rPr>
          <w:instrText xml:space="preserve"> PAGEREF _Toc207196013 \h </w:instrText>
        </w:r>
        <w:r>
          <w:rPr>
            <w:noProof/>
            <w:webHidden/>
          </w:rPr>
        </w:r>
        <w:r>
          <w:rPr>
            <w:noProof/>
            <w:webHidden/>
          </w:rPr>
          <w:fldChar w:fldCharType="separate"/>
        </w:r>
        <w:r w:rsidR="00986A0D">
          <w:rPr>
            <w:noProof/>
            <w:webHidden/>
          </w:rPr>
          <w:t>196</w:t>
        </w:r>
        <w:r>
          <w:rPr>
            <w:noProof/>
            <w:webHidden/>
          </w:rPr>
          <w:fldChar w:fldCharType="end"/>
        </w:r>
      </w:hyperlink>
    </w:p>
    <w:p w14:paraId="00E3160C" w14:textId="07AA3E9E"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6014" w:history="1">
        <w:r w:rsidRPr="0056325A">
          <w:rPr>
            <w:rStyle w:val="Hyperlink"/>
            <w:noProof/>
          </w:rPr>
          <w:t>7.6 Strengths and limitations of the evaluation of policy option evaluation</w:t>
        </w:r>
        <w:r>
          <w:rPr>
            <w:noProof/>
            <w:webHidden/>
          </w:rPr>
          <w:tab/>
        </w:r>
        <w:r>
          <w:rPr>
            <w:noProof/>
            <w:webHidden/>
          </w:rPr>
          <w:fldChar w:fldCharType="begin"/>
        </w:r>
        <w:r>
          <w:rPr>
            <w:noProof/>
            <w:webHidden/>
          </w:rPr>
          <w:instrText xml:space="preserve"> PAGEREF _Toc207196014 \h </w:instrText>
        </w:r>
        <w:r>
          <w:rPr>
            <w:noProof/>
            <w:webHidden/>
          </w:rPr>
        </w:r>
        <w:r>
          <w:rPr>
            <w:noProof/>
            <w:webHidden/>
          </w:rPr>
          <w:fldChar w:fldCharType="separate"/>
        </w:r>
        <w:r w:rsidR="00986A0D">
          <w:rPr>
            <w:noProof/>
            <w:webHidden/>
          </w:rPr>
          <w:t>199</w:t>
        </w:r>
        <w:r>
          <w:rPr>
            <w:noProof/>
            <w:webHidden/>
          </w:rPr>
          <w:fldChar w:fldCharType="end"/>
        </w:r>
      </w:hyperlink>
    </w:p>
    <w:p w14:paraId="22D1822F" w14:textId="02F10C86" w:rsidR="00E916B3" w:rsidRDefault="00E916B3" w:rsidP="007473EA">
      <w:pPr>
        <w:pStyle w:val="TOC1"/>
        <w:spacing w:after="0" w:line="276" w:lineRule="auto"/>
        <w:rPr>
          <w:rFonts w:asciiTheme="minorHAnsi" w:eastAsiaTheme="minorEastAsia" w:hAnsiTheme="minorHAnsi" w:cstheme="minorBidi"/>
          <w:noProof/>
          <w:kern w:val="2"/>
          <w14:ligatures w14:val="standardContextual"/>
        </w:rPr>
      </w:pPr>
      <w:hyperlink w:anchor="_Toc207196015" w:history="1">
        <w:r w:rsidRPr="0056325A">
          <w:rPr>
            <w:rStyle w:val="Hyperlink"/>
            <w:noProof/>
          </w:rPr>
          <w:t>Chapter 8: Discussion</w:t>
        </w:r>
        <w:r>
          <w:rPr>
            <w:noProof/>
            <w:webHidden/>
          </w:rPr>
          <w:tab/>
        </w:r>
        <w:r>
          <w:rPr>
            <w:noProof/>
            <w:webHidden/>
          </w:rPr>
          <w:fldChar w:fldCharType="begin"/>
        </w:r>
        <w:r>
          <w:rPr>
            <w:noProof/>
            <w:webHidden/>
          </w:rPr>
          <w:instrText xml:space="preserve"> PAGEREF _Toc207196015 \h </w:instrText>
        </w:r>
        <w:r>
          <w:rPr>
            <w:noProof/>
            <w:webHidden/>
          </w:rPr>
        </w:r>
        <w:r>
          <w:rPr>
            <w:noProof/>
            <w:webHidden/>
          </w:rPr>
          <w:fldChar w:fldCharType="separate"/>
        </w:r>
        <w:r w:rsidR="00986A0D">
          <w:rPr>
            <w:noProof/>
            <w:webHidden/>
          </w:rPr>
          <w:t>200</w:t>
        </w:r>
        <w:r>
          <w:rPr>
            <w:noProof/>
            <w:webHidden/>
          </w:rPr>
          <w:fldChar w:fldCharType="end"/>
        </w:r>
      </w:hyperlink>
    </w:p>
    <w:p w14:paraId="5A7C04EA" w14:textId="448A41C4"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6016" w:history="1">
        <w:r w:rsidRPr="0056325A">
          <w:rPr>
            <w:rStyle w:val="Hyperlink"/>
            <w:noProof/>
          </w:rPr>
          <w:t>8.1 Key cost drivers</w:t>
        </w:r>
        <w:r>
          <w:rPr>
            <w:noProof/>
            <w:webHidden/>
          </w:rPr>
          <w:tab/>
        </w:r>
        <w:r>
          <w:rPr>
            <w:noProof/>
            <w:webHidden/>
          </w:rPr>
          <w:fldChar w:fldCharType="begin"/>
        </w:r>
        <w:r>
          <w:rPr>
            <w:noProof/>
            <w:webHidden/>
          </w:rPr>
          <w:instrText xml:space="preserve"> PAGEREF _Toc207196016 \h </w:instrText>
        </w:r>
        <w:r>
          <w:rPr>
            <w:noProof/>
            <w:webHidden/>
          </w:rPr>
        </w:r>
        <w:r>
          <w:rPr>
            <w:noProof/>
            <w:webHidden/>
          </w:rPr>
          <w:fldChar w:fldCharType="separate"/>
        </w:r>
        <w:r w:rsidR="00986A0D">
          <w:rPr>
            <w:noProof/>
            <w:webHidden/>
          </w:rPr>
          <w:t>200</w:t>
        </w:r>
        <w:r>
          <w:rPr>
            <w:noProof/>
            <w:webHidden/>
          </w:rPr>
          <w:fldChar w:fldCharType="end"/>
        </w:r>
      </w:hyperlink>
    </w:p>
    <w:p w14:paraId="62D5610E" w14:textId="45D464A7"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6017" w:history="1">
        <w:r w:rsidRPr="0056325A">
          <w:rPr>
            <w:rStyle w:val="Hyperlink"/>
            <w:noProof/>
          </w:rPr>
          <w:t>8.2 Distribution of costs</w:t>
        </w:r>
        <w:r>
          <w:rPr>
            <w:noProof/>
            <w:webHidden/>
          </w:rPr>
          <w:tab/>
        </w:r>
        <w:r>
          <w:rPr>
            <w:noProof/>
            <w:webHidden/>
          </w:rPr>
          <w:fldChar w:fldCharType="begin"/>
        </w:r>
        <w:r>
          <w:rPr>
            <w:noProof/>
            <w:webHidden/>
          </w:rPr>
          <w:instrText xml:space="preserve"> PAGEREF _Toc207196017 \h </w:instrText>
        </w:r>
        <w:r>
          <w:rPr>
            <w:noProof/>
            <w:webHidden/>
          </w:rPr>
        </w:r>
        <w:r>
          <w:rPr>
            <w:noProof/>
            <w:webHidden/>
          </w:rPr>
          <w:fldChar w:fldCharType="separate"/>
        </w:r>
        <w:r w:rsidR="00986A0D">
          <w:rPr>
            <w:noProof/>
            <w:webHidden/>
          </w:rPr>
          <w:t>201</w:t>
        </w:r>
        <w:r>
          <w:rPr>
            <w:noProof/>
            <w:webHidden/>
          </w:rPr>
          <w:fldChar w:fldCharType="end"/>
        </w:r>
      </w:hyperlink>
    </w:p>
    <w:p w14:paraId="2EF948BA" w14:textId="5A27A49E"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6018" w:history="1">
        <w:r w:rsidRPr="0056325A">
          <w:rPr>
            <w:rStyle w:val="Hyperlink"/>
            <w:noProof/>
          </w:rPr>
          <w:t>8.3 Methodological considerations &amp; limitations</w:t>
        </w:r>
        <w:r>
          <w:rPr>
            <w:noProof/>
            <w:webHidden/>
          </w:rPr>
          <w:tab/>
        </w:r>
        <w:r>
          <w:rPr>
            <w:noProof/>
            <w:webHidden/>
          </w:rPr>
          <w:fldChar w:fldCharType="begin"/>
        </w:r>
        <w:r>
          <w:rPr>
            <w:noProof/>
            <w:webHidden/>
          </w:rPr>
          <w:instrText xml:space="preserve"> PAGEREF _Toc207196018 \h </w:instrText>
        </w:r>
        <w:r>
          <w:rPr>
            <w:noProof/>
            <w:webHidden/>
          </w:rPr>
        </w:r>
        <w:r>
          <w:rPr>
            <w:noProof/>
            <w:webHidden/>
          </w:rPr>
          <w:fldChar w:fldCharType="separate"/>
        </w:r>
        <w:r w:rsidR="00986A0D">
          <w:rPr>
            <w:noProof/>
            <w:webHidden/>
          </w:rPr>
          <w:t>202</w:t>
        </w:r>
        <w:r>
          <w:rPr>
            <w:noProof/>
            <w:webHidden/>
          </w:rPr>
          <w:fldChar w:fldCharType="end"/>
        </w:r>
      </w:hyperlink>
    </w:p>
    <w:p w14:paraId="2C67DDF7" w14:textId="63CE5D3A"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6019" w:history="1">
        <w:r w:rsidRPr="0056325A">
          <w:rPr>
            <w:rStyle w:val="Hyperlink"/>
            <w:noProof/>
          </w:rPr>
          <w:t>8.4 Contextual comparisons</w:t>
        </w:r>
        <w:r>
          <w:rPr>
            <w:noProof/>
            <w:webHidden/>
          </w:rPr>
          <w:tab/>
        </w:r>
        <w:r>
          <w:rPr>
            <w:noProof/>
            <w:webHidden/>
          </w:rPr>
          <w:fldChar w:fldCharType="begin"/>
        </w:r>
        <w:r>
          <w:rPr>
            <w:noProof/>
            <w:webHidden/>
          </w:rPr>
          <w:instrText xml:space="preserve"> PAGEREF _Toc207196019 \h </w:instrText>
        </w:r>
        <w:r>
          <w:rPr>
            <w:noProof/>
            <w:webHidden/>
          </w:rPr>
        </w:r>
        <w:r>
          <w:rPr>
            <w:noProof/>
            <w:webHidden/>
          </w:rPr>
          <w:fldChar w:fldCharType="separate"/>
        </w:r>
        <w:r w:rsidR="00986A0D">
          <w:rPr>
            <w:noProof/>
            <w:webHidden/>
          </w:rPr>
          <w:t>205</w:t>
        </w:r>
        <w:r>
          <w:rPr>
            <w:noProof/>
            <w:webHidden/>
          </w:rPr>
          <w:fldChar w:fldCharType="end"/>
        </w:r>
      </w:hyperlink>
    </w:p>
    <w:p w14:paraId="27BB10C4" w14:textId="1DBD53CD"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6020" w:history="1">
        <w:r w:rsidRPr="0056325A">
          <w:rPr>
            <w:rStyle w:val="Hyperlink"/>
            <w:noProof/>
          </w:rPr>
          <w:t>8.4.1 Different prevalence patterns</w:t>
        </w:r>
        <w:r>
          <w:rPr>
            <w:noProof/>
            <w:webHidden/>
          </w:rPr>
          <w:tab/>
        </w:r>
        <w:r>
          <w:rPr>
            <w:noProof/>
            <w:webHidden/>
          </w:rPr>
          <w:fldChar w:fldCharType="begin"/>
        </w:r>
        <w:r>
          <w:rPr>
            <w:noProof/>
            <w:webHidden/>
          </w:rPr>
          <w:instrText xml:space="preserve"> PAGEREF _Toc207196020 \h </w:instrText>
        </w:r>
        <w:r>
          <w:rPr>
            <w:noProof/>
            <w:webHidden/>
          </w:rPr>
        </w:r>
        <w:r>
          <w:rPr>
            <w:noProof/>
            <w:webHidden/>
          </w:rPr>
          <w:fldChar w:fldCharType="separate"/>
        </w:r>
        <w:r w:rsidR="00986A0D">
          <w:rPr>
            <w:noProof/>
            <w:webHidden/>
          </w:rPr>
          <w:t>205</w:t>
        </w:r>
        <w:r>
          <w:rPr>
            <w:noProof/>
            <w:webHidden/>
          </w:rPr>
          <w:fldChar w:fldCharType="end"/>
        </w:r>
      </w:hyperlink>
    </w:p>
    <w:p w14:paraId="4E7F0658" w14:textId="0B786275"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6021" w:history="1">
        <w:r w:rsidRPr="0056325A">
          <w:rPr>
            <w:rStyle w:val="Hyperlink"/>
            <w:noProof/>
          </w:rPr>
          <w:t>8.4.2 Total social costs and market size</w:t>
        </w:r>
        <w:r>
          <w:rPr>
            <w:noProof/>
            <w:webHidden/>
          </w:rPr>
          <w:tab/>
        </w:r>
        <w:r>
          <w:rPr>
            <w:noProof/>
            <w:webHidden/>
          </w:rPr>
          <w:fldChar w:fldCharType="begin"/>
        </w:r>
        <w:r>
          <w:rPr>
            <w:noProof/>
            <w:webHidden/>
          </w:rPr>
          <w:instrText xml:space="preserve"> PAGEREF _Toc207196021 \h </w:instrText>
        </w:r>
        <w:r>
          <w:rPr>
            <w:noProof/>
            <w:webHidden/>
          </w:rPr>
        </w:r>
        <w:r>
          <w:rPr>
            <w:noProof/>
            <w:webHidden/>
          </w:rPr>
          <w:fldChar w:fldCharType="separate"/>
        </w:r>
        <w:r w:rsidR="00986A0D">
          <w:rPr>
            <w:noProof/>
            <w:webHidden/>
          </w:rPr>
          <w:t>206</w:t>
        </w:r>
        <w:r>
          <w:rPr>
            <w:noProof/>
            <w:webHidden/>
          </w:rPr>
          <w:fldChar w:fldCharType="end"/>
        </w:r>
      </w:hyperlink>
    </w:p>
    <w:p w14:paraId="7A234152" w14:textId="27368763"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6022" w:history="1">
        <w:r w:rsidRPr="0056325A">
          <w:rPr>
            <w:rStyle w:val="Hyperlink"/>
            <w:noProof/>
          </w:rPr>
          <w:t>8.4.3 Structural differences in EGM markets</w:t>
        </w:r>
        <w:r>
          <w:rPr>
            <w:noProof/>
            <w:webHidden/>
          </w:rPr>
          <w:tab/>
        </w:r>
        <w:r>
          <w:rPr>
            <w:noProof/>
            <w:webHidden/>
          </w:rPr>
          <w:fldChar w:fldCharType="begin"/>
        </w:r>
        <w:r>
          <w:rPr>
            <w:noProof/>
            <w:webHidden/>
          </w:rPr>
          <w:instrText xml:space="preserve"> PAGEREF _Toc207196022 \h </w:instrText>
        </w:r>
        <w:r>
          <w:rPr>
            <w:noProof/>
            <w:webHidden/>
          </w:rPr>
        </w:r>
        <w:r>
          <w:rPr>
            <w:noProof/>
            <w:webHidden/>
          </w:rPr>
          <w:fldChar w:fldCharType="separate"/>
        </w:r>
        <w:r w:rsidR="00986A0D">
          <w:rPr>
            <w:noProof/>
            <w:webHidden/>
          </w:rPr>
          <w:t>206</w:t>
        </w:r>
        <w:r>
          <w:rPr>
            <w:noProof/>
            <w:webHidden/>
          </w:rPr>
          <w:fldChar w:fldCharType="end"/>
        </w:r>
      </w:hyperlink>
    </w:p>
    <w:p w14:paraId="358DE173" w14:textId="3451BF3A" w:rsidR="00E916B3" w:rsidRDefault="00E916B3" w:rsidP="007473EA">
      <w:pPr>
        <w:pStyle w:val="TOC2"/>
        <w:tabs>
          <w:tab w:val="right" w:leader="dot" w:pos="9317"/>
        </w:tabs>
        <w:spacing w:after="0" w:line="276" w:lineRule="auto"/>
        <w:rPr>
          <w:rFonts w:asciiTheme="minorHAnsi" w:eastAsiaTheme="minorEastAsia" w:hAnsiTheme="minorHAnsi" w:cstheme="minorBidi"/>
          <w:noProof/>
          <w:kern w:val="2"/>
          <w14:ligatures w14:val="standardContextual"/>
        </w:rPr>
      </w:pPr>
      <w:hyperlink w:anchor="_Toc207196023" w:history="1">
        <w:r w:rsidRPr="0056325A">
          <w:rPr>
            <w:rStyle w:val="Hyperlink"/>
            <w:noProof/>
          </w:rPr>
          <w:t>8.5 Conclusions</w:t>
        </w:r>
        <w:r>
          <w:rPr>
            <w:noProof/>
            <w:webHidden/>
          </w:rPr>
          <w:tab/>
        </w:r>
        <w:r>
          <w:rPr>
            <w:noProof/>
            <w:webHidden/>
          </w:rPr>
          <w:fldChar w:fldCharType="begin"/>
        </w:r>
        <w:r>
          <w:rPr>
            <w:noProof/>
            <w:webHidden/>
          </w:rPr>
          <w:instrText xml:space="preserve"> PAGEREF _Toc207196023 \h </w:instrText>
        </w:r>
        <w:r>
          <w:rPr>
            <w:noProof/>
            <w:webHidden/>
          </w:rPr>
        </w:r>
        <w:r>
          <w:rPr>
            <w:noProof/>
            <w:webHidden/>
          </w:rPr>
          <w:fldChar w:fldCharType="separate"/>
        </w:r>
        <w:r w:rsidR="00986A0D">
          <w:rPr>
            <w:noProof/>
            <w:webHidden/>
          </w:rPr>
          <w:t>207</w:t>
        </w:r>
        <w:r>
          <w:rPr>
            <w:noProof/>
            <w:webHidden/>
          </w:rPr>
          <w:fldChar w:fldCharType="end"/>
        </w:r>
      </w:hyperlink>
    </w:p>
    <w:p w14:paraId="1F0EB998" w14:textId="58B62D34" w:rsidR="00E916B3" w:rsidRDefault="00E916B3" w:rsidP="007473EA">
      <w:pPr>
        <w:pStyle w:val="TOC3"/>
        <w:spacing w:after="0" w:line="276" w:lineRule="auto"/>
        <w:rPr>
          <w:rFonts w:asciiTheme="minorHAnsi" w:eastAsiaTheme="minorEastAsia" w:hAnsiTheme="minorHAnsi" w:cstheme="minorBidi"/>
          <w:noProof/>
          <w:kern w:val="2"/>
          <w14:ligatures w14:val="standardContextual"/>
        </w:rPr>
      </w:pPr>
      <w:hyperlink w:anchor="_Toc207196024" w:history="1">
        <w:r w:rsidRPr="0056325A">
          <w:rPr>
            <w:rStyle w:val="Hyperlink"/>
            <w:noProof/>
          </w:rPr>
          <w:t>8.5.1 Implications for policy and harm minimisation</w:t>
        </w:r>
        <w:r>
          <w:rPr>
            <w:noProof/>
            <w:webHidden/>
          </w:rPr>
          <w:tab/>
        </w:r>
        <w:r>
          <w:rPr>
            <w:noProof/>
            <w:webHidden/>
          </w:rPr>
          <w:fldChar w:fldCharType="begin"/>
        </w:r>
        <w:r>
          <w:rPr>
            <w:noProof/>
            <w:webHidden/>
          </w:rPr>
          <w:instrText xml:space="preserve"> PAGEREF _Toc207196024 \h </w:instrText>
        </w:r>
        <w:r>
          <w:rPr>
            <w:noProof/>
            <w:webHidden/>
          </w:rPr>
        </w:r>
        <w:r>
          <w:rPr>
            <w:noProof/>
            <w:webHidden/>
          </w:rPr>
          <w:fldChar w:fldCharType="separate"/>
        </w:r>
        <w:r w:rsidR="00986A0D">
          <w:rPr>
            <w:noProof/>
            <w:webHidden/>
          </w:rPr>
          <w:t>207</w:t>
        </w:r>
        <w:r>
          <w:rPr>
            <w:noProof/>
            <w:webHidden/>
          </w:rPr>
          <w:fldChar w:fldCharType="end"/>
        </w:r>
      </w:hyperlink>
    </w:p>
    <w:p w14:paraId="12F2B445" w14:textId="22DD1AFC" w:rsidR="00E916B3" w:rsidRDefault="00E916B3" w:rsidP="007473EA">
      <w:pPr>
        <w:pStyle w:val="TOC1"/>
        <w:spacing w:after="0" w:line="276" w:lineRule="auto"/>
        <w:rPr>
          <w:rFonts w:asciiTheme="minorHAnsi" w:eastAsiaTheme="minorEastAsia" w:hAnsiTheme="minorHAnsi" w:cstheme="minorBidi"/>
          <w:noProof/>
          <w:kern w:val="2"/>
          <w14:ligatures w14:val="standardContextual"/>
        </w:rPr>
      </w:pPr>
      <w:hyperlink w:anchor="_Toc207196025" w:history="1">
        <w:r w:rsidRPr="0056325A">
          <w:rPr>
            <w:rStyle w:val="Hyperlink"/>
            <w:noProof/>
          </w:rPr>
          <w:t>Chapter 9: References</w:t>
        </w:r>
        <w:r>
          <w:rPr>
            <w:noProof/>
            <w:webHidden/>
          </w:rPr>
          <w:tab/>
        </w:r>
        <w:r>
          <w:rPr>
            <w:noProof/>
            <w:webHidden/>
          </w:rPr>
          <w:fldChar w:fldCharType="begin"/>
        </w:r>
        <w:r>
          <w:rPr>
            <w:noProof/>
            <w:webHidden/>
          </w:rPr>
          <w:instrText xml:space="preserve"> PAGEREF _Toc207196025 \h </w:instrText>
        </w:r>
        <w:r>
          <w:rPr>
            <w:noProof/>
            <w:webHidden/>
          </w:rPr>
        </w:r>
        <w:r>
          <w:rPr>
            <w:noProof/>
            <w:webHidden/>
          </w:rPr>
          <w:fldChar w:fldCharType="separate"/>
        </w:r>
        <w:r w:rsidR="00986A0D">
          <w:rPr>
            <w:noProof/>
            <w:webHidden/>
          </w:rPr>
          <w:t>212</w:t>
        </w:r>
        <w:r>
          <w:rPr>
            <w:noProof/>
            <w:webHidden/>
          </w:rPr>
          <w:fldChar w:fldCharType="end"/>
        </w:r>
      </w:hyperlink>
    </w:p>
    <w:p w14:paraId="39FD9101" w14:textId="03FA6973" w:rsidR="00DB689D" w:rsidRDefault="00523B7E" w:rsidP="007473EA">
      <w:pPr>
        <w:spacing w:line="276" w:lineRule="auto"/>
      </w:pPr>
      <w:r>
        <w:fldChar w:fldCharType="end"/>
      </w:r>
    </w:p>
    <w:p w14:paraId="5918AFD1" w14:textId="77777777" w:rsidR="0038398B" w:rsidRDefault="0038398B" w:rsidP="00367A8D">
      <w:pPr>
        <w:spacing w:line="360" w:lineRule="auto"/>
        <w:rPr>
          <w:sz w:val="40"/>
          <w:szCs w:val="40"/>
        </w:rPr>
      </w:pPr>
      <w:bookmarkStart w:id="3" w:name="_t1b4kypujq8q" w:colFirst="0" w:colLast="0"/>
      <w:bookmarkEnd w:id="3"/>
      <w:r>
        <w:br w:type="page"/>
      </w:r>
    </w:p>
    <w:p w14:paraId="12A53408" w14:textId="42ADAC96" w:rsidR="00DB689D" w:rsidRPr="0038398B" w:rsidRDefault="00310A10" w:rsidP="00523B7E">
      <w:pPr>
        <w:pStyle w:val="Heading1notnumbered"/>
      </w:pPr>
      <w:bookmarkStart w:id="4" w:name="_Toc207195867"/>
      <w:r w:rsidRPr="0038398B">
        <w:t xml:space="preserve">Table of </w:t>
      </w:r>
      <w:r w:rsidR="00E06C93">
        <w:t>t</w:t>
      </w:r>
      <w:r w:rsidR="00E06C93" w:rsidRPr="0038398B">
        <w:t>ables</w:t>
      </w:r>
      <w:bookmarkEnd w:id="4"/>
      <w:r w:rsidR="00E06C93" w:rsidRPr="0038398B">
        <w:t xml:space="preserve"> </w:t>
      </w:r>
    </w:p>
    <w:bookmarkStart w:id="5" w:name="_9v32o79kokyi" w:colFirst="0" w:colLast="0"/>
    <w:bookmarkStart w:id="6" w:name="_k5kyhb65m26v" w:colFirst="0" w:colLast="0"/>
    <w:bookmarkEnd w:id="5"/>
    <w:bookmarkEnd w:id="6"/>
    <w:p w14:paraId="4AE20332" w14:textId="1395FB61" w:rsidR="00447491" w:rsidRDefault="003043E5">
      <w:pPr>
        <w:pStyle w:val="TableofFigures"/>
        <w:tabs>
          <w:tab w:val="right" w:leader="dot" w:pos="9317"/>
        </w:tabs>
        <w:rPr>
          <w:rFonts w:asciiTheme="minorHAnsi" w:eastAsiaTheme="minorEastAsia" w:hAnsiTheme="minorHAnsi" w:cstheme="minorBidi"/>
          <w:noProof/>
          <w:kern w:val="2"/>
          <w14:ligatures w14:val="standardContextual"/>
        </w:rPr>
      </w:pPr>
      <w:r>
        <w:fldChar w:fldCharType="begin"/>
      </w:r>
      <w:r>
        <w:instrText xml:space="preserve"> TOC \h \z \c "Table" </w:instrText>
      </w:r>
      <w:r>
        <w:fldChar w:fldCharType="separate"/>
      </w:r>
      <w:hyperlink w:anchor="_Toc207619043" w:history="1">
        <w:r w:rsidR="00447491" w:rsidRPr="00014809">
          <w:rPr>
            <w:rStyle w:val="Hyperlink"/>
            <w:noProof/>
          </w:rPr>
          <w:t>Table 1 Table of themes and subthemes</w:t>
        </w:r>
        <w:r w:rsidR="00447491">
          <w:rPr>
            <w:noProof/>
            <w:webHidden/>
          </w:rPr>
          <w:tab/>
        </w:r>
        <w:r w:rsidR="00447491">
          <w:rPr>
            <w:noProof/>
            <w:webHidden/>
          </w:rPr>
          <w:fldChar w:fldCharType="begin"/>
        </w:r>
        <w:r w:rsidR="00447491">
          <w:rPr>
            <w:noProof/>
            <w:webHidden/>
          </w:rPr>
          <w:instrText xml:space="preserve"> PAGEREF _Toc207619043 \h </w:instrText>
        </w:r>
        <w:r w:rsidR="00447491">
          <w:rPr>
            <w:noProof/>
            <w:webHidden/>
          </w:rPr>
        </w:r>
        <w:r w:rsidR="00447491">
          <w:rPr>
            <w:noProof/>
            <w:webHidden/>
          </w:rPr>
          <w:fldChar w:fldCharType="separate"/>
        </w:r>
        <w:r w:rsidR="00986A0D">
          <w:rPr>
            <w:noProof/>
            <w:webHidden/>
          </w:rPr>
          <w:t>65</w:t>
        </w:r>
        <w:r w:rsidR="00447491">
          <w:rPr>
            <w:noProof/>
            <w:webHidden/>
          </w:rPr>
          <w:fldChar w:fldCharType="end"/>
        </w:r>
      </w:hyperlink>
    </w:p>
    <w:p w14:paraId="5BA16689" w14:textId="5D76A621"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44" w:history="1">
        <w:r w:rsidRPr="00014809">
          <w:rPr>
            <w:rStyle w:val="Hyperlink"/>
            <w:noProof/>
          </w:rPr>
          <w:t>Table 2. Costing framework</w:t>
        </w:r>
        <w:r>
          <w:rPr>
            <w:noProof/>
            <w:webHidden/>
          </w:rPr>
          <w:tab/>
        </w:r>
        <w:r>
          <w:rPr>
            <w:noProof/>
            <w:webHidden/>
          </w:rPr>
          <w:fldChar w:fldCharType="begin"/>
        </w:r>
        <w:r>
          <w:rPr>
            <w:noProof/>
            <w:webHidden/>
          </w:rPr>
          <w:instrText xml:space="preserve"> PAGEREF _Toc207619044 \h </w:instrText>
        </w:r>
        <w:r>
          <w:rPr>
            <w:noProof/>
            <w:webHidden/>
          </w:rPr>
        </w:r>
        <w:r>
          <w:rPr>
            <w:noProof/>
            <w:webHidden/>
          </w:rPr>
          <w:fldChar w:fldCharType="separate"/>
        </w:r>
        <w:r w:rsidR="00986A0D">
          <w:rPr>
            <w:noProof/>
            <w:webHidden/>
          </w:rPr>
          <w:t>83</w:t>
        </w:r>
        <w:r>
          <w:rPr>
            <w:noProof/>
            <w:webHidden/>
          </w:rPr>
          <w:fldChar w:fldCharType="end"/>
        </w:r>
      </w:hyperlink>
    </w:p>
    <w:p w14:paraId="59E779A6" w14:textId="6D69BE6C"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45" w:history="1">
        <w:r w:rsidRPr="00014809">
          <w:rPr>
            <w:rStyle w:val="Hyperlink"/>
            <w:noProof/>
          </w:rPr>
          <w:t>Table 3. Summary of key data sources and their application</w:t>
        </w:r>
        <w:r>
          <w:rPr>
            <w:noProof/>
            <w:webHidden/>
          </w:rPr>
          <w:tab/>
        </w:r>
        <w:r>
          <w:rPr>
            <w:noProof/>
            <w:webHidden/>
          </w:rPr>
          <w:fldChar w:fldCharType="begin"/>
        </w:r>
        <w:r>
          <w:rPr>
            <w:noProof/>
            <w:webHidden/>
          </w:rPr>
          <w:instrText xml:space="preserve"> PAGEREF _Toc207619045 \h </w:instrText>
        </w:r>
        <w:r>
          <w:rPr>
            <w:noProof/>
            <w:webHidden/>
          </w:rPr>
        </w:r>
        <w:r>
          <w:rPr>
            <w:noProof/>
            <w:webHidden/>
          </w:rPr>
          <w:fldChar w:fldCharType="separate"/>
        </w:r>
        <w:r w:rsidR="00986A0D">
          <w:rPr>
            <w:noProof/>
            <w:webHidden/>
          </w:rPr>
          <w:t>100</w:t>
        </w:r>
        <w:r>
          <w:rPr>
            <w:noProof/>
            <w:webHidden/>
          </w:rPr>
          <w:fldChar w:fldCharType="end"/>
        </w:r>
      </w:hyperlink>
    </w:p>
    <w:p w14:paraId="2032B404" w14:textId="017D03CA"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46" w:history="1">
        <w:r w:rsidRPr="00014809">
          <w:rPr>
            <w:rStyle w:val="Hyperlink"/>
            <w:noProof/>
          </w:rPr>
          <w:t>Table 4. Comparison of at-risk gambling spend relative to non-problem gambling spend across Australian jurisdictions</w:t>
        </w:r>
        <w:r>
          <w:rPr>
            <w:noProof/>
            <w:webHidden/>
          </w:rPr>
          <w:tab/>
        </w:r>
        <w:r>
          <w:rPr>
            <w:noProof/>
            <w:webHidden/>
          </w:rPr>
          <w:fldChar w:fldCharType="begin"/>
        </w:r>
        <w:r>
          <w:rPr>
            <w:noProof/>
            <w:webHidden/>
          </w:rPr>
          <w:instrText xml:space="preserve"> PAGEREF _Toc207619046 \h </w:instrText>
        </w:r>
        <w:r>
          <w:rPr>
            <w:noProof/>
            <w:webHidden/>
          </w:rPr>
        </w:r>
        <w:r>
          <w:rPr>
            <w:noProof/>
            <w:webHidden/>
          </w:rPr>
          <w:fldChar w:fldCharType="separate"/>
        </w:r>
        <w:r w:rsidR="00986A0D">
          <w:rPr>
            <w:noProof/>
            <w:webHidden/>
          </w:rPr>
          <w:t>109</w:t>
        </w:r>
        <w:r>
          <w:rPr>
            <w:noProof/>
            <w:webHidden/>
          </w:rPr>
          <w:fldChar w:fldCharType="end"/>
        </w:r>
      </w:hyperlink>
    </w:p>
    <w:p w14:paraId="5430C7B5" w14:textId="0C29716B"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47" w:history="1">
        <w:r w:rsidRPr="00014809">
          <w:rPr>
            <w:rStyle w:val="Hyperlink"/>
            <w:noProof/>
          </w:rPr>
          <w:t>Table 5. Cost of gambling problems to New Zealand (2023-24) by cost category</w:t>
        </w:r>
        <w:r>
          <w:rPr>
            <w:noProof/>
            <w:webHidden/>
          </w:rPr>
          <w:tab/>
        </w:r>
        <w:r>
          <w:rPr>
            <w:noProof/>
            <w:webHidden/>
          </w:rPr>
          <w:fldChar w:fldCharType="begin"/>
        </w:r>
        <w:r>
          <w:rPr>
            <w:noProof/>
            <w:webHidden/>
          </w:rPr>
          <w:instrText xml:space="preserve"> PAGEREF _Toc207619047 \h </w:instrText>
        </w:r>
        <w:r>
          <w:rPr>
            <w:noProof/>
            <w:webHidden/>
          </w:rPr>
        </w:r>
        <w:r>
          <w:rPr>
            <w:noProof/>
            <w:webHidden/>
          </w:rPr>
          <w:fldChar w:fldCharType="separate"/>
        </w:r>
        <w:r w:rsidR="00986A0D">
          <w:rPr>
            <w:noProof/>
            <w:webHidden/>
          </w:rPr>
          <w:t>110</w:t>
        </w:r>
        <w:r>
          <w:rPr>
            <w:noProof/>
            <w:webHidden/>
          </w:rPr>
          <w:fldChar w:fldCharType="end"/>
        </w:r>
      </w:hyperlink>
    </w:p>
    <w:p w14:paraId="6E6A44D1" w14:textId="2FC33667"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48" w:history="1">
        <w:r w:rsidRPr="00014809">
          <w:rPr>
            <w:rStyle w:val="Hyperlink"/>
            <w:noProof/>
          </w:rPr>
          <w:t>Table 6. Cost of gambling problems to New Zealand (2023-24) by cost items</w:t>
        </w:r>
        <w:r>
          <w:rPr>
            <w:noProof/>
            <w:webHidden/>
          </w:rPr>
          <w:tab/>
        </w:r>
        <w:r>
          <w:rPr>
            <w:noProof/>
            <w:webHidden/>
          </w:rPr>
          <w:fldChar w:fldCharType="begin"/>
        </w:r>
        <w:r>
          <w:rPr>
            <w:noProof/>
            <w:webHidden/>
          </w:rPr>
          <w:instrText xml:space="preserve"> PAGEREF _Toc207619048 \h </w:instrText>
        </w:r>
        <w:r>
          <w:rPr>
            <w:noProof/>
            <w:webHidden/>
          </w:rPr>
        </w:r>
        <w:r>
          <w:rPr>
            <w:noProof/>
            <w:webHidden/>
          </w:rPr>
          <w:fldChar w:fldCharType="separate"/>
        </w:r>
        <w:r w:rsidR="00986A0D">
          <w:rPr>
            <w:noProof/>
            <w:webHidden/>
          </w:rPr>
          <w:t>112</w:t>
        </w:r>
        <w:r>
          <w:rPr>
            <w:noProof/>
            <w:webHidden/>
          </w:rPr>
          <w:fldChar w:fldCharType="end"/>
        </w:r>
      </w:hyperlink>
    </w:p>
    <w:p w14:paraId="7DDEEC80" w14:textId="0D0536DE"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49" w:history="1">
        <w:r w:rsidRPr="00014809">
          <w:rPr>
            <w:rStyle w:val="Hyperlink"/>
            <w:noProof/>
          </w:rPr>
          <w:t>Table 7. Summary of cost categories with upper and lower estimation bounds</w:t>
        </w:r>
        <w:r>
          <w:rPr>
            <w:noProof/>
            <w:webHidden/>
          </w:rPr>
          <w:tab/>
        </w:r>
        <w:r>
          <w:rPr>
            <w:noProof/>
            <w:webHidden/>
          </w:rPr>
          <w:fldChar w:fldCharType="begin"/>
        </w:r>
        <w:r>
          <w:rPr>
            <w:noProof/>
            <w:webHidden/>
          </w:rPr>
          <w:instrText xml:space="preserve"> PAGEREF _Toc207619049 \h </w:instrText>
        </w:r>
        <w:r>
          <w:rPr>
            <w:noProof/>
            <w:webHidden/>
          </w:rPr>
        </w:r>
        <w:r>
          <w:rPr>
            <w:noProof/>
            <w:webHidden/>
          </w:rPr>
          <w:fldChar w:fldCharType="separate"/>
        </w:r>
        <w:r w:rsidR="00986A0D">
          <w:rPr>
            <w:noProof/>
            <w:webHidden/>
          </w:rPr>
          <w:t>114</w:t>
        </w:r>
        <w:r>
          <w:rPr>
            <w:noProof/>
            <w:webHidden/>
          </w:rPr>
          <w:fldChar w:fldCharType="end"/>
        </w:r>
      </w:hyperlink>
    </w:p>
    <w:p w14:paraId="6C23DDF6" w14:textId="2ADD4C0A"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50" w:history="1">
        <w:r w:rsidRPr="00014809">
          <w:rPr>
            <w:rStyle w:val="Hyperlink"/>
            <w:noProof/>
          </w:rPr>
          <w:t>Table 8. Cost of gambling problems to New Zealand (2023-24) by bearer of cost</w:t>
        </w:r>
        <w:r>
          <w:rPr>
            <w:noProof/>
            <w:webHidden/>
          </w:rPr>
          <w:tab/>
        </w:r>
        <w:r>
          <w:rPr>
            <w:noProof/>
            <w:webHidden/>
          </w:rPr>
          <w:fldChar w:fldCharType="begin"/>
        </w:r>
        <w:r>
          <w:rPr>
            <w:noProof/>
            <w:webHidden/>
          </w:rPr>
          <w:instrText xml:space="preserve"> PAGEREF _Toc207619050 \h </w:instrText>
        </w:r>
        <w:r>
          <w:rPr>
            <w:noProof/>
            <w:webHidden/>
          </w:rPr>
        </w:r>
        <w:r>
          <w:rPr>
            <w:noProof/>
            <w:webHidden/>
          </w:rPr>
          <w:fldChar w:fldCharType="separate"/>
        </w:r>
        <w:r w:rsidR="00986A0D">
          <w:rPr>
            <w:noProof/>
            <w:webHidden/>
          </w:rPr>
          <w:t>116</w:t>
        </w:r>
        <w:r>
          <w:rPr>
            <w:noProof/>
            <w:webHidden/>
          </w:rPr>
          <w:fldChar w:fldCharType="end"/>
        </w:r>
      </w:hyperlink>
    </w:p>
    <w:p w14:paraId="37072320" w14:textId="49742227"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51" w:history="1">
        <w:r w:rsidRPr="00014809">
          <w:rPr>
            <w:rStyle w:val="Hyperlink"/>
            <w:noProof/>
          </w:rPr>
          <w:t>Table 9. Cost of gambling attributable to each form</w:t>
        </w:r>
        <w:r>
          <w:rPr>
            <w:noProof/>
            <w:webHidden/>
          </w:rPr>
          <w:tab/>
        </w:r>
        <w:r>
          <w:rPr>
            <w:noProof/>
            <w:webHidden/>
          </w:rPr>
          <w:fldChar w:fldCharType="begin"/>
        </w:r>
        <w:r>
          <w:rPr>
            <w:noProof/>
            <w:webHidden/>
          </w:rPr>
          <w:instrText xml:space="preserve"> PAGEREF _Toc207619051 \h </w:instrText>
        </w:r>
        <w:r>
          <w:rPr>
            <w:noProof/>
            <w:webHidden/>
          </w:rPr>
        </w:r>
        <w:r>
          <w:rPr>
            <w:noProof/>
            <w:webHidden/>
          </w:rPr>
          <w:fldChar w:fldCharType="separate"/>
        </w:r>
        <w:r w:rsidR="00986A0D">
          <w:rPr>
            <w:noProof/>
            <w:webHidden/>
          </w:rPr>
          <w:t>117</w:t>
        </w:r>
        <w:r>
          <w:rPr>
            <w:noProof/>
            <w:webHidden/>
          </w:rPr>
          <w:fldChar w:fldCharType="end"/>
        </w:r>
      </w:hyperlink>
    </w:p>
    <w:p w14:paraId="27DB46BD" w14:textId="7D674796"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52" w:history="1">
        <w:r w:rsidRPr="00014809">
          <w:rPr>
            <w:rStyle w:val="Hyperlink"/>
            <w:noProof/>
          </w:rPr>
          <w:t>Table 10. Distribution of gambling problems in New Zealand (2023-24), by cultural group</w:t>
        </w:r>
        <w:r>
          <w:rPr>
            <w:noProof/>
            <w:webHidden/>
          </w:rPr>
          <w:tab/>
        </w:r>
        <w:r>
          <w:rPr>
            <w:noProof/>
            <w:webHidden/>
          </w:rPr>
          <w:fldChar w:fldCharType="begin"/>
        </w:r>
        <w:r>
          <w:rPr>
            <w:noProof/>
            <w:webHidden/>
          </w:rPr>
          <w:instrText xml:space="preserve"> PAGEREF _Toc207619052 \h </w:instrText>
        </w:r>
        <w:r>
          <w:rPr>
            <w:noProof/>
            <w:webHidden/>
          </w:rPr>
        </w:r>
        <w:r>
          <w:rPr>
            <w:noProof/>
            <w:webHidden/>
          </w:rPr>
          <w:fldChar w:fldCharType="separate"/>
        </w:r>
        <w:r w:rsidR="00986A0D">
          <w:rPr>
            <w:noProof/>
            <w:webHidden/>
          </w:rPr>
          <w:t>118</w:t>
        </w:r>
        <w:r>
          <w:rPr>
            <w:noProof/>
            <w:webHidden/>
          </w:rPr>
          <w:fldChar w:fldCharType="end"/>
        </w:r>
      </w:hyperlink>
    </w:p>
    <w:p w14:paraId="22357869" w14:textId="69581308"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53" w:history="1">
        <w:r w:rsidRPr="00014809">
          <w:rPr>
            <w:rStyle w:val="Hyperlink"/>
            <w:noProof/>
          </w:rPr>
          <w:t>Table 11. Distribution of gambling behaviours and harm in New Zealand (2023-24), by cultural group</w:t>
        </w:r>
        <w:r>
          <w:rPr>
            <w:noProof/>
            <w:webHidden/>
          </w:rPr>
          <w:tab/>
        </w:r>
        <w:r>
          <w:rPr>
            <w:noProof/>
            <w:webHidden/>
          </w:rPr>
          <w:fldChar w:fldCharType="begin"/>
        </w:r>
        <w:r>
          <w:rPr>
            <w:noProof/>
            <w:webHidden/>
          </w:rPr>
          <w:instrText xml:space="preserve"> PAGEREF _Toc207619053 \h </w:instrText>
        </w:r>
        <w:r>
          <w:rPr>
            <w:noProof/>
            <w:webHidden/>
          </w:rPr>
        </w:r>
        <w:r>
          <w:rPr>
            <w:noProof/>
            <w:webHidden/>
          </w:rPr>
          <w:fldChar w:fldCharType="separate"/>
        </w:r>
        <w:r w:rsidR="00986A0D">
          <w:rPr>
            <w:noProof/>
            <w:webHidden/>
          </w:rPr>
          <w:t>119</w:t>
        </w:r>
        <w:r>
          <w:rPr>
            <w:noProof/>
            <w:webHidden/>
          </w:rPr>
          <w:fldChar w:fldCharType="end"/>
        </w:r>
      </w:hyperlink>
    </w:p>
    <w:p w14:paraId="78590D03" w14:textId="6F422C28"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54" w:history="1">
        <w:r w:rsidRPr="00014809">
          <w:rPr>
            <w:rStyle w:val="Hyperlink"/>
            <w:noProof/>
          </w:rPr>
          <w:t>Table 12. Cost of gambling problems in New Zealand (2023-24), by cultural group</w:t>
        </w:r>
        <w:r>
          <w:rPr>
            <w:noProof/>
            <w:webHidden/>
          </w:rPr>
          <w:tab/>
        </w:r>
        <w:r>
          <w:rPr>
            <w:noProof/>
            <w:webHidden/>
          </w:rPr>
          <w:fldChar w:fldCharType="begin"/>
        </w:r>
        <w:r>
          <w:rPr>
            <w:noProof/>
            <w:webHidden/>
          </w:rPr>
          <w:instrText xml:space="preserve"> PAGEREF _Toc207619054 \h </w:instrText>
        </w:r>
        <w:r>
          <w:rPr>
            <w:noProof/>
            <w:webHidden/>
          </w:rPr>
        </w:r>
        <w:r>
          <w:rPr>
            <w:noProof/>
            <w:webHidden/>
          </w:rPr>
          <w:fldChar w:fldCharType="separate"/>
        </w:r>
        <w:r w:rsidR="00986A0D">
          <w:rPr>
            <w:noProof/>
            <w:webHidden/>
          </w:rPr>
          <w:t>120</w:t>
        </w:r>
        <w:r>
          <w:rPr>
            <w:noProof/>
            <w:webHidden/>
          </w:rPr>
          <w:fldChar w:fldCharType="end"/>
        </w:r>
      </w:hyperlink>
    </w:p>
    <w:p w14:paraId="0B552720" w14:textId="4CCF090F"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55" w:history="1">
        <w:r w:rsidRPr="00014809">
          <w:rPr>
            <w:rStyle w:val="Hyperlink"/>
            <w:noProof/>
          </w:rPr>
          <w:t>Table 13. Cost of excess spend on gambling products due to gambling problems in New Zealand (2023-24)</w:t>
        </w:r>
        <w:r>
          <w:rPr>
            <w:noProof/>
            <w:webHidden/>
          </w:rPr>
          <w:tab/>
        </w:r>
        <w:r>
          <w:rPr>
            <w:noProof/>
            <w:webHidden/>
          </w:rPr>
          <w:fldChar w:fldCharType="begin"/>
        </w:r>
        <w:r>
          <w:rPr>
            <w:noProof/>
            <w:webHidden/>
          </w:rPr>
          <w:instrText xml:space="preserve"> PAGEREF _Toc207619055 \h </w:instrText>
        </w:r>
        <w:r>
          <w:rPr>
            <w:noProof/>
            <w:webHidden/>
          </w:rPr>
        </w:r>
        <w:r>
          <w:rPr>
            <w:noProof/>
            <w:webHidden/>
          </w:rPr>
          <w:fldChar w:fldCharType="separate"/>
        </w:r>
        <w:r w:rsidR="00986A0D">
          <w:rPr>
            <w:noProof/>
            <w:webHidden/>
          </w:rPr>
          <w:t>123</w:t>
        </w:r>
        <w:r>
          <w:rPr>
            <w:noProof/>
            <w:webHidden/>
          </w:rPr>
          <w:fldChar w:fldCharType="end"/>
        </w:r>
      </w:hyperlink>
    </w:p>
    <w:p w14:paraId="5CCAB3D7" w14:textId="0E9C561E"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56" w:history="1">
        <w:r w:rsidRPr="00014809">
          <w:rPr>
            <w:rStyle w:val="Hyperlink"/>
            <w:noProof/>
          </w:rPr>
          <w:t>Table 14. Cost of bankruptcy due to gambling problems in New Zealand (2023-24)</w:t>
        </w:r>
        <w:r>
          <w:rPr>
            <w:noProof/>
            <w:webHidden/>
          </w:rPr>
          <w:tab/>
        </w:r>
        <w:r>
          <w:rPr>
            <w:noProof/>
            <w:webHidden/>
          </w:rPr>
          <w:fldChar w:fldCharType="begin"/>
        </w:r>
        <w:r>
          <w:rPr>
            <w:noProof/>
            <w:webHidden/>
          </w:rPr>
          <w:instrText xml:space="preserve"> PAGEREF _Toc207619056 \h </w:instrText>
        </w:r>
        <w:r>
          <w:rPr>
            <w:noProof/>
            <w:webHidden/>
          </w:rPr>
        </w:r>
        <w:r>
          <w:rPr>
            <w:noProof/>
            <w:webHidden/>
          </w:rPr>
          <w:fldChar w:fldCharType="separate"/>
        </w:r>
        <w:r w:rsidR="00986A0D">
          <w:rPr>
            <w:noProof/>
            <w:webHidden/>
          </w:rPr>
          <w:t>126</w:t>
        </w:r>
        <w:r>
          <w:rPr>
            <w:noProof/>
            <w:webHidden/>
          </w:rPr>
          <w:fldChar w:fldCharType="end"/>
        </w:r>
      </w:hyperlink>
    </w:p>
    <w:p w14:paraId="6762284D" w14:textId="0A35195F"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57" w:history="1">
        <w:r w:rsidRPr="00014809">
          <w:rPr>
            <w:rStyle w:val="Hyperlink"/>
            <w:noProof/>
          </w:rPr>
          <w:t>Table 15. Cost of divorce and separation due to gambling problems in New Zealand (2023-24)</w:t>
        </w:r>
        <w:r>
          <w:rPr>
            <w:noProof/>
            <w:webHidden/>
          </w:rPr>
          <w:tab/>
        </w:r>
        <w:r>
          <w:rPr>
            <w:noProof/>
            <w:webHidden/>
          </w:rPr>
          <w:fldChar w:fldCharType="begin"/>
        </w:r>
        <w:r>
          <w:rPr>
            <w:noProof/>
            <w:webHidden/>
          </w:rPr>
          <w:instrText xml:space="preserve"> PAGEREF _Toc207619057 \h </w:instrText>
        </w:r>
        <w:r>
          <w:rPr>
            <w:noProof/>
            <w:webHidden/>
          </w:rPr>
        </w:r>
        <w:r>
          <w:rPr>
            <w:noProof/>
            <w:webHidden/>
          </w:rPr>
          <w:fldChar w:fldCharType="separate"/>
        </w:r>
        <w:r w:rsidR="00986A0D">
          <w:rPr>
            <w:noProof/>
            <w:webHidden/>
          </w:rPr>
          <w:t>129</w:t>
        </w:r>
        <w:r>
          <w:rPr>
            <w:noProof/>
            <w:webHidden/>
          </w:rPr>
          <w:fldChar w:fldCharType="end"/>
        </w:r>
      </w:hyperlink>
    </w:p>
    <w:p w14:paraId="3BB11313" w14:textId="533BFCD4"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58" w:history="1">
        <w:r w:rsidRPr="00014809">
          <w:rPr>
            <w:rStyle w:val="Hyperlink"/>
            <w:noProof/>
          </w:rPr>
          <w:t>Table 16. Cost of violence due to gambling problems in New Zealand (2023-24)</w:t>
        </w:r>
        <w:r>
          <w:rPr>
            <w:noProof/>
            <w:webHidden/>
          </w:rPr>
          <w:tab/>
        </w:r>
        <w:r>
          <w:rPr>
            <w:noProof/>
            <w:webHidden/>
          </w:rPr>
          <w:fldChar w:fldCharType="begin"/>
        </w:r>
        <w:r>
          <w:rPr>
            <w:noProof/>
            <w:webHidden/>
          </w:rPr>
          <w:instrText xml:space="preserve"> PAGEREF _Toc207619058 \h </w:instrText>
        </w:r>
        <w:r>
          <w:rPr>
            <w:noProof/>
            <w:webHidden/>
          </w:rPr>
        </w:r>
        <w:r>
          <w:rPr>
            <w:noProof/>
            <w:webHidden/>
          </w:rPr>
          <w:fldChar w:fldCharType="separate"/>
        </w:r>
        <w:r w:rsidR="00986A0D">
          <w:rPr>
            <w:noProof/>
            <w:webHidden/>
          </w:rPr>
          <w:t>132</w:t>
        </w:r>
        <w:r>
          <w:rPr>
            <w:noProof/>
            <w:webHidden/>
          </w:rPr>
          <w:fldChar w:fldCharType="end"/>
        </w:r>
      </w:hyperlink>
    </w:p>
    <w:p w14:paraId="13359878" w14:textId="435A69F1"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59" w:history="1">
        <w:r w:rsidRPr="00014809">
          <w:rPr>
            <w:rStyle w:val="Hyperlink"/>
            <w:noProof/>
          </w:rPr>
          <w:t>Table 17. Cost of depression due to gambling problems in New Zealand (2023-24)</w:t>
        </w:r>
        <w:r>
          <w:rPr>
            <w:noProof/>
            <w:webHidden/>
          </w:rPr>
          <w:tab/>
        </w:r>
        <w:r>
          <w:rPr>
            <w:noProof/>
            <w:webHidden/>
          </w:rPr>
          <w:fldChar w:fldCharType="begin"/>
        </w:r>
        <w:r>
          <w:rPr>
            <w:noProof/>
            <w:webHidden/>
          </w:rPr>
          <w:instrText xml:space="preserve"> PAGEREF _Toc207619059 \h </w:instrText>
        </w:r>
        <w:r>
          <w:rPr>
            <w:noProof/>
            <w:webHidden/>
          </w:rPr>
        </w:r>
        <w:r>
          <w:rPr>
            <w:noProof/>
            <w:webHidden/>
          </w:rPr>
          <w:fldChar w:fldCharType="separate"/>
        </w:r>
        <w:r w:rsidR="00986A0D">
          <w:rPr>
            <w:noProof/>
            <w:webHidden/>
          </w:rPr>
          <w:t>136</w:t>
        </w:r>
        <w:r>
          <w:rPr>
            <w:noProof/>
            <w:webHidden/>
          </w:rPr>
          <w:fldChar w:fldCharType="end"/>
        </w:r>
      </w:hyperlink>
    </w:p>
    <w:p w14:paraId="0A2701E6" w14:textId="3AEB44A9"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60" w:history="1">
        <w:r w:rsidRPr="00014809">
          <w:rPr>
            <w:rStyle w:val="Hyperlink"/>
            <w:noProof/>
          </w:rPr>
          <w:t>Table 18. Cost of suicide attempts due to gambling problems in New Zealand (2023-24)</w:t>
        </w:r>
        <w:r>
          <w:rPr>
            <w:noProof/>
            <w:webHidden/>
          </w:rPr>
          <w:tab/>
        </w:r>
        <w:r>
          <w:rPr>
            <w:noProof/>
            <w:webHidden/>
          </w:rPr>
          <w:fldChar w:fldCharType="begin"/>
        </w:r>
        <w:r>
          <w:rPr>
            <w:noProof/>
            <w:webHidden/>
          </w:rPr>
          <w:instrText xml:space="preserve"> PAGEREF _Toc207619060 \h </w:instrText>
        </w:r>
        <w:r>
          <w:rPr>
            <w:noProof/>
            <w:webHidden/>
          </w:rPr>
        </w:r>
        <w:r>
          <w:rPr>
            <w:noProof/>
            <w:webHidden/>
          </w:rPr>
          <w:fldChar w:fldCharType="separate"/>
        </w:r>
        <w:r w:rsidR="00986A0D">
          <w:rPr>
            <w:noProof/>
            <w:webHidden/>
          </w:rPr>
          <w:t>140</w:t>
        </w:r>
        <w:r>
          <w:rPr>
            <w:noProof/>
            <w:webHidden/>
          </w:rPr>
          <w:fldChar w:fldCharType="end"/>
        </w:r>
      </w:hyperlink>
    </w:p>
    <w:p w14:paraId="158080EA" w14:textId="54157AE1"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61" w:history="1">
        <w:r w:rsidRPr="00014809">
          <w:rPr>
            <w:rStyle w:val="Hyperlink"/>
            <w:noProof/>
          </w:rPr>
          <w:t>Table 19. Cost of fatality by suicide to business/government due to gambling problems in New Zealand (2023-24)</w:t>
        </w:r>
        <w:r>
          <w:rPr>
            <w:noProof/>
            <w:webHidden/>
          </w:rPr>
          <w:tab/>
        </w:r>
        <w:r>
          <w:rPr>
            <w:noProof/>
            <w:webHidden/>
          </w:rPr>
          <w:fldChar w:fldCharType="begin"/>
        </w:r>
        <w:r>
          <w:rPr>
            <w:noProof/>
            <w:webHidden/>
          </w:rPr>
          <w:instrText xml:space="preserve"> PAGEREF _Toc207619061 \h </w:instrText>
        </w:r>
        <w:r>
          <w:rPr>
            <w:noProof/>
            <w:webHidden/>
          </w:rPr>
        </w:r>
        <w:r>
          <w:rPr>
            <w:noProof/>
            <w:webHidden/>
          </w:rPr>
          <w:fldChar w:fldCharType="separate"/>
        </w:r>
        <w:r w:rsidR="00986A0D">
          <w:rPr>
            <w:noProof/>
            <w:webHidden/>
          </w:rPr>
          <w:t>144</w:t>
        </w:r>
        <w:r>
          <w:rPr>
            <w:noProof/>
            <w:webHidden/>
          </w:rPr>
          <w:fldChar w:fldCharType="end"/>
        </w:r>
      </w:hyperlink>
    </w:p>
    <w:p w14:paraId="7DDE58DC" w14:textId="4CB01D59"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62" w:history="1">
        <w:r w:rsidRPr="00014809">
          <w:rPr>
            <w:rStyle w:val="Hyperlink"/>
            <w:noProof/>
          </w:rPr>
          <w:t>Table 20. Cost of fatality by suicide to affected others due to gambling problems in New Zealand (2023-24)</w:t>
        </w:r>
        <w:r>
          <w:rPr>
            <w:noProof/>
            <w:webHidden/>
          </w:rPr>
          <w:tab/>
        </w:r>
        <w:r>
          <w:rPr>
            <w:noProof/>
            <w:webHidden/>
          </w:rPr>
          <w:fldChar w:fldCharType="begin"/>
        </w:r>
        <w:r>
          <w:rPr>
            <w:noProof/>
            <w:webHidden/>
          </w:rPr>
          <w:instrText xml:space="preserve"> PAGEREF _Toc207619062 \h </w:instrText>
        </w:r>
        <w:r>
          <w:rPr>
            <w:noProof/>
            <w:webHidden/>
          </w:rPr>
        </w:r>
        <w:r>
          <w:rPr>
            <w:noProof/>
            <w:webHidden/>
          </w:rPr>
          <w:fldChar w:fldCharType="separate"/>
        </w:r>
        <w:r w:rsidR="00986A0D">
          <w:rPr>
            <w:noProof/>
            <w:webHidden/>
          </w:rPr>
          <w:t>146</w:t>
        </w:r>
        <w:r>
          <w:rPr>
            <w:noProof/>
            <w:webHidden/>
          </w:rPr>
          <w:fldChar w:fldCharType="end"/>
        </w:r>
      </w:hyperlink>
    </w:p>
    <w:p w14:paraId="5603F78B" w14:textId="364114D4"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63" w:history="1">
        <w:r w:rsidRPr="00014809">
          <w:rPr>
            <w:rStyle w:val="Hyperlink"/>
            <w:noProof/>
          </w:rPr>
          <w:t>Table 21. Cost of HRQoL impacts of gambling harm on people who gamble in New Zealand (2023-24)</w:t>
        </w:r>
        <w:r>
          <w:rPr>
            <w:noProof/>
            <w:webHidden/>
          </w:rPr>
          <w:tab/>
        </w:r>
        <w:r>
          <w:rPr>
            <w:noProof/>
            <w:webHidden/>
          </w:rPr>
          <w:fldChar w:fldCharType="begin"/>
        </w:r>
        <w:r>
          <w:rPr>
            <w:noProof/>
            <w:webHidden/>
          </w:rPr>
          <w:instrText xml:space="preserve"> PAGEREF _Toc207619063 \h </w:instrText>
        </w:r>
        <w:r>
          <w:rPr>
            <w:noProof/>
            <w:webHidden/>
          </w:rPr>
        </w:r>
        <w:r>
          <w:rPr>
            <w:noProof/>
            <w:webHidden/>
          </w:rPr>
          <w:fldChar w:fldCharType="separate"/>
        </w:r>
        <w:r w:rsidR="00986A0D">
          <w:rPr>
            <w:noProof/>
            <w:webHidden/>
          </w:rPr>
          <w:t>148</w:t>
        </w:r>
        <w:r>
          <w:rPr>
            <w:noProof/>
            <w:webHidden/>
          </w:rPr>
          <w:fldChar w:fldCharType="end"/>
        </w:r>
      </w:hyperlink>
    </w:p>
    <w:p w14:paraId="713C607E" w14:textId="29B108DF"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64" w:history="1">
        <w:r w:rsidRPr="00014809">
          <w:rPr>
            <w:rStyle w:val="Hyperlink"/>
            <w:noProof/>
          </w:rPr>
          <w:t>Table 22. Cost of HRQoL impacts of gambling harm on affected others in New Zealand (2023-24)</w:t>
        </w:r>
        <w:r>
          <w:rPr>
            <w:noProof/>
            <w:webHidden/>
          </w:rPr>
          <w:tab/>
        </w:r>
        <w:r>
          <w:rPr>
            <w:noProof/>
            <w:webHidden/>
          </w:rPr>
          <w:fldChar w:fldCharType="begin"/>
        </w:r>
        <w:r>
          <w:rPr>
            <w:noProof/>
            <w:webHidden/>
          </w:rPr>
          <w:instrText xml:space="preserve"> PAGEREF _Toc207619064 \h </w:instrText>
        </w:r>
        <w:r>
          <w:rPr>
            <w:noProof/>
            <w:webHidden/>
          </w:rPr>
        </w:r>
        <w:r>
          <w:rPr>
            <w:noProof/>
            <w:webHidden/>
          </w:rPr>
          <w:fldChar w:fldCharType="separate"/>
        </w:r>
        <w:r w:rsidR="00986A0D">
          <w:rPr>
            <w:noProof/>
            <w:webHidden/>
          </w:rPr>
          <w:t>150</w:t>
        </w:r>
        <w:r>
          <w:rPr>
            <w:noProof/>
            <w:webHidden/>
          </w:rPr>
          <w:fldChar w:fldCharType="end"/>
        </w:r>
      </w:hyperlink>
    </w:p>
    <w:p w14:paraId="344EA92D" w14:textId="3E018FA1"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65" w:history="1">
        <w:r w:rsidRPr="00014809">
          <w:rPr>
            <w:rStyle w:val="Hyperlink"/>
            <w:noProof/>
          </w:rPr>
          <w:t>Table 23. Share of total health and human service expenditure to the New Zealand government due to gambling problems (2023-24)</w:t>
        </w:r>
        <w:r>
          <w:rPr>
            <w:noProof/>
            <w:webHidden/>
          </w:rPr>
          <w:tab/>
        </w:r>
        <w:r>
          <w:rPr>
            <w:noProof/>
            <w:webHidden/>
          </w:rPr>
          <w:fldChar w:fldCharType="begin"/>
        </w:r>
        <w:r>
          <w:rPr>
            <w:noProof/>
            <w:webHidden/>
          </w:rPr>
          <w:instrText xml:space="preserve"> PAGEREF _Toc207619065 \h </w:instrText>
        </w:r>
        <w:r>
          <w:rPr>
            <w:noProof/>
            <w:webHidden/>
          </w:rPr>
        </w:r>
        <w:r>
          <w:rPr>
            <w:noProof/>
            <w:webHidden/>
          </w:rPr>
          <w:fldChar w:fldCharType="separate"/>
        </w:r>
        <w:r w:rsidR="00986A0D">
          <w:rPr>
            <w:noProof/>
            <w:webHidden/>
          </w:rPr>
          <w:t>153</w:t>
        </w:r>
        <w:r>
          <w:rPr>
            <w:noProof/>
            <w:webHidden/>
          </w:rPr>
          <w:fldChar w:fldCharType="end"/>
        </w:r>
      </w:hyperlink>
    </w:p>
    <w:p w14:paraId="48BCF04C" w14:textId="7AD5482B"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66" w:history="1">
        <w:r w:rsidRPr="00014809">
          <w:rPr>
            <w:rStyle w:val="Hyperlink"/>
            <w:noProof/>
          </w:rPr>
          <w:t>Table 24. Cost of productivity loss due to gambling problems in New Zealand (2023-24)</w:t>
        </w:r>
        <w:r>
          <w:rPr>
            <w:noProof/>
            <w:webHidden/>
          </w:rPr>
          <w:tab/>
        </w:r>
        <w:r>
          <w:rPr>
            <w:noProof/>
            <w:webHidden/>
          </w:rPr>
          <w:fldChar w:fldCharType="begin"/>
        </w:r>
        <w:r>
          <w:rPr>
            <w:noProof/>
            <w:webHidden/>
          </w:rPr>
          <w:instrText xml:space="preserve"> PAGEREF _Toc207619066 \h </w:instrText>
        </w:r>
        <w:r>
          <w:rPr>
            <w:noProof/>
            <w:webHidden/>
          </w:rPr>
        </w:r>
        <w:r>
          <w:rPr>
            <w:noProof/>
            <w:webHidden/>
          </w:rPr>
          <w:fldChar w:fldCharType="separate"/>
        </w:r>
        <w:r w:rsidR="00986A0D">
          <w:rPr>
            <w:noProof/>
            <w:webHidden/>
          </w:rPr>
          <w:t>156</w:t>
        </w:r>
        <w:r>
          <w:rPr>
            <w:noProof/>
            <w:webHidden/>
          </w:rPr>
          <w:fldChar w:fldCharType="end"/>
        </w:r>
      </w:hyperlink>
    </w:p>
    <w:p w14:paraId="135B825B" w14:textId="7269935D"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67" w:history="1">
        <w:r w:rsidRPr="00014809">
          <w:rPr>
            <w:rStyle w:val="Hyperlink"/>
            <w:noProof/>
          </w:rPr>
          <w:t>Table 25. Cost of absenteeism due to gambling problems in New Zealand (2023-24)</w:t>
        </w:r>
        <w:r>
          <w:rPr>
            <w:noProof/>
            <w:webHidden/>
          </w:rPr>
          <w:tab/>
        </w:r>
        <w:r>
          <w:rPr>
            <w:noProof/>
            <w:webHidden/>
          </w:rPr>
          <w:fldChar w:fldCharType="begin"/>
        </w:r>
        <w:r>
          <w:rPr>
            <w:noProof/>
            <w:webHidden/>
          </w:rPr>
          <w:instrText xml:space="preserve"> PAGEREF _Toc207619067 \h </w:instrText>
        </w:r>
        <w:r>
          <w:rPr>
            <w:noProof/>
            <w:webHidden/>
          </w:rPr>
        </w:r>
        <w:r>
          <w:rPr>
            <w:noProof/>
            <w:webHidden/>
          </w:rPr>
          <w:fldChar w:fldCharType="separate"/>
        </w:r>
        <w:r w:rsidR="00986A0D">
          <w:rPr>
            <w:noProof/>
            <w:webHidden/>
          </w:rPr>
          <w:t>158</w:t>
        </w:r>
        <w:r>
          <w:rPr>
            <w:noProof/>
            <w:webHidden/>
          </w:rPr>
          <w:fldChar w:fldCharType="end"/>
        </w:r>
      </w:hyperlink>
    </w:p>
    <w:p w14:paraId="38A4A25E" w14:textId="6590A8B6"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68" w:history="1">
        <w:r w:rsidRPr="00014809">
          <w:rPr>
            <w:rStyle w:val="Hyperlink"/>
            <w:noProof/>
          </w:rPr>
          <w:t>Table 26. Cost of job loss due to gambling problems in New Zealand (2023-24)</w:t>
        </w:r>
        <w:r>
          <w:rPr>
            <w:noProof/>
            <w:webHidden/>
          </w:rPr>
          <w:tab/>
        </w:r>
        <w:r>
          <w:rPr>
            <w:noProof/>
            <w:webHidden/>
          </w:rPr>
          <w:fldChar w:fldCharType="begin"/>
        </w:r>
        <w:r>
          <w:rPr>
            <w:noProof/>
            <w:webHidden/>
          </w:rPr>
          <w:instrText xml:space="preserve"> PAGEREF _Toc207619068 \h </w:instrText>
        </w:r>
        <w:r>
          <w:rPr>
            <w:noProof/>
            <w:webHidden/>
          </w:rPr>
        </w:r>
        <w:r>
          <w:rPr>
            <w:noProof/>
            <w:webHidden/>
          </w:rPr>
          <w:fldChar w:fldCharType="separate"/>
        </w:r>
        <w:r w:rsidR="00986A0D">
          <w:rPr>
            <w:noProof/>
            <w:webHidden/>
          </w:rPr>
          <w:t>161</w:t>
        </w:r>
        <w:r>
          <w:rPr>
            <w:noProof/>
            <w:webHidden/>
          </w:rPr>
          <w:fldChar w:fldCharType="end"/>
        </w:r>
      </w:hyperlink>
    </w:p>
    <w:p w14:paraId="1EF5CAAA" w14:textId="532DEED1"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69" w:history="1">
        <w:r w:rsidRPr="00014809">
          <w:rPr>
            <w:rStyle w:val="Hyperlink"/>
            <w:noProof/>
          </w:rPr>
          <w:t>Table 27. Cost of crime to New Zealand police system due to gambling problems (2023-24)</w:t>
        </w:r>
        <w:r>
          <w:rPr>
            <w:noProof/>
            <w:webHidden/>
          </w:rPr>
          <w:tab/>
        </w:r>
        <w:r>
          <w:rPr>
            <w:noProof/>
            <w:webHidden/>
          </w:rPr>
          <w:fldChar w:fldCharType="begin"/>
        </w:r>
        <w:r>
          <w:rPr>
            <w:noProof/>
            <w:webHidden/>
          </w:rPr>
          <w:instrText xml:space="preserve"> PAGEREF _Toc207619069 \h </w:instrText>
        </w:r>
        <w:r>
          <w:rPr>
            <w:noProof/>
            <w:webHidden/>
          </w:rPr>
        </w:r>
        <w:r>
          <w:rPr>
            <w:noProof/>
            <w:webHidden/>
          </w:rPr>
          <w:fldChar w:fldCharType="separate"/>
        </w:r>
        <w:r w:rsidR="00986A0D">
          <w:rPr>
            <w:noProof/>
            <w:webHidden/>
          </w:rPr>
          <w:t>164</w:t>
        </w:r>
        <w:r>
          <w:rPr>
            <w:noProof/>
            <w:webHidden/>
          </w:rPr>
          <w:fldChar w:fldCharType="end"/>
        </w:r>
      </w:hyperlink>
    </w:p>
    <w:p w14:paraId="566C9F6B" w14:textId="5485950B"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70" w:history="1">
        <w:r w:rsidRPr="00014809">
          <w:rPr>
            <w:rStyle w:val="Hyperlink"/>
            <w:noProof/>
          </w:rPr>
          <w:t>Table 28. Cost of crime to New Zealand court system due to gambling problems (2023-24)</w:t>
        </w:r>
        <w:r>
          <w:rPr>
            <w:noProof/>
            <w:webHidden/>
          </w:rPr>
          <w:tab/>
        </w:r>
        <w:r>
          <w:rPr>
            <w:noProof/>
            <w:webHidden/>
          </w:rPr>
          <w:fldChar w:fldCharType="begin"/>
        </w:r>
        <w:r>
          <w:rPr>
            <w:noProof/>
            <w:webHidden/>
          </w:rPr>
          <w:instrText xml:space="preserve"> PAGEREF _Toc207619070 \h </w:instrText>
        </w:r>
        <w:r>
          <w:rPr>
            <w:noProof/>
            <w:webHidden/>
          </w:rPr>
        </w:r>
        <w:r>
          <w:rPr>
            <w:noProof/>
            <w:webHidden/>
          </w:rPr>
          <w:fldChar w:fldCharType="separate"/>
        </w:r>
        <w:r w:rsidR="00986A0D">
          <w:rPr>
            <w:noProof/>
            <w:webHidden/>
          </w:rPr>
          <w:t>165</w:t>
        </w:r>
        <w:r>
          <w:rPr>
            <w:noProof/>
            <w:webHidden/>
          </w:rPr>
          <w:fldChar w:fldCharType="end"/>
        </w:r>
      </w:hyperlink>
    </w:p>
    <w:p w14:paraId="202CA689" w14:textId="3F44AB5C"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71" w:history="1">
        <w:r w:rsidRPr="00014809">
          <w:rPr>
            <w:rStyle w:val="Hyperlink"/>
            <w:noProof/>
          </w:rPr>
          <w:t>Table 29. Cost of crime to New Zealand corrections system due to gambling problems (2023-24)</w:t>
        </w:r>
        <w:r>
          <w:rPr>
            <w:noProof/>
            <w:webHidden/>
          </w:rPr>
          <w:tab/>
        </w:r>
        <w:r>
          <w:rPr>
            <w:noProof/>
            <w:webHidden/>
          </w:rPr>
          <w:fldChar w:fldCharType="begin"/>
        </w:r>
        <w:r>
          <w:rPr>
            <w:noProof/>
            <w:webHidden/>
          </w:rPr>
          <w:instrText xml:space="preserve"> PAGEREF _Toc207619071 \h </w:instrText>
        </w:r>
        <w:r>
          <w:rPr>
            <w:noProof/>
            <w:webHidden/>
          </w:rPr>
        </w:r>
        <w:r>
          <w:rPr>
            <w:noProof/>
            <w:webHidden/>
          </w:rPr>
          <w:fldChar w:fldCharType="separate"/>
        </w:r>
        <w:r w:rsidR="00986A0D">
          <w:rPr>
            <w:noProof/>
            <w:webHidden/>
          </w:rPr>
          <w:t>166</w:t>
        </w:r>
        <w:r>
          <w:rPr>
            <w:noProof/>
            <w:webHidden/>
          </w:rPr>
          <w:fldChar w:fldCharType="end"/>
        </w:r>
      </w:hyperlink>
    </w:p>
    <w:p w14:paraId="6BFDA75D" w14:textId="5C2AD57E"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72" w:history="1">
        <w:r w:rsidRPr="00014809">
          <w:rPr>
            <w:rStyle w:val="Hyperlink"/>
            <w:noProof/>
          </w:rPr>
          <w:t>Table 30. Total cost of crime to New Zealand justice system due to gambling problems (2023-24)</w:t>
        </w:r>
        <w:r>
          <w:rPr>
            <w:noProof/>
            <w:webHidden/>
          </w:rPr>
          <w:tab/>
        </w:r>
        <w:r>
          <w:rPr>
            <w:noProof/>
            <w:webHidden/>
          </w:rPr>
          <w:fldChar w:fldCharType="begin"/>
        </w:r>
        <w:r>
          <w:rPr>
            <w:noProof/>
            <w:webHidden/>
          </w:rPr>
          <w:instrText xml:space="preserve"> PAGEREF _Toc207619072 \h </w:instrText>
        </w:r>
        <w:r>
          <w:rPr>
            <w:noProof/>
            <w:webHidden/>
          </w:rPr>
        </w:r>
        <w:r>
          <w:rPr>
            <w:noProof/>
            <w:webHidden/>
          </w:rPr>
          <w:fldChar w:fldCharType="separate"/>
        </w:r>
        <w:r w:rsidR="00986A0D">
          <w:rPr>
            <w:noProof/>
            <w:webHidden/>
          </w:rPr>
          <w:t>167</w:t>
        </w:r>
        <w:r>
          <w:rPr>
            <w:noProof/>
            <w:webHidden/>
          </w:rPr>
          <w:fldChar w:fldCharType="end"/>
        </w:r>
      </w:hyperlink>
    </w:p>
    <w:p w14:paraId="7D0A9391" w14:textId="16859FB9"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73" w:history="1">
        <w:r w:rsidRPr="00014809">
          <w:rPr>
            <w:rStyle w:val="Hyperlink"/>
            <w:noProof/>
          </w:rPr>
          <w:t>Table 31. Cost of crime to business and community due to gambling problems in New Zealand (2023-24)</w:t>
        </w:r>
        <w:r>
          <w:rPr>
            <w:noProof/>
            <w:webHidden/>
          </w:rPr>
          <w:tab/>
        </w:r>
        <w:r>
          <w:rPr>
            <w:noProof/>
            <w:webHidden/>
          </w:rPr>
          <w:fldChar w:fldCharType="begin"/>
        </w:r>
        <w:r>
          <w:rPr>
            <w:noProof/>
            <w:webHidden/>
          </w:rPr>
          <w:instrText xml:space="preserve"> PAGEREF _Toc207619073 \h </w:instrText>
        </w:r>
        <w:r>
          <w:rPr>
            <w:noProof/>
            <w:webHidden/>
          </w:rPr>
        </w:r>
        <w:r>
          <w:rPr>
            <w:noProof/>
            <w:webHidden/>
          </w:rPr>
          <w:fldChar w:fldCharType="separate"/>
        </w:r>
        <w:r w:rsidR="00986A0D">
          <w:rPr>
            <w:noProof/>
            <w:webHidden/>
          </w:rPr>
          <w:t>171</w:t>
        </w:r>
        <w:r>
          <w:rPr>
            <w:noProof/>
            <w:webHidden/>
          </w:rPr>
          <w:fldChar w:fldCharType="end"/>
        </w:r>
      </w:hyperlink>
    </w:p>
    <w:p w14:paraId="19CC1A63" w14:textId="70B20CA8"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74" w:history="1">
        <w:r w:rsidRPr="00014809">
          <w:rPr>
            <w:rStyle w:val="Hyperlink"/>
            <w:noProof/>
          </w:rPr>
          <w:t>Table 32. Cost of homelessness due to gambling problems in New Zealand (2023-24)</w:t>
        </w:r>
        <w:r>
          <w:rPr>
            <w:noProof/>
            <w:webHidden/>
          </w:rPr>
          <w:tab/>
        </w:r>
        <w:r>
          <w:rPr>
            <w:noProof/>
            <w:webHidden/>
          </w:rPr>
          <w:fldChar w:fldCharType="begin"/>
        </w:r>
        <w:r>
          <w:rPr>
            <w:noProof/>
            <w:webHidden/>
          </w:rPr>
          <w:instrText xml:space="preserve"> PAGEREF _Toc207619074 \h </w:instrText>
        </w:r>
        <w:r>
          <w:rPr>
            <w:noProof/>
            <w:webHidden/>
          </w:rPr>
        </w:r>
        <w:r>
          <w:rPr>
            <w:noProof/>
            <w:webHidden/>
          </w:rPr>
          <w:fldChar w:fldCharType="separate"/>
        </w:r>
        <w:r w:rsidR="00986A0D">
          <w:rPr>
            <w:noProof/>
            <w:webHidden/>
          </w:rPr>
          <w:t>173</w:t>
        </w:r>
        <w:r>
          <w:rPr>
            <w:noProof/>
            <w:webHidden/>
          </w:rPr>
          <w:fldChar w:fldCharType="end"/>
        </w:r>
      </w:hyperlink>
    </w:p>
    <w:p w14:paraId="461D136B" w14:textId="01B77DAC"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75" w:history="1">
        <w:r w:rsidRPr="00014809">
          <w:rPr>
            <w:rStyle w:val="Hyperlink"/>
            <w:noProof/>
          </w:rPr>
          <w:t>Table 33. Cost of policy, regulation, research (including treatment funding) in New Zealand (2023-24)</w:t>
        </w:r>
        <w:r>
          <w:rPr>
            <w:noProof/>
            <w:webHidden/>
          </w:rPr>
          <w:tab/>
        </w:r>
        <w:r>
          <w:rPr>
            <w:noProof/>
            <w:webHidden/>
          </w:rPr>
          <w:fldChar w:fldCharType="begin"/>
        </w:r>
        <w:r>
          <w:rPr>
            <w:noProof/>
            <w:webHidden/>
          </w:rPr>
          <w:instrText xml:space="preserve"> PAGEREF _Toc207619075 \h </w:instrText>
        </w:r>
        <w:r>
          <w:rPr>
            <w:noProof/>
            <w:webHidden/>
          </w:rPr>
        </w:r>
        <w:r>
          <w:rPr>
            <w:noProof/>
            <w:webHidden/>
          </w:rPr>
          <w:fldChar w:fldCharType="separate"/>
        </w:r>
        <w:r w:rsidR="00986A0D">
          <w:rPr>
            <w:noProof/>
            <w:webHidden/>
          </w:rPr>
          <w:t>176</w:t>
        </w:r>
        <w:r>
          <w:rPr>
            <w:noProof/>
            <w:webHidden/>
          </w:rPr>
          <w:fldChar w:fldCharType="end"/>
        </w:r>
      </w:hyperlink>
    </w:p>
    <w:p w14:paraId="647EC656" w14:textId="4364730E"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76" w:history="1">
        <w:r w:rsidRPr="00014809">
          <w:rPr>
            <w:rStyle w:val="Hyperlink"/>
            <w:noProof/>
          </w:rPr>
          <w:t>Table 34. Costs associated with provisions of services to people with gambling problems by non-profit organisations in New Zealand (2023-24).</w:t>
        </w:r>
        <w:r>
          <w:rPr>
            <w:noProof/>
            <w:webHidden/>
          </w:rPr>
          <w:tab/>
        </w:r>
        <w:r>
          <w:rPr>
            <w:noProof/>
            <w:webHidden/>
          </w:rPr>
          <w:fldChar w:fldCharType="begin"/>
        </w:r>
        <w:r>
          <w:rPr>
            <w:noProof/>
            <w:webHidden/>
          </w:rPr>
          <w:instrText xml:space="preserve"> PAGEREF _Toc207619076 \h </w:instrText>
        </w:r>
        <w:r>
          <w:rPr>
            <w:noProof/>
            <w:webHidden/>
          </w:rPr>
        </w:r>
        <w:r>
          <w:rPr>
            <w:noProof/>
            <w:webHidden/>
          </w:rPr>
          <w:fldChar w:fldCharType="separate"/>
        </w:r>
        <w:r w:rsidR="00986A0D">
          <w:rPr>
            <w:noProof/>
            <w:webHidden/>
          </w:rPr>
          <w:t>179</w:t>
        </w:r>
        <w:r>
          <w:rPr>
            <w:noProof/>
            <w:webHidden/>
          </w:rPr>
          <w:fldChar w:fldCharType="end"/>
        </w:r>
      </w:hyperlink>
    </w:p>
    <w:p w14:paraId="6E8BC29B" w14:textId="092CB54E"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77" w:history="1">
        <w:r w:rsidRPr="00014809">
          <w:rPr>
            <w:rStyle w:val="Hyperlink"/>
            <w:noProof/>
          </w:rPr>
          <w:t>Table 35. Detailed changes to total costs following a hypothetical ban on offshore online EGMs</w:t>
        </w:r>
        <w:r>
          <w:rPr>
            <w:noProof/>
            <w:webHidden/>
          </w:rPr>
          <w:tab/>
        </w:r>
        <w:r>
          <w:rPr>
            <w:noProof/>
            <w:webHidden/>
          </w:rPr>
          <w:fldChar w:fldCharType="begin"/>
        </w:r>
        <w:r>
          <w:rPr>
            <w:noProof/>
            <w:webHidden/>
          </w:rPr>
          <w:instrText xml:space="preserve"> PAGEREF _Toc207619077 \h </w:instrText>
        </w:r>
        <w:r>
          <w:rPr>
            <w:noProof/>
            <w:webHidden/>
          </w:rPr>
        </w:r>
        <w:r>
          <w:rPr>
            <w:noProof/>
            <w:webHidden/>
          </w:rPr>
          <w:fldChar w:fldCharType="separate"/>
        </w:r>
        <w:r w:rsidR="00986A0D">
          <w:rPr>
            <w:noProof/>
            <w:webHidden/>
          </w:rPr>
          <w:t>182</w:t>
        </w:r>
        <w:r>
          <w:rPr>
            <w:noProof/>
            <w:webHidden/>
          </w:rPr>
          <w:fldChar w:fldCharType="end"/>
        </w:r>
      </w:hyperlink>
    </w:p>
    <w:p w14:paraId="02B5ADB2" w14:textId="535B06E3"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78" w:history="1">
        <w:r w:rsidRPr="00014809">
          <w:rPr>
            <w:rStyle w:val="Hyperlink"/>
            <w:noProof/>
          </w:rPr>
          <w:t>Table 36. In-person non-casino EGM users and mean cost estimates</w:t>
        </w:r>
        <w:r>
          <w:rPr>
            <w:noProof/>
            <w:webHidden/>
          </w:rPr>
          <w:tab/>
        </w:r>
        <w:r>
          <w:rPr>
            <w:noProof/>
            <w:webHidden/>
          </w:rPr>
          <w:fldChar w:fldCharType="begin"/>
        </w:r>
        <w:r>
          <w:rPr>
            <w:noProof/>
            <w:webHidden/>
          </w:rPr>
          <w:instrText xml:space="preserve"> PAGEREF _Toc207619078 \h </w:instrText>
        </w:r>
        <w:r>
          <w:rPr>
            <w:noProof/>
            <w:webHidden/>
          </w:rPr>
        </w:r>
        <w:r>
          <w:rPr>
            <w:noProof/>
            <w:webHidden/>
          </w:rPr>
          <w:fldChar w:fldCharType="separate"/>
        </w:r>
        <w:r w:rsidR="00986A0D">
          <w:rPr>
            <w:noProof/>
            <w:webHidden/>
          </w:rPr>
          <w:t>185</w:t>
        </w:r>
        <w:r>
          <w:rPr>
            <w:noProof/>
            <w:webHidden/>
          </w:rPr>
          <w:fldChar w:fldCharType="end"/>
        </w:r>
      </w:hyperlink>
    </w:p>
    <w:p w14:paraId="0ED54309" w14:textId="123D83E3"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79" w:history="1">
        <w:r w:rsidRPr="00014809">
          <w:rPr>
            <w:rStyle w:val="Hyperlink"/>
            <w:noProof/>
          </w:rPr>
          <w:t>Table 37. Changes in excess spend following hypothetical EGM loss limits</w:t>
        </w:r>
        <w:r>
          <w:rPr>
            <w:noProof/>
            <w:webHidden/>
          </w:rPr>
          <w:tab/>
        </w:r>
        <w:r>
          <w:rPr>
            <w:noProof/>
            <w:webHidden/>
          </w:rPr>
          <w:fldChar w:fldCharType="begin"/>
        </w:r>
        <w:r>
          <w:rPr>
            <w:noProof/>
            <w:webHidden/>
          </w:rPr>
          <w:instrText xml:space="preserve"> PAGEREF _Toc207619079 \h </w:instrText>
        </w:r>
        <w:r>
          <w:rPr>
            <w:noProof/>
            <w:webHidden/>
          </w:rPr>
        </w:r>
        <w:r>
          <w:rPr>
            <w:noProof/>
            <w:webHidden/>
          </w:rPr>
          <w:fldChar w:fldCharType="separate"/>
        </w:r>
        <w:r w:rsidR="00986A0D">
          <w:rPr>
            <w:noProof/>
            <w:webHidden/>
          </w:rPr>
          <w:t>186</w:t>
        </w:r>
        <w:r>
          <w:rPr>
            <w:noProof/>
            <w:webHidden/>
          </w:rPr>
          <w:fldChar w:fldCharType="end"/>
        </w:r>
      </w:hyperlink>
    </w:p>
    <w:p w14:paraId="26795AAF" w14:textId="64FFB215"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80" w:history="1">
        <w:r w:rsidRPr="00014809">
          <w:rPr>
            <w:rStyle w:val="Hyperlink"/>
            <w:noProof/>
          </w:rPr>
          <w:t>Table 38. Proportional change in costs attributable to in-venue Class 4 pokies following the EGM loss limits</w:t>
        </w:r>
        <w:r>
          <w:rPr>
            <w:noProof/>
            <w:webHidden/>
          </w:rPr>
          <w:tab/>
        </w:r>
        <w:r>
          <w:rPr>
            <w:noProof/>
            <w:webHidden/>
          </w:rPr>
          <w:fldChar w:fldCharType="begin"/>
        </w:r>
        <w:r>
          <w:rPr>
            <w:noProof/>
            <w:webHidden/>
          </w:rPr>
          <w:instrText xml:space="preserve"> PAGEREF _Toc207619080 \h </w:instrText>
        </w:r>
        <w:r>
          <w:rPr>
            <w:noProof/>
            <w:webHidden/>
          </w:rPr>
        </w:r>
        <w:r>
          <w:rPr>
            <w:noProof/>
            <w:webHidden/>
          </w:rPr>
          <w:fldChar w:fldCharType="separate"/>
        </w:r>
        <w:r w:rsidR="00986A0D">
          <w:rPr>
            <w:noProof/>
            <w:webHidden/>
          </w:rPr>
          <w:t>187</w:t>
        </w:r>
        <w:r>
          <w:rPr>
            <w:noProof/>
            <w:webHidden/>
          </w:rPr>
          <w:fldChar w:fldCharType="end"/>
        </w:r>
      </w:hyperlink>
    </w:p>
    <w:p w14:paraId="1898AEB6" w14:textId="31796C51"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81" w:history="1">
        <w:r w:rsidRPr="00014809">
          <w:rPr>
            <w:rStyle w:val="Hyperlink"/>
            <w:noProof/>
          </w:rPr>
          <w:t>Table 39. Summary of change in total cost of gambling due to EGM loss limits</w:t>
        </w:r>
        <w:r>
          <w:rPr>
            <w:noProof/>
            <w:webHidden/>
          </w:rPr>
          <w:tab/>
        </w:r>
        <w:r>
          <w:rPr>
            <w:noProof/>
            <w:webHidden/>
          </w:rPr>
          <w:fldChar w:fldCharType="begin"/>
        </w:r>
        <w:r>
          <w:rPr>
            <w:noProof/>
            <w:webHidden/>
          </w:rPr>
          <w:instrText xml:space="preserve"> PAGEREF _Toc207619081 \h </w:instrText>
        </w:r>
        <w:r>
          <w:rPr>
            <w:noProof/>
            <w:webHidden/>
          </w:rPr>
        </w:r>
        <w:r>
          <w:rPr>
            <w:noProof/>
            <w:webHidden/>
          </w:rPr>
          <w:fldChar w:fldCharType="separate"/>
        </w:r>
        <w:r w:rsidR="00986A0D">
          <w:rPr>
            <w:noProof/>
            <w:webHidden/>
          </w:rPr>
          <w:t>187</w:t>
        </w:r>
        <w:r>
          <w:rPr>
            <w:noProof/>
            <w:webHidden/>
          </w:rPr>
          <w:fldChar w:fldCharType="end"/>
        </w:r>
      </w:hyperlink>
    </w:p>
    <w:p w14:paraId="34734C5E" w14:textId="3A0FB446"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82" w:history="1">
        <w:r w:rsidRPr="00014809">
          <w:rPr>
            <w:rStyle w:val="Hyperlink"/>
            <w:noProof/>
          </w:rPr>
          <w:t>Table 40. Summary of changes in total costs of gambling due to EGM loss limits by ethnic group</w:t>
        </w:r>
        <w:r>
          <w:rPr>
            <w:noProof/>
            <w:webHidden/>
          </w:rPr>
          <w:tab/>
        </w:r>
        <w:r>
          <w:rPr>
            <w:noProof/>
            <w:webHidden/>
          </w:rPr>
          <w:fldChar w:fldCharType="begin"/>
        </w:r>
        <w:r>
          <w:rPr>
            <w:noProof/>
            <w:webHidden/>
          </w:rPr>
          <w:instrText xml:space="preserve"> PAGEREF _Toc207619082 \h </w:instrText>
        </w:r>
        <w:r>
          <w:rPr>
            <w:noProof/>
            <w:webHidden/>
          </w:rPr>
        </w:r>
        <w:r>
          <w:rPr>
            <w:noProof/>
            <w:webHidden/>
          </w:rPr>
          <w:fldChar w:fldCharType="separate"/>
        </w:r>
        <w:r w:rsidR="00986A0D">
          <w:rPr>
            <w:noProof/>
            <w:webHidden/>
          </w:rPr>
          <w:t>188</w:t>
        </w:r>
        <w:r>
          <w:rPr>
            <w:noProof/>
            <w:webHidden/>
          </w:rPr>
          <w:fldChar w:fldCharType="end"/>
        </w:r>
      </w:hyperlink>
    </w:p>
    <w:p w14:paraId="46457A3B" w14:textId="604FFECB"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83" w:history="1">
        <w:r w:rsidRPr="00014809">
          <w:rPr>
            <w:rStyle w:val="Hyperlink"/>
            <w:noProof/>
          </w:rPr>
          <w:t>Table 41. Detailed changes to total costs following a ban on EGMs in non-casino venues</w:t>
        </w:r>
        <w:r>
          <w:rPr>
            <w:noProof/>
            <w:webHidden/>
          </w:rPr>
          <w:tab/>
        </w:r>
        <w:r>
          <w:rPr>
            <w:noProof/>
            <w:webHidden/>
          </w:rPr>
          <w:fldChar w:fldCharType="begin"/>
        </w:r>
        <w:r>
          <w:rPr>
            <w:noProof/>
            <w:webHidden/>
          </w:rPr>
          <w:instrText xml:space="preserve"> PAGEREF _Toc207619083 \h </w:instrText>
        </w:r>
        <w:r>
          <w:rPr>
            <w:noProof/>
            <w:webHidden/>
          </w:rPr>
        </w:r>
        <w:r>
          <w:rPr>
            <w:noProof/>
            <w:webHidden/>
          </w:rPr>
          <w:fldChar w:fldCharType="separate"/>
        </w:r>
        <w:r w:rsidR="00986A0D">
          <w:rPr>
            <w:noProof/>
            <w:webHidden/>
          </w:rPr>
          <w:t>190</w:t>
        </w:r>
        <w:r>
          <w:rPr>
            <w:noProof/>
            <w:webHidden/>
          </w:rPr>
          <w:fldChar w:fldCharType="end"/>
        </w:r>
      </w:hyperlink>
    </w:p>
    <w:p w14:paraId="726EF93B" w14:textId="17E62EB7"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84" w:history="1">
        <w:r w:rsidRPr="00014809">
          <w:rPr>
            <w:rStyle w:val="Hyperlink"/>
            <w:noProof/>
          </w:rPr>
          <w:t>Table 42. Detailed changes to the total cost of gambling problems by ethnic group following a ban on EGMs in non-casino venues</w:t>
        </w:r>
        <w:r>
          <w:rPr>
            <w:noProof/>
            <w:webHidden/>
          </w:rPr>
          <w:tab/>
        </w:r>
        <w:r>
          <w:rPr>
            <w:noProof/>
            <w:webHidden/>
          </w:rPr>
          <w:fldChar w:fldCharType="begin"/>
        </w:r>
        <w:r>
          <w:rPr>
            <w:noProof/>
            <w:webHidden/>
          </w:rPr>
          <w:instrText xml:space="preserve"> PAGEREF _Toc207619084 \h </w:instrText>
        </w:r>
        <w:r>
          <w:rPr>
            <w:noProof/>
            <w:webHidden/>
          </w:rPr>
        </w:r>
        <w:r>
          <w:rPr>
            <w:noProof/>
            <w:webHidden/>
          </w:rPr>
          <w:fldChar w:fldCharType="separate"/>
        </w:r>
        <w:r w:rsidR="00986A0D">
          <w:rPr>
            <w:noProof/>
            <w:webHidden/>
          </w:rPr>
          <w:t>190</w:t>
        </w:r>
        <w:r>
          <w:rPr>
            <w:noProof/>
            <w:webHidden/>
          </w:rPr>
          <w:fldChar w:fldCharType="end"/>
        </w:r>
      </w:hyperlink>
    </w:p>
    <w:p w14:paraId="265C376F" w14:textId="751A1223"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85" w:history="1">
        <w:r w:rsidRPr="00014809">
          <w:rPr>
            <w:rStyle w:val="Hyperlink"/>
            <w:noProof/>
          </w:rPr>
          <w:t>Table 43. Detailed changes to costs of gambling harm following the introduction of a sinking-lid policy to reduce the number of in-venue Class 4 pokies</w:t>
        </w:r>
        <w:r>
          <w:rPr>
            <w:noProof/>
            <w:webHidden/>
          </w:rPr>
          <w:tab/>
        </w:r>
        <w:r>
          <w:rPr>
            <w:noProof/>
            <w:webHidden/>
          </w:rPr>
          <w:fldChar w:fldCharType="begin"/>
        </w:r>
        <w:r>
          <w:rPr>
            <w:noProof/>
            <w:webHidden/>
          </w:rPr>
          <w:instrText xml:space="preserve"> PAGEREF _Toc207619085 \h </w:instrText>
        </w:r>
        <w:r>
          <w:rPr>
            <w:noProof/>
            <w:webHidden/>
          </w:rPr>
        </w:r>
        <w:r>
          <w:rPr>
            <w:noProof/>
            <w:webHidden/>
          </w:rPr>
          <w:fldChar w:fldCharType="separate"/>
        </w:r>
        <w:r w:rsidR="00986A0D">
          <w:rPr>
            <w:noProof/>
            <w:webHidden/>
          </w:rPr>
          <w:t>192</w:t>
        </w:r>
        <w:r>
          <w:rPr>
            <w:noProof/>
            <w:webHidden/>
          </w:rPr>
          <w:fldChar w:fldCharType="end"/>
        </w:r>
      </w:hyperlink>
    </w:p>
    <w:p w14:paraId="3AC75F7D" w14:textId="418AD65D"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86" w:history="1">
        <w:r w:rsidRPr="00014809">
          <w:rPr>
            <w:rStyle w:val="Hyperlink"/>
            <w:noProof/>
          </w:rPr>
          <w:t>Table 44. Detailed changes to the total cost of gambling harm by ethnic group following the introduction of a sinking-lid policy to reduce the number of in-venue non-casino in-person EGMs</w:t>
        </w:r>
        <w:r>
          <w:rPr>
            <w:noProof/>
            <w:webHidden/>
          </w:rPr>
          <w:tab/>
        </w:r>
        <w:r>
          <w:rPr>
            <w:noProof/>
            <w:webHidden/>
          </w:rPr>
          <w:fldChar w:fldCharType="begin"/>
        </w:r>
        <w:r>
          <w:rPr>
            <w:noProof/>
            <w:webHidden/>
          </w:rPr>
          <w:instrText xml:space="preserve"> PAGEREF _Toc207619086 \h </w:instrText>
        </w:r>
        <w:r>
          <w:rPr>
            <w:noProof/>
            <w:webHidden/>
          </w:rPr>
        </w:r>
        <w:r>
          <w:rPr>
            <w:noProof/>
            <w:webHidden/>
          </w:rPr>
          <w:fldChar w:fldCharType="separate"/>
        </w:r>
        <w:r w:rsidR="00986A0D">
          <w:rPr>
            <w:noProof/>
            <w:webHidden/>
          </w:rPr>
          <w:t>192</w:t>
        </w:r>
        <w:r>
          <w:rPr>
            <w:noProof/>
            <w:webHidden/>
          </w:rPr>
          <w:fldChar w:fldCharType="end"/>
        </w:r>
      </w:hyperlink>
    </w:p>
    <w:p w14:paraId="0DA700CD" w14:textId="0E53EFB0"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87" w:history="1">
        <w:r w:rsidRPr="00014809">
          <w:rPr>
            <w:rStyle w:val="Hyperlink"/>
            <w:noProof/>
          </w:rPr>
          <w:t>Table 45. The proportion of the adult population of New Zealand in Scenario 1 and Scenario 2 compared to the current situation</w:t>
        </w:r>
        <w:r>
          <w:rPr>
            <w:noProof/>
            <w:webHidden/>
          </w:rPr>
          <w:tab/>
        </w:r>
        <w:r>
          <w:rPr>
            <w:noProof/>
            <w:webHidden/>
          </w:rPr>
          <w:fldChar w:fldCharType="begin"/>
        </w:r>
        <w:r>
          <w:rPr>
            <w:noProof/>
            <w:webHidden/>
          </w:rPr>
          <w:instrText xml:space="preserve"> PAGEREF _Toc207619087 \h </w:instrText>
        </w:r>
        <w:r>
          <w:rPr>
            <w:noProof/>
            <w:webHidden/>
          </w:rPr>
        </w:r>
        <w:r>
          <w:rPr>
            <w:noProof/>
            <w:webHidden/>
          </w:rPr>
          <w:fldChar w:fldCharType="separate"/>
        </w:r>
        <w:r w:rsidR="00986A0D">
          <w:rPr>
            <w:noProof/>
            <w:webHidden/>
          </w:rPr>
          <w:t>197</w:t>
        </w:r>
        <w:r>
          <w:rPr>
            <w:noProof/>
            <w:webHidden/>
          </w:rPr>
          <w:fldChar w:fldCharType="end"/>
        </w:r>
      </w:hyperlink>
    </w:p>
    <w:p w14:paraId="5AD66966" w14:textId="4DF01CE0" w:rsidR="00447491" w:rsidRDefault="00447491">
      <w:pPr>
        <w:pStyle w:val="TableofFigures"/>
        <w:tabs>
          <w:tab w:val="right" w:leader="dot" w:pos="9317"/>
        </w:tabs>
        <w:rPr>
          <w:rFonts w:asciiTheme="minorHAnsi" w:eastAsiaTheme="minorEastAsia" w:hAnsiTheme="minorHAnsi" w:cstheme="minorBidi"/>
          <w:noProof/>
          <w:kern w:val="2"/>
          <w14:ligatures w14:val="standardContextual"/>
        </w:rPr>
      </w:pPr>
      <w:hyperlink w:anchor="_Toc207619088" w:history="1">
        <w:r w:rsidRPr="00014809">
          <w:rPr>
            <w:rStyle w:val="Hyperlink"/>
            <w:noProof/>
          </w:rPr>
          <w:t>Table 46. The impact of scenario 1 and scenario 2 on the cost of gambling harm in New Zealand, compared to the current situation.</w:t>
        </w:r>
        <w:r>
          <w:rPr>
            <w:noProof/>
            <w:webHidden/>
          </w:rPr>
          <w:tab/>
        </w:r>
        <w:r>
          <w:rPr>
            <w:noProof/>
            <w:webHidden/>
          </w:rPr>
          <w:fldChar w:fldCharType="begin"/>
        </w:r>
        <w:r>
          <w:rPr>
            <w:noProof/>
            <w:webHidden/>
          </w:rPr>
          <w:instrText xml:space="preserve"> PAGEREF _Toc207619088 \h </w:instrText>
        </w:r>
        <w:r>
          <w:rPr>
            <w:noProof/>
            <w:webHidden/>
          </w:rPr>
        </w:r>
        <w:r>
          <w:rPr>
            <w:noProof/>
            <w:webHidden/>
          </w:rPr>
          <w:fldChar w:fldCharType="separate"/>
        </w:r>
        <w:r w:rsidR="00986A0D">
          <w:rPr>
            <w:noProof/>
            <w:webHidden/>
          </w:rPr>
          <w:t>198</w:t>
        </w:r>
        <w:r>
          <w:rPr>
            <w:noProof/>
            <w:webHidden/>
          </w:rPr>
          <w:fldChar w:fldCharType="end"/>
        </w:r>
      </w:hyperlink>
    </w:p>
    <w:p w14:paraId="5DBBE18F" w14:textId="6E965F58" w:rsidR="00DB689D" w:rsidRDefault="003043E5" w:rsidP="007473EA">
      <w:pPr>
        <w:spacing w:line="276" w:lineRule="auto"/>
        <w:rPr>
          <w:highlight w:val="yellow"/>
        </w:rPr>
      </w:pPr>
      <w:r>
        <w:fldChar w:fldCharType="end"/>
      </w:r>
      <w:r>
        <w:br w:type="page"/>
      </w:r>
    </w:p>
    <w:p w14:paraId="0BC91161" w14:textId="72DA4980" w:rsidR="00DB689D" w:rsidRPr="0038398B" w:rsidRDefault="00310A10" w:rsidP="00523B7E">
      <w:pPr>
        <w:pStyle w:val="Heading1notnumbered"/>
      </w:pPr>
      <w:bookmarkStart w:id="7" w:name="_e4lib5wf4t2" w:colFirst="0" w:colLast="0"/>
      <w:bookmarkStart w:id="8" w:name="_Toc207195868"/>
      <w:bookmarkEnd w:id="7"/>
      <w:r w:rsidRPr="0038398B">
        <w:t xml:space="preserve">Table of </w:t>
      </w:r>
      <w:r w:rsidR="00E06C93">
        <w:t>f</w:t>
      </w:r>
      <w:r w:rsidR="00E06C93" w:rsidRPr="0038398B">
        <w:t>igures</w:t>
      </w:r>
      <w:bookmarkEnd w:id="8"/>
      <w:r w:rsidR="00E06C93" w:rsidRPr="0038398B">
        <w:t xml:space="preserve"> </w:t>
      </w:r>
    </w:p>
    <w:p w14:paraId="36A8555C" w14:textId="3C6163FC" w:rsidR="00E916B3" w:rsidRDefault="00F6447C" w:rsidP="007473EA">
      <w:pPr>
        <w:pStyle w:val="TableofFigures"/>
        <w:tabs>
          <w:tab w:val="right" w:leader="dot" w:pos="9317"/>
        </w:tabs>
        <w:spacing w:line="276" w:lineRule="auto"/>
        <w:rPr>
          <w:rFonts w:asciiTheme="minorHAnsi" w:eastAsiaTheme="minorEastAsia" w:hAnsiTheme="minorHAnsi" w:cstheme="minorBidi"/>
          <w:noProof/>
          <w:kern w:val="2"/>
          <w14:ligatures w14:val="standardContextual"/>
        </w:rPr>
      </w:pPr>
      <w:r>
        <w:fldChar w:fldCharType="begin"/>
      </w:r>
      <w:r>
        <w:instrText xml:space="preserve"> TOC \h \z \c "Figure" </w:instrText>
      </w:r>
      <w:r>
        <w:fldChar w:fldCharType="separate"/>
      </w:r>
      <w:hyperlink w:anchor="_Toc207196074" w:history="1">
        <w:r w:rsidR="00E916B3" w:rsidRPr="00BF2BEE">
          <w:rPr>
            <w:rStyle w:val="Hyperlink"/>
            <w:noProof/>
          </w:rPr>
          <w:t>Figure 1. Cost of gambling problems to New Zealand (2023-24) by cost category</w:t>
        </w:r>
        <w:r w:rsidR="00E916B3">
          <w:rPr>
            <w:noProof/>
            <w:webHidden/>
          </w:rPr>
          <w:tab/>
        </w:r>
        <w:r w:rsidR="00E916B3">
          <w:rPr>
            <w:noProof/>
            <w:webHidden/>
          </w:rPr>
          <w:fldChar w:fldCharType="begin"/>
        </w:r>
        <w:r w:rsidR="00E916B3">
          <w:rPr>
            <w:noProof/>
            <w:webHidden/>
          </w:rPr>
          <w:instrText xml:space="preserve"> PAGEREF _Toc207196074 \h </w:instrText>
        </w:r>
        <w:r w:rsidR="00E916B3">
          <w:rPr>
            <w:noProof/>
            <w:webHidden/>
          </w:rPr>
        </w:r>
        <w:r w:rsidR="00E916B3">
          <w:rPr>
            <w:noProof/>
            <w:webHidden/>
          </w:rPr>
          <w:fldChar w:fldCharType="separate"/>
        </w:r>
        <w:r w:rsidR="00986A0D">
          <w:rPr>
            <w:noProof/>
            <w:webHidden/>
          </w:rPr>
          <w:t>14</w:t>
        </w:r>
        <w:r w:rsidR="00E916B3">
          <w:rPr>
            <w:noProof/>
            <w:webHidden/>
          </w:rPr>
          <w:fldChar w:fldCharType="end"/>
        </w:r>
      </w:hyperlink>
    </w:p>
    <w:p w14:paraId="72DF72BA" w14:textId="2A99D44E" w:rsidR="00E916B3" w:rsidRDefault="00E916B3" w:rsidP="007473EA">
      <w:pPr>
        <w:pStyle w:val="TableofFigures"/>
        <w:tabs>
          <w:tab w:val="right" w:leader="dot" w:pos="9317"/>
        </w:tabs>
        <w:spacing w:line="276" w:lineRule="auto"/>
        <w:rPr>
          <w:rFonts w:asciiTheme="minorHAnsi" w:eastAsiaTheme="minorEastAsia" w:hAnsiTheme="minorHAnsi" w:cstheme="minorBidi"/>
          <w:noProof/>
          <w:kern w:val="2"/>
          <w14:ligatures w14:val="standardContextual"/>
        </w:rPr>
      </w:pPr>
      <w:hyperlink w:anchor="_Toc207196075" w:history="1">
        <w:r w:rsidRPr="00BF2BEE">
          <w:rPr>
            <w:rStyle w:val="Hyperlink"/>
            <w:noProof/>
          </w:rPr>
          <w:t>Figure 2. Cost components with upper and lower bounds</w:t>
        </w:r>
        <w:r>
          <w:rPr>
            <w:noProof/>
            <w:webHidden/>
          </w:rPr>
          <w:tab/>
        </w:r>
        <w:r>
          <w:rPr>
            <w:noProof/>
            <w:webHidden/>
          </w:rPr>
          <w:fldChar w:fldCharType="begin"/>
        </w:r>
        <w:r>
          <w:rPr>
            <w:noProof/>
            <w:webHidden/>
          </w:rPr>
          <w:instrText xml:space="preserve"> PAGEREF _Toc207196075 \h </w:instrText>
        </w:r>
        <w:r>
          <w:rPr>
            <w:noProof/>
            <w:webHidden/>
          </w:rPr>
        </w:r>
        <w:r>
          <w:rPr>
            <w:noProof/>
            <w:webHidden/>
          </w:rPr>
          <w:fldChar w:fldCharType="separate"/>
        </w:r>
        <w:r w:rsidR="00986A0D">
          <w:rPr>
            <w:noProof/>
            <w:webHidden/>
          </w:rPr>
          <w:t>15</w:t>
        </w:r>
        <w:r>
          <w:rPr>
            <w:noProof/>
            <w:webHidden/>
          </w:rPr>
          <w:fldChar w:fldCharType="end"/>
        </w:r>
      </w:hyperlink>
    </w:p>
    <w:p w14:paraId="01412E47" w14:textId="43195BD2" w:rsidR="00E916B3" w:rsidRDefault="00E916B3" w:rsidP="007473EA">
      <w:pPr>
        <w:pStyle w:val="TableofFigures"/>
        <w:tabs>
          <w:tab w:val="right" w:leader="dot" w:pos="9317"/>
        </w:tabs>
        <w:spacing w:line="276" w:lineRule="auto"/>
        <w:rPr>
          <w:rFonts w:asciiTheme="minorHAnsi" w:eastAsiaTheme="minorEastAsia" w:hAnsiTheme="minorHAnsi" w:cstheme="minorBidi"/>
          <w:noProof/>
          <w:kern w:val="2"/>
          <w14:ligatures w14:val="standardContextual"/>
        </w:rPr>
      </w:pPr>
      <w:hyperlink w:anchor="_Toc207196076" w:history="1">
        <w:r w:rsidRPr="00BF2BEE">
          <w:rPr>
            <w:rStyle w:val="Hyperlink"/>
            <w:noProof/>
          </w:rPr>
          <w:t>Figure 3. The cost of gambling problems to New Zealand (2023-24) by bearer of cost</w:t>
        </w:r>
        <w:r>
          <w:rPr>
            <w:noProof/>
            <w:webHidden/>
          </w:rPr>
          <w:tab/>
        </w:r>
        <w:r>
          <w:rPr>
            <w:noProof/>
            <w:webHidden/>
          </w:rPr>
          <w:fldChar w:fldCharType="begin"/>
        </w:r>
        <w:r>
          <w:rPr>
            <w:noProof/>
            <w:webHidden/>
          </w:rPr>
          <w:instrText xml:space="preserve"> PAGEREF _Toc207196076 \h </w:instrText>
        </w:r>
        <w:r>
          <w:rPr>
            <w:noProof/>
            <w:webHidden/>
          </w:rPr>
        </w:r>
        <w:r>
          <w:rPr>
            <w:noProof/>
            <w:webHidden/>
          </w:rPr>
          <w:fldChar w:fldCharType="separate"/>
        </w:r>
        <w:r w:rsidR="00986A0D">
          <w:rPr>
            <w:noProof/>
            <w:webHidden/>
          </w:rPr>
          <w:t>16</w:t>
        </w:r>
        <w:r>
          <w:rPr>
            <w:noProof/>
            <w:webHidden/>
          </w:rPr>
          <w:fldChar w:fldCharType="end"/>
        </w:r>
      </w:hyperlink>
    </w:p>
    <w:p w14:paraId="3C991211" w14:textId="5891D621" w:rsidR="00E916B3" w:rsidRDefault="00E916B3" w:rsidP="007473EA">
      <w:pPr>
        <w:pStyle w:val="TableofFigures"/>
        <w:tabs>
          <w:tab w:val="right" w:leader="dot" w:pos="9317"/>
        </w:tabs>
        <w:spacing w:line="276" w:lineRule="auto"/>
        <w:rPr>
          <w:rFonts w:asciiTheme="minorHAnsi" w:eastAsiaTheme="minorEastAsia" w:hAnsiTheme="minorHAnsi" w:cstheme="minorBidi"/>
          <w:noProof/>
          <w:kern w:val="2"/>
          <w14:ligatures w14:val="standardContextual"/>
        </w:rPr>
      </w:pPr>
      <w:hyperlink w:anchor="_Toc207196077" w:history="1">
        <w:r w:rsidRPr="00BF2BEE">
          <w:rPr>
            <w:rStyle w:val="Hyperlink"/>
            <w:noProof/>
          </w:rPr>
          <w:t>Figure 4. Distribution of the cost of gambling problems in New Zealand (2023-24), by cultural group compared to population prevalence</w:t>
        </w:r>
        <w:r>
          <w:rPr>
            <w:noProof/>
            <w:webHidden/>
          </w:rPr>
          <w:tab/>
        </w:r>
        <w:r>
          <w:rPr>
            <w:noProof/>
            <w:webHidden/>
          </w:rPr>
          <w:fldChar w:fldCharType="begin"/>
        </w:r>
        <w:r>
          <w:rPr>
            <w:noProof/>
            <w:webHidden/>
          </w:rPr>
          <w:instrText xml:space="preserve"> PAGEREF _Toc207196077 \h </w:instrText>
        </w:r>
        <w:r>
          <w:rPr>
            <w:noProof/>
            <w:webHidden/>
          </w:rPr>
        </w:r>
        <w:r>
          <w:rPr>
            <w:noProof/>
            <w:webHidden/>
          </w:rPr>
          <w:fldChar w:fldCharType="separate"/>
        </w:r>
        <w:r w:rsidR="00986A0D">
          <w:rPr>
            <w:noProof/>
            <w:webHidden/>
          </w:rPr>
          <w:t>17</w:t>
        </w:r>
        <w:r>
          <w:rPr>
            <w:noProof/>
            <w:webHidden/>
          </w:rPr>
          <w:fldChar w:fldCharType="end"/>
        </w:r>
      </w:hyperlink>
    </w:p>
    <w:p w14:paraId="5756D976" w14:textId="733BE795" w:rsidR="00E916B3" w:rsidRDefault="00E916B3" w:rsidP="007473EA">
      <w:pPr>
        <w:pStyle w:val="TableofFigures"/>
        <w:tabs>
          <w:tab w:val="right" w:leader="dot" w:pos="9317"/>
        </w:tabs>
        <w:spacing w:line="276" w:lineRule="auto"/>
        <w:rPr>
          <w:rFonts w:asciiTheme="minorHAnsi" w:eastAsiaTheme="minorEastAsia" w:hAnsiTheme="minorHAnsi" w:cstheme="minorBidi"/>
          <w:noProof/>
          <w:kern w:val="2"/>
          <w14:ligatures w14:val="standardContextual"/>
        </w:rPr>
      </w:pPr>
      <w:hyperlink w:anchor="_Toc207196078" w:history="1">
        <w:r w:rsidRPr="00BF2BEE">
          <w:rPr>
            <w:rStyle w:val="Hyperlink"/>
            <w:noProof/>
          </w:rPr>
          <w:t>Figure 5. The cost of gambling attributable to each form</w:t>
        </w:r>
        <w:r>
          <w:rPr>
            <w:noProof/>
            <w:webHidden/>
          </w:rPr>
          <w:tab/>
        </w:r>
        <w:r>
          <w:rPr>
            <w:noProof/>
            <w:webHidden/>
          </w:rPr>
          <w:fldChar w:fldCharType="begin"/>
        </w:r>
        <w:r>
          <w:rPr>
            <w:noProof/>
            <w:webHidden/>
          </w:rPr>
          <w:instrText xml:space="preserve"> PAGEREF _Toc207196078 \h </w:instrText>
        </w:r>
        <w:r>
          <w:rPr>
            <w:noProof/>
            <w:webHidden/>
          </w:rPr>
        </w:r>
        <w:r>
          <w:rPr>
            <w:noProof/>
            <w:webHidden/>
          </w:rPr>
          <w:fldChar w:fldCharType="separate"/>
        </w:r>
        <w:r w:rsidR="00986A0D">
          <w:rPr>
            <w:noProof/>
            <w:webHidden/>
          </w:rPr>
          <w:t>18</w:t>
        </w:r>
        <w:r>
          <w:rPr>
            <w:noProof/>
            <w:webHidden/>
          </w:rPr>
          <w:fldChar w:fldCharType="end"/>
        </w:r>
      </w:hyperlink>
    </w:p>
    <w:p w14:paraId="39E16D84" w14:textId="413CBA29" w:rsidR="00E916B3" w:rsidRDefault="00E916B3" w:rsidP="007473EA">
      <w:pPr>
        <w:pStyle w:val="TableofFigures"/>
        <w:tabs>
          <w:tab w:val="right" w:leader="dot" w:pos="9317"/>
        </w:tabs>
        <w:spacing w:line="276" w:lineRule="auto"/>
        <w:rPr>
          <w:rFonts w:asciiTheme="minorHAnsi" w:eastAsiaTheme="minorEastAsia" w:hAnsiTheme="minorHAnsi" w:cstheme="minorBidi"/>
          <w:noProof/>
          <w:kern w:val="2"/>
          <w14:ligatures w14:val="standardContextual"/>
        </w:rPr>
      </w:pPr>
      <w:hyperlink w:anchor="_Toc207196079" w:history="1">
        <w:r w:rsidRPr="00BF2BEE">
          <w:rPr>
            <w:rStyle w:val="Hyperlink"/>
            <w:noProof/>
          </w:rPr>
          <w:t>Figure 6. Conceptual Framework of Gambling Related Harm (Langham et al., 2016)</w:t>
        </w:r>
        <w:r>
          <w:rPr>
            <w:noProof/>
            <w:webHidden/>
          </w:rPr>
          <w:tab/>
        </w:r>
        <w:r>
          <w:rPr>
            <w:noProof/>
            <w:webHidden/>
          </w:rPr>
          <w:fldChar w:fldCharType="begin"/>
        </w:r>
        <w:r>
          <w:rPr>
            <w:noProof/>
            <w:webHidden/>
          </w:rPr>
          <w:instrText xml:space="preserve"> PAGEREF _Toc207196079 \h </w:instrText>
        </w:r>
        <w:r>
          <w:rPr>
            <w:noProof/>
            <w:webHidden/>
          </w:rPr>
        </w:r>
        <w:r>
          <w:rPr>
            <w:noProof/>
            <w:webHidden/>
          </w:rPr>
          <w:fldChar w:fldCharType="separate"/>
        </w:r>
        <w:r w:rsidR="00986A0D">
          <w:rPr>
            <w:noProof/>
            <w:webHidden/>
          </w:rPr>
          <w:t>64</w:t>
        </w:r>
        <w:r>
          <w:rPr>
            <w:noProof/>
            <w:webHidden/>
          </w:rPr>
          <w:fldChar w:fldCharType="end"/>
        </w:r>
      </w:hyperlink>
    </w:p>
    <w:p w14:paraId="18333F24" w14:textId="18419CC5" w:rsidR="00E916B3" w:rsidRDefault="00E916B3" w:rsidP="007473EA">
      <w:pPr>
        <w:pStyle w:val="TableofFigures"/>
        <w:tabs>
          <w:tab w:val="right" w:leader="dot" w:pos="9317"/>
        </w:tabs>
        <w:spacing w:line="276" w:lineRule="auto"/>
        <w:rPr>
          <w:rFonts w:asciiTheme="minorHAnsi" w:eastAsiaTheme="minorEastAsia" w:hAnsiTheme="minorHAnsi" w:cstheme="minorBidi"/>
          <w:noProof/>
          <w:kern w:val="2"/>
          <w14:ligatures w14:val="standardContextual"/>
        </w:rPr>
      </w:pPr>
      <w:hyperlink w:anchor="_Toc207196080" w:history="1">
        <w:r w:rsidRPr="00BF2BEE">
          <w:rPr>
            <w:rStyle w:val="Hyperlink"/>
            <w:noProof/>
          </w:rPr>
          <w:t>Figure 7. Policy impact estimation process</w:t>
        </w:r>
        <w:r>
          <w:rPr>
            <w:noProof/>
            <w:webHidden/>
          </w:rPr>
          <w:tab/>
        </w:r>
        <w:r>
          <w:rPr>
            <w:noProof/>
            <w:webHidden/>
          </w:rPr>
          <w:fldChar w:fldCharType="begin"/>
        </w:r>
        <w:r>
          <w:rPr>
            <w:noProof/>
            <w:webHidden/>
          </w:rPr>
          <w:instrText xml:space="preserve"> PAGEREF _Toc207196080 \h </w:instrText>
        </w:r>
        <w:r>
          <w:rPr>
            <w:noProof/>
            <w:webHidden/>
          </w:rPr>
        </w:r>
        <w:r>
          <w:rPr>
            <w:noProof/>
            <w:webHidden/>
          </w:rPr>
          <w:fldChar w:fldCharType="separate"/>
        </w:r>
        <w:r w:rsidR="00986A0D">
          <w:rPr>
            <w:noProof/>
            <w:webHidden/>
          </w:rPr>
          <w:t>194</w:t>
        </w:r>
        <w:r>
          <w:rPr>
            <w:noProof/>
            <w:webHidden/>
          </w:rPr>
          <w:fldChar w:fldCharType="end"/>
        </w:r>
      </w:hyperlink>
    </w:p>
    <w:p w14:paraId="010A07EC" w14:textId="21929A3E" w:rsidR="00E916B3" w:rsidRDefault="00E916B3" w:rsidP="007473EA">
      <w:pPr>
        <w:pStyle w:val="TableofFigures"/>
        <w:tabs>
          <w:tab w:val="right" w:leader="dot" w:pos="9317"/>
        </w:tabs>
        <w:spacing w:line="276" w:lineRule="auto"/>
        <w:rPr>
          <w:rFonts w:asciiTheme="minorHAnsi" w:eastAsiaTheme="minorEastAsia" w:hAnsiTheme="minorHAnsi" w:cstheme="minorBidi"/>
          <w:noProof/>
          <w:kern w:val="2"/>
          <w14:ligatures w14:val="standardContextual"/>
        </w:rPr>
      </w:pPr>
      <w:hyperlink w:anchor="_Toc207196081" w:history="1">
        <w:r w:rsidRPr="00BF2BEE">
          <w:rPr>
            <w:rStyle w:val="Hyperlink"/>
            <w:noProof/>
          </w:rPr>
          <w:t>Figure 8. The distribution of the treatment effect of Group CBT therapy on Problem Gambling Severity Index scores, in the problem gambling category.</w:t>
        </w:r>
        <w:r>
          <w:rPr>
            <w:noProof/>
            <w:webHidden/>
          </w:rPr>
          <w:tab/>
        </w:r>
        <w:r>
          <w:rPr>
            <w:noProof/>
            <w:webHidden/>
          </w:rPr>
          <w:fldChar w:fldCharType="begin"/>
        </w:r>
        <w:r>
          <w:rPr>
            <w:noProof/>
            <w:webHidden/>
          </w:rPr>
          <w:instrText xml:space="preserve"> PAGEREF _Toc207196081 \h </w:instrText>
        </w:r>
        <w:r>
          <w:rPr>
            <w:noProof/>
            <w:webHidden/>
          </w:rPr>
        </w:r>
        <w:r>
          <w:rPr>
            <w:noProof/>
            <w:webHidden/>
          </w:rPr>
          <w:fldChar w:fldCharType="separate"/>
        </w:r>
        <w:r w:rsidR="00986A0D">
          <w:rPr>
            <w:noProof/>
            <w:webHidden/>
          </w:rPr>
          <w:t>196</w:t>
        </w:r>
        <w:r>
          <w:rPr>
            <w:noProof/>
            <w:webHidden/>
          </w:rPr>
          <w:fldChar w:fldCharType="end"/>
        </w:r>
      </w:hyperlink>
    </w:p>
    <w:p w14:paraId="78DE92EA" w14:textId="35FAC59C" w:rsidR="00E916B3" w:rsidRDefault="00E916B3" w:rsidP="007473EA">
      <w:pPr>
        <w:pStyle w:val="TableofFigures"/>
        <w:tabs>
          <w:tab w:val="right" w:leader="dot" w:pos="9317"/>
        </w:tabs>
        <w:spacing w:line="276" w:lineRule="auto"/>
        <w:rPr>
          <w:rFonts w:asciiTheme="minorHAnsi" w:eastAsiaTheme="minorEastAsia" w:hAnsiTheme="minorHAnsi" w:cstheme="minorBidi"/>
          <w:noProof/>
          <w:kern w:val="2"/>
          <w14:ligatures w14:val="standardContextual"/>
        </w:rPr>
      </w:pPr>
      <w:hyperlink w:anchor="_Toc207196082" w:history="1">
        <w:r w:rsidRPr="00BF2BEE">
          <w:rPr>
            <w:rStyle w:val="Hyperlink"/>
            <w:noProof/>
          </w:rPr>
          <w:t>Figure 9. The percentage of each ethnic group in each of the PGSI Category in the current situation, scenario 1 and scenario 2</w:t>
        </w:r>
        <w:r>
          <w:rPr>
            <w:noProof/>
            <w:webHidden/>
          </w:rPr>
          <w:tab/>
        </w:r>
        <w:r>
          <w:rPr>
            <w:noProof/>
            <w:webHidden/>
          </w:rPr>
          <w:fldChar w:fldCharType="begin"/>
        </w:r>
        <w:r>
          <w:rPr>
            <w:noProof/>
            <w:webHidden/>
          </w:rPr>
          <w:instrText xml:space="preserve"> PAGEREF _Toc207196082 \h </w:instrText>
        </w:r>
        <w:r>
          <w:rPr>
            <w:noProof/>
            <w:webHidden/>
          </w:rPr>
        </w:r>
        <w:r>
          <w:rPr>
            <w:noProof/>
            <w:webHidden/>
          </w:rPr>
          <w:fldChar w:fldCharType="separate"/>
        </w:r>
        <w:r w:rsidR="00986A0D">
          <w:rPr>
            <w:noProof/>
            <w:webHidden/>
          </w:rPr>
          <w:t>197</w:t>
        </w:r>
        <w:r>
          <w:rPr>
            <w:noProof/>
            <w:webHidden/>
          </w:rPr>
          <w:fldChar w:fldCharType="end"/>
        </w:r>
      </w:hyperlink>
    </w:p>
    <w:p w14:paraId="652DB91D" w14:textId="0DB72554" w:rsidR="001638C2" w:rsidRDefault="00F6447C" w:rsidP="007473EA">
      <w:pPr>
        <w:pStyle w:val="TableofFigures"/>
        <w:tabs>
          <w:tab w:val="right" w:leader="dot" w:pos="9317"/>
        </w:tabs>
        <w:spacing w:line="276" w:lineRule="auto"/>
      </w:pPr>
      <w:r>
        <w:fldChar w:fldCharType="end"/>
      </w:r>
    </w:p>
    <w:p w14:paraId="3BAC7554" w14:textId="134BAB3D" w:rsidR="00DB689D" w:rsidRDefault="000D4AC1" w:rsidP="00001C68">
      <w:pPr>
        <w:spacing w:line="360" w:lineRule="auto"/>
        <w:rPr>
          <w:highlight w:val="yellow"/>
        </w:rPr>
      </w:pPr>
      <w:r>
        <w:br w:type="page"/>
      </w:r>
    </w:p>
    <w:p w14:paraId="621DEF1B" w14:textId="77777777" w:rsidR="00DB689D" w:rsidRPr="0038398B" w:rsidRDefault="00310A10" w:rsidP="00523B7E">
      <w:pPr>
        <w:pStyle w:val="Heading1notnumbered"/>
      </w:pPr>
      <w:bookmarkStart w:id="9" w:name="_b0wodhc0jgzm" w:colFirst="0" w:colLast="0"/>
      <w:bookmarkStart w:id="10" w:name="_Toc207195869"/>
      <w:bookmarkEnd w:id="9"/>
      <w:r w:rsidRPr="0038398B">
        <w:t>Glossary of terms and abbreviations</w:t>
      </w:r>
      <w:bookmarkEnd w:id="10"/>
    </w:p>
    <w:p w14:paraId="316AC59D" w14:textId="77777777" w:rsidR="00DB689D" w:rsidRDefault="00DB689D" w:rsidP="00367A8D">
      <w:pPr>
        <w:spacing w:line="360" w:lineRule="auto"/>
        <w:ind w:left="720"/>
      </w:pPr>
    </w:p>
    <w:tbl>
      <w:tblPr>
        <w:tblStyle w:val="a0"/>
        <w:tblW w:w="82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31"/>
        <w:gridCol w:w="5649"/>
      </w:tblGrid>
      <w:tr w:rsidR="00DB689D" w14:paraId="60E8B9EB" w14:textId="77777777">
        <w:tc>
          <w:tcPr>
            <w:tcW w:w="2631" w:type="dxa"/>
          </w:tcPr>
          <w:p w14:paraId="682BD39A" w14:textId="77777777" w:rsidR="00DB689D" w:rsidRDefault="00310A10" w:rsidP="00367A8D">
            <w:pPr>
              <w:spacing w:line="360" w:lineRule="auto"/>
            </w:pPr>
            <w:r>
              <w:t>Affected Other</w:t>
            </w:r>
          </w:p>
        </w:tc>
        <w:tc>
          <w:tcPr>
            <w:tcW w:w="5649" w:type="dxa"/>
          </w:tcPr>
          <w:p w14:paraId="7461A44B" w14:textId="77777777" w:rsidR="00DB689D" w:rsidRDefault="00310A10" w:rsidP="00367A8D">
            <w:pPr>
              <w:spacing w:line="360" w:lineRule="auto"/>
            </w:pPr>
            <w:r>
              <w:t xml:space="preserve">People, including the family unit, </w:t>
            </w:r>
            <w:r w:rsidRPr="00134B05">
              <w:t>whānau</w:t>
            </w:r>
            <w:r>
              <w:t xml:space="preserve"> and others, who are close to the person who gambles</w:t>
            </w:r>
          </w:p>
        </w:tc>
      </w:tr>
      <w:tr w:rsidR="00DB689D" w14:paraId="06D03512" w14:textId="77777777">
        <w:tc>
          <w:tcPr>
            <w:tcW w:w="2631" w:type="dxa"/>
          </w:tcPr>
          <w:p w14:paraId="5B316322" w14:textId="77777777" w:rsidR="00DB689D" w:rsidRDefault="00310A10" w:rsidP="00367A8D">
            <w:pPr>
              <w:spacing w:line="360" w:lineRule="auto"/>
            </w:pPr>
            <w:r>
              <w:t>Bootstrapping</w:t>
            </w:r>
          </w:p>
        </w:tc>
        <w:tc>
          <w:tcPr>
            <w:tcW w:w="5649" w:type="dxa"/>
          </w:tcPr>
          <w:p w14:paraId="10B4E55F" w14:textId="77777777" w:rsidR="00DB689D" w:rsidRDefault="00310A10" w:rsidP="00367A8D">
            <w:pPr>
              <w:spacing w:line="360" w:lineRule="auto"/>
            </w:pPr>
            <w:r>
              <w:t>A statistical method used to estimate the uncertainty around the total cost of gambling problems</w:t>
            </w:r>
          </w:p>
        </w:tc>
      </w:tr>
      <w:tr w:rsidR="005B7C79" w14:paraId="265544D1" w14:textId="77777777">
        <w:tc>
          <w:tcPr>
            <w:tcW w:w="2631" w:type="dxa"/>
          </w:tcPr>
          <w:p w14:paraId="36D4806A" w14:textId="3D424928" w:rsidR="005B7C79" w:rsidRDefault="005B7C79" w:rsidP="005B7C79">
            <w:pPr>
              <w:spacing w:line="360" w:lineRule="auto"/>
            </w:pPr>
            <w:r>
              <w:t xml:space="preserve">Class 4 </w:t>
            </w:r>
            <w:r w:rsidR="003625C5">
              <w:t>pokies</w:t>
            </w:r>
          </w:p>
        </w:tc>
        <w:tc>
          <w:tcPr>
            <w:tcW w:w="5649" w:type="dxa"/>
          </w:tcPr>
          <w:p w14:paraId="114F329C" w14:textId="4F289E8E" w:rsidR="005B7C79" w:rsidRDefault="005B7C79" w:rsidP="005B7C79">
            <w:pPr>
              <w:spacing w:line="360" w:lineRule="auto"/>
            </w:pPr>
            <w:r>
              <w:t xml:space="preserve">Also known as </w:t>
            </w:r>
            <w:r w:rsidR="005B2944">
              <w:t>non-casino</w:t>
            </w:r>
            <w:r>
              <w:t xml:space="preserve"> gambling machine, or ‘pokies’</w:t>
            </w:r>
          </w:p>
        </w:tc>
      </w:tr>
      <w:tr w:rsidR="005B7C79" w14:paraId="126E7EF6" w14:textId="77777777">
        <w:tc>
          <w:tcPr>
            <w:tcW w:w="2631" w:type="dxa"/>
          </w:tcPr>
          <w:p w14:paraId="7C90B8EB" w14:textId="77777777" w:rsidR="005B7C79" w:rsidRDefault="005B7C79" w:rsidP="005B7C79">
            <w:pPr>
              <w:spacing w:line="360" w:lineRule="auto"/>
            </w:pPr>
            <w:r>
              <w:t>DALYs</w:t>
            </w:r>
          </w:p>
        </w:tc>
        <w:tc>
          <w:tcPr>
            <w:tcW w:w="5649" w:type="dxa"/>
          </w:tcPr>
          <w:p w14:paraId="57131737" w14:textId="77777777" w:rsidR="005B7C79" w:rsidRDefault="005B7C79" w:rsidP="005B7C79">
            <w:pPr>
              <w:spacing w:line="360" w:lineRule="auto"/>
            </w:pPr>
            <w:r>
              <w:t>Disability-Adjusted Life Years - Measures used in health economics to quantify the burden of disease or health conditions, including gambling harm</w:t>
            </w:r>
          </w:p>
        </w:tc>
      </w:tr>
      <w:tr w:rsidR="005B7C79" w14:paraId="0D6A4A8E" w14:textId="77777777">
        <w:tc>
          <w:tcPr>
            <w:tcW w:w="2631" w:type="dxa"/>
          </w:tcPr>
          <w:p w14:paraId="34095F03" w14:textId="77777777" w:rsidR="005B7C79" w:rsidRDefault="005B7C79" w:rsidP="005B7C79">
            <w:pPr>
              <w:spacing w:line="360" w:lineRule="auto"/>
            </w:pPr>
            <w:r>
              <w:t>DROs</w:t>
            </w:r>
          </w:p>
        </w:tc>
        <w:tc>
          <w:tcPr>
            <w:tcW w:w="5649" w:type="dxa"/>
          </w:tcPr>
          <w:p w14:paraId="668EC00B" w14:textId="77777777" w:rsidR="005B7C79" w:rsidRDefault="005B7C79" w:rsidP="005B7C79">
            <w:pPr>
              <w:spacing w:line="360" w:lineRule="auto"/>
            </w:pPr>
            <w:r>
              <w:t>Debt Repayment Orders</w:t>
            </w:r>
          </w:p>
        </w:tc>
      </w:tr>
      <w:tr w:rsidR="005B7C79" w14:paraId="182277C7" w14:textId="77777777">
        <w:tc>
          <w:tcPr>
            <w:tcW w:w="2631" w:type="dxa"/>
          </w:tcPr>
          <w:p w14:paraId="41BAD3EC" w14:textId="77777777" w:rsidR="005B7C79" w:rsidRDefault="005B7C79" w:rsidP="005B7C79">
            <w:pPr>
              <w:spacing w:line="360" w:lineRule="auto"/>
            </w:pPr>
            <w:r>
              <w:t>EGM</w:t>
            </w:r>
          </w:p>
        </w:tc>
        <w:tc>
          <w:tcPr>
            <w:tcW w:w="5649" w:type="dxa"/>
          </w:tcPr>
          <w:p w14:paraId="3760D043" w14:textId="77777777" w:rsidR="005B7C79" w:rsidRDefault="005B7C79" w:rsidP="005B7C79">
            <w:pPr>
              <w:spacing w:line="360" w:lineRule="auto"/>
            </w:pPr>
            <w:r>
              <w:t>Electronic gaming machines</w:t>
            </w:r>
          </w:p>
        </w:tc>
      </w:tr>
      <w:tr w:rsidR="005B7C79" w14:paraId="41D67A4E" w14:textId="77777777">
        <w:tc>
          <w:tcPr>
            <w:tcW w:w="2631" w:type="dxa"/>
          </w:tcPr>
          <w:p w14:paraId="7D59D42C" w14:textId="77777777" w:rsidR="005B7C79" w:rsidRDefault="005B7C79" w:rsidP="005B7C79">
            <w:pPr>
              <w:spacing w:line="360" w:lineRule="auto"/>
            </w:pPr>
            <w:r>
              <w:t>Gambling harm</w:t>
            </w:r>
          </w:p>
        </w:tc>
        <w:tc>
          <w:tcPr>
            <w:tcW w:w="5649" w:type="dxa"/>
          </w:tcPr>
          <w:p w14:paraId="7A2D95BD" w14:textId="77777777" w:rsidR="005B7C79" w:rsidRDefault="005B7C79" w:rsidP="005B7C79">
            <w:pPr>
              <w:spacing w:line="360" w:lineRule="auto"/>
            </w:pPr>
            <w:r>
              <w:t xml:space="preserve">As defined by the Ministry of Health, ‘harm or distress of any kind arising from, or caused or exacerbated by, a person’s gambling; including personal, social or economic harm suffered by the person; or by their spouse, partner, family, </w:t>
            </w:r>
            <w:r w:rsidRPr="00134B05">
              <w:t>whānau</w:t>
            </w:r>
            <w:r>
              <w:t>, or wider community including in the workplace or by society at large’.</w:t>
            </w:r>
          </w:p>
        </w:tc>
      </w:tr>
      <w:tr w:rsidR="005B7C79" w14:paraId="0EF28240" w14:textId="77777777">
        <w:tc>
          <w:tcPr>
            <w:tcW w:w="2631" w:type="dxa"/>
          </w:tcPr>
          <w:p w14:paraId="5C1EEBE9" w14:textId="77777777" w:rsidR="005B7C79" w:rsidRDefault="005B7C79" w:rsidP="005B7C79">
            <w:pPr>
              <w:spacing w:line="360" w:lineRule="auto"/>
            </w:pPr>
            <w:r>
              <w:t>GDP</w:t>
            </w:r>
          </w:p>
        </w:tc>
        <w:tc>
          <w:tcPr>
            <w:tcW w:w="5649" w:type="dxa"/>
          </w:tcPr>
          <w:p w14:paraId="294D20DD" w14:textId="77777777" w:rsidR="005B7C79" w:rsidRDefault="005B7C79" w:rsidP="005B7C79">
            <w:pPr>
              <w:spacing w:line="360" w:lineRule="auto"/>
            </w:pPr>
            <w:r>
              <w:t>Gross Domestic Product</w:t>
            </w:r>
          </w:p>
        </w:tc>
      </w:tr>
      <w:tr w:rsidR="005B7C79" w14:paraId="4717B904" w14:textId="77777777">
        <w:tc>
          <w:tcPr>
            <w:tcW w:w="2631" w:type="dxa"/>
          </w:tcPr>
          <w:p w14:paraId="087B7B10" w14:textId="77777777" w:rsidR="005B7C79" w:rsidRDefault="005B7C79" w:rsidP="005B7C79">
            <w:pPr>
              <w:spacing w:line="360" w:lineRule="auto"/>
            </w:pPr>
            <w:r>
              <w:t>HRQoL</w:t>
            </w:r>
          </w:p>
        </w:tc>
        <w:tc>
          <w:tcPr>
            <w:tcW w:w="5649" w:type="dxa"/>
          </w:tcPr>
          <w:p w14:paraId="042CD5EE" w14:textId="7ADA3677" w:rsidR="005B7C79" w:rsidRDefault="005B7C79" w:rsidP="005B7C79">
            <w:pPr>
              <w:spacing w:line="360" w:lineRule="auto"/>
            </w:pPr>
            <w:r>
              <w:t>Health-related quality of life</w:t>
            </w:r>
          </w:p>
        </w:tc>
      </w:tr>
      <w:tr w:rsidR="005B7C79" w14:paraId="6212B644" w14:textId="77777777">
        <w:tc>
          <w:tcPr>
            <w:tcW w:w="2631" w:type="dxa"/>
          </w:tcPr>
          <w:p w14:paraId="7421B913" w14:textId="77777777" w:rsidR="005B7C79" w:rsidRDefault="005B7C79" w:rsidP="005B7C79">
            <w:pPr>
              <w:spacing w:line="360" w:lineRule="auto"/>
            </w:pPr>
            <w:r>
              <w:t>Intangible Costs</w:t>
            </w:r>
          </w:p>
        </w:tc>
        <w:tc>
          <w:tcPr>
            <w:tcW w:w="5649" w:type="dxa"/>
          </w:tcPr>
          <w:p w14:paraId="4CC5F9F3" w14:textId="77777777" w:rsidR="005B7C79" w:rsidRDefault="005B7C79" w:rsidP="005B7C79">
            <w:pPr>
              <w:spacing w:line="360" w:lineRule="auto"/>
            </w:pPr>
            <w:r>
              <w:t>Costs that are not easily monetised but represent significant impacts, such as emotional distress or decrements to health-related quality of life</w:t>
            </w:r>
          </w:p>
        </w:tc>
      </w:tr>
      <w:tr w:rsidR="005B7C79" w14:paraId="5F90617B" w14:textId="77777777">
        <w:tc>
          <w:tcPr>
            <w:tcW w:w="2631" w:type="dxa"/>
          </w:tcPr>
          <w:p w14:paraId="02E74A7D" w14:textId="77777777" w:rsidR="005B7C79" w:rsidRDefault="005B7C79" w:rsidP="005B7C79">
            <w:pPr>
              <w:spacing w:line="360" w:lineRule="auto"/>
            </w:pPr>
            <w:r>
              <w:t>KiwiSaver</w:t>
            </w:r>
          </w:p>
        </w:tc>
        <w:tc>
          <w:tcPr>
            <w:tcW w:w="5649" w:type="dxa"/>
          </w:tcPr>
          <w:p w14:paraId="7E215394" w14:textId="77777777" w:rsidR="005B7C79" w:rsidRDefault="005B7C79" w:rsidP="005B7C79">
            <w:pPr>
              <w:spacing w:line="360" w:lineRule="auto"/>
            </w:pPr>
            <w:r>
              <w:t>A New Zealand retirement savings scheme</w:t>
            </w:r>
          </w:p>
        </w:tc>
      </w:tr>
      <w:tr w:rsidR="005B7C79" w14:paraId="15BB88DA" w14:textId="77777777">
        <w:tc>
          <w:tcPr>
            <w:tcW w:w="2631" w:type="dxa"/>
          </w:tcPr>
          <w:p w14:paraId="40F8A119" w14:textId="4B582126" w:rsidR="005B7C79" w:rsidRDefault="005B7C79" w:rsidP="005B7C79">
            <w:pPr>
              <w:spacing w:line="360" w:lineRule="auto"/>
            </w:pPr>
            <w:r>
              <w:t>Low-risk gambling (LR)</w:t>
            </w:r>
          </w:p>
        </w:tc>
        <w:tc>
          <w:tcPr>
            <w:tcW w:w="5649" w:type="dxa"/>
          </w:tcPr>
          <w:p w14:paraId="1D4907C3" w14:textId="77777777" w:rsidR="005B7C79" w:rsidRDefault="005B7C79" w:rsidP="005B7C79">
            <w:pPr>
              <w:spacing w:line="360" w:lineRule="auto"/>
            </w:pPr>
            <w:r>
              <w:t>Category of people scoring 1 or 2 on the PGSI</w:t>
            </w:r>
          </w:p>
        </w:tc>
      </w:tr>
      <w:tr w:rsidR="005B7C79" w14:paraId="5F9227A1" w14:textId="77777777">
        <w:tc>
          <w:tcPr>
            <w:tcW w:w="2631" w:type="dxa"/>
          </w:tcPr>
          <w:p w14:paraId="567DD1D6" w14:textId="564FBF3D" w:rsidR="005B7C79" w:rsidRDefault="005B7C79" w:rsidP="005B7C79">
            <w:pPr>
              <w:spacing w:line="360" w:lineRule="auto"/>
            </w:pPr>
            <w:r>
              <w:t>Moderate-risk gambling (MR)</w:t>
            </w:r>
          </w:p>
        </w:tc>
        <w:tc>
          <w:tcPr>
            <w:tcW w:w="5649" w:type="dxa"/>
          </w:tcPr>
          <w:p w14:paraId="33E7D2E3" w14:textId="77777777" w:rsidR="005B7C79" w:rsidRDefault="005B7C79" w:rsidP="005B7C79">
            <w:pPr>
              <w:spacing w:line="360" w:lineRule="auto"/>
            </w:pPr>
            <w:r>
              <w:t>Category of people scoring between 3 and 7 on the PGSI</w:t>
            </w:r>
          </w:p>
        </w:tc>
      </w:tr>
      <w:tr w:rsidR="005B7C79" w14:paraId="2620234D" w14:textId="77777777">
        <w:tc>
          <w:tcPr>
            <w:tcW w:w="2631" w:type="dxa"/>
          </w:tcPr>
          <w:p w14:paraId="05072B2D" w14:textId="77777777" w:rsidR="005B7C79" w:rsidRDefault="005B7C79" w:rsidP="005B7C79">
            <w:pPr>
              <w:spacing w:line="360" w:lineRule="auto"/>
            </w:pPr>
            <w:r>
              <w:t>MoH</w:t>
            </w:r>
          </w:p>
        </w:tc>
        <w:tc>
          <w:tcPr>
            <w:tcW w:w="5649" w:type="dxa"/>
          </w:tcPr>
          <w:p w14:paraId="7F100F19" w14:textId="77777777" w:rsidR="005B7C79" w:rsidRDefault="005B7C79" w:rsidP="005B7C79">
            <w:pPr>
              <w:spacing w:line="360" w:lineRule="auto"/>
            </w:pPr>
            <w:r>
              <w:t>Ministry of Health</w:t>
            </w:r>
          </w:p>
        </w:tc>
      </w:tr>
      <w:tr w:rsidR="005B7C79" w14:paraId="74EA005C" w14:textId="77777777">
        <w:tc>
          <w:tcPr>
            <w:tcW w:w="2631" w:type="dxa"/>
          </w:tcPr>
          <w:p w14:paraId="39F70622" w14:textId="77777777" w:rsidR="005B7C79" w:rsidRDefault="005B7C79" w:rsidP="005B7C79">
            <w:pPr>
              <w:spacing w:line="360" w:lineRule="auto"/>
            </w:pPr>
            <w:r>
              <w:t>NAPs</w:t>
            </w:r>
          </w:p>
        </w:tc>
        <w:tc>
          <w:tcPr>
            <w:tcW w:w="5649" w:type="dxa"/>
          </w:tcPr>
          <w:p w14:paraId="54B312ED" w14:textId="77777777" w:rsidR="005B7C79" w:rsidRDefault="005B7C79" w:rsidP="005B7C79">
            <w:pPr>
              <w:spacing w:line="360" w:lineRule="auto"/>
            </w:pPr>
            <w:r>
              <w:t>No-Asset Procedures</w:t>
            </w:r>
          </w:p>
        </w:tc>
      </w:tr>
      <w:tr w:rsidR="005B7C79" w14:paraId="79F06563" w14:textId="77777777">
        <w:tc>
          <w:tcPr>
            <w:tcW w:w="2631" w:type="dxa"/>
          </w:tcPr>
          <w:p w14:paraId="501CC9B3" w14:textId="3FEC63E9" w:rsidR="005B7C79" w:rsidRDefault="005B7C79" w:rsidP="005B7C79">
            <w:pPr>
              <w:spacing w:line="360" w:lineRule="auto"/>
            </w:pPr>
            <w:r>
              <w:t>Non-problem gambling</w:t>
            </w:r>
          </w:p>
        </w:tc>
        <w:tc>
          <w:tcPr>
            <w:tcW w:w="5649" w:type="dxa"/>
          </w:tcPr>
          <w:p w14:paraId="7B72B0AA" w14:textId="6AC1B2CA" w:rsidR="005B7C79" w:rsidRDefault="005B7C79" w:rsidP="005B7C79">
            <w:pPr>
              <w:spacing w:line="360" w:lineRule="auto"/>
            </w:pPr>
            <w:r>
              <w:t>Category of people scoring 0 on the PGSI</w:t>
            </w:r>
          </w:p>
        </w:tc>
      </w:tr>
      <w:tr w:rsidR="005B7C79" w14:paraId="1F3D40E9" w14:textId="77777777">
        <w:tc>
          <w:tcPr>
            <w:tcW w:w="2631" w:type="dxa"/>
          </w:tcPr>
          <w:p w14:paraId="166E7BEE" w14:textId="04F751EC" w:rsidR="005B7C79" w:rsidRDefault="005B7C79" w:rsidP="005B7C79">
            <w:pPr>
              <w:spacing w:line="360" w:lineRule="auto"/>
            </w:pPr>
            <w:r>
              <w:t>NPHS</w:t>
            </w:r>
          </w:p>
        </w:tc>
        <w:tc>
          <w:tcPr>
            <w:tcW w:w="5649" w:type="dxa"/>
          </w:tcPr>
          <w:p w14:paraId="279521C5" w14:textId="078BAC22" w:rsidR="005B7C79" w:rsidRDefault="005B7C79" w:rsidP="005B7C79">
            <w:pPr>
              <w:spacing w:line="360" w:lineRule="auto"/>
            </w:pPr>
            <w:r>
              <w:t>National Public Health Service</w:t>
            </w:r>
          </w:p>
        </w:tc>
      </w:tr>
      <w:tr w:rsidR="005B7C79" w14:paraId="31E24F38" w14:textId="77777777">
        <w:tc>
          <w:tcPr>
            <w:tcW w:w="2631" w:type="dxa"/>
          </w:tcPr>
          <w:p w14:paraId="0BEFE2EB" w14:textId="7318056F" w:rsidR="005B7C79" w:rsidRDefault="005B7C79" w:rsidP="005B7C79">
            <w:pPr>
              <w:spacing w:line="360" w:lineRule="auto"/>
            </w:pPr>
            <w:r>
              <w:t>NZGS</w:t>
            </w:r>
          </w:p>
        </w:tc>
        <w:tc>
          <w:tcPr>
            <w:tcW w:w="5649" w:type="dxa"/>
          </w:tcPr>
          <w:p w14:paraId="0CE114A9" w14:textId="30162CDD" w:rsidR="005B7C79" w:rsidRDefault="005B7C79" w:rsidP="005B7C79">
            <w:pPr>
              <w:spacing w:line="360" w:lineRule="auto"/>
            </w:pPr>
            <w:r>
              <w:t>New Zealand Gambling Survey (NZGS) 2023/24</w:t>
            </w:r>
          </w:p>
        </w:tc>
      </w:tr>
      <w:tr w:rsidR="005B7C79" w14:paraId="032E15B8" w14:textId="77777777">
        <w:tc>
          <w:tcPr>
            <w:tcW w:w="2631" w:type="dxa"/>
          </w:tcPr>
          <w:p w14:paraId="5205D72F" w14:textId="3D6E6FDB" w:rsidR="005B7C79" w:rsidRDefault="005B7C79" w:rsidP="005B7C79">
            <w:pPr>
              <w:spacing w:line="360" w:lineRule="auto"/>
            </w:pPr>
            <w:r>
              <w:t>Online EGM</w:t>
            </w:r>
          </w:p>
        </w:tc>
        <w:tc>
          <w:tcPr>
            <w:tcW w:w="5649" w:type="dxa"/>
          </w:tcPr>
          <w:p w14:paraId="451CF69F" w14:textId="54C9373A" w:rsidR="005B7C79" w:rsidRDefault="005B7C79" w:rsidP="005B7C79">
            <w:pPr>
              <w:spacing w:line="360" w:lineRule="auto"/>
            </w:pPr>
            <w:r>
              <w:t>Online electronic gaming machines</w:t>
            </w:r>
          </w:p>
        </w:tc>
      </w:tr>
      <w:tr w:rsidR="005B7C79" w14:paraId="22B3C451" w14:textId="77777777">
        <w:tc>
          <w:tcPr>
            <w:tcW w:w="2631" w:type="dxa"/>
          </w:tcPr>
          <w:p w14:paraId="6DC313AE" w14:textId="50FE604F" w:rsidR="005B7C79" w:rsidRDefault="005B7C79" w:rsidP="005B7C79">
            <w:pPr>
              <w:spacing w:line="360" w:lineRule="auto"/>
            </w:pPr>
            <w:r>
              <w:t>Opportunity Cost</w:t>
            </w:r>
          </w:p>
        </w:tc>
        <w:tc>
          <w:tcPr>
            <w:tcW w:w="5649" w:type="dxa"/>
          </w:tcPr>
          <w:p w14:paraId="6FD6E8F4" w14:textId="254DE7B7" w:rsidR="005B7C79" w:rsidRDefault="005B7C79" w:rsidP="005B7C79">
            <w:pPr>
              <w:spacing w:line="360" w:lineRule="auto"/>
            </w:pPr>
            <w:r>
              <w:t>The economic value of alternative uses of money spent on gambling, particularly ‘excessive gambling spend’</w:t>
            </w:r>
          </w:p>
        </w:tc>
      </w:tr>
      <w:tr w:rsidR="005B7C79" w14:paraId="645027FC" w14:textId="77777777">
        <w:tc>
          <w:tcPr>
            <w:tcW w:w="2631" w:type="dxa"/>
          </w:tcPr>
          <w:p w14:paraId="1A03F329" w14:textId="1807FD28" w:rsidR="005B7C79" w:rsidRDefault="005B7C79" w:rsidP="005B7C79">
            <w:pPr>
              <w:spacing w:line="360" w:lineRule="auto"/>
            </w:pPr>
            <w:r>
              <w:t>PGSI</w:t>
            </w:r>
          </w:p>
        </w:tc>
        <w:tc>
          <w:tcPr>
            <w:tcW w:w="5649" w:type="dxa"/>
          </w:tcPr>
          <w:p w14:paraId="24943208" w14:textId="3F5521C2" w:rsidR="005B7C79" w:rsidRDefault="005B7C79" w:rsidP="005B7C79">
            <w:pPr>
              <w:spacing w:line="360" w:lineRule="auto"/>
            </w:pPr>
            <w:r>
              <w:t xml:space="preserve">Problem Gambling Severity Index </w:t>
            </w:r>
            <w:r>
              <w:rPr>
                <w:noProof/>
                <w:color w:val="000000"/>
              </w:rPr>
              <w:t>(Ferris &amp; Wynne, 2001).</w:t>
            </w:r>
            <w:r>
              <w:t xml:space="preserve"> The PGSI is a commonly used, standardised screening instrument that identifies the risk of problem gambling but does not provide a formal clinical diagnosis.</w:t>
            </w:r>
          </w:p>
        </w:tc>
      </w:tr>
      <w:tr w:rsidR="005B7C79" w14:paraId="0036CD64" w14:textId="77777777">
        <w:tc>
          <w:tcPr>
            <w:tcW w:w="2631" w:type="dxa"/>
          </w:tcPr>
          <w:p w14:paraId="721AC888" w14:textId="666704E3" w:rsidR="005B7C79" w:rsidRDefault="005B7C79" w:rsidP="005B7C79">
            <w:pPr>
              <w:spacing w:line="360" w:lineRule="auto"/>
            </w:pPr>
            <w:r>
              <w:t>Prevention Paradox</w:t>
            </w:r>
          </w:p>
        </w:tc>
        <w:tc>
          <w:tcPr>
            <w:tcW w:w="5649" w:type="dxa"/>
          </w:tcPr>
          <w:p w14:paraId="088C0F62" w14:textId="630B736F" w:rsidR="005B7C79" w:rsidRDefault="005B7C79" w:rsidP="005B7C79">
            <w:pPr>
              <w:spacing w:line="360" w:lineRule="auto"/>
            </w:pPr>
            <w:r>
              <w:t>The concept that a larger number of less severe cases of harm in a population can contribute more to the overall burden of harm than a smaller number of severe cases</w:t>
            </w:r>
          </w:p>
        </w:tc>
      </w:tr>
      <w:tr w:rsidR="005B7C79" w14:paraId="1266C0DC" w14:textId="77777777">
        <w:tc>
          <w:tcPr>
            <w:tcW w:w="2631" w:type="dxa"/>
          </w:tcPr>
          <w:p w14:paraId="51721DF0" w14:textId="5D684DA6" w:rsidR="005B7C79" w:rsidRDefault="005B7C79" w:rsidP="005B7C79">
            <w:pPr>
              <w:spacing w:line="360" w:lineRule="auto"/>
            </w:pPr>
            <w:r>
              <w:t>Problem gambling (PG)</w:t>
            </w:r>
          </w:p>
        </w:tc>
        <w:tc>
          <w:tcPr>
            <w:tcW w:w="5649" w:type="dxa"/>
          </w:tcPr>
          <w:p w14:paraId="21F36B43" w14:textId="5D3A1770" w:rsidR="005B7C79" w:rsidRDefault="005B7C79" w:rsidP="005B7C79">
            <w:pPr>
              <w:spacing w:line="360" w:lineRule="auto"/>
            </w:pPr>
            <w:r>
              <w:t>Category of people scoring 8+ on the PGSI</w:t>
            </w:r>
          </w:p>
        </w:tc>
      </w:tr>
      <w:tr w:rsidR="005B7C79" w14:paraId="1B574537" w14:textId="77777777">
        <w:tc>
          <w:tcPr>
            <w:tcW w:w="2631" w:type="dxa"/>
          </w:tcPr>
          <w:p w14:paraId="0B017165" w14:textId="1C2E5732" w:rsidR="005B7C79" w:rsidRDefault="005B7C79" w:rsidP="005B7C79">
            <w:pPr>
              <w:spacing w:line="360" w:lineRule="auto"/>
            </w:pPr>
            <w:r>
              <w:t>QALYs</w:t>
            </w:r>
          </w:p>
        </w:tc>
        <w:tc>
          <w:tcPr>
            <w:tcW w:w="5649" w:type="dxa"/>
          </w:tcPr>
          <w:p w14:paraId="5167EF61" w14:textId="34079717" w:rsidR="005B7C79" w:rsidRDefault="005B7C79" w:rsidP="005B7C79">
            <w:pPr>
              <w:spacing w:line="360" w:lineRule="auto"/>
            </w:pPr>
            <w:r>
              <w:t>Quality-Adjusted Life Years - Measures used in health economics to quantify the burden of disease or health conditions, including gambling harm</w:t>
            </w:r>
          </w:p>
        </w:tc>
      </w:tr>
      <w:tr w:rsidR="005B7C79" w14:paraId="1DD43307" w14:textId="77777777">
        <w:tc>
          <w:tcPr>
            <w:tcW w:w="2631" w:type="dxa"/>
          </w:tcPr>
          <w:p w14:paraId="7E0714CF" w14:textId="788A7CE7" w:rsidR="005B7C79" w:rsidRDefault="005B7C79" w:rsidP="005B7C79">
            <w:pPr>
              <w:spacing w:line="360" w:lineRule="auto"/>
            </w:pPr>
            <w:r>
              <w:t>TAB</w:t>
            </w:r>
          </w:p>
        </w:tc>
        <w:tc>
          <w:tcPr>
            <w:tcW w:w="5649" w:type="dxa"/>
          </w:tcPr>
          <w:p w14:paraId="70B6547D" w14:textId="716A0C68" w:rsidR="005B7C79" w:rsidRDefault="005B7C79" w:rsidP="005B7C79">
            <w:pPr>
              <w:spacing w:line="360" w:lineRule="auto"/>
            </w:pPr>
            <w:r>
              <w:t>Totalisator Agency Board</w:t>
            </w:r>
          </w:p>
        </w:tc>
      </w:tr>
      <w:tr w:rsidR="005B7C79" w14:paraId="4B9DE97E" w14:textId="77777777">
        <w:tc>
          <w:tcPr>
            <w:tcW w:w="2631" w:type="dxa"/>
          </w:tcPr>
          <w:p w14:paraId="70B65182" w14:textId="79B611A0" w:rsidR="005B7C79" w:rsidRDefault="005B7C79" w:rsidP="005B7C79">
            <w:pPr>
              <w:spacing w:line="360" w:lineRule="auto"/>
            </w:pPr>
            <w:r>
              <w:t>Tangible Costs</w:t>
            </w:r>
          </w:p>
        </w:tc>
        <w:tc>
          <w:tcPr>
            <w:tcW w:w="5649" w:type="dxa"/>
          </w:tcPr>
          <w:p w14:paraId="1D61CA63" w14:textId="1B309534" w:rsidR="005B7C79" w:rsidRDefault="005B7C79" w:rsidP="005B7C79">
            <w:pPr>
              <w:spacing w:line="360" w:lineRule="auto"/>
            </w:pPr>
            <w:r>
              <w:t>Costs that are easily quantified, such as direct financial losses or treatment expenses.</w:t>
            </w:r>
          </w:p>
        </w:tc>
      </w:tr>
      <w:tr w:rsidR="005B7C79" w14:paraId="3495F789" w14:textId="77777777">
        <w:tc>
          <w:tcPr>
            <w:tcW w:w="2631" w:type="dxa"/>
          </w:tcPr>
          <w:p w14:paraId="04136317" w14:textId="5FC83AE9" w:rsidR="005B7C79" w:rsidRDefault="005B7C79" w:rsidP="005B7C79">
            <w:pPr>
              <w:spacing w:line="360" w:lineRule="auto"/>
            </w:pPr>
            <w:r>
              <w:t>TTO</w:t>
            </w:r>
          </w:p>
        </w:tc>
        <w:tc>
          <w:tcPr>
            <w:tcW w:w="5649" w:type="dxa"/>
          </w:tcPr>
          <w:p w14:paraId="76CD1470" w14:textId="640E5160" w:rsidR="005B7C79" w:rsidRDefault="005B7C79" w:rsidP="005B7C79">
            <w:pPr>
              <w:spacing w:line="360" w:lineRule="auto"/>
            </w:pPr>
            <w:r>
              <w:t>Time Trade-Off (method)</w:t>
            </w:r>
          </w:p>
        </w:tc>
      </w:tr>
      <w:tr w:rsidR="005B7C79" w14:paraId="3B245244" w14:textId="77777777">
        <w:tc>
          <w:tcPr>
            <w:tcW w:w="2631" w:type="dxa"/>
          </w:tcPr>
          <w:p w14:paraId="78461D5B" w14:textId="10F6AC86" w:rsidR="005B7C79" w:rsidRDefault="005B7C79" w:rsidP="005B7C79">
            <w:pPr>
              <w:spacing w:line="360" w:lineRule="auto"/>
            </w:pPr>
            <w:r>
              <w:t>VCEC</w:t>
            </w:r>
          </w:p>
        </w:tc>
        <w:tc>
          <w:tcPr>
            <w:tcW w:w="5649" w:type="dxa"/>
          </w:tcPr>
          <w:p w14:paraId="34E11D0D" w14:textId="176B57A9" w:rsidR="005B7C79" w:rsidRDefault="005B7C79" w:rsidP="005B7C79">
            <w:pPr>
              <w:spacing w:line="360" w:lineRule="auto"/>
            </w:pPr>
            <w:r>
              <w:t>Victorian Competition and Efficiency Commission</w:t>
            </w:r>
          </w:p>
        </w:tc>
      </w:tr>
      <w:tr w:rsidR="005B7C79" w14:paraId="154D9E92" w14:textId="77777777">
        <w:tc>
          <w:tcPr>
            <w:tcW w:w="2631" w:type="dxa"/>
          </w:tcPr>
          <w:p w14:paraId="7B74CCAC" w14:textId="2BA9340D" w:rsidR="005B7C79" w:rsidRDefault="005B7C79" w:rsidP="005B7C79">
            <w:pPr>
              <w:spacing w:line="360" w:lineRule="auto"/>
            </w:pPr>
            <w:r>
              <w:t>VoSLY</w:t>
            </w:r>
          </w:p>
        </w:tc>
        <w:tc>
          <w:tcPr>
            <w:tcW w:w="5649" w:type="dxa"/>
          </w:tcPr>
          <w:p w14:paraId="4ADCD7BF" w14:textId="1F78C7F7" w:rsidR="005B7C79" w:rsidRDefault="005B7C79" w:rsidP="005B7C79">
            <w:pPr>
              <w:spacing w:line="360" w:lineRule="auto"/>
            </w:pPr>
            <w:r>
              <w:t>Value of a Statistical Life-Year</w:t>
            </w:r>
          </w:p>
        </w:tc>
      </w:tr>
      <w:tr w:rsidR="005B7C79" w14:paraId="076FACB8" w14:textId="77777777">
        <w:tc>
          <w:tcPr>
            <w:tcW w:w="2631" w:type="dxa"/>
          </w:tcPr>
          <w:p w14:paraId="5DC8F4E5" w14:textId="3697A23B" w:rsidR="005B7C79" w:rsidRDefault="005B7C79" w:rsidP="005B7C79">
            <w:pPr>
              <w:spacing w:line="360" w:lineRule="auto"/>
            </w:pPr>
            <w:r w:rsidRPr="00134B05">
              <w:t>Whānau</w:t>
            </w:r>
          </w:p>
        </w:tc>
        <w:tc>
          <w:tcPr>
            <w:tcW w:w="5649" w:type="dxa"/>
          </w:tcPr>
          <w:p w14:paraId="0167D554" w14:textId="546BB631" w:rsidR="005B7C79" w:rsidRDefault="005B7C79" w:rsidP="005B7C79">
            <w:pPr>
              <w:spacing w:line="360" w:lineRule="auto"/>
            </w:pPr>
            <w:r>
              <w:t>A Māori word for extended family or family group</w:t>
            </w:r>
          </w:p>
        </w:tc>
      </w:tr>
      <w:tr w:rsidR="005B7C79" w14:paraId="5DE07369" w14:textId="77777777">
        <w:tc>
          <w:tcPr>
            <w:tcW w:w="2631" w:type="dxa"/>
          </w:tcPr>
          <w:p w14:paraId="6241C0F8" w14:textId="0A5A851D" w:rsidR="005B7C79" w:rsidRPr="00134B05" w:rsidRDefault="005B7C79" w:rsidP="005B7C79">
            <w:pPr>
              <w:spacing w:line="360" w:lineRule="auto"/>
            </w:pPr>
            <w:r>
              <w:t>YLD</w:t>
            </w:r>
          </w:p>
        </w:tc>
        <w:tc>
          <w:tcPr>
            <w:tcW w:w="5649" w:type="dxa"/>
          </w:tcPr>
          <w:p w14:paraId="0F94E34B" w14:textId="28CE47D0" w:rsidR="005B7C79" w:rsidRDefault="005B7C79" w:rsidP="005B7C79">
            <w:pPr>
              <w:spacing w:line="360" w:lineRule="auto"/>
            </w:pPr>
            <w:r>
              <w:t>Years lived with disability</w:t>
            </w:r>
          </w:p>
        </w:tc>
      </w:tr>
    </w:tbl>
    <w:p w14:paraId="43E7A94C" w14:textId="77777777" w:rsidR="00DB689D" w:rsidRDefault="00DB689D" w:rsidP="00367A8D">
      <w:pPr>
        <w:spacing w:line="360" w:lineRule="auto"/>
        <w:ind w:left="720"/>
      </w:pPr>
    </w:p>
    <w:p w14:paraId="08682697" w14:textId="77777777" w:rsidR="00DB689D" w:rsidRDefault="00310A10" w:rsidP="00367A8D">
      <w:pPr>
        <w:spacing w:line="360" w:lineRule="auto"/>
        <w:rPr>
          <w:highlight w:val="yellow"/>
        </w:rPr>
      </w:pPr>
      <w:bookmarkStart w:id="11" w:name="_wt4kfm63npuy" w:colFirst="0" w:colLast="0"/>
      <w:bookmarkStart w:id="12" w:name="_59m79r798896" w:colFirst="0" w:colLast="0"/>
      <w:bookmarkEnd w:id="11"/>
      <w:bookmarkEnd w:id="12"/>
      <w:r>
        <w:br w:type="page"/>
      </w:r>
    </w:p>
    <w:p w14:paraId="1E9D203C" w14:textId="77777777" w:rsidR="00DB689D" w:rsidRPr="00FB308C" w:rsidRDefault="00310A10" w:rsidP="00523B7E">
      <w:pPr>
        <w:pStyle w:val="Heading1notnumbered"/>
      </w:pPr>
      <w:bookmarkStart w:id="13" w:name="_55r1owio93hh" w:colFirst="0" w:colLast="0"/>
      <w:bookmarkStart w:id="14" w:name="_Toc207195870"/>
      <w:bookmarkEnd w:id="13"/>
      <w:r w:rsidRPr="00FB308C">
        <w:t>Executive summary</w:t>
      </w:r>
      <w:bookmarkEnd w:id="14"/>
    </w:p>
    <w:p w14:paraId="0CEA6C2D" w14:textId="782124DC" w:rsidR="00DB689D" w:rsidRPr="00FB308C" w:rsidRDefault="00310A10" w:rsidP="00523B7E">
      <w:pPr>
        <w:pStyle w:val="Heading2notnumbered"/>
      </w:pPr>
      <w:bookmarkStart w:id="15" w:name="_gwc4eicoqv7f" w:colFirst="0" w:colLast="0"/>
      <w:bookmarkStart w:id="16" w:name="_Toc207195871"/>
      <w:bookmarkEnd w:id="15"/>
      <w:r w:rsidRPr="00FB308C">
        <w:t xml:space="preserve">Introduction </w:t>
      </w:r>
      <w:r w:rsidR="00E06C93">
        <w:t>and p</w:t>
      </w:r>
      <w:r w:rsidRPr="00FB308C">
        <w:t>urpose</w:t>
      </w:r>
      <w:bookmarkEnd w:id="16"/>
    </w:p>
    <w:p w14:paraId="1844ADAD" w14:textId="77777777" w:rsidR="00DB689D" w:rsidRDefault="00310A10" w:rsidP="00367A8D">
      <w:pPr>
        <w:spacing w:before="240" w:after="240" w:line="360" w:lineRule="auto"/>
      </w:pPr>
      <w:r>
        <w:t>This report presents a comprehensive assessment of the economic and social costs associated with gambling harm in Aotearoa New Zealand for the 2023-24 period. The central aim of this research is to provide robust, up-to-date evidence on the wide-ranging impacts of gambling harm, thereby supporting informed policy development and effective harm minimisation strategies.</w:t>
      </w:r>
    </w:p>
    <w:p w14:paraId="1DC78996" w14:textId="77777777" w:rsidR="00DB689D" w:rsidRDefault="00310A10" w:rsidP="00367A8D">
      <w:pPr>
        <w:spacing w:before="240" w:after="240" w:line="360" w:lineRule="auto"/>
      </w:pPr>
      <w:r>
        <w:t xml:space="preserve">The scope of this study encompasses both tangible and intangible costs, including health and wellbeing impacts, financial losses, and broader societal costs. It examines the burden of these costs on individuals who gamble, their affected others (including family, </w:t>
      </w:r>
      <w:r w:rsidRPr="00134B05">
        <w:t>whānau</w:t>
      </w:r>
      <w:r>
        <w:t>, and others close to them), and the wider community, businesses, and government. A specific focus is placed on understanding the scale of gambling's impacts on disproportionately affected groups, particularly Māori and Pacific communities, in recognition of the need for equitable approaches to addressing gambling harm.</w:t>
      </w:r>
    </w:p>
    <w:p w14:paraId="0AF5FAC4" w14:textId="2BC216C6" w:rsidR="00DB689D" w:rsidRPr="00FB308C" w:rsidRDefault="00310A10" w:rsidP="00523B7E">
      <w:pPr>
        <w:pStyle w:val="Heading2notnumbered"/>
      </w:pPr>
      <w:bookmarkStart w:id="17" w:name="_87eb6jwlnlic" w:colFirst="0" w:colLast="0"/>
      <w:bookmarkStart w:id="18" w:name="_Toc207195872"/>
      <w:bookmarkEnd w:id="17"/>
      <w:r w:rsidRPr="00FB308C">
        <w:t xml:space="preserve">Headline </w:t>
      </w:r>
      <w:r w:rsidR="00E06C93">
        <w:t>f</w:t>
      </w:r>
      <w:r w:rsidRPr="00FB308C">
        <w:t xml:space="preserve">inding: </w:t>
      </w:r>
      <w:r w:rsidR="00E06C93">
        <w:t>t</w:t>
      </w:r>
      <w:r w:rsidRPr="00FB308C">
        <w:t xml:space="preserve">otal </w:t>
      </w:r>
      <w:r w:rsidR="00E06C93">
        <w:t>s</w:t>
      </w:r>
      <w:r w:rsidRPr="00FB308C">
        <w:t xml:space="preserve">ocial </w:t>
      </w:r>
      <w:r w:rsidR="00E06C93">
        <w:t>c</w:t>
      </w:r>
      <w:r w:rsidRPr="00FB308C">
        <w:t>ost</w:t>
      </w:r>
      <w:bookmarkEnd w:id="18"/>
    </w:p>
    <w:p w14:paraId="19A1D852" w14:textId="63E6EF81" w:rsidR="00DB689D" w:rsidRDefault="00310A10" w:rsidP="00367A8D">
      <w:pPr>
        <w:spacing w:before="240" w:after="240" w:line="360" w:lineRule="auto"/>
      </w:pPr>
      <w:r>
        <w:t xml:space="preserve">The total estimated social cost of gambling problems in Aotearoa New Zealand for the 2023-24 period is </w:t>
      </w:r>
      <w:r>
        <w:rPr>
          <w:b/>
        </w:rPr>
        <w:t>$4.</w:t>
      </w:r>
      <w:r w:rsidR="009C0E58">
        <w:rPr>
          <w:b/>
        </w:rPr>
        <w:t xml:space="preserve">219 </w:t>
      </w:r>
      <w:r>
        <w:rPr>
          <w:b/>
        </w:rPr>
        <w:t>billion</w:t>
      </w:r>
      <w:r>
        <w:t xml:space="preserve">. This figure represents the comprehensive economic burden arising from gambling-related harm across individuals, </w:t>
      </w:r>
      <w:r w:rsidRPr="00134B05">
        <w:t>whānau</w:t>
      </w:r>
      <w:r>
        <w:t>, and society. The 90% confidence interval for this total cost is estimated to be between $3.</w:t>
      </w:r>
      <w:r w:rsidR="008716E4">
        <w:t xml:space="preserve">72 </w:t>
      </w:r>
      <w:r>
        <w:t>billion and $4.73 billion, reflecting the inherent uncertainties in quantifying diverse and complex social impacts.</w:t>
      </w:r>
    </w:p>
    <w:p w14:paraId="0E70D8E7" w14:textId="00289D43" w:rsidR="00FB308C" w:rsidRPr="00FB308C" w:rsidRDefault="00310A10" w:rsidP="00523B7E">
      <w:pPr>
        <w:pStyle w:val="Heading2notnumbered"/>
      </w:pPr>
      <w:bookmarkStart w:id="19" w:name="_wrxj717xbj3w" w:colFirst="0" w:colLast="0"/>
      <w:bookmarkStart w:id="20" w:name="_Toc207195873"/>
      <w:bookmarkEnd w:id="19"/>
      <w:r w:rsidRPr="00FB308C">
        <w:t xml:space="preserve">Key </w:t>
      </w:r>
      <w:r w:rsidR="00E06C93">
        <w:t>d</w:t>
      </w:r>
      <w:r w:rsidRPr="00FB308C">
        <w:t xml:space="preserve">rivers of the </w:t>
      </w:r>
      <w:r w:rsidR="00E06C93">
        <w:t>c</w:t>
      </w:r>
      <w:r w:rsidRPr="00FB308C">
        <w:t>ost</w:t>
      </w:r>
      <w:bookmarkEnd w:id="20"/>
    </w:p>
    <w:p w14:paraId="6C354F87" w14:textId="65C778E8" w:rsidR="00DB689D" w:rsidRDefault="00310A10" w:rsidP="00367A8D">
      <w:pPr>
        <w:spacing w:before="240" w:after="240" w:line="360" w:lineRule="auto"/>
      </w:pPr>
      <w:r>
        <w:t>The $4.</w:t>
      </w:r>
      <w:r w:rsidR="009C0E58">
        <w:t xml:space="preserve">219 </w:t>
      </w:r>
      <w:r>
        <w:t xml:space="preserve">billion total social cost is primarily driven by two significant categories: Health impacts and </w:t>
      </w:r>
      <w:r w:rsidR="006F64C7">
        <w:t>f</w:t>
      </w:r>
      <w:r>
        <w:t xml:space="preserve">inancial </w:t>
      </w:r>
      <w:r w:rsidRPr="00FB308C">
        <w:t>impacts (see Figure 1 for a</w:t>
      </w:r>
      <w:r>
        <w:t xml:space="preserve"> visual breakdown by cost category).</w:t>
      </w:r>
    </w:p>
    <w:p w14:paraId="5438F18B" w14:textId="10A15F5D" w:rsidR="00DB689D" w:rsidRDefault="00310A10" w:rsidP="00367A8D">
      <w:pPr>
        <w:spacing w:before="240" w:after="240" w:line="360" w:lineRule="auto"/>
      </w:pPr>
      <w:r>
        <w:rPr>
          <w:b/>
        </w:rPr>
        <w:t>Health impacts,</w:t>
      </w:r>
      <w:r>
        <w:t xml:space="preserve"> both physical and psychological, constitute the largest portion, accounting for nearly half of the total burden at approximately </w:t>
      </w:r>
      <w:r>
        <w:rPr>
          <w:b/>
        </w:rPr>
        <w:t>$2.043 billion (</w:t>
      </w:r>
      <w:r w:rsidR="006F64C7">
        <w:rPr>
          <w:b/>
        </w:rPr>
        <w:t>48.4</w:t>
      </w:r>
      <w:r>
        <w:rPr>
          <w:b/>
        </w:rPr>
        <w:t>%)</w:t>
      </w:r>
      <w:r>
        <w:t xml:space="preserve">. The vast majority of this stems from the intangible costs associated with decrements in HRQoL, which total $1.68 billion. This HRQoL impact is almost </w:t>
      </w:r>
      <w:r w:rsidR="7F301A3B">
        <w:t>ev</w:t>
      </w:r>
      <w:r w:rsidR="4937A7BF">
        <w:t>.</w:t>
      </w:r>
      <w:r w:rsidR="7F301A3B">
        <w:t>enly</w:t>
      </w:r>
      <w:r>
        <w:t xml:space="preserve"> distributed between individuals who gamble ($830.6 million) and their affected others ($852.2 million), highlighting the profound and widespread effect of gambling harm on wellbeing. Other components within health impacts include costs to the New Zealand health system, and costs associated with depression and suicide.</w:t>
      </w:r>
    </w:p>
    <w:p w14:paraId="279732F2" w14:textId="329B48CA" w:rsidR="00DB689D" w:rsidRDefault="00310A10" w:rsidP="00367A8D">
      <w:pPr>
        <w:spacing w:before="240" w:after="240" w:line="360" w:lineRule="auto"/>
      </w:pPr>
      <w:r>
        <w:rPr>
          <w:b/>
        </w:rPr>
        <w:t>Financial impacts</w:t>
      </w:r>
      <w:r>
        <w:t xml:space="preserve"> are the second-largest contributor, amounting to approximately </w:t>
      </w:r>
      <w:r>
        <w:rPr>
          <w:b/>
        </w:rPr>
        <w:t>$1.</w:t>
      </w:r>
      <w:r w:rsidR="006F64C7">
        <w:rPr>
          <w:b/>
        </w:rPr>
        <w:t xml:space="preserve">193 </w:t>
      </w:r>
      <w:r>
        <w:rPr>
          <w:b/>
        </w:rPr>
        <w:t>billion (</w:t>
      </w:r>
      <w:r w:rsidR="006F64C7">
        <w:rPr>
          <w:b/>
        </w:rPr>
        <w:t>28</w:t>
      </w:r>
      <w:r>
        <w:rPr>
          <w:b/>
        </w:rPr>
        <w:t>.</w:t>
      </w:r>
      <w:r w:rsidR="006F64C7">
        <w:rPr>
          <w:b/>
        </w:rPr>
        <w:t>3</w:t>
      </w:r>
      <w:r>
        <w:rPr>
          <w:b/>
        </w:rPr>
        <w:t>%)</w:t>
      </w:r>
      <w:r>
        <w:t>. This is predominantly driven by the opportunity cost of excess gambling expenditure, calculated at $1.192 billion. This figure represents the estimated value of money spent on gambling by individuals experiencing harm, beyond what might be considered typical recreational spending, indicating a significant welfare loss.</w:t>
      </w:r>
    </w:p>
    <w:p w14:paraId="08F94642" w14:textId="5E458F04" w:rsidR="006F64C7" w:rsidRDefault="00310A10" w:rsidP="00367A8D">
      <w:pPr>
        <w:spacing w:before="240" w:after="240" w:line="360" w:lineRule="auto"/>
      </w:pPr>
      <w:r>
        <w:t>Together, these two components</w:t>
      </w:r>
      <w:r w:rsidR="00403222">
        <w:t>:</w:t>
      </w:r>
      <w:r>
        <w:t xml:space="preserve"> HRQoL decrements and the opportunity cost of excess </w:t>
      </w:r>
      <w:r w:rsidR="00675455">
        <w:t>spend, represent</w:t>
      </w:r>
      <w:r>
        <w:t xml:space="preserve"> the most substantial drivers of the overall social cost of gambling identified in this study. Other notable, though smaller, cost categories include work or study impacts ($678.8 million, </w:t>
      </w:r>
      <w:r w:rsidR="006F64C7">
        <w:t>16.1</w:t>
      </w:r>
      <w:r>
        <w:t>%), relationship disruption ($185.2 million, 4.</w:t>
      </w:r>
      <w:r w:rsidR="006F64C7">
        <w:t>4</w:t>
      </w:r>
      <w:r>
        <w:t>%), criminal activity ($</w:t>
      </w:r>
      <w:r w:rsidR="006F64C7">
        <w:t>54.3</w:t>
      </w:r>
      <w:r>
        <w:t xml:space="preserve"> million, 1.</w:t>
      </w:r>
      <w:r w:rsidR="006F64C7">
        <w:t>3</w:t>
      </w:r>
      <w:r>
        <w:t xml:space="preserve">%), and other </w:t>
      </w:r>
      <w:r w:rsidR="00655E14">
        <w:t xml:space="preserve">costs, including </w:t>
      </w:r>
      <w:r>
        <w:t>government</w:t>
      </w:r>
      <w:r w:rsidR="00655E14">
        <w:t xml:space="preserve">, </w:t>
      </w:r>
      <w:r>
        <w:t>communit</w:t>
      </w:r>
      <w:r w:rsidR="00655E14">
        <w:t>y, and life course harms</w:t>
      </w:r>
      <w:r>
        <w:t xml:space="preserve"> ($</w:t>
      </w:r>
      <w:r w:rsidR="006F64C7">
        <w:t>64.0</w:t>
      </w:r>
      <w:r>
        <w:t xml:space="preserve"> million, 1.</w:t>
      </w:r>
      <w:r w:rsidR="006F64C7">
        <w:t>5</w:t>
      </w:r>
      <w:r>
        <w:t>%).</w:t>
      </w:r>
    </w:p>
    <w:p w14:paraId="2FE135DF" w14:textId="620A9E02" w:rsidR="00FB308C" w:rsidRDefault="006F64C7" w:rsidP="00773079">
      <w:r>
        <w:rPr>
          <w:noProof/>
        </w:rPr>
        <w:drawing>
          <wp:inline distT="0" distB="0" distL="0" distR="0" wp14:anchorId="6D7892E7" wp14:editId="47F51F0D">
            <wp:extent cx="5468496" cy="3792828"/>
            <wp:effectExtent l="0" t="0" r="5715" b="5080"/>
            <wp:docPr id="1500282528" name="Picture 7" descr="A treemap chart showing the cost of gambling problems to New Zealand for 2023-24 by category. The largest category is Health at $2,043M, followed by Financial impacts at $1,193M. Smaller categories are Work or study at $679M, Relationship at $185M, Other at $64M, and Crime at $5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282528" name="Picture 7" descr="A treemap chart showing the cost of gambling problems to New Zealand for 2023-24 by category. The largest category is Health at $2,043M, followed by Financial impacts at $1,193M. Smaller categories are Work or study at $679M, Relationship at $185M, Other at $64M, and Crime at $54M."/>
                    <pic:cNvPicPr/>
                  </pic:nvPicPr>
                  <pic:blipFill>
                    <a:blip r:embed="rId13">
                      <a:extLst>
                        <a:ext uri="{28A0092B-C50C-407E-A947-70E740481C1C}">
                          <a14:useLocalDpi xmlns:a14="http://schemas.microsoft.com/office/drawing/2010/main" val="0"/>
                        </a:ext>
                      </a:extLst>
                    </a:blip>
                    <a:stretch>
                      <a:fillRect/>
                    </a:stretch>
                  </pic:blipFill>
                  <pic:spPr>
                    <a:xfrm>
                      <a:off x="0" y="0"/>
                      <a:ext cx="5475822" cy="3797909"/>
                    </a:xfrm>
                    <a:prstGeom prst="rect">
                      <a:avLst/>
                    </a:prstGeom>
                  </pic:spPr>
                </pic:pic>
              </a:graphicData>
            </a:graphic>
          </wp:inline>
        </w:drawing>
      </w:r>
    </w:p>
    <w:p w14:paraId="6DDC876C" w14:textId="0062BB94" w:rsidR="00FB308C" w:rsidRPr="00673A53" w:rsidRDefault="00673A53" w:rsidP="00DB094D">
      <w:pPr>
        <w:pStyle w:val="Caption"/>
      </w:pPr>
      <w:bookmarkStart w:id="21" w:name="_Toc201572769"/>
      <w:bookmarkStart w:id="22" w:name="_Toc207183730"/>
      <w:r>
        <w:br/>
      </w:r>
      <w:bookmarkStart w:id="23" w:name="_Toc207196074"/>
      <w:r w:rsidR="00FB308C" w:rsidRPr="00673A53">
        <w:t xml:space="preserve">Figure </w:t>
      </w:r>
      <w:r w:rsidR="00FB308C" w:rsidRPr="00673A53">
        <w:fldChar w:fldCharType="begin"/>
      </w:r>
      <w:r w:rsidR="00FB308C" w:rsidRPr="00673A53">
        <w:instrText xml:space="preserve"> SEQ Figure \* ARABIC </w:instrText>
      </w:r>
      <w:r w:rsidR="00FB308C" w:rsidRPr="00673A53">
        <w:fldChar w:fldCharType="separate"/>
      </w:r>
      <w:r w:rsidR="00986A0D">
        <w:rPr>
          <w:noProof/>
        </w:rPr>
        <w:t>1</w:t>
      </w:r>
      <w:r w:rsidR="00FB308C" w:rsidRPr="00673A53">
        <w:fldChar w:fldCharType="end"/>
      </w:r>
      <w:r w:rsidR="00FB308C" w:rsidRPr="00673A53">
        <w:t>. Cost of gambling problems to New Zealand (2023-24) by cost category</w:t>
      </w:r>
      <w:bookmarkEnd w:id="21"/>
      <w:bookmarkEnd w:id="22"/>
      <w:bookmarkEnd w:id="23"/>
    </w:p>
    <w:p w14:paraId="656CC571" w14:textId="2B43301A" w:rsidR="00DB689D" w:rsidRDefault="00310A10" w:rsidP="00367A8D">
      <w:pPr>
        <w:spacing w:before="240" w:after="240" w:line="360" w:lineRule="auto"/>
      </w:pPr>
      <w:r w:rsidRPr="00FB308C">
        <w:t>Figure 2 presents a detailed breakdown of these costs. The estimated range (confidence</w:t>
      </w:r>
      <w:r>
        <w:t xml:space="preserve"> interval) for each individual cost item was determined before calculating the overall confidence interval.</w:t>
      </w:r>
      <w:r w:rsidR="0074090A">
        <w:t xml:space="preserve"> These ranges, represented by the </w:t>
      </w:r>
      <w:r w:rsidR="00C5052A">
        <w:t xml:space="preserve">red </w:t>
      </w:r>
      <w:r w:rsidR="0074090A">
        <w:t xml:space="preserve">error bars, are not symmetrical statistical confidence intervals. </w:t>
      </w:r>
      <w:r w:rsidR="0074090A">
        <w:rPr>
          <w:rStyle w:val="citation-708"/>
        </w:rPr>
        <w:t>Instead, the upper and lower bounds for each individual cost item were determined based on different data sources or by using alternative methods to value non-financial impacts like emotional distress or reduced wellbeing.</w:t>
      </w:r>
      <w:r w:rsidR="0074090A">
        <w:t xml:space="preserve"> </w:t>
      </w:r>
      <w:r>
        <w:t>These ranges can be quite wide due to the difficulty of putting an exact dollar figure on complex social issues. The differences between the low and high estimates for each item often come from using various information sources or using different methods to value non-financial impacts like distress or reduced wellbeing.</w:t>
      </w:r>
    </w:p>
    <w:p w14:paraId="23D1ED80" w14:textId="1B162558" w:rsidR="00142F31" w:rsidRDefault="00310A10" w:rsidP="00673A53">
      <w:pPr>
        <w:spacing w:line="360" w:lineRule="auto"/>
      </w:pPr>
      <w:r>
        <w:t>For example, the costs linked to reduced HRQoL for both those who gamble and affected others show large ranges (e.g., for people who gamble, $384.8 million to $1.276 billion). This is mainly due to difficulty in valuing intangible impacts</w:t>
      </w:r>
      <w:r w:rsidR="00C5052A">
        <w:t xml:space="preserve">, such as the health and wellbeing impacts associated with gambling harm or the value of a human life. These are important </w:t>
      </w:r>
      <w:r w:rsidR="00083EF6">
        <w:t xml:space="preserve">factors </w:t>
      </w:r>
      <w:r w:rsidR="00C5052A">
        <w:t xml:space="preserve">to </w:t>
      </w:r>
      <w:r w:rsidR="00083EF6">
        <w:t>include in the costing</w:t>
      </w:r>
      <w:r w:rsidR="00C5052A">
        <w:t>, yet</w:t>
      </w:r>
      <w:r>
        <w:t xml:space="preserve"> are hard to </w:t>
      </w:r>
      <w:r w:rsidR="00C5052A">
        <w:t xml:space="preserve">place a </w:t>
      </w:r>
      <w:r>
        <w:t>precise</w:t>
      </w:r>
      <w:r w:rsidR="00C5052A">
        <w:t xml:space="preserve"> monetary value on</w:t>
      </w:r>
      <w:r>
        <w:t xml:space="preserve">. </w:t>
      </w:r>
      <w:r w:rsidR="00C5052A">
        <w:t xml:space="preserve">Using different methodologies can result in large ranges in estimates (uncertainties). </w:t>
      </w:r>
      <w:r>
        <w:t>From these uncertainties in the individual cost items, statistical methods (bootstrapping) were then used to calculate the confidence interval for the total social cost (between $3.</w:t>
      </w:r>
      <w:r w:rsidR="008716E4">
        <w:t xml:space="preserve">72 </w:t>
      </w:r>
      <w:r>
        <w:t>and $4.73 billion).</w:t>
      </w:r>
      <w:r w:rsidR="002B23FF" w:rsidDel="002B23FF">
        <w:t xml:space="preserve"> </w:t>
      </w:r>
      <w:r w:rsidR="00673A53">
        <w:br/>
      </w:r>
    </w:p>
    <w:p w14:paraId="1AFDBDBA" w14:textId="68DA9B4B" w:rsidR="001638C2" w:rsidRDefault="00673A53" w:rsidP="001638C2">
      <w:pPr>
        <w:spacing w:line="480" w:lineRule="auto"/>
      </w:pPr>
      <w:r>
        <w:rPr>
          <w:noProof/>
        </w:rPr>
        <w:drawing>
          <wp:anchor distT="0" distB="0" distL="114300" distR="114300" simplePos="0" relativeHeight="251658241" behindDoc="0" locked="0" layoutInCell="1" allowOverlap="1" wp14:anchorId="25847A81" wp14:editId="63ADFA9E">
            <wp:simplePos x="0" y="0"/>
            <wp:positionH relativeFrom="column">
              <wp:posOffset>0</wp:posOffset>
            </wp:positionH>
            <wp:positionV relativeFrom="paragraph">
              <wp:posOffset>2540</wp:posOffset>
            </wp:positionV>
            <wp:extent cx="5731510" cy="294640"/>
            <wp:effectExtent l="0" t="0" r="0" b="0"/>
            <wp:wrapNone/>
            <wp:docPr id="78457330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573303" name="Picture 6">
                      <a:extLst>
                        <a:ext uri="{C183D7F6-B498-43B3-948B-1728B52AA6E4}">
                          <adec:decorative xmlns:adec="http://schemas.microsoft.com/office/drawing/2017/decorative" val="1"/>
                        </a:ext>
                      </a:extLst>
                    </pic:cNvPr>
                    <pic:cNvPicPr/>
                  </pic:nvPicPr>
                  <pic:blipFill rotWithShape="1">
                    <a:blip r:embed="rId14">
                      <a:extLst>
                        <a:ext uri="{28A0092B-C50C-407E-A947-70E740481C1C}">
                          <a14:useLocalDpi xmlns:a14="http://schemas.microsoft.com/office/drawing/2010/main" val="0"/>
                        </a:ext>
                      </a:extLst>
                    </a:blip>
                    <a:srcRect t="92697"/>
                    <a:stretch>
                      <a:fillRect/>
                    </a:stretch>
                  </pic:blipFill>
                  <pic:spPr bwMode="auto">
                    <a:xfrm>
                      <a:off x="0" y="0"/>
                      <a:ext cx="5731510" cy="29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FD3C96" w14:textId="77777777" w:rsidR="00DE74A4" w:rsidRDefault="002B23FF" w:rsidP="00DE74A4">
      <w:pPr>
        <w:keepNext/>
        <w:spacing w:line="480" w:lineRule="auto"/>
      </w:pPr>
      <w:bookmarkStart w:id="24" w:name="_Toc201572770"/>
      <w:r>
        <w:rPr>
          <w:noProof/>
        </w:rPr>
        <w:drawing>
          <wp:inline distT="0" distB="0" distL="0" distR="0" wp14:anchorId="3F896B02" wp14:editId="2B274486">
            <wp:extent cx="5557234" cy="3212673"/>
            <wp:effectExtent l="0" t="0" r="5715" b="635"/>
            <wp:docPr id="61298617" name="Picture 9" descr="A horizontal bar chart detailing the components of gambling harm costs. The largest central estimates are for &quot;Total opportunity cost of excess gambling spend&quot; (approx. $1.2B), &quot;HRQoL impact of gambling harm on affected others&quot; (approx. $850M), and &quot;HRQoL impact of gambling harm on gambler&quot; (approx. $830M). Red error bars indicate wide uncertainty ranges for thes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8617" name="Picture 9" descr="A horizontal bar chart detailing the components of gambling harm costs. The largest central estimates are for &quot;Total opportunity cost of excess gambling spend&quot; (approx. $1.2B), &quot;HRQoL impact of gambling harm on affected others&quot; (approx. $850M), and &quot;HRQoL impact of gambling harm on gambler&quot; (approx. $830M). Red error bars indicate wide uncertainty ranges for these items."/>
                    <pic:cNvPicPr/>
                  </pic:nvPicPr>
                  <pic:blipFill>
                    <a:blip r:embed="rId15">
                      <a:extLst>
                        <a:ext uri="{28A0092B-C50C-407E-A947-70E740481C1C}">
                          <a14:useLocalDpi xmlns:a14="http://schemas.microsoft.com/office/drawing/2010/main" val="0"/>
                        </a:ext>
                      </a:extLst>
                    </a:blip>
                    <a:stretch>
                      <a:fillRect/>
                    </a:stretch>
                  </pic:blipFill>
                  <pic:spPr>
                    <a:xfrm>
                      <a:off x="0" y="0"/>
                      <a:ext cx="5648694" cy="3265546"/>
                    </a:xfrm>
                    <a:prstGeom prst="rect">
                      <a:avLst/>
                    </a:prstGeom>
                  </pic:spPr>
                </pic:pic>
              </a:graphicData>
            </a:graphic>
          </wp:inline>
        </w:drawing>
      </w:r>
      <w:bookmarkEnd w:id="24"/>
    </w:p>
    <w:p w14:paraId="6E716A1A" w14:textId="6DD901EA" w:rsidR="00FB308C" w:rsidRDefault="00DE74A4" w:rsidP="00DB094D">
      <w:pPr>
        <w:pStyle w:val="Caption"/>
      </w:pPr>
      <w:bookmarkStart w:id="25" w:name="_Toc207196075"/>
      <w:r>
        <w:t xml:space="preserve">Figure </w:t>
      </w:r>
      <w:r>
        <w:fldChar w:fldCharType="begin"/>
      </w:r>
      <w:r>
        <w:instrText xml:space="preserve"> SEQ Figure \* ARABIC </w:instrText>
      </w:r>
      <w:r>
        <w:fldChar w:fldCharType="separate"/>
      </w:r>
      <w:r w:rsidR="00986A0D">
        <w:rPr>
          <w:noProof/>
        </w:rPr>
        <w:t>2</w:t>
      </w:r>
      <w:r>
        <w:fldChar w:fldCharType="end"/>
      </w:r>
      <w:r>
        <w:t xml:space="preserve">. </w:t>
      </w:r>
      <w:r w:rsidRPr="00DA0AE9">
        <w:t>Cost components with upper and lower bounds</w:t>
      </w:r>
      <w:bookmarkEnd w:id="25"/>
    </w:p>
    <w:p w14:paraId="3313E89C" w14:textId="79183142" w:rsidR="00DB689D" w:rsidRPr="00FB308C" w:rsidRDefault="00310A10" w:rsidP="001638C2">
      <w:pPr>
        <w:pStyle w:val="Heading2notnumbered"/>
        <w:spacing w:line="480" w:lineRule="auto"/>
      </w:pPr>
      <w:bookmarkStart w:id="26" w:name="_agjil35918ua" w:colFirst="0" w:colLast="0"/>
      <w:bookmarkStart w:id="27" w:name="_Toc207195874"/>
      <w:bookmarkEnd w:id="26"/>
      <w:r w:rsidRPr="00FB308C">
        <w:t xml:space="preserve">Distribution of </w:t>
      </w:r>
      <w:r w:rsidR="00E06C93">
        <w:t>c</w:t>
      </w:r>
      <w:r w:rsidRPr="00FB308C">
        <w:t>osts</w:t>
      </w:r>
      <w:bookmarkEnd w:id="27"/>
    </w:p>
    <w:p w14:paraId="5AF4CA69" w14:textId="2816D29B" w:rsidR="00142F31" w:rsidRDefault="00310A10" w:rsidP="00673A53">
      <w:pPr>
        <w:spacing w:line="360" w:lineRule="auto"/>
      </w:pPr>
      <w:r w:rsidRPr="00FB308C">
        <w:t>The economic burden of gambling harm is distributed across several groups (see Figure 3 for</w:t>
      </w:r>
      <w:r>
        <w:t xml:space="preserve"> breakdown by bearer of cost). Individuals who gamble bear the largest single share, accounting for </w:t>
      </w:r>
      <w:r w:rsidR="002B23FF">
        <w:rPr>
          <w:b/>
        </w:rPr>
        <w:t>43.5</w:t>
      </w:r>
      <w:r>
        <w:rPr>
          <w:b/>
        </w:rPr>
        <w:t>% ($1.84 billion)</w:t>
      </w:r>
      <w:r>
        <w:t xml:space="preserve"> of the total cost. Affected others (including family, </w:t>
      </w:r>
      <w:r w:rsidRPr="00134B05">
        <w:t>whānau</w:t>
      </w:r>
      <w:r>
        <w:t xml:space="preserve">, friends, and community members) shoulder a significant proportion at </w:t>
      </w:r>
      <w:r>
        <w:rPr>
          <w:b/>
        </w:rPr>
        <w:t>33.</w:t>
      </w:r>
      <w:r w:rsidR="002B23FF">
        <w:rPr>
          <w:b/>
        </w:rPr>
        <w:t>8</w:t>
      </w:r>
      <w:r>
        <w:rPr>
          <w:b/>
        </w:rPr>
        <w:t>% ($1.43 billion)</w:t>
      </w:r>
      <w:r>
        <w:t xml:space="preserve">. The remaining </w:t>
      </w:r>
      <w:r w:rsidR="002B23FF">
        <w:rPr>
          <w:b/>
        </w:rPr>
        <w:t>22.7</w:t>
      </w:r>
      <w:r>
        <w:rPr>
          <w:b/>
        </w:rPr>
        <w:t>% ($</w:t>
      </w:r>
      <w:r w:rsidR="002B23FF">
        <w:rPr>
          <w:b/>
        </w:rPr>
        <w:t>0.</w:t>
      </w:r>
      <w:r w:rsidR="009A1C30">
        <w:rPr>
          <w:b/>
        </w:rPr>
        <w:t>96</w:t>
      </w:r>
      <w:r>
        <w:rPr>
          <w:b/>
        </w:rPr>
        <w:t xml:space="preserve"> billion)</w:t>
      </w:r>
      <w:r>
        <w:t xml:space="preserve"> of costs are borne by the wider community, businesses, and government entities.</w:t>
      </w:r>
    </w:p>
    <w:p w14:paraId="1F7C2437" w14:textId="0E9A4AF8" w:rsidR="00773079" w:rsidRDefault="00FB308C" w:rsidP="001638C2">
      <w:pPr>
        <w:spacing w:line="480" w:lineRule="auto"/>
      </w:pPr>
      <w:r w:rsidRPr="00773079">
        <w:t xml:space="preserve"> </w:t>
      </w:r>
      <w:bookmarkStart w:id="28" w:name="_Toc201572771"/>
      <w:r w:rsidR="00773079" w:rsidRPr="00773079">
        <w:t xml:space="preserve"> </w:t>
      </w:r>
    </w:p>
    <w:p w14:paraId="54E4CCF5" w14:textId="77777777" w:rsidR="00F6447C" w:rsidRDefault="002B23FF" w:rsidP="00F6447C">
      <w:pPr>
        <w:keepNext/>
      </w:pPr>
      <w:bookmarkStart w:id="29" w:name="_Toc207183731"/>
      <w:r>
        <w:rPr>
          <w:noProof/>
        </w:rPr>
        <w:drawing>
          <wp:inline distT="0" distB="0" distL="0" distR="0" wp14:anchorId="53646B14" wp14:editId="4AE08C47">
            <wp:extent cx="5922645" cy="3437890"/>
            <wp:effectExtent l="0" t="0" r="0" b="3810"/>
            <wp:docPr id="554265106" name="Picture 10" descr="A stacked column chart showing who bears the cost of gambling problems. The &quot;Gambler&quot; column totals approximately $1.8 billion, mainly from financial and health impacts. The &quot;Affected Others&quot; column totals approximately $1.4 billion, almost entirely from health impacts. The &quot;Community, Business, Government&quot; column totals approximately $0.96 billion, mainly from work or study and health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65106" name="Picture 10" descr="A stacked column chart showing who bears the cost of gambling problems. The &quot;Gambler&quot; column totals approximately $1.8 billion, mainly from financial and health impacts. The &quot;Affected Others&quot; column totals approximately $1.4 billion, almost entirely from health impacts. The &quot;Community, Business, Government&quot; column totals approximately $0.96 billion, mainly from work or study and health impacts."/>
                    <pic:cNvPicPr/>
                  </pic:nvPicPr>
                  <pic:blipFill>
                    <a:blip r:embed="rId16">
                      <a:extLst>
                        <a:ext uri="{28A0092B-C50C-407E-A947-70E740481C1C}">
                          <a14:useLocalDpi xmlns:a14="http://schemas.microsoft.com/office/drawing/2010/main" val="0"/>
                        </a:ext>
                      </a:extLst>
                    </a:blip>
                    <a:stretch>
                      <a:fillRect/>
                    </a:stretch>
                  </pic:blipFill>
                  <pic:spPr>
                    <a:xfrm>
                      <a:off x="0" y="0"/>
                      <a:ext cx="5922645" cy="3437890"/>
                    </a:xfrm>
                    <a:prstGeom prst="rect">
                      <a:avLst/>
                    </a:prstGeom>
                  </pic:spPr>
                </pic:pic>
              </a:graphicData>
            </a:graphic>
          </wp:inline>
        </w:drawing>
      </w:r>
      <w:bookmarkEnd w:id="28"/>
      <w:bookmarkEnd w:id="29"/>
    </w:p>
    <w:p w14:paraId="7C47B596" w14:textId="6BDD8156" w:rsidR="00773079" w:rsidRPr="00DD0432" w:rsidRDefault="00F6447C" w:rsidP="00DB094D">
      <w:pPr>
        <w:pStyle w:val="Caption"/>
      </w:pPr>
      <w:bookmarkStart w:id="30" w:name="_Toc207196076"/>
      <w:r>
        <w:t xml:space="preserve">Figure </w:t>
      </w:r>
      <w:r>
        <w:fldChar w:fldCharType="begin"/>
      </w:r>
      <w:r>
        <w:instrText xml:space="preserve"> SEQ Figure \* ARABIC </w:instrText>
      </w:r>
      <w:r>
        <w:fldChar w:fldCharType="separate"/>
      </w:r>
      <w:r w:rsidR="00986A0D">
        <w:rPr>
          <w:noProof/>
        </w:rPr>
        <w:t>3</w:t>
      </w:r>
      <w:r>
        <w:fldChar w:fldCharType="end"/>
      </w:r>
      <w:r>
        <w:t xml:space="preserve">. </w:t>
      </w:r>
      <w:r w:rsidRPr="006B3740">
        <w:t>The cost of gambling problems to New Zealand (2023-24) by bearer of cost</w:t>
      </w:r>
      <w:bookmarkEnd w:id="30"/>
    </w:p>
    <w:p w14:paraId="05F334A3" w14:textId="77777777" w:rsidR="00DB689D" w:rsidRDefault="00DB689D" w:rsidP="001638C2"/>
    <w:p w14:paraId="04D160BE" w14:textId="77777777" w:rsidR="00673A53" w:rsidRDefault="00673A53" w:rsidP="00673A53">
      <w:pPr>
        <w:spacing w:line="360" w:lineRule="auto"/>
      </w:pPr>
    </w:p>
    <w:p w14:paraId="1426020D" w14:textId="77777777" w:rsidR="00673A53" w:rsidRDefault="00142F31" w:rsidP="00673A53">
      <w:pPr>
        <w:spacing w:line="360" w:lineRule="auto"/>
      </w:pPr>
      <w:r>
        <w:t xml:space="preserve">A critical finding is the inequitable distribution of gambling harm costs across cultural groups. Figure 4 illustrates this by showing, for each cultural group, their estimated share of gambling harm costs (blue bars, in millions of dollars) alongside their corresponding percentage of the total </w:t>
      </w:r>
      <w:r w:rsidR="00DC4477">
        <w:t xml:space="preserve">adult (15+) </w:t>
      </w:r>
      <w:r>
        <w:t xml:space="preserve">New Zealand population (red markers). Māori experience a disproportionately high share of the burden. Representing 15.0% of the New Zealand population, Māori account for 31.5% of gambling problems and are estimated to bear </w:t>
      </w:r>
      <w:r>
        <w:rPr>
          <w:b/>
        </w:rPr>
        <w:t>$1.</w:t>
      </w:r>
      <w:r w:rsidR="009A1C30">
        <w:rPr>
          <w:b/>
        </w:rPr>
        <w:t xml:space="preserve">33 </w:t>
      </w:r>
      <w:r>
        <w:rPr>
          <w:b/>
        </w:rPr>
        <w:t>billion</w:t>
      </w:r>
      <w:r>
        <w:t xml:space="preserve"> of the total social cost. Similarly, Pacific peoples, who make up 6.4% of the population, account for 10.9% of gambling problems and an estimated </w:t>
      </w:r>
      <w:r>
        <w:rPr>
          <w:b/>
        </w:rPr>
        <w:t>$</w:t>
      </w:r>
      <w:r w:rsidR="009A1C30">
        <w:rPr>
          <w:b/>
        </w:rPr>
        <w:t xml:space="preserve">460 </w:t>
      </w:r>
      <w:r>
        <w:rPr>
          <w:b/>
        </w:rPr>
        <w:t>million</w:t>
      </w:r>
      <w:r>
        <w:t xml:space="preserve"> in costs. </w:t>
      </w:r>
    </w:p>
    <w:p w14:paraId="0D1AD837" w14:textId="6F791BA2" w:rsidR="00142F31" w:rsidRDefault="00142F31" w:rsidP="00673A53">
      <w:pPr>
        <w:spacing w:line="360" w:lineRule="auto"/>
      </w:pPr>
      <w:r>
        <w:t>This highlights a significant disparity, indicating that the economic impact of gambling harm is not borne proportionally by all cultural groups. It is important to note that while this analysis quantifies distribution based on problem prevalence, limitations exist in fully capturing the unique nature and extent of culturally specific harms with current data.</w:t>
      </w:r>
    </w:p>
    <w:p w14:paraId="0F460AD9" w14:textId="77777777" w:rsidR="00142F31" w:rsidRDefault="00142F31" w:rsidP="001638C2"/>
    <w:p w14:paraId="4A10481A" w14:textId="1F7870CC" w:rsidR="00773079" w:rsidRDefault="009A1C30" w:rsidP="001638C2">
      <w:bookmarkStart w:id="31" w:name="_Toc201572772"/>
      <w:r>
        <w:rPr>
          <w:noProof/>
        </w:rPr>
        <w:drawing>
          <wp:inline distT="0" distB="0" distL="0" distR="0" wp14:anchorId="18CDB332" wp14:editId="1BACAA4F">
            <wp:extent cx="5922645" cy="2941320"/>
            <wp:effectExtent l="0" t="0" r="0" b="5080"/>
            <wp:docPr id="1949368814" name="Picture 11" descr="A combination bar and line chart showing the disproportionate distribution of gambling harm costs by cultural group. Bars show costs: European/Other ($1,804M), Māori ($1,328M), Asian ($628M), and Pacific ($460M). Red markers on a second axis show population share: European/Other (61.0%), Māori (15.0%), Asian (17.6%), and Pacific (6.4%). The chart highlights that Māori bear a share of the cost significantly larger than their population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68814" name="Picture 11" descr="A combination bar and line chart showing the disproportionate distribution of gambling harm costs by cultural group. Bars show costs: European/Other ($1,804M), Māori ($1,328M), Asian ($628M), and Pacific ($460M). Red markers on a second axis show population share: European/Other (61.0%), Māori (15.0%), Asian (17.6%), and Pacific (6.4%). The chart highlights that Māori bear a share of the cost significantly larger than their population percentage."/>
                    <pic:cNvPicPr/>
                  </pic:nvPicPr>
                  <pic:blipFill>
                    <a:blip r:embed="rId17">
                      <a:extLst>
                        <a:ext uri="{28A0092B-C50C-407E-A947-70E740481C1C}">
                          <a14:useLocalDpi xmlns:a14="http://schemas.microsoft.com/office/drawing/2010/main" val="0"/>
                        </a:ext>
                      </a:extLst>
                    </a:blip>
                    <a:stretch>
                      <a:fillRect/>
                    </a:stretch>
                  </pic:blipFill>
                  <pic:spPr>
                    <a:xfrm>
                      <a:off x="0" y="0"/>
                      <a:ext cx="5922645" cy="2941320"/>
                    </a:xfrm>
                    <a:prstGeom prst="rect">
                      <a:avLst/>
                    </a:prstGeom>
                  </pic:spPr>
                </pic:pic>
              </a:graphicData>
            </a:graphic>
          </wp:inline>
        </w:drawing>
      </w:r>
      <w:r w:rsidR="00773079" w:rsidRPr="00773079">
        <w:t xml:space="preserve"> </w:t>
      </w:r>
    </w:p>
    <w:p w14:paraId="20D4573E" w14:textId="0FB66472" w:rsidR="00773079" w:rsidRPr="00DD0432" w:rsidRDefault="00773079" w:rsidP="00DB094D">
      <w:pPr>
        <w:pStyle w:val="Caption"/>
      </w:pPr>
      <w:bookmarkStart w:id="32" w:name="_Toc207183732"/>
      <w:bookmarkStart w:id="33" w:name="_Toc207196077"/>
      <w:r w:rsidRPr="00DD0432">
        <w:t xml:space="preserve">Figure </w:t>
      </w:r>
      <w:r w:rsidRPr="00DD0432">
        <w:fldChar w:fldCharType="begin"/>
      </w:r>
      <w:r w:rsidRPr="00DD0432">
        <w:instrText xml:space="preserve"> SEQ Figure \* ARABIC </w:instrText>
      </w:r>
      <w:r w:rsidRPr="00DD0432">
        <w:fldChar w:fldCharType="separate"/>
      </w:r>
      <w:r w:rsidR="00986A0D">
        <w:rPr>
          <w:noProof/>
        </w:rPr>
        <w:t>4</w:t>
      </w:r>
      <w:r w:rsidRPr="00DD0432">
        <w:fldChar w:fldCharType="end"/>
      </w:r>
      <w:r w:rsidRPr="00DD0432">
        <w:t>. Distribution of the cost of gambling problems in New Zealand (2023-24), by cultural group compared to population prevalence</w:t>
      </w:r>
      <w:bookmarkEnd w:id="31"/>
      <w:bookmarkEnd w:id="32"/>
      <w:bookmarkEnd w:id="33"/>
    </w:p>
    <w:p w14:paraId="70975D2E" w14:textId="0D2399FA" w:rsidR="00DB689D" w:rsidRDefault="00DB689D" w:rsidP="00773079">
      <w:pPr>
        <w:rPr>
          <w:b/>
          <w:color w:val="242424"/>
          <w:highlight w:val="white"/>
        </w:rPr>
      </w:pPr>
    </w:p>
    <w:p w14:paraId="79DEB1A8" w14:textId="4F247322" w:rsidR="00DB689D" w:rsidRPr="00FB308C" w:rsidRDefault="00310A10" w:rsidP="00523B7E">
      <w:pPr>
        <w:pStyle w:val="Heading2notnumbered"/>
      </w:pPr>
      <w:bookmarkStart w:id="34" w:name="_wvks1tqg6ls0" w:colFirst="0" w:colLast="0"/>
      <w:bookmarkStart w:id="35" w:name="_Toc207195875"/>
      <w:bookmarkEnd w:id="34"/>
      <w:r w:rsidRPr="00FB308C">
        <w:t xml:space="preserve">Attribution of </w:t>
      </w:r>
      <w:r w:rsidR="00E06C93">
        <w:t>c</w:t>
      </w:r>
      <w:r w:rsidRPr="00FB308C">
        <w:t xml:space="preserve">osts to </w:t>
      </w:r>
      <w:r w:rsidR="00E06C93">
        <w:t>g</w:t>
      </w:r>
      <w:r w:rsidRPr="00FB308C">
        <w:t xml:space="preserve">ambling </w:t>
      </w:r>
      <w:r w:rsidR="00E06C93">
        <w:t>f</w:t>
      </w:r>
      <w:r w:rsidRPr="00FB308C">
        <w:t>orms</w:t>
      </w:r>
      <w:bookmarkEnd w:id="35"/>
    </w:p>
    <w:p w14:paraId="7D05C30E" w14:textId="538EC505" w:rsidR="00673A53" w:rsidRDefault="00310A10" w:rsidP="00367A8D">
      <w:pPr>
        <w:spacing w:before="240" w:after="240" w:line="360" w:lineRule="auto"/>
      </w:pPr>
      <w:r>
        <w:t>The majority of gambling harm costs stem from problems and excessive expenditure linked to specific gambling forms (see</w:t>
      </w:r>
      <w:r w:rsidR="00FB308C">
        <w:t xml:space="preserve"> Figure 5</w:t>
      </w:r>
      <w:r>
        <w:t xml:space="preserve"> for cost attributable to each form). Electronic Gaming Machines (EGMs) are the most significant contributors. </w:t>
      </w:r>
      <w:r>
        <w:rPr>
          <w:b/>
        </w:rPr>
        <w:t>Offshore online EGMs</w:t>
      </w:r>
      <w:r>
        <w:t xml:space="preserve"> account for the largest single share of form-attributable costs at </w:t>
      </w:r>
      <w:r>
        <w:rPr>
          <w:b/>
        </w:rPr>
        <w:t>39.0%</w:t>
      </w:r>
      <w:r>
        <w:t xml:space="preserve"> (approximately </w:t>
      </w:r>
      <w:r>
        <w:rPr>
          <w:b/>
        </w:rPr>
        <w:t>$1.58 billion</w:t>
      </w:r>
      <w:r>
        <w:t xml:space="preserve">). Following this, </w:t>
      </w:r>
      <w:r w:rsidR="00D35699">
        <w:rPr>
          <w:b/>
        </w:rPr>
        <w:t>Class 4 pokies</w:t>
      </w:r>
      <w:r>
        <w:t xml:space="preserve"> contribute </w:t>
      </w:r>
      <w:r>
        <w:rPr>
          <w:b/>
        </w:rPr>
        <w:t>24.5%</w:t>
      </w:r>
      <w:r>
        <w:t xml:space="preserve"> (approximately </w:t>
      </w:r>
      <w:r>
        <w:rPr>
          <w:b/>
        </w:rPr>
        <w:t>$</w:t>
      </w:r>
      <w:r w:rsidR="009A1C30">
        <w:rPr>
          <w:b/>
        </w:rPr>
        <w:t>984.0</w:t>
      </w:r>
      <w:r>
        <w:rPr>
          <w:b/>
        </w:rPr>
        <w:t xml:space="preserve"> million</w:t>
      </w:r>
      <w:r>
        <w:t>).</w:t>
      </w:r>
      <w:r w:rsidR="00A776E2">
        <w:t xml:space="preserve"> These are estimates of the form-attributable component of the total costs.</w:t>
      </w:r>
      <w:r>
        <w:t xml:space="preserve"> Combined, these two EGM categories are responsible for nearly two-thirds (63.5%) of all gambling harm costs attributable to specific forms.</w:t>
      </w:r>
      <w:r w:rsidR="00A776E2">
        <w:t xml:space="preserve"> </w:t>
      </w:r>
    </w:p>
    <w:p w14:paraId="6F527549" w14:textId="11296B4A" w:rsidR="00DB689D" w:rsidRDefault="00A776E2" w:rsidP="00367A8D">
      <w:pPr>
        <w:spacing w:before="240" w:after="240" w:line="360" w:lineRule="auto"/>
      </w:pPr>
      <w:r>
        <w:t>Figure 5 also includes conservative range estimates incorporating varying forms of uncertainty, to illustrate the significant uncertainty in estimates of the cost of each component.</w:t>
      </w:r>
    </w:p>
    <w:p w14:paraId="154B52AF" w14:textId="77777777" w:rsidR="00673A53" w:rsidRDefault="00673A53" w:rsidP="00BB3C33">
      <w:pPr>
        <w:spacing w:before="240" w:after="240" w:line="360" w:lineRule="auto"/>
      </w:pPr>
    </w:p>
    <w:p w14:paraId="0AA3DD9C" w14:textId="6118F3BC" w:rsidR="00FB308C" w:rsidRPr="00DD0432" w:rsidRDefault="00310A10" w:rsidP="00BB3C33">
      <w:pPr>
        <w:spacing w:before="240" w:after="240" w:line="360" w:lineRule="auto"/>
      </w:pPr>
      <w:r>
        <w:t>Offshore online gambling, in general, imposes a substantial and disproportionate burden. The social costs associated with offshore online EGMs and casino games (the latter accounting for an additional 6.1% or $</w:t>
      </w:r>
      <w:r w:rsidR="009A1C30">
        <w:t>246.9</w:t>
      </w:r>
      <w:r>
        <w:t xml:space="preserve"> million) </w:t>
      </w:r>
      <w:r w:rsidR="00BF5F3D">
        <w:t xml:space="preserve">are </w:t>
      </w:r>
      <w:r w:rsidR="009075AF" w:rsidRPr="009075AF">
        <w:t xml:space="preserve">greatly </w:t>
      </w:r>
      <w:r w:rsidR="00BF5F3D">
        <w:t xml:space="preserve">unlikely to </w:t>
      </w:r>
      <w:r w:rsidR="009075AF" w:rsidRPr="009075AF">
        <w:t xml:space="preserve">exceed direct economic returns to New Zealand. </w:t>
      </w:r>
      <w:r>
        <w:t>This highlights a significant area of concern where substantial costs are incurred with minimal local economic benefit, and where individuals are exposed to products with a high risk of harm due to factors like 24/7 accessibility and aggressive marketing, as noted in Community Consultations.</w:t>
      </w:r>
    </w:p>
    <w:p w14:paraId="7F090506" w14:textId="77777777" w:rsidR="00F6447C" w:rsidRDefault="009A1C30" w:rsidP="00F6447C">
      <w:pPr>
        <w:keepNext/>
      </w:pPr>
      <w:bookmarkStart w:id="36" w:name="_Toc201572773"/>
      <w:bookmarkStart w:id="37" w:name="_Toc207183733"/>
      <w:r>
        <w:rPr>
          <w:noProof/>
        </w:rPr>
        <w:drawing>
          <wp:inline distT="0" distB="0" distL="0" distR="0" wp14:anchorId="3DB1983E" wp14:editId="2006AE69">
            <wp:extent cx="5922645" cy="2990850"/>
            <wp:effectExtent l="0" t="0" r="0" b="6350"/>
            <wp:docPr id="140918466" name="Picture 12" descr="A horizontal bar chart ranking the cost of gambling by form. &quot;Offshore online EGMs&quot; is the largest contributor at approximately $1.58 billion. &quot;EGMs in venues&quot; is second at approximately $984 million. Other significant forms include offshore online casino games, lotteries, and race betting via TAB. Error bars indicate significant uncertainty in the estimates for each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8466" name="Picture 12" descr="A horizontal bar chart ranking the cost of gambling by form. &quot;Offshore online EGMs&quot; is the largest contributor at approximately $1.58 billion. &quot;EGMs in venues&quot; is second at approximately $984 million. Other significant forms include offshore online casino games, lotteries, and race betting via TAB. Error bars indicate significant uncertainty in the estimates for each form."/>
                    <pic:cNvPicPr/>
                  </pic:nvPicPr>
                  <pic:blipFill>
                    <a:blip r:embed="rId18">
                      <a:extLst>
                        <a:ext uri="{28A0092B-C50C-407E-A947-70E740481C1C}">
                          <a14:useLocalDpi xmlns:a14="http://schemas.microsoft.com/office/drawing/2010/main" val="0"/>
                        </a:ext>
                      </a:extLst>
                    </a:blip>
                    <a:stretch>
                      <a:fillRect/>
                    </a:stretch>
                  </pic:blipFill>
                  <pic:spPr>
                    <a:xfrm>
                      <a:off x="0" y="0"/>
                      <a:ext cx="5922645" cy="2990850"/>
                    </a:xfrm>
                    <a:prstGeom prst="rect">
                      <a:avLst/>
                    </a:prstGeom>
                  </pic:spPr>
                </pic:pic>
              </a:graphicData>
            </a:graphic>
          </wp:inline>
        </w:drawing>
      </w:r>
    </w:p>
    <w:p w14:paraId="21B5FAF4" w14:textId="2511FB85" w:rsidR="00F6447C" w:rsidRDefault="00F6447C" w:rsidP="00DB094D">
      <w:pPr>
        <w:pStyle w:val="Caption"/>
      </w:pPr>
      <w:bookmarkStart w:id="38" w:name="_Toc207196078"/>
      <w:r>
        <w:t xml:space="preserve">Figure </w:t>
      </w:r>
      <w:r>
        <w:fldChar w:fldCharType="begin"/>
      </w:r>
      <w:r>
        <w:instrText xml:space="preserve"> SEQ Figure \* ARABIC </w:instrText>
      </w:r>
      <w:r>
        <w:fldChar w:fldCharType="separate"/>
      </w:r>
      <w:r w:rsidR="00986A0D">
        <w:rPr>
          <w:noProof/>
        </w:rPr>
        <w:t>5</w:t>
      </w:r>
      <w:r>
        <w:fldChar w:fldCharType="end"/>
      </w:r>
      <w:r>
        <w:t xml:space="preserve">. </w:t>
      </w:r>
      <w:r w:rsidRPr="0054196E">
        <w:t>The cost of gambling attributable to each form</w:t>
      </w:r>
      <w:bookmarkEnd w:id="38"/>
    </w:p>
    <w:bookmarkEnd w:id="36"/>
    <w:bookmarkEnd w:id="37"/>
    <w:p w14:paraId="7373716B" w14:textId="77777777" w:rsidR="00DB689D" w:rsidRDefault="00DB689D" w:rsidP="00367A8D">
      <w:pPr>
        <w:spacing w:line="360" w:lineRule="auto"/>
      </w:pPr>
    </w:p>
    <w:p w14:paraId="2ED3164D" w14:textId="7040A65A" w:rsidR="00DB689D" w:rsidRPr="00FB308C" w:rsidRDefault="00310A10" w:rsidP="00523B7E">
      <w:pPr>
        <w:pStyle w:val="Heading2notnumbered"/>
      </w:pPr>
      <w:bookmarkStart w:id="39" w:name="_vboyiqwc9hq" w:colFirst="0" w:colLast="0"/>
      <w:bookmarkStart w:id="40" w:name="_Toc207195876"/>
      <w:bookmarkEnd w:id="39"/>
      <w:r w:rsidRPr="00FB308C">
        <w:t xml:space="preserve">Methodological </w:t>
      </w:r>
      <w:r w:rsidR="00E06C93">
        <w:t>a</w:t>
      </w:r>
      <w:r w:rsidRPr="00FB308C">
        <w:t>pproach (</w:t>
      </w:r>
      <w:r w:rsidR="00E06C93">
        <w:t>b</w:t>
      </w:r>
      <w:r w:rsidRPr="00FB308C">
        <w:t xml:space="preserve">rief </w:t>
      </w:r>
      <w:r w:rsidR="00E06C93">
        <w:t>o</w:t>
      </w:r>
      <w:r w:rsidRPr="00FB308C">
        <w:t>verview)</w:t>
      </w:r>
      <w:bookmarkEnd w:id="40"/>
    </w:p>
    <w:p w14:paraId="425E9043" w14:textId="77777777" w:rsidR="00673A53" w:rsidRDefault="00310A10" w:rsidP="00367A8D">
      <w:pPr>
        <w:spacing w:before="240" w:after="240" w:line="360" w:lineRule="auto"/>
      </w:pPr>
      <w:r>
        <w:t xml:space="preserve">This study adopted a public health perspective to assess the economic and social costs of gambling harm. The costing framework integrated both tangible costs (e.g., healthcare, justice system expenses) and intangible costs, with a significant focus on valuing decrements in HRQoL for individuals who gamble and their affected others. Another key component was the estimation of the opportunity cost of excess gambling spend, </w:t>
      </w:r>
      <w:r w:rsidR="00A551AF">
        <w:t xml:space="preserve">that used average spend by </w:t>
      </w:r>
      <w:r w:rsidR="00502394">
        <w:t xml:space="preserve">people categorised as </w:t>
      </w:r>
      <w:r w:rsidR="00A551AF">
        <w:t xml:space="preserve">non-problem </w:t>
      </w:r>
      <w:r w:rsidR="00502394">
        <w:t xml:space="preserve">gambling </w:t>
      </w:r>
      <w:r w:rsidR="00A551AF">
        <w:t xml:space="preserve">as a benchmark to </w:t>
      </w:r>
      <w:r>
        <w:t xml:space="preserve">quantify the welfare loss </w:t>
      </w:r>
      <w:r w:rsidR="00A551AF">
        <w:t xml:space="preserve">to </w:t>
      </w:r>
      <w:r w:rsidR="00502394">
        <w:t xml:space="preserve">those categorised as </w:t>
      </w:r>
      <w:r w:rsidR="00A551AF">
        <w:t>at-risk gambl</w:t>
      </w:r>
      <w:r w:rsidR="00502394">
        <w:t>ing</w:t>
      </w:r>
      <w:r w:rsidR="00A551AF">
        <w:t xml:space="preserve"> due to </w:t>
      </w:r>
      <w:r>
        <w:t xml:space="preserve">expenditure beyond typical recreational levels. Data were drawn from the New Zealand Gambling Survey (NZGS) 2023/24, previous New Zealand research on gambling harm prevalence, and other relevant national statistics and literature. </w:t>
      </w:r>
    </w:p>
    <w:p w14:paraId="730B482F" w14:textId="05AFBFD2" w:rsidR="00DB689D" w:rsidRDefault="00310A10" w:rsidP="00367A8D">
      <w:pPr>
        <w:spacing w:before="240" w:after="240" w:line="360" w:lineRule="auto"/>
      </w:pPr>
      <w:r>
        <w:t xml:space="preserve">To account for inherent uncertainties in cost estimations, a parametric bootstrapping approach was employed to generate confidence intervals. The quantitative analysis was further contextualised and informed by </w:t>
      </w:r>
      <w:r w:rsidR="00403222">
        <w:t>c</w:t>
      </w:r>
      <w:r>
        <w:t xml:space="preserve">ommunity </w:t>
      </w:r>
      <w:r w:rsidR="00403222">
        <w:t>c</w:t>
      </w:r>
      <w:r>
        <w:t>onsultations with professionals working in the gambling harm sector across Aotearoa New Zealand. Economic modelling was undertaken to attempt to assess the likely impact of candidate policy measures on these costs.</w:t>
      </w:r>
    </w:p>
    <w:p w14:paraId="12DD2678" w14:textId="48EFA76A" w:rsidR="00DB689D" w:rsidRPr="00FB308C" w:rsidRDefault="00310A10" w:rsidP="00523B7E">
      <w:pPr>
        <w:pStyle w:val="Heading2notnumbered"/>
      </w:pPr>
      <w:bookmarkStart w:id="41" w:name="_2nz7bybbjv4f" w:colFirst="0" w:colLast="0"/>
      <w:bookmarkStart w:id="42" w:name="_Toc207195877"/>
      <w:bookmarkEnd w:id="41"/>
      <w:r w:rsidRPr="00FB308C">
        <w:t xml:space="preserve">Key </w:t>
      </w:r>
      <w:r w:rsidR="00E06C93">
        <w:t>i</w:t>
      </w:r>
      <w:r w:rsidRPr="00FB308C">
        <w:t xml:space="preserve">mplications for </w:t>
      </w:r>
      <w:r w:rsidR="00E06C93">
        <w:t>p</w:t>
      </w:r>
      <w:r w:rsidRPr="00FB308C">
        <w:t xml:space="preserve">olicy and </w:t>
      </w:r>
      <w:r w:rsidR="00E06C93">
        <w:t>h</w:t>
      </w:r>
      <w:r w:rsidRPr="00FB308C">
        <w:t xml:space="preserve">arm </w:t>
      </w:r>
      <w:r w:rsidR="00E06C93">
        <w:t>m</w:t>
      </w:r>
      <w:r w:rsidRPr="00FB308C">
        <w:t>inimisation</w:t>
      </w:r>
      <w:bookmarkEnd w:id="42"/>
    </w:p>
    <w:p w14:paraId="49197294" w14:textId="77777777" w:rsidR="00DB689D" w:rsidRDefault="00310A10" w:rsidP="00367A8D">
      <w:pPr>
        <w:spacing w:before="240" w:after="240" w:line="360" w:lineRule="auto"/>
      </w:pPr>
      <w:r>
        <w:t>The findings from this study present several key implications for policy and harm minimisation efforts in Aotearoa New Zealand:</w:t>
      </w:r>
    </w:p>
    <w:p w14:paraId="704D7F50" w14:textId="2888DA14" w:rsidR="00DB689D" w:rsidRDefault="00310A10" w:rsidP="00367A8D">
      <w:pPr>
        <w:numPr>
          <w:ilvl w:val="0"/>
          <w:numId w:val="35"/>
        </w:numPr>
        <w:spacing w:before="240" w:line="360" w:lineRule="auto"/>
      </w:pPr>
      <w:r w:rsidRPr="001B5D7E">
        <w:rPr>
          <w:bCs/>
          <w:i/>
          <w:iCs/>
        </w:rPr>
        <w:t xml:space="preserve">Target </w:t>
      </w:r>
      <w:r w:rsidR="00134B05">
        <w:rPr>
          <w:bCs/>
          <w:i/>
          <w:iCs/>
        </w:rPr>
        <w:t>r</w:t>
      </w:r>
      <w:r w:rsidRPr="001B5D7E">
        <w:rPr>
          <w:bCs/>
          <w:i/>
          <w:iCs/>
        </w:rPr>
        <w:t xml:space="preserve">isky </w:t>
      </w:r>
      <w:r w:rsidR="00134B05">
        <w:rPr>
          <w:bCs/>
          <w:i/>
          <w:iCs/>
        </w:rPr>
        <w:t>g</w:t>
      </w:r>
      <w:r w:rsidRPr="001B5D7E">
        <w:rPr>
          <w:bCs/>
          <w:i/>
          <w:iCs/>
        </w:rPr>
        <w:t xml:space="preserve">ambling </w:t>
      </w:r>
      <w:r w:rsidR="00134B05">
        <w:rPr>
          <w:bCs/>
          <w:i/>
          <w:iCs/>
        </w:rPr>
        <w:t>f</w:t>
      </w:r>
      <w:r w:rsidRPr="001B5D7E">
        <w:rPr>
          <w:bCs/>
          <w:i/>
          <w:iCs/>
        </w:rPr>
        <w:t>orms:</w:t>
      </w:r>
      <w:r>
        <w:t xml:space="preserve"> Regulatory and harm minimisation strategies should prioritise addressing risky gambling products, particularly EGMs (online and in-venue), which are major drivers of the total social cost.</w:t>
      </w:r>
    </w:p>
    <w:p w14:paraId="681A2150" w14:textId="1063F1CA" w:rsidR="00DB689D" w:rsidRDefault="00310A10" w:rsidP="00367A8D">
      <w:pPr>
        <w:numPr>
          <w:ilvl w:val="0"/>
          <w:numId w:val="35"/>
        </w:numPr>
        <w:spacing w:line="360" w:lineRule="auto"/>
      </w:pPr>
      <w:r w:rsidRPr="001B5D7E">
        <w:rPr>
          <w:bCs/>
          <w:i/>
          <w:iCs/>
        </w:rPr>
        <w:t xml:space="preserve">Culturally </w:t>
      </w:r>
      <w:r w:rsidR="00134B05">
        <w:rPr>
          <w:bCs/>
          <w:i/>
          <w:iCs/>
        </w:rPr>
        <w:t>t</w:t>
      </w:r>
      <w:r w:rsidRPr="001B5D7E">
        <w:rPr>
          <w:bCs/>
          <w:i/>
          <w:iCs/>
        </w:rPr>
        <w:t xml:space="preserve">ailored and </w:t>
      </w:r>
      <w:r w:rsidR="00134B05">
        <w:rPr>
          <w:bCs/>
          <w:i/>
          <w:iCs/>
        </w:rPr>
        <w:t>e</w:t>
      </w:r>
      <w:r w:rsidRPr="001B5D7E">
        <w:rPr>
          <w:bCs/>
          <w:i/>
          <w:iCs/>
        </w:rPr>
        <w:t xml:space="preserve">quitable </w:t>
      </w:r>
      <w:r w:rsidR="00134B05">
        <w:rPr>
          <w:bCs/>
          <w:i/>
          <w:iCs/>
        </w:rPr>
        <w:t>s</w:t>
      </w:r>
      <w:r w:rsidRPr="001B5D7E">
        <w:rPr>
          <w:bCs/>
          <w:i/>
          <w:iCs/>
        </w:rPr>
        <w:t>trategies:</w:t>
      </w:r>
      <w:r>
        <w:t xml:space="preserve"> The disproportionate burden of harm on Māori and Pacific peoples necessitates the co-design and implementation of culturally safe, relevant, and effective </w:t>
      </w:r>
      <w:r w:rsidR="004C074E">
        <w:t xml:space="preserve">harm minimisation </w:t>
      </w:r>
      <w:r>
        <w:t>strategies in partnership with these communities.</w:t>
      </w:r>
    </w:p>
    <w:p w14:paraId="4D7CE0A4" w14:textId="07E928D4" w:rsidR="00DB689D" w:rsidRDefault="00310A10" w:rsidP="00367A8D">
      <w:pPr>
        <w:numPr>
          <w:ilvl w:val="0"/>
          <w:numId w:val="35"/>
        </w:numPr>
        <w:spacing w:line="360" w:lineRule="auto"/>
      </w:pPr>
      <w:r w:rsidRPr="001B5D7E">
        <w:rPr>
          <w:bCs/>
          <w:i/>
          <w:iCs/>
        </w:rPr>
        <w:t xml:space="preserve">Recognise and </w:t>
      </w:r>
      <w:r w:rsidR="00134B05">
        <w:rPr>
          <w:bCs/>
          <w:i/>
          <w:iCs/>
        </w:rPr>
        <w:t>s</w:t>
      </w:r>
      <w:r w:rsidRPr="001B5D7E">
        <w:rPr>
          <w:bCs/>
          <w:i/>
          <w:iCs/>
        </w:rPr>
        <w:t xml:space="preserve">upport </w:t>
      </w:r>
      <w:r w:rsidR="00134B05">
        <w:rPr>
          <w:bCs/>
          <w:i/>
          <w:iCs/>
        </w:rPr>
        <w:t>a</w:t>
      </w:r>
      <w:r w:rsidRPr="001B5D7E">
        <w:rPr>
          <w:bCs/>
          <w:i/>
          <w:iCs/>
        </w:rPr>
        <w:t xml:space="preserve">ffected </w:t>
      </w:r>
      <w:r w:rsidR="00134B05">
        <w:rPr>
          <w:bCs/>
          <w:i/>
          <w:iCs/>
        </w:rPr>
        <w:t>o</w:t>
      </w:r>
      <w:r w:rsidRPr="001B5D7E">
        <w:rPr>
          <w:bCs/>
          <w:i/>
          <w:iCs/>
        </w:rPr>
        <w:t>thers:</w:t>
      </w:r>
      <w:r>
        <w:t xml:space="preserve"> The significant costs borne by affected others underscore the need for increased recognition within policy and the development of dedicated support services for families, </w:t>
      </w:r>
      <w:r w:rsidRPr="00134B05">
        <w:t>whānau</w:t>
      </w:r>
      <w:r>
        <w:t>, and friends.</w:t>
      </w:r>
    </w:p>
    <w:p w14:paraId="4AC2C09B" w14:textId="1685237E" w:rsidR="00DB689D" w:rsidRDefault="00310A10" w:rsidP="00367A8D">
      <w:pPr>
        <w:numPr>
          <w:ilvl w:val="0"/>
          <w:numId w:val="35"/>
        </w:numPr>
        <w:spacing w:line="360" w:lineRule="auto"/>
      </w:pPr>
      <w:r w:rsidRPr="001B5D7E">
        <w:rPr>
          <w:bCs/>
          <w:i/>
          <w:iCs/>
        </w:rPr>
        <w:t xml:space="preserve">Address </w:t>
      </w:r>
      <w:r w:rsidR="00134B05">
        <w:rPr>
          <w:bCs/>
          <w:i/>
          <w:iCs/>
        </w:rPr>
        <w:t>o</w:t>
      </w:r>
      <w:r w:rsidRPr="001B5D7E">
        <w:rPr>
          <w:bCs/>
          <w:i/>
          <w:iCs/>
        </w:rPr>
        <w:t xml:space="preserve">ffshore </w:t>
      </w:r>
      <w:r w:rsidR="00134B05">
        <w:rPr>
          <w:bCs/>
          <w:i/>
          <w:iCs/>
        </w:rPr>
        <w:t>o</w:t>
      </w:r>
      <w:r w:rsidRPr="001B5D7E">
        <w:rPr>
          <w:bCs/>
          <w:i/>
          <w:iCs/>
        </w:rPr>
        <w:t xml:space="preserve">nline </w:t>
      </w:r>
      <w:r w:rsidR="00134B05">
        <w:rPr>
          <w:bCs/>
          <w:i/>
          <w:iCs/>
        </w:rPr>
        <w:t>g</w:t>
      </w:r>
      <w:r w:rsidRPr="001B5D7E">
        <w:rPr>
          <w:bCs/>
          <w:i/>
          <w:iCs/>
        </w:rPr>
        <w:t>ambling:</w:t>
      </w:r>
      <w:r>
        <w:t xml:space="preserve"> The substantial costs associated with offshore online gambling highlight the critical challenge and importance of effective regulation and enforcement in this domain.</w:t>
      </w:r>
    </w:p>
    <w:p w14:paraId="2C63C9A9" w14:textId="4F624773" w:rsidR="00DB689D" w:rsidRDefault="00310A10" w:rsidP="00367A8D">
      <w:pPr>
        <w:numPr>
          <w:ilvl w:val="0"/>
          <w:numId w:val="35"/>
        </w:numPr>
        <w:spacing w:line="360" w:lineRule="auto"/>
      </w:pPr>
      <w:r w:rsidRPr="001B5D7E">
        <w:rPr>
          <w:bCs/>
          <w:i/>
          <w:iCs/>
        </w:rPr>
        <w:t xml:space="preserve">Acknowledge </w:t>
      </w:r>
      <w:r w:rsidR="00134B05">
        <w:rPr>
          <w:bCs/>
          <w:i/>
          <w:iCs/>
        </w:rPr>
        <w:t>w</w:t>
      </w:r>
      <w:r w:rsidRPr="001B5D7E">
        <w:rPr>
          <w:bCs/>
          <w:i/>
          <w:iCs/>
        </w:rPr>
        <w:t xml:space="preserve">elfare </w:t>
      </w:r>
      <w:r w:rsidR="00134B05">
        <w:rPr>
          <w:bCs/>
          <w:i/>
          <w:iCs/>
        </w:rPr>
        <w:t>l</w:t>
      </w:r>
      <w:r w:rsidRPr="001B5D7E">
        <w:rPr>
          <w:bCs/>
          <w:i/>
          <w:iCs/>
        </w:rPr>
        <w:t>oss:</w:t>
      </w:r>
      <w:r>
        <w:t xml:space="preserve"> A significant portion of gambling industry revenue (approximately 37.9% from ‘excess spend’) represents a welfare loss to consumers, indicating that much of this expenditure is harmful and economically inefficient for those involved.</w:t>
      </w:r>
    </w:p>
    <w:p w14:paraId="0B3C1996" w14:textId="7941D11E" w:rsidR="00DB689D" w:rsidRDefault="00310A10" w:rsidP="00367A8D">
      <w:pPr>
        <w:numPr>
          <w:ilvl w:val="0"/>
          <w:numId w:val="35"/>
        </w:numPr>
        <w:spacing w:after="240" w:line="360" w:lineRule="auto"/>
      </w:pPr>
      <w:r w:rsidRPr="001B5D7E">
        <w:rPr>
          <w:bCs/>
          <w:i/>
          <w:iCs/>
        </w:rPr>
        <w:t xml:space="preserve">Strengthen </w:t>
      </w:r>
      <w:r w:rsidR="00134B05">
        <w:rPr>
          <w:bCs/>
          <w:i/>
          <w:iCs/>
        </w:rPr>
        <w:t>s</w:t>
      </w:r>
      <w:r w:rsidRPr="001B5D7E">
        <w:rPr>
          <w:bCs/>
          <w:i/>
          <w:iCs/>
        </w:rPr>
        <w:t xml:space="preserve">upport </w:t>
      </w:r>
      <w:r w:rsidR="00134B05">
        <w:rPr>
          <w:bCs/>
          <w:i/>
          <w:iCs/>
        </w:rPr>
        <w:t>s</w:t>
      </w:r>
      <w:r w:rsidRPr="001B5D7E">
        <w:rPr>
          <w:bCs/>
          <w:i/>
          <w:iCs/>
        </w:rPr>
        <w:t>ervices:</w:t>
      </w:r>
      <w:r>
        <w:t xml:space="preserve"> There is potential for interventions such as enhanced financial counselling services, with specific expertise in gambling-related financial harm, to alleviate severe financial consequences.</w:t>
      </w:r>
    </w:p>
    <w:p w14:paraId="775CDA62" w14:textId="77777777" w:rsidR="00A551AF" w:rsidRDefault="00A551AF" w:rsidP="00A551AF">
      <w:pPr>
        <w:spacing w:after="240" w:line="360" w:lineRule="auto"/>
      </w:pPr>
      <w:r>
        <w:t>Furthermore, the report's economic modelling of several potential policy options suggests that substantial reductions in these social costs are achievable through targeted interventions.  The analysis indicates that structural changes aimed at the highest-harm products offer the most significant potential for harm reduction.</w:t>
      </w:r>
    </w:p>
    <w:p w14:paraId="34D3A720" w14:textId="187DA410" w:rsidR="00A551AF" w:rsidRDefault="00A551AF" w:rsidP="00A551AF">
      <w:pPr>
        <w:spacing w:after="240" w:line="360" w:lineRule="auto"/>
      </w:pPr>
      <w:r>
        <w:t>Specifically, a hypothetical ban on offshore online EGMs—the single largest contributor to harm identified in this study</w:t>
      </w:r>
      <w:r w:rsidR="004C074E">
        <w:t xml:space="preserve"> - </w:t>
      </w:r>
      <w:r>
        <w:t>is estimated to reduce the total social cost of gambling by approximately $1.</w:t>
      </w:r>
      <w:r w:rsidR="00A20B5A">
        <w:t xml:space="preserve">26 </w:t>
      </w:r>
      <w:r>
        <w:t>billion (30%). Major interventions for in-person EGMs also show significant promise; introducing universal loss limits is projected to lower the total cost by $</w:t>
      </w:r>
      <w:r w:rsidR="00A20B5A">
        <w:t xml:space="preserve">680 </w:t>
      </w:r>
      <w:r>
        <w:t>million (16%), while restricting their availability to casinos could reduce costs by $</w:t>
      </w:r>
      <w:r w:rsidR="00AE5A69">
        <w:t xml:space="preserve">787 </w:t>
      </w:r>
      <w:r>
        <w:t>million (1</w:t>
      </w:r>
      <w:r w:rsidR="00AE5A69">
        <w:t>9</w:t>
      </w:r>
      <w:r>
        <w:t xml:space="preserve">%). </w:t>
      </w:r>
      <w:r w:rsidR="00FB63CB">
        <w:t>T</w:t>
      </w:r>
      <w:r>
        <w:t>he modelling s</w:t>
      </w:r>
      <w:r w:rsidR="00FB63CB">
        <w:t>uggests</w:t>
      </w:r>
      <w:r>
        <w:t xml:space="preserve"> that these EGM-focused policies would deliver</w:t>
      </w:r>
      <w:r w:rsidR="00FB63CB">
        <w:t xml:space="preserve"> </w:t>
      </w:r>
      <w:r>
        <w:t xml:space="preserve">disproportionately large benefits to Māori and Pacific communities, making them a key lever for addressing the inequities identified in this report. </w:t>
      </w:r>
      <w:r w:rsidR="00FB63CB">
        <w:t>E</w:t>
      </w:r>
      <w:r>
        <w:t>xpanded access to treatment for high-risk individuals and sinking-lid policies also yield positive, albeit more modest, cost reductions</w:t>
      </w:r>
      <w:r w:rsidR="00FB63CB">
        <w:t>.</w:t>
      </w:r>
      <w:r>
        <w:t xml:space="preserve"> </w:t>
      </w:r>
      <w:r w:rsidR="00FB63CB">
        <w:t>T</w:t>
      </w:r>
      <w:r>
        <w:t xml:space="preserve">he evaluation underscores that broad regulatory changes targeting the most harmful products offer the most substantial pathway to mitigating the overall economic and social </w:t>
      </w:r>
      <w:r w:rsidR="00FB63CB">
        <w:t>costs</w:t>
      </w:r>
      <w:r>
        <w:t xml:space="preserve"> of gambling in New Zealand.</w:t>
      </w:r>
    </w:p>
    <w:p w14:paraId="1BAE4405" w14:textId="0A1A127C" w:rsidR="00DB689D" w:rsidRPr="00FB308C" w:rsidRDefault="00310A10" w:rsidP="00523B7E">
      <w:pPr>
        <w:pStyle w:val="Heading2notnumbered"/>
      </w:pPr>
      <w:bookmarkStart w:id="43" w:name="_z55v84w5gexc" w:colFirst="0" w:colLast="0"/>
      <w:bookmarkStart w:id="44" w:name="_Toc207195878"/>
      <w:bookmarkEnd w:id="43"/>
      <w:r w:rsidRPr="00FB308C">
        <w:t xml:space="preserve">Future </w:t>
      </w:r>
      <w:r w:rsidR="00E06C93">
        <w:t>r</w:t>
      </w:r>
      <w:r w:rsidRPr="00FB308C">
        <w:t xml:space="preserve">esearch </w:t>
      </w:r>
      <w:r w:rsidR="00E06C93">
        <w:t>d</w:t>
      </w:r>
      <w:r w:rsidRPr="00FB308C">
        <w:t>irections</w:t>
      </w:r>
      <w:bookmarkEnd w:id="44"/>
    </w:p>
    <w:p w14:paraId="077433F5" w14:textId="77777777" w:rsidR="00DB689D" w:rsidRDefault="00310A10" w:rsidP="00367A8D">
      <w:pPr>
        <w:spacing w:before="240" w:after="240" w:line="360" w:lineRule="auto"/>
      </w:pPr>
      <w:r>
        <w:t>This study identifies several areas where further research would be beneficial for refining understanding and improving future costings:</w:t>
      </w:r>
    </w:p>
    <w:p w14:paraId="0FFA0411" w14:textId="77777777" w:rsidR="00DB689D" w:rsidRDefault="00310A10" w:rsidP="00367A8D">
      <w:pPr>
        <w:numPr>
          <w:ilvl w:val="0"/>
          <w:numId w:val="23"/>
        </w:numPr>
        <w:spacing w:before="240" w:line="360" w:lineRule="auto"/>
      </w:pPr>
      <w:r>
        <w:t>Prioritise the collection of detailed, New Zealand-specific gambling expenditure data by form and risk category.</w:t>
      </w:r>
    </w:p>
    <w:p w14:paraId="057AAD49" w14:textId="77777777" w:rsidR="00DB689D" w:rsidRDefault="00310A10" w:rsidP="00367A8D">
      <w:pPr>
        <w:numPr>
          <w:ilvl w:val="0"/>
          <w:numId w:val="23"/>
        </w:numPr>
        <w:spacing w:line="360" w:lineRule="auto"/>
      </w:pPr>
      <w:r>
        <w:t>Develop and validate culturally appropriate methodologies to better quantify the unique cultural dimensions of gambling harm for Māori and Pacific communities.</w:t>
      </w:r>
    </w:p>
    <w:p w14:paraId="4E568A55" w14:textId="2F69EE60" w:rsidR="00DB689D" w:rsidRDefault="00310A10" w:rsidP="00367A8D">
      <w:pPr>
        <w:numPr>
          <w:ilvl w:val="0"/>
          <w:numId w:val="23"/>
        </w:numPr>
        <w:spacing w:line="360" w:lineRule="auto"/>
      </w:pPr>
      <w:r>
        <w:t>Investigate and quantify the impacts of gambling harm on children</w:t>
      </w:r>
      <w:r w:rsidR="00107D64">
        <w:t>, both due to their own and other people’s gambling</w:t>
      </w:r>
    </w:p>
    <w:p w14:paraId="6905BD49" w14:textId="77777777" w:rsidR="00DB689D" w:rsidRDefault="00310A10" w:rsidP="00367A8D">
      <w:pPr>
        <w:numPr>
          <w:ilvl w:val="0"/>
          <w:numId w:val="23"/>
        </w:numPr>
        <w:spacing w:line="360" w:lineRule="auto"/>
      </w:pPr>
      <w:r>
        <w:t>Undertake longitudinal studies to understand legacy harms and the long-term progression of gambling problems.</w:t>
      </w:r>
    </w:p>
    <w:p w14:paraId="1C3B94A1" w14:textId="77777777" w:rsidR="00DB689D" w:rsidRDefault="00310A10" w:rsidP="00367A8D">
      <w:pPr>
        <w:numPr>
          <w:ilvl w:val="0"/>
          <w:numId w:val="23"/>
        </w:numPr>
        <w:spacing w:line="360" w:lineRule="auto"/>
      </w:pPr>
      <w:r>
        <w:t>Refine models for causality and attribution to better distinguish gambling-related harms from co-occurring conditions.</w:t>
      </w:r>
    </w:p>
    <w:p w14:paraId="34C1A8AD" w14:textId="77777777" w:rsidR="00DB689D" w:rsidRDefault="00310A10" w:rsidP="00367A8D">
      <w:pPr>
        <w:numPr>
          <w:ilvl w:val="0"/>
          <w:numId w:val="23"/>
        </w:numPr>
        <w:spacing w:line="360" w:lineRule="auto"/>
      </w:pPr>
      <w:r>
        <w:t>Explore methods to capture unreported gambling-related crime, particularly within families.</w:t>
      </w:r>
    </w:p>
    <w:p w14:paraId="0470B391" w14:textId="4EA00B6C" w:rsidR="00DB689D" w:rsidRDefault="00310A10" w:rsidP="00367A8D">
      <w:pPr>
        <w:numPr>
          <w:ilvl w:val="0"/>
          <w:numId w:val="23"/>
        </w:numPr>
        <w:spacing w:after="240" w:line="360" w:lineRule="auto"/>
      </w:pPr>
      <w:r>
        <w:t>Continue to enhance HRQoL measurement for gambling harms and diverse affected others.</w:t>
      </w:r>
    </w:p>
    <w:p w14:paraId="72A5766C" w14:textId="4B67C5DE" w:rsidR="00DB689D" w:rsidRPr="00FB308C" w:rsidRDefault="00310A10" w:rsidP="00523B7E">
      <w:pPr>
        <w:pStyle w:val="Heading2notnumbered"/>
      </w:pPr>
      <w:bookmarkStart w:id="45" w:name="_q6qj6im5ii3j" w:colFirst="0" w:colLast="0"/>
      <w:bookmarkStart w:id="46" w:name="_Toc207195879"/>
      <w:bookmarkEnd w:id="45"/>
      <w:r w:rsidRPr="00FB308C">
        <w:t>Conclusion</w:t>
      </w:r>
      <w:bookmarkEnd w:id="46"/>
    </w:p>
    <w:p w14:paraId="50BD08A4" w14:textId="0DEA9EDD" w:rsidR="00DB689D" w:rsidRDefault="00310A10" w:rsidP="00367A8D">
      <w:pPr>
        <w:spacing w:before="240" w:after="240" w:line="360" w:lineRule="auto"/>
      </w:pPr>
      <w:r>
        <w:t>This study provides a comprehensive estimate of the significant economic and social costs of gambling harm in Aotearoa New Zealand, amounting to $4.</w:t>
      </w:r>
      <w:r w:rsidR="009C0E58">
        <w:t xml:space="preserve">219 </w:t>
      </w:r>
      <w:r>
        <w:t xml:space="preserve">billion in 2023-24. The findings underscore the substantial burden on individuals, </w:t>
      </w:r>
      <w:r w:rsidRPr="00134B05">
        <w:t>whānau</w:t>
      </w:r>
      <w:r>
        <w:t>, and the wider community, particularly highlighting the impacts on health and wellbeing and the disproportionate effects on Māori and Pacific peoples. All costings of this kind are subject to certain methodological decisions and parameter assumptions, which are documented in detail. This research therefore provides a foundation for further refined and revised costings, as well as offering an evidence base to inform the development of targeted policies and harm minimisation strategies aimed at reducing the adverse impacts of gambling across the nation.</w:t>
      </w:r>
    </w:p>
    <w:p w14:paraId="4DD5BA37" w14:textId="77777777" w:rsidR="00DB689D" w:rsidRDefault="00310A10" w:rsidP="00367A8D">
      <w:pPr>
        <w:spacing w:line="360" w:lineRule="auto"/>
      </w:pPr>
      <w:bookmarkStart w:id="47" w:name="_p93j1bdbx4ve" w:colFirst="0" w:colLast="0"/>
      <w:bookmarkEnd w:id="47"/>
      <w:r>
        <w:br w:type="page"/>
      </w:r>
    </w:p>
    <w:p w14:paraId="1B559D89" w14:textId="7CDD2A6C" w:rsidR="00DB689D" w:rsidRDefault="00310A10" w:rsidP="00367A8D">
      <w:pPr>
        <w:pStyle w:val="Heading1"/>
        <w:spacing w:line="360" w:lineRule="auto"/>
      </w:pPr>
      <w:bookmarkStart w:id="48" w:name="_4vozi0se8lj" w:colFirst="0" w:colLast="0"/>
      <w:bookmarkStart w:id="49" w:name="_Toc201572362"/>
      <w:bookmarkStart w:id="50" w:name="_Toc207195880"/>
      <w:bookmarkEnd w:id="48"/>
      <w:r>
        <w:t xml:space="preserve">Project </w:t>
      </w:r>
      <w:r w:rsidR="00E06C93">
        <w:t>o</w:t>
      </w:r>
      <w:r>
        <w:t>verview</w:t>
      </w:r>
      <w:bookmarkEnd w:id="49"/>
      <w:bookmarkEnd w:id="50"/>
    </w:p>
    <w:p w14:paraId="5E79D53B" w14:textId="77777777" w:rsidR="0062502C" w:rsidRDefault="0062502C" w:rsidP="00367A8D">
      <w:pPr>
        <w:spacing w:line="360" w:lineRule="auto"/>
      </w:pPr>
    </w:p>
    <w:p w14:paraId="330916B0" w14:textId="60455279" w:rsidR="00DB689D" w:rsidRDefault="00310A10" w:rsidP="00367A8D">
      <w:pPr>
        <w:spacing w:line="360" w:lineRule="auto"/>
      </w:pPr>
      <w:r>
        <w:t xml:space="preserve">The Ministry of Health (the Ministry) has developed a ‘Strategy to Prevent and Minimise Gambling Harm 2022/23 to 2024/25’, in recognition of the significant social and economic impact of gambling </w:t>
      </w:r>
      <w:r w:rsidR="0038398B">
        <w:rPr>
          <w:noProof/>
          <w:color w:val="000000"/>
        </w:rPr>
        <w:t>(Ministry of Health, 2022)</w:t>
      </w:r>
      <w:r>
        <w:t>. Gambling harm is defined as including ‘</w:t>
      </w:r>
      <w:r>
        <w:rPr>
          <w:i/>
        </w:rPr>
        <w:t>harm or distress of any kind arising from, or caused or exacerbated by, a person’s gambling; including personal, social or economic harm suffered by the person; or by their spouse, partner, family, whānau, or wider community including in the workplace or by society at large</w:t>
      </w:r>
      <w:r>
        <w:t xml:space="preserve">’ </w:t>
      </w:r>
      <w:r w:rsidR="0038398B">
        <w:rPr>
          <w:noProof/>
          <w:color w:val="000000"/>
        </w:rPr>
        <w:t>(Ministry of Health</w:t>
      </w:r>
      <w:r w:rsidR="00502394">
        <w:rPr>
          <w:noProof/>
          <w:color w:val="000000"/>
        </w:rPr>
        <w:t>,</w:t>
      </w:r>
      <w:r w:rsidR="0038398B">
        <w:rPr>
          <w:noProof/>
          <w:color w:val="000000"/>
        </w:rPr>
        <w:t xml:space="preserve"> 2022, p. 17)</w:t>
      </w:r>
      <w:r>
        <w:t xml:space="preserve">. This harm, arising from either their own or another person's gambling, impacts around one in five New Zealanders and disproportionately impacts people from groups such as the Māori and Pacific communities, those on lower income, and rangatahi/younger people </w:t>
      </w:r>
      <w:r w:rsidR="0038398B">
        <w:rPr>
          <w:noProof/>
          <w:color w:val="000000"/>
        </w:rPr>
        <w:t>(Ministry of Health, 2022)</w:t>
      </w:r>
      <w:r>
        <w:t>. By definition, gambling harm ‘</w:t>
      </w:r>
      <w:r>
        <w:rPr>
          <w:i/>
        </w:rPr>
        <w:t>leads to decrement to the health or wellbeing of an individual, family unit, whānau, community or population</w:t>
      </w:r>
      <w:r>
        <w:t xml:space="preserve">’ </w:t>
      </w:r>
      <w:r w:rsidR="00DB2449">
        <w:rPr>
          <w:noProof/>
          <w:color w:val="000000"/>
        </w:rPr>
        <w:t>(Browne</w:t>
      </w:r>
      <w:r w:rsidR="002A3095">
        <w:rPr>
          <w:noProof/>
          <w:color w:val="000000"/>
        </w:rPr>
        <w:t>, Greer</w:t>
      </w:r>
      <w:r w:rsidR="00DB2449">
        <w:rPr>
          <w:noProof/>
          <w:color w:val="000000"/>
        </w:rPr>
        <w:t xml:space="preserve"> et al., 2017, p. 64)</w:t>
      </w:r>
      <w:r>
        <w:t>. Economic costings of gambling assume that these negative impacts from gambling can be monetised, and considered in conjunction with other costs, in order to inform regulation of the industry and harm-minimisation strategies.</w:t>
      </w:r>
    </w:p>
    <w:p w14:paraId="7EB83B72" w14:textId="77777777" w:rsidR="00DB689D" w:rsidRDefault="00310A10" w:rsidP="00367A8D">
      <w:pPr>
        <w:spacing w:line="360" w:lineRule="auto"/>
      </w:pPr>
      <w:r>
        <w:t xml:space="preserve"> </w:t>
      </w:r>
    </w:p>
    <w:p w14:paraId="7CCD78A0" w14:textId="3B25BD51" w:rsidR="00DB689D" w:rsidRDefault="00310A10" w:rsidP="00367A8D">
      <w:pPr>
        <w:spacing w:line="360" w:lineRule="auto"/>
      </w:pPr>
      <w:r>
        <w:t xml:space="preserve">While the gambling industry contributes significantly to the economy via employment, gambling duties and community benefits, its adverse effects on individuals, family units, </w:t>
      </w:r>
      <w:r w:rsidRPr="00134B05">
        <w:t>whānau</w:t>
      </w:r>
      <w:r>
        <w:t xml:space="preserve">, and communities can be substantial and multifaceted </w:t>
      </w:r>
      <w:r w:rsidR="00DB2449">
        <w:rPr>
          <w:noProof/>
          <w:color w:val="000000"/>
        </w:rPr>
        <w:t>(</w:t>
      </w:r>
      <w:r w:rsidR="002A3095">
        <w:rPr>
          <w:noProof/>
          <w:color w:val="000000"/>
        </w:rPr>
        <w:t>Browne, Greer et al., 2017</w:t>
      </w:r>
      <w:r w:rsidR="00DB2449">
        <w:rPr>
          <w:noProof/>
          <w:color w:val="000000"/>
        </w:rPr>
        <w:t>)</w:t>
      </w:r>
      <w:r>
        <w:t xml:space="preserve">. Given the prevalence of gambling-related harm and its significant impact on public health, the Ministry has recognised the need for a comprehensive assessment of the social cost of gambling in New Zealand. This information can be used to: </w:t>
      </w:r>
    </w:p>
    <w:p w14:paraId="719987D6" w14:textId="77777777" w:rsidR="00DB689D" w:rsidRDefault="00DB689D" w:rsidP="00367A8D">
      <w:pPr>
        <w:spacing w:line="360" w:lineRule="auto"/>
      </w:pPr>
    </w:p>
    <w:p w14:paraId="29FD045F" w14:textId="0F68B5F3" w:rsidR="00DB689D" w:rsidRDefault="00310A10" w:rsidP="00367A8D">
      <w:pPr>
        <w:numPr>
          <w:ilvl w:val="0"/>
          <w:numId w:val="13"/>
        </w:numPr>
        <w:spacing w:line="360" w:lineRule="auto"/>
      </w:pPr>
      <w:r>
        <w:t>understand the key contributors to impacts of gambling on health, wellbeing, and society (e.g. legal, relationships, financial opportunity costs due to excess spend</w:t>
      </w:r>
      <w:r>
        <w:rPr>
          <w:vertAlign w:val="superscript"/>
        </w:rPr>
        <w:footnoteReference w:id="2"/>
      </w:r>
      <w:r w:rsidR="005B2944">
        <w:t>).</w:t>
      </w:r>
    </w:p>
    <w:p w14:paraId="6A9D6C14" w14:textId="77777777" w:rsidR="00DB689D" w:rsidRDefault="00310A10" w:rsidP="00367A8D">
      <w:pPr>
        <w:numPr>
          <w:ilvl w:val="0"/>
          <w:numId w:val="13"/>
        </w:numPr>
        <w:spacing w:line="360" w:lineRule="auto"/>
      </w:pPr>
      <w:r>
        <w:t>support the development of informed, effective policies to mitigate gambling-related harm; and</w:t>
      </w:r>
    </w:p>
    <w:p w14:paraId="3448249E" w14:textId="77777777" w:rsidR="00DB689D" w:rsidRDefault="00310A10" w:rsidP="00367A8D">
      <w:pPr>
        <w:numPr>
          <w:ilvl w:val="0"/>
          <w:numId w:val="13"/>
        </w:numPr>
        <w:spacing w:line="360" w:lineRule="auto"/>
      </w:pPr>
      <w:r>
        <w:t xml:space="preserve">enhance understanding of the scale of gambling’s specific impacts on different communities, for example, affected others including family members, </w:t>
      </w:r>
      <w:r w:rsidRPr="00134B05">
        <w:t>whānau</w:t>
      </w:r>
      <w:r>
        <w:t xml:space="preserve"> and others close to the person who gambles, as well as Māori, and Pacific communities.</w:t>
      </w:r>
    </w:p>
    <w:p w14:paraId="4EB183B6" w14:textId="77777777" w:rsidR="00DB689D" w:rsidRDefault="00310A10" w:rsidP="00367A8D">
      <w:pPr>
        <w:spacing w:line="360" w:lineRule="auto"/>
      </w:pPr>
      <w:r>
        <w:t xml:space="preserve"> </w:t>
      </w:r>
    </w:p>
    <w:p w14:paraId="0B16AD72" w14:textId="77777777" w:rsidR="00DB689D" w:rsidRDefault="00310A10" w:rsidP="00367A8D">
      <w:pPr>
        <w:spacing w:line="360" w:lineRule="auto"/>
      </w:pPr>
      <w:r>
        <w:t xml:space="preserve">This report provides comprehensive estimates of the social and economic costs associated with gambling in New Zealand. Specifically, it presents an analysis of gambling costs, integrating both tangible and intangible costs, including health and wellbeing impacts, financial losses, and broader societal costs. The analysis includes breakdowns for disproportionately impacted groups, such as the Māori and Pacific communities, as well as major gambling product categories. Finally, a data monitoring framework is presented for ongoing economic costing of gambling harm, grounded in publicly available data and current knowledge about the link between gambling losses and health and wellbeing impacts. Consultations were undertaken with interested individuals and organisations, and a summary of the feedback is provided, as well as details of how that feedback was incorporated into the costing. Finally, the report evaluates the potential impact of various policy options on mitigating gambling harm, discussing their potential effectiveness in reducing economic and social costs while preserving the industry's economic contributions. </w:t>
      </w:r>
    </w:p>
    <w:p w14:paraId="0008971B" w14:textId="77777777" w:rsidR="00DB689D" w:rsidRDefault="00DB689D" w:rsidP="00367A8D">
      <w:pPr>
        <w:spacing w:line="360" w:lineRule="auto"/>
      </w:pPr>
    </w:p>
    <w:p w14:paraId="64998C1F" w14:textId="77777777" w:rsidR="00DB689D" w:rsidRDefault="00310A10" w:rsidP="00367A8D">
      <w:pPr>
        <w:spacing w:line="360" w:lineRule="auto"/>
      </w:pPr>
      <w:r>
        <w:t>The project aimed to answer the following research questions:</w:t>
      </w:r>
    </w:p>
    <w:p w14:paraId="71A16CA2" w14:textId="77777777" w:rsidR="00DB689D" w:rsidRDefault="00310A10" w:rsidP="00367A8D">
      <w:pPr>
        <w:spacing w:line="360" w:lineRule="auto"/>
      </w:pPr>
      <w:r>
        <w:t xml:space="preserve"> </w:t>
      </w:r>
    </w:p>
    <w:p w14:paraId="58D1757E" w14:textId="77777777" w:rsidR="00DB689D" w:rsidRDefault="00310A10" w:rsidP="00367A8D">
      <w:pPr>
        <w:spacing w:line="360" w:lineRule="auto"/>
        <w:ind w:left="1080" w:hanging="360"/>
      </w:pPr>
      <w:r>
        <w:t>●</w:t>
      </w:r>
      <w:r>
        <w:rPr>
          <w:sz w:val="14"/>
          <w:szCs w:val="14"/>
        </w:rPr>
        <w:t xml:space="preserve"> </w:t>
      </w:r>
      <w:r>
        <w:rPr>
          <w:sz w:val="14"/>
          <w:szCs w:val="14"/>
        </w:rPr>
        <w:tab/>
      </w:r>
      <w:r>
        <w:t>What are the comprehensive economic and societal costs of gambling in New Zealand, and how are they distributed across different levels of gambling severity, including people categorised as problem, moderate-risk, and low-risk gambling?</w:t>
      </w:r>
    </w:p>
    <w:p w14:paraId="7695392A" w14:textId="77777777" w:rsidR="00DB689D" w:rsidRDefault="00310A10" w:rsidP="00367A8D">
      <w:pPr>
        <w:spacing w:line="360" w:lineRule="auto"/>
        <w:ind w:left="1080" w:hanging="360"/>
      </w:pPr>
      <w:r>
        <w:t>●</w:t>
      </w:r>
      <w:r>
        <w:rPr>
          <w:sz w:val="14"/>
          <w:szCs w:val="14"/>
        </w:rPr>
        <w:t xml:space="preserve"> </w:t>
      </w:r>
      <w:r>
        <w:rPr>
          <w:sz w:val="14"/>
          <w:szCs w:val="14"/>
        </w:rPr>
        <w:tab/>
      </w:r>
      <w:r>
        <w:t>How do health and wellbeing impacts from gambling vary across different levels of gambling severity, and how can they be quantitatively assessed and valued?</w:t>
      </w:r>
    </w:p>
    <w:p w14:paraId="55BEEAA8" w14:textId="77777777" w:rsidR="00DB689D" w:rsidRDefault="00310A10" w:rsidP="00367A8D">
      <w:pPr>
        <w:spacing w:line="360" w:lineRule="auto"/>
        <w:ind w:left="1080" w:hanging="360"/>
      </w:pPr>
      <w:r>
        <w:t>●</w:t>
      </w:r>
      <w:r>
        <w:rPr>
          <w:sz w:val="14"/>
          <w:szCs w:val="14"/>
        </w:rPr>
        <w:t xml:space="preserve"> </w:t>
      </w:r>
      <w:r>
        <w:rPr>
          <w:sz w:val="14"/>
          <w:szCs w:val="14"/>
        </w:rPr>
        <w:tab/>
      </w:r>
      <w:r>
        <w:t>How can multiple methods and protocols be integrated to enhance the scientific rigour of health and wellbeing cost estimates, and how can confidence intervals be bootstrapped to represent uncertainties and variances?</w:t>
      </w:r>
    </w:p>
    <w:p w14:paraId="183D062D" w14:textId="77777777" w:rsidR="00DB689D" w:rsidRDefault="00310A10" w:rsidP="00367A8D">
      <w:pPr>
        <w:spacing w:line="360" w:lineRule="auto"/>
        <w:ind w:left="1080" w:hanging="360"/>
      </w:pPr>
      <w:r>
        <w:t>●</w:t>
      </w:r>
      <w:r>
        <w:rPr>
          <w:sz w:val="14"/>
          <w:szCs w:val="14"/>
        </w:rPr>
        <w:t xml:space="preserve"> </w:t>
      </w:r>
      <w:r>
        <w:rPr>
          <w:sz w:val="14"/>
          <w:szCs w:val="14"/>
        </w:rPr>
        <w:tab/>
      </w:r>
      <w:r>
        <w:t>What proportion of the total gambling-related costs can be attributed to specific gambling products, and how does this attribution inform policy and regulation?</w:t>
      </w:r>
    </w:p>
    <w:p w14:paraId="7822A956" w14:textId="77777777" w:rsidR="00DB689D" w:rsidRDefault="00310A10" w:rsidP="00367A8D">
      <w:pPr>
        <w:spacing w:line="360" w:lineRule="auto"/>
        <w:ind w:left="1080" w:hanging="360"/>
      </w:pPr>
      <w:r>
        <w:t>●</w:t>
      </w:r>
      <w:r>
        <w:rPr>
          <w:sz w:val="14"/>
          <w:szCs w:val="14"/>
        </w:rPr>
        <w:t xml:space="preserve"> </w:t>
      </w:r>
      <w:r>
        <w:rPr>
          <w:sz w:val="14"/>
          <w:szCs w:val="14"/>
        </w:rPr>
        <w:tab/>
      </w:r>
      <w:r>
        <w:t>What are the potential health-economic savings attributable to various policy options aimed at reducing gambling-related harms, and how can these be quantitatively evaluated?</w:t>
      </w:r>
    </w:p>
    <w:p w14:paraId="64C742E6" w14:textId="77777777" w:rsidR="00DB689D" w:rsidRDefault="00310A10" w:rsidP="00367A8D">
      <w:pPr>
        <w:spacing w:line="360" w:lineRule="auto"/>
        <w:ind w:left="1080" w:hanging="360"/>
      </w:pPr>
      <w:r>
        <w:t>●</w:t>
      </w:r>
      <w:r>
        <w:rPr>
          <w:sz w:val="14"/>
          <w:szCs w:val="14"/>
        </w:rPr>
        <w:t xml:space="preserve"> </w:t>
      </w:r>
      <w:r>
        <w:rPr>
          <w:sz w:val="14"/>
          <w:szCs w:val="14"/>
        </w:rPr>
        <w:tab/>
      </w:r>
      <w:r>
        <w:t>How might excessive gambling expenditure be defined, can the corresponding opportunity costs of excessive gambling expenditures be estimated, and what proportion of total gambling losses represents a negative consumer surplus?</w:t>
      </w:r>
    </w:p>
    <w:p w14:paraId="4B5E58BB" w14:textId="02F61A25" w:rsidR="00DB689D" w:rsidRDefault="00DB689D" w:rsidP="00367A8D">
      <w:pPr>
        <w:spacing w:line="360" w:lineRule="auto"/>
      </w:pPr>
    </w:p>
    <w:p w14:paraId="7D7EDC57" w14:textId="6D9D6678" w:rsidR="00DB689D" w:rsidRDefault="00310A10" w:rsidP="00657824">
      <w:pPr>
        <w:pStyle w:val="Heading2"/>
      </w:pPr>
      <w:bookmarkStart w:id="51" w:name="_h4xu1fggq8j4" w:colFirst="0" w:colLast="0"/>
      <w:bookmarkStart w:id="52" w:name="_Toc201572363"/>
      <w:bookmarkStart w:id="53" w:name="_Toc207195881"/>
      <w:bookmarkEnd w:id="51"/>
      <w:r>
        <w:t xml:space="preserve">Document </w:t>
      </w:r>
      <w:r w:rsidR="00E06C93">
        <w:t>s</w:t>
      </w:r>
      <w:r>
        <w:t>tructure</w:t>
      </w:r>
      <w:bookmarkEnd w:id="52"/>
      <w:bookmarkEnd w:id="53"/>
    </w:p>
    <w:p w14:paraId="06D7F0B7" w14:textId="77777777" w:rsidR="00DB689D" w:rsidRDefault="00310A10" w:rsidP="00367A8D">
      <w:pPr>
        <w:widowControl w:val="0"/>
        <w:spacing w:before="240" w:after="240" w:line="360" w:lineRule="auto"/>
        <w:ind w:left="720" w:hanging="360"/>
      </w:pPr>
      <w:r>
        <w:t>The report includes the following chapters:</w:t>
      </w:r>
    </w:p>
    <w:p w14:paraId="253A60BE" w14:textId="77777777" w:rsidR="00DB689D" w:rsidRDefault="00310A10" w:rsidP="00367A8D">
      <w:pPr>
        <w:widowControl w:val="0"/>
        <w:numPr>
          <w:ilvl w:val="0"/>
          <w:numId w:val="25"/>
        </w:numPr>
        <w:spacing w:before="240" w:line="360" w:lineRule="auto"/>
      </w:pPr>
      <w:r>
        <w:t>Chapter 2: A review of the impact of gambling-related harm and its implications for economic costing.</w:t>
      </w:r>
    </w:p>
    <w:p w14:paraId="4B9E1EB5" w14:textId="77777777" w:rsidR="00DB689D" w:rsidRDefault="00310A10" w:rsidP="00367A8D">
      <w:pPr>
        <w:widowControl w:val="0"/>
        <w:numPr>
          <w:ilvl w:val="0"/>
          <w:numId w:val="25"/>
        </w:numPr>
        <w:spacing w:line="360" w:lineRule="auto"/>
      </w:pPr>
      <w:r>
        <w:t>Chapter 3: A literature review of previous economic costing studies on gambling in New Zealand and internationally.</w:t>
      </w:r>
    </w:p>
    <w:p w14:paraId="0C0CDCC0" w14:textId="77777777" w:rsidR="00DB689D" w:rsidRDefault="00310A10" w:rsidP="00367A8D">
      <w:pPr>
        <w:widowControl w:val="0"/>
        <w:numPr>
          <w:ilvl w:val="0"/>
          <w:numId w:val="25"/>
        </w:numPr>
        <w:spacing w:line="360" w:lineRule="auto"/>
      </w:pPr>
      <w:r>
        <w:t>Chapter 4: The findings of the Community Consultation.</w:t>
      </w:r>
    </w:p>
    <w:p w14:paraId="647D60CE" w14:textId="325EEE14" w:rsidR="00DB689D" w:rsidRDefault="00310A10" w:rsidP="00367A8D">
      <w:pPr>
        <w:widowControl w:val="0"/>
        <w:numPr>
          <w:ilvl w:val="0"/>
          <w:numId w:val="25"/>
        </w:numPr>
        <w:spacing w:line="360" w:lineRule="auto"/>
      </w:pPr>
      <w:r>
        <w:t xml:space="preserve">Chapter 5: A framework for the economic analysis of harm affecting individuals, affected others, </w:t>
      </w:r>
      <w:r w:rsidRPr="00675455">
        <w:t>whānau</w:t>
      </w:r>
      <w:r>
        <w:t>, and the wider community (including businesses and government). This chapter also discusses key methodological considerations such as excess gambling expenditure, HRQoL impacts, and equity issues related to gambling harm.</w:t>
      </w:r>
    </w:p>
    <w:p w14:paraId="38F79B60" w14:textId="77777777" w:rsidR="00DB689D" w:rsidRDefault="00310A10" w:rsidP="00367A8D">
      <w:pPr>
        <w:widowControl w:val="0"/>
        <w:numPr>
          <w:ilvl w:val="0"/>
          <w:numId w:val="25"/>
        </w:numPr>
        <w:spacing w:line="360" w:lineRule="auto"/>
      </w:pPr>
      <w:r>
        <w:t>Chapter 6: The costing results, beginning with headline figures, followed by a detailed methodology and outcomes for each item within the framework.</w:t>
      </w:r>
    </w:p>
    <w:p w14:paraId="0E1071DE" w14:textId="77777777" w:rsidR="00DB689D" w:rsidRDefault="00310A10" w:rsidP="00367A8D">
      <w:pPr>
        <w:widowControl w:val="0"/>
        <w:numPr>
          <w:ilvl w:val="0"/>
          <w:numId w:val="25"/>
        </w:numPr>
        <w:spacing w:line="360" w:lineRule="auto"/>
      </w:pPr>
      <w:r>
        <w:t>Chapter 7: Several policy options and their potential impact on the social and economic cost of gambling in New Zealand.</w:t>
      </w:r>
    </w:p>
    <w:p w14:paraId="27ED09C6" w14:textId="77777777" w:rsidR="00DB689D" w:rsidRDefault="00310A10" w:rsidP="00367A8D">
      <w:pPr>
        <w:widowControl w:val="0"/>
        <w:numPr>
          <w:ilvl w:val="0"/>
          <w:numId w:val="25"/>
        </w:numPr>
        <w:spacing w:after="240" w:line="360" w:lineRule="auto"/>
      </w:pPr>
      <w:r>
        <w:t>Chapter 8: A discussion of the study's limitations and key data gaps that affect the accuracy and completeness of the costing estimates, noting how addressing these gaps could improve future studies.</w:t>
      </w:r>
    </w:p>
    <w:p w14:paraId="4B9CA647" w14:textId="77777777" w:rsidR="00DB689D" w:rsidRDefault="00310A10" w:rsidP="00367A8D">
      <w:pPr>
        <w:widowControl w:val="0"/>
        <w:spacing w:before="240" w:after="240" w:line="360" w:lineRule="auto"/>
      </w:pPr>
      <w:r>
        <w:br w:type="page"/>
      </w:r>
    </w:p>
    <w:p w14:paraId="53A3D838" w14:textId="40DD6415" w:rsidR="00DB689D" w:rsidRDefault="00310A10" w:rsidP="0062502C">
      <w:pPr>
        <w:pStyle w:val="Heading1"/>
        <w:spacing w:line="360" w:lineRule="auto"/>
        <w:ind w:left="0" w:firstLine="0"/>
      </w:pPr>
      <w:bookmarkStart w:id="54" w:name="_bk2p9blb43gs" w:colFirst="0" w:colLast="0"/>
      <w:bookmarkStart w:id="55" w:name="_Toc201572364"/>
      <w:bookmarkStart w:id="56" w:name="_Toc207195882"/>
      <w:bookmarkEnd w:id="54"/>
      <w:r>
        <w:t>Gambling-related harm and implications for costings</w:t>
      </w:r>
      <w:bookmarkEnd w:id="55"/>
      <w:bookmarkEnd w:id="56"/>
    </w:p>
    <w:p w14:paraId="4FAAC1CC" w14:textId="77777777" w:rsidR="00DB689D" w:rsidRDefault="00DB689D" w:rsidP="00367A8D">
      <w:pPr>
        <w:spacing w:line="360" w:lineRule="auto"/>
      </w:pPr>
    </w:p>
    <w:p w14:paraId="4BA68640" w14:textId="77777777" w:rsidR="00740B3A" w:rsidRDefault="00310A10" w:rsidP="00740B3A">
      <w:pPr>
        <w:spacing w:line="360" w:lineRule="auto"/>
      </w:pPr>
      <w:r>
        <w:t>In assessing the economic impact of gambling, costs can be organised into two main categories: tangible and intangible. While the tangible costs, such as direct financial losses or treatment expenses, are more easily quantified, they represent only a fraction of the total economic burden.</w:t>
      </w:r>
      <w:r w:rsidR="00740B3A">
        <w:t xml:space="preserve"> To help understand how this report values gambling harm, it is useful to clarify three interrelated concepts:</w:t>
      </w:r>
    </w:p>
    <w:p w14:paraId="552E0479" w14:textId="2F7E52C8" w:rsidR="00740B3A" w:rsidRDefault="00740B3A" w:rsidP="00740B3A">
      <w:pPr>
        <w:pStyle w:val="ListParagraph"/>
        <w:numPr>
          <w:ilvl w:val="0"/>
          <w:numId w:val="54"/>
        </w:numPr>
        <w:spacing w:line="360" w:lineRule="auto"/>
      </w:pPr>
      <w:r w:rsidRPr="00D501AC">
        <w:rPr>
          <w:i/>
          <w:iCs/>
        </w:rPr>
        <w:t xml:space="preserve">Intangible </w:t>
      </w:r>
      <w:r w:rsidR="0083600D">
        <w:rPr>
          <w:i/>
          <w:iCs/>
        </w:rPr>
        <w:t>c</w:t>
      </w:r>
      <w:r w:rsidRPr="00D501AC">
        <w:rPr>
          <w:i/>
          <w:iCs/>
        </w:rPr>
        <w:t>osts:</w:t>
      </w:r>
      <w:r>
        <w:t xml:space="preserve"> These are the real but non-financial harms experienced by individuals and families, such as emotional distress, psychological anguish, or the breakdown of relationships. They do not have a natural price tag.</w:t>
      </w:r>
    </w:p>
    <w:p w14:paraId="4E758F26" w14:textId="2E424915" w:rsidR="00740B3A" w:rsidRDefault="00740B3A" w:rsidP="00740B3A">
      <w:pPr>
        <w:pStyle w:val="ListParagraph"/>
        <w:numPr>
          <w:ilvl w:val="0"/>
          <w:numId w:val="54"/>
        </w:numPr>
        <w:spacing w:line="360" w:lineRule="auto"/>
      </w:pPr>
      <w:r w:rsidRPr="00D501AC">
        <w:rPr>
          <w:i/>
          <w:iCs/>
        </w:rPr>
        <w:t>Health-</w:t>
      </w:r>
      <w:r w:rsidR="0083600D">
        <w:rPr>
          <w:i/>
          <w:iCs/>
        </w:rPr>
        <w:t>r</w:t>
      </w:r>
      <w:r w:rsidRPr="00D501AC">
        <w:rPr>
          <w:i/>
          <w:iCs/>
        </w:rPr>
        <w:t xml:space="preserve">elated </w:t>
      </w:r>
      <w:r w:rsidR="0083600D">
        <w:rPr>
          <w:i/>
          <w:iCs/>
        </w:rPr>
        <w:t>q</w:t>
      </w:r>
      <w:r w:rsidRPr="00D501AC">
        <w:rPr>
          <w:i/>
          <w:iCs/>
        </w:rPr>
        <w:t xml:space="preserve">uality of </w:t>
      </w:r>
      <w:r w:rsidR="0083600D">
        <w:rPr>
          <w:i/>
          <w:iCs/>
        </w:rPr>
        <w:t>l</w:t>
      </w:r>
      <w:r w:rsidRPr="00D501AC">
        <w:rPr>
          <w:i/>
          <w:iCs/>
        </w:rPr>
        <w:t>ife:</w:t>
      </w:r>
      <w:r>
        <w:t xml:space="preserve"> This is the public health metric used to measure the impact of those intangible costs. By quantifying the loss of wellbeing, HRQoL allows us to assign a consistent economic value to these intangible harms, making them comparable to other health conditions.</w:t>
      </w:r>
    </w:p>
    <w:p w14:paraId="709F2114" w14:textId="1543EAB6" w:rsidR="00740B3A" w:rsidRDefault="00740B3A" w:rsidP="00740B3A">
      <w:pPr>
        <w:pStyle w:val="ListParagraph"/>
        <w:numPr>
          <w:ilvl w:val="0"/>
          <w:numId w:val="54"/>
        </w:numPr>
        <w:spacing w:line="360" w:lineRule="auto"/>
      </w:pPr>
      <w:r w:rsidRPr="00D501AC">
        <w:rPr>
          <w:i/>
          <w:iCs/>
        </w:rPr>
        <w:t xml:space="preserve">Excessive </w:t>
      </w:r>
      <w:r w:rsidR="0083600D">
        <w:rPr>
          <w:i/>
          <w:iCs/>
        </w:rPr>
        <w:t>s</w:t>
      </w:r>
      <w:r w:rsidRPr="00D501AC">
        <w:rPr>
          <w:i/>
          <w:iCs/>
        </w:rPr>
        <w:t>pend (</w:t>
      </w:r>
      <w:r w:rsidR="0083600D">
        <w:rPr>
          <w:i/>
          <w:iCs/>
        </w:rPr>
        <w:t>n</w:t>
      </w:r>
      <w:r w:rsidRPr="00D501AC">
        <w:rPr>
          <w:i/>
          <w:iCs/>
        </w:rPr>
        <w:t xml:space="preserve">egative </w:t>
      </w:r>
      <w:r w:rsidR="0083600D">
        <w:rPr>
          <w:i/>
          <w:iCs/>
        </w:rPr>
        <w:t>c</w:t>
      </w:r>
      <w:r w:rsidRPr="00D501AC">
        <w:rPr>
          <w:i/>
          <w:iCs/>
        </w:rPr>
        <w:t xml:space="preserve">onsumer </w:t>
      </w:r>
      <w:r w:rsidR="0083600D">
        <w:rPr>
          <w:i/>
          <w:iCs/>
        </w:rPr>
        <w:t>s</w:t>
      </w:r>
      <w:r w:rsidRPr="00D501AC">
        <w:rPr>
          <w:i/>
          <w:iCs/>
        </w:rPr>
        <w:t>urplus):</w:t>
      </w:r>
      <w:r>
        <w:t xml:space="preserve"> This is a primary financial driver that leads to intangible costs. It refers to the money spent on gambling beyond recreational levels, which, due to addiction or loss of control, fails to provide value and instead creates the very financial pressure, stress, and anxiety that reduces a person's quality of life.</w:t>
      </w:r>
    </w:p>
    <w:p w14:paraId="23C4FC9F" w14:textId="77777777" w:rsidR="00740B3A" w:rsidRDefault="00740B3A" w:rsidP="00740B3A">
      <w:pPr>
        <w:spacing w:line="360" w:lineRule="auto"/>
      </w:pPr>
    </w:p>
    <w:p w14:paraId="64D986B3" w14:textId="79747176" w:rsidR="00DB689D" w:rsidRDefault="00740B3A" w:rsidP="00367A8D">
      <w:pPr>
        <w:spacing w:line="360" w:lineRule="auto"/>
      </w:pPr>
      <w:r>
        <w:t>In essence, excessive spending often causes the intangible harms, which are then measured using HRQoL to calculate their economic cost for this study. Most gambling costs are 'externalised' in the form of intangible harms experienced by people who gamble and affected others. These intangible costs, primarily measured through impacts related to HRQoL, may not involve direct financial transfers but represent a significant negative consumer surplus resulting from excessive spending. Although these costs are termed ‘intangible,’ they form a major component of any comprehensive economic costing of gambling, as they appropriately account for the externalities that are often overlooked in traditional economic analyses.</w:t>
      </w:r>
    </w:p>
    <w:p w14:paraId="081167D5" w14:textId="77777777" w:rsidR="00DB689D" w:rsidRDefault="00310A10" w:rsidP="00367A8D">
      <w:pPr>
        <w:spacing w:line="360" w:lineRule="auto"/>
      </w:pPr>
      <w:r>
        <w:t xml:space="preserve"> </w:t>
      </w:r>
    </w:p>
    <w:p w14:paraId="1EC911F3" w14:textId="5F099C85" w:rsidR="00DB689D" w:rsidRDefault="00310A10" w:rsidP="00367A8D">
      <w:pPr>
        <w:spacing w:line="360" w:lineRule="auto"/>
      </w:pPr>
      <w:r>
        <w:t xml:space="preserve">Gambling-related harm remains a complex and multifaceted issue, deeply intertwined with individual, familial, and societal wellbeing. The absence of a universally accepted definition of gambling-related harm has led to varied approaches in its conceptualisation and measurement across different jurisdictions. However, a measurement model proposed for New Zealand by Browne, Bellringer, et al. </w:t>
      </w:r>
      <w:r w:rsidR="0038398B">
        <w:rPr>
          <w:noProof/>
          <w:color w:val="000000"/>
        </w:rPr>
        <w:t>(2017)</w:t>
      </w:r>
      <w:r>
        <w:t xml:space="preserve"> provides a comprehensive framework that aligns closely with a public health perspective, incorporating diverse impacts of gambling.</w:t>
      </w:r>
    </w:p>
    <w:p w14:paraId="22C25A44" w14:textId="77777777" w:rsidR="00DB689D" w:rsidRDefault="00310A10" w:rsidP="00367A8D">
      <w:pPr>
        <w:spacing w:line="360" w:lineRule="auto"/>
      </w:pPr>
      <w:r>
        <w:t xml:space="preserve"> </w:t>
      </w:r>
    </w:p>
    <w:p w14:paraId="150DA505" w14:textId="781FD92B" w:rsidR="00DB689D" w:rsidRDefault="00310A10" w:rsidP="00367A8D">
      <w:pPr>
        <w:spacing w:line="360" w:lineRule="auto"/>
      </w:pPr>
      <w:r>
        <w:t xml:space="preserve">This section will explore the broad spectrum of harms associated with gambling, grounding the discussion in the context of the New Zealand definition. This definition, which is central to New Zealand's gambling policy, delineates gambling-related harm as the negative consequences not only experienced by the person who gambles but also extending to their family, </w:t>
      </w:r>
      <w:r w:rsidRPr="00675455">
        <w:t>whānau</w:t>
      </w:r>
      <w:r>
        <w:t xml:space="preserve">, and the wider community </w:t>
      </w:r>
      <w:r w:rsidR="00DB2449">
        <w:rPr>
          <w:noProof/>
          <w:color w:val="000000"/>
        </w:rPr>
        <w:t>(</w:t>
      </w:r>
      <w:r w:rsidR="002A3095">
        <w:rPr>
          <w:noProof/>
          <w:color w:val="000000"/>
        </w:rPr>
        <w:t>Browne, Greer et al., 2017</w:t>
      </w:r>
      <w:r w:rsidR="00DB2449">
        <w:rPr>
          <w:noProof/>
          <w:color w:val="000000"/>
        </w:rPr>
        <w:t>)</w:t>
      </w:r>
      <w:r>
        <w:t>. By emphasising the public health approach, the New Zealand model highlights the need to consider gambling harm across multiple domains, including financial, social, cultural, and health-related impacts.</w:t>
      </w:r>
    </w:p>
    <w:p w14:paraId="47805AC7" w14:textId="77777777" w:rsidR="00DB689D" w:rsidRDefault="00DB689D" w:rsidP="00367A8D">
      <w:pPr>
        <w:spacing w:line="360" w:lineRule="auto"/>
      </w:pPr>
    </w:p>
    <w:p w14:paraId="59B522A5" w14:textId="3655AB86" w:rsidR="00DB689D" w:rsidRDefault="00310A10" w:rsidP="00367A8D">
      <w:pPr>
        <w:spacing w:line="360" w:lineRule="auto"/>
      </w:pPr>
      <w:r>
        <w:t>The section first outlines key considerations around who bears the costs of gambling harm, particularly impacts on affected others and equity issues, before discussing each cost domain in turn.</w:t>
      </w:r>
    </w:p>
    <w:p w14:paraId="14FEFF51" w14:textId="77777777" w:rsidR="00DB689D" w:rsidRDefault="00310A10" w:rsidP="00657824">
      <w:pPr>
        <w:pStyle w:val="Heading2"/>
      </w:pPr>
      <w:bookmarkStart w:id="57" w:name="_dowkhz77xnag" w:colFirst="0" w:colLast="0"/>
      <w:bookmarkStart w:id="58" w:name="_Toc201572365"/>
      <w:bookmarkStart w:id="59" w:name="_Toc207195883"/>
      <w:bookmarkEnd w:id="57"/>
      <w:r>
        <w:t>Costs borne by those other than the person who gambles</w:t>
      </w:r>
      <w:bookmarkEnd w:id="58"/>
      <w:bookmarkEnd w:id="59"/>
    </w:p>
    <w:p w14:paraId="15958512" w14:textId="0FA2025C" w:rsidR="00DB689D" w:rsidRDefault="00310A10" w:rsidP="00367A8D">
      <w:pPr>
        <w:spacing w:line="360" w:lineRule="auto"/>
      </w:pPr>
      <w:r>
        <w:t xml:space="preserve">Individuals with gambling problems bear a major proportion of the cost of gambling harm </w:t>
      </w:r>
      <w:r w:rsidR="0038398B">
        <w:rPr>
          <w:noProof/>
          <w:color w:val="000000"/>
        </w:rPr>
        <w:t>(</w:t>
      </w:r>
      <w:r w:rsidR="002A3095">
        <w:rPr>
          <w:noProof/>
          <w:color w:val="000000"/>
        </w:rPr>
        <w:t>Browne, Greer et al., 2017</w:t>
      </w:r>
      <w:r w:rsidR="0038398B">
        <w:rPr>
          <w:noProof/>
          <w:color w:val="000000"/>
        </w:rPr>
        <w:t>)</w:t>
      </w:r>
      <w:r>
        <w:t xml:space="preserve">. However, impacts from gambling extend beyond the individual who gambles, affecting various groups, including immediate and extended family, friends, and </w:t>
      </w:r>
      <w:r w:rsidRPr="00675455">
        <w:t>whānau</w:t>
      </w:r>
      <w:r w:rsidR="0038398B">
        <w:rPr>
          <w:noProof/>
          <w:color w:val="000000"/>
        </w:rPr>
        <w:t xml:space="preserve"> </w:t>
      </w:r>
      <w:r w:rsidR="00C15A16">
        <w:rPr>
          <w:noProof/>
          <w:color w:val="000000"/>
        </w:rPr>
        <w:t>(</w:t>
      </w:r>
      <w:r w:rsidR="0038398B">
        <w:rPr>
          <w:noProof/>
          <w:color w:val="000000"/>
        </w:rPr>
        <w:t>Abbott et al., 2014; Bellringer et al., 2019)</w:t>
      </w:r>
      <w:r>
        <w:t xml:space="preserve">. </w:t>
      </w:r>
    </w:p>
    <w:p w14:paraId="241EB153" w14:textId="77777777" w:rsidR="00DB689D" w:rsidRDefault="00310A10" w:rsidP="00C30E1A">
      <w:pPr>
        <w:pStyle w:val="Heading3"/>
      </w:pPr>
      <w:bookmarkStart w:id="60" w:name="_wpipae697jm1" w:colFirst="0" w:colLast="0"/>
      <w:bookmarkStart w:id="61" w:name="_Toc201572366"/>
      <w:bookmarkStart w:id="62" w:name="_Toc207195884"/>
      <w:bookmarkEnd w:id="60"/>
      <w:r>
        <w:t>Affected others</w:t>
      </w:r>
      <w:bookmarkEnd w:id="61"/>
      <w:bookmarkEnd w:id="62"/>
    </w:p>
    <w:p w14:paraId="48856FF4" w14:textId="0A135616" w:rsidR="00DB689D" w:rsidRDefault="00310A10" w:rsidP="00367A8D">
      <w:pPr>
        <w:spacing w:line="360" w:lineRule="auto"/>
      </w:pPr>
      <w:r>
        <w:t xml:space="preserve">Affected others experience a significant proportion of the cost of gambling harm </w:t>
      </w:r>
      <w:r w:rsidR="0038398B">
        <w:rPr>
          <w:noProof/>
          <w:color w:val="000000"/>
        </w:rPr>
        <w:t>(</w:t>
      </w:r>
      <w:r w:rsidR="002A3095">
        <w:rPr>
          <w:noProof/>
          <w:color w:val="000000"/>
        </w:rPr>
        <w:t>Browne, Greer et al., 2017</w:t>
      </w:r>
      <w:r w:rsidR="0038398B">
        <w:rPr>
          <w:noProof/>
          <w:color w:val="000000"/>
        </w:rPr>
        <w:t>)</w:t>
      </w:r>
      <w:r>
        <w:t xml:space="preserve">. The relationships and connections between people can spread the harm caused by gambling through various channels, including mental health, emotions, physical health, finances, and family relationships </w:t>
      </w:r>
      <w:r w:rsidR="0038398B">
        <w:rPr>
          <w:noProof/>
          <w:color w:val="000000"/>
        </w:rPr>
        <w:t>(Bellringer et al., 2019; Landon et al., 2018)</w:t>
      </w:r>
      <w:r>
        <w:t xml:space="preserve">. In the New Zealand National Gambling Study </w:t>
      </w:r>
      <w:r w:rsidR="0038398B">
        <w:rPr>
          <w:noProof/>
          <w:color w:val="000000"/>
        </w:rPr>
        <w:t>(Abbott et al., 2014)</w:t>
      </w:r>
      <w:r>
        <w:t>, approximately one-third of adults reported knowing at least one person they believed had a gambling problem.</w:t>
      </w:r>
    </w:p>
    <w:p w14:paraId="4224C353" w14:textId="77777777" w:rsidR="00DB689D" w:rsidRDefault="00310A10" w:rsidP="00367A8D">
      <w:pPr>
        <w:spacing w:line="360" w:lineRule="auto"/>
      </w:pPr>
      <w:r>
        <w:t xml:space="preserve"> </w:t>
      </w:r>
    </w:p>
    <w:p w14:paraId="17661F45" w14:textId="6FB76902" w:rsidR="00DB689D" w:rsidRDefault="00310A10" w:rsidP="00367A8D">
      <w:pPr>
        <w:spacing w:line="360" w:lineRule="auto"/>
      </w:pPr>
      <w:r>
        <w:t xml:space="preserve">Abbott et al. </w:t>
      </w:r>
      <w:r w:rsidR="0038398B">
        <w:rPr>
          <w:noProof/>
          <w:color w:val="000000"/>
        </w:rPr>
        <w:t>(2014)</w:t>
      </w:r>
      <w:r>
        <w:t xml:space="preserve"> reported that Māori people were more likely to know someone with a gambling problem, followed by Pacific peoples and European/Other backgrounds, and then Asian people. The </w:t>
      </w:r>
      <w:r w:rsidR="00FB63CB">
        <w:t>most mentioned</w:t>
      </w:r>
      <w:r>
        <w:t xml:space="preserve"> impacts were financial, relationship problems, family stress, loss of trust, negative feelings (anger, frustration and resentment) and feelings of concern for the person who gambles. Māori and Pacific people referred to financial impacts more often than the other cultural groups and were more likely to have unpaid bills or experienced deprivation due to another person's gambling. Additionally, a higher proportion of Pacific and Asian people reported having arguments due to another person's gambling than people in the European/Other or Māori groups.</w:t>
      </w:r>
    </w:p>
    <w:p w14:paraId="43CA64EB" w14:textId="77777777" w:rsidR="00DB689D" w:rsidRDefault="00310A10" w:rsidP="00367A8D">
      <w:pPr>
        <w:spacing w:line="360" w:lineRule="auto"/>
      </w:pPr>
      <w:r>
        <w:t xml:space="preserve"> </w:t>
      </w:r>
    </w:p>
    <w:p w14:paraId="468E76D1" w14:textId="181C73BD" w:rsidR="00DB689D" w:rsidRDefault="00310A10" w:rsidP="00367A8D">
      <w:pPr>
        <w:spacing w:line="360" w:lineRule="auto"/>
      </w:pPr>
      <w:r>
        <w:t xml:space="preserve">The immediate family, including spouses/partners, children, siblings, and parents, can experience the most significant impacts, often due to shared finances and responsibilities </w:t>
      </w:r>
      <w:r w:rsidR="0038398B">
        <w:rPr>
          <w:noProof/>
          <w:color w:val="000000"/>
        </w:rPr>
        <w:t>(Tulloch et al., 2023)</w:t>
      </w:r>
      <w:r>
        <w:t xml:space="preserve">. These harms can include detrimental effects on their relationship, finances, physical and mental health, housing situation, and material standard of living, potentially leading to a loss of trust, arguments, and relationship breakdown </w:t>
      </w:r>
      <w:r w:rsidR="0038398B">
        <w:rPr>
          <w:noProof/>
          <w:color w:val="000000"/>
        </w:rPr>
        <w:t>(Abbott et al., 2014)</w:t>
      </w:r>
      <w:r>
        <w:t xml:space="preserve">. Around 2.2% of the population of New Zealand reported that their spouse or partner has, or had, a problem with gambling; 6% reported this about a parent, 4.1% about a sibling, and 1.1% about a child </w:t>
      </w:r>
      <w:r w:rsidR="0038398B">
        <w:rPr>
          <w:noProof/>
          <w:color w:val="000000"/>
        </w:rPr>
        <w:t>(Abbott et al., 2014)</w:t>
      </w:r>
      <w:r>
        <w:t xml:space="preserve">. A large Australia and New Zealand study by Jeffrey et al. </w:t>
      </w:r>
      <w:r w:rsidR="0038398B">
        <w:rPr>
          <w:noProof/>
          <w:color w:val="000000"/>
        </w:rPr>
        <w:t>(2019)</w:t>
      </w:r>
      <w:r>
        <w:t xml:space="preserve"> examined the experiences of both people who gamble and their spouses. They found that spouses reported experiencing a similar number of harms as the person who gambled, spanning the same harm domains. However, spouses tended to report more psychological, emotional and relational harms, compared to the person who gambles.</w:t>
      </w:r>
    </w:p>
    <w:p w14:paraId="62711BE5" w14:textId="77777777" w:rsidR="00DB689D" w:rsidRDefault="00310A10" w:rsidP="00367A8D">
      <w:pPr>
        <w:spacing w:line="360" w:lineRule="auto"/>
      </w:pPr>
      <w:r>
        <w:t xml:space="preserve"> </w:t>
      </w:r>
    </w:p>
    <w:p w14:paraId="28481694" w14:textId="316C9069" w:rsidR="00DB689D" w:rsidRDefault="00310A10" w:rsidP="00367A8D">
      <w:pPr>
        <w:spacing w:line="360" w:lineRule="auto"/>
      </w:pPr>
      <w:r>
        <w:t xml:space="preserve">Extended family members, friends, and </w:t>
      </w:r>
      <w:r w:rsidRPr="00675455">
        <w:t>whānau</w:t>
      </w:r>
      <w:r>
        <w:t xml:space="preserve"> can also experience harm when supporting those affected by problem gambling. This may include increased responsibilities for childcare, financial strain from lending money, and providing emotional support </w:t>
      </w:r>
      <w:r w:rsidR="0038398B">
        <w:rPr>
          <w:noProof/>
          <w:color w:val="000000"/>
        </w:rPr>
        <w:t>(McCarthy et al., 2022; Palmer du Preez et al., 2021)</w:t>
      </w:r>
      <w:r>
        <w:t>. The impact on these groups can vary depending on cultural expectations and the strength of familial or social ties.</w:t>
      </w:r>
    </w:p>
    <w:p w14:paraId="7097054D" w14:textId="77777777" w:rsidR="00DB689D" w:rsidRDefault="00310A10" w:rsidP="00367A8D">
      <w:pPr>
        <w:pStyle w:val="Heading4"/>
        <w:spacing w:line="360" w:lineRule="auto"/>
      </w:pPr>
      <w:bookmarkStart w:id="63" w:name="_ug44ilmdeqej" w:colFirst="0" w:colLast="0"/>
      <w:bookmarkEnd w:id="63"/>
      <w:r>
        <w:t>Children</w:t>
      </w:r>
    </w:p>
    <w:p w14:paraId="6CB35D7F" w14:textId="1A292FB4" w:rsidR="00DB689D" w:rsidRDefault="00310A10" w:rsidP="00367A8D">
      <w:pPr>
        <w:spacing w:line="360" w:lineRule="auto"/>
      </w:pPr>
      <w:r>
        <w:t xml:space="preserve">Children living with people with gambling problems are at risk of various harms, including financial instability leading to deprivation of essential items, damage to their relationships with their parents, exposure to parental conflict (such as arguments), neglect, an increased risk of conflict and violence, family breakdown, damaged relationships, and physical and emotional harm </w:t>
      </w:r>
      <w:r w:rsidR="0038398B">
        <w:rPr>
          <w:noProof/>
          <w:color w:val="000000"/>
        </w:rPr>
        <w:t>(Tulloch et al., 2022; Wurtzburg &amp; Tan, 2011)</w:t>
      </w:r>
      <w:r>
        <w:t xml:space="preserve">. They are also more likely to develop gambling problems themselves later in life </w:t>
      </w:r>
      <w:r w:rsidR="0038398B">
        <w:rPr>
          <w:noProof/>
          <w:color w:val="000000"/>
        </w:rPr>
        <w:t>(Crisp et al., 2004; Wurtzburg &amp; Tan, 2011)</w:t>
      </w:r>
      <w:r>
        <w:t xml:space="preserve">. There is little large-scale quantitative evidence examining the harm experienced by these children, particularly in New Zealand. This lack of data may be due to the ethical challenges involved in accessing this population for research. In an exception, an Australian cohort study identified significant associations between parental gambling problems and poor health, anxiety, low mood, behavioural issues, and self-harm in their children </w:t>
      </w:r>
      <w:r w:rsidR="0038398B">
        <w:rPr>
          <w:noProof/>
          <w:color w:val="000000"/>
        </w:rPr>
        <w:t>(Tulloch et al., 2022)</w:t>
      </w:r>
      <w:r>
        <w:t>. Despite these nascent findings, the absence of representative quantitative data on the impact of gambling harm on children makes it difficult to fully incorporate these costs into economic models. Future research should prioritise this area, potentially through carefully designed longitudinal studies or innovative methodologies that address ethical concerns while capturing the full spectrum of harms to children affected by parental or family gambling problems.</w:t>
      </w:r>
    </w:p>
    <w:p w14:paraId="3816BB03" w14:textId="77777777" w:rsidR="00DB689D" w:rsidRDefault="00310A10" w:rsidP="00C30E1A">
      <w:pPr>
        <w:pStyle w:val="Heading3"/>
      </w:pPr>
      <w:bookmarkStart w:id="64" w:name="_wewpxvg7x5xe" w:colFirst="0" w:colLast="0"/>
      <w:bookmarkStart w:id="65" w:name="_Toc201572367"/>
      <w:bookmarkStart w:id="66" w:name="_Toc207195885"/>
      <w:bookmarkEnd w:id="64"/>
      <w:r>
        <w:t>Equity issues around gambling harm</w:t>
      </w:r>
      <w:bookmarkEnd w:id="65"/>
      <w:bookmarkEnd w:id="66"/>
    </w:p>
    <w:p w14:paraId="5B112EE4" w14:textId="63334AC3" w:rsidR="00DB689D" w:rsidRDefault="00310A10" w:rsidP="00367A8D">
      <w:pPr>
        <w:spacing w:line="360" w:lineRule="auto"/>
      </w:pPr>
      <w:r>
        <w:t>The New Zealand Ministry of Health defines equity as recognising that ‘</w:t>
      </w:r>
      <w:r>
        <w:rPr>
          <w:i/>
        </w:rPr>
        <w:t>different people with different levels of advantage require different approaches and resources to get equitable health outcomes</w:t>
      </w:r>
      <w:r>
        <w:t xml:space="preserve">’ </w:t>
      </w:r>
      <w:r w:rsidR="0038398B">
        <w:rPr>
          <w:noProof/>
          <w:color w:val="000000"/>
        </w:rPr>
        <w:t>(Ministry of Health, 2019)</w:t>
      </w:r>
      <w:r>
        <w:t>. When interpreting the total costs of gambling-related harm, it is crucial to consider the inequitable distribution of both benefits and costs across the population. This disparity goes beyond demographic groups and touches on a fundamental imbalance in how gambling impacts society.</w:t>
      </w:r>
    </w:p>
    <w:p w14:paraId="3D40C1A3" w14:textId="77777777" w:rsidR="00DB689D" w:rsidRDefault="00310A10" w:rsidP="00367A8D">
      <w:pPr>
        <w:spacing w:line="360" w:lineRule="auto"/>
        <w:rPr>
          <w:color w:val="008080"/>
          <w:u w:val="single"/>
        </w:rPr>
      </w:pPr>
      <w:r>
        <w:rPr>
          <w:color w:val="008080"/>
          <w:u w:val="single"/>
        </w:rPr>
        <w:t xml:space="preserve"> </w:t>
      </w:r>
    </w:p>
    <w:p w14:paraId="785157C3" w14:textId="77777777" w:rsidR="00DB689D" w:rsidRDefault="00310A10" w:rsidP="00367A8D">
      <w:pPr>
        <w:spacing w:line="360" w:lineRule="auto"/>
      </w:pPr>
      <w:r>
        <w:t>The costs of gambling-related harm are disproportionately borne by a small segment of the population, likely being less than 10% of people who gamble and those around them. These individuals and their immediate social circles experience the brunt of the negative impacts discussed earlier, including financial hardship, health issues, and relationship problems. In contrast, any recreational and economic benefits of gambling are enjoyed by a much wider population segment. This includes people who gamble without experiencing harm and who experience gambling primarily as a form of entertainment, as well as broader economic beneficiaries such as the gambling industry, its employees, and public spending based on gambling-related tax revenues.</w:t>
      </w:r>
    </w:p>
    <w:p w14:paraId="63A0D3F7" w14:textId="77777777" w:rsidR="00DB689D" w:rsidRDefault="00310A10" w:rsidP="00367A8D">
      <w:pPr>
        <w:spacing w:line="360" w:lineRule="auto"/>
      </w:pPr>
      <w:r>
        <w:t xml:space="preserve"> </w:t>
      </w:r>
    </w:p>
    <w:p w14:paraId="2BF09BCC" w14:textId="77777777" w:rsidR="00DB689D" w:rsidRDefault="00310A10" w:rsidP="00367A8D">
      <w:pPr>
        <w:spacing w:line="360" w:lineRule="auto"/>
      </w:pPr>
      <w:r>
        <w:t>This skewed distribution of cost/benefit means that even in a scenario in which the aggregate economic impact of gambling appears balanced or even positive, when viewed at a societal level, it does not balance out significant harm concentrated within a smaller, vulnerable portion of the population. Observation of this imbalance forms part of the rationale for considering the costs of gambling separate from its benefits.</w:t>
      </w:r>
    </w:p>
    <w:p w14:paraId="4895BE9F" w14:textId="77777777" w:rsidR="00DB689D" w:rsidRDefault="00310A10" w:rsidP="00367A8D">
      <w:pPr>
        <w:spacing w:line="360" w:lineRule="auto"/>
      </w:pPr>
      <w:r>
        <w:t xml:space="preserve"> </w:t>
      </w:r>
    </w:p>
    <w:p w14:paraId="33BEA79D" w14:textId="1FFF2F3E" w:rsidR="00DB689D" w:rsidRDefault="00310A10" w:rsidP="00367A8D">
      <w:pPr>
        <w:spacing w:line="360" w:lineRule="auto"/>
        <w:rPr>
          <w:color w:val="0E101A"/>
        </w:rPr>
      </w:pPr>
      <w:r>
        <w:rPr>
          <w:color w:val="0E101A"/>
        </w:rPr>
        <w:t xml:space="preserve">Socioeconomic and cultural equity issues exist in relation to gambling harm </w:t>
      </w:r>
      <w:r w:rsidR="0038398B">
        <w:rPr>
          <w:noProof/>
          <w:color w:val="000000"/>
        </w:rPr>
        <w:t>(Raybould et al., 2020)</w:t>
      </w:r>
      <w:r>
        <w:rPr>
          <w:color w:val="0E101A"/>
        </w:rPr>
        <w:t xml:space="preserve">. For example, there tends to be a higher concentration of gambling venues in areas of greater deprivation </w:t>
      </w:r>
      <w:r w:rsidR="0038398B">
        <w:rPr>
          <w:noProof/>
          <w:color w:val="000000"/>
        </w:rPr>
        <w:t>(Rook et al., 2018)</w:t>
      </w:r>
      <w:r>
        <w:rPr>
          <w:color w:val="0E101A"/>
        </w:rPr>
        <w:t xml:space="preserve"> and gambling problems are more common in those experiencing deprivation or lower income households </w:t>
      </w:r>
      <w:r w:rsidR="0038398B">
        <w:rPr>
          <w:noProof/>
          <w:color w:val="000000"/>
        </w:rPr>
        <w:t>(Abbott et al., 2018; Rook et al., 2018)</w:t>
      </w:r>
      <w:r>
        <w:rPr>
          <w:color w:val="0E101A"/>
        </w:rPr>
        <w:t xml:space="preserve">. Moreover, transitioning into risky gambling activities is more likely to occur following a period of financial deprivation </w:t>
      </w:r>
      <w:r w:rsidR="0038398B">
        <w:rPr>
          <w:noProof/>
          <w:color w:val="000000"/>
        </w:rPr>
        <w:t>(Bellringer et al., 2020)</w:t>
      </w:r>
      <w:r>
        <w:rPr>
          <w:color w:val="0E101A"/>
        </w:rPr>
        <w:t>.</w:t>
      </w:r>
    </w:p>
    <w:p w14:paraId="3431014F" w14:textId="77777777" w:rsidR="00DB689D" w:rsidRDefault="00310A10" w:rsidP="00367A8D">
      <w:pPr>
        <w:spacing w:line="360" w:lineRule="auto"/>
      </w:pPr>
      <w:r>
        <w:t xml:space="preserve"> </w:t>
      </w:r>
    </w:p>
    <w:p w14:paraId="570C1448" w14:textId="7E3582A7" w:rsidR="00DB689D" w:rsidRDefault="00310A10" w:rsidP="00367A8D">
      <w:pPr>
        <w:spacing w:line="360" w:lineRule="auto"/>
      </w:pPr>
      <w:r>
        <w:t xml:space="preserve">Māori people are over three times more likely to experience significant gambling problems compared to non-Māori and non-Pacific people </w:t>
      </w:r>
      <w:r w:rsidR="0038398B">
        <w:rPr>
          <w:noProof/>
          <w:color w:val="000000"/>
        </w:rPr>
        <w:t>(Abbott et al., 2018; Ministry of Health., 2022)</w:t>
      </w:r>
      <w:r>
        <w:t xml:space="preserve">. Pacific people are less likely to participate in gambling; however, for those that do, they are at higher risk of harm </w:t>
      </w:r>
      <w:r w:rsidR="0038398B">
        <w:rPr>
          <w:noProof/>
          <w:color w:val="000000"/>
        </w:rPr>
        <w:t>(Abbott et al., 2014)</w:t>
      </w:r>
      <w:r>
        <w:t xml:space="preserve">. Additionally, these groups tend to live in lower socioeconomic areas, where </w:t>
      </w:r>
      <w:r w:rsidR="00D53C54">
        <w:t>C</w:t>
      </w:r>
      <w:r w:rsidR="003625C5">
        <w:t>lass 4 pokie</w:t>
      </w:r>
      <w:r>
        <w:t xml:space="preserve">s are most likely to be situated. Correspondingly, these groups are most likely to bear a greater burden of the social and economic cost of this harm, not only to the person who gambles but to their family, </w:t>
      </w:r>
      <w:r w:rsidRPr="00675455">
        <w:t>whānau</w:t>
      </w:r>
      <w:r>
        <w:t>, and the broader community.</w:t>
      </w:r>
    </w:p>
    <w:p w14:paraId="0572ED2B" w14:textId="77777777" w:rsidR="00DB689D" w:rsidRDefault="00310A10" w:rsidP="00367A8D">
      <w:pPr>
        <w:spacing w:line="360" w:lineRule="auto"/>
      </w:pPr>
      <w:r>
        <w:t xml:space="preserve"> </w:t>
      </w:r>
    </w:p>
    <w:p w14:paraId="25014A63" w14:textId="783D934D" w:rsidR="00DB689D" w:rsidRDefault="00310A10" w:rsidP="00367A8D">
      <w:pPr>
        <w:spacing w:line="360" w:lineRule="auto"/>
        <w:rPr>
          <w:color w:val="0E101A"/>
        </w:rPr>
      </w:pPr>
      <w:r>
        <w:rPr>
          <w:color w:val="0E101A"/>
        </w:rPr>
        <w:t xml:space="preserve">Communities perceive, engage with, and potentially experience harm from gambling activities in different ways </w:t>
      </w:r>
      <w:r w:rsidR="0038398B">
        <w:rPr>
          <w:noProof/>
          <w:color w:val="000000"/>
        </w:rPr>
        <w:t>(Urale et al., 2015; Wang &amp; Bellringer, 2022; Zhang et al., 2022)</w:t>
      </w:r>
      <w:r>
        <w:rPr>
          <w:color w:val="0E101A"/>
        </w:rPr>
        <w:t xml:space="preserve">. For example, one study found Pacific people tend to have unique concepts of what constitutes gambling </w:t>
      </w:r>
      <w:r w:rsidR="0038398B">
        <w:rPr>
          <w:noProof/>
          <w:color w:val="000000"/>
        </w:rPr>
        <w:t>(Urale et al., 2015)</w:t>
      </w:r>
      <w:r>
        <w:rPr>
          <w:color w:val="0E101A"/>
        </w:rPr>
        <w:t xml:space="preserve">. Lottery, scratch cards, and bingo are generally not considered gambling, nor are activities associated with community fund-raising, known in the literature as community gambling. On the other hand, 'commercial gambling', or gambling in a club, pub, or casino, can be seen as an easy and practical way to make money when needed. This belief is commonly heard by gambling health professionals in New Zealand from their clients, with gambling perceived as a potential source of income </w:t>
      </w:r>
      <w:r w:rsidR="0038398B">
        <w:rPr>
          <w:noProof/>
          <w:color w:val="000000"/>
        </w:rPr>
        <w:t>(Rimal et al., 2023)</w:t>
      </w:r>
      <w:r>
        <w:rPr>
          <w:color w:val="0E101A"/>
        </w:rPr>
        <w:t>. This perspective could make certain communities more vulnerable to gambling harm, especially if they are already experiencing economic hardship.</w:t>
      </w:r>
    </w:p>
    <w:p w14:paraId="3D8F818B" w14:textId="77777777" w:rsidR="00DB689D" w:rsidRDefault="00310A10" w:rsidP="00367A8D">
      <w:pPr>
        <w:spacing w:line="360" w:lineRule="auto"/>
      </w:pPr>
      <w:r>
        <w:t xml:space="preserve"> </w:t>
      </w:r>
    </w:p>
    <w:p w14:paraId="45699992" w14:textId="21D2031A" w:rsidR="00DB689D" w:rsidRDefault="00310A10" w:rsidP="00367A8D">
      <w:pPr>
        <w:spacing w:line="360" w:lineRule="auto"/>
      </w:pPr>
      <w:r>
        <w:t xml:space="preserve">Likewise, there can be compounding effects of socioeconomic disadvantage and cultural issues. In a study of Pacific women in New Zealand, Pickering </w:t>
      </w:r>
      <w:r w:rsidR="0038398B">
        <w:rPr>
          <w:noProof/>
          <w:color w:val="000000"/>
        </w:rPr>
        <w:t>(2019)</w:t>
      </w:r>
      <w:r>
        <w:t xml:space="preserve"> found that lower weekly income, unemployment and lower education were associated with a higher risk of problem gambling. Furthermore, 77.1% of Pacific women in the study reported participating in traditional gift-giving practices, which has been linked to gambling as a way to meet these cultural/financial obligations and can furthermore spread impacts beyond the person who gambles. As noted in the section on cultural harms, these interactive effects are likely to apply to other minority cultural groups as well.</w:t>
      </w:r>
    </w:p>
    <w:p w14:paraId="7F355B57" w14:textId="77777777" w:rsidR="00DB689D" w:rsidRDefault="00310A10" w:rsidP="00367A8D">
      <w:pPr>
        <w:spacing w:line="360" w:lineRule="auto"/>
      </w:pPr>
      <w:r>
        <w:t xml:space="preserve"> </w:t>
      </w:r>
    </w:p>
    <w:p w14:paraId="3CFE08A0" w14:textId="20C349B2" w:rsidR="00DB689D" w:rsidRDefault="00310A10" w:rsidP="00367A8D">
      <w:pPr>
        <w:spacing w:line="360" w:lineRule="auto"/>
      </w:pPr>
      <w:r>
        <w:t>Unfortunately, evidence from non-representative samples or qualitative studies is difficult to rigorously introduce into a health-economic costing in a</w:t>
      </w:r>
      <w:r w:rsidR="002742A4">
        <w:t xml:space="preserve"> robust</w:t>
      </w:r>
      <w:r>
        <w:t xml:space="preserve"> way. When evaluating differential cultural impacts, future research should consider including Pakeha or general population comparison groups to establish baselines and thereby provide the basis to estimate differential risk/impact.</w:t>
      </w:r>
    </w:p>
    <w:p w14:paraId="789DAAE1" w14:textId="77777777" w:rsidR="00DB689D" w:rsidRDefault="00310A10" w:rsidP="00657824">
      <w:pPr>
        <w:pStyle w:val="Heading2"/>
      </w:pPr>
      <w:bookmarkStart w:id="67" w:name="_gfw2hjh7byaf" w:colFirst="0" w:colLast="0"/>
      <w:bookmarkStart w:id="68" w:name="_Toc201572368"/>
      <w:bookmarkStart w:id="69" w:name="_Toc207195886"/>
      <w:bookmarkEnd w:id="67"/>
      <w:r>
        <w:t>Financial impacts</w:t>
      </w:r>
      <w:bookmarkEnd w:id="68"/>
      <w:bookmarkEnd w:id="69"/>
    </w:p>
    <w:p w14:paraId="53B161E3" w14:textId="4C959306" w:rsidR="00DB689D" w:rsidRDefault="00310A10" w:rsidP="00367A8D">
      <w:pPr>
        <w:spacing w:line="360" w:lineRule="auto"/>
      </w:pPr>
      <w:r>
        <w:t xml:space="preserve">Total </w:t>
      </w:r>
      <w:r w:rsidR="00544EC7">
        <w:t xml:space="preserve">regulated </w:t>
      </w:r>
      <w:r>
        <w:t xml:space="preserve">gambling expenditure in New Zealand for 2023/24 was $2.792 billion </w:t>
      </w:r>
      <w:r w:rsidR="0038398B">
        <w:rPr>
          <w:noProof/>
          <w:color w:val="000000"/>
        </w:rPr>
        <w:t>(</w:t>
      </w:r>
      <w:r w:rsidR="002A3095">
        <w:t>Department of Internal Affairs</w:t>
      </w:r>
      <w:r w:rsidR="0038398B">
        <w:rPr>
          <w:noProof/>
          <w:color w:val="000000"/>
        </w:rPr>
        <w:t>, 2024)</w:t>
      </w:r>
      <w:r>
        <w:t xml:space="preserve">. This figure comprises $1.037 billion on </w:t>
      </w:r>
      <w:r w:rsidR="00D53C54">
        <w:t>Class 4 pokies</w:t>
      </w:r>
      <w:r w:rsidR="00A544B6">
        <w:t>,</w:t>
      </w:r>
      <w:r w:rsidR="00D53C54">
        <w:t xml:space="preserve"> </w:t>
      </w:r>
      <w:r>
        <w:t xml:space="preserve">$792 million on Lotto NZ, $371 million on TAB NZ and $592 million on casinos </w:t>
      </w:r>
      <w:r w:rsidR="0038398B">
        <w:rPr>
          <w:noProof/>
          <w:color w:val="000000"/>
        </w:rPr>
        <w:t>(</w:t>
      </w:r>
      <w:r w:rsidR="002A3095">
        <w:t>Department of Internal Affairs</w:t>
      </w:r>
      <w:r w:rsidR="0038398B">
        <w:rPr>
          <w:noProof/>
          <w:color w:val="000000"/>
        </w:rPr>
        <w:t>, 2024)</w:t>
      </w:r>
      <w:r>
        <w:t xml:space="preserve">. In addition, it is estimated that between $342 million and $500 million was spent by New Zealanders on offshore online gambling </w:t>
      </w:r>
      <w:r w:rsidR="0038398B">
        <w:rPr>
          <w:noProof/>
          <w:color w:val="000000"/>
        </w:rPr>
        <w:t>(</w:t>
      </w:r>
      <w:r w:rsidR="0038398B" w:rsidRPr="0038398B">
        <w:rPr>
          <w:i/>
          <w:noProof/>
          <w:color w:val="000000"/>
        </w:rPr>
        <w:t>Regulatory impact statement: Offshore online gambling</w:t>
      </w:r>
      <w:r w:rsidR="0038398B">
        <w:rPr>
          <w:noProof/>
          <w:color w:val="000000"/>
        </w:rPr>
        <w:t>, 2024; SkyCity Entertainment Group, 2023)</w:t>
      </w:r>
      <w:r>
        <w:t xml:space="preserve">.  </w:t>
      </w:r>
    </w:p>
    <w:p w14:paraId="57052DBC" w14:textId="77777777" w:rsidR="00DB689D" w:rsidRDefault="00DB689D" w:rsidP="00367A8D">
      <w:pPr>
        <w:spacing w:line="360" w:lineRule="auto"/>
      </w:pPr>
    </w:p>
    <w:p w14:paraId="7CB87131" w14:textId="281C05C9" w:rsidR="00DB689D" w:rsidRDefault="00310A10" w:rsidP="00367A8D">
      <w:pPr>
        <w:spacing w:line="360" w:lineRule="auto"/>
      </w:pPr>
      <w:r>
        <w:t xml:space="preserve">Expenditure by people experiencing gambling problems often leads to financial harm for themselves and their families. Financial harms are a primary and pervasive consequence of gambling problems. These harms encompass any financial distress arising from, caused by, or exacerbated by a person's gambling </w:t>
      </w:r>
      <w:r w:rsidR="0038398B">
        <w:rPr>
          <w:noProof/>
          <w:color w:val="000000"/>
        </w:rPr>
        <w:t>(Ministry of Health, 2022)</w:t>
      </w:r>
      <w:r>
        <w:t xml:space="preserve">. The spectrum of financial harm ranges from immediate consequences, such as the inability to pay bills or purchase necessities, to long-term impacts like the erosion of savings and decline in overall standard of living </w:t>
      </w:r>
      <w:r w:rsidR="00DB2449">
        <w:rPr>
          <w:noProof/>
          <w:color w:val="000000"/>
        </w:rPr>
        <w:t>(</w:t>
      </w:r>
      <w:r w:rsidR="002A3095">
        <w:rPr>
          <w:noProof/>
          <w:color w:val="000000"/>
        </w:rPr>
        <w:t>Browne, Greer et al., 2017</w:t>
      </w:r>
      <w:r w:rsidR="00DB2449">
        <w:rPr>
          <w:noProof/>
          <w:color w:val="000000"/>
        </w:rPr>
        <w:t>)</w:t>
      </w:r>
      <w:r>
        <w:t>.</w:t>
      </w:r>
    </w:p>
    <w:p w14:paraId="4ADB5438" w14:textId="77777777" w:rsidR="00DB689D" w:rsidRDefault="00310A10" w:rsidP="00367A8D">
      <w:pPr>
        <w:spacing w:line="360" w:lineRule="auto"/>
      </w:pPr>
      <w:r>
        <w:t xml:space="preserve"> </w:t>
      </w:r>
    </w:p>
    <w:p w14:paraId="5B3AC614" w14:textId="2E41D6FE" w:rsidR="00DB689D" w:rsidRDefault="00310A10" w:rsidP="00367A8D">
      <w:pPr>
        <w:spacing w:line="360" w:lineRule="auto"/>
      </w:pPr>
      <w:r>
        <w:t xml:space="preserve">The interaction between gambling and financial harm is complex and often intertwined with broader social and economic determinants. For instance, a large portion of gambling-related harm and losses is often experienced by those living in low-income areas, who are consequently more likely to be receiving welfare benefits. Research has shown a link between problem gambling and poverty, with areas having the highest number of Foodbank clients and with lower socio-economic status also having the largest numbers of EGMs </w:t>
      </w:r>
      <w:r w:rsidR="0038398B">
        <w:rPr>
          <w:noProof/>
          <w:color w:val="000000"/>
        </w:rPr>
        <w:t>(Wynd, 2005)</w:t>
      </w:r>
      <w:r>
        <w:t xml:space="preserve">. In some cultural groups, particularly Māori and Pacific communities, financial burdens and gambling problems can be exacerbated due to the lending, sharing, and borrowing of money within the community </w:t>
      </w:r>
      <w:r w:rsidR="0038398B">
        <w:rPr>
          <w:noProof/>
          <w:color w:val="000000"/>
        </w:rPr>
        <w:t>(Dyall, Thomas, Thomas, 2009; New Zealand Families Commission, 2012)</w:t>
      </w:r>
      <w:r>
        <w:t>.</w:t>
      </w:r>
    </w:p>
    <w:p w14:paraId="78CDD005" w14:textId="77777777" w:rsidR="00DB689D" w:rsidRDefault="00310A10" w:rsidP="00367A8D">
      <w:pPr>
        <w:spacing w:line="360" w:lineRule="auto"/>
      </w:pPr>
      <w:r>
        <w:t xml:space="preserve"> </w:t>
      </w:r>
    </w:p>
    <w:p w14:paraId="0AB23918" w14:textId="25A7EBA5" w:rsidR="00DB689D" w:rsidRDefault="00310A10" w:rsidP="00367A8D">
      <w:pPr>
        <w:spacing w:line="360" w:lineRule="auto"/>
      </w:pPr>
      <w:r>
        <w:t xml:space="preserve">The prevalence and severity of financial harms are significant. The 2012 New Zealand National Gambling Study found that nearly 75% of people with gambling problems reported being forced to buy cheaper food due to gambling, with those categorised as moderate-risk and low-risk gambling also experiencing financial deprivations more frequently than people without gambling problems </w:t>
      </w:r>
      <w:r w:rsidR="0038398B">
        <w:rPr>
          <w:noProof/>
          <w:color w:val="000000"/>
        </w:rPr>
        <w:t>(Abbott et al., 2014)</w:t>
      </w:r>
      <w:r>
        <w:t xml:space="preserve">. These harms are not confined to the person who gambles; about 1 in 36 adults reported their household had gone without necessities or had unpaid bills due to gambling </w:t>
      </w:r>
      <w:r w:rsidR="0038398B">
        <w:rPr>
          <w:noProof/>
          <w:color w:val="000000"/>
        </w:rPr>
        <w:t>(Abbott et al., 2014)</w:t>
      </w:r>
      <w:r>
        <w:t>. These households are also likely to include other individuals, such as children or dependents, who are also likely to be affected.</w:t>
      </w:r>
    </w:p>
    <w:p w14:paraId="72450922" w14:textId="77777777" w:rsidR="00DB689D" w:rsidRDefault="00310A10" w:rsidP="00367A8D">
      <w:pPr>
        <w:spacing w:line="360" w:lineRule="auto"/>
      </w:pPr>
      <w:r>
        <w:t xml:space="preserve"> </w:t>
      </w:r>
    </w:p>
    <w:p w14:paraId="5D7C5F20" w14:textId="6EB6363D" w:rsidR="00DB689D" w:rsidRDefault="00310A10" w:rsidP="00367A8D">
      <w:pPr>
        <w:spacing w:line="360" w:lineRule="auto"/>
      </w:pPr>
      <w:r>
        <w:t xml:space="preserve">Financial harms disproportionately affect people living in lower socioeconomic areas, where a higher proportion of gambling-related harm and losses is observed </w:t>
      </w:r>
      <w:r w:rsidR="0038398B">
        <w:rPr>
          <w:noProof/>
          <w:color w:val="000000"/>
        </w:rPr>
        <w:t>(Wheeler et al., 2006)</w:t>
      </w:r>
      <w:r>
        <w:t xml:space="preserve">. Over 60% of </w:t>
      </w:r>
      <w:r w:rsidR="00A544B6">
        <w:t>Class 4 pokie</w:t>
      </w:r>
      <w:r w:rsidR="00494DC3">
        <w:t>s</w:t>
      </w:r>
      <w:r w:rsidR="00A544B6">
        <w:t xml:space="preserve"> </w:t>
      </w:r>
      <w:r>
        <w:t xml:space="preserve">venues are located in the most socioeconomically deprived areas of the country (Ministry of Health, 2022) and people in the most deprived areas spend up to three times as much on </w:t>
      </w:r>
      <w:r w:rsidR="00A544B6">
        <w:t xml:space="preserve">Class 4 pokies </w:t>
      </w:r>
      <w:r>
        <w:t xml:space="preserve">than people in the least deprived areas. Poorer communities are particularly vulnerable due to limited financial resources and susceptibility to cognitive fallacies about winning </w:t>
      </w:r>
      <w:r w:rsidR="0038398B">
        <w:rPr>
          <w:noProof/>
          <w:color w:val="000000"/>
        </w:rPr>
        <w:t>(Hahmann et al., 2021; Latvala et al., 2021)</w:t>
      </w:r>
      <w:r>
        <w:t xml:space="preserve">. This contributes to cycles of disadvantage by affecting factors that contribute to poverty and lower levels of human and social capital </w:t>
      </w:r>
      <w:r w:rsidR="00DB2449">
        <w:rPr>
          <w:noProof/>
          <w:color w:val="000000"/>
        </w:rPr>
        <w:t>(</w:t>
      </w:r>
      <w:r w:rsidR="002A3095">
        <w:rPr>
          <w:noProof/>
          <w:color w:val="000000"/>
        </w:rPr>
        <w:t>Browne, Greer et al., 2017</w:t>
      </w:r>
      <w:r w:rsidR="00DB2449">
        <w:rPr>
          <w:noProof/>
          <w:color w:val="000000"/>
        </w:rPr>
        <w:t>)</w:t>
      </w:r>
      <w:r>
        <w:t>. In severe cases, financial harms can lead to bankruptcy or loss of major assets such as homes, cars, or businesses. Although much rarer than less severe impacts, the long-term consequences of these financial impacts can be significant, not only for the individual but for their family and wider community.</w:t>
      </w:r>
    </w:p>
    <w:p w14:paraId="075A3F8C" w14:textId="77777777" w:rsidR="00DB689D" w:rsidRDefault="00310A10" w:rsidP="00367A8D">
      <w:pPr>
        <w:spacing w:line="360" w:lineRule="auto"/>
      </w:pPr>
      <w:r>
        <w:t xml:space="preserve"> </w:t>
      </w:r>
    </w:p>
    <w:p w14:paraId="2C448712" w14:textId="73673375" w:rsidR="00DB689D" w:rsidRDefault="00310A10" w:rsidP="00367A8D">
      <w:pPr>
        <w:spacing w:line="360" w:lineRule="auto"/>
      </w:pPr>
      <w:r>
        <w:t xml:space="preserve">An important concept in understanding the financial impact of gambling is that of opportunity costs (discussed further in Chapter 5. Costing Methodology). This refers to the economic value of alternative uses of money spent on gambling. The Australian Productivity Commission </w:t>
      </w:r>
      <w:r w:rsidR="0038398B">
        <w:rPr>
          <w:noProof/>
          <w:color w:val="000000"/>
        </w:rPr>
        <w:t>(1999)</w:t>
      </w:r>
      <w:r>
        <w:t xml:space="preserve"> introduced this concept to gambling costing studies, arguing that expenditure by people categorised as problem gambling above that of those categorised as recreational gambling represents a negative consumer surplus or excess loss. This approach assumes that the spend of people categorised as problem gambling would be similar to those without a gambling problem, if not for their gambling issues. Subsequent studies, including Browne, Greer et al. </w:t>
      </w:r>
      <w:r w:rsidR="0038398B">
        <w:rPr>
          <w:noProof/>
          <w:color w:val="000000"/>
        </w:rPr>
        <w:t>(2017)</w:t>
      </w:r>
      <w:r>
        <w:t>, have refined this methodology to include excessive spend across the spectrum of gambling risk, from non-problem (no excessive spend) to include people categorised as low-risk and moderate-risk gambling, discounted relative to the severity of financial harms reported by each of these groups.</w:t>
      </w:r>
    </w:p>
    <w:p w14:paraId="52EB8207" w14:textId="77777777" w:rsidR="00740B3A" w:rsidRDefault="00740B3A" w:rsidP="00367A8D">
      <w:pPr>
        <w:spacing w:line="360" w:lineRule="auto"/>
      </w:pPr>
    </w:p>
    <w:p w14:paraId="5FC424B4" w14:textId="47FECC9F" w:rsidR="00740B3A" w:rsidRDefault="00740B3A" w:rsidP="00367A8D">
      <w:pPr>
        <w:spacing w:line="360" w:lineRule="auto"/>
      </w:pPr>
      <w:r w:rsidRPr="00740B3A">
        <w:t>Given their direct monetary nature, these financial harms, particularly the opportunity cost of excessive spend, are among the most directly quantifiable components in this economic costing.</w:t>
      </w:r>
    </w:p>
    <w:p w14:paraId="5BFE93A1" w14:textId="77777777" w:rsidR="00DB689D" w:rsidRDefault="00310A10" w:rsidP="00657824">
      <w:pPr>
        <w:pStyle w:val="Heading2"/>
      </w:pPr>
      <w:bookmarkStart w:id="70" w:name="_9l4ozzj2va3c" w:colFirst="0" w:colLast="0"/>
      <w:bookmarkStart w:id="71" w:name="_Toc201572369"/>
      <w:bookmarkStart w:id="72" w:name="_Toc207195887"/>
      <w:bookmarkEnd w:id="70"/>
      <w:r>
        <w:t>Psychological and emotional harms</w:t>
      </w:r>
      <w:bookmarkEnd w:id="71"/>
      <w:bookmarkEnd w:id="72"/>
    </w:p>
    <w:p w14:paraId="50727C60" w14:textId="362BA054" w:rsidR="00DB689D" w:rsidRDefault="00310A10" w:rsidP="00367A8D">
      <w:pPr>
        <w:spacing w:line="360" w:lineRule="auto"/>
      </w:pPr>
      <w:r>
        <w:t xml:space="preserve">Psychological and emotional harms represent a significant portion of the intangible costs associated with gambling. These harms encompass a wide range of impacts, including depression, anxiety, stress, and decreased overall mental wellbeing. For example, people who gamble report experiencing stress, anxiety and panic attacks, depression, and aggression </w:t>
      </w:r>
      <w:r w:rsidR="0038398B">
        <w:rPr>
          <w:noProof/>
          <w:color w:val="000000"/>
        </w:rPr>
        <w:t>(Bellringer et al., 2019)</w:t>
      </w:r>
      <w:r>
        <w:t xml:space="preserve">. In health economic costings, these impacts are typically quantified through measures of HRQoL, which capture the degree to which gambling problems affect an individual's overall functioning and wellbeing. Studies have consistently shown that gambling problems are associated with substantial decrements in HRQoL, with the severity of these decrements increasing alongside the intensity of gambling problems </w:t>
      </w:r>
      <w:r w:rsidR="00DB2449">
        <w:rPr>
          <w:noProof/>
          <w:color w:val="000000"/>
        </w:rPr>
        <w:t>(</w:t>
      </w:r>
      <w:r w:rsidR="002A3095">
        <w:rPr>
          <w:noProof/>
          <w:color w:val="000000"/>
        </w:rPr>
        <w:t>Browne, Greer et al., 2017</w:t>
      </w:r>
      <w:r w:rsidR="00DB2449">
        <w:rPr>
          <w:noProof/>
          <w:color w:val="000000"/>
        </w:rPr>
        <w:t>; Browne et al., 2016)</w:t>
      </w:r>
      <w:r>
        <w:t>.</w:t>
      </w:r>
    </w:p>
    <w:p w14:paraId="531A5680" w14:textId="77777777" w:rsidR="00DB689D" w:rsidRDefault="00310A10" w:rsidP="00367A8D">
      <w:pPr>
        <w:spacing w:line="360" w:lineRule="auto"/>
      </w:pPr>
      <w:r>
        <w:t xml:space="preserve"> </w:t>
      </w:r>
    </w:p>
    <w:p w14:paraId="34754E5B" w14:textId="1EE9340F" w:rsidR="00DB689D" w:rsidRDefault="00310A10" w:rsidP="00367A8D">
      <w:pPr>
        <w:spacing w:line="360" w:lineRule="auto"/>
      </w:pPr>
      <w:r>
        <w:t xml:space="preserve">The valuation of these psychological and emotional harms is key to costing the full societal impact of gambling. In health-economic costings, these impacts are typically monetised by converting HRQoL decrements into quality-adjusted life years (QALYs), which can then be assigned a monetary value based on measures such as gross domestic product (GDP) per capita or the value of a statistical life-year (VoSLY) </w:t>
      </w:r>
      <w:r w:rsidR="0038398B">
        <w:rPr>
          <w:noProof/>
          <w:color w:val="000000"/>
        </w:rPr>
        <w:t>(Charalampous et al., 2022; Iino et al., 2022; Leung, 2009)</w:t>
      </w:r>
      <w:r>
        <w:t>.</w:t>
      </w:r>
    </w:p>
    <w:p w14:paraId="134BDB71" w14:textId="77777777" w:rsidR="00DB689D" w:rsidRDefault="00310A10" w:rsidP="00657824">
      <w:pPr>
        <w:pStyle w:val="Heading2"/>
      </w:pPr>
      <w:bookmarkStart w:id="73" w:name="_s9og5jifh41b" w:colFirst="0" w:colLast="0"/>
      <w:bookmarkStart w:id="74" w:name="_Toc201572370"/>
      <w:bookmarkStart w:id="75" w:name="_Toc207195888"/>
      <w:bookmarkEnd w:id="73"/>
      <w:r>
        <w:t>Relationship disruption, conflict or breakdown</w:t>
      </w:r>
      <w:bookmarkEnd w:id="74"/>
      <w:bookmarkEnd w:id="75"/>
    </w:p>
    <w:p w14:paraId="602E447B" w14:textId="5FADB53B" w:rsidR="00DB689D" w:rsidRDefault="00310A10" w:rsidP="00367A8D">
      <w:pPr>
        <w:spacing w:line="360" w:lineRule="auto"/>
      </w:pPr>
      <w:r>
        <w:t xml:space="preserve">Relationship disruption, conflict, and breakdown represent significant harms arising from gambling problems. These harms extend beyond the person who gambles, affecting immediate family, extended family, friends, and </w:t>
      </w:r>
      <w:r w:rsidRPr="00675455">
        <w:t>whānau</w:t>
      </w:r>
      <w:r>
        <w:t xml:space="preserve"> </w:t>
      </w:r>
      <w:r w:rsidR="0038398B">
        <w:rPr>
          <w:noProof/>
          <w:color w:val="000000"/>
        </w:rPr>
        <w:t>(Ministry of Health, 2022)</w:t>
      </w:r>
      <w:r>
        <w:t xml:space="preserve">. While these broader connections may experience lower levels of harm than those in their immediate family, some may occasionally experience severe impacts, such as those resulting from criminal activity. The scope of relationship harm is broad, encompassing increased conflict and arguments, loss of trust due to dishonesty, breakdown of relationships, neglect of family responsibilities, and experiences of violence </w:t>
      </w:r>
      <w:r w:rsidR="0038398B">
        <w:rPr>
          <w:noProof/>
          <w:color w:val="000000"/>
        </w:rPr>
        <w:t>(Langham et al., 2016)</w:t>
      </w:r>
      <w:r>
        <w:t>.</w:t>
      </w:r>
    </w:p>
    <w:p w14:paraId="6A0618FE" w14:textId="77777777" w:rsidR="00DB689D" w:rsidRDefault="00310A10" w:rsidP="00367A8D">
      <w:pPr>
        <w:spacing w:line="360" w:lineRule="auto"/>
      </w:pPr>
      <w:r>
        <w:t xml:space="preserve"> </w:t>
      </w:r>
    </w:p>
    <w:p w14:paraId="06F9C136" w14:textId="1EFC7E88" w:rsidR="00DB689D" w:rsidRDefault="00310A10" w:rsidP="00367A8D">
      <w:pPr>
        <w:spacing w:line="360" w:lineRule="auto"/>
      </w:pPr>
      <w:r>
        <w:t xml:space="preserve">The prevalence of relationship harms is substantial, as revealed by a recent Australian national prevalence survey </w:t>
      </w:r>
      <w:r w:rsidR="0038398B">
        <w:rPr>
          <w:noProof/>
          <w:color w:val="000000"/>
        </w:rPr>
        <w:t>(Hing, Russell, et al., 2022)</w:t>
      </w:r>
      <w:r>
        <w:t xml:space="preserve">. Moreover, the 2012 New Zealand National Gambling Study found that people with gambling problems were 38% more likely to report increased arguments with someone close to them </w:t>
      </w:r>
      <w:r w:rsidR="0038398B">
        <w:rPr>
          <w:noProof/>
          <w:color w:val="000000"/>
        </w:rPr>
        <w:t>(Abbott et al., 2014)</w:t>
      </w:r>
      <w:r>
        <w:t xml:space="preserve">. A Finnish study found that 12.9% of respondents were affected others of people who gamble, with emotional, relationship, and financial harms prevalent among affected family members and non-family members </w:t>
      </w:r>
      <w:r w:rsidR="0038398B">
        <w:rPr>
          <w:noProof/>
          <w:color w:val="000000"/>
        </w:rPr>
        <w:t>(Castrén et al., 2021)</w:t>
      </w:r>
      <w:r>
        <w:t xml:space="preserve">. Notably, people categorised as moderate-risk and low-risk gambling also reported more relationship troubles than those without gambling problems, indicating that relationship harms occur across the spectrum of gambling risk </w:t>
      </w:r>
      <w:r w:rsidR="0038398B">
        <w:rPr>
          <w:noProof/>
          <w:color w:val="000000"/>
        </w:rPr>
        <w:t>(Abbott et al., 2014)</w:t>
      </w:r>
      <w:r>
        <w:t>.</w:t>
      </w:r>
    </w:p>
    <w:p w14:paraId="3675EE8A" w14:textId="77777777" w:rsidR="00DB689D" w:rsidRDefault="00310A10" w:rsidP="00367A8D">
      <w:pPr>
        <w:spacing w:line="360" w:lineRule="auto"/>
      </w:pPr>
      <w:r>
        <w:t xml:space="preserve"> </w:t>
      </w:r>
    </w:p>
    <w:p w14:paraId="654CE744" w14:textId="7CB68E92" w:rsidR="00DB689D" w:rsidRDefault="00310A10" w:rsidP="00367A8D">
      <w:pPr>
        <w:spacing w:line="360" w:lineRule="auto"/>
      </w:pPr>
      <w:r>
        <w:t xml:space="preserve">Different relationships are impacted in various ways. Spouses and partners often experience the most severe effects due to shared finances and responsibilities </w:t>
      </w:r>
      <w:r w:rsidR="0038398B">
        <w:rPr>
          <w:noProof/>
          <w:color w:val="000000"/>
        </w:rPr>
        <w:t>(Holdsworth et al., 2013; Tulloch et al., 2023)</w:t>
      </w:r>
      <w:r>
        <w:t xml:space="preserve">. Children of people with gambling problems face unique challenges, including neglect, altered relationships, and loss of trust and security </w:t>
      </w:r>
      <w:r w:rsidR="0038398B">
        <w:rPr>
          <w:noProof/>
          <w:color w:val="000000"/>
        </w:rPr>
        <w:t>(Darbyshire et al., 2001; Tulloch et al., 2022)</w:t>
      </w:r>
      <w:r>
        <w:t>. Extended family and friends may also experience strained relationships and financial burdens.</w:t>
      </w:r>
      <w:r w:rsidR="00107D64">
        <w:t xml:space="preserve"> The consequences of severe gambling-related relationship harm can be long-lasting, with the effects of a terminated relationship persisting even after the gambling behaviour ceases </w:t>
      </w:r>
      <w:r w:rsidR="00107D64">
        <w:rPr>
          <w:noProof/>
          <w:color w:val="000000"/>
        </w:rPr>
        <w:t>(Rockloff et al., 2022)</w:t>
      </w:r>
      <w:r w:rsidR="00107D64">
        <w:t xml:space="preserve">. Moreover, there are potential intergenerational impacts on children's future relationships and behaviours </w:t>
      </w:r>
      <w:r w:rsidR="00107D64">
        <w:rPr>
          <w:noProof/>
          <w:color w:val="000000"/>
        </w:rPr>
        <w:t>(Rockloff et al., 2022)</w:t>
      </w:r>
      <w:r w:rsidR="00107D64">
        <w:t>.</w:t>
      </w:r>
    </w:p>
    <w:p w14:paraId="52511250" w14:textId="77777777" w:rsidR="00DB689D" w:rsidRDefault="00310A10" w:rsidP="00367A8D">
      <w:pPr>
        <w:spacing w:line="360" w:lineRule="auto"/>
      </w:pPr>
      <w:r>
        <w:t xml:space="preserve"> </w:t>
      </w:r>
    </w:p>
    <w:p w14:paraId="0B387583" w14:textId="58CBDE2F" w:rsidR="00DB689D" w:rsidRDefault="00310A10" w:rsidP="00367A8D">
      <w:pPr>
        <w:spacing w:line="360" w:lineRule="auto"/>
      </w:pPr>
      <w:r>
        <w:t xml:space="preserve">A particularly concerning aspect of relationship harm is the strong link between problem gambling and intimate partner violence (IPV). Studies have shown that gambling problems significantly increase the odds of both perpetrating and experiencing IPV and maltreatment </w:t>
      </w:r>
      <w:r w:rsidR="0038398B">
        <w:rPr>
          <w:noProof/>
          <w:color w:val="000000"/>
        </w:rPr>
        <w:t>(Afifi et al., 2010; Bellringer et al., 2016; Dowling et al., 2016)</w:t>
      </w:r>
      <w:r>
        <w:t xml:space="preserve">. A meta-analysis by Dowling et al. </w:t>
      </w:r>
      <w:r w:rsidR="0038398B">
        <w:rPr>
          <w:noProof/>
          <w:color w:val="000000"/>
        </w:rPr>
        <w:t>(2016)</w:t>
      </w:r>
      <w:r>
        <w:t xml:space="preserve"> found that over one-third of people with gambling problems reported being victims (38.1%) or perpetrators (36.5%) of physical IPV, with the prevalence of problem gambling among IPV perpetrators estimated at 11.3%. These findings suggest that both the person who gambles and those close to them may face heightened risk of violence, including coercive control and physical, psychological, sexual and financial abuse, which may extend beyond intimate partners to other family members </w:t>
      </w:r>
      <w:r w:rsidR="0038398B">
        <w:rPr>
          <w:noProof/>
          <w:color w:val="000000"/>
        </w:rPr>
        <w:t>(Hing, O’Mullan, et al., 2022)</w:t>
      </w:r>
      <w:r>
        <w:t>.</w:t>
      </w:r>
    </w:p>
    <w:p w14:paraId="1000CC07" w14:textId="77777777" w:rsidR="00DB689D" w:rsidRDefault="00310A10" w:rsidP="00367A8D">
      <w:pPr>
        <w:spacing w:line="360" w:lineRule="auto"/>
      </w:pPr>
      <w:r>
        <w:t xml:space="preserve"> </w:t>
      </w:r>
    </w:p>
    <w:p w14:paraId="099FED2E" w14:textId="0E9331E2" w:rsidR="00DB689D" w:rsidRDefault="00310A10" w:rsidP="00367A8D">
      <w:pPr>
        <w:spacing w:line="360" w:lineRule="auto"/>
      </w:pPr>
      <w:r>
        <w:t xml:space="preserve">Cultural considerations are important when assessing relationship harms. The impact may vary across cultural groups due to different family structures and community ties. For instance, Māori and Pacific communities may experience broader impacts due to extended family connections </w:t>
      </w:r>
      <w:r w:rsidR="0038398B">
        <w:rPr>
          <w:noProof/>
          <w:color w:val="000000"/>
        </w:rPr>
        <w:t>(Dyall</w:t>
      </w:r>
      <w:r w:rsidR="00D501AC">
        <w:rPr>
          <w:noProof/>
          <w:color w:val="000000"/>
        </w:rPr>
        <w:t xml:space="preserve"> et al.,</w:t>
      </w:r>
      <w:r w:rsidR="0038398B">
        <w:rPr>
          <w:noProof/>
          <w:color w:val="000000"/>
        </w:rPr>
        <w:t xml:space="preserve"> 2009)</w:t>
      </w:r>
      <w:r>
        <w:t xml:space="preserve">. </w:t>
      </w:r>
    </w:p>
    <w:p w14:paraId="6F03591C" w14:textId="77777777" w:rsidR="00740B3A" w:rsidRDefault="00740B3A" w:rsidP="00367A8D">
      <w:pPr>
        <w:spacing w:line="360" w:lineRule="auto"/>
      </w:pPr>
    </w:p>
    <w:p w14:paraId="20F7FB9A" w14:textId="4AA70951" w:rsidR="00740B3A" w:rsidRDefault="00740B3A" w:rsidP="00367A8D">
      <w:pPr>
        <w:spacing w:line="360" w:lineRule="auto"/>
      </w:pPr>
      <w:r w:rsidRPr="00740B3A">
        <w:t>While the full emotional impact is difficult to value, tangible outcomes such as divorce and the prevalence of violence-related distress allow for partial costing of these harms.</w:t>
      </w:r>
    </w:p>
    <w:p w14:paraId="575ABFDF" w14:textId="77777777" w:rsidR="00DB689D" w:rsidRDefault="00310A10" w:rsidP="00657824">
      <w:pPr>
        <w:pStyle w:val="Heading2"/>
      </w:pPr>
      <w:bookmarkStart w:id="76" w:name="_jrfablmq1u4j" w:colFirst="0" w:colLast="0"/>
      <w:bookmarkStart w:id="77" w:name="_Toc201572371"/>
      <w:bookmarkStart w:id="78" w:name="_Toc207195889"/>
      <w:bookmarkEnd w:id="76"/>
      <w:r>
        <w:t>Health</w:t>
      </w:r>
      <w:bookmarkEnd w:id="77"/>
      <w:bookmarkEnd w:id="78"/>
    </w:p>
    <w:p w14:paraId="4F7FB6C3" w14:textId="15036947" w:rsidR="00DB689D" w:rsidRDefault="00310A10" w:rsidP="00367A8D">
      <w:pPr>
        <w:spacing w:line="360" w:lineRule="auto"/>
      </w:pPr>
      <w:r>
        <w:t xml:space="preserve">Gambling-related harm encompasses significant impacts on both physical and mental health, affecting not only the person who gambles but also their family and close associates. The severity of gambling problems is associated with a range of health risk behaviours, poor general health, and low mental wellbeing </w:t>
      </w:r>
      <w:r w:rsidR="0038398B">
        <w:rPr>
          <w:noProof/>
          <w:color w:val="000000"/>
        </w:rPr>
        <w:t>(Butler et al., 2020; Lin et al., 2010)</w:t>
      </w:r>
      <w:r>
        <w:t xml:space="preserve">. People with gambling problems experience personal, social, and financial consequences, as well as mental, physical, and emotional health problems </w:t>
      </w:r>
      <w:r w:rsidR="0038398B">
        <w:rPr>
          <w:noProof/>
          <w:color w:val="000000"/>
        </w:rPr>
        <w:t>(McCormack &amp; Griffiths, 2011)</w:t>
      </w:r>
      <w:r>
        <w:t xml:space="preserve">. Like relationship impacts, these issues can also persist even after problematic behaviour has ceased, potentially leading to chronic health problems. Therefore, health impacts contribute substantially to the overall burden of gambling-related harm, manifesting in various forms of morbidity and, in severe cases, mortality </w:t>
      </w:r>
      <w:r w:rsidR="00DB2449">
        <w:rPr>
          <w:noProof/>
          <w:color w:val="000000"/>
        </w:rPr>
        <w:t>(Browne et al., 2016)</w:t>
      </w:r>
      <w:r>
        <w:t>.</w:t>
      </w:r>
    </w:p>
    <w:p w14:paraId="71932E21" w14:textId="77777777" w:rsidR="00DB689D" w:rsidRDefault="00310A10" w:rsidP="00367A8D">
      <w:pPr>
        <w:spacing w:line="360" w:lineRule="auto"/>
      </w:pPr>
      <w:r>
        <w:t xml:space="preserve"> </w:t>
      </w:r>
    </w:p>
    <w:p w14:paraId="365D9948" w14:textId="4CC4A68D" w:rsidR="00DB689D" w:rsidRDefault="00310A10" w:rsidP="00367A8D">
      <w:pPr>
        <w:spacing w:line="360" w:lineRule="auto"/>
      </w:pPr>
      <w:r>
        <w:t xml:space="preserve">However, the relationship between gambling problems and other health issues is often complex and bidirectional. Strong associations exist between gambling problems and other addictions, as well as various mental health issues. For instance, problem gambling is often associated with increased rates of tobacco, alcohol, and substance use. The New Zealand 2012 National Gambling Study </w:t>
      </w:r>
      <w:r w:rsidR="0038398B">
        <w:rPr>
          <w:noProof/>
          <w:color w:val="000000"/>
        </w:rPr>
        <w:t>(Abbott et al., 2014)</w:t>
      </w:r>
      <w:r>
        <w:t xml:space="preserve"> found that people experiencing problems with gambling had significantly higher rates of substance use and alcohol misuse compared to people without gambling problems. In a longitudinal analysis of New Zealand gambling data, Bellringer et al. </w:t>
      </w:r>
      <w:r w:rsidR="0038398B">
        <w:rPr>
          <w:noProof/>
          <w:color w:val="000000"/>
        </w:rPr>
        <w:t>(2023)</w:t>
      </w:r>
      <w:r>
        <w:t xml:space="preserve"> identified several health and lifestyle factors that were significantly associated with changes in gambling behaviours, including chronic illness, alcohol and tobacco consumption. Nevertheless, it is not warranted to conclude that these correlations are caused principally by problematic gambling. Correlational data can make it challenging to attribute health impacts solely to gambling, but it underscores the interconnected nature of these issues </w:t>
      </w:r>
      <w:r w:rsidR="0038398B">
        <w:rPr>
          <w:noProof/>
          <w:color w:val="000000"/>
        </w:rPr>
        <w:t>(Dowling et al., 2015a, 2015b)</w:t>
      </w:r>
      <w:r>
        <w:t>.</w:t>
      </w:r>
    </w:p>
    <w:p w14:paraId="3FCE2B35" w14:textId="77777777" w:rsidR="00DB689D" w:rsidRDefault="00310A10" w:rsidP="00367A8D">
      <w:pPr>
        <w:spacing w:line="360" w:lineRule="auto"/>
      </w:pPr>
      <w:r>
        <w:t xml:space="preserve"> </w:t>
      </w:r>
    </w:p>
    <w:p w14:paraId="635C781A" w14:textId="2869763C" w:rsidR="00DB689D" w:rsidRDefault="00310A10" w:rsidP="00367A8D">
      <w:pPr>
        <w:spacing w:line="360" w:lineRule="auto"/>
      </w:pPr>
      <w:r>
        <w:t xml:space="preserve">Severe psychological distress is a prominent feature of intense gambling-related harm, which overlaps with the psychological and emotional domain described above. People with gambling problems exhibit high rates of depression, anxiety, and other mood disorders. Evidence indicates a bidirectional relationship between gambling harm and these factors. For example, gambling can both result in depressive symptoms and serve as a coping mechanism for low mood </w:t>
      </w:r>
      <w:r w:rsidR="00645029">
        <w:rPr>
          <w:noProof/>
          <w:color w:val="000000"/>
        </w:rPr>
        <w:t>(Bellringer et al., 2019; Dowling et al., 2019; Dussault et al., 2011; Wood &amp; Griffiths, 2007)</w:t>
      </w:r>
      <w:r>
        <w:t xml:space="preserve">. The New Zealand 2012 National Gambling Study found that 46% of people categorised as problem gambling reported high levels of psychological distress, compared to only 5 to 7% of those without gambling problems </w:t>
      </w:r>
      <w:r w:rsidR="0038398B">
        <w:rPr>
          <w:noProof/>
          <w:color w:val="000000"/>
        </w:rPr>
        <w:t>(Abbott et al., 2014)</w:t>
      </w:r>
      <w:r>
        <w:t xml:space="preserve">. Experiences of guilt, shame, and stigma are common, often exacerbating mental health issues </w:t>
      </w:r>
      <w:r w:rsidR="0038398B">
        <w:rPr>
          <w:noProof/>
          <w:color w:val="000000"/>
        </w:rPr>
        <w:t>(Hing et al., 2016)</w:t>
      </w:r>
      <w:r>
        <w:t xml:space="preserve">. Suicidal ideation and attempts are also more prevalent among people with gambling problems, with one study finding that 19.2% of people categorised as problem gambling reported thoughts about suicide in the past year </w:t>
      </w:r>
      <w:r w:rsidR="0038398B">
        <w:rPr>
          <w:noProof/>
          <w:color w:val="000000"/>
        </w:rPr>
        <w:t>(Wardle, Dymond, et al., 2019)</w:t>
      </w:r>
      <w:r>
        <w:t>.</w:t>
      </w:r>
    </w:p>
    <w:p w14:paraId="6D787434" w14:textId="77777777" w:rsidR="00DB689D" w:rsidRDefault="00310A10" w:rsidP="00367A8D">
      <w:pPr>
        <w:spacing w:line="360" w:lineRule="auto"/>
      </w:pPr>
      <w:r>
        <w:t xml:space="preserve"> </w:t>
      </w:r>
    </w:p>
    <w:p w14:paraId="410EEB46" w14:textId="188F3BDF" w:rsidR="00DB689D" w:rsidRDefault="00310A10" w:rsidP="00367A8D">
      <w:pPr>
        <w:spacing w:line="360" w:lineRule="auto"/>
      </w:pPr>
      <w:r>
        <w:t xml:space="preserve">Physical health is also impacted by problematic gambling. In the qualitative phase of the New Zealand National Gambling Study, participants reported impacts such as blood pressure problems, weight gain and sports-related injuries due to lack of sleep </w:t>
      </w:r>
      <w:r w:rsidR="0038398B">
        <w:rPr>
          <w:noProof/>
          <w:color w:val="000000"/>
        </w:rPr>
        <w:t>(Bellringer et al., 2019)</w:t>
      </w:r>
      <w:r>
        <w:t xml:space="preserve">. Stress-related health problems, such as high blood pressure and sleep disturbances, are common </w:t>
      </w:r>
      <w:r w:rsidR="0038398B">
        <w:rPr>
          <w:noProof/>
          <w:color w:val="000000"/>
        </w:rPr>
        <w:t>(Black et al., 2013)</w:t>
      </w:r>
      <w:r>
        <w:t xml:space="preserve">. People with gambling problems often neglect their physical health and healthcare needs due to preoccupation with gambling or financial constraints. There is also an increased risk of alcohol and substance abuse among people with gambling problems, further compromising physical health </w:t>
      </w:r>
      <w:r w:rsidR="0038398B">
        <w:rPr>
          <w:noProof/>
          <w:color w:val="000000"/>
        </w:rPr>
        <w:t>(Lorains et al., 2011)</w:t>
      </w:r>
      <w:r>
        <w:t>.</w:t>
      </w:r>
    </w:p>
    <w:p w14:paraId="7464A3FC" w14:textId="77777777" w:rsidR="00DB689D" w:rsidRDefault="00310A10" w:rsidP="00367A8D">
      <w:pPr>
        <w:spacing w:line="360" w:lineRule="auto"/>
      </w:pPr>
      <w:r>
        <w:t xml:space="preserve"> </w:t>
      </w:r>
    </w:p>
    <w:p w14:paraId="53F3E64B" w14:textId="5376317A" w:rsidR="00DB689D" w:rsidRDefault="00310A10" w:rsidP="00367A8D">
      <w:pPr>
        <w:spacing w:line="360" w:lineRule="auto"/>
      </w:pPr>
      <w:r>
        <w:t xml:space="preserve">Many of these issues can be subsumed under the concept of HRQoL. HRQoL decrements can be measured on a zero to one scale, with zero reflecting no impact (ideal health functioning) and one representing a life not worth living. Studies have shown that estimated HRQoL decrements increase with gambling problem severity. A program of research, including in New Zealand </w:t>
      </w:r>
      <w:r w:rsidR="00DB2449">
        <w:rPr>
          <w:noProof/>
          <w:color w:val="000000"/>
        </w:rPr>
        <w:t>(</w:t>
      </w:r>
      <w:r w:rsidR="002A3095">
        <w:rPr>
          <w:noProof/>
          <w:color w:val="000000"/>
        </w:rPr>
        <w:t>Browne, Greer et al., 2017</w:t>
      </w:r>
      <w:r w:rsidR="00DB2449">
        <w:rPr>
          <w:noProof/>
          <w:color w:val="000000"/>
        </w:rPr>
        <w:t>)</w:t>
      </w:r>
      <w:r>
        <w:t xml:space="preserve"> has been conducted to determine HRQoL impacts. A recent paper </w:t>
      </w:r>
      <w:r w:rsidR="00331991">
        <w:rPr>
          <w:noProof/>
          <w:color w:val="000000"/>
        </w:rPr>
        <w:t>(Tulloch et al., submitted 2025)</w:t>
      </w:r>
      <w:r>
        <w:t xml:space="preserve"> based on a comprehensive review of these existing studies, estimated that the average HRQoL decrement associated with the most severe level of gambling harm is approximately 0.45. This estimate draws on both direct and indirect elicitation methods, using a hybrid approach to capture the maximum impact of severe gambling problems while scaling relative impacts across the full harm spectrum.</w:t>
      </w:r>
    </w:p>
    <w:p w14:paraId="4ED6ACBA" w14:textId="77777777" w:rsidR="00DB689D" w:rsidRDefault="00310A10" w:rsidP="00367A8D">
      <w:pPr>
        <w:spacing w:line="360" w:lineRule="auto"/>
      </w:pPr>
      <w:r>
        <w:t xml:space="preserve"> </w:t>
      </w:r>
    </w:p>
    <w:p w14:paraId="1CAD417A" w14:textId="024E8085" w:rsidR="00DB689D" w:rsidRDefault="00310A10" w:rsidP="00367A8D">
      <w:pPr>
        <w:spacing w:line="360" w:lineRule="auto"/>
      </w:pPr>
      <w:r>
        <w:t xml:space="preserve">Importantly, the health impacts of gambling extend beyond the individual who gambles to affected others. Family members, particularly partners and children, often experience stress, anxiety, and depression as a result of living with someone experiencing a gambling problem </w:t>
      </w:r>
      <w:r w:rsidR="0038398B">
        <w:rPr>
          <w:noProof/>
          <w:color w:val="000000"/>
        </w:rPr>
        <w:t>(Hing, Russell, et al., 2022; Kourgiantakis et al., 2013; Tulloch et al., 2021, 2023)</w:t>
      </w:r>
      <w:r>
        <w:t>. Because a single person experiencing gambling problems can affect multiple other people (Goodwin et al., 2017), these impacts on affected others contribute significantly to the overall health burden of gambling.</w:t>
      </w:r>
    </w:p>
    <w:p w14:paraId="3DB599FF" w14:textId="77777777" w:rsidR="00DB689D" w:rsidRDefault="00310A10" w:rsidP="00367A8D">
      <w:pPr>
        <w:spacing w:line="360" w:lineRule="auto"/>
      </w:pPr>
      <w:r>
        <w:t xml:space="preserve"> </w:t>
      </w:r>
    </w:p>
    <w:p w14:paraId="7AE199B5" w14:textId="38B20C67" w:rsidR="00DB689D" w:rsidRDefault="00310A10" w:rsidP="00367A8D">
      <w:pPr>
        <w:spacing w:line="360" w:lineRule="auto"/>
      </w:pPr>
      <w:r>
        <w:t xml:space="preserve">Children exposed to parental gambling problems face increased risks to their health and wellbeing, including poorer general health, anxiety, low mood, and behavioural problems </w:t>
      </w:r>
      <w:r w:rsidR="0038398B">
        <w:rPr>
          <w:noProof/>
          <w:color w:val="000000"/>
        </w:rPr>
        <w:t>(Tulloch et al., 2022)</w:t>
      </w:r>
      <w:r>
        <w:t xml:space="preserve">. However, despite some studies, overall, research is limited on the experiences of children in problem gambling families </w:t>
      </w:r>
      <w:r w:rsidR="0038398B">
        <w:rPr>
          <w:noProof/>
          <w:color w:val="000000"/>
        </w:rPr>
        <w:t>(Tulloch et al., 2021)</w:t>
      </w:r>
      <w:r>
        <w:t>.</w:t>
      </w:r>
    </w:p>
    <w:p w14:paraId="59B3DBBE" w14:textId="77777777" w:rsidR="00740B3A" w:rsidRDefault="00740B3A" w:rsidP="00367A8D">
      <w:pPr>
        <w:spacing w:line="360" w:lineRule="auto"/>
      </w:pPr>
    </w:p>
    <w:p w14:paraId="314316FC" w14:textId="2C0F3C06" w:rsidR="00740B3A" w:rsidRDefault="00740B3A" w:rsidP="00367A8D">
      <w:pPr>
        <w:spacing w:line="360" w:lineRule="auto"/>
      </w:pPr>
      <w:r w:rsidRPr="00740B3A">
        <w:t>Through the use of HRQoL</w:t>
      </w:r>
      <w:r w:rsidR="00134B05">
        <w:t xml:space="preserve"> </w:t>
      </w:r>
      <w:r w:rsidRPr="00740B3A">
        <w:t>metrics and data on specific conditions like depression, these significant health impacts can be quantified and valued within the costing framework.</w:t>
      </w:r>
    </w:p>
    <w:p w14:paraId="3BD2BF4C" w14:textId="77777777" w:rsidR="00DB689D" w:rsidRDefault="00310A10" w:rsidP="00657824">
      <w:pPr>
        <w:pStyle w:val="Heading2"/>
      </w:pPr>
      <w:bookmarkStart w:id="79" w:name="_ms2kax15w7kz" w:colFirst="0" w:colLast="0"/>
      <w:bookmarkStart w:id="80" w:name="_Toc201572372"/>
      <w:bookmarkStart w:id="81" w:name="_Toc207195890"/>
      <w:bookmarkEnd w:id="79"/>
      <w:r>
        <w:t>Cultural harm</w:t>
      </w:r>
      <w:bookmarkEnd w:id="80"/>
      <w:bookmarkEnd w:id="81"/>
    </w:p>
    <w:p w14:paraId="1F019AE8" w14:textId="107076F2" w:rsidR="00DB689D" w:rsidRDefault="00310A10" w:rsidP="00367A8D">
      <w:pPr>
        <w:spacing w:line="360" w:lineRule="auto"/>
      </w:pPr>
      <w:r>
        <w:t xml:space="preserve">Cultural harm represents a potentially significant aspect of gambling-related harm. This form of harm encompasses damage to cultural practices, beliefs, and values arising from gambling, including both tangible and intangible impacts on cultural identity and traditions </w:t>
      </w:r>
      <w:r w:rsidR="0038398B">
        <w:rPr>
          <w:noProof/>
          <w:color w:val="000000"/>
        </w:rPr>
        <w:t>(Langham et al., 2016)</w:t>
      </w:r>
      <w:r>
        <w:t>. The complexity and diffuse nature of cultural harm make it challenging to quantify, yet its consideration is crucial for a comprehensive understanding of gambling's societal impact.</w:t>
      </w:r>
    </w:p>
    <w:p w14:paraId="1BA07706" w14:textId="77777777" w:rsidR="00DB689D" w:rsidRDefault="00DB689D" w:rsidP="00367A8D">
      <w:pPr>
        <w:spacing w:line="360" w:lineRule="auto"/>
      </w:pPr>
    </w:p>
    <w:p w14:paraId="7602D241" w14:textId="1D3FFD83" w:rsidR="00DB689D" w:rsidRDefault="00310A10" w:rsidP="00367A8D">
      <w:pPr>
        <w:spacing w:line="360" w:lineRule="auto"/>
      </w:pPr>
      <w:r>
        <w:t xml:space="preserve">Certain cultural groups are disproportionately affected by gambling-related harm. For instance, Pacific people in New Zealand have been identified as having a higher risk of developing gambling problems </w:t>
      </w:r>
      <w:r w:rsidR="0038398B">
        <w:rPr>
          <w:noProof/>
          <w:color w:val="000000"/>
        </w:rPr>
        <w:t>(Kolandai-Matchett et al., 2017)</w:t>
      </w:r>
      <w:r>
        <w:t xml:space="preserve">, while Aboriginal communities in Australia experience higher rates of problem gambling compared to the general population </w:t>
      </w:r>
      <w:r w:rsidR="0038398B">
        <w:rPr>
          <w:noProof/>
          <w:color w:val="000000"/>
        </w:rPr>
        <w:t>(Breen &amp; Gainsbury, 2013)</w:t>
      </w:r>
      <w:r>
        <w:t xml:space="preserve">. Māori, and Māori women in particular, are also more likely to be affected by another’s gambling </w:t>
      </w:r>
      <w:r w:rsidR="0038398B">
        <w:rPr>
          <w:noProof/>
          <w:color w:val="000000"/>
        </w:rPr>
        <w:t>(Morrison, 2017)</w:t>
      </w:r>
      <w:r>
        <w:t>. These disparities highlight the need to consider cultural contexts when assessing gambling harm.</w:t>
      </w:r>
    </w:p>
    <w:p w14:paraId="654906D7" w14:textId="77777777" w:rsidR="00DB689D" w:rsidRDefault="00310A10" w:rsidP="00367A8D">
      <w:pPr>
        <w:spacing w:line="360" w:lineRule="auto"/>
      </w:pPr>
      <w:r>
        <w:t xml:space="preserve"> </w:t>
      </w:r>
    </w:p>
    <w:p w14:paraId="3D985048" w14:textId="3BFF9200" w:rsidR="00DB689D" w:rsidRDefault="00310A10" w:rsidP="00367A8D">
      <w:pPr>
        <w:spacing w:line="360" w:lineRule="auto"/>
        <w:rPr>
          <w:color w:val="0E101A"/>
        </w:rPr>
      </w:pPr>
      <w:r>
        <w:rPr>
          <w:color w:val="0E101A"/>
        </w:rPr>
        <w:t xml:space="preserve">The manifestation of cultural harm is often intertwined with complex cultural practices and beliefs. Kolandai-Matchett et al. </w:t>
      </w:r>
      <w:r w:rsidR="0038398B">
        <w:rPr>
          <w:noProof/>
          <w:color w:val="000000"/>
        </w:rPr>
        <w:t>(2017)</w:t>
      </w:r>
      <w:r>
        <w:rPr>
          <w:color w:val="0E101A"/>
        </w:rPr>
        <w:t xml:space="preserve"> identified several culture-gambling intersecting themes among Pacific communities, including collectivism, gift-giving practices, gambling-based fundraising, and patriarchal structures. These cultural contexts can amplify other forms of gambling harm, such as financial and relationship harms, potentially making them more severe and pervasive within these communities.</w:t>
      </w:r>
    </w:p>
    <w:p w14:paraId="174C9C65" w14:textId="77777777" w:rsidR="00DB689D" w:rsidRDefault="00310A10" w:rsidP="00367A8D">
      <w:pPr>
        <w:spacing w:line="360" w:lineRule="auto"/>
      </w:pPr>
      <w:r>
        <w:t xml:space="preserve"> </w:t>
      </w:r>
    </w:p>
    <w:p w14:paraId="7118980B" w14:textId="1072F5EB" w:rsidR="00DB689D" w:rsidRDefault="00310A10" w:rsidP="00367A8D">
      <w:pPr>
        <w:spacing w:line="360" w:lineRule="auto"/>
      </w:pPr>
      <w:r>
        <w:t xml:space="preserve">In New Zealand, Māori and Pacific communities face unique challenges related to gambling harm. The collectivist aspects of these cultures, combined with practices of money sharing and gift-giving, can exacerbate the financial impacts of gambling and make it more difficult to identify and address gambling problems </w:t>
      </w:r>
      <w:r w:rsidR="0038398B">
        <w:rPr>
          <w:noProof/>
          <w:color w:val="000000"/>
        </w:rPr>
        <w:t>(Dyall, L., Thomas, Y., &amp; Thomas, D., 2009; New Zealand Families Commission, 2012)</w:t>
      </w:r>
      <w:r>
        <w:t>.</w:t>
      </w:r>
    </w:p>
    <w:p w14:paraId="578DD787" w14:textId="77777777" w:rsidR="00DB689D" w:rsidRDefault="00310A10" w:rsidP="00367A8D">
      <w:pPr>
        <w:spacing w:line="360" w:lineRule="auto"/>
      </w:pPr>
      <w:r>
        <w:t xml:space="preserve"> </w:t>
      </w:r>
    </w:p>
    <w:p w14:paraId="779247B5" w14:textId="2C40F7D5" w:rsidR="00DB689D" w:rsidRDefault="00310A10" w:rsidP="00367A8D">
      <w:pPr>
        <w:spacing w:line="360" w:lineRule="auto"/>
      </w:pPr>
      <w:r>
        <w:t xml:space="preserve">Furthermore, the broader social circles and extended family ties in these communities can intensify the spread of harm beyond the individual who gambles, affecting entire families and </w:t>
      </w:r>
      <w:r w:rsidRPr="00675455">
        <w:t>whānau</w:t>
      </w:r>
      <w:r>
        <w:t xml:space="preserve">. The stigma associated with gambling problems in these communities can also lead to isolation and reluctance to seek help, further compounding the harm </w:t>
      </w:r>
      <w:r w:rsidR="0038398B">
        <w:rPr>
          <w:noProof/>
          <w:color w:val="000000"/>
        </w:rPr>
        <w:t>(Sobrun-Maharaj et al., 2012)</w:t>
      </w:r>
      <w:r>
        <w:t>.</w:t>
      </w:r>
    </w:p>
    <w:p w14:paraId="41D5D9A6" w14:textId="77777777" w:rsidR="00DB689D" w:rsidRDefault="00310A10" w:rsidP="00367A8D">
      <w:pPr>
        <w:spacing w:line="360" w:lineRule="auto"/>
      </w:pPr>
      <w:r>
        <w:t xml:space="preserve"> </w:t>
      </w:r>
    </w:p>
    <w:p w14:paraId="440B888D" w14:textId="77777777" w:rsidR="00DB689D" w:rsidRDefault="00310A10" w:rsidP="00367A8D">
      <w:pPr>
        <w:spacing w:line="360" w:lineRule="auto"/>
      </w:pPr>
      <w:r>
        <w:t>Specific cultural impacts can include the erosion of traditional values and practices, disruption of cultural transmission to younger generations, and strain on cultural leadership and community cohesion. There are also potential intergenerational effects, including impacts on cultural identity formation in younger generations and the possible loss of cultural knowledge and practices over time.</w:t>
      </w:r>
    </w:p>
    <w:p w14:paraId="09825B7F" w14:textId="77777777" w:rsidR="00DB689D" w:rsidRDefault="00310A10" w:rsidP="00367A8D">
      <w:pPr>
        <w:spacing w:line="360" w:lineRule="auto"/>
      </w:pPr>
      <w:r>
        <w:t xml:space="preserve"> </w:t>
      </w:r>
    </w:p>
    <w:p w14:paraId="66690D6D" w14:textId="672C7579" w:rsidR="00740B3A" w:rsidRDefault="00310A10" w:rsidP="00367A8D">
      <w:pPr>
        <w:spacing w:line="360" w:lineRule="auto"/>
      </w:pPr>
      <w:r>
        <w:t xml:space="preserve">Assessing and addressing cultural harm presents unique challenges. The diversity within cultural groups makes it difficult to implement cohesive strategies to address gambling-related harms </w:t>
      </w:r>
      <w:r w:rsidR="0038398B">
        <w:rPr>
          <w:noProof/>
          <w:color w:val="000000"/>
        </w:rPr>
        <w:t>(Breen &amp; Gainsbury, 2013)</w:t>
      </w:r>
      <w:r>
        <w:t xml:space="preserve">. Moreover, the intangible nature of many cultural impacts complicates efforts to quantify and address these harms effectively </w:t>
      </w:r>
      <w:r w:rsidR="0038398B">
        <w:rPr>
          <w:noProof/>
          <w:color w:val="000000"/>
        </w:rPr>
        <w:t>(Langham et al., 2016)</w:t>
      </w:r>
      <w:r>
        <w:t xml:space="preserve">. Breen and Gainsbury </w:t>
      </w:r>
      <w:r w:rsidR="0038398B">
        <w:rPr>
          <w:noProof/>
          <w:color w:val="000000"/>
        </w:rPr>
        <w:t>(2013)</w:t>
      </w:r>
      <w:r>
        <w:t xml:space="preserve"> emphasise the importance of community consultation in developing prevention and intervention strategies. Culturally informed research methodologies are necessary to fully understand and address the unique ways in which gambling impacts different cultural groups. Nevertheless, incorporation of cultural harm into an economic costing requires concrete and quantifiable evidence of differential qualitative impact across cultural groups, or measurable harm to cultures themselves. </w:t>
      </w:r>
      <w:r w:rsidR="00740B3A" w:rsidRPr="00740B3A">
        <w:t>However, due to the intangible nature of these impacts and a lack of validated quantitative measures, cultural harm is not formally included in the final cost calculation of this report.</w:t>
      </w:r>
    </w:p>
    <w:p w14:paraId="477F5D7B" w14:textId="77777777" w:rsidR="00DB689D" w:rsidRDefault="00310A10" w:rsidP="00657824">
      <w:pPr>
        <w:pStyle w:val="Heading2"/>
      </w:pPr>
      <w:bookmarkStart w:id="82" w:name="_jmda01457111" w:colFirst="0" w:colLast="0"/>
      <w:bookmarkStart w:id="83" w:name="_Toc201572373"/>
      <w:bookmarkStart w:id="84" w:name="_Toc207195891"/>
      <w:bookmarkEnd w:id="82"/>
      <w:r>
        <w:t>Work or study impacts</w:t>
      </w:r>
      <w:bookmarkEnd w:id="83"/>
      <w:bookmarkEnd w:id="84"/>
    </w:p>
    <w:p w14:paraId="7C32066E" w14:textId="4349C4C6" w:rsidR="00DB689D" w:rsidRDefault="00310A10" w:rsidP="00367A8D">
      <w:pPr>
        <w:spacing w:line="360" w:lineRule="auto"/>
      </w:pPr>
      <w:r>
        <w:t xml:space="preserve">Gambling-related harm can significantly impact an individual's performance in both work and educational settings. These impacts can manifest as reduced productivity, decreased academic achievement, and overall impairment of professional and educational development </w:t>
      </w:r>
      <w:r w:rsidR="00DB2449">
        <w:rPr>
          <w:noProof/>
          <w:color w:val="000000"/>
        </w:rPr>
        <w:t>(Browne et al., 2016)</w:t>
      </w:r>
      <w:r>
        <w:t xml:space="preserve">. For example, participants in the qualitative phase of the New Zealand National Gambling Study report impacts including low motivation, poor work performance and failed university papers </w:t>
      </w:r>
      <w:r w:rsidR="0038398B">
        <w:rPr>
          <w:noProof/>
          <w:color w:val="000000"/>
        </w:rPr>
        <w:t>(Bellringer et al., 2019)</w:t>
      </w:r>
      <w:r>
        <w:t>. The scope of these effects is broad, encompassing both direct and indirect influences on an individual's ability to function effectively in their work or study environment.</w:t>
      </w:r>
    </w:p>
    <w:p w14:paraId="262DA67E" w14:textId="77777777" w:rsidR="00DB689D" w:rsidRDefault="00310A10" w:rsidP="00367A8D">
      <w:pPr>
        <w:spacing w:line="360" w:lineRule="auto"/>
      </w:pPr>
      <w:r>
        <w:t xml:space="preserve"> </w:t>
      </w:r>
    </w:p>
    <w:p w14:paraId="40590544" w14:textId="548F4EC1" w:rsidR="00DB689D" w:rsidRDefault="00310A10" w:rsidP="00367A8D">
      <w:pPr>
        <w:spacing w:line="360" w:lineRule="auto"/>
      </w:pPr>
      <w:r>
        <w:t xml:space="preserve">In the workplace, gambling-related harm can lead to reduced job performance, increased absenteeism, and presenteeism - where an employee is physically present but mentally disengaged from their tasks </w:t>
      </w:r>
      <w:r w:rsidR="0038398B">
        <w:rPr>
          <w:noProof/>
          <w:color w:val="000000"/>
        </w:rPr>
        <w:t>(Eby et al., 2018)</w:t>
      </w:r>
      <w:r>
        <w:t>. The authors highlight the concept of strain-based gambling interference that describes situations where gambling behaviours create stress that spills over into work responsibilities. This interference can result in cognitive disengagement from work duties, potentially leading to errors, missed deadlines, or conflicts with colleagues and supervisors. In severe cases, gambling problems may lead to job loss or significant career setbacks.</w:t>
      </w:r>
    </w:p>
    <w:p w14:paraId="322BE536" w14:textId="77777777" w:rsidR="00DB689D" w:rsidRDefault="00310A10" w:rsidP="00367A8D">
      <w:pPr>
        <w:spacing w:line="360" w:lineRule="auto"/>
      </w:pPr>
      <w:r>
        <w:t xml:space="preserve"> </w:t>
      </w:r>
    </w:p>
    <w:p w14:paraId="5905047C" w14:textId="77777777" w:rsidR="00DB689D" w:rsidRDefault="00310A10" w:rsidP="00367A8D">
      <w:pPr>
        <w:spacing w:line="360" w:lineRule="auto"/>
      </w:pPr>
      <w:r>
        <w:t>The impact on academic performance is equally significant. In a longitudinal study, Vitaro et al. (2018) found a link between gambling participation at age 14 and reduced academic performance at age 17, even after controlling for factors such as impulsivity and socioeconomic and family adversity. This suggests that gambling can have lasting effects on educational attainment, potentially leading to lower grades, increased likelihood of dropping out, or reduced opportunities for higher education.</w:t>
      </w:r>
    </w:p>
    <w:p w14:paraId="3089E7E8" w14:textId="77777777" w:rsidR="00DB689D" w:rsidRDefault="00310A10" w:rsidP="00367A8D">
      <w:pPr>
        <w:spacing w:line="360" w:lineRule="auto"/>
      </w:pPr>
      <w:r>
        <w:t xml:space="preserve"> </w:t>
      </w:r>
    </w:p>
    <w:p w14:paraId="35928779" w14:textId="0F65B4F0" w:rsidR="00DB689D" w:rsidRDefault="00310A10" w:rsidP="00367A8D">
      <w:pPr>
        <w:spacing w:line="360" w:lineRule="auto"/>
      </w:pPr>
      <w:r>
        <w:t xml:space="preserve">Cognitive effects play a crucial role in these impacts. Wagner et al. </w:t>
      </w:r>
      <w:r w:rsidR="0038398B">
        <w:rPr>
          <w:noProof/>
          <w:color w:val="000000"/>
        </w:rPr>
        <w:t>(2022)</w:t>
      </w:r>
      <w:r>
        <w:t xml:space="preserve"> noted that exposure to gambling environments can increase temporal discounting, affecting decision-making processes. This cognitive shift, combined with preoccupation with gambling activities, can significantly impair an individual's ability to concentrate on work or study tasks.</w:t>
      </w:r>
    </w:p>
    <w:p w14:paraId="5163FEC7" w14:textId="77777777" w:rsidR="00DB689D" w:rsidRDefault="00310A10" w:rsidP="00367A8D">
      <w:pPr>
        <w:spacing w:line="360" w:lineRule="auto"/>
      </w:pPr>
      <w:r>
        <w:t xml:space="preserve"> </w:t>
      </w:r>
    </w:p>
    <w:p w14:paraId="0431FFA0" w14:textId="60B751F4" w:rsidR="00DB689D" w:rsidRDefault="00310A10" w:rsidP="00367A8D">
      <w:pPr>
        <w:spacing w:line="360" w:lineRule="auto"/>
      </w:pPr>
      <w:r>
        <w:t xml:space="preserve">Financial implications of gambling can directly affect work and study performance. The 2012 New Zealand National Gambling Study found that over half of the people categorised as engaging in problem gambling had been out of paid work for more than a month, and around a third had received support from a benefit program </w:t>
      </w:r>
      <w:r w:rsidR="00DB2449">
        <w:rPr>
          <w:noProof/>
          <w:color w:val="000000"/>
        </w:rPr>
        <w:t>(Abbott et al., 2014)</w:t>
      </w:r>
      <w:r>
        <w:t>. This suggests significant disruption to employment stability and productivity.</w:t>
      </w:r>
    </w:p>
    <w:p w14:paraId="0D283CC0" w14:textId="77777777" w:rsidR="00DB689D" w:rsidRDefault="00310A10" w:rsidP="00367A8D">
      <w:pPr>
        <w:spacing w:line="360" w:lineRule="auto"/>
      </w:pPr>
      <w:r>
        <w:t xml:space="preserve"> </w:t>
      </w:r>
    </w:p>
    <w:p w14:paraId="5BAF37E3" w14:textId="6F92D52D" w:rsidR="00DB689D" w:rsidRDefault="00310A10" w:rsidP="00367A8D">
      <w:pPr>
        <w:spacing w:line="360" w:lineRule="auto"/>
      </w:pPr>
      <w:r>
        <w:t xml:space="preserve">The effects of gambling-related harm extend beyond the individual to affect others in the work or study environment. People categorised as gambling at moderate and low-risk levels, as well as problem gambling, more frequently reported troubles with work, bosses, or superiors compared to those without a gambling problem </w:t>
      </w:r>
      <w:r w:rsidR="0038398B">
        <w:rPr>
          <w:noProof/>
          <w:color w:val="000000"/>
        </w:rPr>
        <w:t>(Abbott et al., 2014)</w:t>
      </w:r>
      <w:r>
        <w:t xml:space="preserve">. This indicates that gambling-related issues can create strain on workplace relationships and potentially impact overall workplace productivity. It is important to note that these impacts can be significant across different levels of gambling severity. Even people who are low-risk and moderate-risk gambling reported more work-related troubles than those without gambling problems, suggesting that work-related harms are not confined to those with the most severe gambling problems </w:t>
      </w:r>
      <w:r w:rsidR="0038398B">
        <w:rPr>
          <w:noProof/>
          <w:color w:val="000000"/>
        </w:rPr>
        <w:t>(Abbott et al., 2014)</w:t>
      </w:r>
      <w:r>
        <w:t>.</w:t>
      </w:r>
    </w:p>
    <w:p w14:paraId="6BFFEAC3" w14:textId="77777777" w:rsidR="00DB689D" w:rsidRDefault="00310A10" w:rsidP="00367A8D">
      <w:pPr>
        <w:spacing w:line="360" w:lineRule="auto"/>
      </w:pPr>
      <w:r>
        <w:t xml:space="preserve"> </w:t>
      </w:r>
    </w:p>
    <w:p w14:paraId="53DE18E0" w14:textId="6E4DBF38" w:rsidR="00DB689D" w:rsidRDefault="00310A10" w:rsidP="00367A8D">
      <w:pPr>
        <w:spacing w:line="360" w:lineRule="auto"/>
      </w:pPr>
      <w:r>
        <w:t xml:space="preserve">The 2017 Victorian economic costing study </w:t>
      </w:r>
      <w:r w:rsidR="0038398B">
        <w:rPr>
          <w:noProof/>
          <w:color w:val="000000"/>
        </w:rPr>
        <w:t>(</w:t>
      </w:r>
      <w:r w:rsidR="002A3095">
        <w:rPr>
          <w:noProof/>
          <w:color w:val="000000"/>
        </w:rPr>
        <w:t>Browne, Greer et al., 2017</w:t>
      </w:r>
      <w:r w:rsidR="0038398B">
        <w:rPr>
          <w:noProof/>
          <w:color w:val="000000"/>
        </w:rPr>
        <w:t>)</w:t>
      </w:r>
      <w:r>
        <w:t xml:space="preserve"> included estimates for reduced work performance, absenteeism, and job loss due to gambling. These costs represent not only immediate losses in productivity but also potential long-term effects on career trajectories. Nevertheless, capturing reliable quantitative evidence of the full spectrum of work and study impacts is challenging. Therefore, it is likely that an economic costing will only measure a proportion of these forms of impact.</w:t>
      </w:r>
    </w:p>
    <w:p w14:paraId="73C8FBF5" w14:textId="77777777" w:rsidR="007E2448" w:rsidRDefault="007E2448" w:rsidP="00367A8D">
      <w:pPr>
        <w:spacing w:line="360" w:lineRule="auto"/>
      </w:pPr>
    </w:p>
    <w:p w14:paraId="2BB66DA9" w14:textId="0B56CADE" w:rsidR="00740B3A" w:rsidRDefault="00740B3A" w:rsidP="00367A8D">
      <w:pPr>
        <w:spacing w:line="360" w:lineRule="auto"/>
      </w:pPr>
      <w:r w:rsidRPr="00740B3A">
        <w:t>Impacts such as productivity loss, absenteeism, and job loss can be estimated and are included as a significant component of the overall social cost.</w:t>
      </w:r>
    </w:p>
    <w:p w14:paraId="00C0EDEF" w14:textId="77777777" w:rsidR="00D62B01" w:rsidRDefault="00D62B01" w:rsidP="00367A8D">
      <w:pPr>
        <w:spacing w:line="360" w:lineRule="auto"/>
      </w:pPr>
    </w:p>
    <w:p w14:paraId="1C4864B3" w14:textId="77777777" w:rsidR="00FF57DD" w:rsidRDefault="00FF57DD" w:rsidP="00367A8D">
      <w:pPr>
        <w:spacing w:line="360" w:lineRule="auto"/>
      </w:pPr>
    </w:p>
    <w:p w14:paraId="1DBBE27B" w14:textId="77777777" w:rsidR="00FF57DD" w:rsidRDefault="00FF57DD" w:rsidP="00367A8D">
      <w:pPr>
        <w:spacing w:line="360" w:lineRule="auto"/>
      </w:pPr>
    </w:p>
    <w:p w14:paraId="0A6D21B8" w14:textId="77777777" w:rsidR="00DB689D" w:rsidRDefault="00310A10" w:rsidP="00657824">
      <w:pPr>
        <w:pStyle w:val="Heading2"/>
      </w:pPr>
      <w:bookmarkStart w:id="85" w:name="_mqb08jigrk9g" w:colFirst="0" w:colLast="0"/>
      <w:bookmarkStart w:id="86" w:name="_Toc201572374"/>
      <w:bookmarkStart w:id="87" w:name="_Toc207195892"/>
      <w:bookmarkEnd w:id="85"/>
      <w:r>
        <w:t>Criminal activity</w:t>
      </w:r>
      <w:bookmarkEnd w:id="86"/>
      <w:bookmarkEnd w:id="87"/>
    </w:p>
    <w:p w14:paraId="17B3493E" w14:textId="3EC14A68" w:rsidR="00DB689D" w:rsidRDefault="00310A10" w:rsidP="00367A8D">
      <w:pPr>
        <w:spacing w:line="360" w:lineRule="auto"/>
      </w:pPr>
      <w:r>
        <w:t xml:space="preserve">Gambling-related harm can extend into criminal activity, encompassing a range of offences from minor theft to more serious crimes. The types of gambling-related crimes most commonly reported include theft, fraud, embezzlement, and forgery, often motivated by the need to fund gambling activities or repay gambling-related debts </w:t>
      </w:r>
      <w:r w:rsidR="0038398B">
        <w:rPr>
          <w:noProof/>
          <w:color w:val="000000"/>
        </w:rPr>
        <w:t>(Bellringer et al., 2009)</w:t>
      </w:r>
      <w:r>
        <w:t xml:space="preserve">. People with gambling problems are more likely to engage in non-violent, income-generating offences to recoup gambling losses </w:t>
      </w:r>
      <w:r w:rsidR="0038398B">
        <w:rPr>
          <w:noProof/>
          <w:color w:val="000000"/>
        </w:rPr>
        <w:t>(Adolphe et al., 2019)</w:t>
      </w:r>
      <w:r>
        <w:t xml:space="preserve">. However, they may also commit violent crimes at higher rates than expected </w:t>
      </w:r>
      <w:r w:rsidR="0038398B">
        <w:rPr>
          <w:noProof/>
          <w:color w:val="000000"/>
        </w:rPr>
        <w:t>(Adolphe et al., 2019)</w:t>
      </w:r>
      <w:r>
        <w:t>. In some cases, drug-related offences and violent crimes have also been associated with gambling problems.</w:t>
      </w:r>
    </w:p>
    <w:p w14:paraId="540D883E" w14:textId="77777777" w:rsidR="00DB689D" w:rsidRDefault="00310A10" w:rsidP="00367A8D">
      <w:pPr>
        <w:spacing w:line="360" w:lineRule="auto"/>
      </w:pPr>
      <w:r>
        <w:t xml:space="preserve"> </w:t>
      </w:r>
    </w:p>
    <w:p w14:paraId="26309F9F" w14:textId="12CA9949" w:rsidR="00DB689D" w:rsidRDefault="00310A10" w:rsidP="00367A8D">
      <w:pPr>
        <w:spacing w:line="360" w:lineRule="auto"/>
      </w:pPr>
      <w:r>
        <w:t xml:space="preserve">The prevalence of criminal behaviour is higher among those experiencing gambling problems. In a formative investigation in New Zealand, almost two-thirds of participants with gambling problems reported that their gambling behaviours were associated with, contributed to, or caused the crimes they had committed </w:t>
      </w:r>
      <w:r w:rsidR="0038398B">
        <w:rPr>
          <w:noProof/>
          <w:color w:val="000000"/>
        </w:rPr>
        <w:t>(Bellringer et al., 2009)</w:t>
      </w:r>
      <w:r>
        <w:t xml:space="preserve">. Studies of incarcerated populations in New Zealand have found higher rates of gambling problems compared to the general population. Approximately 23% of male inmates and 34% of female inmates met the criteria for probable problem and pathological gambling in the six months prior to imprisonment </w:t>
      </w:r>
      <w:r w:rsidR="0038398B">
        <w:rPr>
          <w:noProof/>
          <w:color w:val="000000"/>
        </w:rPr>
        <w:t>(Abbott et al., 2000; Abbott et al., 2005)</w:t>
      </w:r>
      <w:r>
        <w:t>.</w:t>
      </w:r>
    </w:p>
    <w:p w14:paraId="32685C39" w14:textId="77777777" w:rsidR="00DB689D" w:rsidRDefault="00310A10" w:rsidP="00367A8D">
      <w:pPr>
        <w:spacing w:line="360" w:lineRule="auto"/>
      </w:pPr>
      <w:r>
        <w:t xml:space="preserve"> </w:t>
      </w:r>
    </w:p>
    <w:p w14:paraId="68A6B8CB" w14:textId="0BEB5958" w:rsidR="00DB689D" w:rsidRDefault="00310A10" w:rsidP="00367A8D">
      <w:pPr>
        <w:spacing w:line="360" w:lineRule="auto"/>
      </w:pPr>
      <w:r>
        <w:t xml:space="preserve">The prevalence of disordered gambling is greater among offenders compared to the general population </w:t>
      </w:r>
      <w:r w:rsidR="0038398B">
        <w:rPr>
          <w:noProof/>
          <w:color w:val="000000"/>
        </w:rPr>
        <w:t>(Campbell &amp; Marshall, 2007)</w:t>
      </w:r>
      <w:r>
        <w:t xml:space="preserve">. Criminals may also penetrate the legitimate gambling sector or provide illegal gambling services </w:t>
      </w:r>
      <w:r w:rsidR="0038398B">
        <w:rPr>
          <w:noProof/>
          <w:color w:val="000000"/>
        </w:rPr>
        <w:t>(Spapens, 2008)</w:t>
      </w:r>
      <w:r>
        <w:t xml:space="preserve">. Pathological gambling is linked to violence in couples and families </w:t>
      </w:r>
      <w:r w:rsidR="0038398B">
        <w:rPr>
          <w:noProof/>
          <w:color w:val="000000"/>
        </w:rPr>
        <w:t>(Folino &amp; Abait, 2009)</w:t>
      </w:r>
      <w:r>
        <w:t xml:space="preserve">. These cases can impact not only relationships and quality of life, but also involve the law enforcement and justice systems. Other factors contributing to gambling-related crimes include impulsivity traits, such as high levels of urgency and lack of premeditation, above and beyond greater gambling disorder severity and gambling-related debts </w:t>
      </w:r>
      <w:r w:rsidR="0038398B">
        <w:rPr>
          <w:noProof/>
          <w:color w:val="000000"/>
        </w:rPr>
        <w:t>(Mestre-Bach et al., 2018)</w:t>
      </w:r>
      <w:r>
        <w:t xml:space="preserve">. Thus, impulsiveness plays a complex role in the relationship between gambling and criminality </w:t>
      </w:r>
      <w:r w:rsidR="0038398B">
        <w:rPr>
          <w:noProof/>
          <w:color w:val="000000"/>
        </w:rPr>
        <w:t>(Folino &amp; Abait, 2009)</w:t>
      </w:r>
      <w:r>
        <w:t>, involving bidirectional and dynamic interactions between individual traits, life and environmental circumstances, as well as gambling consumption.</w:t>
      </w:r>
    </w:p>
    <w:p w14:paraId="5F0C2587" w14:textId="77777777" w:rsidR="00DB689D" w:rsidRDefault="00310A10" w:rsidP="00367A8D">
      <w:pPr>
        <w:spacing w:line="360" w:lineRule="auto"/>
      </w:pPr>
      <w:r>
        <w:t xml:space="preserve"> </w:t>
      </w:r>
    </w:p>
    <w:p w14:paraId="70088774" w14:textId="01673627" w:rsidR="00DB689D" w:rsidRDefault="00310A10" w:rsidP="00367A8D">
      <w:pPr>
        <w:spacing w:line="360" w:lineRule="auto"/>
      </w:pPr>
      <w:r>
        <w:t xml:space="preserve">More broadly, the causal relationship between gambling and crime is complex. The association between problem gambling and crime may be confounded by shared background characteristics like low self-control, substance use, and juvenile delinquency, rather than direct causation </w:t>
      </w:r>
      <w:r w:rsidR="0038398B">
        <w:rPr>
          <w:noProof/>
          <w:color w:val="000000"/>
        </w:rPr>
        <w:t>(Dennison et al., 2021)</w:t>
      </w:r>
      <w:r>
        <w:t xml:space="preserve">. While few individuals start their criminal careers because of gambling, many subsequently develop gambling problems, with gambling becoming a reason for their criminal behaviours </w:t>
      </w:r>
      <w:r w:rsidR="0038398B">
        <w:rPr>
          <w:noProof/>
          <w:color w:val="000000"/>
        </w:rPr>
        <w:t>(Abbott et al., 2005)</w:t>
      </w:r>
      <w:r>
        <w:t xml:space="preserve">. Psychopathic personality disorders and alcohol problems are common among people classified as pathological gambling, as discovered among people who are incarcerated </w:t>
      </w:r>
      <w:r w:rsidR="0038398B">
        <w:rPr>
          <w:noProof/>
          <w:color w:val="000000"/>
        </w:rPr>
        <w:t>(Pastwa-Wojciechowska, 2011)</w:t>
      </w:r>
      <w:r>
        <w:t xml:space="preserve">. However, the relationship between gambling and crime can vary, with gambling leading to crime in some cases, while in others, it may be part of a broader criminal life situation </w:t>
      </w:r>
      <w:r w:rsidR="0038398B">
        <w:rPr>
          <w:noProof/>
          <w:color w:val="000000"/>
        </w:rPr>
        <w:t>(Pastwa-Wojciechowska, 2011)</w:t>
      </w:r>
      <w:r>
        <w:t>. Thus, much of the evidence points towards a bidirectional relationship between gambling problems and criminal activity.</w:t>
      </w:r>
    </w:p>
    <w:p w14:paraId="12415E10" w14:textId="77777777" w:rsidR="00DB689D" w:rsidRDefault="00310A10" w:rsidP="00367A8D">
      <w:pPr>
        <w:spacing w:line="360" w:lineRule="auto"/>
      </w:pPr>
      <w:r>
        <w:t xml:space="preserve"> </w:t>
      </w:r>
    </w:p>
    <w:p w14:paraId="70C23518" w14:textId="0D74D747" w:rsidR="00DB689D" w:rsidRDefault="00310A10" w:rsidP="00367A8D">
      <w:pPr>
        <w:spacing w:line="360" w:lineRule="auto"/>
      </w:pPr>
      <w:r>
        <w:t xml:space="preserve">In sum, criminal activity associated with gambling problems can incur costs to the justice system through increased demands on police, courts, and correctional facilities. Businesses and individuals also bear costs as victims of these crimes. However, the full extent of these costs may be underestimated due to challenges in identifying gambling as a contributing factor to crimes. As noted by the Australian Institute for Gambling Research </w:t>
      </w:r>
      <w:r w:rsidR="0038398B">
        <w:rPr>
          <w:noProof/>
          <w:color w:val="000000"/>
        </w:rPr>
        <w:t>(2001)</w:t>
      </w:r>
      <w:r>
        <w:t>, while analysts agree that gambling is linked to crime, there is a lack of precise statistical data to form a valid assessment of exact levels of gambling-related crime.</w:t>
      </w:r>
    </w:p>
    <w:p w14:paraId="657BDD24" w14:textId="77777777" w:rsidR="00DB689D" w:rsidRDefault="00310A10" w:rsidP="00367A8D">
      <w:pPr>
        <w:spacing w:line="360" w:lineRule="auto"/>
      </w:pPr>
      <w:r>
        <w:t xml:space="preserve"> </w:t>
      </w:r>
    </w:p>
    <w:p w14:paraId="5BDF9ED8" w14:textId="2771E18A" w:rsidR="00DB689D" w:rsidRDefault="00310A10" w:rsidP="00367A8D">
      <w:pPr>
        <w:spacing w:line="360" w:lineRule="auto"/>
      </w:pPr>
      <w:r>
        <w:t xml:space="preserve">Finally, the consequences of gambling-related criminal activity extend beyond the individual offender. Families of those who commit gambling-related crimes may face financial hardship, social stigma, and emotional distress. The broader community may also experience increased crime rates and decreased feelings of safety </w:t>
      </w:r>
      <w:r w:rsidR="0038398B">
        <w:rPr>
          <w:noProof/>
          <w:color w:val="000000"/>
        </w:rPr>
        <w:t>(Wall et al., 2010)</w:t>
      </w:r>
      <w:r>
        <w:t>. For the individual, long-term consequences of gambling-related criminal activity can be severe. Criminal records can affect future employment opportunities and social relationships, potentially perpetuating a cycle of gambling and criminal behaviour. Thus, while attribution of direct and indirect costs of criminality and antisocial behaviour is challenging, it is a component that warrants careful attention.</w:t>
      </w:r>
    </w:p>
    <w:p w14:paraId="2CDDAC79" w14:textId="45C80EC0" w:rsidR="00DB689D" w:rsidRDefault="00310A10" w:rsidP="00657824">
      <w:pPr>
        <w:pStyle w:val="Heading2"/>
      </w:pPr>
      <w:bookmarkStart w:id="88" w:name="_3pxsscyaa68o" w:colFirst="0" w:colLast="0"/>
      <w:bookmarkStart w:id="89" w:name="_Toc201572375"/>
      <w:bookmarkStart w:id="90" w:name="_Toc207195893"/>
      <w:bookmarkEnd w:id="88"/>
      <w:r>
        <w:t xml:space="preserve">Legacy </w:t>
      </w:r>
      <w:r w:rsidR="00E06C93">
        <w:t>h</w:t>
      </w:r>
      <w:r>
        <w:t>arm</w:t>
      </w:r>
      <w:bookmarkEnd w:id="89"/>
      <w:bookmarkEnd w:id="90"/>
    </w:p>
    <w:p w14:paraId="4F2E55EE" w14:textId="3ACFA523" w:rsidR="00DB689D" w:rsidRDefault="00310A10" w:rsidP="00367A8D">
      <w:pPr>
        <w:spacing w:line="360" w:lineRule="auto"/>
      </w:pPr>
      <w:r>
        <w:t xml:space="preserve">Gambling-related harms can persist or emerge even after gambling behaviour has ceased </w:t>
      </w:r>
      <w:r w:rsidR="0038398B">
        <w:rPr>
          <w:noProof/>
          <w:color w:val="000000"/>
        </w:rPr>
        <w:t>(Langham et al., 2016)</w:t>
      </w:r>
      <w:r>
        <w:t xml:space="preserve">. These harms can affect the person who gambles and affected </w:t>
      </w:r>
      <w:r w:rsidR="005B2944">
        <w:t>others and</w:t>
      </w:r>
      <w:r>
        <w:t xml:space="preserve"> even extend to community-level social and cultural damage (Rockloff, Bellringer, et al., 2022). A New Zealand study </w:t>
      </w:r>
      <w:r w:rsidR="0038398B">
        <w:rPr>
          <w:noProof/>
          <w:color w:val="000000"/>
        </w:rPr>
        <w:t>(Rockloff et al., 2022)</w:t>
      </w:r>
      <w:r>
        <w:t xml:space="preserve"> found that over half of both people who gamble (56.7%) and affected others (57.6%) reported experiencing at least one ongoing harm from past gambling issues, even when gambling issues had stopped for at least a year. For people who gamble, these legacy harms tend to decrease over time, with an average ‘half-life’ of four years. Financial, health, and emotional/psychological impacts were found to persist the longest.</w:t>
      </w:r>
    </w:p>
    <w:p w14:paraId="3FA3593D" w14:textId="77777777" w:rsidR="00DB689D" w:rsidRDefault="00310A10" w:rsidP="00367A8D">
      <w:pPr>
        <w:spacing w:line="360" w:lineRule="auto"/>
      </w:pPr>
      <w:r>
        <w:t xml:space="preserve"> </w:t>
      </w:r>
    </w:p>
    <w:p w14:paraId="78A34176" w14:textId="40538EC9" w:rsidR="00DB689D" w:rsidRDefault="00310A10" w:rsidP="00367A8D">
      <w:pPr>
        <w:spacing w:line="360" w:lineRule="auto"/>
      </w:pPr>
      <w:r>
        <w:t xml:space="preserve">While the concept of legacy harms is increasingly recognised, incorporating them into economic cost assessments of gambling remains challenging. This is largely due to the lack of comprehensive data on the long-term progression of gambling problems throughout the lifespan </w:t>
      </w:r>
      <w:r w:rsidR="0038398B">
        <w:rPr>
          <w:noProof/>
          <w:color w:val="000000"/>
        </w:rPr>
        <w:t>(Latvala et al., 2019)</w:t>
      </w:r>
      <w:r>
        <w:t>. As a result, most cost analyses, including this one, focus on harms concurrent with active gambling problems, potentially underestimating the full extent of gambling's impact over time.</w:t>
      </w:r>
    </w:p>
    <w:p w14:paraId="2A1356F0" w14:textId="298B3FFE" w:rsidR="00DB689D" w:rsidRDefault="00310A10" w:rsidP="00657824">
      <w:pPr>
        <w:pStyle w:val="Heading2"/>
      </w:pPr>
      <w:bookmarkStart w:id="91" w:name="_njtn5wh6orx1" w:colFirst="0" w:colLast="0"/>
      <w:bookmarkStart w:id="92" w:name="_Toc201572376"/>
      <w:bookmarkStart w:id="93" w:name="_Toc207195894"/>
      <w:bookmarkEnd w:id="91"/>
      <w:r>
        <w:t xml:space="preserve">Life course and </w:t>
      </w:r>
      <w:r w:rsidR="00E06C93">
        <w:t>g</w:t>
      </w:r>
      <w:r>
        <w:t xml:space="preserve">enerational </w:t>
      </w:r>
      <w:r w:rsidR="00E06C93">
        <w:t>h</w:t>
      </w:r>
      <w:r>
        <w:t>arm</w:t>
      </w:r>
      <w:bookmarkEnd w:id="92"/>
      <w:bookmarkEnd w:id="93"/>
    </w:p>
    <w:p w14:paraId="42FAED75" w14:textId="000EC59D" w:rsidR="00DB689D" w:rsidRDefault="00310A10" w:rsidP="00367A8D">
      <w:pPr>
        <w:spacing w:line="360" w:lineRule="auto"/>
      </w:pPr>
      <w:r>
        <w:t xml:space="preserve">Life course and generational harms represent significant long-term impacts of gambling that persist over an individual's lifetime and can extend to future generations </w:t>
      </w:r>
      <w:r w:rsidR="0038398B">
        <w:rPr>
          <w:noProof/>
          <w:color w:val="000000"/>
        </w:rPr>
        <w:t>(Langham et al., 2016)</w:t>
      </w:r>
      <w:r>
        <w:t xml:space="preserve">. These harms encompass a range of lost opportunities, including career setbacks, disrupted education leading to reduced lifetime earnings, and the loss of significant relationships </w:t>
      </w:r>
      <w:r w:rsidR="00DB2449">
        <w:rPr>
          <w:noProof/>
          <w:color w:val="000000"/>
        </w:rPr>
        <w:t>(Browne et al., 2016)</w:t>
      </w:r>
      <w:r>
        <w:t xml:space="preserve">. The long-term financial impacts can be severe, with individuals losing major assets such as homes or businesses, severely hampering their ability to accumulate wealth over a lifetime </w:t>
      </w:r>
      <w:r w:rsidR="0038398B">
        <w:rPr>
          <w:noProof/>
          <w:color w:val="000000"/>
        </w:rPr>
        <w:t>(Langham et al., 2016)</w:t>
      </w:r>
      <w:r>
        <w:t>.</w:t>
      </w:r>
    </w:p>
    <w:p w14:paraId="2F748B27" w14:textId="77777777" w:rsidR="00DB689D" w:rsidRDefault="00310A10" w:rsidP="00367A8D">
      <w:pPr>
        <w:spacing w:line="360" w:lineRule="auto"/>
      </w:pPr>
      <w:r>
        <w:t xml:space="preserve"> </w:t>
      </w:r>
    </w:p>
    <w:p w14:paraId="250B355B" w14:textId="37E68323" w:rsidR="00DB689D" w:rsidRDefault="00310A10" w:rsidP="00367A8D">
      <w:pPr>
        <w:spacing w:line="360" w:lineRule="auto"/>
      </w:pPr>
      <w:r>
        <w:t xml:space="preserve">The intergenerational impacts of parental gambling on children can be significant and wide-ranging. Children exposed to parental gambling problems may experience altered family dynamics, potential neglect, and reduced parental attention, which can have lasting impacts on their educational and developmental outcomes </w:t>
      </w:r>
      <w:r w:rsidR="0038398B">
        <w:rPr>
          <w:noProof/>
          <w:color w:val="000000"/>
        </w:rPr>
        <w:t>(Darbyshire et al., 2001)</w:t>
      </w:r>
      <w:r>
        <w:t xml:space="preserve">. Moreover, these children are at increased risk of developing gambling problems later in life, perpetuating a cycle of harm </w:t>
      </w:r>
      <w:r w:rsidR="0038398B">
        <w:rPr>
          <w:noProof/>
          <w:color w:val="000000"/>
        </w:rPr>
        <w:t>(</w:t>
      </w:r>
      <w:r w:rsidR="0038398B" w:rsidRPr="0038398B">
        <w:rPr>
          <w:i/>
          <w:noProof/>
          <w:color w:val="000000"/>
        </w:rPr>
        <w:t>Taking the Pulse on Gambling and Problem Gambling in New Zealand: A Report on Phase One of the 1999 National Prevalence Survey</w:t>
      </w:r>
      <w:r w:rsidR="0038398B">
        <w:rPr>
          <w:noProof/>
          <w:color w:val="000000"/>
        </w:rPr>
        <w:t>, n.d.)</w:t>
      </w:r>
      <w:r>
        <w:t xml:space="preserve">. Children of people with gambling problems are at increased risk of experiencing various harms, including emotional, behavioural, and psychological problems </w:t>
      </w:r>
      <w:r w:rsidR="0038398B">
        <w:rPr>
          <w:noProof/>
          <w:color w:val="000000"/>
        </w:rPr>
        <w:t>(A. Suomi et al., 2022)</w:t>
      </w:r>
      <w:r>
        <w:t xml:space="preserve">. These children may face neglect, abuse, and financial strain due to parental gambling </w:t>
      </w:r>
      <w:r w:rsidR="0038398B">
        <w:rPr>
          <w:noProof/>
          <w:color w:val="000000"/>
        </w:rPr>
        <w:t>(A. Suomi et al., 2018; Aino Suomi et al., 2023)</w:t>
      </w:r>
      <w:r>
        <w:t xml:space="preserve">. Studies have found that children living in households with gambling problems report lower HRQoL, increased anxiety and depression symptoms, and more behavioural difficulties compared to their peers </w:t>
      </w:r>
      <w:r w:rsidR="0038398B">
        <w:rPr>
          <w:noProof/>
          <w:color w:val="000000"/>
        </w:rPr>
        <w:t>(Tulloch et al., 2022)</w:t>
      </w:r>
      <w:r>
        <w:t xml:space="preserve">. The effects can persist into adulthood, with adult children of people with gambling problems showing higher rates of depression, anxiety, and their own gambling problems </w:t>
      </w:r>
      <w:r w:rsidR="0038398B">
        <w:rPr>
          <w:noProof/>
          <w:color w:val="000000"/>
        </w:rPr>
        <w:t>(Dowling et al., 2018, 2016)</w:t>
      </w:r>
      <w:r>
        <w:t xml:space="preserve">. Furthermore, parental gambling problems are associated with disrupted family relationships, reduced parental involvement, and exposure to financial stress, which can have lasting impacts on children's development and future outcomes </w:t>
      </w:r>
      <w:r w:rsidR="0038398B">
        <w:rPr>
          <w:noProof/>
          <w:color w:val="000000"/>
        </w:rPr>
        <w:t>(Hing, Russell, et al., 2022; A. Suomi et al., 2022; Tulloch et al., 2022)</w:t>
      </w:r>
      <w:r>
        <w:t>. Thus, familial and childhood impacts of gambling can significantly alter life</w:t>
      </w:r>
      <w:r w:rsidR="003213A6">
        <w:t xml:space="preserve"> </w:t>
      </w:r>
      <w:r>
        <w:t>course outcomes.</w:t>
      </w:r>
    </w:p>
    <w:p w14:paraId="3A0AA3E6" w14:textId="77777777" w:rsidR="00DB689D" w:rsidRDefault="00310A10" w:rsidP="00367A8D">
      <w:pPr>
        <w:spacing w:line="360" w:lineRule="auto"/>
      </w:pPr>
      <w:r>
        <w:t xml:space="preserve"> </w:t>
      </w:r>
    </w:p>
    <w:p w14:paraId="453E7F1A" w14:textId="03BA747C" w:rsidR="00DB689D" w:rsidRDefault="00310A10" w:rsidP="00367A8D">
      <w:pPr>
        <w:spacing w:line="360" w:lineRule="auto"/>
      </w:pPr>
      <w:r>
        <w:t xml:space="preserve">Incarceration resulting from gambling-related crimes can have far-reaching consequences, disrupting family life and limiting future employment and social opportunities </w:t>
      </w:r>
      <w:r w:rsidR="0038398B">
        <w:rPr>
          <w:noProof/>
          <w:color w:val="000000"/>
        </w:rPr>
        <w:t>(Abbott et al., 2000)</w:t>
      </w:r>
      <w:r>
        <w:t xml:space="preserve">. Homelessness is another tangible outcome of severe gambling problems, with long-term impacts on individuals and families </w:t>
      </w:r>
      <w:r w:rsidR="0038398B">
        <w:rPr>
          <w:noProof/>
          <w:color w:val="000000"/>
        </w:rPr>
        <w:t>(Australian Institute of Health and Welfare, 2009; Sharman, 2019)</w:t>
      </w:r>
      <w:r>
        <w:t>. While homelessness represents a measurable and costable component of life course harm, many other long-term impacts remain challenging to quantify.</w:t>
      </w:r>
    </w:p>
    <w:p w14:paraId="099EEC67" w14:textId="77777777" w:rsidR="00DB689D" w:rsidRDefault="00310A10" w:rsidP="00367A8D">
      <w:pPr>
        <w:spacing w:line="360" w:lineRule="auto"/>
      </w:pPr>
      <w:r>
        <w:t xml:space="preserve"> </w:t>
      </w:r>
    </w:p>
    <w:p w14:paraId="30DFEABC" w14:textId="630ED124" w:rsidR="00DB689D" w:rsidRDefault="00310A10" w:rsidP="00367A8D">
      <w:pPr>
        <w:spacing w:line="360" w:lineRule="auto"/>
      </w:pPr>
      <w:r>
        <w:t xml:space="preserve">The accumulation of gambling harms over time can lead to more severe long-term consequences, affecting not only individuals but also cultural practices and community cohesion </w:t>
      </w:r>
      <w:r w:rsidR="0038398B">
        <w:rPr>
          <w:noProof/>
          <w:color w:val="000000"/>
        </w:rPr>
        <w:t>(Hing et al., 2014)</w:t>
      </w:r>
      <w:r>
        <w:t xml:space="preserve">, linking this component to the cultural impacts described above. Early exposure to gambling can significantly impact an individual's life trajectory, potentially leading to a range of negative outcomes throughout their lifetime </w:t>
      </w:r>
      <w:r w:rsidR="0038398B">
        <w:rPr>
          <w:noProof/>
          <w:color w:val="000000"/>
        </w:rPr>
        <w:t>(Wardle, Reith, et al., 2019)</w:t>
      </w:r>
      <w:r>
        <w:t>.</w:t>
      </w:r>
    </w:p>
    <w:p w14:paraId="193CF46F" w14:textId="77777777" w:rsidR="00DB689D" w:rsidRDefault="00310A10" w:rsidP="00367A8D">
      <w:pPr>
        <w:spacing w:line="360" w:lineRule="auto"/>
      </w:pPr>
      <w:r>
        <w:t xml:space="preserve"> </w:t>
      </w:r>
    </w:p>
    <w:p w14:paraId="3A848C23" w14:textId="77777777" w:rsidR="00740B3A" w:rsidRDefault="00310A10" w:rsidP="00367A8D">
      <w:pPr>
        <w:spacing w:line="360" w:lineRule="auto"/>
      </w:pPr>
      <w:r>
        <w:t xml:space="preserve">Despite the clear significance of these harms, quantifying their economic impact presents considerable challenges. The lack of longitudinal data, the difficulty in attributing causality over extended periods, and the intangible nature of many life course impacts make precise costing problematic </w:t>
      </w:r>
      <w:r w:rsidR="0038398B">
        <w:rPr>
          <w:noProof/>
          <w:color w:val="000000"/>
        </w:rPr>
        <w:t>(Wardle, Reith, et al., 2019)</w:t>
      </w:r>
      <w:r>
        <w:t xml:space="preserve">. It is very difficult to reliably model counterfactual life progression scenarios, potentially spanning decades. Furthermore, due to ethical and practical difficulties involved in research with children, quantifying the degree and scale of impact via direct self-report is difficult. </w:t>
      </w:r>
    </w:p>
    <w:p w14:paraId="01B69ADB" w14:textId="77777777" w:rsidR="00740B3A" w:rsidRDefault="00740B3A" w:rsidP="00367A8D">
      <w:pPr>
        <w:spacing w:line="360" w:lineRule="auto"/>
      </w:pPr>
    </w:p>
    <w:p w14:paraId="5279FA66" w14:textId="292B6B0D" w:rsidR="00DB689D" w:rsidRDefault="00740B3A" w:rsidP="00367A8D">
      <w:pPr>
        <w:spacing w:line="360" w:lineRule="auto"/>
      </w:pPr>
      <w:r w:rsidRPr="00740B3A">
        <w:t>While the long-term nature of these harms makes comprehensive quantification challenging, specific and severe outcomes like homelessness can be costed and are included as a tangible component of this analysis.</w:t>
      </w:r>
    </w:p>
    <w:p w14:paraId="2C87FE1D" w14:textId="77777777" w:rsidR="00DB689D" w:rsidRDefault="00310A10" w:rsidP="00657824">
      <w:pPr>
        <w:pStyle w:val="Heading2"/>
      </w:pPr>
      <w:bookmarkStart w:id="94" w:name="_5kwh2u5uqo9c" w:colFirst="0" w:colLast="0"/>
      <w:bookmarkStart w:id="95" w:name="_Toc201572377"/>
      <w:bookmarkStart w:id="96" w:name="_Toc207195895"/>
      <w:bookmarkEnd w:id="94"/>
      <w:r>
        <w:t>Other Government or community costs</w:t>
      </w:r>
      <w:bookmarkEnd w:id="95"/>
      <w:bookmarkEnd w:id="96"/>
    </w:p>
    <w:p w14:paraId="782C56F4" w14:textId="77777777" w:rsidR="00DB689D" w:rsidRDefault="00310A10" w:rsidP="00367A8D">
      <w:pPr>
        <w:spacing w:line="360" w:lineRule="auto"/>
      </w:pPr>
      <w:r>
        <w:t>These include the costs of policy development, regulation, and enforcement; funding for gambling-related research and treatment services; and the non-profit organisations delivering education and support. This category also encompasses potential concerns such as the environmental impacts of gambling, including energy use, waste, and emissions from venue operations and electronic infrastructure.</w:t>
      </w:r>
    </w:p>
    <w:p w14:paraId="5810C63A" w14:textId="77777777" w:rsidR="00DB689D" w:rsidRDefault="00310A10" w:rsidP="00657824">
      <w:pPr>
        <w:pStyle w:val="Heading2"/>
      </w:pPr>
      <w:bookmarkStart w:id="97" w:name="_1h5b88nh2hm1" w:colFirst="0" w:colLast="0"/>
      <w:bookmarkStart w:id="98" w:name="_Toc201572378"/>
      <w:bookmarkStart w:id="99" w:name="_Toc207195896"/>
      <w:bookmarkEnd w:id="97"/>
      <w:r>
        <w:t>Conclusion</w:t>
      </w:r>
      <w:bookmarkEnd w:id="98"/>
      <w:bookmarkEnd w:id="99"/>
    </w:p>
    <w:p w14:paraId="16917504" w14:textId="77777777" w:rsidR="00DB689D" w:rsidRDefault="00310A10" w:rsidP="00367A8D">
      <w:pPr>
        <w:spacing w:line="360" w:lineRule="auto"/>
      </w:pPr>
      <w:r>
        <w:t>Gambling can potentially cause a wide range of impacts on the person who gambles, and also their families, communities, and society at large.</w:t>
      </w:r>
    </w:p>
    <w:p w14:paraId="6542DB0A" w14:textId="77777777" w:rsidR="00DB689D" w:rsidRDefault="00310A10" w:rsidP="00367A8D">
      <w:pPr>
        <w:spacing w:line="360" w:lineRule="auto"/>
      </w:pPr>
      <w:r>
        <w:t xml:space="preserve"> </w:t>
      </w:r>
    </w:p>
    <w:p w14:paraId="50D9FE80" w14:textId="77777777" w:rsidR="00DB689D" w:rsidRDefault="00310A10" w:rsidP="00367A8D">
      <w:pPr>
        <w:spacing w:line="360" w:lineRule="auto"/>
      </w:pPr>
      <w:r>
        <w:t>This review has highlighted several key domains of impact:</w:t>
      </w:r>
    </w:p>
    <w:p w14:paraId="5605559B" w14:textId="77777777" w:rsidR="00DB689D" w:rsidRDefault="00310A10" w:rsidP="00367A8D">
      <w:pPr>
        <w:spacing w:line="360" w:lineRule="auto"/>
      </w:pPr>
      <w:r>
        <w:t xml:space="preserve"> </w:t>
      </w:r>
    </w:p>
    <w:p w14:paraId="25B204BC" w14:textId="241135A4" w:rsidR="00DB689D" w:rsidRDefault="00310A10" w:rsidP="00367A8D">
      <w:pPr>
        <w:spacing w:line="360" w:lineRule="auto"/>
        <w:ind w:left="1080" w:hanging="360"/>
      </w:pPr>
      <w:r>
        <w:t>1.</w:t>
      </w:r>
      <w:r>
        <w:rPr>
          <w:sz w:val="14"/>
          <w:szCs w:val="14"/>
        </w:rPr>
        <w:t xml:space="preserve"> </w:t>
      </w:r>
      <w:r>
        <w:rPr>
          <w:sz w:val="14"/>
          <w:szCs w:val="14"/>
        </w:rPr>
        <w:tab/>
      </w:r>
      <w:r w:rsidRPr="00D501AC">
        <w:rPr>
          <w:bCs/>
          <w:i/>
          <w:iCs/>
        </w:rPr>
        <w:t xml:space="preserve">Financial </w:t>
      </w:r>
      <w:r w:rsidR="0071715F">
        <w:rPr>
          <w:bCs/>
          <w:i/>
          <w:iCs/>
        </w:rPr>
        <w:t>h</w:t>
      </w:r>
      <w:r w:rsidRPr="00D501AC">
        <w:rPr>
          <w:bCs/>
          <w:i/>
          <w:iCs/>
        </w:rPr>
        <w:t>arms:</w:t>
      </w:r>
      <w:r>
        <w:t xml:space="preserve"> These are among the most directly measurable impacts of gambling. They range from immediate consequences, like the inability to pay bills, to long-term effects such as erosion of savings and bankruptcy.</w:t>
      </w:r>
    </w:p>
    <w:p w14:paraId="396C6994" w14:textId="711BF371" w:rsidR="00DB689D" w:rsidRDefault="00310A10" w:rsidP="00367A8D">
      <w:pPr>
        <w:spacing w:line="360" w:lineRule="auto"/>
        <w:ind w:left="1080" w:hanging="360"/>
      </w:pPr>
      <w:r>
        <w:t>2.</w:t>
      </w:r>
      <w:r>
        <w:rPr>
          <w:sz w:val="14"/>
          <w:szCs w:val="14"/>
        </w:rPr>
        <w:t xml:space="preserve"> </w:t>
      </w:r>
      <w:r>
        <w:rPr>
          <w:sz w:val="14"/>
          <w:szCs w:val="14"/>
        </w:rPr>
        <w:tab/>
      </w:r>
      <w:r w:rsidRPr="00D501AC">
        <w:rPr>
          <w:bCs/>
          <w:i/>
          <w:iCs/>
        </w:rPr>
        <w:t xml:space="preserve">Relationship </w:t>
      </w:r>
      <w:r w:rsidR="0071715F">
        <w:rPr>
          <w:bCs/>
          <w:i/>
          <w:iCs/>
        </w:rPr>
        <w:t>d</w:t>
      </w:r>
      <w:r w:rsidRPr="00D501AC">
        <w:rPr>
          <w:bCs/>
          <w:i/>
          <w:iCs/>
        </w:rPr>
        <w:t>isruption:</w:t>
      </w:r>
      <w:r>
        <w:t xml:space="preserve"> Gambling can lead to increased conflict, breakdown of trust, and in severe cases, relationship dissolution. These harms extend to immediate family, extended family, and friends.</w:t>
      </w:r>
    </w:p>
    <w:p w14:paraId="0F1B1EF9" w14:textId="4B855C09" w:rsidR="00DB689D" w:rsidRDefault="00310A10" w:rsidP="00367A8D">
      <w:pPr>
        <w:spacing w:line="360" w:lineRule="auto"/>
        <w:ind w:left="1080" w:hanging="360"/>
      </w:pPr>
      <w:r>
        <w:t>3.</w:t>
      </w:r>
      <w:r>
        <w:rPr>
          <w:sz w:val="14"/>
          <w:szCs w:val="14"/>
        </w:rPr>
        <w:t xml:space="preserve"> </w:t>
      </w:r>
      <w:r>
        <w:rPr>
          <w:sz w:val="14"/>
          <w:szCs w:val="14"/>
        </w:rPr>
        <w:tab/>
      </w:r>
      <w:r w:rsidRPr="00D501AC">
        <w:rPr>
          <w:bCs/>
          <w:i/>
          <w:iCs/>
        </w:rPr>
        <w:t xml:space="preserve">Health </w:t>
      </w:r>
      <w:r w:rsidR="0071715F">
        <w:rPr>
          <w:bCs/>
          <w:i/>
          <w:iCs/>
        </w:rPr>
        <w:t>i</w:t>
      </w:r>
      <w:r w:rsidRPr="00D501AC">
        <w:rPr>
          <w:bCs/>
          <w:i/>
          <w:iCs/>
        </w:rPr>
        <w:t>mpacts:</w:t>
      </w:r>
      <w:r>
        <w:t xml:space="preserve"> Both physical and mental health can be severely affected by gambling problems. This includes increased rates of depression, anxiety, substance abuse, and in extreme cases, suicidal ideation.</w:t>
      </w:r>
    </w:p>
    <w:p w14:paraId="1E7FDF85" w14:textId="17514040" w:rsidR="00DB689D" w:rsidRDefault="00310A10" w:rsidP="00367A8D">
      <w:pPr>
        <w:spacing w:line="360" w:lineRule="auto"/>
        <w:ind w:left="1080" w:hanging="360"/>
      </w:pPr>
      <w:r>
        <w:t>4.</w:t>
      </w:r>
      <w:r>
        <w:rPr>
          <w:sz w:val="14"/>
          <w:szCs w:val="14"/>
        </w:rPr>
        <w:t xml:space="preserve"> </w:t>
      </w:r>
      <w:r>
        <w:rPr>
          <w:sz w:val="14"/>
          <w:szCs w:val="14"/>
        </w:rPr>
        <w:tab/>
      </w:r>
      <w:r w:rsidRPr="00D501AC">
        <w:rPr>
          <w:bCs/>
          <w:i/>
          <w:iCs/>
        </w:rPr>
        <w:t xml:space="preserve">Cultural </w:t>
      </w:r>
      <w:r w:rsidR="0071715F">
        <w:rPr>
          <w:bCs/>
          <w:i/>
          <w:iCs/>
        </w:rPr>
        <w:t>h</w:t>
      </w:r>
      <w:r w:rsidRPr="00D501AC">
        <w:rPr>
          <w:bCs/>
          <w:i/>
          <w:iCs/>
        </w:rPr>
        <w:t>arm:</w:t>
      </w:r>
      <w:r>
        <w:t xml:space="preserve"> Certain cultural groups, particularly indigenous and minority communities, may experience unique harms related to erosion of cultural practices and values.</w:t>
      </w:r>
    </w:p>
    <w:p w14:paraId="2AAEB979" w14:textId="43C76F15" w:rsidR="00DB689D" w:rsidRDefault="00310A10" w:rsidP="00367A8D">
      <w:pPr>
        <w:spacing w:line="360" w:lineRule="auto"/>
        <w:ind w:left="1080" w:hanging="360"/>
      </w:pPr>
      <w:r>
        <w:t>5.</w:t>
      </w:r>
      <w:r>
        <w:rPr>
          <w:sz w:val="14"/>
          <w:szCs w:val="14"/>
        </w:rPr>
        <w:t xml:space="preserve"> </w:t>
      </w:r>
      <w:r>
        <w:rPr>
          <w:sz w:val="14"/>
          <w:szCs w:val="14"/>
        </w:rPr>
        <w:tab/>
      </w:r>
      <w:r w:rsidRPr="00D501AC">
        <w:rPr>
          <w:bCs/>
          <w:i/>
          <w:iCs/>
        </w:rPr>
        <w:t xml:space="preserve">Work or </w:t>
      </w:r>
      <w:r w:rsidR="0071715F">
        <w:rPr>
          <w:bCs/>
          <w:i/>
          <w:iCs/>
        </w:rPr>
        <w:t>s</w:t>
      </w:r>
      <w:r w:rsidRPr="00D501AC">
        <w:rPr>
          <w:bCs/>
          <w:i/>
          <w:iCs/>
        </w:rPr>
        <w:t>tudy impacts:</w:t>
      </w:r>
      <w:r>
        <w:t xml:space="preserve"> Gambling can lead to decreased productivity, absenteeism, and overall impairment of professional and educational development.</w:t>
      </w:r>
    </w:p>
    <w:p w14:paraId="0C0E2DBA" w14:textId="4636C9D9" w:rsidR="00DB689D" w:rsidRDefault="00310A10" w:rsidP="00367A8D">
      <w:pPr>
        <w:spacing w:line="360" w:lineRule="auto"/>
        <w:ind w:left="1080" w:hanging="360"/>
      </w:pPr>
      <w:r>
        <w:t>6.</w:t>
      </w:r>
      <w:r>
        <w:rPr>
          <w:sz w:val="14"/>
          <w:szCs w:val="14"/>
        </w:rPr>
        <w:t xml:space="preserve"> </w:t>
      </w:r>
      <w:r>
        <w:rPr>
          <w:sz w:val="14"/>
          <w:szCs w:val="14"/>
        </w:rPr>
        <w:tab/>
      </w:r>
      <w:r w:rsidRPr="00D501AC">
        <w:rPr>
          <w:bCs/>
          <w:i/>
          <w:iCs/>
        </w:rPr>
        <w:t xml:space="preserve">Criminal </w:t>
      </w:r>
      <w:r w:rsidR="0071715F">
        <w:rPr>
          <w:bCs/>
          <w:i/>
          <w:iCs/>
        </w:rPr>
        <w:t>a</w:t>
      </w:r>
      <w:r w:rsidRPr="00D501AC">
        <w:rPr>
          <w:bCs/>
          <w:i/>
          <w:iCs/>
        </w:rPr>
        <w:t>ctivity:</w:t>
      </w:r>
      <w:r>
        <w:t xml:space="preserve"> There is a complex and often bidirectional relationship between gambling problems and criminal behaviour, ranging from minor theft to more serious offences.</w:t>
      </w:r>
    </w:p>
    <w:p w14:paraId="16FCF916" w14:textId="53A60ED2" w:rsidR="00DB689D" w:rsidRDefault="00310A10" w:rsidP="00367A8D">
      <w:pPr>
        <w:spacing w:line="360" w:lineRule="auto"/>
        <w:ind w:left="1080" w:hanging="360"/>
      </w:pPr>
      <w:r>
        <w:t>7.</w:t>
      </w:r>
      <w:r>
        <w:rPr>
          <w:sz w:val="14"/>
          <w:szCs w:val="14"/>
        </w:rPr>
        <w:t xml:space="preserve"> </w:t>
      </w:r>
      <w:r>
        <w:rPr>
          <w:sz w:val="14"/>
          <w:szCs w:val="14"/>
        </w:rPr>
        <w:tab/>
      </w:r>
      <w:r w:rsidRPr="00D501AC">
        <w:rPr>
          <w:bCs/>
          <w:i/>
          <w:iCs/>
        </w:rPr>
        <w:t xml:space="preserve">Legacy, </w:t>
      </w:r>
      <w:r w:rsidR="0071715F">
        <w:rPr>
          <w:bCs/>
          <w:i/>
          <w:iCs/>
        </w:rPr>
        <w:t>l</w:t>
      </w:r>
      <w:r w:rsidRPr="00D501AC">
        <w:rPr>
          <w:bCs/>
          <w:i/>
          <w:iCs/>
        </w:rPr>
        <w:t xml:space="preserve">ife </w:t>
      </w:r>
      <w:r w:rsidR="0071715F">
        <w:rPr>
          <w:bCs/>
          <w:i/>
          <w:iCs/>
        </w:rPr>
        <w:t>c</w:t>
      </w:r>
      <w:r w:rsidRPr="00D501AC">
        <w:rPr>
          <w:bCs/>
          <w:i/>
          <w:iCs/>
        </w:rPr>
        <w:t xml:space="preserve">ourse and </w:t>
      </w:r>
      <w:r w:rsidR="0071715F">
        <w:rPr>
          <w:bCs/>
          <w:i/>
          <w:iCs/>
        </w:rPr>
        <w:t>g</w:t>
      </w:r>
      <w:r w:rsidRPr="00D501AC">
        <w:rPr>
          <w:bCs/>
          <w:i/>
          <w:iCs/>
        </w:rPr>
        <w:t xml:space="preserve">enerational </w:t>
      </w:r>
      <w:r w:rsidR="0071715F">
        <w:rPr>
          <w:bCs/>
          <w:i/>
          <w:iCs/>
        </w:rPr>
        <w:t>h</w:t>
      </w:r>
      <w:r w:rsidRPr="00D501AC">
        <w:rPr>
          <w:bCs/>
          <w:i/>
          <w:iCs/>
        </w:rPr>
        <w:t>arm:</w:t>
      </w:r>
      <w:r>
        <w:t xml:space="preserve"> The long-term impacts of gambling can persist over an individual's lifetime and extend to future generations, including altered life trajectories and intergenerational transmission of gambling problems.</w:t>
      </w:r>
    </w:p>
    <w:p w14:paraId="01EC8388" w14:textId="77777777" w:rsidR="00DB689D" w:rsidRDefault="00310A10" w:rsidP="00367A8D">
      <w:pPr>
        <w:spacing w:line="360" w:lineRule="auto"/>
        <w:ind w:left="1080" w:hanging="360"/>
      </w:pPr>
      <w:r>
        <w:t xml:space="preserve">8. </w:t>
      </w:r>
      <w:r w:rsidRPr="00D501AC">
        <w:rPr>
          <w:bCs/>
          <w:i/>
          <w:iCs/>
        </w:rPr>
        <w:t>Other government or community costs:</w:t>
      </w:r>
      <w:r>
        <w:t xml:space="preserve"> Administration, governance and harm-reduction policies and interventions funded by government; potentially other exceptional costs arising from the industry.</w:t>
      </w:r>
    </w:p>
    <w:p w14:paraId="697EB745" w14:textId="77777777" w:rsidR="00DB689D" w:rsidRDefault="00DB689D" w:rsidP="00367A8D">
      <w:pPr>
        <w:spacing w:line="360" w:lineRule="auto"/>
        <w:ind w:left="1080" w:hanging="360"/>
      </w:pPr>
    </w:p>
    <w:p w14:paraId="3D49BB1E" w14:textId="77777777" w:rsidR="00DB689D" w:rsidRDefault="00310A10" w:rsidP="00367A8D">
      <w:pPr>
        <w:spacing w:line="360" w:lineRule="auto"/>
      </w:pPr>
      <w:r>
        <w:t>In terms of economic costing, the feasibility varies considerably across these domains:</w:t>
      </w:r>
    </w:p>
    <w:p w14:paraId="509C51B4" w14:textId="77777777" w:rsidR="00DB689D" w:rsidRDefault="00310A10" w:rsidP="00367A8D">
      <w:pPr>
        <w:spacing w:line="360" w:lineRule="auto"/>
      </w:pPr>
      <w:r>
        <w:t xml:space="preserve"> </w:t>
      </w:r>
    </w:p>
    <w:p w14:paraId="17F73E22" w14:textId="7A19A2AE" w:rsidR="00DB689D" w:rsidRDefault="00310A10" w:rsidP="00367A8D">
      <w:pPr>
        <w:spacing w:line="360" w:lineRule="auto"/>
        <w:ind w:left="1080" w:hanging="360"/>
      </w:pPr>
      <w:r>
        <w:t>●</w:t>
      </w:r>
      <w:r>
        <w:rPr>
          <w:sz w:val="14"/>
          <w:szCs w:val="14"/>
        </w:rPr>
        <w:t xml:space="preserve"> </w:t>
      </w:r>
      <w:r>
        <w:rPr>
          <w:sz w:val="14"/>
          <w:szCs w:val="14"/>
        </w:rPr>
        <w:tab/>
      </w:r>
      <w:r w:rsidRPr="0071715F">
        <w:rPr>
          <w:bCs/>
          <w:i/>
          <w:iCs/>
        </w:rPr>
        <w:t xml:space="preserve">Financial </w:t>
      </w:r>
      <w:r w:rsidR="0071715F">
        <w:rPr>
          <w:bCs/>
          <w:i/>
          <w:iCs/>
        </w:rPr>
        <w:t>h</w:t>
      </w:r>
      <w:r w:rsidRPr="0071715F">
        <w:rPr>
          <w:bCs/>
          <w:i/>
          <w:iCs/>
        </w:rPr>
        <w:t>arms:</w:t>
      </w:r>
      <w:r>
        <w:t xml:space="preserve"> These are the most straightforward to cost, as they often involve direct monetary losses or measurable financial impacts. Methods like assessing opportunity costs of excessive gambling spend provide concrete approaches to quantification.</w:t>
      </w:r>
    </w:p>
    <w:p w14:paraId="03176CBB" w14:textId="5F55A82A" w:rsidR="00DB689D" w:rsidRDefault="00310A10" w:rsidP="00367A8D">
      <w:pPr>
        <w:spacing w:line="360" w:lineRule="auto"/>
        <w:ind w:left="1080" w:hanging="360"/>
      </w:pPr>
      <w:r>
        <w:t>●</w:t>
      </w:r>
      <w:r>
        <w:rPr>
          <w:sz w:val="14"/>
          <w:szCs w:val="14"/>
        </w:rPr>
        <w:t xml:space="preserve"> </w:t>
      </w:r>
      <w:r>
        <w:rPr>
          <w:sz w:val="14"/>
          <w:szCs w:val="14"/>
        </w:rPr>
        <w:tab/>
      </w:r>
      <w:r w:rsidRPr="0071715F">
        <w:rPr>
          <w:bCs/>
          <w:i/>
          <w:iCs/>
        </w:rPr>
        <w:t xml:space="preserve">Health </w:t>
      </w:r>
      <w:r w:rsidR="0071715F">
        <w:rPr>
          <w:bCs/>
          <w:i/>
          <w:iCs/>
        </w:rPr>
        <w:t>i</w:t>
      </w:r>
      <w:r w:rsidRPr="0071715F">
        <w:rPr>
          <w:bCs/>
          <w:i/>
          <w:iCs/>
        </w:rPr>
        <w:t>mpacts:</w:t>
      </w:r>
      <w:r>
        <w:t xml:space="preserve"> While challenging, health impacts can be costed using established health-economic methods, particularly through the concept of HRQoL decrements. This allows for a quantifiable measure of gambling's impact on overall wellbeing.</w:t>
      </w:r>
    </w:p>
    <w:p w14:paraId="34B2F543" w14:textId="15392D62" w:rsidR="00DB689D" w:rsidRDefault="00310A10" w:rsidP="00367A8D">
      <w:pPr>
        <w:spacing w:line="360" w:lineRule="auto"/>
        <w:ind w:left="1080" w:hanging="360"/>
      </w:pPr>
      <w:r>
        <w:t>●</w:t>
      </w:r>
      <w:r>
        <w:rPr>
          <w:sz w:val="14"/>
          <w:szCs w:val="14"/>
        </w:rPr>
        <w:t xml:space="preserve"> </w:t>
      </w:r>
      <w:r>
        <w:rPr>
          <w:sz w:val="14"/>
          <w:szCs w:val="14"/>
        </w:rPr>
        <w:tab/>
      </w:r>
      <w:r w:rsidRPr="0071715F">
        <w:rPr>
          <w:bCs/>
          <w:i/>
          <w:iCs/>
        </w:rPr>
        <w:t xml:space="preserve">Reduced </w:t>
      </w:r>
      <w:r w:rsidR="0071715F">
        <w:rPr>
          <w:bCs/>
          <w:i/>
          <w:iCs/>
        </w:rPr>
        <w:t>w</w:t>
      </w:r>
      <w:r w:rsidRPr="0071715F">
        <w:rPr>
          <w:bCs/>
          <w:i/>
          <w:iCs/>
        </w:rPr>
        <w:t>ork/</w:t>
      </w:r>
      <w:r w:rsidR="0071715F">
        <w:rPr>
          <w:bCs/>
          <w:i/>
          <w:iCs/>
        </w:rPr>
        <w:t>s</w:t>
      </w:r>
      <w:r w:rsidRPr="0071715F">
        <w:rPr>
          <w:bCs/>
          <w:i/>
          <w:iCs/>
        </w:rPr>
        <w:t xml:space="preserve">tudy </w:t>
      </w:r>
      <w:r w:rsidR="0071715F">
        <w:rPr>
          <w:bCs/>
          <w:i/>
          <w:iCs/>
        </w:rPr>
        <w:t>p</w:t>
      </w:r>
      <w:r w:rsidRPr="0071715F">
        <w:rPr>
          <w:bCs/>
          <w:i/>
          <w:iCs/>
        </w:rPr>
        <w:t>erformance:</w:t>
      </w:r>
      <w:r>
        <w:t xml:space="preserve"> Some aspects, such as productivity and job loss, can be directly costed. However, more subtle impacts like presenteeism or reduced academic achievement are harder to quantify accurately and incorporate into costing.</w:t>
      </w:r>
    </w:p>
    <w:p w14:paraId="5077CF14" w14:textId="7949712B" w:rsidR="00DB689D" w:rsidRDefault="00310A10" w:rsidP="00367A8D">
      <w:pPr>
        <w:spacing w:line="360" w:lineRule="auto"/>
        <w:ind w:left="1080" w:hanging="360"/>
      </w:pPr>
      <w:r>
        <w:t>●</w:t>
      </w:r>
      <w:r>
        <w:rPr>
          <w:sz w:val="14"/>
          <w:szCs w:val="14"/>
        </w:rPr>
        <w:t xml:space="preserve"> </w:t>
      </w:r>
      <w:r>
        <w:rPr>
          <w:sz w:val="14"/>
          <w:szCs w:val="14"/>
        </w:rPr>
        <w:tab/>
      </w:r>
      <w:r w:rsidRPr="0071715F">
        <w:rPr>
          <w:bCs/>
          <w:i/>
          <w:iCs/>
        </w:rPr>
        <w:t xml:space="preserve">Criminal </w:t>
      </w:r>
      <w:r w:rsidR="0071715F">
        <w:rPr>
          <w:bCs/>
          <w:i/>
          <w:iCs/>
        </w:rPr>
        <w:t>a</w:t>
      </w:r>
      <w:r w:rsidRPr="0071715F">
        <w:rPr>
          <w:bCs/>
          <w:i/>
          <w:iCs/>
        </w:rPr>
        <w:t>ctivity:</w:t>
      </w:r>
      <w:r>
        <w:t xml:space="preserve"> Direct costs to the justice system (e.g., policing, court proceedings, incarceration) can be estimated, though attributing these costs specifically to gambling remains challenging. Broader impacts on individuals and communities are difficult to incorporate into costing.</w:t>
      </w:r>
    </w:p>
    <w:p w14:paraId="1F50048A" w14:textId="0252ABA6" w:rsidR="00DB689D" w:rsidRDefault="00310A10" w:rsidP="00367A8D">
      <w:pPr>
        <w:spacing w:line="360" w:lineRule="auto"/>
        <w:ind w:left="1080" w:hanging="360"/>
      </w:pPr>
      <w:r>
        <w:t>●</w:t>
      </w:r>
      <w:r>
        <w:rPr>
          <w:sz w:val="14"/>
          <w:szCs w:val="14"/>
        </w:rPr>
        <w:t xml:space="preserve"> </w:t>
      </w:r>
      <w:r>
        <w:rPr>
          <w:sz w:val="14"/>
          <w:szCs w:val="14"/>
        </w:rPr>
        <w:tab/>
      </w:r>
      <w:r w:rsidRPr="0071715F">
        <w:rPr>
          <w:bCs/>
          <w:i/>
          <w:iCs/>
        </w:rPr>
        <w:t xml:space="preserve">Relationship </w:t>
      </w:r>
      <w:r w:rsidR="0071715F">
        <w:rPr>
          <w:bCs/>
          <w:i/>
          <w:iCs/>
        </w:rPr>
        <w:t>d</w:t>
      </w:r>
      <w:r w:rsidRPr="0071715F">
        <w:rPr>
          <w:bCs/>
          <w:i/>
          <w:iCs/>
        </w:rPr>
        <w:t>isruption:</w:t>
      </w:r>
      <w:r>
        <w:t xml:space="preserve"> While significant, these harms are largely intangible and difficult to quantify in economic terms. Some tangible aspects (e.g., costs of divorce proceedings) might be measurable, but they represent only a fraction of the total impact. However, prevalence surveys that include self-reported HRQoL impact to affected others provide a solid foundation for costing.</w:t>
      </w:r>
    </w:p>
    <w:p w14:paraId="5BCAE68A" w14:textId="3881019B" w:rsidR="00DB689D" w:rsidRDefault="00310A10" w:rsidP="00367A8D">
      <w:pPr>
        <w:spacing w:line="360" w:lineRule="auto"/>
        <w:ind w:left="1080" w:hanging="360"/>
      </w:pPr>
      <w:r>
        <w:t>●</w:t>
      </w:r>
      <w:r>
        <w:rPr>
          <w:sz w:val="14"/>
          <w:szCs w:val="14"/>
        </w:rPr>
        <w:t xml:space="preserve"> </w:t>
      </w:r>
      <w:r>
        <w:rPr>
          <w:sz w:val="14"/>
          <w:szCs w:val="14"/>
        </w:rPr>
        <w:tab/>
      </w:r>
      <w:r w:rsidRPr="0071715F">
        <w:rPr>
          <w:bCs/>
          <w:i/>
          <w:iCs/>
        </w:rPr>
        <w:t xml:space="preserve">Cultural </w:t>
      </w:r>
      <w:r w:rsidR="0071715F">
        <w:rPr>
          <w:bCs/>
          <w:i/>
          <w:iCs/>
        </w:rPr>
        <w:t>h</w:t>
      </w:r>
      <w:r w:rsidRPr="0071715F">
        <w:rPr>
          <w:bCs/>
          <w:i/>
          <w:iCs/>
        </w:rPr>
        <w:t>arm:</w:t>
      </w:r>
      <w:r>
        <w:t xml:space="preserve"> This is perhaps the most challenging domain to cost economically due to its intangible nature, predominance of qualitative research, and the lack of standardised measures across diverse cultural contexts.</w:t>
      </w:r>
    </w:p>
    <w:p w14:paraId="11FB361F" w14:textId="071230D6" w:rsidR="00DB689D" w:rsidRDefault="00310A10" w:rsidP="00367A8D">
      <w:pPr>
        <w:spacing w:line="360" w:lineRule="auto"/>
        <w:ind w:left="1080" w:hanging="360"/>
      </w:pPr>
      <w:r>
        <w:t>●</w:t>
      </w:r>
      <w:r>
        <w:rPr>
          <w:sz w:val="14"/>
          <w:szCs w:val="14"/>
        </w:rPr>
        <w:t xml:space="preserve"> </w:t>
      </w:r>
      <w:r>
        <w:rPr>
          <w:sz w:val="14"/>
          <w:szCs w:val="14"/>
        </w:rPr>
        <w:tab/>
      </w:r>
      <w:r w:rsidRPr="0071715F">
        <w:rPr>
          <w:bCs/>
          <w:i/>
          <w:iCs/>
        </w:rPr>
        <w:t xml:space="preserve">Legacy, </w:t>
      </w:r>
      <w:r w:rsidR="0071715F">
        <w:rPr>
          <w:bCs/>
          <w:i/>
          <w:iCs/>
        </w:rPr>
        <w:t>l</w:t>
      </w:r>
      <w:r w:rsidRPr="0071715F">
        <w:rPr>
          <w:bCs/>
          <w:i/>
          <w:iCs/>
        </w:rPr>
        <w:t xml:space="preserve">ife </w:t>
      </w:r>
      <w:r w:rsidR="0071715F">
        <w:rPr>
          <w:bCs/>
          <w:i/>
          <w:iCs/>
        </w:rPr>
        <w:t>c</w:t>
      </w:r>
      <w:r w:rsidRPr="0071715F">
        <w:rPr>
          <w:bCs/>
          <w:i/>
          <w:iCs/>
        </w:rPr>
        <w:t xml:space="preserve">ourse and </w:t>
      </w:r>
      <w:r w:rsidR="0071715F">
        <w:rPr>
          <w:bCs/>
          <w:i/>
          <w:iCs/>
        </w:rPr>
        <w:t>g</w:t>
      </w:r>
      <w:r w:rsidRPr="0071715F">
        <w:rPr>
          <w:bCs/>
          <w:i/>
          <w:iCs/>
        </w:rPr>
        <w:t xml:space="preserve">enerational </w:t>
      </w:r>
      <w:r w:rsidR="0071715F">
        <w:rPr>
          <w:bCs/>
          <w:i/>
          <w:iCs/>
        </w:rPr>
        <w:t>h</w:t>
      </w:r>
      <w:r w:rsidRPr="0071715F">
        <w:rPr>
          <w:bCs/>
          <w:i/>
          <w:iCs/>
        </w:rPr>
        <w:t>arm:</w:t>
      </w:r>
      <w:r>
        <w:t xml:space="preserve"> While some tangible outcomes (e.g., homelessness) can be costed, the long-term and intergenerational nature of these harms makes comprehensive economic quantification extremely challenging.</w:t>
      </w:r>
    </w:p>
    <w:p w14:paraId="6D57EBA5" w14:textId="77777777" w:rsidR="00DB689D" w:rsidRDefault="00310A10" w:rsidP="00367A8D">
      <w:pPr>
        <w:spacing w:line="360" w:lineRule="auto"/>
        <w:ind w:left="1080" w:hanging="360"/>
      </w:pPr>
      <w:r>
        <w:t xml:space="preserve">● </w:t>
      </w:r>
      <w:r w:rsidRPr="0071715F">
        <w:rPr>
          <w:bCs/>
          <w:i/>
          <w:iCs/>
        </w:rPr>
        <w:tab/>
        <w:t>Other government or community costs:</w:t>
      </w:r>
      <w:r>
        <w:t xml:space="preserve"> Government-related costs are relatively easy to identify and quantify. However, estimating costs associated with non-profit organisations is more complex, as many services (e.g., telephone helplines, community support programs) address a range of intersecting issues, not solely gambling harm. Environmental costs remain challenging due to limited research and data, and are therefore not costed in this report.</w:t>
      </w:r>
    </w:p>
    <w:p w14:paraId="60F81578" w14:textId="77777777" w:rsidR="00DB689D" w:rsidRDefault="00310A10" w:rsidP="00367A8D">
      <w:pPr>
        <w:spacing w:line="360" w:lineRule="auto"/>
        <w:ind w:left="720"/>
      </w:pPr>
      <w:r>
        <w:t xml:space="preserve"> </w:t>
      </w:r>
    </w:p>
    <w:p w14:paraId="285C9874" w14:textId="77777777" w:rsidR="00DB689D" w:rsidRDefault="00310A10" w:rsidP="00367A8D">
      <w:pPr>
        <w:spacing w:line="360" w:lineRule="auto"/>
      </w:pPr>
      <w:r>
        <w:t>While economic costing of gambling-related harm is feasible to varying degrees across different domains, it is probable that any such costing likely underestimates the true societal impact. The intangible and unquantified nature of many harms, particularly those related to relationships, culture, and long-term life trajectories, means that a significant portion of gambling's negative impacts may remain unmeasurable in purely economic terms. Furthermore, there is varying quality of evidence available for items that can be costed, leading to variable confidence intervals for each cost component. Nevertheless, by drawing upon evidence regarding HRQoL impacts in New Zealand, and making reasonable extrapolations from similar jurisdictions, a large portion of many of these impacts may be estimated.</w:t>
      </w:r>
    </w:p>
    <w:p w14:paraId="03515749" w14:textId="77777777" w:rsidR="00DB689D" w:rsidRDefault="00DB689D" w:rsidP="00367A8D">
      <w:pPr>
        <w:spacing w:line="360" w:lineRule="auto"/>
      </w:pPr>
    </w:p>
    <w:p w14:paraId="628E4763" w14:textId="77777777" w:rsidR="00DB689D" w:rsidRDefault="00310A10" w:rsidP="00367A8D">
      <w:pPr>
        <w:spacing w:line="360" w:lineRule="auto"/>
      </w:pPr>
      <w:bookmarkStart w:id="100" w:name="_52s6btr92wfj" w:colFirst="0" w:colLast="0"/>
      <w:bookmarkEnd w:id="100"/>
      <w:r>
        <w:br w:type="page"/>
      </w:r>
    </w:p>
    <w:p w14:paraId="07557FD5" w14:textId="65E58AD7" w:rsidR="00DB689D" w:rsidRDefault="00310A10" w:rsidP="00367A8D">
      <w:pPr>
        <w:pStyle w:val="Heading1"/>
        <w:spacing w:line="360" w:lineRule="auto"/>
      </w:pPr>
      <w:bookmarkStart w:id="101" w:name="_t8h8sro0lclq" w:colFirst="0" w:colLast="0"/>
      <w:bookmarkStart w:id="102" w:name="_Toc201572379"/>
      <w:bookmarkStart w:id="103" w:name="_Toc207195897"/>
      <w:bookmarkEnd w:id="101"/>
      <w:r>
        <w:t>Review of related gambling costing studies</w:t>
      </w:r>
      <w:bookmarkEnd w:id="102"/>
      <w:bookmarkEnd w:id="103"/>
    </w:p>
    <w:p w14:paraId="7615B0D8" w14:textId="77777777" w:rsidR="00DB689D" w:rsidRDefault="00DB689D" w:rsidP="00367A8D">
      <w:pPr>
        <w:spacing w:line="360" w:lineRule="auto"/>
      </w:pPr>
    </w:p>
    <w:p w14:paraId="392E3D97" w14:textId="77777777" w:rsidR="00DB689D" w:rsidRDefault="00310A10" w:rsidP="00367A8D">
      <w:pPr>
        <w:spacing w:line="360" w:lineRule="auto"/>
      </w:pPr>
      <w:r>
        <w:t>The economic impact of gambling-related harm has been a subject of significant research interest globally. This review examines key studies that have attempted to quantify the costs associated with gambling harm.</w:t>
      </w:r>
    </w:p>
    <w:p w14:paraId="3DFD8BB8" w14:textId="77777777" w:rsidR="00DB689D" w:rsidRDefault="00310A10" w:rsidP="00657824">
      <w:pPr>
        <w:pStyle w:val="Heading2"/>
      </w:pPr>
      <w:bookmarkStart w:id="104" w:name="_he23pb8kitrf" w:colFirst="0" w:colLast="0"/>
      <w:bookmarkStart w:id="105" w:name="_Toc201572380"/>
      <w:bookmarkStart w:id="106" w:name="_Toc207195898"/>
      <w:bookmarkEnd w:id="104"/>
      <w:r>
        <w:t>New Zealand studies</w:t>
      </w:r>
      <w:bookmarkEnd w:id="105"/>
      <w:bookmarkEnd w:id="106"/>
    </w:p>
    <w:p w14:paraId="42E5DEB8" w14:textId="4BA67B6E" w:rsidR="00DB689D" w:rsidRPr="00FB308C" w:rsidRDefault="00310A10" w:rsidP="00C30E1A">
      <w:pPr>
        <w:pStyle w:val="Heading3"/>
      </w:pPr>
      <w:bookmarkStart w:id="107" w:name="_wypdmhqppy1f" w:colFirst="0" w:colLast="0"/>
      <w:bookmarkStart w:id="108" w:name="_Toc201572381"/>
      <w:bookmarkStart w:id="109" w:name="_Toc207195899"/>
      <w:bookmarkEnd w:id="107"/>
      <w:r w:rsidRPr="00FB308C">
        <w:t xml:space="preserve">Social and Economic Impacts of Gambling in New Zealand </w:t>
      </w:r>
      <w:r w:rsidR="0038398B" w:rsidRPr="00FB308C">
        <w:t>(2001)</w:t>
      </w:r>
      <w:bookmarkEnd w:id="108"/>
      <w:bookmarkEnd w:id="109"/>
    </w:p>
    <w:p w14:paraId="079E20A0" w14:textId="77777777" w:rsidR="00DB689D" w:rsidRDefault="00310A10" w:rsidP="00367A8D">
      <w:pPr>
        <w:spacing w:line="360" w:lineRule="auto"/>
      </w:pPr>
      <w:r>
        <w:t>This report was one of the first comprehensive attempts to assess the social and economic impacts of gambling in New Zealand. While it did not provide a specific monetary estimate of gambling-related costs, it highlighted the need for a comprehensive approach to understanding gambling impacts, beyond simple economic calculations.</w:t>
      </w:r>
    </w:p>
    <w:p w14:paraId="58563D31" w14:textId="77777777" w:rsidR="00DB689D" w:rsidRDefault="00310A10" w:rsidP="00367A8D">
      <w:pPr>
        <w:spacing w:line="360" w:lineRule="auto"/>
      </w:pPr>
      <w:r>
        <w:t xml:space="preserve"> </w:t>
      </w:r>
    </w:p>
    <w:p w14:paraId="7F765AF0" w14:textId="77777777" w:rsidR="00DB689D" w:rsidRDefault="00310A10" w:rsidP="00367A8D">
      <w:pPr>
        <w:spacing w:line="360" w:lineRule="auto"/>
      </w:pPr>
      <w:r>
        <w:t>It emphasised the difficulty in establishing causal relationships between gambling and various outcomes, particularly given the complexity of separating gambling-related impacts from co-occurring issues such as substance abuse or mental health problems. The report identified significant gaps in New Zealand-specific data, calling for more comprehensive and systematic data collection efforts. To address these challenges, the study proposed a conceptual framework categorising gambling impacts into personal, interpersonal, and community/societal levels. Importantly, it stressed the need for culturally appropriate research methods, especially for Māori communities.</w:t>
      </w:r>
    </w:p>
    <w:p w14:paraId="7A8B96BB" w14:textId="63A37662" w:rsidR="00DB689D" w:rsidRPr="00FB308C" w:rsidRDefault="00310A10" w:rsidP="00C30E1A">
      <w:pPr>
        <w:pStyle w:val="Heading3"/>
      </w:pPr>
      <w:bookmarkStart w:id="110" w:name="_nd13r9ze89w3" w:colFirst="0" w:colLast="0"/>
      <w:bookmarkStart w:id="111" w:name="_Toc201572382"/>
      <w:bookmarkStart w:id="112" w:name="_Toc207195900"/>
      <w:bookmarkEnd w:id="110"/>
      <w:r w:rsidRPr="00C30E1A">
        <w:t>Assessment</w:t>
      </w:r>
      <w:r w:rsidRPr="00FB308C">
        <w:t xml:space="preserve"> of the Social and Economic Impacts of Gambling in New Zealand </w:t>
      </w:r>
      <w:r w:rsidR="0038398B" w:rsidRPr="00FB308C">
        <w:t>(2008)</w:t>
      </w:r>
      <w:bookmarkEnd w:id="111"/>
      <w:bookmarkEnd w:id="112"/>
    </w:p>
    <w:p w14:paraId="58227333" w14:textId="77777777" w:rsidR="00DB689D" w:rsidRDefault="00310A10" w:rsidP="00367A8D">
      <w:pPr>
        <w:spacing w:line="360" w:lineRule="auto"/>
      </w:pPr>
      <w:r>
        <w:t>This study aimed to provide quantitative measures of the impacts of gambling from a representative sample of New Zealanders aged 15-80 years. It collected data on both negative and positive impacts experienced by people who gamble, and others affected by gambling, including impacts on different ethnic groups. It used a general population survey with a total sample size of 7,010, including oversampling of Māori, Pacific, and Chinese/Korean peoples.</w:t>
      </w:r>
    </w:p>
    <w:p w14:paraId="3CAA61B1" w14:textId="77777777" w:rsidR="00DB689D" w:rsidRDefault="00310A10" w:rsidP="00367A8D">
      <w:pPr>
        <w:spacing w:line="360" w:lineRule="auto"/>
      </w:pPr>
      <w:r>
        <w:t xml:space="preserve"> </w:t>
      </w:r>
    </w:p>
    <w:p w14:paraId="6F7287EF" w14:textId="77777777" w:rsidR="00DB689D" w:rsidRDefault="00310A10" w:rsidP="00367A8D">
      <w:pPr>
        <w:spacing w:line="360" w:lineRule="auto"/>
      </w:pPr>
      <w:r>
        <w:t>The study found that 61.8% of the general population had participated in gambling in the past 12 months. EGMs were used by 4% in clubs, 8% in bars/pubs, and 8% in casinos. The study categorised 3.2% of the sample as ‘heavier’ gambling participants based on time spent and losses relative to income. People who gambled at this level reported experiencing significantly worse physical health, mental health, feelings about self, and lower life satisfaction compared to people who do not gamble or those who gamble at a lower level.</w:t>
      </w:r>
    </w:p>
    <w:p w14:paraId="17D5C45A" w14:textId="77777777" w:rsidR="00DB689D" w:rsidRDefault="00310A10" w:rsidP="00367A8D">
      <w:pPr>
        <w:spacing w:line="360" w:lineRule="auto"/>
      </w:pPr>
      <w:r>
        <w:t xml:space="preserve"> </w:t>
      </w:r>
    </w:p>
    <w:p w14:paraId="7EDA7327" w14:textId="77777777" w:rsidR="00DB689D" w:rsidRDefault="00310A10" w:rsidP="00367A8D">
      <w:pPr>
        <w:spacing w:line="360" w:lineRule="auto"/>
      </w:pPr>
      <w:r>
        <w:t>Time spent on EGMs, particularly in bars, was associated with poorer quality of life across multiple domains, even after controlling for demographic factors. Different gambling modes showed varying impacts across ethnic groups. For Māori and Pacific peoples, there were significant negative associations between gambling participation and HRQoL. There was also evidence of quantifiable negative impacts on affected others of people categorised as engaging in heavier gambling.</w:t>
      </w:r>
    </w:p>
    <w:p w14:paraId="1D80A3CB" w14:textId="77777777" w:rsidR="00DB689D" w:rsidRDefault="00310A10" w:rsidP="00367A8D">
      <w:pPr>
        <w:spacing w:line="360" w:lineRule="auto"/>
      </w:pPr>
      <w:r>
        <w:t xml:space="preserve"> </w:t>
      </w:r>
    </w:p>
    <w:p w14:paraId="6B18698D" w14:textId="77777777" w:rsidR="00DB689D" w:rsidRDefault="00310A10" w:rsidP="00367A8D">
      <w:pPr>
        <w:spacing w:line="360" w:lineRule="auto"/>
      </w:pPr>
      <w:r>
        <w:t>Using a non-gambling counterfactual scenario, the economic analysis estimated that 2.4% of the population may have lower mental wellbeing due to their own, or someone else’s gambling, with EGM use and being an associate of a person who gambles as major contributors. The study estimated about 10,000 people committed illegal activities in the past year due to gambling.</w:t>
      </w:r>
    </w:p>
    <w:p w14:paraId="22963904" w14:textId="010947C6" w:rsidR="00DB689D" w:rsidRPr="00FB308C" w:rsidRDefault="00310A10" w:rsidP="00C30E1A">
      <w:pPr>
        <w:pStyle w:val="Heading3"/>
      </w:pPr>
      <w:bookmarkStart w:id="113" w:name="_e9t241io5dhy" w:colFirst="0" w:colLast="0"/>
      <w:bookmarkStart w:id="114" w:name="_Toc201572383"/>
      <w:bookmarkStart w:id="115" w:name="_Toc207195901"/>
      <w:bookmarkEnd w:id="113"/>
      <w:r w:rsidRPr="00FB308C">
        <w:t xml:space="preserve">Problem Gambling Research: A study of community level harm from gambling </w:t>
      </w:r>
      <w:r w:rsidR="0038398B" w:rsidRPr="00FB308C">
        <w:t>(2010)</w:t>
      </w:r>
      <w:bookmarkEnd w:id="114"/>
      <w:bookmarkEnd w:id="115"/>
    </w:p>
    <w:p w14:paraId="78160C6A" w14:textId="77777777" w:rsidR="00DB689D" w:rsidRDefault="00310A10" w:rsidP="00367A8D">
      <w:pPr>
        <w:spacing w:line="360" w:lineRule="auto"/>
      </w:pPr>
      <w:r>
        <w:t>In 2010, Wall et al. aimed to identify and validate appropriate measures of community-level harm from gambling in New Zealand. They used an ecological approach to investigate associations between gambling exposure in geographic communities and indicators of community-level harm. It utilised Census Area Units (CAUs) as the geographic unit of analysis and developed measures of gambling exposure based on EGM density and distance to gambling venues.</w:t>
      </w:r>
    </w:p>
    <w:p w14:paraId="00E74708" w14:textId="77777777" w:rsidR="00DB689D" w:rsidRDefault="00310A10" w:rsidP="00367A8D">
      <w:pPr>
        <w:spacing w:line="360" w:lineRule="auto"/>
      </w:pPr>
      <w:r>
        <w:t xml:space="preserve"> </w:t>
      </w:r>
    </w:p>
    <w:p w14:paraId="439CAF6F" w14:textId="77777777" w:rsidR="00DB689D" w:rsidRDefault="00310A10" w:rsidP="00367A8D">
      <w:pPr>
        <w:spacing w:line="360" w:lineRule="auto"/>
      </w:pPr>
      <w:r>
        <w:t>The study found that higher exposure to gambling opportunities was significantly linked to higher crime rates across multiple categories in urban areas. Contrary to expectations, negative schooling outcomes were associated with lower gambling exposure. Social capital measures showed that higher EGM density was associated with lower levels of trust, sense of belonging, and community cohesion in urban areas. Volunteering rates were lower in areas with higher EGM density.</w:t>
      </w:r>
    </w:p>
    <w:p w14:paraId="6D0311A2" w14:textId="77777777" w:rsidR="00DB689D" w:rsidRDefault="00310A10" w:rsidP="00367A8D">
      <w:pPr>
        <w:spacing w:line="360" w:lineRule="auto"/>
      </w:pPr>
      <w:r>
        <w:t xml:space="preserve"> </w:t>
      </w:r>
    </w:p>
    <w:p w14:paraId="29C87721" w14:textId="77777777" w:rsidR="00DB689D" w:rsidRDefault="00310A10" w:rsidP="00367A8D">
      <w:pPr>
        <w:spacing w:line="360" w:lineRule="auto"/>
      </w:pPr>
      <w:r>
        <w:t>Results for other indicators like debt risk and rates of children at risk showed mixed or counterintuitive associations with gambling exposure. Contrary to expectations, urban areas with higher gambling density were associated with lower debt-default risk, while areas with higher gambling exposure had lower rates of children on the at-risk register. These counterintuitive results highlight the complex nature of gambling's community-level impacts and suggest that the relationships between gambling opportunities and social outcomes may be more nuanced than initially theorised. Possible explanations for these findings included confounding factors, data limitations, reverse causality, or reporting issues.</w:t>
      </w:r>
    </w:p>
    <w:p w14:paraId="0A8EE976" w14:textId="77777777" w:rsidR="00DB689D" w:rsidRDefault="00310A10" w:rsidP="00367A8D">
      <w:pPr>
        <w:spacing w:line="360" w:lineRule="auto"/>
      </w:pPr>
      <w:r>
        <w:t xml:space="preserve"> </w:t>
      </w:r>
    </w:p>
    <w:p w14:paraId="279EF763" w14:textId="77777777" w:rsidR="00DB689D" w:rsidRDefault="00310A10" w:rsidP="00367A8D">
      <w:pPr>
        <w:spacing w:line="360" w:lineRule="auto"/>
      </w:pPr>
      <w:r>
        <w:t>The authors also attempted to examine the extent to which gambling funds are returned to communities through charitable grants but found significant challenges in tracking grant expenditures at the local level. The study provided some insight into potential community-level indicators of gambling harm and highlighted areas for further research, including the need for more detailed examination of how gambling opportunities interact with other structural factors in local environments.</w:t>
      </w:r>
    </w:p>
    <w:p w14:paraId="18854831" w14:textId="77777777" w:rsidR="00DB689D" w:rsidRDefault="00310A10" w:rsidP="00657824">
      <w:pPr>
        <w:pStyle w:val="Heading2"/>
      </w:pPr>
      <w:bookmarkStart w:id="116" w:name="_8zhmcg37zcrf" w:colFirst="0" w:colLast="0"/>
      <w:bookmarkStart w:id="117" w:name="_Toc201572384"/>
      <w:bookmarkStart w:id="118" w:name="_Toc207195902"/>
      <w:bookmarkEnd w:id="116"/>
      <w:r>
        <w:t>International studies</w:t>
      </w:r>
      <w:bookmarkEnd w:id="117"/>
      <w:bookmarkEnd w:id="118"/>
    </w:p>
    <w:p w14:paraId="4C2F2E42" w14:textId="6706A12D" w:rsidR="00DB689D" w:rsidRPr="00FB308C" w:rsidRDefault="00310A10" w:rsidP="00C30E1A">
      <w:pPr>
        <w:pStyle w:val="Heading3"/>
      </w:pPr>
      <w:bookmarkStart w:id="119" w:name="_dwcyybitueta" w:colFirst="0" w:colLast="0"/>
      <w:bookmarkStart w:id="120" w:name="_Toc201572385"/>
      <w:bookmarkStart w:id="121" w:name="_Toc207195903"/>
      <w:bookmarkEnd w:id="119"/>
      <w:r w:rsidRPr="00FB308C">
        <w:t xml:space="preserve">Australian Productivity Commission </w:t>
      </w:r>
      <w:r w:rsidR="0038398B" w:rsidRPr="00FB308C">
        <w:t>(1999)</w:t>
      </w:r>
      <w:bookmarkEnd w:id="120"/>
      <w:bookmarkEnd w:id="121"/>
    </w:p>
    <w:p w14:paraId="490E6521" w14:textId="5FBD008F" w:rsidR="00DB689D" w:rsidRDefault="00310A10" w:rsidP="00367A8D">
      <w:pPr>
        <w:spacing w:line="360" w:lineRule="auto"/>
      </w:pPr>
      <w:r>
        <w:t xml:space="preserve">The Australian Productivity Commission's 1999 study is an older, but still highly influential economic costing exercise. </w:t>
      </w:r>
      <w:r w:rsidR="00D13B28">
        <w:t xml:space="preserve">However, it should be noted that the gambling landscape has changed considerably since this time, particularly regarding the availability and uptake of online gambling products. </w:t>
      </w:r>
      <w:r>
        <w:t>They estimated gambling costs in Australia for 1997-98 using data from the National Gambling Survey and the Survey of Clients of Counselling Agencies (SCCA). They focused on severe cases, including only SCCA respondents with South Oaks Gambling Screen scores of 10 or above, representing 47,000 individuals rather than the estimated 293,000 people categorised as problem gambling in Australia at that time. The analysis covered five main categories: personal and family impacts, treatment costs, crime, financial, and productivity and employment.</w:t>
      </w:r>
    </w:p>
    <w:p w14:paraId="484A83F2" w14:textId="77777777" w:rsidR="00DB689D" w:rsidRDefault="00310A10" w:rsidP="00367A8D">
      <w:pPr>
        <w:spacing w:line="360" w:lineRule="auto"/>
      </w:pPr>
      <w:r>
        <w:t xml:space="preserve"> </w:t>
      </w:r>
    </w:p>
    <w:p w14:paraId="6DB4B666" w14:textId="77777777" w:rsidR="00DB689D" w:rsidRDefault="00310A10" w:rsidP="00367A8D">
      <w:pPr>
        <w:spacing w:line="360" w:lineRule="auto"/>
      </w:pPr>
      <w:r>
        <w:t>Personal and family costs covered emotional distress to family members, depression, suicidal behaviour, relationship breakdowns, and gambling-related violence. The Commission applied compensation values ranging from A$5,000 to A$50,000, depending on severity. To account for causality uncertainty, a 20% reduction was applied to estimates. To avoid double-counting, overlapping impacts were carefully managed. For example, suicidal thoughts were excluded from depression calculations. The Commission's approach also included adjustments for causality, sampling, and average problem gambling lifespan to provide a comprehensive estimate.</w:t>
      </w:r>
    </w:p>
    <w:p w14:paraId="48C65EF1" w14:textId="77777777" w:rsidR="00DB689D" w:rsidRDefault="00310A10" w:rsidP="00367A8D">
      <w:pPr>
        <w:spacing w:line="360" w:lineRule="auto"/>
      </w:pPr>
      <w:r>
        <w:t xml:space="preserve"> </w:t>
      </w:r>
    </w:p>
    <w:p w14:paraId="7D350F00" w14:textId="77777777" w:rsidR="00DB689D" w:rsidRDefault="00310A10" w:rsidP="00367A8D">
      <w:pPr>
        <w:spacing w:line="360" w:lineRule="auto"/>
      </w:pPr>
      <w:r>
        <w:t>Financial costs included bankruptcy and gambling-related debts to family, friends, financial institutions, and informal lenders. The annual cost of debt transfers was estimated at A$26 million, based on an average debt of A$10,044 per problem person categorised as problem gambling. Bankruptcy costs were calculated using a A$4,000 fee applied to 317 annual gambling-related bankruptcies.</w:t>
      </w:r>
    </w:p>
    <w:p w14:paraId="778D6FD4" w14:textId="77777777" w:rsidR="00DB689D" w:rsidRDefault="00310A10" w:rsidP="00367A8D">
      <w:pPr>
        <w:spacing w:line="360" w:lineRule="auto"/>
      </w:pPr>
      <w:r>
        <w:t xml:space="preserve"> </w:t>
      </w:r>
    </w:p>
    <w:p w14:paraId="08080963" w14:textId="77777777" w:rsidR="00DB689D" w:rsidRDefault="00310A10" w:rsidP="00367A8D">
      <w:pPr>
        <w:spacing w:line="360" w:lineRule="auto"/>
      </w:pPr>
      <w:r>
        <w:t>Productivity and Employment costs encompassed workplace and home productivity losses, and costs due to job changes. For example, productivity loss, considering 30% unemployment among people who gamble, was estimated between A$7 million and A$50 million per year. Job change costs included unemployment periods, benefit payments, job search costs, and staff replacement costs.</w:t>
      </w:r>
    </w:p>
    <w:p w14:paraId="375CC7B3" w14:textId="77777777" w:rsidR="00DB689D" w:rsidRDefault="00310A10" w:rsidP="00367A8D">
      <w:pPr>
        <w:spacing w:line="360" w:lineRule="auto"/>
      </w:pPr>
      <w:r>
        <w:t xml:space="preserve"> </w:t>
      </w:r>
    </w:p>
    <w:p w14:paraId="7D65E25C" w14:textId="77777777" w:rsidR="00DB689D" w:rsidRDefault="00310A10" w:rsidP="00367A8D">
      <w:pPr>
        <w:spacing w:line="360" w:lineRule="auto"/>
      </w:pPr>
      <w:r>
        <w:t>Crime and legal costs included theft (A$5 million to A$31 million), police incidents (A$3.2 million), court proceedings (A$5.6 million), and incarceration (A$5.1 million). Treatment costs were estimated by the government's expenditure on treatment and counselling services at A$20 million.</w:t>
      </w:r>
    </w:p>
    <w:p w14:paraId="48A9D670" w14:textId="77777777" w:rsidR="00DB689D" w:rsidRDefault="00310A10" w:rsidP="00367A8D">
      <w:pPr>
        <w:spacing w:line="360" w:lineRule="auto"/>
      </w:pPr>
      <w:r>
        <w:t xml:space="preserve"> </w:t>
      </w:r>
    </w:p>
    <w:p w14:paraId="369459A2" w14:textId="77777777" w:rsidR="00DB689D" w:rsidRDefault="00310A10" w:rsidP="00367A8D">
      <w:pPr>
        <w:spacing w:line="360" w:lineRule="auto"/>
      </w:pPr>
      <w:r>
        <w:t>Overall, the Commission estimated the total annual cost of problem gambling in Australia to range from A$1.8 billion to A$5.6 billion, equating to about A$6,000 to A$19,000 annually for each person categorised as in the highest risk category.</w:t>
      </w:r>
    </w:p>
    <w:p w14:paraId="743F789C" w14:textId="443228D2" w:rsidR="00DB689D" w:rsidRPr="00FB308C" w:rsidRDefault="00310A10" w:rsidP="00C30E1A">
      <w:pPr>
        <w:pStyle w:val="Heading3"/>
      </w:pPr>
      <w:bookmarkStart w:id="122" w:name="_b8uvsiflen8q" w:colFirst="0" w:colLast="0"/>
      <w:bookmarkStart w:id="123" w:name="_Toc201572386"/>
      <w:bookmarkStart w:id="124" w:name="_Toc207195904"/>
      <w:bookmarkEnd w:id="122"/>
      <w:r w:rsidRPr="00FB308C">
        <w:t xml:space="preserve">Australian Productivity Commission </w:t>
      </w:r>
      <w:r w:rsidR="0038398B" w:rsidRPr="00FB308C">
        <w:t>(2010)</w:t>
      </w:r>
      <w:bookmarkEnd w:id="123"/>
      <w:bookmarkEnd w:id="124"/>
    </w:p>
    <w:p w14:paraId="4202F3EE" w14:textId="77777777" w:rsidR="00DB689D" w:rsidRDefault="00310A10" w:rsidP="00367A8D">
      <w:pPr>
        <w:spacing w:line="360" w:lineRule="auto"/>
      </w:pPr>
      <w:r>
        <w:t>The Australian Productivity Commission's 2010 report updated their 1999 analysis of problem gambling in Australia. Using a similar methodology, they incorporated new data on gambling prevalence, demographics, household income, and inflation. The study estimated annual social costs for people in the highest risk category at A$10,000 to A$30,000, excluding financial costs. Financial losses were calculated by comparing the spending of those categorised as problem gambling to those without a gambling problem, totalling A$4.7 billion to A$8.4 billion. The Commission noted that a 10% reduction in problem gambling harm could potentially save A$470 million annually.</w:t>
      </w:r>
    </w:p>
    <w:p w14:paraId="0654C3A9" w14:textId="7B1B4051" w:rsidR="00DB689D" w:rsidRPr="00FB308C" w:rsidRDefault="00310A10" w:rsidP="00C30E1A">
      <w:pPr>
        <w:pStyle w:val="Heading3"/>
      </w:pPr>
      <w:bookmarkStart w:id="125" w:name="_dvyk5hfb2l12" w:colFirst="0" w:colLast="0"/>
      <w:bookmarkStart w:id="126" w:name="_Toc201572387"/>
      <w:bookmarkStart w:id="127" w:name="_Toc207195905"/>
      <w:bookmarkEnd w:id="125"/>
      <w:r w:rsidRPr="00FB308C">
        <w:t xml:space="preserve">Social and Economic Impact Study of Gambling in Tasmania </w:t>
      </w:r>
      <w:r w:rsidR="0038398B" w:rsidRPr="00FB308C">
        <w:t>(2011)</w:t>
      </w:r>
      <w:bookmarkEnd w:id="126"/>
      <w:bookmarkEnd w:id="127"/>
      <w:r w:rsidRPr="00FB308C">
        <w:t xml:space="preserve"> </w:t>
      </w:r>
    </w:p>
    <w:p w14:paraId="7CE2E7D5" w14:textId="77777777" w:rsidR="00DB689D" w:rsidRDefault="00310A10" w:rsidP="00367A8D">
      <w:pPr>
        <w:spacing w:line="360" w:lineRule="auto"/>
      </w:pPr>
      <w:r>
        <w:t>The 2011 Tasmanian gambling impact study conducted by the Allen Consulting Group, The Problem Gambling Research and Treatment Centre, and the Social Research Centre used the Problem Gambling Severity Index (PGSI; Ferris &amp; Wynne, 2001) categories to evaluate costs, aligning with previous Australian Productivity Commission methodologies (1999, 2010). Three cost scenarios were developed which accounted for 100% of people categorised as problem gambling and included varying percentages of people with moderate-risk gambling: narrow (25%), moderate (50%), and broad (75%).</w:t>
      </w:r>
    </w:p>
    <w:p w14:paraId="27E4D47C" w14:textId="77777777" w:rsidR="00DB689D" w:rsidRDefault="00310A10" w:rsidP="00367A8D">
      <w:pPr>
        <w:spacing w:line="360" w:lineRule="auto"/>
      </w:pPr>
      <w:r>
        <w:t xml:space="preserve"> </w:t>
      </w:r>
    </w:p>
    <w:p w14:paraId="10B86780" w14:textId="77777777" w:rsidR="00DB689D" w:rsidRDefault="00310A10" w:rsidP="00367A8D">
      <w:pPr>
        <w:spacing w:line="360" w:lineRule="auto"/>
      </w:pPr>
      <w:r>
        <w:t>Cost categories included financial, productivity, crime, personal/family, and treatment. Estimates ranged from A$37-104 million (narrow approach), A$51-144 million (moderate approach), and A$64-184 million (broad approach). Notably, 85-90% of costs were attributed to personal and family impacts, with emotional distress comprising about half the total.</w:t>
      </w:r>
    </w:p>
    <w:p w14:paraId="0D6753CC" w14:textId="77777777" w:rsidR="00DB689D" w:rsidRDefault="00310A10" w:rsidP="00367A8D">
      <w:pPr>
        <w:spacing w:line="360" w:lineRule="auto"/>
      </w:pPr>
      <w:r>
        <w:t xml:space="preserve"> </w:t>
      </w:r>
    </w:p>
    <w:p w14:paraId="500678B9" w14:textId="77777777" w:rsidR="00DB689D" w:rsidRDefault="00310A10" w:rsidP="00367A8D">
      <w:pPr>
        <w:spacing w:line="360" w:lineRule="auto"/>
      </w:pPr>
      <w:r>
        <w:t>The study adjusted for causality, gambling problem lifespan, and double-counting, using inflation-adjusted 1999 Australian Productivity Commission data where Tasmanian data were unavailable. Researchers noted difficulty in determining which approach most accurately reflected moderate-risk gambling costs.</w:t>
      </w:r>
    </w:p>
    <w:p w14:paraId="23523337" w14:textId="36A1F7B4" w:rsidR="00DB689D" w:rsidRPr="00FB308C" w:rsidRDefault="00310A10" w:rsidP="00C30E1A">
      <w:pPr>
        <w:pStyle w:val="Heading3"/>
      </w:pPr>
      <w:bookmarkStart w:id="128" w:name="_wle0psxuvdvi" w:colFirst="0" w:colLast="0"/>
      <w:bookmarkStart w:id="129" w:name="_Toc201572388"/>
      <w:bookmarkStart w:id="130" w:name="_Toc207195906"/>
      <w:bookmarkEnd w:id="128"/>
      <w:r w:rsidRPr="00FB308C">
        <w:t xml:space="preserve">Victorian Competition and Efficiency Commission </w:t>
      </w:r>
      <w:r w:rsidR="0038398B" w:rsidRPr="00FB308C">
        <w:t>(2012)</w:t>
      </w:r>
      <w:bookmarkEnd w:id="129"/>
      <w:bookmarkEnd w:id="130"/>
      <w:r w:rsidRPr="00FB308C">
        <w:t xml:space="preserve"> </w:t>
      </w:r>
    </w:p>
    <w:p w14:paraId="23838EF0" w14:textId="77777777" w:rsidR="00DB689D" w:rsidRDefault="00310A10" w:rsidP="00367A8D">
      <w:pPr>
        <w:spacing w:line="360" w:lineRule="auto"/>
      </w:pPr>
      <w:r>
        <w:t>The Victorian Competition and Efficiency Commission (VCEC) conducted a 2012 study on problem gambling costs in Victoria for 2010-2011, using a similar approach to the 1999 Australian Productivity Commission inquiry. They distinguished between economic costs (resource-related) and social costs (wellbeing-related), using data from various sources, including the Victorian Gambling Study and unpublished Gamblers Help Data.</w:t>
      </w:r>
    </w:p>
    <w:p w14:paraId="090F4B62" w14:textId="77777777" w:rsidR="00DB689D" w:rsidRDefault="00310A10" w:rsidP="00367A8D">
      <w:pPr>
        <w:spacing w:line="360" w:lineRule="auto"/>
      </w:pPr>
      <w:r>
        <w:t xml:space="preserve"> </w:t>
      </w:r>
    </w:p>
    <w:p w14:paraId="2ACB98F0" w14:textId="77777777" w:rsidR="00DB689D" w:rsidRDefault="00310A10" w:rsidP="00367A8D">
      <w:pPr>
        <w:spacing w:line="360" w:lineRule="auto"/>
      </w:pPr>
      <w:r>
        <w:t>The VCEC provided detailed estimates for government costs, including A$42.1 million for the Victorian Government, A$0.3 to A$0.7 million for local government, and A$1.6 million for the Commonwealth Government. Indirect costs, calculated using Victorian budget data, ranged from A$6 million to A$79 million, considering impacts on various human services.</w:t>
      </w:r>
    </w:p>
    <w:p w14:paraId="5FB6FAB7" w14:textId="77777777" w:rsidR="00DB689D" w:rsidRDefault="00310A10" w:rsidP="00367A8D">
      <w:pPr>
        <w:spacing w:line="360" w:lineRule="auto"/>
      </w:pPr>
      <w:r>
        <w:t xml:space="preserve"> </w:t>
      </w:r>
    </w:p>
    <w:p w14:paraId="09BD1BEB" w14:textId="77777777" w:rsidR="00DB689D" w:rsidRDefault="00310A10" w:rsidP="00367A8D">
      <w:pPr>
        <w:spacing w:line="360" w:lineRule="auto"/>
      </w:pPr>
      <w:r>
        <w:t>Other economic costs included job changes, productivity losses, bankruptcy, bad debt, theft, and divorce/separation costs. Justice system costs were estimated at A$26 million. Social and wellbeing costs, estimated between A$400 million and A$1.2 billion, covered impacts on people who gamble, family members, and parents.</w:t>
      </w:r>
    </w:p>
    <w:p w14:paraId="36E4CD41" w14:textId="77777777" w:rsidR="00DB689D" w:rsidRDefault="00310A10" w:rsidP="00367A8D">
      <w:pPr>
        <w:spacing w:line="360" w:lineRule="auto"/>
      </w:pPr>
      <w:r>
        <w:t xml:space="preserve"> </w:t>
      </w:r>
    </w:p>
    <w:p w14:paraId="02A30A03" w14:textId="77777777" w:rsidR="00DB689D" w:rsidRDefault="00310A10" w:rsidP="00367A8D">
      <w:pPr>
        <w:spacing w:line="360" w:lineRule="auto"/>
      </w:pPr>
      <w:r>
        <w:t>Including excess spending by people categorised as problem gambling (A$1.4 billion), the VCEC estimated the total cost of problem gambling in Victoria for 2010-2011 to be between A$1.5 billion and A$2.8 billion.</w:t>
      </w:r>
    </w:p>
    <w:p w14:paraId="43C3CEEF" w14:textId="2071411F" w:rsidR="00DB689D" w:rsidRPr="00FB308C" w:rsidRDefault="00310A10" w:rsidP="00C30E1A">
      <w:pPr>
        <w:pStyle w:val="Heading3"/>
      </w:pPr>
      <w:bookmarkStart w:id="131" w:name="_vsuxx77a0nuc" w:colFirst="0" w:colLast="0"/>
      <w:bookmarkStart w:id="132" w:name="_Toc201572389"/>
      <w:bookmarkStart w:id="133" w:name="_Toc207195907"/>
      <w:bookmarkEnd w:id="131"/>
      <w:r w:rsidRPr="00FB308C">
        <w:t xml:space="preserve">The Social Cost of Gambling to Victoria </w:t>
      </w:r>
      <w:r w:rsidR="0038398B" w:rsidRPr="00FB308C">
        <w:t>(2017)</w:t>
      </w:r>
      <w:bookmarkEnd w:id="132"/>
      <w:bookmarkEnd w:id="133"/>
    </w:p>
    <w:p w14:paraId="49E6895B" w14:textId="77777777" w:rsidR="00DB689D" w:rsidRDefault="00310A10" w:rsidP="00367A8D">
      <w:pPr>
        <w:spacing w:line="360" w:lineRule="auto"/>
      </w:pPr>
      <w:r>
        <w:t>The Social Cost of Gambling to Victoria report (2017) assessed the economic impact of gambling-related harm in Victoria for 2014-2015. This research expanded on previous methodologies while incorporating updated prevalence estimates. It provided a reasonably comprehensive analysis of gambling costs across all severity levels, categorised by harm type and compared to costs associated with other addictive behaviours.</w:t>
      </w:r>
    </w:p>
    <w:p w14:paraId="2C30536F" w14:textId="77777777" w:rsidR="00DB689D" w:rsidRDefault="00310A10" w:rsidP="00367A8D">
      <w:pPr>
        <w:spacing w:line="360" w:lineRule="auto"/>
      </w:pPr>
      <w:r>
        <w:t xml:space="preserve"> </w:t>
      </w:r>
    </w:p>
    <w:p w14:paraId="54FD87F7" w14:textId="77777777" w:rsidR="00DB689D" w:rsidRDefault="00310A10" w:rsidP="00367A8D">
      <w:pPr>
        <w:spacing w:line="360" w:lineRule="auto"/>
      </w:pPr>
      <w:r>
        <w:t>The study utilised a harm framework that incorporates multiple domains: financial, psychological, relational, criminal, productivity, and governmental. It employed a three-step process for cost calculation across low, moderate, and problem PGSI gambling risk categories. The methodology integrated a variety of data sources, making CPI adjustments to 2014-15 values for older financial data. They used average cost estimates, lower estimates in uncertain situations, but provided upper and lower ranges only for significantly uncertain calculations. They also applied a 20% counterfactual discount to prevalence figures and took steps to avoid double-counting.</w:t>
      </w:r>
    </w:p>
    <w:p w14:paraId="1D55E2E1" w14:textId="77777777" w:rsidR="00DB689D" w:rsidRDefault="00310A10" w:rsidP="00367A8D">
      <w:pPr>
        <w:spacing w:line="360" w:lineRule="auto"/>
      </w:pPr>
      <w:r>
        <w:t xml:space="preserve"> </w:t>
      </w:r>
    </w:p>
    <w:p w14:paraId="02ED848B" w14:textId="77777777" w:rsidR="00DB689D" w:rsidRDefault="00310A10" w:rsidP="00367A8D">
      <w:pPr>
        <w:spacing w:line="360" w:lineRule="auto"/>
      </w:pPr>
      <w:r>
        <w:t>The study estimated the total cost of gambling issues in Victoria for 2014-15 at approximately A$7 billion. This cost was distributed across gambling risk levels: A$2.45 billion for low-risk, A$2.36 billion for problem gambling, and A$1.9 billion for moderate-risk gambling.</w:t>
      </w:r>
    </w:p>
    <w:p w14:paraId="6D0281D0" w14:textId="19D3954C" w:rsidR="00DB689D" w:rsidRPr="00FB308C" w:rsidRDefault="00310A10" w:rsidP="00C30E1A">
      <w:pPr>
        <w:pStyle w:val="Heading3"/>
      </w:pPr>
      <w:bookmarkStart w:id="134" w:name="_dydjzp69e1nk" w:colFirst="0" w:colLast="0"/>
      <w:bookmarkStart w:id="135" w:name="_Toc201572390"/>
      <w:bookmarkStart w:id="136" w:name="_Toc207195908"/>
      <w:bookmarkEnd w:id="134"/>
      <w:r w:rsidRPr="00FB308C">
        <w:t xml:space="preserve">Fourth Social and Economic Impact Study of Gambling in Tasmania </w:t>
      </w:r>
      <w:r w:rsidR="0038398B" w:rsidRPr="00FB308C">
        <w:t>(2018)</w:t>
      </w:r>
      <w:bookmarkEnd w:id="135"/>
      <w:bookmarkEnd w:id="136"/>
      <w:r w:rsidRPr="00FB308C">
        <w:t xml:space="preserve"> </w:t>
      </w:r>
    </w:p>
    <w:p w14:paraId="143B070C" w14:textId="77777777" w:rsidR="00DB689D" w:rsidRDefault="00310A10" w:rsidP="00367A8D">
      <w:pPr>
        <w:spacing w:line="360" w:lineRule="auto"/>
      </w:pPr>
      <w:r>
        <w:t>The Fourth Social and Economic Impact Study of Gambling in Tasmania (ACIL Allen Consulting et al., 2018) aimed to quantify gambling harms using three approaches to assess quality of life impacts. A novel discrete choice protocol based on the time trade-off (TTO) method found people who gamble are more likely to report costs than benefits from gambling. However, a direct elicitation study revealed most perceived no significant life changes due to gambling, with only small percentages reporting improvement (6.0%) or deterioration (1.5%). Over half of affected others experienced negative impacts, with lives being 18% worse on average. The study also employed the Gambling Harms Scale 10 (GHS-10; formerly known as the Short Gambling Harm Screen [SGHS]) and the PGSI to calculate disability weights and years of life lost (YLL), estimating 5,531 years lost annually in Tasmania due to HRQoL impacts. This research focused on utility changes rather than monetary valuations, offering insights into gambling's qualitative effects on individuals and their associates.</w:t>
      </w:r>
    </w:p>
    <w:p w14:paraId="378A12C7" w14:textId="31328970" w:rsidR="00DB689D" w:rsidRPr="00FB308C" w:rsidRDefault="00310A10" w:rsidP="00C30E1A">
      <w:pPr>
        <w:pStyle w:val="Heading3"/>
      </w:pPr>
      <w:bookmarkStart w:id="137" w:name="_2vrr1958wf42" w:colFirst="0" w:colLast="0"/>
      <w:bookmarkStart w:id="138" w:name="_Toc201572391"/>
      <w:bookmarkStart w:id="139" w:name="_Toc207195909"/>
      <w:bookmarkEnd w:id="137"/>
      <w:r w:rsidRPr="00FB308C">
        <w:t xml:space="preserve">Social Costs of Gambling in the Czech Republic </w:t>
      </w:r>
      <w:r w:rsidR="0038398B" w:rsidRPr="00FB308C">
        <w:t>(2017)</w:t>
      </w:r>
      <w:bookmarkEnd w:id="138"/>
      <w:bookmarkEnd w:id="139"/>
    </w:p>
    <w:p w14:paraId="46FF37B5" w14:textId="77777777" w:rsidR="00DB689D" w:rsidRDefault="00310A10" w:rsidP="00367A8D">
      <w:pPr>
        <w:spacing w:line="360" w:lineRule="auto"/>
      </w:pPr>
      <w:r>
        <w:t>The 2017 Czech Republic study estimated gambling's social costs using a retrospective, prevalence-based approach. It adapted the Australian Productivity Commission's framework but focused solely on people with severe gambling problems. The total estimated costs ranged from €541.6 to €619.6 million, with personal and family costs comprising 63% of this total. Other categories included health and social care, financial impacts, productivity losses, unemployment, and crime-related expenses. Intangible costs like depression, emotional distress, relationship issues, and suicide were factored in, based on Australian reports. A 20% discount was applied to some costs due to uncertain causality, while other costs were excluded for lack of data.</w:t>
      </w:r>
    </w:p>
    <w:p w14:paraId="4808E54F" w14:textId="7D73A95F" w:rsidR="00DB689D" w:rsidRDefault="00310A10" w:rsidP="00C30E1A">
      <w:pPr>
        <w:pStyle w:val="Heading3"/>
        <w:rPr>
          <w:color w:val="7F7F7F"/>
        </w:rPr>
      </w:pPr>
      <w:bookmarkStart w:id="140" w:name="_o5f5njm47ekr" w:colFirst="0" w:colLast="0"/>
      <w:bookmarkStart w:id="141" w:name="_Toc201572392"/>
      <w:bookmarkStart w:id="142" w:name="_Toc207195910"/>
      <w:bookmarkEnd w:id="140"/>
      <w:r>
        <w:t xml:space="preserve">The Social Costs of Gambling Harms in the Northern Territory </w:t>
      </w:r>
      <w:r w:rsidR="0038398B">
        <w:rPr>
          <w:noProof/>
          <w:color w:val="000000"/>
        </w:rPr>
        <w:t>(2018)</w:t>
      </w:r>
      <w:bookmarkEnd w:id="141"/>
      <w:bookmarkEnd w:id="142"/>
    </w:p>
    <w:p w14:paraId="1851D747" w14:textId="77777777" w:rsidR="00DB689D" w:rsidRDefault="00310A10" w:rsidP="00367A8D">
      <w:pPr>
        <w:spacing w:line="360" w:lineRule="auto"/>
      </w:pPr>
      <w:r>
        <w:t>The 2018 Northern Territory study by Whetton et al. utilised 2018 prevalence data to assess gambling-related harm costs, both for people who gamble and affected others. The study classified 1.4% of the population as problem gambling, 3.6% as moderate-risk, and 9.4% as low-risk using the PGSI. At the population level, over 11,300 people who gamble experienced at least one type of harm from their own gambling, while more than 14,500 people were impacted by another person's gambling.</w:t>
      </w:r>
    </w:p>
    <w:p w14:paraId="16BC6E86" w14:textId="77777777" w:rsidR="00DB689D" w:rsidRDefault="00310A10" w:rsidP="00367A8D">
      <w:pPr>
        <w:spacing w:line="360" w:lineRule="auto"/>
      </w:pPr>
      <w:r>
        <w:t xml:space="preserve"> </w:t>
      </w:r>
    </w:p>
    <w:p w14:paraId="55E8D934" w14:textId="77777777" w:rsidR="00DB689D" w:rsidRDefault="00310A10" w:rsidP="00367A8D">
      <w:pPr>
        <w:spacing w:line="360" w:lineRule="auto"/>
      </w:pPr>
      <w:r>
        <w:t>The study estimated total gambling costs between A$164.9 million and A$381.3 million, with a central estimate of A$190.1 million. This equated to A$9,700 - A$22,500 per person categorised as at-risk gambling (average A$11,223). Costs from own-gambling harm ranged from A$80.8 million to A$158.7 million, with crime, emotional harm, and excess EGM spending as primary contributors. Harm to others cost between A$84.2 million and A$222.6 million, mainly due to crime-related and emotional/psychological impacts.</w:t>
      </w:r>
    </w:p>
    <w:p w14:paraId="60E18784" w14:textId="77777777" w:rsidR="00DB689D" w:rsidRDefault="00DB689D" w:rsidP="00367A8D">
      <w:pPr>
        <w:spacing w:line="360" w:lineRule="auto"/>
      </w:pPr>
    </w:p>
    <w:p w14:paraId="4718B4CF" w14:textId="7AE86B72" w:rsidR="00DB689D" w:rsidRDefault="00310A10" w:rsidP="00367A8D">
      <w:pPr>
        <w:spacing w:line="360" w:lineRule="auto"/>
      </w:pPr>
      <w:r>
        <w:t xml:space="preserve">The costing approach was based on a previous alcohol consumption study and categorised harms using Langham et al.'s </w:t>
      </w:r>
      <w:r w:rsidR="0038398B">
        <w:rPr>
          <w:noProof/>
          <w:color w:val="000000"/>
        </w:rPr>
        <w:t>(2016)</w:t>
      </w:r>
      <w:r>
        <w:t xml:space="preserve"> domains: financial, relational, emotional or psychological, reduced productivity, crime-related costs, physical health impacts, cultural harm, and treatment and community support costs. Low and high estimates were calculated for each cost category across all people categorised as at-risk, and included affected others. The methodology included valuing crime-related costs, work-related harms, and psychological impacts using DALYs and a proxy for the value of a life (VoSLY).</w:t>
      </w:r>
    </w:p>
    <w:p w14:paraId="19DD4B95" w14:textId="77777777" w:rsidR="00DB689D" w:rsidRDefault="00310A10" w:rsidP="00367A8D">
      <w:pPr>
        <w:spacing w:line="360" w:lineRule="auto"/>
      </w:pPr>
      <w:r>
        <w:t xml:space="preserve"> </w:t>
      </w:r>
    </w:p>
    <w:p w14:paraId="59A9598F" w14:textId="5909FECD" w:rsidR="00DB689D" w:rsidRDefault="00310A10" w:rsidP="00367A8D">
      <w:pPr>
        <w:spacing w:line="360" w:lineRule="auto"/>
      </w:pPr>
      <w:r>
        <w:t xml:space="preserve">Excess expenditure calculations followed the Australian Productivity Commission's </w:t>
      </w:r>
      <w:r w:rsidR="0038398B">
        <w:rPr>
          <w:noProof/>
          <w:color w:val="000000"/>
        </w:rPr>
        <w:t>(1999)</w:t>
      </w:r>
      <w:r>
        <w:t xml:space="preserve"> approach, assuming that people categorised as problem gambling would otherwise spend similar amounts to people without gambling problems. However, this study only included excess spending on EGMs and did not account for other financial harms like inability to pay rent or mortgage.</w:t>
      </w:r>
    </w:p>
    <w:p w14:paraId="50DDB943" w14:textId="77777777" w:rsidR="00DB689D" w:rsidRDefault="00310A10" w:rsidP="00367A8D">
      <w:pPr>
        <w:spacing w:line="360" w:lineRule="auto"/>
      </w:pPr>
      <w:r>
        <w:t xml:space="preserve"> </w:t>
      </w:r>
    </w:p>
    <w:p w14:paraId="651911E9" w14:textId="77777777" w:rsidR="00DB689D" w:rsidRDefault="00310A10" w:rsidP="00367A8D">
      <w:pPr>
        <w:spacing w:line="360" w:lineRule="auto"/>
      </w:pPr>
      <w:r>
        <w:t>The researchers noted that their overall cost estimates were conservative due to the exclusion of certain hard-to-quantify harms, such as impacts on children, low-prevalence events like bankruptcy and self-harm, and other difficult-to-value items.</w:t>
      </w:r>
    </w:p>
    <w:p w14:paraId="0DD0F7EE" w14:textId="3F83C961" w:rsidR="00DB689D" w:rsidRDefault="00310A10" w:rsidP="00C30E1A">
      <w:pPr>
        <w:pStyle w:val="Heading3"/>
        <w:rPr>
          <w:color w:val="7F7F7F"/>
        </w:rPr>
      </w:pPr>
      <w:bookmarkStart w:id="143" w:name="_v1b4mmra1xk4" w:colFirst="0" w:colLast="0"/>
      <w:bookmarkStart w:id="144" w:name="_Toc201572393"/>
      <w:bookmarkStart w:id="145" w:name="_Toc207195911"/>
      <w:bookmarkEnd w:id="143"/>
      <w:r>
        <w:t>The Societal Costs of Problem Gambling in Sweden</w:t>
      </w:r>
      <w:r>
        <w:rPr>
          <w:color w:val="7F7F7F"/>
        </w:rPr>
        <w:t xml:space="preserve"> </w:t>
      </w:r>
      <w:r w:rsidR="0038398B">
        <w:rPr>
          <w:noProof/>
          <w:color w:val="000000"/>
        </w:rPr>
        <w:t>(2020)</w:t>
      </w:r>
      <w:bookmarkEnd w:id="144"/>
      <w:bookmarkEnd w:id="145"/>
    </w:p>
    <w:p w14:paraId="24C42899" w14:textId="234DF310" w:rsidR="00DB689D" w:rsidRDefault="00310A10" w:rsidP="00367A8D">
      <w:pPr>
        <w:spacing w:line="360" w:lineRule="auto"/>
      </w:pPr>
      <w:r>
        <w:t xml:space="preserve">A 2020 Swedish study estimated the annual societal costs of gambling at €1.42 billion using a prevalence-based cost-of-illness approach </w:t>
      </w:r>
      <w:r w:rsidR="0038398B">
        <w:rPr>
          <w:noProof/>
          <w:color w:val="000000"/>
        </w:rPr>
        <w:t>(Hofmarcher et al., 2020)</w:t>
      </w:r>
      <w:r>
        <w:t>. The analysis covered the full spectrum of gambling risk levels, including affected others residing with people who gamble. Costs were categorised as direct (13%), indirect (59%), and intangible (28%), with conservative causality adjustments applied to account for comorbidities.</w:t>
      </w:r>
    </w:p>
    <w:p w14:paraId="145645D5" w14:textId="77777777" w:rsidR="00DB689D" w:rsidRDefault="00310A10" w:rsidP="00367A8D">
      <w:pPr>
        <w:spacing w:line="360" w:lineRule="auto"/>
      </w:pPr>
      <w:r>
        <w:t xml:space="preserve"> </w:t>
      </w:r>
    </w:p>
    <w:p w14:paraId="4CC1C476" w14:textId="77777777" w:rsidR="00DB689D" w:rsidRDefault="00310A10" w:rsidP="00367A8D">
      <w:pPr>
        <w:spacing w:line="360" w:lineRule="auto"/>
      </w:pPr>
      <w:r>
        <w:t>The study accounted for a broad spectrum of cost impacts, including regulation and research expenses, treatment services (including non-profit services), debt counselling and management, unemployment, crime, divorce, emotional distress, violence, and suicide. For the majority of costs, the study employed a bottom-up approach, multiplying the number of affected individuals by average unit costs across various impacts. Intangible costs, such as reduced quality of life, were valued using Sweden's average crime victim compensation (€2,250 per incident) to quantify the emotional and physical harm experienced. While this method was acknowledged as a compromise, it aimed to capture a comprehensive economic picture of gambling harm.</w:t>
      </w:r>
    </w:p>
    <w:p w14:paraId="409AB2AB" w14:textId="77777777" w:rsidR="00DB689D" w:rsidRDefault="00310A10" w:rsidP="00367A8D">
      <w:pPr>
        <w:spacing w:line="360" w:lineRule="auto"/>
      </w:pPr>
      <w:r>
        <w:t xml:space="preserve"> </w:t>
      </w:r>
    </w:p>
    <w:p w14:paraId="09C50EC2" w14:textId="77777777" w:rsidR="00DB689D" w:rsidRDefault="00310A10" w:rsidP="00367A8D">
      <w:pPr>
        <w:spacing w:line="360" w:lineRule="auto"/>
      </w:pPr>
      <w:r>
        <w:t>Key limitations included the lack of a standardised methodology for valuing gambling-specific harms and the exclusion of affected others outside the household. Despite these constraints, the study provided a broad assessment of gambling's societal impact in Sweden.</w:t>
      </w:r>
    </w:p>
    <w:p w14:paraId="67D3EAA3" w14:textId="42D89B08" w:rsidR="00DB689D" w:rsidRDefault="00310A10" w:rsidP="00C30E1A">
      <w:pPr>
        <w:pStyle w:val="Heading3"/>
        <w:rPr>
          <w:color w:val="7F7F7F"/>
        </w:rPr>
      </w:pPr>
      <w:bookmarkStart w:id="146" w:name="_zfdz50tlhzke" w:colFirst="0" w:colLast="0"/>
      <w:bookmarkStart w:id="147" w:name="_Toc201572394"/>
      <w:bookmarkStart w:id="148" w:name="_Toc207195912"/>
      <w:bookmarkEnd w:id="146"/>
      <w:r>
        <w:t xml:space="preserve">Fifth Social and Economic Impact Study of Gambling in Tasmania </w:t>
      </w:r>
      <w:r w:rsidR="0038398B">
        <w:rPr>
          <w:noProof/>
          <w:color w:val="000000"/>
        </w:rPr>
        <w:t>(2021)</w:t>
      </w:r>
      <w:bookmarkEnd w:id="147"/>
      <w:bookmarkEnd w:id="148"/>
      <w:r>
        <w:rPr>
          <w:color w:val="7F7F7F"/>
        </w:rPr>
        <w:t xml:space="preserve"> </w:t>
      </w:r>
    </w:p>
    <w:p w14:paraId="47DD57F7" w14:textId="76F2B9D9" w:rsidR="00DB689D" w:rsidRDefault="00310A10" w:rsidP="00367A8D">
      <w:pPr>
        <w:spacing w:line="360" w:lineRule="auto"/>
      </w:pPr>
      <w:r>
        <w:t xml:space="preserve">The 2021 Fifth Social and Economic Impact Study of Gambling in Tasmania </w:t>
      </w:r>
      <w:r w:rsidR="00DB2449">
        <w:rPr>
          <w:noProof/>
          <w:color w:val="000000"/>
        </w:rPr>
        <w:t>(The South Australian Centre for Economic Studies et al., 2021)</w:t>
      </w:r>
      <w:r>
        <w:t xml:space="preserve"> employed the Gambling Harm Measure (GHM) to assess harm severity across categories of 'over-prioritisation', 'pressures and strains', and 'severe harms'. This approach, aligned with Langham et al.’ </w:t>
      </w:r>
      <w:r w:rsidR="0038398B">
        <w:rPr>
          <w:noProof/>
          <w:color w:val="000000"/>
        </w:rPr>
        <w:t>(2016)</w:t>
      </w:r>
      <w:r>
        <w:t xml:space="preserve"> harm categorisation, revealed that 'genuine' harms were moderately common in people categorised as moderate-risk gambling and more prevalent in people categorised as problem gambling, particularly affecting financial, psychological, health-related, and relational aspects.</w:t>
      </w:r>
    </w:p>
    <w:p w14:paraId="11847606" w14:textId="77777777" w:rsidR="00DB689D" w:rsidRDefault="00310A10" w:rsidP="00367A8D">
      <w:pPr>
        <w:spacing w:line="360" w:lineRule="auto"/>
      </w:pPr>
      <w:r>
        <w:t xml:space="preserve"> </w:t>
      </w:r>
    </w:p>
    <w:p w14:paraId="21B08F1C" w14:textId="59B765DD" w:rsidR="00DB689D" w:rsidRDefault="00310A10" w:rsidP="00367A8D">
      <w:pPr>
        <w:spacing w:line="360" w:lineRule="auto"/>
      </w:pPr>
      <w:r>
        <w:t xml:space="preserve">To calculate costs, the researchers combined data from the 2020 Tasmania Prevalence Survey with weighted information from the 1999 Australian Productivity Commission Report </w:t>
      </w:r>
      <w:r w:rsidR="0038398B">
        <w:rPr>
          <w:noProof/>
          <w:color w:val="000000"/>
        </w:rPr>
        <w:t>(1999)</w:t>
      </w:r>
      <w:r>
        <w:t>. HRQoL decrements were assessed by mapping psychological harms to conditions from the Global Burden of Disease Collaborative Network. Associated DALYs were discounted by half, assuming intermittent impact of symptoms.</w:t>
      </w:r>
    </w:p>
    <w:p w14:paraId="0D6EF13A" w14:textId="77777777" w:rsidR="00DB689D" w:rsidRDefault="00310A10" w:rsidP="00367A8D">
      <w:pPr>
        <w:spacing w:line="360" w:lineRule="auto"/>
      </w:pPr>
      <w:r>
        <w:t xml:space="preserve"> </w:t>
      </w:r>
    </w:p>
    <w:p w14:paraId="7428FF8E" w14:textId="77777777" w:rsidR="00DB689D" w:rsidRDefault="00310A10" w:rsidP="00367A8D">
      <w:pPr>
        <w:spacing w:line="360" w:lineRule="auto"/>
      </w:pPr>
      <w:r>
        <w:t>The study estimated gambling costs in Tasmania between A$48.9 million and A$159.6 million, categorising them into 'externalities' (third-party direct costs) and 'internalities' (individual costs such as depression, suicide, and relationship breakdown). Relationship breakdown emerged as the most significant cost contributor, followed by psychological distress affecting people who gamble and their immediate families.</w:t>
      </w:r>
    </w:p>
    <w:p w14:paraId="63E0E158" w14:textId="77777777" w:rsidR="00DB689D" w:rsidRDefault="00310A10" w:rsidP="00367A8D">
      <w:pPr>
        <w:spacing w:line="360" w:lineRule="auto"/>
      </w:pPr>
      <w:r>
        <w:t xml:space="preserve"> </w:t>
      </w:r>
    </w:p>
    <w:p w14:paraId="4531E96D" w14:textId="77777777" w:rsidR="00DB689D" w:rsidRDefault="00310A10" w:rsidP="00367A8D">
      <w:pPr>
        <w:spacing w:line="360" w:lineRule="auto"/>
      </w:pPr>
      <w:r>
        <w:t>The study acknowledged its conservative estimates, noting potential under-representation of harms related to violent crime and the exclusion of suicide-related costs. This approach aimed to provide a comprehensive yet cautious assessment of gambling's economic impact in Tasmania.</w:t>
      </w:r>
    </w:p>
    <w:p w14:paraId="26D4C920" w14:textId="017147CA" w:rsidR="00DB689D" w:rsidRDefault="00310A10" w:rsidP="00C30E1A">
      <w:pPr>
        <w:pStyle w:val="Heading3"/>
        <w:rPr>
          <w:color w:val="7F7F7F"/>
        </w:rPr>
      </w:pPr>
      <w:bookmarkStart w:id="149" w:name="_r6vlt54oxu3a" w:colFirst="0" w:colLast="0"/>
      <w:bookmarkStart w:id="150" w:name="_Toc201572395"/>
      <w:bookmarkStart w:id="151" w:name="_Toc207195913"/>
      <w:bookmarkEnd w:id="149"/>
      <w:r>
        <w:t xml:space="preserve">Understanding the Cost of Addiction in Australia </w:t>
      </w:r>
      <w:r w:rsidR="0038398B">
        <w:rPr>
          <w:noProof/>
          <w:color w:val="000000"/>
        </w:rPr>
        <w:t>(2022)</w:t>
      </w:r>
      <w:bookmarkEnd w:id="150"/>
      <w:bookmarkEnd w:id="151"/>
    </w:p>
    <w:p w14:paraId="4C3491E3" w14:textId="1AB1E867" w:rsidR="00DB689D" w:rsidRDefault="00310A10" w:rsidP="00367A8D">
      <w:pPr>
        <w:spacing w:line="360" w:lineRule="auto"/>
      </w:pPr>
      <w:r>
        <w:t xml:space="preserve">KPMG and Rethink Addiction (2022) provided an estimate of gambling-related harm costs in Australia, finding an A$18 billion total cost that was split between A$10.7 billion in tangible costs and A$7.3 billion in intangible costs. The analysis synthesised data from four key reports: The Allen Consulting Group et al. (2011), Browne, Greer et al. </w:t>
      </w:r>
      <w:r w:rsidR="0038398B">
        <w:rPr>
          <w:noProof/>
          <w:color w:val="000000"/>
        </w:rPr>
        <w:t>(2017)</w:t>
      </w:r>
      <w:r>
        <w:t xml:space="preserve">, the Australian Productivity Commission </w:t>
      </w:r>
      <w:r w:rsidR="0038398B">
        <w:rPr>
          <w:noProof/>
          <w:color w:val="000000"/>
        </w:rPr>
        <w:t>(1999)</w:t>
      </w:r>
      <w:r>
        <w:t xml:space="preserve">, and the VCEC (2012). Tangible costs, valued at A$10.7 billion, included A$5.4 billion attributed to harmful consumption (gambling losses), along with costs related to productivity losses, social services, justice and law enforcement, and impacts on families. Intangible costs of A$7.3 billion accounted for pain, suffering, and quality of life decrements, based on Browne, Greer et al.'s </w:t>
      </w:r>
      <w:r w:rsidR="0038398B">
        <w:rPr>
          <w:noProof/>
          <w:color w:val="000000"/>
        </w:rPr>
        <w:t>(2017)</w:t>
      </w:r>
      <w:r>
        <w:t xml:space="preserve"> findings.</w:t>
      </w:r>
    </w:p>
    <w:p w14:paraId="17CD9353" w14:textId="77777777" w:rsidR="00DB689D" w:rsidRDefault="00310A10" w:rsidP="00367A8D">
      <w:pPr>
        <w:spacing w:line="360" w:lineRule="auto"/>
      </w:pPr>
      <w:r>
        <w:t xml:space="preserve"> </w:t>
      </w:r>
    </w:p>
    <w:p w14:paraId="4499932C" w14:textId="77777777" w:rsidR="00DB689D" w:rsidRDefault="00310A10" w:rsidP="00367A8D">
      <w:pPr>
        <w:spacing w:line="360" w:lineRule="auto"/>
      </w:pPr>
      <w:r>
        <w:t>This synthesis approach, while providing a broad national perspective, leaves some methodological questions unanswered. The study's reliance on a limited number of sources without detailing its exact methodology creates ambiguity about the scope of gambling behaviours included and the extent to which affected others were considered. Additionally, healthcare costs were excluded from the total, potentially underestimating the full economic burden of gambling-related harm in Australia.</w:t>
      </w:r>
    </w:p>
    <w:p w14:paraId="52AFC56B" w14:textId="08F19347" w:rsidR="00DB689D" w:rsidRDefault="00310A10" w:rsidP="00C30E1A">
      <w:pPr>
        <w:pStyle w:val="Heading3"/>
        <w:rPr>
          <w:color w:val="7F7F7F"/>
        </w:rPr>
      </w:pPr>
      <w:bookmarkStart w:id="152" w:name="_v3hfwix8vb0s" w:colFirst="0" w:colLast="0"/>
      <w:bookmarkStart w:id="153" w:name="_Toc201572396"/>
      <w:bookmarkStart w:id="154" w:name="_Toc207195914"/>
      <w:bookmarkEnd w:id="152"/>
      <w:r>
        <w:t>Social Costs of Gambling Harm in Italy</w:t>
      </w:r>
      <w:r>
        <w:rPr>
          <w:color w:val="7F7F7F"/>
        </w:rPr>
        <w:t xml:space="preserve"> </w:t>
      </w:r>
      <w:r w:rsidR="0038398B">
        <w:rPr>
          <w:noProof/>
          <w:color w:val="000000"/>
        </w:rPr>
        <w:t>(2022)</w:t>
      </w:r>
      <w:bookmarkEnd w:id="153"/>
      <w:bookmarkEnd w:id="154"/>
    </w:p>
    <w:p w14:paraId="3C3569D2" w14:textId="77777777" w:rsidR="00DB689D" w:rsidRDefault="00310A10" w:rsidP="00367A8D">
      <w:pPr>
        <w:spacing w:line="360" w:lineRule="auto"/>
      </w:pPr>
      <w:r>
        <w:t>Lucchini and Comi (2022) estimated the social costs of gambling in Italy, focusing on the financial burden on public resources. They took a cost-of-illness approach, and estimated both direct treatment costs and indirect costs, including lost productivity, unemployment, legal issues, and family impacts such as divorce. The study targeted people classified as high-risk and at-risk gambling identified through PGSI and SOGS assessments. The majority of direct costs were calculated using top-down data, while indirect costs used bottom-up figures combined with unit costs. A 20% discount was applied to address causality concerns. Significant data gaps led to an underestimation of societal impact by excluding factors like HRQoL and harms experienced by affected others. The study identified over €2 billion in annual costs, mainly from unemployment, productivity losses, and legal issues, with many societal costs, such as those associated with people with less severe gambling problems, unaccounted for.</w:t>
      </w:r>
    </w:p>
    <w:p w14:paraId="68296FDC" w14:textId="77DCD5A5" w:rsidR="00DB689D" w:rsidRDefault="00310A10" w:rsidP="00C30E1A">
      <w:pPr>
        <w:pStyle w:val="Heading3"/>
        <w:rPr>
          <w:color w:val="7F7F7F"/>
        </w:rPr>
      </w:pPr>
      <w:bookmarkStart w:id="155" w:name="_2de672bthy4p" w:colFirst="0" w:colLast="0"/>
      <w:bookmarkStart w:id="156" w:name="_Toc201572397"/>
      <w:bookmarkStart w:id="157" w:name="_Toc207195915"/>
      <w:bookmarkEnd w:id="155"/>
      <w:r>
        <w:t>The Economic and Social Cost of Harms Associated with Gambling in England</w:t>
      </w:r>
      <w:r>
        <w:rPr>
          <w:color w:val="7F7F7F"/>
        </w:rPr>
        <w:t xml:space="preserve"> </w:t>
      </w:r>
      <w:r w:rsidR="0038398B">
        <w:rPr>
          <w:noProof/>
          <w:color w:val="000000"/>
        </w:rPr>
        <w:t>(2023)</w:t>
      </w:r>
      <w:bookmarkEnd w:id="156"/>
      <w:bookmarkEnd w:id="157"/>
    </w:p>
    <w:p w14:paraId="18B52B35" w14:textId="77777777" w:rsidR="00DB689D" w:rsidRDefault="00310A10" w:rsidP="00367A8D">
      <w:pPr>
        <w:spacing w:line="360" w:lineRule="auto"/>
      </w:pPr>
      <w:r>
        <w:t>The Office for Health Improvement and Disparities (2023) updated a 2021 report on gambling harm costs in England. It estimated annual direct government costs at £412.9 million and wider societal health costs between £635.0 and £1,355.5 million. The analysis covered people across all PGSI risk levels, including at-risk and problem gambling populations.</w:t>
      </w:r>
    </w:p>
    <w:p w14:paraId="79475363" w14:textId="77777777" w:rsidR="00DB689D" w:rsidRDefault="00310A10" w:rsidP="00367A8D">
      <w:pPr>
        <w:spacing w:line="360" w:lineRule="auto"/>
      </w:pPr>
      <w:r>
        <w:t xml:space="preserve"> </w:t>
      </w:r>
    </w:p>
    <w:p w14:paraId="4056F394" w14:textId="77777777" w:rsidR="00DB689D" w:rsidRDefault="00310A10" w:rsidP="00367A8D">
      <w:pPr>
        <w:spacing w:line="360" w:lineRule="auto"/>
      </w:pPr>
      <w:r>
        <w:t>Financial costs encompassed homelessness services, unemployment benefits, imprisonment, and healthcare. Health costs included YLL from excess suicides and HRQoL impacts from excess depression attributable to gambling. The study determined the number of excess cases by estimating how many suicides and depression cases would occur in people with gambling problems if they had the same risks as people without gambling problems, then comparing this to the actual numbers observed in the gambling population.</w:t>
      </w:r>
    </w:p>
    <w:p w14:paraId="62CB3CEB" w14:textId="77777777" w:rsidR="00DB689D" w:rsidRDefault="00310A10" w:rsidP="00367A8D">
      <w:pPr>
        <w:spacing w:line="360" w:lineRule="auto"/>
      </w:pPr>
      <w:r>
        <w:t xml:space="preserve"> </w:t>
      </w:r>
    </w:p>
    <w:p w14:paraId="29ED0081" w14:textId="02A83A12" w:rsidR="00DB689D" w:rsidRDefault="00310A10" w:rsidP="00367A8D">
      <w:pPr>
        <w:spacing w:line="360" w:lineRule="auto"/>
      </w:pPr>
      <w:r>
        <w:t xml:space="preserve">The authors recognised this as a conservative estimate, as it excluded or only partially accounted for impacts on affected others, financial harms, broader quality of life impacts beyond depression, healthcare costs related to suicide attempts, crime, and relational and cultural harms. They recommended future quantification of HRQoL impacts on affected others, and improving the overall quantification of </w:t>
      </w:r>
      <w:r w:rsidR="00675455">
        <w:t>quality-of-life</w:t>
      </w:r>
      <w:r>
        <w:t xml:space="preserve"> impacts on affected others.</w:t>
      </w:r>
    </w:p>
    <w:p w14:paraId="04391561" w14:textId="22E1A25D" w:rsidR="00DB689D" w:rsidRDefault="00310A10" w:rsidP="00C30E1A">
      <w:pPr>
        <w:pStyle w:val="Heading3"/>
        <w:rPr>
          <w:color w:val="7F7F7F"/>
        </w:rPr>
      </w:pPr>
      <w:bookmarkStart w:id="158" w:name="_9emdvruqfhpk" w:colFirst="0" w:colLast="0"/>
      <w:bookmarkStart w:id="159" w:name="_Toc201572398"/>
      <w:bookmarkStart w:id="160" w:name="_Toc207195916"/>
      <w:bookmarkEnd w:id="158"/>
      <w:r>
        <w:t>The Fiscal Costs and Benefits of Problem Gambling: Towards Better Estimates, United Kingdom</w:t>
      </w:r>
      <w:r>
        <w:rPr>
          <w:color w:val="7F7F7F"/>
        </w:rPr>
        <w:t xml:space="preserve"> </w:t>
      </w:r>
      <w:r w:rsidR="0038398B">
        <w:rPr>
          <w:noProof/>
          <w:color w:val="000000"/>
        </w:rPr>
        <w:t>(2023)</w:t>
      </w:r>
      <w:bookmarkEnd w:id="159"/>
      <w:bookmarkEnd w:id="160"/>
    </w:p>
    <w:p w14:paraId="1CF5ECC7" w14:textId="77777777" w:rsidR="00DB689D" w:rsidRDefault="00310A10" w:rsidP="00367A8D">
      <w:pPr>
        <w:spacing w:line="360" w:lineRule="auto"/>
      </w:pPr>
      <w:r>
        <w:t>Using the Wealth and Assets Survey in the UK, Bhattacharjee et al. (2023) estimated the annual cost of problem gambling to be £1.4 billion (ranging from £1.1 billion to £1.7 billion). These costs align with the harm categories identified by Wardle et al. (2018), encompassing healthcare, welfare, housing, and crime. The study compared people categorised as engaging in problem gambling to those categorised as at-risk gambling, finding the former nine times more likely to need hospital treatment. This approach yielded an average annual cost of £3,700 for each person with severe gambling problems, primarily in welfare, healthcare, criminal justice, and homelessness support.</w:t>
      </w:r>
    </w:p>
    <w:p w14:paraId="21894D29" w14:textId="77777777" w:rsidR="00DB689D" w:rsidRDefault="00310A10" w:rsidP="00367A8D">
      <w:pPr>
        <w:spacing w:line="360" w:lineRule="auto"/>
      </w:pPr>
      <w:r>
        <w:t xml:space="preserve"> </w:t>
      </w:r>
    </w:p>
    <w:p w14:paraId="2B61E095" w14:textId="77777777" w:rsidR="00DB689D" w:rsidRDefault="00310A10" w:rsidP="00367A8D">
      <w:pPr>
        <w:spacing w:line="360" w:lineRule="auto"/>
      </w:pPr>
      <w:r>
        <w:t>The estimate, considered conservative, excluded factors like suicide, debt, family breakdown, and costs to affected others. Based on a 0.7% prevalence rate (380,000 people), the study applied a 95% confidence interval to determine cost bounds. The methodology, while acknowledging potential underestimation, focused on comparing those in the highest risk category to the other-risk categories rather than people without gambling problems due to their more similar behavioural profiles.</w:t>
      </w:r>
    </w:p>
    <w:p w14:paraId="64F180EE" w14:textId="3DC3C47F" w:rsidR="00DB689D" w:rsidRDefault="00310A10" w:rsidP="00C30E1A">
      <w:pPr>
        <w:pStyle w:val="Heading3"/>
        <w:rPr>
          <w:color w:val="7F7F7F"/>
        </w:rPr>
      </w:pPr>
      <w:bookmarkStart w:id="161" w:name="_j3c21zmihwls" w:colFirst="0" w:colLast="0"/>
      <w:bookmarkStart w:id="162" w:name="_Toc201572399"/>
      <w:bookmarkStart w:id="163" w:name="_Toc207195917"/>
      <w:bookmarkEnd w:id="161"/>
      <w:r>
        <w:t>The Social Cost of Gambling to Victoria</w:t>
      </w:r>
      <w:r>
        <w:rPr>
          <w:color w:val="7F7F7F"/>
        </w:rPr>
        <w:t xml:space="preserve"> </w:t>
      </w:r>
      <w:r w:rsidR="0038398B">
        <w:rPr>
          <w:noProof/>
          <w:color w:val="000000"/>
        </w:rPr>
        <w:t>(2025)</w:t>
      </w:r>
      <w:bookmarkEnd w:id="162"/>
      <w:bookmarkEnd w:id="163"/>
    </w:p>
    <w:p w14:paraId="1FEC0B45" w14:textId="77777777" w:rsidR="00DB689D" w:rsidRPr="0083600D" w:rsidRDefault="00310A10" w:rsidP="00367A8D">
      <w:pPr>
        <w:spacing w:before="240" w:after="240" w:line="360" w:lineRule="auto"/>
        <w:rPr>
          <w:color w:val="000000" w:themeColor="text1"/>
        </w:rPr>
      </w:pPr>
      <w:r>
        <w:t xml:space="preserve">This 2025 report by some of the present authors updated the 2017 Victorian costing study, providing comprehensive estimates of gambling-related social and economic costs in Victoria for the 2022-23 financial year. The study took a public health approach, examining costs across all </w:t>
      </w:r>
      <w:r w:rsidRPr="0083600D">
        <w:rPr>
          <w:color w:val="000000" w:themeColor="text1"/>
        </w:rPr>
        <w:t>gambling severity levels and incorporating both tangible and intangible costs to people who gamble, affected others, the community, and government.</w:t>
      </w:r>
    </w:p>
    <w:p w14:paraId="3D79239E" w14:textId="77777777" w:rsidR="00DB689D" w:rsidRPr="0083600D" w:rsidRDefault="00310A10" w:rsidP="00367A8D">
      <w:pPr>
        <w:spacing w:before="240" w:after="240" w:line="360" w:lineRule="auto"/>
        <w:rPr>
          <w:color w:val="000000" w:themeColor="text1"/>
        </w:rPr>
      </w:pPr>
      <w:r w:rsidRPr="0083600D">
        <w:rPr>
          <w:color w:val="000000" w:themeColor="text1"/>
        </w:rPr>
        <w:t>The total cost of gambling to Victoria was estimated at $14.1 billion (range: $12.7-$17.0 billion), nearly double the $7.4 billion in gambling revenue. This represents a 35% increase from the adjusted 2014-15 estimate of $10.5 billion.</w:t>
      </w:r>
    </w:p>
    <w:p w14:paraId="6B583E29" w14:textId="77777777" w:rsidR="00DB689D" w:rsidRPr="0083600D" w:rsidRDefault="00310A10" w:rsidP="00367A8D">
      <w:pPr>
        <w:spacing w:before="240" w:after="240" w:line="360" w:lineRule="auto"/>
        <w:rPr>
          <w:color w:val="000000" w:themeColor="text1"/>
        </w:rPr>
      </w:pPr>
      <w:r w:rsidRPr="0083600D">
        <w:rPr>
          <w:color w:val="000000" w:themeColor="text1"/>
        </w:rPr>
        <w:t>The largest cost categories were:</w:t>
      </w:r>
    </w:p>
    <w:p w14:paraId="33559BF6" w14:textId="77777777" w:rsidR="00DB689D" w:rsidRPr="0083600D" w:rsidRDefault="00310A10" w:rsidP="00367A8D">
      <w:pPr>
        <w:numPr>
          <w:ilvl w:val="0"/>
          <w:numId w:val="24"/>
        </w:numPr>
        <w:spacing w:before="240" w:line="360" w:lineRule="auto"/>
        <w:rPr>
          <w:color w:val="000000" w:themeColor="text1"/>
        </w:rPr>
      </w:pPr>
      <w:r w:rsidRPr="0083600D">
        <w:rPr>
          <w:color w:val="000000" w:themeColor="text1"/>
        </w:rPr>
        <w:t>Financial impacts: $5.15 billion (36.5% of total costs)</w:t>
      </w:r>
    </w:p>
    <w:p w14:paraId="764D09F3" w14:textId="77777777" w:rsidR="00DB689D" w:rsidRPr="0083600D" w:rsidRDefault="00310A10" w:rsidP="00367A8D">
      <w:pPr>
        <w:numPr>
          <w:ilvl w:val="0"/>
          <w:numId w:val="24"/>
        </w:numPr>
        <w:spacing w:line="360" w:lineRule="auto"/>
        <w:rPr>
          <w:color w:val="000000" w:themeColor="text1"/>
        </w:rPr>
      </w:pPr>
      <w:r w:rsidRPr="0083600D">
        <w:rPr>
          <w:color w:val="000000" w:themeColor="text1"/>
        </w:rPr>
        <w:t>Emotional and psychological harm to people who gamble: $3.27 billion (23.2%)</w:t>
      </w:r>
    </w:p>
    <w:p w14:paraId="0483AA77" w14:textId="77777777" w:rsidR="00DB689D" w:rsidRPr="0083600D" w:rsidRDefault="00310A10" w:rsidP="00367A8D">
      <w:pPr>
        <w:numPr>
          <w:ilvl w:val="0"/>
          <w:numId w:val="24"/>
        </w:numPr>
        <w:spacing w:line="360" w:lineRule="auto"/>
        <w:rPr>
          <w:color w:val="000000" w:themeColor="text1"/>
        </w:rPr>
      </w:pPr>
      <w:r w:rsidRPr="0083600D">
        <w:rPr>
          <w:color w:val="000000" w:themeColor="text1"/>
        </w:rPr>
        <w:t>Relationship and family impacts: $2.53 billion (17.9%)</w:t>
      </w:r>
    </w:p>
    <w:p w14:paraId="4A2F3C05" w14:textId="77777777" w:rsidR="00DB689D" w:rsidRPr="0083600D" w:rsidRDefault="00310A10" w:rsidP="00367A8D">
      <w:pPr>
        <w:numPr>
          <w:ilvl w:val="0"/>
          <w:numId w:val="24"/>
        </w:numPr>
        <w:spacing w:line="360" w:lineRule="auto"/>
        <w:rPr>
          <w:color w:val="000000" w:themeColor="text1"/>
        </w:rPr>
      </w:pPr>
      <w:r w:rsidRPr="0083600D">
        <w:rPr>
          <w:color w:val="000000" w:themeColor="text1"/>
        </w:rPr>
        <w:t>Productivity loss and work/study impacts: $1.55 billion (11.0%)</w:t>
      </w:r>
    </w:p>
    <w:p w14:paraId="111E6CC7" w14:textId="77777777" w:rsidR="00DB689D" w:rsidRPr="0083600D" w:rsidRDefault="00310A10" w:rsidP="00367A8D">
      <w:pPr>
        <w:numPr>
          <w:ilvl w:val="0"/>
          <w:numId w:val="24"/>
        </w:numPr>
        <w:spacing w:after="240" w:line="360" w:lineRule="auto"/>
        <w:rPr>
          <w:color w:val="000000" w:themeColor="text1"/>
        </w:rPr>
      </w:pPr>
      <w:r w:rsidRPr="0083600D">
        <w:rPr>
          <w:color w:val="000000" w:themeColor="text1"/>
        </w:rPr>
        <w:t>Costs to the Victorian government: $1.32 billion (9.4%)</w:t>
      </w:r>
    </w:p>
    <w:p w14:paraId="573FC36B" w14:textId="77777777" w:rsidR="00DB689D" w:rsidRPr="0083600D" w:rsidRDefault="00310A10" w:rsidP="00367A8D">
      <w:pPr>
        <w:spacing w:before="240" w:after="240" w:line="360" w:lineRule="auto"/>
        <w:rPr>
          <w:color w:val="000000" w:themeColor="text1"/>
        </w:rPr>
      </w:pPr>
      <w:r w:rsidRPr="0083600D">
        <w:rPr>
          <w:color w:val="000000" w:themeColor="text1"/>
        </w:rPr>
        <w:t>The study attributed costs to different gambling forms based on their contribution to gambling problems:</w:t>
      </w:r>
    </w:p>
    <w:p w14:paraId="4438B165" w14:textId="598748A2" w:rsidR="00DB689D" w:rsidRPr="0083600D" w:rsidRDefault="00D13B28" w:rsidP="00367A8D">
      <w:pPr>
        <w:numPr>
          <w:ilvl w:val="0"/>
          <w:numId w:val="11"/>
        </w:numPr>
        <w:spacing w:before="240" w:line="360" w:lineRule="auto"/>
        <w:rPr>
          <w:color w:val="000000" w:themeColor="text1"/>
        </w:rPr>
      </w:pPr>
      <w:r w:rsidRPr="0083600D">
        <w:rPr>
          <w:color w:val="000000" w:themeColor="text1"/>
        </w:rPr>
        <w:t>In-person EGMs: $6.72 billion (57.9% of form-attributable costs)</w:t>
      </w:r>
    </w:p>
    <w:p w14:paraId="4DFA3B25" w14:textId="77777777" w:rsidR="00DB689D" w:rsidRPr="0083600D" w:rsidRDefault="00310A10" w:rsidP="00367A8D">
      <w:pPr>
        <w:numPr>
          <w:ilvl w:val="0"/>
          <w:numId w:val="11"/>
        </w:numPr>
        <w:spacing w:line="360" w:lineRule="auto"/>
        <w:rPr>
          <w:color w:val="000000" w:themeColor="text1"/>
        </w:rPr>
      </w:pPr>
      <w:r w:rsidRPr="0083600D">
        <w:rPr>
          <w:color w:val="000000" w:themeColor="text1"/>
        </w:rPr>
        <w:t>Wagering: $3.11 billion (26.8%)</w:t>
      </w:r>
    </w:p>
    <w:p w14:paraId="13BBD0E9" w14:textId="77777777" w:rsidR="00DB689D" w:rsidRDefault="00310A10" w:rsidP="00367A8D">
      <w:pPr>
        <w:numPr>
          <w:ilvl w:val="0"/>
          <w:numId w:val="11"/>
        </w:numPr>
        <w:spacing w:line="360" w:lineRule="auto"/>
      </w:pPr>
      <w:r w:rsidRPr="0083600D">
        <w:rPr>
          <w:color w:val="000000" w:themeColor="text1"/>
        </w:rPr>
        <w:t xml:space="preserve">Casino table </w:t>
      </w:r>
      <w:r>
        <w:t>games: $1.04 billion (9.0%)</w:t>
      </w:r>
    </w:p>
    <w:p w14:paraId="274A45A6" w14:textId="77777777" w:rsidR="00DB689D" w:rsidRDefault="00310A10" w:rsidP="00367A8D">
      <w:pPr>
        <w:numPr>
          <w:ilvl w:val="0"/>
          <w:numId w:val="11"/>
        </w:numPr>
        <w:spacing w:after="240" w:line="360" w:lineRule="auto"/>
      </w:pPr>
      <w:r>
        <w:t>Keno and instant scratch tickets: $0.73 billion (6.3%)</w:t>
      </w:r>
    </w:p>
    <w:p w14:paraId="363695C0" w14:textId="77777777" w:rsidR="00C30E1A" w:rsidRDefault="00C30E1A" w:rsidP="00367A8D">
      <w:pPr>
        <w:spacing w:before="240" w:after="240" w:line="360" w:lineRule="auto"/>
      </w:pPr>
    </w:p>
    <w:p w14:paraId="675EC453" w14:textId="7C612788" w:rsidR="00DB689D" w:rsidRDefault="00310A10" w:rsidP="00367A8D">
      <w:pPr>
        <w:spacing w:before="240" w:after="240" w:line="360" w:lineRule="auto"/>
      </w:pPr>
      <w:r>
        <w:t>The study used multiple approaches to calculate costs:</w:t>
      </w:r>
    </w:p>
    <w:p w14:paraId="399E87E2" w14:textId="77777777" w:rsidR="00DB689D" w:rsidRDefault="00310A10" w:rsidP="00367A8D">
      <w:pPr>
        <w:numPr>
          <w:ilvl w:val="0"/>
          <w:numId w:val="14"/>
        </w:numPr>
        <w:spacing w:before="240" w:line="360" w:lineRule="auto"/>
      </w:pPr>
      <w:r>
        <w:t>Population-level gambling prevalence data from the 2023 Victorian Population Gambling and Health Study</w:t>
      </w:r>
    </w:p>
    <w:p w14:paraId="11CFB9E1" w14:textId="77777777" w:rsidR="00DB689D" w:rsidRDefault="00310A10" w:rsidP="00367A8D">
      <w:pPr>
        <w:numPr>
          <w:ilvl w:val="0"/>
          <w:numId w:val="14"/>
        </w:numPr>
        <w:spacing w:line="360" w:lineRule="auto"/>
      </w:pPr>
      <w:r>
        <w:t>HRQoL decrements associated with gambling harm, valued using GDP per capita ($97,435)</w:t>
      </w:r>
    </w:p>
    <w:p w14:paraId="691A98DE" w14:textId="77777777" w:rsidR="00DB689D" w:rsidRDefault="00310A10" w:rsidP="00367A8D">
      <w:pPr>
        <w:numPr>
          <w:ilvl w:val="0"/>
          <w:numId w:val="14"/>
        </w:numPr>
        <w:spacing w:line="360" w:lineRule="auto"/>
      </w:pPr>
      <w:r>
        <w:t>Estimates of tangible costs (e.g., bankruptcy, crime, healthcare costs)</w:t>
      </w:r>
    </w:p>
    <w:p w14:paraId="3C677C54" w14:textId="77777777" w:rsidR="00DB689D" w:rsidRDefault="00310A10" w:rsidP="00367A8D">
      <w:pPr>
        <w:numPr>
          <w:ilvl w:val="0"/>
          <w:numId w:val="14"/>
        </w:numPr>
        <w:spacing w:after="240" w:line="360" w:lineRule="auto"/>
      </w:pPr>
      <w:r>
        <w:t>Parametric bootstrapping to establish confidence intervals for estimates</w:t>
      </w:r>
    </w:p>
    <w:p w14:paraId="691969C5" w14:textId="77777777" w:rsidR="00DB689D" w:rsidRDefault="00310A10" w:rsidP="00367A8D">
      <w:pPr>
        <w:spacing w:before="240" w:after="240" w:line="360" w:lineRule="auto"/>
      </w:pPr>
      <w:r>
        <w:t>The study evaluated potential policy options based on evidence from other jurisdictions:</w:t>
      </w:r>
    </w:p>
    <w:p w14:paraId="0EFBA0CE" w14:textId="77777777" w:rsidR="00DB689D" w:rsidRDefault="00310A10" w:rsidP="00367A8D">
      <w:pPr>
        <w:numPr>
          <w:ilvl w:val="0"/>
          <w:numId w:val="22"/>
        </w:numPr>
        <w:spacing w:before="240" w:line="360" w:lineRule="auto"/>
      </w:pPr>
      <w:r>
        <w:t>Finland's EGM restrictions (reduced machine numbers, mandatory pre-commitment) led to a 60% reduction in EGM expenditure, with the potential to save $2.87 billion in the Victorian context.</w:t>
      </w:r>
    </w:p>
    <w:p w14:paraId="6654CA70" w14:textId="77777777" w:rsidR="00DB689D" w:rsidRDefault="00310A10" w:rsidP="00367A8D">
      <w:pPr>
        <w:numPr>
          <w:ilvl w:val="0"/>
          <w:numId w:val="22"/>
        </w:numPr>
        <w:spacing w:line="360" w:lineRule="auto"/>
      </w:pPr>
      <w:r>
        <w:t>Norway's EGM ban and restrictions, including banning banknote acceptors and restricting nighttime gambling, could reduce EGM-attributable costs by 51.5% ($3.46 billion).</w:t>
      </w:r>
    </w:p>
    <w:p w14:paraId="5DE70F17" w14:textId="0AC870AD" w:rsidR="00DB689D" w:rsidRDefault="00310A10" w:rsidP="00367A8D">
      <w:pPr>
        <w:numPr>
          <w:ilvl w:val="0"/>
          <w:numId w:val="22"/>
        </w:numPr>
        <w:spacing w:line="360" w:lineRule="auto"/>
      </w:pPr>
      <w:r>
        <w:t>Western Australia's restriction of EGMs to a single casino</w:t>
      </w:r>
      <w:r w:rsidR="00675455">
        <w:t>,</w:t>
      </w:r>
      <w:r>
        <w:t xml:space="preserve"> results in significantly lower gambling problems compared to other states, suggesting potential savings of $4.34 billion if implemented in Victoria.</w:t>
      </w:r>
    </w:p>
    <w:p w14:paraId="043ACE7C" w14:textId="77777777" w:rsidR="00DB689D" w:rsidRDefault="00310A10" w:rsidP="00367A8D">
      <w:pPr>
        <w:numPr>
          <w:ilvl w:val="0"/>
          <w:numId w:val="22"/>
        </w:numPr>
        <w:spacing w:after="240" w:line="360" w:lineRule="auto"/>
      </w:pPr>
      <w:r>
        <w:t>Tasmania's proposed mandatory pre-commitment system with a $5,000 annual limit could reduce excess EGM spending costs by 97.6%, potentially saving $4.25 billion when accounting for broader harm reduction.</w:t>
      </w:r>
    </w:p>
    <w:p w14:paraId="5F101874" w14:textId="77777777" w:rsidR="00DB689D" w:rsidRDefault="00310A10" w:rsidP="00367A8D">
      <w:pPr>
        <w:spacing w:before="240" w:after="240" w:line="360" w:lineRule="auto"/>
      </w:pPr>
      <w:r>
        <w:t>The study acknowledges limitations including methodological uncertainty, data gaps (e.g., impacts on children), and challenges in establishing causality between gambling and some harm types. It also did not attempt to calculate consumer surplus or benefits from gambling.</w:t>
      </w:r>
    </w:p>
    <w:p w14:paraId="0786F6D5" w14:textId="77777777" w:rsidR="00DB689D" w:rsidRDefault="00310A10" w:rsidP="00C30E1A">
      <w:pPr>
        <w:pStyle w:val="Heading3"/>
      </w:pPr>
      <w:bookmarkStart w:id="164" w:name="_23x9oxn8gyxf" w:colFirst="0" w:colLast="0"/>
      <w:bookmarkStart w:id="165" w:name="_Toc201572400"/>
      <w:bookmarkStart w:id="166" w:name="_Toc207195918"/>
      <w:bookmarkEnd w:id="164"/>
      <w:r>
        <w:t xml:space="preserve">Other </w:t>
      </w:r>
      <w:r w:rsidRPr="00FB308C">
        <w:t>frameworks</w:t>
      </w:r>
      <w:r>
        <w:t xml:space="preserve"> for evaluating gambling’s economic consequences</w:t>
      </w:r>
      <w:bookmarkEnd w:id="165"/>
      <w:bookmarkEnd w:id="166"/>
    </w:p>
    <w:p w14:paraId="5FB7F0F0" w14:textId="710C46B8" w:rsidR="00DB689D" w:rsidRDefault="00310A10" w:rsidP="00367A8D">
      <w:pPr>
        <w:spacing w:line="360" w:lineRule="auto"/>
      </w:pPr>
      <w:r>
        <w:t xml:space="preserve">Recent studies have highlighted methodological challenges in assessing the economic impact of gambling. Latvala et al. </w:t>
      </w:r>
      <w:r w:rsidR="0038398B">
        <w:rPr>
          <w:noProof/>
          <w:color w:val="000000"/>
        </w:rPr>
        <w:t>(2019)</w:t>
      </w:r>
      <w:r>
        <w:t xml:space="preserve"> identified several limitations in current approaches, including difficulties in quantifying social impacts and the frequent exclusion of non-monetary costs, harms to affected others, and long-term societal effects. These omissions often lead to underestimations of total societal costs.</w:t>
      </w:r>
    </w:p>
    <w:p w14:paraId="2EA323CB" w14:textId="77777777" w:rsidR="00DB689D" w:rsidRDefault="00310A10" w:rsidP="00367A8D">
      <w:pPr>
        <w:spacing w:line="360" w:lineRule="auto"/>
      </w:pPr>
      <w:r>
        <w:t xml:space="preserve"> </w:t>
      </w:r>
    </w:p>
    <w:p w14:paraId="43A0FF35" w14:textId="06B62BBD" w:rsidR="00DB689D" w:rsidRDefault="00310A10" w:rsidP="00367A8D">
      <w:pPr>
        <w:spacing w:line="360" w:lineRule="auto"/>
      </w:pPr>
      <w:r>
        <w:t xml:space="preserve">To address these issues, Latvala et al. </w:t>
      </w:r>
      <w:r w:rsidR="0038398B">
        <w:rPr>
          <w:noProof/>
          <w:color w:val="000000"/>
        </w:rPr>
        <w:t>(2019)</w:t>
      </w:r>
      <w:r>
        <w:t xml:space="preserve"> proposed the Public Health Impacts of Gambling (PHIGam) model. This conceptual framework takes a comprehensive public health approach, considering the full spectrum of gambling harm across personal, interpersonal, and societal levels. The model categorises impacts into financial, labour, and health/wellbeing domains, accounting for both positive and negative effects, as well as temporal aspects such as long-term and intergenerational impacts.</w:t>
      </w:r>
    </w:p>
    <w:p w14:paraId="126B73A4" w14:textId="77777777" w:rsidR="00DB689D" w:rsidRDefault="00310A10" w:rsidP="00367A8D">
      <w:pPr>
        <w:spacing w:line="360" w:lineRule="auto"/>
      </w:pPr>
      <w:r>
        <w:t xml:space="preserve"> </w:t>
      </w:r>
    </w:p>
    <w:p w14:paraId="3F4016D2" w14:textId="65201E5B" w:rsidR="00DB689D" w:rsidRDefault="00310A10" w:rsidP="00367A8D">
      <w:pPr>
        <w:spacing w:line="360" w:lineRule="auto"/>
      </w:pPr>
      <w:r>
        <w:t xml:space="preserve">Patel and McDaid </w:t>
      </w:r>
      <w:r w:rsidR="0038398B">
        <w:rPr>
          <w:noProof/>
          <w:color w:val="000000"/>
        </w:rPr>
        <w:t>(2019)</w:t>
      </w:r>
      <w:r>
        <w:t xml:space="preserve"> offered a complementary method for evaluating gambling-related costs and assessing intervention value. Their approach emphasises a broad societal perspective and outlines a three-step process: identifying inputs and impacts, quantifying them, and assigning monetary values. They categorise costs as direct, indirect, and intangible, manifesting at personal, interpersonal, and societal levels.</w:t>
      </w:r>
    </w:p>
    <w:p w14:paraId="18B851A1" w14:textId="77777777" w:rsidR="00DB689D" w:rsidRDefault="00310A10" w:rsidP="00367A8D">
      <w:pPr>
        <w:spacing w:line="360" w:lineRule="auto"/>
      </w:pPr>
      <w:r>
        <w:t xml:space="preserve"> </w:t>
      </w:r>
    </w:p>
    <w:p w14:paraId="72205112" w14:textId="77777777" w:rsidR="00DB689D" w:rsidRDefault="00310A10" w:rsidP="00367A8D">
      <w:pPr>
        <w:spacing w:line="360" w:lineRule="auto"/>
      </w:pPr>
      <w:r>
        <w:t>Both studies advocate for a more holistic approach to gambling impact analysis, moving beyond narrow focuses on monetary costs or problem gambling alone. They stress the importance of including non-monetary social impacts, long-term effects, and potential benefits in assessments. However, they also acknowledge methodological challenges, such as attributing harms to gambling given comorbidities, data limitations, and subjectivity in social cost valuation.</w:t>
      </w:r>
    </w:p>
    <w:p w14:paraId="5CD31999" w14:textId="77777777" w:rsidR="00DB689D" w:rsidRDefault="00310A10" w:rsidP="00657824">
      <w:pPr>
        <w:pStyle w:val="Heading2"/>
      </w:pPr>
      <w:bookmarkStart w:id="167" w:name="_i9svsbw5fv50" w:colFirst="0" w:colLast="0"/>
      <w:bookmarkStart w:id="168" w:name="_Toc201572401"/>
      <w:bookmarkStart w:id="169" w:name="_Toc207195919"/>
      <w:bookmarkEnd w:id="167"/>
      <w:r>
        <w:t>Conclusion</w:t>
      </w:r>
      <w:bookmarkEnd w:id="168"/>
      <w:bookmarkEnd w:id="169"/>
    </w:p>
    <w:p w14:paraId="2989D860" w14:textId="60DE9FDD" w:rsidR="00DB689D" w:rsidRDefault="00310A10" w:rsidP="00367A8D">
      <w:pPr>
        <w:spacing w:line="360" w:lineRule="auto"/>
      </w:pPr>
      <w:r>
        <w:t xml:space="preserve">Economic costing studies of gambling exhibit similarities and differences in their findings. A common finding is the significant influence of intangible, non-financial factors on cost estimates, such as emotional distress and diminished quality of life, underscoring the wide-ranging psychosocial effects of gambling. Various methods have been employed to quantify these intangible costs, including the use of disability weights, YLL, and proxy measures like crime-victim compensation. Most studies take a cautious approach to causal attribution based on the Australian Productivity Commission </w:t>
      </w:r>
      <w:r w:rsidR="0038398B">
        <w:rPr>
          <w:noProof/>
          <w:color w:val="000000"/>
        </w:rPr>
        <w:t>(1999)</w:t>
      </w:r>
      <w:r>
        <w:t>, often applying a reduction (typically around 20%) to mitigate the risk of overestimating the direct link between gambling and its associated harms. The scope of these studies varies, with some focusing exclusively on severe gambling problems, while others adopt a broader public health perspective that includes other forms of gambling harm. Additionally, the inclusion of affected others also varies, from limited to more comprehensive consideration.</w:t>
      </w:r>
    </w:p>
    <w:p w14:paraId="283EB3E4" w14:textId="77777777" w:rsidR="00DB689D" w:rsidRDefault="00310A10" w:rsidP="00367A8D">
      <w:pPr>
        <w:spacing w:line="360" w:lineRule="auto"/>
      </w:pPr>
      <w:r>
        <w:t xml:space="preserve"> </w:t>
      </w:r>
    </w:p>
    <w:p w14:paraId="08880394" w14:textId="1BD43781" w:rsidR="00DB689D" w:rsidRDefault="00310A10" w:rsidP="00367A8D">
      <w:pPr>
        <w:spacing w:line="360" w:lineRule="auto"/>
      </w:pPr>
      <w:r>
        <w:t xml:space="preserve">Acknowledging the significant uncertainty in their estimates, many reports use upper and lower bounds </w:t>
      </w:r>
      <w:r w:rsidR="0038398B">
        <w:rPr>
          <w:noProof/>
          <w:color w:val="000000"/>
        </w:rPr>
        <w:t>(Bhattacharjee et al., 2023; Office for Health Improvement and Disparities, 2023; The South Australian Centre for Economic Studies et al., 2021; Whetton et al., 2018; Winkler et al., 2017)</w:t>
      </w:r>
      <w:r>
        <w:t xml:space="preserve">. Despite these ranges, most studies acknowledge that their figures likely underestimate the total costs due to factors such as missing data, uncertainties in causal pathways, challenges in valuing intangible costs, and selective inclusion of cost categories. This underestimation is further evidenced by New Zealand studies, which reveal significant impacts on health, wellbeing, and community-level indicators that are difficult to quantify fully in economic terms </w:t>
      </w:r>
      <w:r w:rsidR="0038398B">
        <w:rPr>
          <w:noProof/>
          <w:color w:val="000000"/>
        </w:rPr>
        <w:t>(Centre for Social and Health Outcomes Research and Evaluation &amp; Te Ropu Whariki, 2008; Wall et al., 2010)</w:t>
      </w:r>
      <w:r>
        <w:t>.</w:t>
      </w:r>
    </w:p>
    <w:p w14:paraId="64FDFEC2" w14:textId="77777777" w:rsidR="00DB689D" w:rsidRDefault="00310A10" w:rsidP="00367A8D">
      <w:pPr>
        <w:spacing w:line="360" w:lineRule="auto"/>
      </w:pPr>
      <w:r>
        <w:t xml:space="preserve"> </w:t>
      </w:r>
    </w:p>
    <w:p w14:paraId="7F2348F1" w14:textId="48C1D446" w:rsidR="00DB689D" w:rsidRDefault="00310A10" w:rsidP="00367A8D">
      <w:pPr>
        <w:spacing w:line="360" w:lineRule="auto"/>
      </w:pPr>
      <w:r>
        <w:t xml:space="preserve">Importantly, most studies do not account for long-term impacts such as legacy effects, intergenerational consequences, and broader societal implications, which further contribute to the potential underestimation of gambling's true economic impact. Studies conducted in New Zealand highlight the importance of considering cultural and ethnic differences in gambling impacts, as well as the complex relationships between gambling exposure and community-level outcomes. These findings underscore the need for nuanced, culturally sensitive approaches in both research and policymaking </w:t>
      </w:r>
      <w:r w:rsidR="0038398B">
        <w:rPr>
          <w:noProof/>
          <w:color w:val="000000"/>
        </w:rPr>
        <w:t>(Centre for Social and Health Outcomes Research and Evaluation &amp; Te Ropu Whariki, 2008; Wall et al., 2010)</w:t>
      </w:r>
      <w:r>
        <w:t>.</w:t>
      </w:r>
    </w:p>
    <w:p w14:paraId="07B2380C" w14:textId="77777777" w:rsidR="00DB689D" w:rsidRDefault="00DB689D" w:rsidP="00367A8D">
      <w:pPr>
        <w:spacing w:line="360" w:lineRule="auto"/>
      </w:pPr>
    </w:p>
    <w:p w14:paraId="5B1CC673" w14:textId="77777777" w:rsidR="00DB689D" w:rsidRDefault="00DB689D" w:rsidP="00367A8D">
      <w:pPr>
        <w:spacing w:line="360" w:lineRule="auto"/>
      </w:pPr>
    </w:p>
    <w:p w14:paraId="79F61C6A" w14:textId="77777777" w:rsidR="00DB689D" w:rsidRDefault="00310A10" w:rsidP="00367A8D">
      <w:pPr>
        <w:spacing w:line="360" w:lineRule="auto"/>
      </w:pPr>
      <w:bookmarkStart w:id="170" w:name="_vd6u15wstc9i" w:colFirst="0" w:colLast="0"/>
      <w:bookmarkEnd w:id="170"/>
      <w:r>
        <w:br w:type="page"/>
      </w:r>
    </w:p>
    <w:p w14:paraId="71AD0B43" w14:textId="1734B22C" w:rsidR="00DB689D" w:rsidRDefault="00310A10" w:rsidP="00367A8D">
      <w:pPr>
        <w:pStyle w:val="Heading1"/>
        <w:spacing w:line="360" w:lineRule="auto"/>
      </w:pPr>
      <w:bookmarkStart w:id="171" w:name="_vrlm1s1hlcf" w:colFirst="0" w:colLast="0"/>
      <w:bookmarkStart w:id="172" w:name="_Toc201572402"/>
      <w:bookmarkStart w:id="173" w:name="_Toc207195920"/>
      <w:bookmarkEnd w:id="171"/>
      <w:r>
        <w:t>Community Consultation</w:t>
      </w:r>
      <w:bookmarkEnd w:id="172"/>
      <w:bookmarkEnd w:id="173"/>
    </w:p>
    <w:p w14:paraId="53E7FA4F" w14:textId="671BBEA4" w:rsidR="00120BA7" w:rsidRDefault="00310A10" w:rsidP="00367A8D">
      <w:pPr>
        <w:spacing w:line="360" w:lineRule="auto"/>
      </w:pPr>
      <w:r>
        <w:t xml:space="preserve">While quantitative data provides the foundation for an economic costing of gambling, it may not fully capture the complex and nuanced ways these harms manifest for individuals, </w:t>
      </w:r>
      <w:r w:rsidRPr="00675455">
        <w:t>whānau</w:t>
      </w:r>
      <w:r>
        <w:t>, and communities. To gain a deeper understanding of these impacts, and to help contextualise and inform the economic costing analysis, a series of community consultations was undertaken. This chapter details the methodology used for these consultations and summarises the key themes that emerged from discussions with professionals working on the front lines of gambling harm in Aotearoa New Zealand.</w:t>
      </w:r>
    </w:p>
    <w:p w14:paraId="11B750C0" w14:textId="77777777" w:rsidR="00DB689D" w:rsidRDefault="00310A10" w:rsidP="00657824">
      <w:pPr>
        <w:pStyle w:val="Heading2"/>
      </w:pPr>
      <w:bookmarkStart w:id="174" w:name="_cu85q5y7bjq" w:colFirst="0" w:colLast="0"/>
      <w:bookmarkStart w:id="175" w:name="_Toc201572403"/>
      <w:bookmarkStart w:id="176" w:name="_Toc207195921"/>
      <w:bookmarkEnd w:id="174"/>
      <w:r>
        <w:t>Methodology</w:t>
      </w:r>
      <w:bookmarkEnd w:id="175"/>
      <w:bookmarkEnd w:id="176"/>
    </w:p>
    <w:p w14:paraId="40A19597" w14:textId="587D9121" w:rsidR="00DB689D" w:rsidRDefault="00310A10" w:rsidP="00C30E1A">
      <w:pPr>
        <w:pStyle w:val="Heading3"/>
      </w:pPr>
      <w:bookmarkStart w:id="177" w:name="_1br6dx1ctv11" w:colFirst="0" w:colLast="0"/>
      <w:bookmarkStart w:id="178" w:name="_Toc201572404"/>
      <w:bookmarkStart w:id="179" w:name="_Toc207195922"/>
      <w:bookmarkEnd w:id="177"/>
      <w:r>
        <w:t xml:space="preserve">Study </w:t>
      </w:r>
      <w:r w:rsidR="006F1A3E">
        <w:t>a</w:t>
      </w:r>
      <w:r>
        <w:t xml:space="preserve">ims, </w:t>
      </w:r>
      <w:r w:rsidR="006F1A3E">
        <w:t>d</w:t>
      </w:r>
      <w:r>
        <w:t xml:space="preserve">esign and </w:t>
      </w:r>
      <w:r w:rsidR="006F1A3E">
        <w:t>s</w:t>
      </w:r>
      <w:r>
        <w:t>etting</w:t>
      </w:r>
      <w:bookmarkEnd w:id="178"/>
      <w:bookmarkEnd w:id="179"/>
    </w:p>
    <w:p w14:paraId="11F49268" w14:textId="77777777" w:rsidR="00DB689D" w:rsidRDefault="00310A10" w:rsidP="00367A8D">
      <w:pPr>
        <w:spacing w:before="240" w:after="240" w:line="360" w:lineRule="auto"/>
      </w:pPr>
      <w:r>
        <w:t xml:space="preserve">This phase of the study aimed to better understand the multifaceted costs of gambling to individuals, </w:t>
      </w:r>
      <w:r w:rsidRPr="00675455">
        <w:t>whānau</w:t>
      </w:r>
      <w:r>
        <w:t xml:space="preserve">, and communities in New Zealand using a qualitative design. The study draws on the professional expertise and frontline experiences of practitioners working across organisations that see people and </w:t>
      </w:r>
      <w:r w:rsidRPr="00675455">
        <w:t>whānau</w:t>
      </w:r>
      <w:r>
        <w:t xml:space="preserve"> experiencing harm from gambling. It focuses on the following research questions:</w:t>
      </w:r>
    </w:p>
    <w:p w14:paraId="6EA15D5F" w14:textId="77777777" w:rsidR="00DB689D" w:rsidRDefault="00310A10" w:rsidP="00645029">
      <w:pPr>
        <w:numPr>
          <w:ilvl w:val="0"/>
          <w:numId w:val="41"/>
        </w:numPr>
        <w:spacing w:before="240" w:line="360" w:lineRule="auto"/>
      </w:pPr>
      <w:r>
        <w:t>What are the comprehensive economic and societal costs of gambling in New Zealand, and how are they distributed across different levels of gambling severity, including problem, moderate-risk, and low-risk gambling, and across different priority groups?</w:t>
      </w:r>
    </w:p>
    <w:p w14:paraId="3F87EB31" w14:textId="77777777" w:rsidR="00DB689D" w:rsidRDefault="00310A10" w:rsidP="00645029">
      <w:pPr>
        <w:numPr>
          <w:ilvl w:val="0"/>
          <w:numId w:val="41"/>
        </w:numPr>
        <w:spacing w:line="360" w:lineRule="auto"/>
      </w:pPr>
      <w:r>
        <w:t>How do health and wellbeing impacts from gambling vary across different levels of gambling severity and different priority groups, and what is their actual cost?</w:t>
      </w:r>
    </w:p>
    <w:p w14:paraId="5C567D02" w14:textId="77777777" w:rsidR="00DB689D" w:rsidRDefault="00310A10" w:rsidP="00645029">
      <w:pPr>
        <w:numPr>
          <w:ilvl w:val="0"/>
          <w:numId w:val="41"/>
        </w:numPr>
        <w:spacing w:after="240" w:line="360" w:lineRule="auto"/>
      </w:pPr>
      <w:r>
        <w:t>What proportion of the total gambling-related costs can be attributed to specific gambling products, and how does this attribution inform policy and regulation?</w:t>
      </w:r>
    </w:p>
    <w:p w14:paraId="7D069721" w14:textId="77777777" w:rsidR="00DB689D" w:rsidRDefault="00310A10" w:rsidP="00367A8D">
      <w:pPr>
        <w:spacing w:before="240" w:after="240" w:line="360" w:lineRule="auto"/>
      </w:pPr>
      <w:r>
        <w:t>Capturing these perspectives is critical for informing responsive, community-led, and culturally grounded harm minimisation strategies that support equity in health and wellbeing. While many studies have focused on quantitative prevalence or individual behaviours, there remains limited qualitative research conducted via expert consultation to explore the direct and indirect costs associated with gambling across New Zealand.</w:t>
      </w:r>
    </w:p>
    <w:p w14:paraId="4314CD99" w14:textId="77777777" w:rsidR="00120BA7" w:rsidRDefault="00120BA7" w:rsidP="00367A8D">
      <w:pPr>
        <w:spacing w:before="240" w:after="240" w:line="360" w:lineRule="auto"/>
      </w:pPr>
    </w:p>
    <w:p w14:paraId="00E0D24A" w14:textId="77777777" w:rsidR="00DB689D" w:rsidRDefault="00310A10" w:rsidP="00C30E1A">
      <w:pPr>
        <w:pStyle w:val="Heading3"/>
      </w:pPr>
      <w:bookmarkStart w:id="180" w:name="_33wizml950xi" w:colFirst="0" w:colLast="0"/>
      <w:bookmarkStart w:id="181" w:name="_Toc201572405"/>
      <w:bookmarkStart w:id="182" w:name="_Toc207195923"/>
      <w:bookmarkEnd w:id="180"/>
      <w:r>
        <w:t>Recruitment</w:t>
      </w:r>
      <w:bookmarkEnd w:id="181"/>
      <w:bookmarkEnd w:id="182"/>
    </w:p>
    <w:p w14:paraId="4BF019C1" w14:textId="77777777" w:rsidR="00DB689D" w:rsidRDefault="00310A10" w:rsidP="00367A8D">
      <w:pPr>
        <w:spacing w:before="240" w:after="240" w:line="360" w:lineRule="auto"/>
      </w:pPr>
      <w:r>
        <w:t>Twenty professionals working in New Zealand were recruited. These included practitioners working across gambling harm treatment, prevention, financial mentoring, public health, and advocacy, as well as in local organisations that represent and advocate for iwi and hapū affected by gambling. Participants were recruited through professional networks, referrals from organisations within the sector, and direct invitations to staff at relevant services. The invitation included an information sheet outlining the project’s aims, the interview or focus group process, voluntary participation, confidentiality, anonymity, and contact information for the research team and ethics committees.</w:t>
      </w:r>
    </w:p>
    <w:p w14:paraId="5518D5C8" w14:textId="77777777" w:rsidR="00DB689D" w:rsidRDefault="00310A10" w:rsidP="00367A8D">
      <w:pPr>
        <w:spacing w:before="240" w:after="240" w:line="360" w:lineRule="auto"/>
      </w:pPr>
      <w:r>
        <w:t xml:space="preserve">Inclusion criteria were: currently or recently employed in a role directly engaging with individuals, </w:t>
      </w:r>
      <w:r w:rsidRPr="00675455">
        <w:t>whānau</w:t>
      </w:r>
      <w:r>
        <w:t>, or communities affected by gambling harm in New Zealand; aged 18 years or older; and willing to participate in an individual interview or focus group. Eligibility was confirmed during initial contact.</w:t>
      </w:r>
    </w:p>
    <w:p w14:paraId="34CE48B3" w14:textId="77777777" w:rsidR="00DB689D" w:rsidRDefault="00310A10" w:rsidP="00367A8D">
      <w:pPr>
        <w:spacing w:before="240" w:after="240" w:line="360" w:lineRule="auto"/>
      </w:pPr>
      <w:r>
        <w:t>Five focus groups and four individual interviews were conducted in March, April, and May 2025. Participants represented nine different organisations and brought a wide range of expertise across clinical, financial, cultural, and community domains. All participants were offered a $20 supermarket gift card as a Koha in appreciation of their time.</w:t>
      </w:r>
    </w:p>
    <w:p w14:paraId="68C7DC35" w14:textId="77777777" w:rsidR="00DB689D" w:rsidRDefault="00310A10" w:rsidP="00C30E1A">
      <w:pPr>
        <w:pStyle w:val="Heading3"/>
      </w:pPr>
      <w:bookmarkStart w:id="183" w:name="_f74pnas1vkni" w:colFirst="0" w:colLast="0"/>
      <w:bookmarkStart w:id="184" w:name="_Toc201572406"/>
      <w:bookmarkStart w:id="185" w:name="_Toc207195924"/>
      <w:bookmarkEnd w:id="183"/>
      <w:r>
        <w:t>Procedure</w:t>
      </w:r>
      <w:bookmarkEnd w:id="184"/>
      <w:bookmarkEnd w:id="185"/>
    </w:p>
    <w:p w14:paraId="5657CDA5" w14:textId="77777777" w:rsidR="00DB689D" w:rsidRDefault="00310A10" w:rsidP="00367A8D">
      <w:pPr>
        <w:spacing w:before="240" w:after="240" w:line="360" w:lineRule="auto"/>
      </w:pPr>
      <w:r>
        <w:t>Individuals who expressed interest in participating were sent an information sheet and consent form by email. Those who consented were subsequently contacted by phone or email to confirm their eligibility and arrange a suitable time for their interview or focus group session.</w:t>
      </w:r>
    </w:p>
    <w:p w14:paraId="01791E78" w14:textId="77777777" w:rsidR="00DB689D" w:rsidRDefault="00310A10" w:rsidP="00367A8D">
      <w:pPr>
        <w:spacing w:before="240" w:after="240" w:line="360" w:lineRule="auto"/>
      </w:pPr>
      <w:r>
        <w:t>All interviews and focus groups were conducted by the same member of the research team, who has over 15 years’ experience in gambling research, and specialised training in qualitative interviewing. The focus groups and individual interviews were conducted either in person or via video conference, depending on participant preference and location.</w:t>
      </w:r>
    </w:p>
    <w:p w14:paraId="1E9287CF" w14:textId="7654A81A" w:rsidR="00DB689D" w:rsidRDefault="00310A10" w:rsidP="00367A8D">
      <w:pPr>
        <w:spacing w:before="240" w:after="240" w:line="360" w:lineRule="auto"/>
      </w:pPr>
      <w:r>
        <w:t>Interviews and focus groups were semi-structured, with open-ended questions and prompts designed to explore participants’ professional experiences of the costs of gambling. The structure of the sessions was based on Langham et al.’s (2016) conceptual framework of gambling harm</w:t>
      </w:r>
      <w:r w:rsidR="00367A8D">
        <w:t xml:space="preserve"> (see Figure 6)</w:t>
      </w:r>
      <w:r>
        <w:t>. Sessions ranged from 45 to 60 minutes and were audio-recorded with participant consent. Recordings were transcribed using transcription software and edited for accuracy and anonymised by the researcher who conducted the data collection.</w:t>
      </w:r>
    </w:p>
    <w:p w14:paraId="17EFF689" w14:textId="77777777" w:rsidR="00367A8D" w:rsidRPr="00DD0432" w:rsidRDefault="00367A8D" w:rsidP="00367A8D">
      <w:pPr>
        <w:keepNext/>
        <w:spacing w:before="240" w:after="240" w:line="360" w:lineRule="auto"/>
      </w:pPr>
      <w:r w:rsidRPr="00DD0432">
        <w:rPr>
          <w:noProof/>
        </w:rPr>
        <w:drawing>
          <wp:inline distT="0" distB="0" distL="0" distR="0" wp14:anchorId="65C536F7" wp14:editId="14E025A4">
            <wp:extent cx="5731510" cy="3245485"/>
            <wp:effectExtent l="0" t="0" r="0" b="5715"/>
            <wp:docPr id="1881883312" name="Picture 5" descr="This image is a diagram illustrating the conceptual framework of gambling-related harm. The framework is structured in two dimensions.&#10;&#10;Horizontally, there are eight vertical pillars that represent the &quot;Dimensions of Harm.&quot; From left to right, these are: Financial Harm, Relationship Disruption, Emotional or Psychological Distress, Decrements to Health, Cultural Harm, Reduced Performance at Work or Study, and Criminal Activity.&#10;&#10;Vertically, along the left side, is the &quot;Temporal Category,&quot; which intersects with the dimensions of harm. It shows that harms can be experienced as General Harms, during a time of Crisis, or as Legacy harms that persist over time.&#10;&#10;Underpinning the entire framework is a foundational horizontal bar labelled &quot;Lifecourse and Intergenerational Harm,&quot; indicating that all these harms exist within a broader context that can affect an entire lifetime and subsequent gen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83312" name="Picture 5" descr="This image is a diagram illustrating the conceptual framework of gambling-related harm. The framework is structured in two dimensions.&#10;&#10;Horizontally, there are eight vertical pillars that represent the &quot;Dimensions of Harm.&quot; From left to right, these are: Financial Harm, Relationship Disruption, Emotional or Psychological Distress, Decrements to Health, Cultural Harm, Reduced Performance at Work or Study, and Criminal Activity.&#10;&#10;Vertically, along the left side, is the &quot;Temporal Category,&quot; which intersects with the dimensions of harm. It shows that harms can be experienced as General Harms, during a time of Crisis, or as Legacy harms that persist over time.&#10;&#10;Underpinning the entire framework is a foundational horizontal bar labelled &quot;Lifecourse and Intergenerational Harm,&quot; indicating that all these harms exist within a broader context that can affect an entire lifetime and subsequent generations."/>
                    <pic:cNvPicPr/>
                  </pic:nvPicPr>
                  <pic:blipFill>
                    <a:blip r:embed="rId19">
                      <a:extLst>
                        <a:ext uri="{28A0092B-C50C-407E-A947-70E740481C1C}">
                          <a14:useLocalDpi xmlns:a14="http://schemas.microsoft.com/office/drawing/2010/main" val="0"/>
                        </a:ext>
                      </a:extLst>
                    </a:blip>
                    <a:stretch>
                      <a:fillRect/>
                    </a:stretch>
                  </pic:blipFill>
                  <pic:spPr>
                    <a:xfrm>
                      <a:off x="0" y="0"/>
                      <a:ext cx="5731510" cy="3245485"/>
                    </a:xfrm>
                    <a:prstGeom prst="rect">
                      <a:avLst/>
                    </a:prstGeom>
                  </pic:spPr>
                </pic:pic>
              </a:graphicData>
            </a:graphic>
          </wp:inline>
        </w:drawing>
      </w:r>
    </w:p>
    <w:p w14:paraId="6BD1AC20" w14:textId="29D94332" w:rsidR="00367A8D" w:rsidRPr="00DD0432" w:rsidRDefault="00367A8D" w:rsidP="00DB094D">
      <w:pPr>
        <w:pStyle w:val="Caption"/>
      </w:pPr>
      <w:bookmarkStart w:id="186" w:name="_Toc201572774"/>
      <w:bookmarkStart w:id="187" w:name="_Toc207183734"/>
      <w:bookmarkStart w:id="188" w:name="_Toc207196079"/>
      <w:r w:rsidRPr="00DD0432">
        <w:t xml:space="preserve">Figure </w:t>
      </w:r>
      <w:r w:rsidRPr="00DD0432">
        <w:fldChar w:fldCharType="begin"/>
      </w:r>
      <w:r w:rsidRPr="00DD0432">
        <w:instrText xml:space="preserve"> SEQ Figure \* ARABIC </w:instrText>
      </w:r>
      <w:r w:rsidRPr="00DD0432">
        <w:fldChar w:fldCharType="separate"/>
      </w:r>
      <w:r w:rsidR="00986A0D">
        <w:rPr>
          <w:noProof/>
        </w:rPr>
        <w:t>6</w:t>
      </w:r>
      <w:r w:rsidRPr="00DD0432">
        <w:fldChar w:fldCharType="end"/>
      </w:r>
      <w:r w:rsidRPr="00DD0432">
        <w:t>. Conceptual Framework of Gambling Related Harm (Langham et al., 2016)</w:t>
      </w:r>
      <w:bookmarkEnd w:id="186"/>
      <w:bookmarkEnd w:id="187"/>
      <w:bookmarkEnd w:id="188"/>
    </w:p>
    <w:p w14:paraId="634BFD3F" w14:textId="77777777" w:rsidR="00DB689D" w:rsidRDefault="00310A10" w:rsidP="00367A8D">
      <w:pPr>
        <w:spacing w:before="240" w:after="240" w:line="360" w:lineRule="auto"/>
        <w:rPr>
          <w:i/>
          <w:sz w:val="20"/>
          <w:szCs w:val="20"/>
        </w:rPr>
      </w:pPr>
      <w:r>
        <w:rPr>
          <w:i/>
          <w:sz w:val="20"/>
          <w:szCs w:val="20"/>
        </w:rPr>
        <w:t>Adapted from ‘Understanding gambling related harm: a proposed definition, conceptual framework, and taxonomy of harms,’ by E. Langham, H. Thorne, M. Browne, P. Donaldson, J. Rose, and M. Rockloff and L. Kohne, 2016, BMC Public Health, 16. Copyright 2015 by BioMed Central</w:t>
      </w:r>
    </w:p>
    <w:p w14:paraId="753F463B" w14:textId="77777777" w:rsidR="00DB689D" w:rsidRDefault="00310A10" w:rsidP="00367A8D">
      <w:pPr>
        <w:pStyle w:val="Heading4"/>
        <w:spacing w:line="360" w:lineRule="auto"/>
      </w:pPr>
      <w:bookmarkStart w:id="189" w:name="_jemc499i9duu" w:colFirst="0" w:colLast="0"/>
      <w:bookmarkEnd w:id="189"/>
      <w:r>
        <w:t>Analysis</w:t>
      </w:r>
    </w:p>
    <w:p w14:paraId="09C4D031" w14:textId="3E007B17" w:rsidR="00DB689D" w:rsidRDefault="00310A10" w:rsidP="00367A8D">
      <w:pPr>
        <w:spacing w:before="240" w:after="240" w:line="360" w:lineRule="auto"/>
      </w:pPr>
      <w:r>
        <w:t>Using thematic analysis as a framework (Braun &amp; Clark, 2006; Crowe et al., 2015), transcripts from interviews and focus groups were reviewed multiple times and systematically coded to identify patterns and themes. Coding was carried out deductively, in accordance with the project’s research questions. However, some flexibility was allowed with unexpected themes that emerged from the data also included in the analysis. In parallel with the coding process, reflective memos were written to capture analytic insights and observations about connections across participant accounts. These memos supported critical reflection on emerging themes and relationships, helping to ensure the analysis remained grounded in the perspectives of participants. Initial codes were tagged alongside the transcript data and iteratively grouped, refined, and reorganised into overarching thematic categories. This process involved comparing insights across sectors and roles, ensuring the final themes represented both commonalities and diversity of perspectives across the dataset.</w:t>
      </w:r>
      <w:r w:rsidR="00C30E1A">
        <w:t xml:space="preserve"> </w:t>
      </w:r>
      <w:r>
        <w:t xml:space="preserve">The qualitative study was approved by the </w:t>
      </w:r>
      <w:r w:rsidR="00C30E1A">
        <w:t>CQU</w:t>
      </w:r>
      <w:r>
        <w:t xml:space="preserve"> Human Research and Ethics Committee (reference: 25208) and the Aotearoa Research Ethics Committee (reference: 24_62).</w:t>
      </w:r>
    </w:p>
    <w:p w14:paraId="5E739595" w14:textId="77777777" w:rsidR="00DB689D" w:rsidRDefault="00310A10" w:rsidP="00657824">
      <w:pPr>
        <w:pStyle w:val="Heading2"/>
      </w:pPr>
      <w:bookmarkStart w:id="190" w:name="_7i602yhb0vo0" w:colFirst="0" w:colLast="0"/>
      <w:bookmarkStart w:id="191" w:name="_Toc201572407"/>
      <w:bookmarkStart w:id="192" w:name="_Toc207195925"/>
      <w:bookmarkEnd w:id="190"/>
      <w:r>
        <w:t>Results</w:t>
      </w:r>
      <w:bookmarkEnd w:id="191"/>
      <w:bookmarkEnd w:id="192"/>
    </w:p>
    <w:p w14:paraId="133E4E4C" w14:textId="5DE2F1A5" w:rsidR="00DB689D" w:rsidRDefault="00310A10" w:rsidP="00367A8D">
      <w:pPr>
        <w:spacing w:before="240" w:after="240" w:line="360" w:lineRule="auto"/>
      </w:pPr>
      <w:r>
        <w:t xml:space="preserve">The analysis identified several overarching themes and subthemes relating to the economic and societal costs of gambling in New Zealand, and how these costs impacted individuals, </w:t>
      </w:r>
      <w:r w:rsidRPr="00675455">
        <w:t>whānau</w:t>
      </w:r>
      <w:r>
        <w:t xml:space="preserve">, and the wider community. </w:t>
      </w:r>
      <w:r w:rsidR="000E60CB">
        <w:t>S</w:t>
      </w:r>
      <w:r w:rsidR="006865B8">
        <w:t xml:space="preserve">ee </w:t>
      </w:r>
      <w:r w:rsidR="006865B8" w:rsidRPr="00BF7AF9">
        <w:t>Table</w:t>
      </w:r>
      <w:r w:rsidR="00BF7AF9" w:rsidRPr="00BF7AF9">
        <w:t xml:space="preserve"> 1</w:t>
      </w:r>
      <w:r w:rsidR="006865B8">
        <w:t xml:space="preserve"> below for a comprehensive list of themes and subthemes. </w:t>
      </w:r>
      <w:r w:rsidR="000E60CB">
        <w:t xml:space="preserve">Please note that quotes are not tagged with participant organisation/role to ensure anonymity. All participants have experience and interest in reducing gambling harm. </w:t>
      </w:r>
    </w:p>
    <w:p w14:paraId="497E468E" w14:textId="6980B1C5" w:rsidR="00BF7AF9" w:rsidRDefault="00BF7AF9" w:rsidP="00DB094D">
      <w:pPr>
        <w:pStyle w:val="Caption"/>
      </w:pPr>
      <w:bookmarkStart w:id="193" w:name="_Toc207619043"/>
      <w:r>
        <w:t xml:space="preserve">Table </w:t>
      </w:r>
      <w:r>
        <w:fldChar w:fldCharType="begin"/>
      </w:r>
      <w:r>
        <w:instrText xml:space="preserve"> SEQ Table \* ARABIC </w:instrText>
      </w:r>
      <w:r>
        <w:fldChar w:fldCharType="separate"/>
      </w:r>
      <w:r w:rsidR="00986A0D">
        <w:rPr>
          <w:noProof/>
        </w:rPr>
        <w:t>1</w:t>
      </w:r>
      <w:r>
        <w:fldChar w:fldCharType="end"/>
      </w:r>
      <w:r>
        <w:t xml:space="preserve"> Table of themes and subthemes</w:t>
      </w:r>
      <w:bookmarkEnd w:id="193"/>
    </w:p>
    <w:tbl>
      <w:tblPr>
        <w:tblStyle w:val="TableGridLight"/>
        <w:tblW w:w="5000" w:type="pct"/>
        <w:tblLook w:val="0600" w:firstRow="0" w:lastRow="0" w:firstColumn="0" w:lastColumn="0" w:noHBand="1" w:noVBand="1"/>
      </w:tblPr>
      <w:tblGrid>
        <w:gridCol w:w="3680"/>
        <w:gridCol w:w="5637"/>
      </w:tblGrid>
      <w:tr w:rsidR="00A95D3E" w:rsidRPr="00D72AD6" w14:paraId="0D985B10" w14:textId="77777777" w:rsidTr="00C30E1A">
        <w:trPr>
          <w:trHeight w:val="170"/>
        </w:trPr>
        <w:tc>
          <w:tcPr>
            <w:tcW w:w="1975" w:type="pct"/>
            <w:shd w:val="clear" w:color="auto" w:fill="F2F2F2" w:themeFill="background1" w:themeFillShade="F2"/>
            <w:vAlign w:val="center"/>
          </w:tcPr>
          <w:p w14:paraId="04E921A6" w14:textId="5D379D5B" w:rsidR="00A95D3E" w:rsidRPr="00C30E1A" w:rsidRDefault="00A95D3E">
            <w:pPr>
              <w:spacing w:line="276" w:lineRule="auto"/>
              <w:jc w:val="center"/>
              <w:rPr>
                <w:b/>
                <w:bCs/>
                <w:sz w:val="22"/>
                <w:szCs w:val="22"/>
              </w:rPr>
            </w:pPr>
            <w:r w:rsidRPr="00C30E1A">
              <w:rPr>
                <w:b/>
                <w:bCs/>
                <w:sz w:val="22"/>
                <w:szCs w:val="22"/>
              </w:rPr>
              <w:t>Themes</w:t>
            </w:r>
          </w:p>
        </w:tc>
        <w:tc>
          <w:tcPr>
            <w:tcW w:w="3025" w:type="pct"/>
            <w:shd w:val="clear" w:color="auto" w:fill="F2F2F2" w:themeFill="background1" w:themeFillShade="F2"/>
            <w:vAlign w:val="center"/>
          </w:tcPr>
          <w:p w14:paraId="7EBC9593" w14:textId="2873C468" w:rsidR="00A95D3E" w:rsidRPr="00C30E1A" w:rsidRDefault="00A95D3E">
            <w:pPr>
              <w:spacing w:line="276" w:lineRule="auto"/>
              <w:jc w:val="center"/>
              <w:rPr>
                <w:b/>
                <w:bCs/>
                <w:sz w:val="22"/>
                <w:szCs w:val="22"/>
              </w:rPr>
            </w:pPr>
            <w:r w:rsidRPr="00C30E1A">
              <w:rPr>
                <w:b/>
                <w:bCs/>
                <w:sz w:val="22"/>
                <w:szCs w:val="22"/>
              </w:rPr>
              <w:t>Subthemes</w:t>
            </w:r>
          </w:p>
        </w:tc>
      </w:tr>
      <w:tr w:rsidR="00A95D3E" w:rsidRPr="00D72AD6" w14:paraId="0AF6CCE4" w14:textId="77777777" w:rsidTr="00C30E1A">
        <w:trPr>
          <w:trHeight w:val="170"/>
        </w:trPr>
        <w:tc>
          <w:tcPr>
            <w:tcW w:w="1975" w:type="pct"/>
            <w:vMerge w:val="restart"/>
            <w:vAlign w:val="center"/>
          </w:tcPr>
          <w:p w14:paraId="5818A87E" w14:textId="3E44F7E4" w:rsidR="00A95D3E" w:rsidRPr="00C30E1A" w:rsidRDefault="00A95D3E" w:rsidP="00A95D3E">
            <w:pPr>
              <w:spacing w:line="276" w:lineRule="auto"/>
              <w:rPr>
                <w:sz w:val="22"/>
                <w:szCs w:val="22"/>
              </w:rPr>
            </w:pPr>
            <w:r w:rsidRPr="00C30E1A">
              <w:rPr>
                <w:sz w:val="22"/>
                <w:szCs w:val="22"/>
              </w:rPr>
              <w:t>1. Old risks, new platforms</w:t>
            </w:r>
          </w:p>
        </w:tc>
        <w:tc>
          <w:tcPr>
            <w:tcW w:w="3025" w:type="pct"/>
          </w:tcPr>
          <w:p w14:paraId="4504E10F" w14:textId="2E442F9A" w:rsidR="00815687" w:rsidRPr="00C30E1A" w:rsidRDefault="00A95D3E" w:rsidP="00A95D3E">
            <w:pPr>
              <w:spacing w:line="276" w:lineRule="auto"/>
              <w:rPr>
                <w:sz w:val="22"/>
                <w:szCs w:val="22"/>
              </w:rPr>
            </w:pPr>
            <w:r w:rsidRPr="00C30E1A">
              <w:rPr>
                <w:sz w:val="22"/>
                <w:szCs w:val="22"/>
              </w:rPr>
              <w:t>The persistent costs of land-based EGMs</w:t>
            </w:r>
          </w:p>
        </w:tc>
      </w:tr>
      <w:tr w:rsidR="00A95D3E" w:rsidRPr="00D72AD6" w14:paraId="2D979A89" w14:textId="77777777" w:rsidTr="00C30E1A">
        <w:trPr>
          <w:trHeight w:val="170"/>
        </w:trPr>
        <w:tc>
          <w:tcPr>
            <w:tcW w:w="1975" w:type="pct"/>
            <w:vMerge/>
            <w:vAlign w:val="center"/>
          </w:tcPr>
          <w:p w14:paraId="391F0F96" w14:textId="77777777" w:rsidR="00A95D3E" w:rsidRPr="00C30E1A" w:rsidRDefault="00A95D3E" w:rsidP="00A95D3E">
            <w:pPr>
              <w:spacing w:line="276" w:lineRule="auto"/>
              <w:rPr>
                <w:sz w:val="22"/>
                <w:szCs w:val="22"/>
              </w:rPr>
            </w:pPr>
          </w:p>
        </w:tc>
        <w:tc>
          <w:tcPr>
            <w:tcW w:w="3025" w:type="pct"/>
          </w:tcPr>
          <w:p w14:paraId="77A5AF47" w14:textId="2AB06D8D" w:rsidR="00A95D3E" w:rsidRPr="00C30E1A" w:rsidRDefault="00A95D3E" w:rsidP="00A95D3E">
            <w:pPr>
              <w:spacing w:line="276" w:lineRule="auto"/>
              <w:rPr>
                <w:sz w:val="22"/>
                <w:szCs w:val="22"/>
              </w:rPr>
            </w:pPr>
            <w:r w:rsidRPr="00C30E1A">
              <w:rPr>
                <w:sz w:val="22"/>
                <w:szCs w:val="22"/>
              </w:rPr>
              <w:t>The increasing costs of offshore online casino gambling</w:t>
            </w:r>
          </w:p>
        </w:tc>
      </w:tr>
      <w:tr w:rsidR="00A95D3E" w:rsidRPr="00D72AD6" w14:paraId="5A4A0686" w14:textId="77777777" w:rsidTr="00C30E1A">
        <w:trPr>
          <w:trHeight w:val="170"/>
        </w:trPr>
        <w:tc>
          <w:tcPr>
            <w:tcW w:w="1975" w:type="pct"/>
            <w:vMerge/>
            <w:vAlign w:val="center"/>
          </w:tcPr>
          <w:p w14:paraId="2C1055EF" w14:textId="77777777" w:rsidR="00A95D3E" w:rsidRPr="00C30E1A" w:rsidRDefault="00A95D3E" w:rsidP="00A95D3E">
            <w:pPr>
              <w:spacing w:line="276" w:lineRule="auto"/>
              <w:rPr>
                <w:sz w:val="22"/>
                <w:szCs w:val="22"/>
              </w:rPr>
            </w:pPr>
          </w:p>
        </w:tc>
        <w:tc>
          <w:tcPr>
            <w:tcW w:w="3025" w:type="pct"/>
          </w:tcPr>
          <w:p w14:paraId="09BD7557" w14:textId="170759C0" w:rsidR="00A95D3E" w:rsidRPr="00C30E1A" w:rsidRDefault="00A95D3E" w:rsidP="00A95D3E">
            <w:pPr>
              <w:spacing w:line="276" w:lineRule="auto"/>
              <w:rPr>
                <w:sz w:val="22"/>
                <w:szCs w:val="22"/>
              </w:rPr>
            </w:pPr>
            <w:r w:rsidRPr="00C30E1A">
              <w:rPr>
                <w:sz w:val="22"/>
                <w:szCs w:val="22"/>
              </w:rPr>
              <w:t>Online influencers promoting online gambling, including to vulnerable groups</w:t>
            </w:r>
          </w:p>
        </w:tc>
      </w:tr>
      <w:tr w:rsidR="00A95D3E" w:rsidRPr="00D72AD6" w14:paraId="181E55BC" w14:textId="77777777" w:rsidTr="00C30E1A">
        <w:trPr>
          <w:trHeight w:val="170"/>
        </w:trPr>
        <w:tc>
          <w:tcPr>
            <w:tcW w:w="1975" w:type="pct"/>
            <w:vMerge/>
            <w:vAlign w:val="center"/>
          </w:tcPr>
          <w:p w14:paraId="64E93744" w14:textId="77777777" w:rsidR="00A95D3E" w:rsidRPr="00C30E1A" w:rsidRDefault="00A95D3E" w:rsidP="00A95D3E">
            <w:pPr>
              <w:spacing w:line="276" w:lineRule="auto"/>
              <w:rPr>
                <w:sz w:val="22"/>
                <w:szCs w:val="22"/>
              </w:rPr>
            </w:pPr>
          </w:p>
        </w:tc>
        <w:tc>
          <w:tcPr>
            <w:tcW w:w="3025" w:type="pct"/>
          </w:tcPr>
          <w:p w14:paraId="61FA1DD1" w14:textId="0A4E5078" w:rsidR="00A95D3E" w:rsidRPr="00C30E1A" w:rsidRDefault="00A95D3E" w:rsidP="00A95D3E">
            <w:pPr>
              <w:spacing w:line="276" w:lineRule="auto"/>
              <w:rPr>
                <w:sz w:val="22"/>
                <w:szCs w:val="22"/>
              </w:rPr>
            </w:pPr>
            <w:r w:rsidRPr="00C30E1A">
              <w:rPr>
                <w:sz w:val="22"/>
                <w:szCs w:val="22"/>
              </w:rPr>
              <w:t>TAB, sports betting, and government-linked promotion</w:t>
            </w:r>
          </w:p>
        </w:tc>
      </w:tr>
      <w:tr w:rsidR="00A95D3E" w:rsidRPr="00D72AD6" w14:paraId="250D8490" w14:textId="77777777" w:rsidTr="00C30E1A">
        <w:trPr>
          <w:trHeight w:val="170"/>
        </w:trPr>
        <w:tc>
          <w:tcPr>
            <w:tcW w:w="1975" w:type="pct"/>
            <w:vAlign w:val="center"/>
          </w:tcPr>
          <w:p w14:paraId="5BC02C3C" w14:textId="42DF7EBD" w:rsidR="00A95D3E" w:rsidRPr="00C30E1A" w:rsidRDefault="00A95D3E">
            <w:pPr>
              <w:spacing w:line="276" w:lineRule="auto"/>
              <w:rPr>
                <w:sz w:val="22"/>
                <w:szCs w:val="22"/>
              </w:rPr>
            </w:pPr>
            <w:r w:rsidRPr="00C30E1A">
              <w:rPr>
                <w:sz w:val="22"/>
                <w:szCs w:val="22"/>
              </w:rPr>
              <w:t>2. The poisoned well of community funding</w:t>
            </w:r>
          </w:p>
        </w:tc>
        <w:tc>
          <w:tcPr>
            <w:tcW w:w="3025" w:type="pct"/>
            <w:vAlign w:val="center"/>
          </w:tcPr>
          <w:p w14:paraId="3E284F59" w14:textId="77777777" w:rsidR="00A95D3E" w:rsidRPr="00C30E1A" w:rsidRDefault="00A95D3E">
            <w:pPr>
              <w:spacing w:line="276" w:lineRule="auto"/>
              <w:rPr>
                <w:sz w:val="22"/>
                <w:szCs w:val="22"/>
              </w:rPr>
            </w:pPr>
          </w:p>
          <w:p w14:paraId="766DDE6C" w14:textId="51A6879A" w:rsidR="00A95D3E" w:rsidRPr="00C30E1A" w:rsidRDefault="00A95D3E">
            <w:pPr>
              <w:spacing w:line="276" w:lineRule="auto"/>
              <w:rPr>
                <w:sz w:val="22"/>
                <w:szCs w:val="22"/>
              </w:rPr>
            </w:pPr>
          </w:p>
        </w:tc>
      </w:tr>
      <w:tr w:rsidR="00A95D3E" w:rsidRPr="00D72AD6" w14:paraId="12E9C018" w14:textId="77777777" w:rsidTr="00C30E1A">
        <w:trPr>
          <w:trHeight w:val="170"/>
        </w:trPr>
        <w:tc>
          <w:tcPr>
            <w:tcW w:w="1975" w:type="pct"/>
            <w:vMerge w:val="restart"/>
            <w:vAlign w:val="center"/>
          </w:tcPr>
          <w:p w14:paraId="153A7BCB" w14:textId="1A59A73D" w:rsidR="00A95D3E" w:rsidRPr="00C30E1A" w:rsidRDefault="00A95D3E" w:rsidP="00A95D3E">
            <w:pPr>
              <w:spacing w:line="276" w:lineRule="auto"/>
              <w:rPr>
                <w:sz w:val="22"/>
                <w:szCs w:val="22"/>
              </w:rPr>
            </w:pPr>
            <w:r w:rsidRPr="00C30E1A">
              <w:rPr>
                <w:sz w:val="22"/>
                <w:szCs w:val="22"/>
              </w:rPr>
              <w:t>3. Lack of help-seeking</w:t>
            </w:r>
          </w:p>
        </w:tc>
        <w:tc>
          <w:tcPr>
            <w:tcW w:w="3025" w:type="pct"/>
          </w:tcPr>
          <w:p w14:paraId="7FABDB08" w14:textId="51BE8C0D" w:rsidR="006865B8" w:rsidRPr="00C30E1A" w:rsidRDefault="00A95D3E" w:rsidP="00A95D3E">
            <w:pPr>
              <w:spacing w:line="276" w:lineRule="auto"/>
              <w:rPr>
                <w:sz w:val="22"/>
                <w:szCs w:val="22"/>
              </w:rPr>
            </w:pPr>
            <w:r w:rsidRPr="00C30E1A">
              <w:rPr>
                <w:sz w:val="22"/>
                <w:szCs w:val="22"/>
              </w:rPr>
              <w:t>Shame and stigma</w:t>
            </w:r>
          </w:p>
        </w:tc>
      </w:tr>
      <w:tr w:rsidR="00A95D3E" w:rsidRPr="00D72AD6" w14:paraId="126C01FD" w14:textId="77777777" w:rsidTr="00C30E1A">
        <w:trPr>
          <w:trHeight w:val="170"/>
        </w:trPr>
        <w:tc>
          <w:tcPr>
            <w:tcW w:w="1975" w:type="pct"/>
            <w:vMerge/>
            <w:vAlign w:val="center"/>
          </w:tcPr>
          <w:p w14:paraId="2C7B26DF" w14:textId="77777777" w:rsidR="00A95D3E" w:rsidRPr="00C30E1A" w:rsidRDefault="00A95D3E" w:rsidP="00A95D3E">
            <w:pPr>
              <w:spacing w:line="276" w:lineRule="auto"/>
              <w:rPr>
                <w:sz w:val="22"/>
                <w:szCs w:val="22"/>
              </w:rPr>
            </w:pPr>
          </w:p>
        </w:tc>
        <w:tc>
          <w:tcPr>
            <w:tcW w:w="3025" w:type="pct"/>
          </w:tcPr>
          <w:p w14:paraId="0B8EFDCD" w14:textId="742C0DEC" w:rsidR="00A95D3E" w:rsidRPr="00C30E1A" w:rsidRDefault="00A95D3E" w:rsidP="00A95D3E">
            <w:pPr>
              <w:spacing w:line="276" w:lineRule="auto"/>
              <w:rPr>
                <w:sz w:val="22"/>
                <w:szCs w:val="22"/>
              </w:rPr>
            </w:pPr>
            <w:r w:rsidRPr="00C30E1A">
              <w:rPr>
                <w:sz w:val="22"/>
                <w:szCs w:val="22"/>
              </w:rPr>
              <w:t>Prioritising tangible assistance</w:t>
            </w:r>
          </w:p>
        </w:tc>
      </w:tr>
      <w:tr w:rsidR="00A95D3E" w:rsidRPr="00D72AD6" w14:paraId="685D313A" w14:textId="77777777" w:rsidTr="00C30E1A">
        <w:trPr>
          <w:trHeight w:val="170"/>
        </w:trPr>
        <w:tc>
          <w:tcPr>
            <w:tcW w:w="1975" w:type="pct"/>
            <w:vMerge/>
            <w:vAlign w:val="center"/>
          </w:tcPr>
          <w:p w14:paraId="54951044" w14:textId="77777777" w:rsidR="00A95D3E" w:rsidRPr="00C30E1A" w:rsidRDefault="00A95D3E" w:rsidP="00A95D3E">
            <w:pPr>
              <w:spacing w:line="276" w:lineRule="auto"/>
              <w:rPr>
                <w:sz w:val="22"/>
                <w:szCs w:val="22"/>
              </w:rPr>
            </w:pPr>
          </w:p>
        </w:tc>
        <w:tc>
          <w:tcPr>
            <w:tcW w:w="3025" w:type="pct"/>
          </w:tcPr>
          <w:p w14:paraId="759DD3DF" w14:textId="18ABA7C4" w:rsidR="00A95D3E" w:rsidRPr="00C30E1A" w:rsidRDefault="00A95D3E" w:rsidP="00A95D3E">
            <w:pPr>
              <w:spacing w:line="276" w:lineRule="auto"/>
              <w:rPr>
                <w:sz w:val="22"/>
                <w:szCs w:val="22"/>
              </w:rPr>
            </w:pPr>
            <w:r w:rsidRPr="00C30E1A">
              <w:rPr>
                <w:sz w:val="22"/>
                <w:szCs w:val="22"/>
              </w:rPr>
              <w:t>Cultural barriers</w:t>
            </w:r>
          </w:p>
        </w:tc>
      </w:tr>
      <w:tr w:rsidR="00815687" w:rsidRPr="00D72AD6" w14:paraId="6AFAC9B7" w14:textId="77777777" w:rsidTr="00C30E1A">
        <w:trPr>
          <w:trHeight w:val="170"/>
        </w:trPr>
        <w:tc>
          <w:tcPr>
            <w:tcW w:w="1975" w:type="pct"/>
            <w:vMerge w:val="restart"/>
            <w:vAlign w:val="center"/>
          </w:tcPr>
          <w:p w14:paraId="1028D0B6" w14:textId="11F8FF18" w:rsidR="00815687" w:rsidRPr="00C30E1A" w:rsidRDefault="00815687" w:rsidP="00A95D3E">
            <w:pPr>
              <w:spacing w:line="276" w:lineRule="auto"/>
              <w:rPr>
                <w:sz w:val="22"/>
                <w:szCs w:val="22"/>
              </w:rPr>
            </w:pPr>
            <w:r w:rsidRPr="00C30E1A">
              <w:rPr>
                <w:sz w:val="22"/>
                <w:szCs w:val="22"/>
              </w:rPr>
              <w:t>4. Relationship and family costs</w:t>
            </w:r>
          </w:p>
        </w:tc>
        <w:tc>
          <w:tcPr>
            <w:tcW w:w="3025" w:type="pct"/>
            <w:vAlign w:val="center"/>
          </w:tcPr>
          <w:p w14:paraId="08DB9549" w14:textId="0FF948C8" w:rsidR="00815687" w:rsidRPr="00C30E1A" w:rsidRDefault="00815687">
            <w:pPr>
              <w:spacing w:line="276" w:lineRule="auto"/>
              <w:rPr>
                <w:sz w:val="22"/>
                <w:szCs w:val="22"/>
              </w:rPr>
            </w:pPr>
            <w:r w:rsidRPr="00C30E1A">
              <w:rPr>
                <w:sz w:val="22"/>
                <w:szCs w:val="22"/>
              </w:rPr>
              <w:t>Intergenerational trauma and hardship</w:t>
            </w:r>
          </w:p>
        </w:tc>
      </w:tr>
      <w:tr w:rsidR="00815687" w:rsidRPr="00D72AD6" w14:paraId="25DEE337" w14:textId="77777777" w:rsidTr="00C30E1A">
        <w:trPr>
          <w:trHeight w:val="170"/>
        </w:trPr>
        <w:tc>
          <w:tcPr>
            <w:tcW w:w="1975" w:type="pct"/>
            <w:vMerge/>
            <w:vAlign w:val="center"/>
          </w:tcPr>
          <w:p w14:paraId="5E192216" w14:textId="77777777" w:rsidR="00815687" w:rsidRPr="00C30E1A" w:rsidRDefault="00815687" w:rsidP="00A95D3E">
            <w:pPr>
              <w:spacing w:line="276" w:lineRule="auto"/>
              <w:rPr>
                <w:sz w:val="22"/>
                <w:szCs w:val="22"/>
              </w:rPr>
            </w:pPr>
          </w:p>
        </w:tc>
        <w:tc>
          <w:tcPr>
            <w:tcW w:w="3025" w:type="pct"/>
            <w:vAlign w:val="center"/>
          </w:tcPr>
          <w:p w14:paraId="053D908B" w14:textId="1243E409" w:rsidR="00815687" w:rsidRPr="00C30E1A" w:rsidRDefault="00815687">
            <w:pPr>
              <w:spacing w:line="276" w:lineRule="auto"/>
              <w:rPr>
                <w:sz w:val="22"/>
                <w:szCs w:val="22"/>
              </w:rPr>
            </w:pPr>
            <w:r w:rsidRPr="00C30E1A">
              <w:rPr>
                <w:sz w:val="22"/>
                <w:szCs w:val="22"/>
              </w:rPr>
              <w:t>Domestic violence</w:t>
            </w:r>
          </w:p>
        </w:tc>
      </w:tr>
      <w:tr w:rsidR="00815687" w:rsidRPr="00D72AD6" w14:paraId="0BA43542" w14:textId="77777777" w:rsidTr="00C30E1A">
        <w:trPr>
          <w:trHeight w:val="170"/>
        </w:trPr>
        <w:tc>
          <w:tcPr>
            <w:tcW w:w="1975" w:type="pct"/>
            <w:vMerge w:val="restart"/>
            <w:vAlign w:val="center"/>
          </w:tcPr>
          <w:p w14:paraId="218B859D" w14:textId="5FD4AF45" w:rsidR="00815687" w:rsidRPr="00C30E1A" w:rsidRDefault="00815687" w:rsidP="00815687">
            <w:pPr>
              <w:spacing w:line="276" w:lineRule="auto"/>
              <w:rPr>
                <w:sz w:val="22"/>
                <w:szCs w:val="22"/>
              </w:rPr>
            </w:pPr>
            <w:r w:rsidRPr="00C30E1A">
              <w:rPr>
                <w:sz w:val="22"/>
                <w:szCs w:val="22"/>
              </w:rPr>
              <w:t>5. The costs of crime</w:t>
            </w:r>
          </w:p>
        </w:tc>
        <w:tc>
          <w:tcPr>
            <w:tcW w:w="3025" w:type="pct"/>
          </w:tcPr>
          <w:p w14:paraId="00919F85" w14:textId="1099562C" w:rsidR="00815687" w:rsidRPr="00C30E1A" w:rsidRDefault="00815687" w:rsidP="00815687">
            <w:pPr>
              <w:spacing w:line="276" w:lineRule="auto"/>
              <w:rPr>
                <w:sz w:val="22"/>
                <w:szCs w:val="22"/>
              </w:rPr>
            </w:pPr>
            <w:r w:rsidRPr="00C30E1A">
              <w:rPr>
                <w:sz w:val="22"/>
                <w:szCs w:val="22"/>
              </w:rPr>
              <w:t>Long-lasting consequences</w:t>
            </w:r>
          </w:p>
        </w:tc>
      </w:tr>
      <w:tr w:rsidR="00815687" w:rsidRPr="00D72AD6" w14:paraId="4486B771" w14:textId="77777777" w:rsidTr="00C30E1A">
        <w:trPr>
          <w:trHeight w:val="170"/>
        </w:trPr>
        <w:tc>
          <w:tcPr>
            <w:tcW w:w="1975" w:type="pct"/>
            <w:vMerge/>
            <w:vAlign w:val="center"/>
          </w:tcPr>
          <w:p w14:paraId="359BCC77" w14:textId="77777777" w:rsidR="00815687" w:rsidRPr="00C30E1A" w:rsidRDefault="00815687" w:rsidP="00815687">
            <w:pPr>
              <w:spacing w:line="276" w:lineRule="auto"/>
              <w:rPr>
                <w:sz w:val="22"/>
                <w:szCs w:val="22"/>
              </w:rPr>
            </w:pPr>
          </w:p>
        </w:tc>
        <w:tc>
          <w:tcPr>
            <w:tcW w:w="3025" w:type="pct"/>
          </w:tcPr>
          <w:p w14:paraId="34FFC081" w14:textId="368115E4" w:rsidR="00815687" w:rsidRPr="00C30E1A" w:rsidRDefault="00815687" w:rsidP="00815687">
            <w:pPr>
              <w:spacing w:line="276" w:lineRule="auto"/>
              <w:rPr>
                <w:sz w:val="22"/>
                <w:szCs w:val="22"/>
              </w:rPr>
            </w:pPr>
            <w:r w:rsidRPr="00C30E1A">
              <w:rPr>
                <w:sz w:val="22"/>
                <w:szCs w:val="22"/>
              </w:rPr>
              <w:t>Drug use and distribution</w:t>
            </w:r>
          </w:p>
        </w:tc>
      </w:tr>
      <w:tr w:rsidR="00815687" w:rsidRPr="00D72AD6" w14:paraId="3F18B5C9" w14:textId="77777777" w:rsidTr="00C30E1A">
        <w:trPr>
          <w:trHeight w:val="170"/>
        </w:trPr>
        <w:tc>
          <w:tcPr>
            <w:tcW w:w="1975" w:type="pct"/>
            <w:vMerge/>
            <w:vAlign w:val="center"/>
          </w:tcPr>
          <w:p w14:paraId="7F3832BA" w14:textId="77777777" w:rsidR="00815687" w:rsidRPr="00C30E1A" w:rsidRDefault="00815687" w:rsidP="00815687">
            <w:pPr>
              <w:spacing w:line="276" w:lineRule="auto"/>
              <w:rPr>
                <w:sz w:val="22"/>
                <w:szCs w:val="22"/>
              </w:rPr>
            </w:pPr>
          </w:p>
        </w:tc>
        <w:tc>
          <w:tcPr>
            <w:tcW w:w="3025" w:type="pct"/>
          </w:tcPr>
          <w:p w14:paraId="29FF111E" w14:textId="389F0371" w:rsidR="00815687" w:rsidRPr="00C30E1A" w:rsidRDefault="00815687" w:rsidP="00815687">
            <w:pPr>
              <w:spacing w:line="276" w:lineRule="auto"/>
              <w:rPr>
                <w:sz w:val="22"/>
                <w:szCs w:val="22"/>
              </w:rPr>
            </w:pPr>
            <w:r w:rsidRPr="00C30E1A">
              <w:rPr>
                <w:sz w:val="22"/>
                <w:szCs w:val="22"/>
              </w:rPr>
              <w:t>Underground and organised crime</w:t>
            </w:r>
          </w:p>
        </w:tc>
      </w:tr>
      <w:tr w:rsidR="00815687" w:rsidRPr="00D72AD6" w14:paraId="1E890173" w14:textId="77777777" w:rsidTr="00C30E1A">
        <w:trPr>
          <w:trHeight w:val="170"/>
        </w:trPr>
        <w:tc>
          <w:tcPr>
            <w:tcW w:w="1975" w:type="pct"/>
            <w:vMerge w:val="restart"/>
            <w:vAlign w:val="center"/>
          </w:tcPr>
          <w:p w14:paraId="3A551618" w14:textId="1E95803F" w:rsidR="00815687" w:rsidRPr="00C30E1A" w:rsidRDefault="00815687" w:rsidP="00815687">
            <w:pPr>
              <w:spacing w:line="276" w:lineRule="auto"/>
              <w:rPr>
                <w:sz w:val="22"/>
                <w:szCs w:val="22"/>
              </w:rPr>
            </w:pPr>
            <w:r w:rsidRPr="00C30E1A">
              <w:rPr>
                <w:sz w:val="22"/>
                <w:szCs w:val="22"/>
              </w:rPr>
              <w:t>6. Productivity costs</w:t>
            </w:r>
          </w:p>
        </w:tc>
        <w:tc>
          <w:tcPr>
            <w:tcW w:w="3025" w:type="pct"/>
          </w:tcPr>
          <w:p w14:paraId="6D3D6A7C" w14:textId="7A7639D7" w:rsidR="00815687" w:rsidRPr="00C30E1A" w:rsidRDefault="00815687" w:rsidP="00815687">
            <w:pPr>
              <w:spacing w:line="276" w:lineRule="auto"/>
              <w:rPr>
                <w:sz w:val="22"/>
                <w:szCs w:val="22"/>
              </w:rPr>
            </w:pPr>
            <w:r w:rsidRPr="00C30E1A">
              <w:rPr>
                <w:sz w:val="22"/>
                <w:szCs w:val="22"/>
              </w:rPr>
              <w:t>Costs to the people who gamble</w:t>
            </w:r>
          </w:p>
        </w:tc>
      </w:tr>
      <w:tr w:rsidR="00815687" w:rsidRPr="00D72AD6" w14:paraId="3BB6CEA9" w14:textId="77777777" w:rsidTr="00C30E1A">
        <w:trPr>
          <w:trHeight w:val="170"/>
        </w:trPr>
        <w:tc>
          <w:tcPr>
            <w:tcW w:w="1975" w:type="pct"/>
            <w:vMerge/>
            <w:vAlign w:val="center"/>
          </w:tcPr>
          <w:p w14:paraId="0909522D" w14:textId="77777777" w:rsidR="00815687" w:rsidRPr="00C30E1A" w:rsidRDefault="00815687" w:rsidP="00815687">
            <w:pPr>
              <w:spacing w:line="276" w:lineRule="auto"/>
              <w:rPr>
                <w:sz w:val="22"/>
                <w:szCs w:val="22"/>
              </w:rPr>
            </w:pPr>
          </w:p>
        </w:tc>
        <w:tc>
          <w:tcPr>
            <w:tcW w:w="3025" w:type="pct"/>
          </w:tcPr>
          <w:p w14:paraId="45A24111" w14:textId="255671B0" w:rsidR="00815687" w:rsidRPr="00C30E1A" w:rsidRDefault="00815687" w:rsidP="00815687">
            <w:pPr>
              <w:spacing w:line="276" w:lineRule="auto"/>
              <w:rPr>
                <w:sz w:val="22"/>
                <w:szCs w:val="22"/>
              </w:rPr>
            </w:pPr>
            <w:r w:rsidRPr="00C30E1A">
              <w:rPr>
                <w:sz w:val="22"/>
                <w:szCs w:val="22"/>
              </w:rPr>
              <w:t>Costs to affected others</w:t>
            </w:r>
          </w:p>
        </w:tc>
      </w:tr>
      <w:tr w:rsidR="00815687" w:rsidRPr="00D72AD6" w14:paraId="06E8E79A" w14:textId="77777777" w:rsidTr="00C30E1A">
        <w:trPr>
          <w:trHeight w:val="170"/>
        </w:trPr>
        <w:tc>
          <w:tcPr>
            <w:tcW w:w="1975" w:type="pct"/>
            <w:vMerge w:val="restart"/>
            <w:vAlign w:val="center"/>
          </w:tcPr>
          <w:p w14:paraId="2B63E25A" w14:textId="780202B9" w:rsidR="00815687" w:rsidRPr="00C30E1A" w:rsidRDefault="00815687" w:rsidP="00815687">
            <w:pPr>
              <w:spacing w:line="276" w:lineRule="auto"/>
              <w:rPr>
                <w:sz w:val="22"/>
                <w:szCs w:val="22"/>
              </w:rPr>
            </w:pPr>
            <w:r w:rsidRPr="00C30E1A">
              <w:rPr>
                <w:sz w:val="22"/>
                <w:szCs w:val="22"/>
              </w:rPr>
              <w:t>7. Financial costs</w:t>
            </w:r>
          </w:p>
        </w:tc>
        <w:tc>
          <w:tcPr>
            <w:tcW w:w="3025" w:type="pct"/>
          </w:tcPr>
          <w:p w14:paraId="31EF69A4" w14:textId="3FFAE87C" w:rsidR="00815687" w:rsidRPr="00C30E1A" w:rsidRDefault="00815687" w:rsidP="00815687">
            <w:pPr>
              <w:spacing w:line="276" w:lineRule="auto"/>
              <w:rPr>
                <w:sz w:val="22"/>
                <w:szCs w:val="22"/>
              </w:rPr>
            </w:pPr>
            <w:r w:rsidRPr="00C30E1A">
              <w:rPr>
                <w:sz w:val="22"/>
                <w:szCs w:val="22"/>
              </w:rPr>
              <w:t>Underreporting of gambling causing financial hardship</w:t>
            </w:r>
          </w:p>
        </w:tc>
      </w:tr>
      <w:tr w:rsidR="00815687" w:rsidRPr="00D72AD6" w14:paraId="54D93074" w14:textId="77777777" w:rsidTr="00C30E1A">
        <w:trPr>
          <w:trHeight w:val="170"/>
        </w:trPr>
        <w:tc>
          <w:tcPr>
            <w:tcW w:w="1975" w:type="pct"/>
            <w:vMerge/>
            <w:vAlign w:val="center"/>
          </w:tcPr>
          <w:p w14:paraId="37BDFAF3" w14:textId="77777777" w:rsidR="00815687" w:rsidRPr="00C30E1A" w:rsidRDefault="00815687" w:rsidP="00815687">
            <w:pPr>
              <w:spacing w:line="276" w:lineRule="auto"/>
              <w:rPr>
                <w:sz w:val="22"/>
                <w:szCs w:val="22"/>
              </w:rPr>
            </w:pPr>
          </w:p>
        </w:tc>
        <w:tc>
          <w:tcPr>
            <w:tcW w:w="3025" w:type="pct"/>
          </w:tcPr>
          <w:p w14:paraId="0E51027D" w14:textId="17B5C161" w:rsidR="00815687" w:rsidRPr="00C30E1A" w:rsidRDefault="00815687" w:rsidP="00815687">
            <w:pPr>
              <w:spacing w:line="276" w:lineRule="auto"/>
              <w:rPr>
                <w:sz w:val="22"/>
                <w:szCs w:val="22"/>
              </w:rPr>
            </w:pPr>
            <w:r w:rsidRPr="00C30E1A">
              <w:rPr>
                <w:sz w:val="22"/>
                <w:szCs w:val="22"/>
              </w:rPr>
              <w:t>High rates of KiwiSaver hardship withdrawals</w:t>
            </w:r>
          </w:p>
        </w:tc>
      </w:tr>
      <w:tr w:rsidR="00815687" w:rsidRPr="00D72AD6" w14:paraId="3D0DCE43" w14:textId="77777777" w:rsidTr="00C30E1A">
        <w:trPr>
          <w:trHeight w:val="170"/>
        </w:trPr>
        <w:tc>
          <w:tcPr>
            <w:tcW w:w="1975" w:type="pct"/>
            <w:vMerge/>
            <w:vAlign w:val="center"/>
          </w:tcPr>
          <w:p w14:paraId="620FE8B5" w14:textId="77777777" w:rsidR="00815687" w:rsidRPr="00C30E1A" w:rsidRDefault="00815687" w:rsidP="00815687">
            <w:pPr>
              <w:spacing w:line="276" w:lineRule="auto"/>
              <w:rPr>
                <w:sz w:val="22"/>
                <w:szCs w:val="22"/>
              </w:rPr>
            </w:pPr>
          </w:p>
        </w:tc>
        <w:tc>
          <w:tcPr>
            <w:tcW w:w="3025" w:type="pct"/>
          </w:tcPr>
          <w:p w14:paraId="175F4604" w14:textId="32C86208" w:rsidR="00815687" w:rsidRPr="00C30E1A" w:rsidRDefault="00815687" w:rsidP="00815687">
            <w:pPr>
              <w:spacing w:line="276" w:lineRule="auto"/>
              <w:rPr>
                <w:sz w:val="22"/>
                <w:szCs w:val="22"/>
              </w:rPr>
            </w:pPr>
            <w:r w:rsidRPr="00C30E1A">
              <w:rPr>
                <w:sz w:val="22"/>
                <w:szCs w:val="22"/>
              </w:rPr>
              <w:t>Bankruptcy alternatives</w:t>
            </w:r>
          </w:p>
        </w:tc>
      </w:tr>
      <w:tr w:rsidR="00815687" w:rsidRPr="00D72AD6" w14:paraId="498E8176" w14:textId="77777777" w:rsidTr="00C30E1A">
        <w:trPr>
          <w:trHeight w:val="170"/>
        </w:trPr>
        <w:tc>
          <w:tcPr>
            <w:tcW w:w="1975" w:type="pct"/>
            <w:vMerge w:val="restart"/>
            <w:vAlign w:val="center"/>
          </w:tcPr>
          <w:p w14:paraId="3009B472" w14:textId="67E03BEB" w:rsidR="00815687" w:rsidRPr="00C30E1A" w:rsidRDefault="00815687" w:rsidP="00815687">
            <w:pPr>
              <w:spacing w:line="276" w:lineRule="auto"/>
              <w:rPr>
                <w:sz w:val="22"/>
                <w:szCs w:val="22"/>
              </w:rPr>
            </w:pPr>
            <w:r w:rsidRPr="00C30E1A">
              <w:rPr>
                <w:sz w:val="22"/>
                <w:szCs w:val="22"/>
              </w:rPr>
              <w:t>8. Cultural costs</w:t>
            </w:r>
          </w:p>
        </w:tc>
        <w:tc>
          <w:tcPr>
            <w:tcW w:w="3025" w:type="pct"/>
          </w:tcPr>
          <w:p w14:paraId="7F5C4769" w14:textId="73C3DE23" w:rsidR="00815687" w:rsidRPr="00C30E1A" w:rsidRDefault="00815687" w:rsidP="00815687">
            <w:pPr>
              <w:spacing w:line="276" w:lineRule="auto"/>
              <w:rPr>
                <w:sz w:val="22"/>
                <w:szCs w:val="22"/>
              </w:rPr>
            </w:pPr>
            <w:r w:rsidRPr="00C30E1A">
              <w:rPr>
                <w:sz w:val="22"/>
                <w:szCs w:val="22"/>
              </w:rPr>
              <w:t>An unequal partnership</w:t>
            </w:r>
          </w:p>
        </w:tc>
      </w:tr>
      <w:tr w:rsidR="00815687" w:rsidRPr="00D72AD6" w14:paraId="066D3F6B" w14:textId="77777777" w:rsidTr="00C30E1A">
        <w:trPr>
          <w:trHeight w:val="170"/>
        </w:trPr>
        <w:tc>
          <w:tcPr>
            <w:tcW w:w="1975" w:type="pct"/>
            <w:vMerge/>
            <w:vAlign w:val="center"/>
          </w:tcPr>
          <w:p w14:paraId="1FE3996E" w14:textId="77777777" w:rsidR="00815687" w:rsidRPr="00C30E1A" w:rsidRDefault="00815687" w:rsidP="00815687">
            <w:pPr>
              <w:spacing w:line="276" w:lineRule="auto"/>
              <w:rPr>
                <w:sz w:val="22"/>
                <w:szCs w:val="22"/>
              </w:rPr>
            </w:pPr>
          </w:p>
        </w:tc>
        <w:tc>
          <w:tcPr>
            <w:tcW w:w="3025" w:type="pct"/>
          </w:tcPr>
          <w:p w14:paraId="7981DFA2" w14:textId="3C2DE238" w:rsidR="00815687" w:rsidRPr="00C30E1A" w:rsidRDefault="00815687" w:rsidP="00815687">
            <w:pPr>
              <w:spacing w:line="276" w:lineRule="auto"/>
              <w:rPr>
                <w:sz w:val="22"/>
                <w:szCs w:val="22"/>
              </w:rPr>
            </w:pPr>
            <w:r w:rsidRPr="00C30E1A">
              <w:rPr>
                <w:sz w:val="22"/>
                <w:szCs w:val="22"/>
              </w:rPr>
              <w:t>Normalisation of gambling</w:t>
            </w:r>
          </w:p>
        </w:tc>
      </w:tr>
      <w:tr w:rsidR="00A95D3E" w:rsidRPr="00D72AD6" w14:paraId="3B70B7D5" w14:textId="77777777" w:rsidTr="00C30E1A">
        <w:trPr>
          <w:trHeight w:val="170"/>
        </w:trPr>
        <w:tc>
          <w:tcPr>
            <w:tcW w:w="1975" w:type="pct"/>
            <w:vAlign w:val="center"/>
          </w:tcPr>
          <w:p w14:paraId="545A667D" w14:textId="3AFDA9E3" w:rsidR="00A95D3E" w:rsidRPr="00C30E1A" w:rsidRDefault="00A95D3E">
            <w:pPr>
              <w:spacing w:line="276" w:lineRule="auto"/>
              <w:rPr>
                <w:sz w:val="22"/>
                <w:szCs w:val="22"/>
              </w:rPr>
            </w:pPr>
            <w:r w:rsidRPr="00C30E1A">
              <w:rPr>
                <w:sz w:val="22"/>
                <w:szCs w:val="22"/>
              </w:rPr>
              <w:t>9. Low-risk gambling paradox</w:t>
            </w:r>
          </w:p>
        </w:tc>
        <w:tc>
          <w:tcPr>
            <w:tcW w:w="3025" w:type="pct"/>
            <w:vAlign w:val="center"/>
          </w:tcPr>
          <w:p w14:paraId="3B085231" w14:textId="77777777" w:rsidR="00A95D3E" w:rsidRPr="00C30E1A" w:rsidRDefault="00A95D3E">
            <w:pPr>
              <w:spacing w:line="276" w:lineRule="auto"/>
              <w:rPr>
                <w:sz w:val="22"/>
                <w:szCs w:val="22"/>
              </w:rPr>
            </w:pPr>
          </w:p>
          <w:p w14:paraId="2B1ABA7B" w14:textId="77777777" w:rsidR="00A95D3E" w:rsidRPr="00C30E1A" w:rsidRDefault="00A95D3E">
            <w:pPr>
              <w:spacing w:line="276" w:lineRule="auto"/>
              <w:rPr>
                <w:sz w:val="22"/>
                <w:szCs w:val="22"/>
              </w:rPr>
            </w:pPr>
          </w:p>
        </w:tc>
      </w:tr>
      <w:tr w:rsidR="00A95D3E" w:rsidRPr="00D72AD6" w14:paraId="128963BE" w14:textId="77777777" w:rsidTr="00C30E1A">
        <w:trPr>
          <w:trHeight w:val="170"/>
        </w:trPr>
        <w:tc>
          <w:tcPr>
            <w:tcW w:w="1975" w:type="pct"/>
            <w:vAlign w:val="center"/>
          </w:tcPr>
          <w:p w14:paraId="3DFE7D29" w14:textId="6D965633" w:rsidR="00A95D3E" w:rsidRPr="00C30E1A" w:rsidRDefault="00A95D3E">
            <w:pPr>
              <w:spacing w:line="276" w:lineRule="auto"/>
              <w:rPr>
                <w:sz w:val="22"/>
                <w:szCs w:val="22"/>
              </w:rPr>
            </w:pPr>
            <w:r w:rsidRPr="00C30E1A">
              <w:rPr>
                <w:sz w:val="22"/>
                <w:szCs w:val="22"/>
              </w:rPr>
              <w:t>10. Expert recommendations to reduce the costs of gambling harm</w:t>
            </w:r>
          </w:p>
        </w:tc>
        <w:tc>
          <w:tcPr>
            <w:tcW w:w="3025" w:type="pct"/>
            <w:vAlign w:val="center"/>
          </w:tcPr>
          <w:p w14:paraId="3C0868A9" w14:textId="77777777" w:rsidR="00A95D3E" w:rsidRPr="00C30E1A" w:rsidRDefault="00A95D3E">
            <w:pPr>
              <w:spacing w:line="276" w:lineRule="auto"/>
              <w:rPr>
                <w:sz w:val="22"/>
                <w:szCs w:val="22"/>
              </w:rPr>
            </w:pPr>
          </w:p>
          <w:p w14:paraId="50073FB5" w14:textId="77777777" w:rsidR="00A95D3E" w:rsidRPr="00C30E1A" w:rsidRDefault="00A95D3E">
            <w:pPr>
              <w:spacing w:line="276" w:lineRule="auto"/>
              <w:rPr>
                <w:sz w:val="22"/>
                <w:szCs w:val="22"/>
              </w:rPr>
            </w:pPr>
          </w:p>
          <w:p w14:paraId="67145839" w14:textId="77777777" w:rsidR="00A95D3E" w:rsidRPr="00C30E1A" w:rsidRDefault="00A95D3E">
            <w:pPr>
              <w:spacing w:line="276" w:lineRule="auto"/>
              <w:rPr>
                <w:sz w:val="22"/>
                <w:szCs w:val="22"/>
              </w:rPr>
            </w:pPr>
          </w:p>
        </w:tc>
      </w:tr>
    </w:tbl>
    <w:p w14:paraId="584E72EE" w14:textId="77777777" w:rsidR="00DB689D" w:rsidRDefault="00310A10" w:rsidP="00C30E1A">
      <w:pPr>
        <w:pStyle w:val="Heading3"/>
      </w:pPr>
      <w:bookmarkStart w:id="194" w:name="_t4y1k975zo8m" w:colFirst="0" w:colLast="0"/>
      <w:bookmarkStart w:id="195" w:name="_Toc201572408"/>
      <w:bookmarkStart w:id="196" w:name="_Toc207195926"/>
      <w:bookmarkEnd w:id="194"/>
      <w:r>
        <w:t xml:space="preserve">Theme 1. </w:t>
      </w:r>
      <w:bookmarkStart w:id="197" w:name="_Hlk201925005"/>
      <w:r>
        <w:t>Old risks, new platforms</w:t>
      </w:r>
      <w:bookmarkEnd w:id="195"/>
      <w:bookmarkEnd w:id="196"/>
      <w:bookmarkEnd w:id="197"/>
    </w:p>
    <w:p w14:paraId="549BEC93" w14:textId="77777777" w:rsidR="00DB689D" w:rsidRDefault="00310A10" w:rsidP="00367A8D">
      <w:pPr>
        <w:pStyle w:val="Heading4"/>
        <w:keepNext w:val="0"/>
        <w:keepLines w:val="0"/>
        <w:spacing w:after="40" w:line="360" w:lineRule="auto"/>
      </w:pPr>
      <w:bookmarkStart w:id="198" w:name="_7l355vsb6soq" w:colFirst="0" w:colLast="0"/>
      <w:bookmarkStart w:id="199" w:name="_Hlk201925020"/>
      <w:bookmarkEnd w:id="198"/>
      <w:r>
        <w:t>The persistent costs of land-based EGMs</w:t>
      </w:r>
    </w:p>
    <w:bookmarkEnd w:id="199"/>
    <w:p w14:paraId="7CCFB49E" w14:textId="77777777" w:rsidR="00DB689D" w:rsidRDefault="00310A10" w:rsidP="00367A8D">
      <w:pPr>
        <w:spacing w:before="240" w:after="240" w:line="360" w:lineRule="auto"/>
        <w:rPr>
          <w:i/>
        </w:rPr>
      </w:pPr>
      <w:r>
        <w:t>Participants discussed the sustained cost of land-based EGMs to the community, labelling it as ‘</w:t>
      </w:r>
      <w:r>
        <w:rPr>
          <w:i/>
        </w:rPr>
        <w:t>the biggest area of concern for people</w:t>
      </w:r>
      <w:r>
        <w:t xml:space="preserve">.’ Experts working in treatment services illustrated the ubiquity of harm from EGMs stating that, </w:t>
      </w:r>
      <w:r>
        <w:rPr>
          <w:i/>
        </w:rPr>
        <w:t xml:space="preserve">‘Most of the clients that are referred to me for MVE [multi-venue exclusion] are Class 4 [pubs and clubs].’ </w:t>
      </w:r>
      <w:r>
        <w:t xml:space="preserve">Despite the rise of online gambling, land-based EGMs were seen as a deeply embedded source of harm, particularly in low-income communities. One participant described the oversaturation and normalisation of EGM venues in deprived areas: </w:t>
      </w:r>
      <w:r>
        <w:rPr>
          <w:i/>
        </w:rPr>
        <w:t>‘Pokies are definitely a big problem in the low socio-economic areas, South Auckland, West Auckland, where you just see them on every corner…Even when we're going bowling, for instance, there's a pokie room attached to the bowling as well. So, it's everywhere. Everywhere you look.’</w:t>
      </w:r>
    </w:p>
    <w:p w14:paraId="4750FCD8" w14:textId="77777777" w:rsidR="00DB689D" w:rsidRDefault="00310A10" w:rsidP="00367A8D">
      <w:pPr>
        <w:spacing w:before="240" w:after="240" w:line="360" w:lineRule="auto"/>
      </w:pPr>
      <w:r>
        <w:t xml:space="preserve">The accessibility of EGM gambling was cited by experts as one of the drivers of gambling costs to society: </w:t>
      </w:r>
      <w:r>
        <w:rPr>
          <w:i/>
        </w:rPr>
        <w:t>‘It’s the most harmful because it's highly accessible.’</w:t>
      </w:r>
      <w:r>
        <w:rPr>
          <w:color w:val="156082"/>
        </w:rPr>
        <w:t xml:space="preserve"> </w:t>
      </w:r>
      <w:r>
        <w:t xml:space="preserve">Experts described what they saw as the irresponsible opening hours of Class 4 venues: </w:t>
      </w:r>
      <w:r>
        <w:rPr>
          <w:i/>
        </w:rPr>
        <w:t>‘You'll have a pub that's open at 9 o'clock in the morning. They're not there to serve alcohol. They're there to serve pokie machines.</w:t>
      </w:r>
      <w:r>
        <w:t xml:space="preserve"> </w:t>
      </w:r>
      <w:r>
        <w:rPr>
          <w:i/>
        </w:rPr>
        <w:t>Because people aren't going there to drink alcohol at 9 o'clock in the morning. They're going there for a pokie. And they're standing outside waiting because they probably just got paid.’</w:t>
      </w:r>
      <w:r>
        <w:t xml:space="preserve"> This accessibility was seen as especially problematic for those attempting to reduce their gambling: </w:t>
      </w:r>
      <w:r>
        <w:rPr>
          <w:i/>
        </w:rPr>
        <w:t>‘You can't go down the main street without there being a pub with a sign that's flashing saying 'gaming,’ and for a gambler, that's triggering.’</w:t>
      </w:r>
      <w:r>
        <w:t xml:space="preserve"> </w:t>
      </w:r>
    </w:p>
    <w:p w14:paraId="0900D672" w14:textId="77777777" w:rsidR="00DB689D" w:rsidRDefault="00310A10" w:rsidP="00367A8D">
      <w:pPr>
        <w:pStyle w:val="Heading4"/>
        <w:keepNext w:val="0"/>
        <w:keepLines w:val="0"/>
        <w:spacing w:after="40" w:line="360" w:lineRule="auto"/>
      </w:pPr>
      <w:bookmarkStart w:id="200" w:name="_nvnrs2l8famv" w:colFirst="0" w:colLast="0"/>
      <w:bookmarkStart w:id="201" w:name="_Hlk201925045"/>
      <w:bookmarkEnd w:id="200"/>
      <w:r>
        <w:t>The increasing costs of offshore online casino gambling</w:t>
      </w:r>
    </w:p>
    <w:bookmarkEnd w:id="201"/>
    <w:p w14:paraId="002F7D14" w14:textId="29867A6C" w:rsidR="00DB689D" w:rsidRDefault="00310A10" w:rsidP="00367A8D">
      <w:pPr>
        <w:spacing w:before="240" w:after="240" w:line="360" w:lineRule="auto"/>
        <w:rPr>
          <w:i/>
        </w:rPr>
      </w:pPr>
      <w:r>
        <w:t xml:space="preserve">Participants identified offshore online gambling - particularly online EGMs - as one of the most harmful and fast-growing modes of gambling. </w:t>
      </w:r>
      <w:r>
        <w:rPr>
          <w:i/>
        </w:rPr>
        <w:t>‘Online gambling is the worst.’</w:t>
      </w:r>
      <w:r>
        <w:t xml:space="preserve"> Unlike land-based gambling, online platforms allow users to gamble instantly, continuously, and without meaningful restrictions due to the lack of regulation of these offshore websites: </w:t>
      </w:r>
      <w:r>
        <w:rPr>
          <w:i/>
        </w:rPr>
        <w:t xml:space="preserve">‘They can use their whole </w:t>
      </w:r>
      <w:r w:rsidR="003460FB">
        <w:rPr>
          <w:i/>
        </w:rPr>
        <w:t>pay check</w:t>
      </w:r>
      <w:r>
        <w:rPr>
          <w:i/>
        </w:rPr>
        <w:t xml:space="preserve"> just in a few minutes because of how it's faster, it's 24/7, and there's no real controls over that. And it's linked to their…bank account.’</w:t>
      </w:r>
      <w:r>
        <w:t xml:space="preserve"> The magnitude of losses seen in online gambling was echoed by many experts: </w:t>
      </w:r>
      <w:r>
        <w:rPr>
          <w:i/>
        </w:rPr>
        <w:t xml:space="preserve">‘If they go into the pubs…they might spend a fair bit, but I've seen that the online gamblers, they've spent thousands.’ </w:t>
      </w:r>
      <w:r>
        <w:t>Experts explained that this was due to the characteristics of land-based EGMs being somewhat more restrictive when compared to online EGM gambling. This included the geographical restrictions: '</w:t>
      </w:r>
      <w:r>
        <w:rPr>
          <w:i/>
        </w:rPr>
        <w:t>You've got to take cash out of an ATM. You've got to physically walk in there [to the pub]. So, yes, it's still terrible, but it's harder for people to do it...whereas you could be at home wearing pyjamas or nothing at all on the couch and spending thousands of dollars'.</w:t>
      </w:r>
      <w:r>
        <w:t xml:space="preserve"> They also noted the structural characteristics that slow down the speed of loss:</w:t>
      </w:r>
      <w:r>
        <w:rPr>
          <w:i/>
        </w:rPr>
        <w:t xml:space="preserve"> '[With pokies] they might be losing it within a few hours but within a few minutes [online] you could be jumping to way more than that.’</w:t>
      </w:r>
    </w:p>
    <w:p w14:paraId="38DE1B71" w14:textId="77777777" w:rsidR="00DB689D" w:rsidRDefault="00310A10" w:rsidP="00367A8D">
      <w:pPr>
        <w:spacing w:before="240" w:after="240" w:line="360" w:lineRule="auto"/>
        <w:rPr>
          <w:i/>
        </w:rPr>
      </w:pPr>
      <w:r>
        <w:t>Experts also described the omnipresence of gambling advertising online and the aggressive targeting through multiple channels, making it difficult for people to escape exposure or maintain abstinence:</w:t>
      </w:r>
      <w:r>
        <w:rPr>
          <w:i/>
        </w:rPr>
        <w:t xml:space="preserve"> 'I’m talking about the slots, the casinos, the incessant emails that come in every single day saying win this and this…You've got [adverts for online casinos] on the phones if you're on your apps. You're watching YouTube, the casino slots come up all the time if you don't pay for premium, so it's everywhere. And it's very hard to get away from.’</w:t>
      </w:r>
    </w:p>
    <w:p w14:paraId="3BCF9A37" w14:textId="77777777" w:rsidR="00DB689D" w:rsidRDefault="00310A10" w:rsidP="00367A8D">
      <w:pPr>
        <w:pStyle w:val="Heading4"/>
        <w:keepNext w:val="0"/>
        <w:keepLines w:val="0"/>
        <w:spacing w:after="40" w:line="360" w:lineRule="auto"/>
      </w:pPr>
      <w:bookmarkStart w:id="202" w:name="_4s2o0zsw41dy" w:colFirst="0" w:colLast="0"/>
      <w:bookmarkStart w:id="203" w:name="_Hlk201925060"/>
      <w:bookmarkEnd w:id="202"/>
      <w:r>
        <w:t>Online influencers promoting online gambling, including to vulnerable groups</w:t>
      </w:r>
    </w:p>
    <w:bookmarkEnd w:id="203"/>
    <w:p w14:paraId="265C01E1" w14:textId="77777777" w:rsidR="00DB689D" w:rsidRDefault="00310A10" w:rsidP="00367A8D">
      <w:pPr>
        <w:spacing w:before="240" w:after="240" w:line="360" w:lineRule="auto"/>
        <w:rPr>
          <w:i/>
        </w:rPr>
      </w:pPr>
      <w:r>
        <w:t>Concerns were raised about the growing role of social media influencers in promoting offshore online casino gambling, particularly via paid promotions and livestreams that were said to glamorise gambling and downplay its risks. One expert described seeing paid promotions disguised as authentic gambling wins, with influencers sharing screenshots of payments from online gambling companies to their bank accounts, creating a false image of easy money. '</w:t>
      </w:r>
      <w:r>
        <w:rPr>
          <w:i/>
        </w:rPr>
        <w:t>They're like ‘Look, I just won $1000’ but they're paid by the gambling industry.’</w:t>
      </w:r>
    </w:p>
    <w:p w14:paraId="32C0DCAC" w14:textId="77777777" w:rsidR="00DB689D" w:rsidRDefault="00310A10" w:rsidP="00367A8D">
      <w:pPr>
        <w:spacing w:before="240" w:after="240" w:line="360" w:lineRule="auto"/>
        <w:rPr>
          <w:i/>
        </w:rPr>
      </w:pPr>
      <w:r>
        <w:t>Experts see these influencers as '</w:t>
      </w:r>
      <w:r>
        <w:rPr>
          <w:i/>
        </w:rPr>
        <w:t xml:space="preserve">enticing' </w:t>
      </w:r>
      <w:r>
        <w:t>people to start gambling. This is especially the case with vulnerable groups, such as youth, Māori, and Pacifica people. '</w:t>
      </w:r>
      <w:r>
        <w:rPr>
          <w:i/>
        </w:rPr>
        <w:t xml:space="preserve">I know of two Māori influencers on socials who have huge followings that actively unapologetically promote online gambling to their following. So, as two Māori women, with a following that's more likely to be Māori women, that's how the gambling industry are able to target Māori women.' </w:t>
      </w:r>
      <w:r>
        <w:t>This influence is compounded by the financial precarity experienced in some marginalised groups. As one expert noted, '</w:t>
      </w:r>
      <w:r>
        <w:rPr>
          <w:i/>
        </w:rPr>
        <w:t>Because people are winning money out in the [disadvantaged] communities, it's prompting their families and stuff to go into that space too. [They are thinking] ‘maybe I can get some money from this too’.’</w:t>
      </w:r>
    </w:p>
    <w:p w14:paraId="2BDE7459" w14:textId="77777777" w:rsidR="00DB689D" w:rsidRDefault="00310A10" w:rsidP="00367A8D">
      <w:pPr>
        <w:spacing w:before="240" w:after="240" w:line="360" w:lineRule="auto"/>
        <w:rPr>
          <w:i/>
        </w:rPr>
      </w:pPr>
      <w:r>
        <w:t>Exposure to influencer promotions was also reported to cause a quick progression from curiosity to problem gambling for some followers</w:t>
      </w:r>
      <w:r>
        <w:rPr>
          <w:i/>
        </w:rPr>
        <w:t xml:space="preserve">. 'Māori women who have never engaged in online gambling before coming forward to tell me, 'I think I'm developing a gambling addiction. I've never really done online gambling, and I you know, I was introduced to it, and now I just can't stop.' </w:t>
      </w:r>
      <w:r>
        <w:t>Experts described well known New Zealanders engaging in this online influencing, with many people looking up to them as trusted figures in the community who are showing them a way to better their lives</w:t>
      </w:r>
      <w:r>
        <w:rPr>
          <w:i/>
        </w:rPr>
        <w:t xml:space="preserve">. </w:t>
      </w:r>
      <w:r>
        <w:t>One expert said of these influencers, '</w:t>
      </w:r>
      <w:r>
        <w:rPr>
          <w:i/>
        </w:rPr>
        <w:t>It's just poor leadership in my view.’</w:t>
      </w:r>
    </w:p>
    <w:p w14:paraId="10224736" w14:textId="77777777" w:rsidR="00DB689D" w:rsidRDefault="00310A10" w:rsidP="00367A8D">
      <w:pPr>
        <w:pStyle w:val="Heading4"/>
        <w:spacing w:after="40" w:line="360" w:lineRule="auto"/>
      </w:pPr>
      <w:bookmarkStart w:id="204" w:name="_ac5v661jsxpp" w:colFirst="0" w:colLast="0"/>
      <w:bookmarkStart w:id="205" w:name="_Hlk201925071"/>
      <w:bookmarkEnd w:id="204"/>
      <w:r>
        <w:t>TAB, sports betting, and government-linked promotion</w:t>
      </w:r>
    </w:p>
    <w:bookmarkEnd w:id="205"/>
    <w:p w14:paraId="0E12A408" w14:textId="77777777" w:rsidR="00DB689D" w:rsidRDefault="00310A10" w:rsidP="00367A8D">
      <w:pPr>
        <w:spacing w:before="240" w:after="240" w:line="360" w:lineRule="auto"/>
        <w:rPr>
          <w:i/>
        </w:rPr>
      </w:pPr>
      <w:r>
        <w:t>While less prominent than land-based EGMs and online casinos, experts discussed that betting through the TAB is contributing to gambling harm. They cite the integration of gambling into mainstream sports culture as a catalyst for harm: '</w:t>
      </w:r>
      <w:r>
        <w:rPr>
          <w:i/>
        </w:rPr>
        <w:t xml:space="preserve">We've seen a higher aggressive promotion on TV in particular… betting is pretty much entrenched across racing and sport.' </w:t>
      </w:r>
      <w:r>
        <w:t>Multiple experts also talked about the commercial partnership between the TAB and Entain (an international sports betting company) and the impacts they are seeing in their service: '</w:t>
      </w:r>
      <w:r>
        <w:rPr>
          <w:i/>
        </w:rPr>
        <w:t>We are getting more people talking about [excluding from the] TAB, and we kind of expected that with the 25-year partnership between Entain and TAB that happened last year.’</w:t>
      </w:r>
    </w:p>
    <w:p w14:paraId="7C2B9055" w14:textId="77777777" w:rsidR="00DB689D" w:rsidRDefault="00310A10" w:rsidP="00C30E1A">
      <w:pPr>
        <w:pStyle w:val="Heading3"/>
      </w:pPr>
      <w:bookmarkStart w:id="206" w:name="_g0tv9vmt7ia0" w:colFirst="0" w:colLast="0"/>
      <w:bookmarkStart w:id="207" w:name="_Toc201572409"/>
      <w:bookmarkStart w:id="208" w:name="_Toc207195927"/>
      <w:bookmarkEnd w:id="206"/>
      <w:r>
        <w:t xml:space="preserve">Theme 2. </w:t>
      </w:r>
      <w:bookmarkStart w:id="209" w:name="_Hlk201925087"/>
      <w:r>
        <w:t>The poisoned well of community funding</w:t>
      </w:r>
      <w:bookmarkEnd w:id="207"/>
      <w:bookmarkEnd w:id="208"/>
      <w:bookmarkEnd w:id="209"/>
    </w:p>
    <w:p w14:paraId="2E4D0D62" w14:textId="77777777" w:rsidR="00DB689D" w:rsidRDefault="00310A10" w:rsidP="00367A8D">
      <w:pPr>
        <w:spacing w:before="240" w:after="240" w:line="360" w:lineRule="auto"/>
        <w:rPr>
          <w:i/>
        </w:rPr>
      </w:pPr>
      <w:r>
        <w:t>Participants expressed deep discomfort with the community grant system that is funded by gaming machine trusts in New Zealand. The system was described as a '</w:t>
      </w:r>
      <w:r>
        <w:rPr>
          <w:i/>
        </w:rPr>
        <w:t xml:space="preserve">double disadvantage' </w:t>
      </w:r>
      <w:r>
        <w:t>because of the way the funding is distributed. '</w:t>
      </w:r>
      <w:r>
        <w:rPr>
          <w:i/>
        </w:rPr>
        <w:t xml:space="preserve">Seventy-five percent of the money is coming from these lower socio-economic areas but they’re only receiving like 10% of the grants.' </w:t>
      </w:r>
      <w:r>
        <w:t>This inequity was also discussed as impacting Māori who often participate disproportionately in EGM gambling.</w:t>
      </w:r>
      <w:r>
        <w:rPr>
          <w:i/>
        </w:rPr>
        <w:t xml:space="preserve"> 'As high users, the money doesn't come back equitably to Māori, or to other priority population groups for that matter.’</w:t>
      </w:r>
    </w:p>
    <w:p w14:paraId="5D072FDB" w14:textId="39510186" w:rsidR="00DB689D" w:rsidRDefault="00310A10" w:rsidP="00367A8D">
      <w:pPr>
        <w:spacing w:before="240" w:after="240" w:line="360" w:lineRule="auto"/>
        <w:rPr>
          <w:i/>
        </w:rPr>
      </w:pPr>
      <w:r>
        <w:t>Experts described the community gambling grants as placing vulnerable and underfunded communities, particularly Māori, into a morally and structurally compromised position. '</w:t>
      </w:r>
      <w:r>
        <w:rPr>
          <w:i/>
        </w:rPr>
        <w:t xml:space="preserve">Because we're applying to the funding, we are participants. And so that sort of compromises our ability to advocate [against gambling] in local policy.' </w:t>
      </w:r>
      <w:r>
        <w:t>The gambling industry was viewed as profiting from harm and then expecting communities to be grateful for a share of their profits: '</w:t>
      </w:r>
      <w:r>
        <w:rPr>
          <w:i/>
        </w:rPr>
        <w:t xml:space="preserve">There's no funding [for Māori community groups]. And </w:t>
      </w:r>
      <w:r w:rsidR="003460FB">
        <w:rPr>
          <w:i/>
        </w:rPr>
        <w:t>so,</w:t>
      </w:r>
      <w:r>
        <w:rPr>
          <w:i/>
        </w:rPr>
        <w:t xml:space="preserve"> you're not forced to, but it's very hard to say no to available funds, no matter where they come from. </w:t>
      </w:r>
      <w:r w:rsidR="003460FB">
        <w:rPr>
          <w:i/>
        </w:rPr>
        <w:t>So,</w:t>
      </w:r>
      <w:r>
        <w:rPr>
          <w:i/>
        </w:rPr>
        <w:t xml:space="preserve"> I feel like Māori people are being backed into a corner to accept the harms that go part and parcel with getting this gift.’</w:t>
      </w:r>
    </w:p>
    <w:p w14:paraId="77C3DACB" w14:textId="7E1B425C" w:rsidR="00DB689D" w:rsidRDefault="00310A10" w:rsidP="00367A8D">
      <w:pPr>
        <w:spacing w:before="240" w:after="240" w:line="360" w:lineRule="auto"/>
        <w:rPr>
          <w:i/>
        </w:rPr>
      </w:pPr>
      <w:r>
        <w:t>Participants spoke of the ethical tension between refusing funds on principle and accepting them out of necessity. '</w:t>
      </w:r>
      <w:r>
        <w:rPr>
          <w:i/>
        </w:rPr>
        <w:t xml:space="preserve">It's like a starving person and offering them junk food. They might want to eat healthily, but if junk food is the only thing on offer, they're going to take it.' </w:t>
      </w:r>
      <w:r>
        <w:t>Some described reluctantly shifting their stance in recognition of the systemic inequity inherent in commercialised gambling: '</w:t>
      </w:r>
      <w:r>
        <w:rPr>
          <w:i/>
        </w:rPr>
        <w:t xml:space="preserve">It was [my] principles years ago where I thought, no, I’m not going to apply for funding [from gaming societies] for our service because of the principle of it. It just didn't seem right. But then we've changed recently and said, well actually, these [gambling profits] are the reasons some of [our clients] come in. They are the reasons that they [the gambling industry] are making millions and millions of dollars from people who haven't got hundreds to put in.' </w:t>
      </w:r>
      <w:r>
        <w:t>One expert described their frustration at being expected to further compromise their moral values by the conditions specified when accepting gaming society grants. '</w:t>
      </w:r>
      <w:r>
        <w:rPr>
          <w:i/>
        </w:rPr>
        <w:t xml:space="preserve">And then the perverse thing is [that the funder says], ‘you'll use our logo to promote the fact that we funded you.’ </w:t>
      </w:r>
      <w:r w:rsidR="003460FB">
        <w:rPr>
          <w:i/>
        </w:rPr>
        <w:t>So,</w:t>
      </w:r>
      <w:r>
        <w:rPr>
          <w:i/>
        </w:rPr>
        <w:t xml:space="preserve"> you want me to advertise your gambling machines because you've given us the money back that you've taken from our community?’</w:t>
      </w:r>
    </w:p>
    <w:p w14:paraId="2FAD8FB7" w14:textId="77777777" w:rsidR="00DB689D" w:rsidRDefault="00310A10" w:rsidP="00C30E1A">
      <w:pPr>
        <w:pStyle w:val="Heading3"/>
      </w:pPr>
      <w:bookmarkStart w:id="210" w:name="_ayszdkquqqsr" w:colFirst="0" w:colLast="0"/>
      <w:bookmarkStart w:id="211" w:name="_Toc201572410"/>
      <w:bookmarkStart w:id="212" w:name="_Toc207195928"/>
      <w:bookmarkStart w:id="213" w:name="_Hlk201925114"/>
      <w:bookmarkEnd w:id="210"/>
      <w:r>
        <w:t>Theme 3. Lack of help-seeking</w:t>
      </w:r>
      <w:bookmarkEnd w:id="211"/>
      <w:bookmarkEnd w:id="212"/>
    </w:p>
    <w:p w14:paraId="306F1D99" w14:textId="77777777" w:rsidR="00DB689D" w:rsidRDefault="00310A10" w:rsidP="00367A8D">
      <w:pPr>
        <w:pStyle w:val="Heading4"/>
        <w:keepNext w:val="0"/>
        <w:keepLines w:val="0"/>
        <w:spacing w:after="40" w:line="360" w:lineRule="auto"/>
      </w:pPr>
      <w:bookmarkStart w:id="214" w:name="_6lojknr812f9" w:colFirst="0" w:colLast="0"/>
      <w:bookmarkStart w:id="215" w:name="_Hlk201925133"/>
      <w:bookmarkEnd w:id="213"/>
      <w:bookmarkEnd w:id="214"/>
      <w:r>
        <w:t>Shame and stigma</w:t>
      </w:r>
    </w:p>
    <w:bookmarkEnd w:id="215"/>
    <w:p w14:paraId="31CF4050" w14:textId="24F889C9" w:rsidR="00DB689D" w:rsidRDefault="00310A10" w:rsidP="00367A8D">
      <w:pPr>
        <w:spacing w:before="240" w:after="240" w:line="360" w:lineRule="auto"/>
        <w:rPr>
          <w:i/>
        </w:rPr>
      </w:pPr>
      <w:r>
        <w:t>Participants highlighted the pervasive emotional and psychological costs of gambling. One of the most persistent psychological issues mentioned by experts is the deep sense of shame that people feel about their gambling, which prevents many from acknowledging the problem or seeking help</w:t>
      </w:r>
      <w:r>
        <w:rPr>
          <w:i/>
        </w:rPr>
        <w:t xml:space="preserve">. 'There's so much shame and stigma around this addiction in particular. It might be hard for them to even come to the realisation that they may need help.' </w:t>
      </w:r>
      <w:r>
        <w:t>Despite clear distress, most people do not access counselling or mental health services. One expert cited figures from their help service that only 16% of those experiencing harm from gambling receive treatment in New Zealand. The lack of help-seeking in those experiencing harm from gambling was described as leading to increased costs over time due to spiralling problems in a range of domains. One expert gave the following example of escalating financial costs due to untreated problems with gambling: 'W</w:t>
      </w:r>
      <w:r>
        <w:rPr>
          <w:i/>
        </w:rPr>
        <w:t xml:space="preserve">e have someone who has controlled all the finances and hidden gambling…the mortgage wasn't being paid, and that meaning </w:t>
      </w:r>
      <w:r w:rsidR="00F30B88">
        <w:rPr>
          <w:i/>
        </w:rPr>
        <w:t xml:space="preserve">[sic] </w:t>
      </w:r>
      <w:r>
        <w:rPr>
          <w:i/>
        </w:rPr>
        <w:t>that all the equity in the house goes through the mortgagor's sale.’</w:t>
      </w:r>
    </w:p>
    <w:p w14:paraId="76E30CB5" w14:textId="77777777" w:rsidR="00DB689D" w:rsidRDefault="00310A10" w:rsidP="00367A8D">
      <w:pPr>
        <w:pStyle w:val="Heading4"/>
        <w:keepNext w:val="0"/>
        <w:keepLines w:val="0"/>
        <w:spacing w:after="40" w:line="360" w:lineRule="auto"/>
      </w:pPr>
      <w:bookmarkStart w:id="216" w:name="_6f0lu4l1togn" w:colFirst="0" w:colLast="0"/>
      <w:bookmarkStart w:id="217" w:name="_Hlk201925141"/>
      <w:bookmarkEnd w:id="216"/>
      <w:r>
        <w:t>Prioritising tangible assistance</w:t>
      </w:r>
    </w:p>
    <w:bookmarkEnd w:id="217"/>
    <w:p w14:paraId="7F6B7F2D" w14:textId="77777777" w:rsidR="00DB689D" w:rsidRDefault="00310A10" w:rsidP="00367A8D">
      <w:pPr>
        <w:spacing w:before="240" w:after="240" w:line="360" w:lineRule="auto"/>
        <w:rPr>
          <w:i/>
        </w:rPr>
      </w:pPr>
      <w:r>
        <w:t>Many people do not view mental health treatment as practical or relevant, particularly when the consequences of gambling result in their immediate needs being unmet. '</w:t>
      </w:r>
      <w:r>
        <w:rPr>
          <w:i/>
        </w:rPr>
        <w:t xml:space="preserve">They're wanting a food parcel or maybe they're just needing their house back, they're just needing rent or [something] really tangible, rather than talking it out.' </w:t>
      </w:r>
      <w:r>
        <w:t>Others described clients as only wanting a '</w:t>
      </w:r>
      <w:r>
        <w:rPr>
          <w:i/>
        </w:rPr>
        <w:t xml:space="preserve">safety net' </w:t>
      </w:r>
      <w:r>
        <w:t>in the form of a multi-venue exclusion order (MVE) whilst '</w:t>
      </w:r>
      <w:r>
        <w:rPr>
          <w:i/>
        </w:rPr>
        <w:t>they're not interested in counselling.’</w:t>
      </w:r>
    </w:p>
    <w:p w14:paraId="59FAD21D" w14:textId="77777777" w:rsidR="00DB689D" w:rsidRDefault="00310A10" w:rsidP="00367A8D">
      <w:pPr>
        <w:pStyle w:val="Heading4"/>
        <w:keepNext w:val="0"/>
        <w:keepLines w:val="0"/>
        <w:spacing w:after="40" w:line="360" w:lineRule="auto"/>
      </w:pPr>
      <w:bookmarkStart w:id="218" w:name="_iiwa2w2tvcry" w:colFirst="0" w:colLast="0"/>
      <w:bookmarkStart w:id="219" w:name="_Hlk201925150"/>
      <w:bookmarkEnd w:id="218"/>
      <w:r>
        <w:t>Cultural barriers</w:t>
      </w:r>
    </w:p>
    <w:bookmarkEnd w:id="219"/>
    <w:p w14:paraId="065B8A9D" w14:textId="77777777" w:rsidR="00DB689D" w:rsidRDefault="00310A10" w:rsidP="00367A8D">
      <w:pPr>
        <w:spacing w:before="240" w:after="240" w:line="360" w:lineRule="auto"/>
        <w:rPr>
          <w:i/>
        </w:rPr>
      </w:pPr>
      <w:r>
        <w:t>Experts who worked with Māori and Pacifica peoples described a cultural discomfort with help-seeking. '</w:t>
      </w:r>
      <w:r>
        <w:rPr>
          <w:i/>
        </w:rPr>
        <w:t xml:space="preserve">There is a lot I feel that comes with the communal cultures that you don't want to bring shame to your family [by admitting you have a gambling problem].' </w:t>
      </w:r>
      <w:r>
        <w:t>These cultural groups were more likely to seek informal support through personal networks. However, this type of help seeking was also seen as problematic: '</w:t>
      </w:r>
      <w:r>
        <w:rPr>
          <w:i/>
        </w:rPr>
        <w:t xml:space="preserve">You don't want to burden others, so either way, it would be to you kind of keeping it in.' </w:t>
      </w:r>
      <w:r>
        <w:t>As one participant suggested, '</w:t>
      </w:r>
      <w:r>
        <w:rPr>
          <w:i/>
        </w:rPr>
        <w:t>People are just not used to talking about it, or don’t think it’s going to help.’</w:t>
      </w:r>
    </w:p>
    <w:p w14:paraId="00E167FB" w14:textId="77777777" w:rsidR="00DB689D" w:rsidRDefault="00310A10" w:rsidP="00C30E1A">
      <w:pPr>
        <w:pStyle w:val="Heading3"/>
      </w:pPr>
      <w:bookmarkStart w:id="220" w:name="_wmmyp381w1j6" w:colFirst="0" w:colLast="0"/>
      <w:bookmarkStart w:id="221" w:name="_Toc201572411"/>
      <w:bookmarkStart w:id="222" w:name="_Toc207195929"/>
      <w:bookmarkEnd w:id="220"/>
      <w:r>
        <w:t xml:space="preserve">Theme 4. </w:t>
      </w:r>
      <w:bookmarkStart w:id="223" w:name="_Hlk201925163"/>
      <w:r>
        <w:t>Relationship and family costs</w:t>
      </w:r>
      <w:bookmarkEnd w:id="221"/>
      <w:bookmarkEnd w:id="222"/>
      <w:bookmarkEnd w:id="223"/>
    </w:p>
    <w:p w14:paraId="625EAB79" w14:textId="77777777" w:rsidR="00DB689D" w:rsidRDefault="00310A10" w:rsidP="00367A8D">
      <w:pPr>
        <w:pStyle w:val="Heading4"/>
        <w:keepNext w:val="0"/>
        <w:keepLines w:val="0"/>
        <w:spacing w:after="40" w:line="360" w:lineRule="auto"/>
      </w:pPr>
      <w:bookmarkStart w:id="224" w:name="_6iorvcqtarhi" w:colFirst="0" w:colLast="0"/>
      <w:bookmarkStart w:id="225" w:name="_Hlk201925175"/>
      <w:bookmarkEnd w:id="224"/>
      <w:r>
        <w:t>Intergenerational trauma and hardship</w:t>
      </w:r>
    </w:p>
    <w:bookmarkEnd w:id="225"/>
    <w:p w14:paraId="64E53000" w14:textId="26F6F548" w:rsidR="00DB689D" w:rsidRDefault="00310A10" w:rsidP="00367A8D">
      <w:pPr>
        <w:spacing w:before="240" w:after="240" w:line="360" w:lineRule="auto"/>
        <w:rPr>
          <w:i/>
        </w:rPr>
      </w:pPr>
      <w:r>
        <w:t>Gambling-related harms were reported to carry long-lasting economic and wellbeing costs for families, especially when significant assets like the family home were lost.</w:t>
      </w:r>
      <w:r>
        <w:rPr>
          <w:i/>
        </w:rPr>
        <w:t xml:space="preserve"> 'The uncle had lost the whole family's inheritance so now everyone is paying for it. </w:t>
      </w:r>
      <w:r w:rsidR="003460FB">
        <w:rPr>
          <w:i/>
        </w:rPr>
        <w:t>So,</w:t>
      </w:r>
      <w:r>
        <w:rPr>
          <w:i/>
        </w:rPr>
        <w:t xml:space="preserve"> there is that trickle-down effect that is not that visible but it can last for generations.' </w:t>
      </w:r>
      <w:r>
        <w:t>Experts described children growing up in households impacted by gambling often experiencing trauma, and missing out on basic needs and life-enriching experiences, potentially limiting their opportunities later in life: '</w:t>
      </w:r>
      <w:r>
        <w:rPr>
          <w:i/>
        </w:rPr>
        <w:t>It's more likely that they're going to end up down a similar pathway, or down a pathway that disadvantages them…They might get caught up in courts and drugs and the wrong people because they don't know how to navigate through their own trauma that they've inherited from their parents and so that that's another huge cost to society.’</w:t>
      </w:r>
    </w:p>
    <w:p w14:paraId="476F5CA5" w14:textId="77777777" w:rsidR="00DB689D" w:rsidRDefault="00310A10" w:rsidP="00367A8D">
      <w:pPr>
        <w:spacing w:before="240" w:after="240" w:line="360" w:lineRule="auto"/>
        <w:rPr>
          <w:i/>
        </w:rPr>
      </w:pPr>
      <w:r>
        <w:t>Relationship breakdown due to gambling results in further financial strain, legal costs, and housing instability, adding a second layer of hardship for families already affected by gambling harm. One expert described a client going through a divorce due to her husband’s gambling, '</w:t>
      </w:r>
      <w:r>
        <w:rPr>
          <w:i/>
        </w:rPr>
        <w:t>She has to now pay for a valuer… pay for the lawyers… it just keeps going and going.’</w:t>
      </w:r>
    </w:p>
    <w:p w14:paraId="16420E52" w14:textId="77777777" w:rsidR="00DB689D" w:rsidRDefault="00310A10" w:rsidP="00367A8D">
      <w:pPr>
        <w:pStyle w:val="Heading4"/>
        <w:keepNext w:val="0"/>
        <w:keepLines w:val="0"/>
        <w:spacing w:after="40" w:line="360" w:lineRule="auto"/>
      </w:pPr>
      <w:bookmarkStart w:id="226" w:name="_9mfc7yttd2d5" w:colFirst="0" w:colLast="0"/>
      <w:bookmarkStart w:id="227" w:name="_Hlk201925185"/>
      <w:bookmarkEnd w:id="226"/>
      <w:r>
        <w:t>Domestic violence</w:t>
      </w:r>
    </w:p>
    <w:bookmarkEnd w:id="227"/>
    <w:p w14:paraId="7F2C143C" w14:textId="77777777" w:rsidR="00DB689D" w:rsidRDefault="00310A10" w:rsidP="00367A8D">
      <w:pPr>
        <w:spacing w:before="240" w:after="240" w:line="360" w:lineRule="auto"/>
        <w:rPr>
          <w:i/>
        </w:rPr>
      </w:pPr>
      <w:r>
        <w:t>Gambling was described as an underreported driver of domestic violence, often overlooked or minimised when families seek help after experiences of domestic violence. This makes it difficult to address gambling as a core issue in the family: '</w:t>
      </w:r>
      <w:r>
        <w:rPr>
          <w:i/>
        </w:rPr>
        <w:t xml:space="preserve">Gambling gets swept under an incident or an event… it’s not the priority.' </w:t>
      </w:r>
      <w:r>
        <w:t>This invisibility also weakens policy responses and prevents targeted interventions being developed</w:t>
      </w:r>
      <w:r>
        <w:rPr>
          <w:i/>
        </w:rPr>
        <w:t>. 'Nobody asks the questions about gambling…so gambling is not recorded as a cause, which is why our data is so scarce.’</w:t>
      </w:r>
    </w:p>
    <w:p w14:paraId="591147B1" w14:textId="77777777" w:rsidR="00DB689D" w:rsidRDefault="00310A10" w:rsidP="00C30E1A">
      <w:pPr>
        <w:pStyle w:val="Heading3"/>
      </w:pPr>
      <w:bookmarkStart w:id="228" w:name="_9nbjs2x792ja" w:colFirst="0" w:colLast="0"/>
      <w:bookmarkStart w:id="229" w:name="_Toc201572412"/>
      <w:bookmarkStart w:id="230" w:name="_Toc207195930"/>
      <w:bookmarkStart w:id="231" w:name="_Hlk201925201"/>
      <w:bookmarkEnd w:id="228"/>
      <w:r>
        <w:t>Theme 5. The costs of crime</w:t>
      </w:r>
      <w:bookmarkEnd w:id="229"/>
      <w:bookmarkEnd w:id="230"/>
    </w:p>
    <w:p w14:paraId="06F841EC" w14:textId="77777777" w:rsidR="00DB689D" w:rsidRDefault="00310A10" w:rsidP="00367A8D">
      <w:pPr>
        <w:pStyle w:val="Heading4"/>
        <w:spacing w:line="360" w:lineRule="auto"/>
      </w:pPr>
      <w:bookmarkStart w:id="232" w:name="_glr2ehctgp0u" w:colFirst="0" w:colLast="0"/>
      <w:bookmarkStart w:id="233" w:name="_Hlk201925215"/>
      <w:bookmarkEnd w:id="231"/>
      <w:bookmarkEnd w:id="232"/>
      <w:r>
        <w:t>Long-lasting consequences</w:t>
      </w:r>
    </w:p>
    <w:bookmarkEnd w:id="233"/>
    <w:p w14:paraId="7D05AE6E" w14:textId="7FF35D70" w:rsidR="00DB689D" w:rsidRDefault="00310A10" w:rsidP="00367A8D">
      <w:pPr>
        <w:spacing w:before="240" w:after="240" w:line="360" w:lineRule="auto"/>
        <w:rPr>
          <w:i/>
        </w:rPr>
      </w:pPr>
      <w:r>
        <w:t>Experts reported that crimes committed by those experiencing problems with gambling were overwhelmingly crimes against their own families or wider networks. These, most commonly, included stealing from partners or family members and were largely unreported to law enforcement: '</w:t>
      </w:r>
      <w:r>
        <w:rPr>
          <w:i/>
        </w:rPr>
        <w:t xml:space="preserve">It's only one person [who has a court case pending] out of the people that I know of. There might be others up and down the country. But it's not something you see a lot.' </w:t>
      </w:r>
      <w:r>
        <w:t>However, workplace embezzlement was sometimes seen by these experts and had significant and long-lasting consequences. '</w:t>
      </w:r>
      <w:r>
        <w:rPr>
          <w:i/>
        </w:rPr>
        <w:t xml:space="preserve">Now they have to rebuild their </w:t>
      </w:r>
      <w:r w:rsidR="003460FB">
        <w:rPr>
          <w:i/>
        </w:rPr>
        <w:t>lives,</w:t>
      </w:r>
      <w:r>
        <w:rPr>
          <w:i/>
        </w:rPr>
        <w:t xml:space="preserve"> and they can't. They could have been upper management and now they're at an admin level job…They may be in a new industry now because that previous industry has obviously cut them off. And even when they are in the new industry, they're working their way back up now.' </w:t>
      </w:r>
      <w:r>
        <w:t>Significant consequences from embezzlement also include costs to partners and families</w:t>
      </w:r>
      <w:r>
        <w:rPr>
          <w:i/>
        </w:rPr>
        <w:t>. 'Both her and her husband worked in the same [place]. She stole some money from work for gambling. She got busted. She lost her job. He lost his job, even though he didn't know the extent of her gambling, and it had nothing to do with her theft, but the employer went, well, you're in it together, bang, you're both gone. So now we have a young couple with a new baby, a toddler, no job.’</w:t>
      </w:r>
    </w:p>
    <w:p w14:paraId="5E01BEE6" w14:textId="77777777" w:rsidR="00DB689D" w:rsidRDefault="00310A10" w:rsidP="00367A8D">
      <w:pPr>
        <w:pStyle w:val="Heading4"/>
        <w:spacing w:line="360" w:lineRule="auto"/>
      </w:pPr>
      <w:bookmarkStart w:id="234" w:name="_ujyr43z4fc46" w:colFirst="0" w:colLast="0"/>
      <w:bookmarkStart w:id="235" w:name="_Hlk201925221"/>
      <w:bookmarkEnd w:id="234"/>
      <w:r>
        <w:t>Drug use and distribution</w:t>
      </w:r>
    </w:p>
    <w:bookmarkEnd w:id="235"/>
    <w:p w14:paraId="04057106" w14:textId="77777777" w:rsidR="00DB689D" w:rsidRDefault="00310A10" w:rsidP="00367A8D">
      <w:pPr>
        <w:spacing w:before="240" w:after="240" w:line="360" w:lineRule="auto"/>
        <w:rPr>
          <w:i/>
        </w:rPr>
      </w:pPr>
      <w:r>
        <w:t>Importantly, experts noted that gambling is often intertwined with other harmful behaviours, particularly substance use: '</w:t>
      </w:r>
      <w:r>
        <w:rPr>
          <w:i/>
        </w:rPr>
        <w:t xml:space="preserve">P [methamphetamine] and gambling are lovers.' </w:t>
      </w:r>
      <w:r>
        <w:t>An expert described one part of the relationship between gambling with methamphetamine: '</w:t>
      </w:r>
      <w:r>
        <w:rPr>
          <w:i/>
        </w:rPr>
        <w:t xml:space="preserve">Meth users love to gamble when they're on [meth]. And it's usually online gambling as well. They're quite specific about that because they can win bigger...It just stimulates their high.' </w:t>
      </w:r>
      <w:r>
        <w:t>Drug use and gambling can both result in crimes being committed, with experts seeing each addiction exacerbating and reinforcing the other. '</w:t>
      </w:r>
      <w:r>
        <w:rPr>
          <w:i/>
        </w:rPr>
        <w:t>They get caught up in these cycles and wanting to keep selling the meth [to get money to gamble], and then they get busted selling the meth, and then they got to go through the court, and then they end up in these residential centres as their last chance to try and clear them from both their addictions.’</w:t>
      </w:r>
    </w:p>
    <w:p w14:paraId="5FCDA322" w14:textId="77777777" w:rsidR="00DB689D" w:rsidRDefault="00310A10" w:rsidP="00367A8D">
      <w:pPr>
        <w:spacing w:before="240" w:after="240" w:line="360" w:lineRule="auto"/>
        <w:rPr>
          <w:i/>
        </w:rPr>
      </w:pPr>
      <w:r>
        <w:t>While arrest and prosecution carry significant costs, some experts noted that legal consequences can act as a wake-up call, pushing people into treatment or support services. '</w:t>
      </w:r>
      <w:r>
        <w:rPr>
          <w:i/>
        </w:rPr>
        <w:t xml:space="preserve">One of the best things that can happen is when they get pinged by the law… at least they’re being stopped.' </w:t>
      </w:r>
      <w:r>
        <w:t>One expert speculated about the economic savings that this kind of intervention may have:</w:t>
      </w:r>
      <w:r>
        <w:rPr>
          <w:i/>
        </w:rPr>
        <w:t xml:space="preserve"> 'Court intervention, which has a cost in itself, could actually maybe mitigate some of the costs, reduce the costs down the road, because at least they're being stopped, and they're being channelled into help services.’</w:t>
      </w:r>
    </w:p>
    <w:p w14:paraId="6EF832C7" w14:textId="77777777" w:rsidR="00DB689D" w:rsidRDefault="00310A10" w:rsidP="00367A8D">
      <w:pPr>
        <w:pStyle w:val="Heading4"/>
        <w:spacing w:line="360" w:lineRule="auto"/>
      </w:pPr>
      <w:bookmarkStart w:id="236" w:name="_p7ontsqe6mjj" w:colFirst="0" w:colLast="0"/>
      <w:bookmarkStart w:id="237" w:name="_Hlk201925226"/>
      <w:bookmarkEnd w:id="236"/>
      <w:r>
        <w:t>Underground and organised crime</w:t>
      </w:r>
    </w:p>
    <w:bookmarkEnd w:id="237"/>
    <w:p w14:paraId="42C0FDEB" w14:textId="77777777" w:rsidR="00DB689D" w:rsidRDefault="00310A10" w:rsidP="00367A8D">
      <w:pPr>
        <w:spacing w:before="240" w:after="240" w:line="360" w:lineRule="auto"/>
        <w:rPr>
          <w:i/>
        </w:rPr>
      </w:pPr>
      <w:r>
        <w:t>Some experts had experience working with clients who had gambling-related debt that stemmed from, or resulted in, involvement with gangs or underground lenders. This leads to intimidation, fear for safety, and criminal entanglement. These cases are rarely reported to police due to fear of retaliation. '</w:t>
      </w:r>
      <w:r>
        <w:rPr>
          <w:i/>
        </w:rPr>
        <w:t xml:space="preserve">There’s actually a fear for their life on being able to pay [the money] back… that’s the ideal answer [go to the police], but they can’t.' </w:t>
      </w:r>
      <w:r>
        <w:t>Underground gambling in prisons was also discussed by experts as a way that the costs of being incarcerated are magnified: '</w:t>
      </w:r>
      <w:r>
        <w:rPr>
          <w:i/>
        </w:rPr>
        <w:t>That’s when they got their addiction-in prison… as if they need that as well.’</w:t>
      </w:r>
    </w:p>
    <w:p w14:paraId="00DA035B" w14:textId="77777777" w:rsidR="00DB689D" w:rsidRDefault="00310A10" w:rsidP="00C30E1A">
      <w:pPr>
        <w:pStyle w:val="Heading3"/>
      </w:pPr>
      <w:bookmarkStart w:id="238" w:name="_dpgq8uja768" w:colFirst="0" w:colLast="0"/>
      <w:bookmarkStart w:id="239" w:name="_Toc201572413"/>
      <w:bookmarkStart w:id="240" w:name="_Toc207195931"/>
      <w:bookmarkStart w:id="241" w:name="_Hlk201925234"/>
      <w:bookmarkEnd w:id="238"/>
      <w:r>
        <w:t>Theme 6. Productivity costs</w:t>
      </w:r>
      <w:bookmarkEnd w:id="239"/>
      <w:bookmarkEnd w:id="240"/>
    </w:p>
    <w:p w14:paraId="46BF6B83" w14:textId="77777777" w:rsidR="00DB689D" w:rsidRDefault="00310A10" w:rsidP="00367A8D">
      <w:pPr>
        <w:pStyle w:val="Heading4"/>
        <w:keepNext w:val="0"/>
        <w:keepLines w:val="0"/>
        <w:spacing w:after="40" w:line="360" w:lineRule="auto"/>
      </w:pPr>
      <w:bookmarkStart w:id="242" w:name="_xu35spdbpmax" w:colFirst="0" w:colLast="0"/>
      <w:bookmarkStart w:id="243" w:name="_Hlk201925262"/>
      <w:bookmarkEnd w:id="241"/>
      <w:bookmarkEnd w:id="242"/>
      <w:r>
        <w:t>Costs to the people who gamble</w:t>
      </w:r>
    </w:p>
    <w:bookmarkEnd w:id="243"/>
    <w:p w14:paraId="388C55EF" w14:textId="77777777" w:rsidR="00DB689D" w:rsidRDefault="00310A10" w:rsidP="00367A8D">
      <w:pPr>
        <w:spacing w:before="240" w:after="240" w:line="360" w:lineRule="auto"/>
        <w:rPr>
          <w:i/>
        </w:rPr>
      </w:pPr>
      <w:r>
        <w:t xml:space="preserve">Participants described gambling harm as a silent disruptor of productivity that affects both the person who gambles and affected others, such as partners and </w:t>
      </w:r>
      <w:r w:rsidRPr="00134B05">
        <w:t>whānau</w:t>
      </w:r>
      <w:r>
        <w:t>. '</w:t>
      </w:r>
      <w:r>
        <w:rPr>
          <w:i/>
        </w:rPr>
        <w:t xml:space="preserve">It affects everything.' </w:t>
      </w:r>
      <w:r>
        <w:t>These productivity losses are experienced as emotional distraction, reduced capacity, and continual worry, all of which undermine people’s ability to engage fully in their daily lives and work: '</w:t>
      </w:r>
      <w:r>
        <w:rPr>
          <w:i/>
        </w:rPr>
        <w:t xml:space="preserve">They've got this dark shadow over the over them constantly, whether they're at work, or they're driving to work, or they're driving back from work, or they're seeing friends…It's always there in their mind.' </w:t>
      </w:r>
      <w:r>
        <w:t>Experts reported that individuals harmed by gambling become trapped in cycles of guilt which reduces cognitive focus and emotional availability at work</w:t>
      </w:r>
      <w:r>
        <w:rPr>
          <w:i/>
        </w:rPr>
        <w:t>. 'They just ruminate, so they just go over and over what might have been, what they could have done better, what they could have not done, or what they could have done because of gambling.’</w:t>
      </w:r>
    </w:p>
    <w:p w14:paraId="7AC992DA" w14:textId="2321B62A" w:rsidR="00DB689D" w:rsidRDefault="00310A10" w:rsidP="00367A8D">
      <w:pPr>
        <w:spacing w:before="240" w:after="240" w:line="360" w:lineRule="auto"/>
        <w:rPr>
          <w:i/>
        </w:rPr>
      </w:pPr>
      <w:r>
        <w:t>Experts emphasised that gambling addiction should be understood similarly to other addictions in terms of its impact on a person’s ability to function in the workplace. '</w:t>
      </w:r>
      <w:r>
        <w:rPr>
          <w:i/>
        </w:rPr>
        <w:t xml:space="preserve">If you had a drug addiction, you wouldn't be able to work properly. If you had an alcohol addiction, you couldn't work properly. </w:t>
      </w:r>
      <w:r w:rsidR="003460FB">
        <w:rPr>
          <w:i/>
        </w:rPr>
        <w:t>So,</w:t>
      </w:r>
      <w:r>
        <w:rPr>
          <w:i/>
        </w:rPr>
        <w:t xml:space="preserve"> I see it as the same thing.’</w:t>
      </w:r>
    </w:p>
    <w:p w14:paraId="2213BE04" w14:textId="77777777" w:rsidR="00DB689D" w:rsidRDefault="00310A10" w:rsidP="00367A8D">
      <w:pPr>
        <w:pStyle w:val="Heading4"/>
        <w:keepNext w:val="0"/>
        <w:keepLines w:val="0"/>
        <w:spacing w:after="40" w:line="360" w:lineRule="auto"/>
      </w:pPr>
      <w:bookmarkStart w:id="244" w:name="_5r96kuh7afyu" w:colFirst="0" w:colLast="0"/>
      <w:bookmarkStart w:id="245" w:name="_Hlk201925268"/>
      <w:bookmarkEnd w:id="244"/>
      <w:r>
        <w:t>Costs to affected others</w:t>
      </w:r>
    </w:p>
    <w:bookmarkEnd w:id="245"/>
    <w:p w14:paraId="6A6D6CDA" w14:textId="77777777" w:rsidR="00DB689D" w:rsidRDefault="00310A10" w:rsidP="00367A8D">
      <w:pPr>
        <w:spacing w:before="240" w:after="240" w:line="360" w:lineRule="auto"/>
      </w:pPr>
      <w:r>
        <w:t>In households impacted by gambling, partners often take on the logistical and emotional labour of trying to manage finances, protect assets, and prevent further harm, leaving them drained and distracted:</w:t>
      </w:r>
      <w:r>
        <w:rPr>
          <w:i/>
        </w:rPr>
        <w:t xml:space="preserve"> 'I would say [the affected other] absolutely has to do things constantly. She's on the phone to the bank. She's here. She's on the phone there.' </w:t>
      </w:r>
      <w:r>
        <w:t>Financial stress and emotional strain felt by affected others were reported to lead to burnout, mental health issues, and time away from work: '</w:t>
      </w:r>
      <w:r>
        <w:rPr>
          <w:i/>
        </w:rPr>
        <w:t xml:space="preserve">You are so worried as to where you are going to get this from or where are you going to get that from.' </w:t>
      </w:r>
      <w:r>
        <w:t>Domestic violence was, again, seen as a significant cost of gambling: '</w:t>
      </w:r>
      <w:r>
        <w:rPr>
          <w:i/>
        </w:rPr>
        <w:t xml:space="preserve">[Gambling] leads to things like domestic violence and then that would lead to the affected other needing time off work because of the worry and stress.' </w:t>
      </w:r>
    </w:p>
    <w:p w14:paraId="02F5D964" w14:textId="77777777" w:rsidR="00DB689D" w:rsidRDefault="00310A10" w:rsidP="00C30E1A">
      <w:pPr>
        <w:pStyle w:val="Heading3"/>
      </w:pPr>
      <w:bookmarkStart w:id="246" w:name="_r1i5of6otqfj" w:colFirst="0" w:colLast="0"/>
      <w:bookmarkStart w:id="247" w:name="_Toc201572414"/>
      <w:bookmarkStart w:id="248" w:name="_Toc207195932"/>
      <w:bookmarkStart w:id="249" w:name="_Hlk201925275"/>
      <w:bookmarkEnd w:id="246"/>
      <w:r>
        <w:t>Theme 7. Financial costs</w:t>
      </w:r>
      <w:bookmarkEnd w:id="247"/>
      <w:bookmarkEnd w:id="248"/>
    </w:p>
    <w:p w14:paraId="2CA17DE9" w14:textId="77777777" w:rsidR="00DB689D" w:rsidRDefault="00310A10" w:rsidP="00367A8D">
      <w:pPr>
        <w:pStyle w:val="Heading4"/>
        <w:keepNext w:val="0"/>
        <w:keepLines w:val="0"/>
        <w:spacing w:after="40" w:line="360" w:lineRule="auto"/>
      </w:pPr>
      <w:bookmarkStart w:id="250" w:name="_ssngoe40doq1" w:colFirst="0" w:colLast="0"/>
      <w:bookmarkStart w:id="251" w:name="_Hlk201925276"/>
      <w:bookmarkEnd w:id="249"/>
      <w:bookmarkEnd w:id="250"/>
      <w:r>
        <w:t>Underreporting of gambling causing financial hardship</w:t>
      </w:r>
    </w:p>
    <w:bookmarkEnd w:id="251"/>
    <w:p w14:paraId="4A683068" w14:textId="50289A5C" w:rsidR="00DB689D" w:rsidRDefault="00310A10" w:rsidP="00367A8D">
      <w:pPr>
        <w:spacing w:before="240" w:after="240" w:line="360" w:lineRule="auto"/>
        <w:rPr>
          <w:i/>
        </w:rPr>
      </w:pPr>
      <w:r>
        <w:t>Expert consultations with financial mentors and counsellors illustrated the underreporting of gambling as a cause of financial hardship, with one expert describing gambling as a '</w:t>
      </w:r>
      <w:r>
        <w:rPr>
          <w:i/>
        </w:rPr>
        <w:t xml:space="preserve">slippery fish.' </w:t>
      </w:r>
      <w:r>
        <w:t>Experts reported that many clients did not disclose their gambling when approaching their service</w:t>
      </w:r>
      <w:r>
        <w:rPr>
          <w:i/>
        </w:rPr>
        <w:t xml:space="preserve">: 'Identifying gambling is actually really hard because clients don't really front up, they're not forthcoming with that and so it's really hard for us to record and get an objective measure of how many of our clients have gambling as a part of their picture.' </w:t>
      </w:r>
      <w:r>
        <w:t>One financial mentor estimated that while official reporting from their service shows gambling harm in only 6% of clients, a more accurate figure would be closer to 25% of clients. Experts believed that shame and stigma played a role in '</w:t>
      </w:r>
      <w:r>
        <w:rPr>
          <w:i/>
        </w:rPr>
        <w:t xml:space="preserve">100% of cases' </w:t>
      </w:r>
      <w:r>
        <w:t>when their clients’ hesitate to disclose their gambling. Financial mentors often identified gambling in their clients through patterns in bank statements: '</w:t>
      </w:r>
      <w:r>
        <w:rPr>
          <w:i/>
        </w:rPr>
        <w:t xml:space="preserve">If it's at an establishment [pub] and then you see $40, $60, $100, all of that, that's a sign that there is some gambling going on at the pokies.' </w:t>
      </w:r>
      <w:r>
        <w:t>Financial mentors and counsellors also discussed the costs to their service of assisting someone who has not accepted that they have a problem with gambling: '</w:t>
      </w:r>
      <w:r>
        <w:rPr>
          <w:i/>
        </w:rPr>
        <w:t>It’s very difficult to help somebody that's not seeking help themselves, because you can do all the wonders in the world [trying to work with them], but it's not going to work if they're still continuing to gamble.’</w:t>
      </w:r>
      <w:r w:rsidR="00E37626">
        <w:rPr>
          <w:i/>
        </w:rPr>
        <w:t xml:space="preserve"> Across the various experts, there was general agreement on the </w:t>
      </w:r>
      <w:r w:rsidR="00F30B88">
        <w:rPr>
          <w:i/>
        </w:rPr>
        <w:t xml:space="preserve">amount spent on gambling by those at different risk levels on the PGSI, as suggested by the desktop analysis. However, some practitioners suggested that these numbers were too low, based on their experience. </w:t>
      </w:r>
    </w:p>
    <w:p w14:paraId="1A15F1AE" w14:textId="77777777" w:rsidR="00DB689D" w:rsidRDefault="00310A10" w:rsidP="00367A8D">
      <w:pPr>
        <w:pStyle w:val="Heading4"/>
        <w:keepNext w:val="0"/>
        <w:keepLines w:val="0"/>
        <w:spacing w:after="40" w:line="360" w:lineRule="auto"/>
      </w:pPr>
      <w:bookmarkStart w:id="252" w:name="_dtn1j8tbkv63" w:colFirst="0" w:colLast="0"/>
      <w:bookmarkStart w:id="253" w:name="_Hlk201925277"/>
      <w:bookmarkEnd w:id="252"/>
      <w:r>
        <w:t>High rates of KiwiSaver hardship withdrawals</w:t>
      </w:r>
    </w:p>
    <w:bookmarkEnd w:id="253"/>
    <w:p w14:paraId="56E56944" w14:textId="1FA602EE" w:rsidR="00DB689D" w:rsidRDefault="00310A10" w:rsidP="00367A8D">
      <w:pPr>
        <w:spacing w:before="240" w:after="240" w:line="360" w:lineRule="auto"/>
        <w:rPr>
          <w:i/>
        </w:rPr>
      </w:pPr>
      <w:r>
        <w:t>Another key economic cost of gambling identified by experts is the misuse of KiwiSaver hardship withdrawals (the payment of a lump sum of up to three months of living expenses, taken from that individual’s KiwiSaver retirement account). These withdrawals are designed to help people meet urgent living expenses, but experts reported seeing clients using these payments for gambling</w:t>
      </w:r>
      <w:r>
        <w:rPr>
          <w:i/>
        </w:rPr>
        <w:t xml:space="preserve">. 'Somebody will apply for their KiwiSaver hardship... the whole 12 or 13 weeks of payment goes into their bank account... that night it's gone. And it's gone to gambling.' </w:t>
      </w:r>
      <w:r>
        <w:t>The experts reported that the</w:t>
      </w:r>
      <w:r w:rsidR="00E37626">
        <w:t>re</w:t>
      </w:r>
      <w:r>
        <w:t xml:space="preserve"> are recommendations given by the KiwiSaver providers and the mentors</w:t>
      </w:r>
      <w:r w:rsidR="00E37626">
        <w:t xml:space="preserve"> as to how the hardship payment should be spent</w:t>
      </w:r>
      <w:r>
        <w:t>, '</w:t>
      </w:r>
      <w:r>
        <w:rPr>
          <w:i/>
        </w:rPr>
        <w:t>But there are no rules in the legislation around where that money goes. And so, banks often tell me that the moment that it's dropped into the client's account, it's gone.’</w:t>
      </w:r>
    </w:p>
    <w:p w14:paraId="3A04335D" w14:textId="77777777" w:rsidR="00DB689D" w:rsidRDefault="00310A10" w:rsidP="00367A8D">
      <w:pPr>
        <w:spacing w:before="240" w:after="240" w:line="360" w:lineRule="auto"/>
        <w:rPr>
          <w:i/>
        </w:rPr>
      </w:pPr>
      <w:r>
        <w:t>The consequences of this misuse of retirement savings extend beyond the immediate loss of the money withdrawn, as the reduced retirement savings undermine the long-term financial stability of the individual. The KiwiSaver hardship withdrawal can represent what one expert called a '</w:t>
      </w:r>
      <w:r>
        <w:rPr>
          <w:i/>
        </w:rPr>
        <w:t xml:space="preserve">double hit,' </w:t>
      </w:r>
      <w:r>
        <w:t>compounding the hardship already experienced: '</w:t>
      </w:r>
      <w:r>
        <w:rPr>
          <w:i/>
        </w:rPr>
        <w:t>There's a cost of it [retirement savings] disappearing now. The long-term compounding interest and growth…You're already in poverty. You're already struggling severely in order to even have that money paid out to you. And then because of the lure of online gambling, it's gone.’</w:t>
      </w:r>
    </w:p>
    <w:p w14:paraId="4E335292" w14:textId="77777777" w:rsidR="00DB689D" w:rsidRDefault="00310A10" w:rsidP="00367A8D">
      <w:pPr>
        <w:spacing w:before="240" w:after="240" w:line="360" w:lineRule="auto"/>
      </w:pPr>
      <w:r>
        <w:t>The process of undertaking a KiwiSaver hardship application also places a substantial burden on social services, with one mentor noting, '</w:t>
      </w:r>
      <w:r>
        <w:rPr>
          <w:i/>
        </w:rPr>
        <w:t xml:space="preserve">KiwiSaver hardship applications take up a lot of financial mentors’ time, which is a cost to our sector, volunteer hours, as well as MSD [Ministry of Social Development] funding.' </w:t>
      </w:r>
      <w:r>
        <w:t>This was echoed by a financial service manager who reported that financial mentors spend up to half of their work time on KiwiSaver hardship applications with their clients.</w:t>
      </w:r>
    </w:p>
    <w:p w14:paraId="21F39870" w14:textId="77777777" w:rsidR="00DB689D" w:rsidRDefault="00310A10" w:rsidP="00367A8D">
      <w:pPr>
        <w:pStyle w:val="Heading4"/>
        <w:keepNext w:val="0"/>
        <w:keepLines w:val="0"/>
        <w:spacing w:after="40" w:line="360" w:lineRule="auto"/>
      </w:pPr>
      <w:bookmarkStart w:id="254" w:name="_din55xxnfh2e" w:colFirst="0" w:colLast="0"/>
      <w:bookmarkStart w:id="255" w:name="_Hlk201925278"/>
      <w:bookmarkEnd w:id="254"/>
      <w:r>
        <w:t>Bankruptcy alternatives</w:t>
      </w:r>
    </w:p>
    <w:bookmarkEnd w:id="255"/>
    <w:p w14:paraId="192BBBA9" w14:textId="581C3BE2" w:rsidR="00DB689D" w:rsidRDefault="00310A10" w:rsidP="00367A8D">
      <w:pPr>
        <w:spacing w:before="240" w:after="240" w:line="360" w:lineRule="auto"/>
        <w:rPr>
          <w:i/>
        </w:rPr>
      </w:pPr>
      <w:r>
        <w:t>Bankruptcy, while technically available, was described as an option to be avoided whenever possible. Financial mentors reported spending considerable time explaining the implications of bankruptcy to clients, especially in cases where bankruptcy was seen as the only option in managing their debts. '</w:t>
      </w:r>
      <w:r>
        <w:rPr>
          <w:i/>
        </w:rPr>
        <w:t xml:space="preserve">We haven't helped anyone go through bankruptcy. We always try and find other ways. </w:t>
      </w:r>
      <w:r w:rsidR="003460FB">
        <w:rPr>
          <w:i/>
        </w:rPr>
        <w:t>So,</w:t>
      </w:r>
      <w:r>
        <w:rPr>
          <w:i/>
        </w:rPr>
        <w:t xml:space="preserve"> if they come to us and say, 'I want to go bankrupt,' we spend a lot of time telling them, 'This is the consequence of that.' No credit, on file, for the public, can affect you for a long time.' </w:t>
      </w:r>
      <w:r>
        <w:t>Bankruptcy is also a last resort due to the impact on affected others: '</w:t>
      </w:r>
      <w:r>
        <w:rPr>
          <w:i/>
        </w:rPr>
        <w:t xml:space="preserve">The majority of partnerships…have joint debt…Does it mean that the other person has to go into bankruptcy as well? </w:t>
      </w:r>
      <w:r w:rsidR="003460FB">
        <w:rPr>
          <w:i/>
        </w:rPr>
        <w:t>So,</w:t>
      </w:r>
      <w:r>
        <w:rPr>
          <w:i/>
        </w:rPr>
        <w:t xml:space="preserve"> there's definitely consequences. There's another person in the picture; it's not just the gambler.’</w:t>
      </w:r>
    </w:p>
    <w:p w14:paraId="3DCAF3FF" w14:textId="77777777" w:rsidR="00DB689D" w:rsidRDefault="00310A10" w:rsidP="00367A8D">
      <w:pPr>
        <w:spacing w:before="240" w:after="240" w:line="360" w:lineRule="auto"/>
        <w:rPr>
          <w:i/>
        </w:rPr>
      </w:pPr>
      <w:r>
        <w:t>Instead, clients were typically steered towards debt repayment orders (DROs) or no-asset procedures (NAPs), though these too came with risks. '</w:t>
      </w:r>
      <w:r>
        <w:rPr>
          <w:i/>
        </w:rPr>
        <w:t xml:space="preserve">You can only go through [NAPs] once. So, if someone did that early without having addressed the gambling problem... it wouldn't be available [again].' </w:t>
      </w:r>
      <w:r>
        <w:t>One expert explained that there seem to be more financial options in New Zealand for those experiencing hardship. '</w:t>
      </w:r>
      <w:r>
        <w:rPr>
          <w:i/>
        </w:rPr>
        <w:t>Creditors in Australia quite aggressively initiate bankruptcy more often. I have no idea why they haven't started doing this in our neck of the woods and I hope it doesn't start.’</w:t>
      </w:r>
    </w:p>
    <w:p w14:paraId="2DFF60EB" w14:textId="77777777" w:rsidR="00DB689D" w:rsidRDefault="00310A10" w:rsidP="00367A8D">
      <w:pPr>
        <w:spacing w:before="240" w:after="240" w:line="360" w:lineRule="auto"/>
        <w:rPr>
          <w:i/>
        </w:rPr>
      </w:pPr>
      <w:r>
        <w:t>However, experts highlighted that, even when steered towards options other than bankruptcy, the financial exclusion consequences had long-term economic costs for individuals. One expert talked about the surge in interest in NAPs they had seen in their practice due to it being touted on social media as an easy way to get rid of consumer debt: '</w:t>
      </w:r>
      <w:r>
        <w:rPr>
          <w:i/>
        </w:rPr>
        <w:t xml:space="preserve">Over the last four years, people are far more aware of what a no asset procedure is based on what is being trolled through social media and encouraged…It's sold as an easy option. In reality, it has all these flow-on effects down the road, but via social media, it's seen as, oh, you've got these debts, just wipe them by doing this easy thing, and then you can go about your life on TikTok.' </w:t>
      </w:r>
      <w:r>
        <w:t>The impact of NAPs and DROs, whether from gambling or other debts, were explained by one financial mentor, '</w:t>
      </w:r>
      <w:r>
        <w:rPr>
          <w:i/>
        </w:rPr>
        <w:t>You'll have issues. You probably will have to pay more for rent because you won't be able to get a cheap rental because your credit check. Likewise with power, you're probably more likely to have to get prepaid power…or go with your least preferred provider and so on.’</w:t>
      </w:r>
    </w:p>
    <w:p w14:paraId="3935E4B3" w14:textId="77777777" w:rsidR="00DB689D" w:rsidRDefault="00310A10" w:rsidP="00367A8D">
      <w:pPr>
        <w:spacing w:before="240" w:after="240" w:line="360" w:lineRule="auto"/>
        <w:rPr>
          <w:i/>
        </w:rPr>
      </w:pPr>
      <w:r>
        <w:t>Experts also expressed frustration at the loans that were offered to people experiencing harm from gambling, and the escalating debt this created. Experts explained that the loan providers see gambling '</w:t>
      </w:r>
      <w:r>
        <w:rPr>
          <w:i/>
        </w:rPr>
        <w:t xml:space="preserve">As a discretionary cost, that someone will just stop. Sort of the same as smokes. Often the creditors will say, well, technically, someone can quit smoking. So, we're assuming it will be affordable because they'll just quit smoking tomorrow when they get the loan.' </w:t>
      </w:r>
      <w:r>
        <w:t>Experts saw this as an extension of the common rhetoric that gambling is a choice, not an addiction:</w:t>
      </w:r>
      <w:r>
        <w:rPr>
          <w:i/>
        </w:rPr>
        <w:t xml:space="preserve"> 'You can quite often hear, well, if you want to feed your family, stop gambling, as though it's an active choice.' </w:t>
      </w:r>
      <w:r>
        <w:t>One expert recounted a story of spiralling loan debt due to chasing losses</w:t>
      </w:r>
      <w:r>
        <w:rPr>
          <w:i/>
        </w:rPr>
        <w:t>. 'If they've lost $10,000 in gambling, they'll try and go and get a loan for $10,000 because they think they can win it back…I had one person that got the small business cash flow loan through IRD that lost it all in gambling and then went and got more debt to try and repay that debt. And he ended up being about 45 grand in debt.’</w:t>
      </w:r>
    </w:p>
    <w:p w14:paraId="63936BE2" w14:textId="77777777" w:rsidR="00DB689D" w:rsidRDefault="00310A10" w:rsidP="00C30E1A">
      <w:pPr>
        <w:pStyle w:val="Heading3"/>
      </w:pPr>
      <w:bookmarkStart w:id="256" w:name="_688c4s29atca" w:colFirst="0" w:colLast="0"/>
      <w:bookmarkStart w:id="257" w:name="_Toc201572415"/>
      <w:bookmarkStart w:id="258" w:name="_Toc207195933"/>
      <w:bookmarkStart w:id="259" w:name="_Hlk201925279"/>
      <w:bookmarkEnd w:id="256"/>
      <w:r>
        <w:t>Theme 8. Cultural costs</w:t>
      </w:r>
      <w:bookmarkEnd w:id="257"/>
      <w:bookmarkEnd w:id="258"/>
    </w:p>
    <w:p w14:paraId="299EBA89" w14:textId="77777777" w:rsidR="00DB689D" w:rsidRDefault="00310A10" w:rsidP="00367A8D">
      <w:pPr>
        <w:pStyle w:val="Heading4"/>
        <w:keepNext w:val="0"/>
        <w:keepLines w:val="0"/>
        <w:spacing w:after="40" w:line="360" w:lineRule="auto"/>
      </w:pPr>
      <w:bookmarkStart w:id="260" w:name="_nusaebabvl3n" w:colFirst="0" w:colLast="0"/>
      <w:bookmarkStart w:id="261" w:name="_Hlk201925280"/>
      <w:bookmarkEnd w:id="259"/>
      <w:bookmarkEnd w:id="260"/>
      <w:r>
        <w:t>An unequal partnership</w:t>
      </w:r>
    </w:p>
    <w:bookmarkEnd w:id="261"/>
    <w:p w14:paraId="4966CFCB" w14:textId="751DAD75" w:rsidR="00DB689D" w:rsidRDefault="00310A10" w:rsidP="00367A8D">
      <w:pPr>
        <w:spacing w:before="240" w:after="240" w:line="360" w:lineRule="auto"/>
        <w:rPr>
          <w:i/>
        </w:rPr>
      </w:pPr>
      <w:r>
        <w:t xml:space="preserve">Experts, both in mainstream services and </w:t>
      </w:r>
      <w:r w:rsidR="00AB42DD">
        <w:t>Kaupapa</w:t>
      </w:r>
      <w:r>
        <w:t xml:space="preserve"> Māori organisations, felt that gambling harm in Māori communities carries profound cultural costs. Some described these costs as stemming from ongoing structural inequities and the legacy of colonisation: '</w:t>
      </w:r>
      <w:r>
        <w:rPr>
          <w:i/>
        </w:rPr>
        <w:t xml:space="preserve">The issue is broader than just the gambling; the gambling is just really a manifestation of colonialism.' </w:t>
      </w:r>
      <w:r>
        <w:t>Several experts emphasised that Māori are not equal partners in gambling policy, governance, or funding decisions, despite being disproportionately affected by gambling harm. As one participant explained, '</w:t>
      </w:r>
      <w:r>
        <w:rPr>
          <w:i/>
        </w:rPr>
        <w:t xml:space="preserve">Within the Class Four gambling, there's 32 societies. And there's only one that I can pick up that has a Māori governance board... so that just tells me that Māori are not in control.' </w:t>
      </w:r>
      <w:r>
        <w:t>This lack of structural representation was described as creating a disconnect between who participates in gambling and who makes decisions: '</w:t>
      </w:r>
      <w:r>
        <w:rPr>
          <w:i/>
        </w:rPr>
        <w:t xml:space="preserve">I don't feel like from a </w:t>
      </w:r>
      <w:r w:rsidR="00EB3ED3">
        <w:rPr>
          <w:i/>
        </w:rPr>
        <w:t xml:space="preserve">Te </w:t>
      </w:r>
      <w:r>
        <w:rPr>
          <w:i/>
        </w:rPr>
        <w:t>Tiriti o Waitangi perspective, that Māori have ownership over their rights to participate as an equal partner with the Crown, with the government, over access to gambling products, decisions over opening and closing venues, decisions over how money is distributed.’</w:t>
      </w:r>
    </w:p>
    <w:p w14:paraId="083E772A" w14:textId="6284E414" w:rsidR="00DB689D" w:rsidRDefault="00310A10" w:rsidP="00367A8D">
      <w:pPr>
        <w:spacing w:before="240" w:after="240" w:line="360" w:lineRule="auto"/>
        <w:rPr>
          <w:i/>
        </w:rPr>
      </w:pPr>
      <w:r>
        <w:t xml:space="preserve">Experts talked about Māori communities navigating a double bind. On one hand, Māori promote gambling within their own communities, such as housie and bingo, driven by the need to fundraise for collective </w:t>
      </w:r>
      <w:r w:rsidR="006A1508">
        <w:t>Kaupapa</w:t>
      </w:r>
      <w:r>
        <w:t xml:space="preserve"> in the face of persistent resource scarcity: '</w:t>
      </w:r>
      <w:r>
        <w:rPr>
          <w:i/>
        </w:rPr>
        <w:t xml:space="preserve">We’re always fundraising for something...There’s always a </w:t>
      </w:r>
      <w:r w:rsidR="006A1508">
        <w:rPr>
          <w:i/>
        </w:rPr>
        <w:t>Kaupapa</w:t>
      </w:r>
      <w:r>
        <w:rPr>
          <w:i/>
        </w:rPr>
        <w:t xml:space="preserve"> that Māori are involved in that needs money and we’re resource poor.' </w:t>
      </w:r>
      <w:r>
        <w:t>On the other hand, as described above, Māori communities’ ability to influence gambling-related decision-making or to shape how harm is addressed remains extremely limited: '</w:t>
      </w:r>
      <w:r>
        <w:rPr>
          <w:i/>
        </w:rPr>
        <w:t>As Te Ao Māori, I don't think we're cognisant of how we're missing from participating…Twenty-two years past [when] the Gambling Act was introduced and we're still in the same situation.’</w:t>
      </w:r>
    </w:p>
    <w:p w14:paraId="5F6E469F" w14:textId="77777777" w:rsidR="00DB689D" w:rsidRDefault="00310A10" w:rsidP="00367A8D">
      <w:pPr>
        <w:pStyle w:val="Heading4"/>
        <w:keepNext w:val="0"/>
        <w:keepLines w:val="0"/>
        <w:spacing w:after="40" w:line="360" w:lineRule="auto"/>
      </w:pPr>
      <w:bookmarkStart w:id="262" w:name="_mte1kh9ubb2k" w:colFirst="0" w:colLast="0"/>
      <w:bookmarkStart w:id="263" w:name="_Hlk201925281"/>
      <w:bookmarkEnd w:id="262"/>
      <w:r>
        <w:t>Normalisation of gambling</w:t>
      </w:r>
    </w:p>
    <w:bookmarkEnd w:id="263"/>
    <w:p w14:paraId="24981CBA" w14:textId="77777777" w:rsidR="00DB689D" w:rsidRDefault="00310A10" w:rsidP="00367A8D">
      <w:pPr>
        <w:spacing w:before="240" w:after="240" w:line="360" w:lineRule="auto"/>
      </w:pPr>
      <w:r>
        <w:t>Experts described the relationship with gambling as being deeply embedded in many whānau and communities, to the point of normalisation: '</w:t>
      </w:r>
      <w:r>
        <w:rPr>
          <w:i/>
        </w:rPr>
        <w:t xml:space="preserve">A lot of [my clients] will say that gambling has been normal in the family… Dad gambles, it might be horses, it might be pokies, it might be bingo… so children then pick up on those behaviours.' </w:t>
      </w:r>
      <w:r>
        <w:t>Gambling has been woven into social gatherings and community life, such as housie or informal card games, which may have once had a cultural place but now blur into more harmful forms of commercial gambling. One expert reflected on how her own experience growing up in a gambling household felt normal until she began working in harm prevention and recognised the costs of gambling to families.</w:t>
      </w:r>
    </w:p>
    <w:p w14:paraId="7A92D2AD" w14:textId="77777777" w:rsidR="00DB689D" w:rsidRDefault="00310A10" w:rsidP="00367A8D">
      <w:pPr>
        <w:spacing w:before="240" w:after="240" w:line="360" w:lineRule="auto"/>
      </w:pPr>
      <w:r>
        <w:t>The normalisation of gambling within some Māori communities has obscured the fact that these behaviours may be symptomatic of much deeper trauma: '</w:t>
      </w:r>
      <w:r>
        <w:rPr>
          <w:i/>
        </w:rPr>
        <w:t xml:space="preserve">I suppose the social cost [of gambling] is quite huge to Māori because it's not who we actually are but, really, all that it comes down to, again, is just all the trauma,' </w:t>
      </w:r>
      <w:r>
        <w:t>one participant shared, referring to the intergenerational harm caused by colonisation, systemic exclusion, and socioeconomic marginalisation. The presence of gambling in Māori communities was described by one expert as not an expression of cultural identity but rather a survival strategy in a society that fails to meet the needs of its Indigenous peoples.</w:t>
      </w:r>
    </w:p>
    <w:p w14:paraId="1CD9B324" w14:textId="77777777" w:rsidR="00596350" w:rsidRDefault="00596350" w:rsidP="00367A8D">
      <w:pPr>
        <w:spacing w:before="240" w:after="240" w:line="360" w:lineRule="auto"/>
      </w:pPr>
    </w:p>
    <w:p w14:paraId="61BDDC37" w14:textId="77777777" w:rsidR="00596350" w:rsidRDefault="00596350" w:rsidP="00367A8D">
      <w:pPr>
        <w:spacing w:before="240" w:after="240" w:line="360" w:lineRule="auto"/>
      </w:pPr>
    </w:p>
    <w:p w14:paraId="6DA91F25" w14:textId="77777777" w:rsidR="00DB689D" w:rsidRDefault="00310A10" w:rsidP="00C30E1A">
      <w:pPr>
        <w:pStyle w:val="Heading3"/>
      </w:pPr>
      <w:bookmarkStart w:id="264" w:name="_q2eng5g24dmo" w:colFirst="0" w:colLast="0"/>
      <w:bookmarkStart w:id="265" w:name="_Toc201572416"/>
      <w:bookmarkStart w:id="266" w:name="_Toc207195934"/>
      <w:bookmarkStart w:id="267" w:name="_Hlk201925282"/>
      <w:bookmarkEnd w:id="264"/>
      <w:r>
        <w:t>Theme 9. Low-risk gambling paradox</w:t>
      </w:r>
      <w:bookmarkEnd w:id="265"/>
      <w:bookmarkEnd w:id="266"/>
    </w:p>
    <w:bookmarkEnd w:id="267"/>
    <w:p w14:paraId="0C1CC8A7" w14:textId="74DEBF4A" w:rsidR="00DB689D" w:rsidRDefault="00310A10" w:rsidP="00367A8D">
      <w:pPr>
        <w:spacing w:before="240" w:after="240" w:line="360" w:lineRule="auto"/>
        <w:rPr>
          <w:i/>
        </w:rPr>
      </w:pPr>
      <w:r>
        <w:t>During the consultations, experts were asked why they believe some people who gamble experience significant harm, despite being categorised as ‘</w:t>
      </w:r>
      <w:r w:rsidR="003460FB">
        <w:t>low risk</w:t>
      </w:r>
      <w:r>
        <w:t>’ gambling. Overwhelmingly, experts described low-risk gambling as being problematic for those already living with financial precarity: '</w:t>
      </w:r>
      <w:r>
        <w:rPr>
          <w:i/>
        </w:rPr>
        <w:t xml:space="preserve">If you're starting at a financial position that's disadvantaged then the impact - even if your severity or risk is very low - is still quite significant. And if you're already disadvantaged, you're maybe without the resources psychologically, emotionally, socially, then it's even worse.' </w:t>
      </w:r>
      <w:r>
        <w:t>Experts highlighted how even relatively small amounts of gambling can have radically different consequences depending on the person’s financial position. '</w:t>
      </w:r>
      <w:r>
        <w:rPr>
          <w:i/>
        </w:rPr>
        <w:t xml:space="preserve">One person can afford to walk away, the other person can't afford to lose that 20 bucks…So in terms of cost to the community, that losing of $20 means that you need to go back to the food bank that week. As opposed to someone else that lost $20 means that the holiday account wouldn't go up by $20 that week.' </w:t>
      </w:r>
      <w:r>
        <w:t>This sentiment was echoed by another expert when comparing two clients.</w:t>
      </w:r>
      <w:r>
        <w:rPr>
          <w:i/>
        </w:rPr>
        <w:t xml:space="preserve"> 'The client at this end of the continuum has spent a huge amount of money but has not hit rock bottom. Whereas for this couple, after exhausting family resources, which would probably have been low, then has resorted to theft from the employer, which then resulted in the loss of job, which resulted in having an [criminal] offense.’</w:t>
      </w:r>
    </w:p>
    <w:p w14:paraId="474A6C09" w14:textId="77777777" w:rsidR="00DB689D" w:rsidRDefault="00310A10" w:rsidP="00367A8D">
      <w:pPr>
        <w:spacing w:before="240" w:after="240" w:line="360" w:lineRule="auto"/>
        <w:rPr>
          <w:i/>
        </w:rPr>
      </w:pPr>
      <w:r>
        <w:t>This domino effect of costs associated with even low-risk gambling was seen sometimes immediately in very vulnerable individuals: '</w:t>
      </w:r>
      <w:r>
        <w:rPr>
          <w:i/>
        </w:rPr>
        <w:t xml:space="preserve">Even just spending more than you can afford once could be enough… you could lose your rent… now the car doesn’t have gas to go to work.' </w:t>
      </w:r>
      <w:r>
        <w:t>This underscores that severity of impact is not just about how much is lost, but who is losing it and how much they suffer as a result. Gambling harm, even at the so-called low-risk level, is relational, contextual, and deeply unequal. This understanding was summed up by one expert who described low-risk gambling as the '</w:t>
      </w:r>
      <w:r>
        <w:rPr>
          <w:i/>
        </w:rPr>
        <w:t>straw that breaks the camel's back.’</w:t>
      </w:r>
    </w:p>
    <w:p w14:paraId="0D1F660C" w14:textId="77777777" w:rsidR="00DB689D" w:rsidRDefault="00310A10" w:rsidP="00367A8D">
      <w:pPr>
        <w:spacing w:before="240" w:after="240" w:line="360" w:lineRule="auto"/>
      </w:pPr>
      <w:r>
        <w:t>The harm of low-risk gambling to relationships was described by many experts as being compounded by its hidden nature. Experts noted that people who gamble may not appear to be in crisis, yet the early signs, such as secrecy, deception, and financial juggling, can rapidly erode trust and relationships. One participant explained, '</w:t>
      </w:r>
      <w:r>
        <w:rPr>
          <w:i/>
        </w:rPr>
        <w:t xml:space="preserve">When you’ve got a partner who is only spending $550 to $1,000, but they’re not telling you about it and it’s your shared money… the trust is gone… the hurt is too much.' </w:t>
      </w:r>
      <w:r>
        <w:t>These relational fractures occur well before someone meets clinical thresholds for problem gambling but carry profound emotional and practical costs.</w:t>
      </w:r>
    </w:p>
    <w:p w14:paraId="089A867F" w14:textId="77777777" w:rsidR="00DB689D" w:rsidRDefault="00310A10" w:rsidP="00367A8D">
      <w:pPr>
        <w:spacing w:before="240" w:after="240" w:line="360" w:lineRule="auto"/>
      </w:pPr>
      <w:r>
        <w:t>Experts also highlighted that the public and policy narrative around gambling often ignores this low-risk paradox. '</w:t>
      </w:r>
      <w:r>
        <w:rPr>
          <w:i/>
        </w:rPr>
        <w:t xml:space="preserve">We focus on the disordered [gambler]… but it’s too late once they’re disordered… it’s very, very hard [to come back].' </w:t>
      </w:r>
      <w:r>
        <w:t>Instead, experts urged for these seemingly small early-stage harms to be taken seriously, especially for vulnerable groups.</w:t>
      </w:r>
    </w:p>
    <w:p w14:paraId="2B266917" w14:textId="77777777" w:rsidR="00DB689D" w:rsidRDefault="00310A10" w:rsidP="00C30E1A">
      <w:pPr>
        <w:pStyle w:val="Heading3"/>
      </w:pPr>
      <w:bookmarkStart w:id="268" w:name="_p17oeg39y9pu" w:colFirst="0" w:colLast="0"/>
      <w:bookmarkStart w:id="269" w:name="_Toc201572417"/>
      <w:bookmarkStart w:id="270" w:name="_Toc207195935"/>
      <w:bookmarkStart w:id="271" w:name="_Hlk201925283"/>
      <w:bookmarkEnd w:id="268"/>
      <w:r>
        <w:t>Theme 10. Expert recommendations to reduce the costs of gambling harm</w:t>
      </w:r>
      <w:bookmarkEnd w:id="269"/>
      <w:bookmarkEnd w:id="270"/>
    </w:p>
    <w:bookmarkEnd w:id="271"/>
    <w:p w14:paraId="7B9A5E9C" w14:textId="456751DF" w:rsidR="00DB689D" w:rsidRDefault="00310A10" w:rsidP="00367A8D">
      <w:pPr>
        <w:spacing w:before="240" w:after="240" w:line="360" w:lineRule="auto"/>
        <w:rPr>
          <w:i/>
        </w:rPr>
      </w:pPr>
      <w:r>
        <w:t xml:space="preserve">At the conclusion of each expert consultation, participants were asked, </w:t>
      </w:r>
      <w:r w:rsidR="00C15A16">
        <w:t>‘</w:t>
      </w:r>
      <w:r>
        <w:t>If you had a magic wand or were in charge of the government for the day, what would you do to reduce the costs of gambling to New Zealand?</w:t>
      </w:r>
      <w:r w:rsidR="00C15A16">
        <w:t>’</w:t>
      </w:r>
      <w:r>
        <w:t xml:space="preserve"> A central theme that emerged was the need for equitable redistribution of gambling-derived community funds. One expert explained</w:t>
      </w:r>
      <w:r>
        <w:rPr>
          <w:i/>
        </w:rPr>
        <w:t xml:space="preserve">, 'Rather than money being extracted from areas where Māori live, in high to medium deprivation areas, I want that community funding model to return the same amount back to those communities.' </w:t>
      </w:r>
      <w:r>
        <w:t>This demand for justice in the flow of gambling industry profits was paired with a broader call for Māori tino rangatiratanga, including legislative change to ensure Māori are equal partners in gambling governance, not just token representatives: '</w:t>
      </w:r>
      <w:r>
        <w:rPr>
          <w:i/>
        </w:rPr>
        <w:t>It's actually not just about having somebody [participating in decisions] who's Māori, who has whakapapa to Māori…It's more about having Māori who 'think' Māori, who think about what is best for the collective.’</w:t>
      </w:r>
    </w:p>
    <w:p w14:paraId="6C2C7CE8" w14:textId="77777777" w:rsidR="00DB689D" w:rsidRDefault="00310A10" w:rsidP="00367A8D">
      <w:pPr>
        <w:spacing w:before="240" w:after="240" w:line="360" w:lineRule="auto"/>
        <w:rPr>
          <w:i/>
        </w:rPr>
      </w:pPr>
      <w:r>
        <w:t>Regulatory reform also featured prominently in experts’ recommendations. Participants advocated for mandatory nationwide facial recognition technology in all gambling venues to strengthen the effectiveness of self-exclusion. Current limitations, such as limits on how many venues one can self-exclude from, were seen as loopholes that erode public trust: '</w:t>
      </w:r>
      <w:r>
        <w:rPr>
          <w:i/>
        </w:rPr>
        <w:t xml:space="preserve">Are we overcomplicating things? What is the ultimate goal? It’s to make people whole.' </w:t>
      </w:r>
      <w:r>
        <w:t>Stronger enforcement of host-responsibility laws was another priority, with one expert expressing exasperation at the '</w:t>
      </w:r>
      <w:r>
        <w:rPr>
          <w:i/>
        </w:rPr>
        <w:t xml:space="preserve">low-level cost' </w:t>
      </w:r>
      <w:r>
        <w:t>for non-compliance, citing the experience of SkyCity Casino: '</w:t>
      </w:r>
      <w:r>
        <w:rPr>
          <w:i/>
        </w:rPr>
        <w:t xml:space="preserve">After a decade of money laundering and God knows what else, which was deliberate…they stood down for five days.' </w:t>
      </w:r>
      <w:r>
        <w:t>Some suggested that if a venue is found to be non-compliant, all EGMs owned by that gaming society or organisation should be shut down for a period, '</w:t>
      </w:r>
      <w:r>
        <w:rPr>
          <w:i/>
        </w:rPr>
        <w:t>Sending a very, very strong message to those societies that they must comply.’</w:t>
      </w:r>
    </w:p>
    <w:p w14:paraId="01C0C240" w14:textId="77777777" w:rsidR="00DB689D" w:rsidRDefault="00310A10" w:rsidP="00367A8D">
      <w:pPr>
        <w:spacing w:before="240" w:after="240" w:line="360" w:lineRule="auto"/>
      </w:pPr>
      <w:r>
        <w:t>Many experts called for structural changes in gambling products and reduced availability, particularly around EGMs and online gambling. One expert suggested the government should '</w:t>
      </w:r>
      <w:r>
        <w:rPr>
          <w:i/>
        </w:rPr>
        <w:t>slow them down’,</w:t>
      </w:r>
      <w:r>
        <w:t xml:space="preserve"> referring to the speed of play of EGMs. Another suggested '</w:t>
      </w:r>
      <w:r>
        <w:rPr>
          <w:i/>
        </w:rPr>
        <w:t xml:space="preserve">Some kind of legislation that could be brought in around the foreign shore gambling sites…get rid of it.' </w:t>
      </w:r>
      <w:r>
        <w:t xml:space="preserve">The exasperation of the experts with the harm caused by online gambling and the lack of government accountability was palpable, with experts repeatedly expressing the sentiment that online gambling was 'not right' and a cause of 'real alarm' in the sector. </w:t>
      </w:r>
    </w:p>
    <w:p w14:paraId="5AE8CF5D" w14:textId="77777777" w:rsidR="00DB689D" w:rsidRDefault="00310A10" w:rsidP="00367A8D">
      <w:pPr>
        <w:spacing w:before="240" w:after="240" w:line="360" w:lineRule="auto"/>
        <w:rPr>
          <w:i/>
        </w:rPr>
      </w:pPr>
      <w:r>
        <w:t>Many highlighted the normalisation of gambling harm, drawing parallels with alcohol's misuse in New Zealand: '</w:t>
      </w:r>
      <w:r>
        <w:rPr>
          <w:i/>
        </w:rPr>
        <w:t xml:space="preserve">Problem gambling is more common than responsible gambling.' </w:t>
      </w:r>
      <w:r>
        <w:t>Several experts pointed to the glut of gambling advertising as contributing to this normalisation: '</w:t>
      </w:r>
      <w:r>
        <w:rPr>
          <w:i/>
        </w:rPr>
        <w:t xml:space="preserve">You can’t look out of a school without seeing an ad for horse betting.' </w:t>
      </w:r>
      <w:r>
        <w:t>Some called for stricter controls on gambling advertising or total bans, similar to those imposed on tobacco. These expert suggestions included government regulations to curb online gambling advertising on social media and the convergence of gambling and gaming, with one expert saying, '</w:t>
      </w:r>
      <w:r>
        <w:rPr>
          <w:i/>
        </w:rPr>
        <w:t xml:space="preserve">They're targeting my mokopuna… a four-year-old playing a barnyard game…and out pops a loot box.' </w:t>
      </w:r>
      <w:r>
        <w:t>Many experts spotlighted the imbalance in promotional power, describing how gambling operators outspend public health efforts exponentially</w:t>
      </w:r>
      <w:r>
        <w:rPr>
          <w:i/>
        </w:rPr>
        <w:t>: 'They have budgets that blow our entire national budget out of the water.’</w:t>
      </w:r>
    </w:p>
    <w:p w14:paraId="306812E2" w14:textId="05621C19" w:rsidR="00DB689D" w:rsidRDefault="00310A10" w:rsidP="00367A8D">
      <w:pPr>
        <w:spacing w:before="240" w:after="240" w:line="360" w:lineRule="auto"/>
      </w:pPr>
      <w:r>
        <w:t>Cross-sector accountability was another repeated recommendation from experts. Participants urged for mandatory screening for gambling harm across GPs, police, social services, and financial institutions: '</w:t>
      </w:r>
      <w:r>
        <w:rPr>
          <w:i/>
        </w:rPr>
        <w:t xml:space="preserve">If doctors ask about smoking, why not gambling?' </w:t>
      </w:r>
      <w:r>
        <w:t>Others described missed opportunities to catch harm earlier: '</w:t>
      </w:r>
      <w:r>
        <w:rPr>
          <w:i/>
        </w:rPr>
        <w:t xml:space="preserve">They're not asking questions about gambling, so gambling is not recorded as a cause [of </w:t>
      </w:r>
      <w:r w:rsidR="00675455">
        <w:rPr>
          <w:i/>
        </w:rPr>
        <w:t>harm] …</w:t>
      </w:r>
      <w:r>
        <w:rPr>
          <w:i/>
        </w:rPr>
        <w:t>The same thing happens at budgeting services…They don’t ask the question.</w:t>
      </w:r>
      <w:r>
        <w:t>’</w:t>
      </w:r>
    </w:p>
    <w:p w14:paraId="23A92864" w14:textId="77777777" w:rsidR="00DB689D" w:rsidRDefault="00310A10" w:rsidP="00657824">
      <w:pPr>
        <w:pStyle w:val="Heading2"/>
      </w:pPr>
      <w:bookmarkStart w:id="272" w:name="_ck7iy7oefaac" w:colFirst="0" w:colLast="0"/>
      <w:bookmarkStart w:id="273" w:name="_Toc201572418"/>
      <w:bookmarkStart w:id="274" w:name="_Toc207195936"/>
      <w:bookmarkEnd w:id="272"/>
      <w:r>
        <w:t>Conclusions</w:t>
      </w:r>
      <w:bookmarkEnd w:id="273"/>
      <w:bookmarkEnd w:id="274"/>
    </w:p>
    <w:p w14:paraId="2B7F5853" w14:textId="77777777" w:rsidR="00DB689D" w:rsidRDefault="00310A10" w:rsidP="00367A8D">
      <w:pPr>
        <w:spacing w:line="360" w:lineRule="auto"/>
      </w:pPr>
      <w:r>
        <w:t>The Community Consultations provided contextual information that complements and informs the quantitative analysis presented in this report. Key points from these discussions indicate the pervasive nature of gambling harm in New Zealand and highlight several areas that have direct implications for understanding its economic and social costs.</w:t>
      </w:r>
    </w:p>
    <w:p w14:paraId="4F6C3361" w14:textId="77777777" w:rsidR="00DB689D" w:rsidRDefault="00DB689D" w:rsidP="00367A8D">
      <w:pPr>
        <w:spacing w:line="360" w:lineRule="auto"/>
      </w:pPr>
    </w:p>
    <w:p w14:paraId="04FBF82B" w14:textId="0E39F069" w:rsidR="00DB689D" w:rsidRDefault="00310A10" w:rsidP="00367A8D">
      <w:pPr>
        <w:spacing w:line="360" w:lineRule="auto"/>
      </w:pPr>
      <w:r>
        <w:t>Professionals on the front lines consistently identified offshore online EGMs and casino games</w:t>
      </w:r>
      <w:r w:rsidR="00E37626">
        <w:t xml:space="preserve">, and bricks and mortar EGMs, </w:t>
      </w:r>
      <w:r>
        <w:t>as the predominant sources of harm</w:t>
      </w:r>
      <w:r w:rsidR="00E37626">
        <w:t xml:space="preserve">. This </w:t>
      </w:r>
      <w:r>
        <w:t>aligns with emerging quantitative evidence. The consultations also indicated the significant issue of underreporting, both in terms of individuals seeking help for financial distress due to gambling and the largely hidden nature of gambling-related crime, such as theft from family and friends. This suggests that official statistics may not capture the full extent of these problems.</w:t>
      </w:r>
    </w:p>
    <w:p w14:paraId="516C3AA0" w14:textId="77777777" w:rsidR="00DB689D" w:rsidRDefault="00DB689D" w:rsidP="00367A8D">
      <w:pPr>
        <w:spacing w:line="360" w:lineRule="auto"/>
      </w:pPr>
    </w:p>
    <w:p w14:paraId="4011DE06" w14:textId="77777777" w:rsidR="00DB689D" w:rsidRDefault="00310A10" w:rsidP="00367A8D">
      <w:pPr>
        <w:spacing w:line="360" w:lineRule="auto"/>
      </w:pPr>
      <w:r>
        <w:t>Furthermore, the discussions confirmed the productivity losses associated with gambling harm, affecting not only those who gamble but also their whānau and support networks. Participants generally validated the proposed average loss figures per person, though some treatment providers felt these might be conservative. The consultations also provided understanding of the 'low-risk gambling paradox’, explaining how even small financial losses can trigger severe harms for individuals and families already living with financial precarity. The erosion of trust due to secrecy and deception, even at lower levels of gambling involvement, was identified as a significant driver of severe relational harms like divorce.</w:t>
      </w:r>
    </w:p>
    <w:p w14:paraId="087F541D" w14:textId="77777777" w:rsidR="00DB689D" w:rsidRDefault="00DB689D" w:rsidP="00367A8D">
      <w:pPr>
        <w:spacing w:line="360" w:lineRule="auto"/>
      </w:pPr>
    </w:p>
    <w:p w14:paraId="17CA9E66" w14:textId="0879A666" w:rsidR="00DB689D" w:rsidRDefault="00156462" w:rsidP="00367A8D">
      <w:pPr>
        <w:spacing w:line="360" w:lineRule="auto"/>
      </w:pPr>
      <w:r>
        <w:t>Experts overwhelmingly reporting that gambling harm was experienced at higher rates by and with more immediate consequences to marginalised communities, such as Māori, due to higher rates of poverty and trauma. The reluctance to pursue formal bankruptcy, with a preference for alternatives such as Kiwi</w:t>
      </w:r>
      <w:r w:rsidR="002A3095">
        <w:t>S</w:t>
      </w:r>
      <w:r>
        <w:t>aver hardship withdrawals, and the barriers to accessing mental health treatment due to affordability</w:t>
      </w:r>
      <w:r w:rsidR="00F30B88">
        <w:t xml:space="preserve"> and stigma</w:t>
      </w:r>
      <w:r>
        <w:t xml:space="preserve">, further show the complex coping mechanisms and systemic challenges faced.  </w:t>
      </w:r>
    </w:p>
    <w:p w14:paraId="532B7BEE" w14:textId="77777777" w:rsidR="00DB689D" w:rsidRDefault="00DB689D" w:rsidP="00367A8D">
      <w:pPr>
        <w:spacing w:line="360" w:lineRule="auto"/>
      </w:pPr>
    </w:p>
    <w:p w14:paraId="463E413D" w14:textId="05B629E9" w:rsidR="00DB689D" w:rsidRDefault="00310A10" w:rsidP="00367A8D">
      <w:pPr>
        <w:spacing w:line="360" w:lineRule="auto"/>
      </w:pPr>
      <w:r>
        <w:t>These qualitative findings were used to inform and support the cost estimations detailed in the following chapters, ensuring that the economic analysis considers the experiences and observations from the community.</w:t>
      </w:r>
      <w:r w:rsidR="00227D9B">
        <w:t xml:space="preserve"> Comment will be made in subsequent costing chapters where information from these consultations informed the analysis.</w:t>
      </w:r>
    </w:p>
    <w:p w14:paraId="5D598A97" w14:textId="77777777" w:rsidR="00DB689D" w:rsidRDefault="00DB689D" w:rsidP="00367A8D">
      <w:pPr>
        <w:spacing w:line="360" w:lineRule="auto"/>
      </w:pPr>
    </w:p>
    <w:p w14:paraId="4F269CFE" w14:textId="77777777" w:rsidR="00DB689D" w:rsidRDefault="00310A10" w:rsidP="00367A8D">
      <w:pPr>
        <w:spacing w:line="360" w:lineRule="auto"/>
      </w:pPr>
      <w:bookmarkStart w:id="275" w:name="_y9ba85vph79w" w:colFirst="0" w:colLast="0"/>
      <w:bookmarkEnd w:id="275"/>
      <w:r>
        <w:br w:type="page"/>
      </w:r>
    </w:p>
    <w:p w14:paraId="1761A9D2" w14:textId="27BCBD8B" w:rsidR="00DB689D" w:rsidRDefault="00310A10" w:rsidP="00367A8D">
      <w:pPr>
        <w:pStyle w:val="Heading1"/>
        <w:spacing w:line="360" w:lineRule="auto"/>
      </w:pPr>
      <w:bookmarkStart w:id="276" w:name="_o7jhwdqfpy49" w:colFirst="0" w:colLast="0"/>
      <w:bookmarkStart w:id="277" w:name="_Toc201572419"/>
      <w:bookmarkStart w:id="278" w:name="_Toc207195937"/>
      <w:bookmarkEnd w:id="276"/>
      <w:r>
        <w:t xml:space="preserve">Costing </w:t>
      </w:r>
      <w:r w:rsidR="006F1A3E">
        <w:t>m</w:t>
      </w:r>
      <w:r>
        <w:t>ethodology</w:t>
      </w:r>
      <w:bookmarkEnd w:id="277"/>
      <w:bookmarkEnd w:id="278"/>
    </w:p>
    <w:p w14:paraId="2775423F" w14:textId="367207F9" w:rsidR="00321DBA" w:rsidRDefault="00310A10" w:rsidP="00321DBA">
      <w:pPr>
        <w:spacing w:line="360" w:lineRule="auto"/>
      </w:pPr>
      <w:r>
        <w:t>Frameworks from prior economic costing studies, as well as gambling harm research, can be used to organise diverse cost categories into broad domains and to identify to whom the costs accrue: whether the individual who gambles, affected others, or broader groups (community, business, or government). In this chapter we will briefly introduce the organisational framework.</w:t>
      </w:r>
      <w:r w:rsidR="00321DBA">
        <w:t xml:space="preserve"> This chapter then discusses the key methodological and conceptual considerations </w:t>
      </w:r>
      <w:r w:rsidR="00227D9B">
        <w:t>regarding</w:t>
      </w:r>
      <w:r w:rsidR="00321DBA">
        <w:t xml:space="preserve"> economic costings of gambling-related harm, including excessive gambling spend as an opportunity cost; </w:t>
      </w:r>
      <w:r w:rsidR="00134B05">
        <w:t>HRQoL</w:t>
      </w:r>
      <w:r w:rsidR="00321DBA">
        <w:t xml:space="preserve">; the prevention paradox; the cost impact attributable to specific gambling forms; affected others; equity issues; causality and uncertainty; and the rates of gambling problems in New Zealand. This discussion is followed by a discussion on data sources and data considerations. </w:t>
      </w:r>
    </w:p>
    <w:p w14:paraId="18409BE4" w14:textId="48EAB1D6" w:rsidR="00DB689D" w:rsidRDefault="00310A10" w:rsidP="00657824">
      <w:pPr>
        <w:pStyle w:val="Heading2"/>
      </w:pPr>
      <w:bookmarkStart w:id="279" w:name="_rynj3e8n0gdl" w:colFirst="0" w:colLast="0"/>
      <w:bookmarkStart w:id="280" w:name="_Toc201572420"/>
      <w:bookmarkStart w:id="281" w:name="_Toc207195938"/>
      <w:bookmarkEnd w:id="279"/>
      <w:r>
        <w:t xml:space="preserve">Economic </w:t>
      </w:r>
      <w:r w:rsidR="006F1A3E">
        <w:t>c</w:t>
      </w:r>
      <w:r>
        <w:t xml:space="preserve">osting </w:t>
      </w:r>
      <w:r w:rsidR="006F1A3E">
        <w:t>f</w:t>
      </w:r>
      <w:r>
        <w:t>ramework</w:t>
      </w:r>
      <w:bookmarkEnd w:id="280"/>
      <w:bookmarkEnd w:id="281"/>
    </w:p>
    <w:p w14:paraId="01A93780" w14:textId="1D51FFB3" w:rsidR="00DB689D" w:rsidRDefault="00310A10" w:rsidP="00367A8D">
      <w:pPr>
        <w:spacing w:line="360" w:lineRule="auto"/>
      </w:pPr>
      <w:r>
        <w:t xml:space="preserve">The 'Measuring the Burden of Gambling Harm in New Zealand' report </w:t>
      </w:r>
      <w:r w:rsidR="00DB2449">
        <w:rPr>
          <w:noProof/>
          <w:color w:val="000000"/>
        </w:rPr>
        <w:t>(</w:t>
      </w:r>
      <w:r w:rsidR="002A3095">
        <w:rPr>
          <w:noProof/>
          <w:color w:val="000000"/>
        </w:rPr>
        <w:t>Browne, Greer et al., 2017</w:t>
      </w:r>
      <w:r w:rsidR="00DB2449">
        <w:rPr>
          <w:noProof/>
          <w:color w:val="000000"/>
        </w:rPr>
        <w:t>)</w:t>
      </w:r>
      <w:r>
        <w:t xml:space="preserve"> developed a comprehensive conceptual framework of gambling harm in New Zealand. This framework encompasses eight broad domains: </w:t>
      </w:r>
      <w:r>
        <w:rPr>
          <w:i/>
        </w:rPr>
        <w:t>financial harms</w:t>
      </w:r>
      <w:r>
        <w:t xml:space="preserve">; </w:t>
      </w:r>
      <w:r>
        <w:rPr>
          <w:i/>
        </w:rPr>
        <w:t>relationship disruption</w:t>
      </w:r>
      <w:r>
        <w:t xml:space="preserve">, </w:t>
      </w:r>
      <w:r>
        <w:rPr>
          <w:i/>
        </w:rPr>
        <w:t>conflict or breakdown</w:t>
      </w:r>
      <w:r>
        <w:t xml:space="preserve">; </w:t>
      </w:r>
      <w:r>
        <w:rPr>
          <w:i/>
        </w:rPr>
        <w:t>emotional or psychological distress</w:t>
      </w:r>
      <w:r>
        <w:t xml:space="preserve">; </w:t>
      </w:r>
      <w:r>
        <w:rPr>
          <w:i/>
        </w:rPr>
        <w:t>decrements to health</w:t>
      </w:r>
      <w:r>
        <w:t xml:space="preserve">; </w:t>
      </w:r>
      <w:r>
        <w:rPr>
          <w:i/>
        </w:rPr>
        <w:t>cultural harm</w:t>
      </w:r>
      <w:r>
        <w:t xml:space="preserve">; </w:t>
      </w:r>
      <w:r>
        <w:rPr>
          <w:i/>
        </w:rPr>
        <w:t>work or study impacts</w:t>
      </w:r>
      <w:r>
        <w:t xml:space="preserve">; </w:t>
      </w:r>
      <w:r>
        <w:rPr>
          <w:i/>
        </w:rPr>
        <w:t>criminal activity</w:t>
      </w:r>
      <w:r>
        <w:t xml:space="preserve">; and </w:t>
      </w:r>
      <w:r>
        <w:rPr>
          <w:i/>
        </w:rPr>
        <w:t>life course and intergenerational harms</w:t>
      </w:r>
      <w:r>
        <w:t xml:space="preserve">. These harms can be experienced as general, crisis or legacy harms, and can impact the person who gambles; affected others (including the family unit, </w:t>
      </w:r>
      <w:r w:rsidRPr="00134B05">
        <w:t>whānau</w:t>
      </w:r>
      <w:r>
        <w:t xml:space="preserve"> and others close to the person who gambles); and broader communities, as well as businesses and government.</w:t>
      </w:r>
    </w:p>
    <w:p w14:paraId="53C2C96B" w14:textId="77777777" w:rsidR="00DB689D" w:rsidRDefault="00310A10" w:rsidP="00367A8D">
      <w:pPr>
        <w:spacing w:line="360" w:lineRule="auto"/>
      </w:pPr>
      <w:r>
        <w:t xml:space="preserve"> </w:t>
      </w:r>
    </w:p>
    <w:p w14:paraId="72B5F63F" w14:textId="77F9961B" w:rsidR="00DB689D" w:rsidRDefault="00310A10" w:rsidP="00367A8D">
      <w:pPr>
        <w:spacing w:line="360" w:lineRule="auto"/>
      </w:pPr>
      <w:r>
        <w:t>Because of its comprehensive nature, this framework serves as a useful basis for an economic costing (Table</w:t>
      </w:r>
      <w:r w:rsidR="00367A8D">
        <w:t xml:space="preserve"> </w:t>
      </w:r>
      <w:r w:rsidR="00023893">
        <w:t>2</w:t>
      </w:r>
      <w:r>
        <w:t xml:space="preserve">). Two categories: </w:t>
      </w:r>
      <w:r>
        <w:rPr>
          <w:i/>
        </w:rPr>
        <w:t>emotional and psychological distress</w:t>
      </w:r>
      <w:r>
        <w:t xml:space="preserve"> and </w:t>
      </w:r>
      <w:r>
        <w:rPr>
          <w:i/>
        </w:rPr>
        <w:t>decrements to health,</w:t>
      </w:r>
      <w:r>
        <w:t xml:space="preserve"> have been combined to create a single </w:t>
      </w:r>
      <w:r>
        <w:rPr>
          <w:i/>
        </w:rPr>
        <w:t>health</w:t>
      </w:r>
      <w:r>
        <w:t xml:space="preserve"> domain that covers both physical and psychological impacts of gambling harm including the intangible impacts on HRQoL. A final category of </w:t>
      </w:r>
      <w:r>
        <w:rPr>
          <w:i/>
        </w:rPr>
        <w:t>other government or community costs</w:t>
      </w:r>
      <w:r>
        <w:t xml:space="preserve"> has also been included to cover more general costs borne by the wider community. As discussed in </w:t>
      </w:r>
      <w:r w:rsidRPr="00023893">
        <w:t xml:space="preserve">Chapter </w:t>
      </w:r>
      <w:r w:rsidRPr="00E82E05">
        <w:t>2</w:t>
      </w:r>
      <w:r>
        <w:t xml:space="preserve">, a broad range of potential impacts and costs are associated with gambling harm; however, some – particularly cultural harms and life course and generational harms – are difficult to quantify with the available evidence and have therefore not been included in this costing. </w:t>
      </w:r>
    </w:p>
    <w:p w14:paraId="3EB0B75D" w14:textId="77777777" w:rsidR="0078032A" w:rsidRDefault="0078032A" w:rsidP="00367A8D">
      <w:pPr>
        <w:spacing w:line="360" w:lineRule="auto"/>
      </w:pPr>
    </w:p>
    <w:p w14:paraId="3B8B3B9A" w14:textId="5039D5A2" w:rsidR="00367A8D" w:rsidRPr="00274583" w:rsidRDefault="0071715F" w:rsidP="00DB094D">
      <w:pPr>
        <w:pStyle w:val="Caption"/>
      </w:pPr>
      <w:r>
        <w:br/>
      </w:r>
      <w:bookmarkStart w:id="282" w:name="_Toc207619044"/>
      <w:r w:rsidR="00367A8D" w:rsidRPr="00274583">
        <w:t xml:space="preserve">Table </w:t>
      </w:r>
      <w:r w:rsidR="00367A8D" w:rsidRPr="00274583">
        <w:fldChar w:fldCharType="begin"/>
      </w:r>
      <w:r w:rsidR="00367A8D" w:rsidRPr="00274583">
        <w:instrText xml:space="preserve"> SEQ Table \* ARABIC </w:instrText>
      </w:r>
      <w:r w:rsidR="00367A8D" w:rsidRPr="00274583">
        <w:fldChar w:fldCharType="separate"/>
      </w:r>
      <w:r w:rsidR="00986A0D">
        <w:rPr>
          <w:noProof/>
        </w:rPr>
        <w:t>2</w:t>
      </w:r>
      <w:r w:rsidR="00367A8D" w:rsidRPr="00274583">
        <w:fldChar w:fldCharType="end"/>
      </w:r>
      <w:r w:rsidR="00367A8D" w:rsidRPr="00274583">
        <w:t>. Costing framework</w:t>
      </w:r>
      <w:bookmarkEnd w:id="282"/>
    </w:p>
    <w:tbl>
      <w:tblPr>
        <w:tblStyle w:val="TableGridLight"/>
        <w:tblW w:w="5000" w:type="pct"/>
        <w:tblLook w:val="0600" w:firstRow="0" w:lastRow="0" w:firstColumn="0" w:lastColumn="0" w:noHBand="1" w:noVBand="1"/>
      </w:tblPr>
      <w:tblGrid>
        <w:gridCol w:w="1902"/>
        <w:gridCol w:w="3717"/>
        <w:gridCol w:w="1222"/>
        <w:gridCol w:w="1159"/>
        <w:gridCol w:w="1317"/>
      </w:tblGrid>
      <w:tr w:rsidR="00367A8D" w:rsidRPr="00D72AD6" w14:paraId="657EABDB" w14:textId="77777777" w:rsidTr="00BF5F3D">
        <w:trPr>
          <w:trHeight w:val="20"/>
        </w:trPr>
        <w:tc>
          <w:tcPr>
            <w:tcW w:w="1020" w:type="pct"/>
            <w:shd w:val="clear" w:color="auto" w:fill="F2F2F2" w:themeFill="background1" w:themeFillShade="F2"/>
            <w:vAlign w:val="center"/>
          </w:tcPr>
          <w:p w14:paraId="677A65C6" w14:textId="77777777" w:rsidR="00367A8D" w:rsidRPr="00D72AD6" w:rsidRDefault="00367A8D" w:rsidP="00120BA7">
            <w:pPr>
              <w:spacing w:line="276" w:lineRule="auto"/>
              <w:jc w:val="center"/>
              <w:rPr>
                <w:b/>
                <w:bCs/>
                <w:sz w:val="20"/>
                <w:szCs w:val="20"/>
              </w:rPr>
            </w:pPr>
            <w:r w:rsidRPr="00D72AD6">
              <w:rPr>
                <w:b/>
                <w:bCs/>
                <w:sz w:val="20"/>
                <w:szCs w:val="20"/>
              </w:rPr>
              <w:t>Cost Domain</w:t>
            </w:r>
          </w:p>
        </w:tc>
        <w:tc>
          <w:tcPr>
            <w:tcW w:w="1995" w:type="pct"/>
            <w:shd w:val="clear" w:color="auto" w:fill="F2F2F2" w:themeFill="background1" w:themeFillShade="F2"/>
            <w:vAlign w:val="center"/>
          </w:tcPr>
          <w:p w14:paraId="5D9F4D2C" w14:textId="77777777" w:rsidR="00367A8D" w:rsidRPr="00D72AD6" w:rsidRDefault="00367A8D" w:rsidP="00120BA7">
            <w:pPr>
              <w:spacing w:line="276" w:lineRule="auto"/>
              <w:jc w:val="center"/>
              <w:rPr>
                <w:b/>
                <w:bCs/>
                <w:sz w:val="20"/>
                <w:szCs w:val="20"/>
              </w:rPr>
            </w:pPr>
            <w:r w:rsidRPr="00D72AD6">
              <w:rPr>
                <w:b/>
                <w:bCs/>
                <w:sz w:val="20"/>
                <w:szCs w:val="20"/>
              </w:rPr>
              <w:t>Cost Category</w:t>
            </w:r>
          </w:p>
        </w:tc>
        <w:tc>
          <w:tcPr>
            <w:tcW w:w="1985" w:type="pct"/>
            <w:gridSpan w:val="3"/>
            <w:shd w:val="clear" w:color="auto" w:fill="F2F2F2" w:themeFill="background1" w:themeFillShade="F2"/>
            <w:vAlign w:val="center"/>
          </w:tcPr>
          <w:p w14:paraId="43606E92" w14:textId="77777777" w:rsidR="00367A8D" w:rsidRPr="00D72AD6" w:rsidRDefault="00367A8D" w:rsidP="00120BA7">
            <w:pPr>
              <w:spacing w:line="276" w:lineRule="auto"/>
              <w:jc w:val="center"/>
              <w:rPr>
                <w:b/>
                <w:bCs/>
                <w:sz w:val="20"/>
                <w:szCs w:val="20"/>
              </w:rPr>
            </w:pPr>
            <w:r w:rsidRPr="00D72AD6">
              <w:rPr>
                <w:b/>
                <w:bCs/>
                <w:sz w:val="20"/>
                <w:szCs w:val="20"/>
              </w:rPr>
              <w:t>Cost attributed to</w:t>
            </w:r>
          </w:p>
        </w:tc>
      </w:tr>
      <w:tr w:rsidR="00367A8D" w:rsidRPr="00D72AD6" w14:paraId="7F5FD3DE" w14:textId="77777777" w:rsidTr="00BF5F3D">
        <w:trPr>
          <w:trHeight w:val="20"/>
        </w:trPr>
        <w:tc>
          <w:tcPr>
            <w:tcW w:w="1020" w:type="pct"/>
            <w:vAlign w:val="center"/>
          </w:tcPr>
          <w:p w14:paraId="4793E213" w14:textId="77777777" w:rsidR="00367A8D" w:rsidRPr="00D72AD6" w:rsidRDefault="00367A8D" w:rsidP="00120BA7">
            <w:pPr>
              <w:spacing w:line="276" w:lineRule="auto"/>
              <w:jc w:val="center"/>
              <w:rPr>
                <w:sz w:val="20"/>
                <w:szCs w:val="20"/>
              </w:rPr>
            </w:pPr>
          </w:p>
        </w:tc>
        <w:tc>
          <w:tcPr>
            <w:tcW w:w="1995" w:type="pct"/>
            <w:vAlign w:val="center"/>
          </w:tcPr>
          <w:p w14:paraId="0F54D3DD" w14:textId="77777777" w:rsidR="00367A8D" w:rsidRPr="00D72AD6" w:rsidRDefault="00367A8D" w:rsidP="00120BA7">
            <w:pPr>
              <w:spacing w:line="276" w:lineRule="auto"/>
              <w:jc w:val="center"/>
              <w:rPr>
                <w:sz w:val="20"/>
                <w:szCs w:val="20"/>
              </w:rPr>
            </w:pPr>
          </w:p>
        </w:tc>
        <w:tc>
          <w:tcPr>
            <w:tcW w:w="656" w:type="pct"/>
            <w:vAlign w:val="center"/>
          </w:tcPr>
          <w:p w14:paraId="44507A69" w14:textId="77777777" w:rsidR="00367A8D" w:rsidRPr="00D72AD6" w:rsidRDefault="00367A8D" w:rsidP="00120BA7">
            <w:pPr>
              <w:spacing w:line="276" w:lineRule="auto"/>
              <w:jc w:val="center"/>
              <w:rPr>
                <w:sz w:val="20"/>
                <w:szCs w:val="20"/>
              </w:rPr>
            </w:pPr>
            <w:r w:rsidRPr="00D72AD6">
              <w:rPr>
                <w:sz w:val="20"/>
                <w:szCs w:val="20"/>
              </w:rPr>
              <w:t>Person who Gambles</w:t>
            </w:r>
          </w:p>
        </w:tc>
        <w:tc>
          <w:tcPr>
            <w:tcW w:w="622" w:type="pct"/>
            <w:vAlign w:val="center"/>
          </w:tcPr>
          <w:p w14:paraId="5E74DFAA" w14:textId="77777777" w:rsidR="00367A8D" w:rsidRPr="00D72AD6" w:rsidRDefault="00367A8D" w:rsidP="00120BA7">
            <w:pPr>
              <w:spacing w:line="276" w:lineRule="auto"/>
              <w:jc w:val="center"/>
              <w:rPr>
                <w:sz w:val="20"/>
                <w:szCs w:val="20"/>
              </w:rPr>
            </w:pPr>
            <w:r w:rsidRPr="00D72AD6">
              <w:rPr>
                <w:sz w:val="20"/>
                <w:szCs w:val="20"/>
              </w:rPr>
              <w:t>Affected Other</w:t>
            </w:r>
          </w:p>
        </w:tc>
        <w:tc>
          <w:tcPr>
            <w:tcW w:w="707" w:type="pct"/>
            <w:vAlign w:val="center"/>
          </w:tcPr>
          <w:p w14:paraId="44B56E93" w14:textId="77777777" w:rsidR="00367A8D" w:rsidRPr="00D72AD6" w:rsidRDefault="00367A8D" w:rsidP="00120BA7">
            <w:pPr>
              <w:spacing w:line="276" w:lineRule="auto"/>
              <w:jc w:val="center"/>
              <w:rPr>
                <w:sz w:val="20"/>
                <w:szCs w:val="20"/>
              </w:rPr>
            </w:pPr>
            <w:r w:rsidRPr="00D72AD6">
              <w:rPr>
                <w:sz w:val="20"/>
                <w:szCs w:val="20"/>
              </w:rPr>
              <w:t>Community/</w:t>
            </w:r>
            <w:r w:rsidRPr="00D72AD6">
              <w:rPr>
                <w:sz w:val="20"/>
                <w:szCs w:val="20"/>
              </w:rPr>
              <w:br/>
              <w:t>Business/</w:t>
            </w:r>
            <w:r w:rsidRPr="00D72AD6">
              <w:rPr>
                <w:sz w:val="20"/>
                <w:szCs w:val="20"/>
              </w:rPr>
              <w:br/>
              <w:t>Government</w:t>
            </w:r>
          </w:p>
        </w:tc>
      </w:tr>
      <w:tr w:rsidR="00367A8D" w:rsidRPr="00D72AD6" w14:paraId="1A455D98" w14:textId="77777777" w:rsidTr="00BF5F3D">
        <w:trPr>
          <w:trHeight w:val="20"/>
        </w:trPr>
        <w:tc>
          <w:tcPr>
            <w:tcW w:w="1020" w:type="pct"/>
            <w:vMerge w:val="restart"/>
            <w:vAlign w:val="center"/>
          </w:tcPr>
          <w:p w14:paraId="1A4FDD04" w14:textId="77777777" w:rsidR="00367A8D" w:rsidRPr="00D72AD6" w:rsidRDefault="00367A8D" w:rsidP="00120BA7">
            <w:pPr>
              <w:spacing w:line="276" w:lineRule="auto"/>
              <w:rPr>
                <w:sz w:val="20"/>
                <w:szCs w:val="20"/>
              </w:rPr>
            </w:pPr>
            <w:r w:rsidRPr="00D72AD6">
              <w:rPr>
                <w:sz w:val="20"/>
                <w:szCs w:val="20"/>
              </w:rPr>
              <w:t>Financial impacts</w:t>
            </w:r>
          </w:p>
        </w:tc>
        <w:tc>
          <w:tcPr>
            <w:tcW w:w="1995" w:type="pct"/>
            <w:vAlign w:val="center"/>
          </w:tcPr>
          <w:p w14:paraId="04DEB58D" w14:textId="77777777" w:rsidR="00367A8D" w:rsidRPr="00D72AD6" w:rsidRDefault="00367A8D" w:rsidP="00120BA7">
            <w:pPr>
              <w:spacing w:line="276" w:lineRule="auto"/>
              <w:rPr>
                <w:sz w:val="20"/>
                <w:szCs w:val="20"/>
              </w:rPr>
            </w:pPr>
            <w:r w:rsidRPr="00D72AD6">
              <w:rPr>
                <w:sz w:val="20"/>
                <w:szCs w:val="20"/>
              </w:rPr>
              <w:t>Total opportunity cost of gambling spend</w:t>
            </w:r>
          </w:p>
        </w:tc>
        <w:tc>
          <w:tcPr>
            <w:tcW w:w="656" w:type="pct"/>
            <w:vAlign w:val="center"/>
          </w:tcPr>
          <w:p w14:paraId="6EE7A68E" w14:textId="77777777" w:rsidR="00367A8D" w:rsidRPr="00D72AD6" w:rsidRDefault="00367A8D" w:rsidP="00120BA7">
            <w:pPr>
              <w:spacing w:line="276" w:lineRule="auto"/>
              <w:jc w:val="center"/>
              <w:rPr>
                <w:sz w:val="20"/>
                <w:szCs w:val="20"/>
              </w:rPr>
            </w:pPr>
            <w:r w:rsidRPr="00D72AD6">
              <w:rPr>
                <w:sz w:val="20"/>
                <w:szCs w:val="20"/>
              </w:rPr>
              <w:t>X</w:t>
            </w:r>
          </w:p>
        </w:tc>
        <w:tc>
          <w:tcPr>
            <w:tcW w:w="622" w:type="pct"/>
            <w:vAlign w:val="center"/>
          </w:tcPr>
          <w:p w14:paraId="47ED889A" w14:textId="77777777" w:rsidR="00367A8D" w:rsidRPr="00D72AD6" w:rsidRDefault="00367A8D" w:rsidP="00120BA7">
            <w:pPr>
              <w:spacing w:line="276" w:lineRule="auto"/>
              <w:jc w:val="center"/>
              <w:rPr>
                <w:sz w:val="20"/>
                <w:szCs w:val="20"/>
              </w:rPr>
            </w:pPr>
            <w:r w:rsidRPr="00D72AD6">
              <w:rPr>
                <w:sz w:val="20"/>
                <w:szCs w:val="20"/>
              </w:rPr>
              <w:t>X</w:t>
            </w:r>
          </w:p>
        </w:tc>
        <w:tc>
          <w:tcPr>
            <w:tcW w:w="707" w:type="pct"/>
            <w:vAlign w:val="center"/>
          </w:tcPr>
          <w:p w14:paraId="7E9E4EE3" w14:textId="77777777" w:rsidR="00367A8D" w:rsidRPr="00D72AD6" w:rsidRDefault="00367A8D" w:rsidP="00120BA7">
            <w:pPr>
              <w:spacing w:line="276" w:lineRule="auto"/>
              <w:jc w:val="center"/>
              <w:rPr>
                <w:sz w:val="20"/>
                <w:szCs w:val="20"/>
              </w:rPr>
            </w:pPr>
          </w:p>
        </w:tc>
      </w:tr>
      <w:tr w:rsidR="00367A8D" w:rsidRPr="00D72AD6" w14:paraId="238A82DD" w14:textId="77777777" w:rsidTr="00BF5F3D">
        <w:trPr>
          <w:trHeight w:val="20"/>
        </w:trPr>
        <w:tc>
          <w:tcPr>
            <w:tcW w:w="1020" w:type="pct"/>
            <w:vMerge/>
            <w:vAlign w:val="center"/>
          </w:tcPr>
          <w:p w14:paraId="72243EBF" w14:textId="77777777" w:rsidR="00367A8D" w:rsidRPr="00D72AD6" w:rsidRDefault="00367A8D" w:rsidP="00120BA7">
            <w:pPr>
              <w:spacing w:line="276" w:lineRule="auto"/>
              <w:rPr>
                <w:sz w:val="20"/>
                <w:szCs w:val="20"/>
              </w:rPr>
            </w:pPr>
          </w:p>
        </w:tc>
        <w:tc>
          <w:tcPr>
            <w:tcW w:w="1995" w:type="pct"/>
            <w:vAlign w:val="center"/>
          </w:tcPr>
          <w:p w14:paraId="73881DDE" w14:textId="77777777" w:rsidR="00367A8D" w:rsidRPr="00D72AD6" w:rsidRDefault="00367A8D" w:rsidP="00120BA7">
            <w:pPr>
              <w:spacing w:line="276" w:lineRule="auto"/>
              <w:rPr>
                <w:sz w:val="20"/>
                <w:szCs w:val="20"/>
              </w:rPr>
            </w:pPr>
            <w:r w:rsidRPr="00D72AD6">
              <w:rPr>
                <w:sz w:val="20"/>
                <w:szCs w:val="20"/>
              </w:rPr>
              <w:t>Bankruptcy</w:t>
            </w:r>
          </w:p>
        </w:tc>
        <w:tc>
          <w:tcPr>
            <w:tcW w:w="656" w:type="pct"/>
            <w:vAlign w:val="center"/>
          </w:tcPr>
          <w:p w14:paraId="47EED0D9" w14:textId="77777777" w:rsidR="00367A8D" w:rsidRPr="00D72AD6" w:rsidRDefault="00367A8D" w:rsidP="00120BA7">
            <w:pPr>
              <w:spacing w:line="276" w:lineRule="auto"/>
              <w:jc w:val="center"/>
              <w:rPr>
                <w:sz w:val="20"/>
                <w:szCs w:val="20"/>
              </w:rPr>
            </w:pPr>
          </w:p>
        </w:tc>
        <w:tc>
          <w:tcPr>
            <w:tcW w:w="622" w:type="pct"/>
            <w:vAlign w:val="center"/>
          </w:tcPr>
          <w:p w14:paraId="2FCEF0C5" w14:textId="77777777" w:rsidR="00367A8D" w:rsidRPr="00D72AD6" w:rsidRDefault="00367A8D" w:rsidP="00120BA7">
            <w:pPr>
              <w:spacing w:line="276" w:lineRule="auto"/>
              <w:jc w:val="center"/>
              <w:rPr>
                <w:sz w:val="20"/>
                <w:szCs w:val="20"/>
              </w:rPr>
            </w:pPr>
          </w:p>
        </w:tc>
        <w:tc>
          <w:tcPr>
            <w:tcW w:w="707" w:type="pct"/>
            <w:vAlign w:val="center"/>
          </w:tcPr>
          <w:p w14:paraId="30F78A89" w14:textId="77777777" w:rsidR="00367A8D" w:rsidRPr="00D72AD6" w:rsidRDefault="00367A8D" w:rsidP="00120BA7">
            <w:pPr>
              <w:spacing w:line="276" w:lineRule="auto"/>
              <w:jc w:val="center"/>
              <w:rPr>
                <w:sz w:val="20"/>
                <w:szCs w:val="20"/>
              </w:rPr>
            </w:pPr>
          </w:p>
        </w:tc>
      </w:tr>
      <w:tr w:rsidR="00367A8D" w:rsidRPr="00D72AD6" w14:paraId="108520F0" w14:textId="77777777" w:rsidTr="00BF5F3D">
        <w:trPr>
          <w:trHeight w:val="20"/>
        </w:trPr>
        <w:tc>
          <w:tcPr>
            <w:tcW w:w="1020" w:type="pct"/>
            <w:vMerge/>
            <w:vAlign w:val="center"/>
          </w:tcPr>
          <w:p w14:paraId="13CB0AA4" w14:textId="77777777" w:rsidR="00367A8D" w:rsidRPr="00D72AD6" w:rsidRDefault="00367A8D" w:rsidP="00120BA7">
            <w:pPr>
              <w:spacing w:line="276" w:lineRule="auto"/>
              <w:rPr>
                <w:sz w:val="20"/>
                <w:szCs w:val="20"/>
              </w:rPr>
            </w:pPr>
          </w:p>
        </w:tc>
        <w:tc>
          <w:tcPr>
            <w:tcW w:w="1995" w:type="pct"/>
            <w:vAlign w:val="center"/>
          </w:tcPr>
          <w:p w14:paraId="6F63EB73" w14:textId="77777777" w:rsidR="00367A8D" w:rsidRPr="00D72AD6" w:rsidRDefault="00367A8D" w:rsidP="00120BA7">
            <w:pPr>
              <w:spacing w:line="276" w:lineRule="auto"/>
              <w:rPr>
                <w:sz w:val="20"/>
                <w:szCs w:val="20"/>
              </w:rPr>
            </w:pPr>
            <w:r w:rsidRPr="00D72AD6">
              <w:rPr>
                <w:sz w:val="20"/>
                <w:szCs w:val="20"/>
              </w:rPr>
              <w:t>Cost of administration</w:t>
            </w:r>
          </w:p>
        </w:tc>
        <w:tc>
          <w:tcPr>
            <w:tcW w:w="656" w:type="pct"/>
            <w:vAlign w:val="center"/>
          </w:tcPr>
          <w:p w14:paraId="674C8B9E" w14:textId="77777777" w:rsidR="00367A8D" w:rsidRPr="00D72AD6" w:rsidRDefault="00367A8D" w:rsidP="00120BA7">
            <w:pPr>
              <w:spacing w:line="276" w:lineRule="auto"/>
              <w:jc w:val="center"/>
              <w:rPr>
                <w:sz w:val="20"/>
                <w:szCs w:val="20"/>
              </w:rPr>
            </w:pPr>
          </w:p>
        </w:tc>
        <w:tc>
          <w:tcPr>
            <w:tcW w:w="622" w:type="pct"/>
            <w:vAlign w:val="center"/>
          </w:tcPr>
          <w:p w14:paraId="7E951B5D" w14:textId="77777777" w:rsidR="00367A8D" w:rsidRPr="00D72AD6" w:rsidRDefault="00367A8D" w:rsidP="00120BA7">
            <w:pPr>
              <w:spacing w:line="276" w:lineRule="auto"/>
              <w:jc w:val="center"/>
              <w:rPr>
                <w:sz w:val="20"/>
                <w:szCs w:val="20"/>
              </w:rPr>
            </w:pPr>
          </w:p>
        </w:tc>
        <w:tc>
          <w:tcPr>
            <w:tcW w:w="707" w:type="pct"/>
            <w:vAlign w:val="center"/>
          </w:tcPr>
          <w:p w14:paraId="3947BF5D" w14:textId="77777777" w:rsidR="00367A8D" w:rsidRPr="00D72AD6" w:rsidRDefault="00367A8D" w:rsidP="00120BA7">
            <w:pPr>
              <w:spacing w:line="276" w:lineRule="auto"/>
              <w:jc w:val="center"/>
              <w:rPr>
                <w:sz w:val="20"/>
                <w:szCs w:val="20"/>
              </w:rPr>
            </w:pPr>
            <w:r w:rsidRPr="00D72AD6">
              <w:rPr>
                <w:sz w:val="20"/>
                <w:szCs w:val="20"/>
              </w:rPr>
              <w:t>X</w:t>
            </w:r>
          </w:p>
        </w:tc>
      </w:tr>
      <w:tr w:rsidR="00367A8D" w:rsidRPr="00D72AD6" w14:paraId="2B942BA6" w14:textId="77777777" w:rsidTr="00BF5F3D">
        <w:trPr>
          <w:trHeight w:val="20"/>
        </w:trPr>
        <w:tc>
          <w:tcPr>
            <w:tcW w:w="1020" w:type="pct"/>
            <w:vMerge/>
            <w:vAlign w:val="center"/>
          </w:tcPr>
          <w:p w14:paraId="5E4D5BF8" w14:textId="77777777" w:rsidR="00367A8D" w:rsidRPr="00D72AD6" w:rsidRDefault="00367A8D" w:rsidP="00120BA7">
            <w:pPr>
              <w:spacing w:line="276" w:lineRule="auto"/>
              <w:rPr>
                <w:sz w:val="20"/>
                <w:szCs w:val="20"/>
              </w:rPr>
            </w:pPr>
          </w:p>
        </w:tc>
        <w:tc>
          <w:tcPr>
            <w:tcW w:w="1995" w:type="pct"/>
            <w:vAlign w:val="center"/>
          </w:tcPr>
          <w:p w14:paraId="58CE2F8E" w14:textId="77777777" w:rsidR="00367A8D" w:rsidRPr="00D72AD6" w:rsidRDefault="00367A8D" w:rsidP="00120BA7">
            <w:pPr>
              <w:spacing w:line="276" w:lineRule="auto"/>
              <w:rPr>
                <w:sz w:val="20"/>
                <w:szCs w:val="20"/>
              </w:rPr>
            </w:pPr>
            <w:r w:rsidRPr="00D72AD6">
              <w:rPr>
                <w:sz w:val="20"/>
                <w:szCs w:val="20"/>
              </w:rPr>
              <w:t>Unpaid debts</w:t>
            </w:r>
          </w:p>
        </w:tc>
        <w:tc>
          <w:tcPr>
            <w:tcW w:w="656" w:type="pct"/>
            <w:vAlign w:val="center"/>
          </w:tcPr>
          <w:p w14:paraId="79033B17" w14:textId="77777777" w:rsidR="00367A8D" w:rsidRPr="00D72AD6" w:rsidRDefault="00367A8D" w:rsidP="00120BA7">
            <w:pPr>
              <w:spacing w:line="276" w:lineRule="auto"/>
              <w:jc w:val="center"/>
              <w:rPr>
                <w:sz w:val="20"/>
                <w:szCs w:val="20"/>
              </w:rPr>
            </w:pPr>
          </w:p>
        </w:tc>
        <w:tc>
          <w:tcPr>
            <w:tcW w:w="622" w:type="pct"/>
            <w:vAlign w:val="center"/>
          </w:tcPr>
          <w:p w14:paraId="0BFEDFC3" w14:textId="77777777" w:rsidR="00367A8D" w:rsidRPr="00D72AD6" w:rsidRDefault="00367A8D" w:rsidP="00120BA7">
            <w:pPr>
              <w:spacing w:line="276" w:lineRule="auto"/>
              <w:jc w:val="center"/>
              <w:rPr>
                <w:sz w:val="20"/>
                <w:szCs w:val="20"/>
              </w:rPr>
            </w:pPr>
            <w:r w:rsidRPr="00D72AD6">
              <w:rPr>
                <w:sz w:val="20"/>
                <w:szCs w:val="20"/>
              </w:rPr>
              <w:t>X</w:t>
            </w:r>
          </w:p>
        </w:tc>
        <w:tc>
          <w:tcPr>
            <w:tcW w:w="707" w:type="pct"/>
            <w:vAlign w:val="center"/>
          </w:tcPr>
          <w:p w14:paraId="4BDAFFCD" w14:textId="77777777" w:rsidR="00367A8D" w:rsidRPr="00D72AD6" w:rsidRDefault="00367A8D" w:rsidP="00120BA7">
            <w:pPr>
              <w:spacing w:line="276" w:lineRule="auto"/>
              <w:jc w:val="center"/>
              <w:rPr>
                <w:sz w:val="20"/>
                <w:szCs w:val="20"/>
              </w:rPr>
            </w:pPr>
            <w:r w:rsidRPr="00D72AD6">
              <w:rPr>
                <w:sz w:val="20"/>
                <w:szCs w:val="20"/>
              </w:rPr>
              <w:t>X</w:t>
            </w:r>
          </w:p>
        </w:tc>
      </w:tr>
      <w:tr w:rsidR="00367A8D" w:rsidRPr="00D72AD6" w14:paraId="18408994" w14:textId="77777777" w:rsidTr="00BF5F3D">
        <w:trPr>
          <w:trHeight w:val="20"/>
        </w:trPr>
        <w:tc>
          <w:tcPr>
            <w:tcW w:w="1020" w:type="pct"/>
            <w:vMerge w:val="restart"/>
            <w:vAlign w:val="center"/>
          </w:tcPr>
          <w:p w14:paraId="505DE61A" w14:textId="77777777" w:rsidR="00367A8D" w:rsidRPr="00D72AD6" w:rsidRDefault="00367A8D" w:rsidP="00120BA7">
            <w:pPr>
              <w:spacing w:line="276" w:lineRule="auto"/>
              <w:rPr>
                <w:sz w:val="20"/>
                <w:szCs w:val="20"/>
              </w:rPr>
            </w:pPr>
            <w:r w:rsidRPr="00D72AD6">
              <w:rPr>
                <w:sz w:val="20"/>
                <w:szCs w:val="20"/>
              </w:rPr>
              <w:t>Relationship disruption, conflict or breakdown</w:t>
            </w:r>
          </w:p>
        </w:tc>
        <w:tc>
          <w:tcPr>
            <w:tcW w:w="1995" w:type="pct"/>
            <w:vAlign w:val="center"/>
          </w:tcPr>
          <w:p w14:paraId="3D514917" w14:textId="77777777" w:rsidR="00367A8D" w:rsidRPr="00D72AD6" w:rsidRDefault="00367A8D" w:rsidP="00120BA7">
            <w:pPr>
              <w:spacing w:line="276" w:lineRule="auto"/>
              <w:rPr>
                <w:sz w:val="20"/>
                <w:szCs w:val="20"/>
              </w:rPr>
            </w:pPr>
            <w:r w:rsidRPr="00D72AD6">
              <w:rPr>
                <w:sz w:val="20"/>
                <w:szCs w:val="20"/>
              </w:rPr>
              <w:t>Divorce and separation</w:t>
            </w:r>
          </w:p>
        </w:tc>
        <w:tc>
          <w:tcPr>
            <w:tcW w:w="656" w:type="pct"/>
            <w:vAlign w:val="center"/>
          </w:tcPr>
          <w:p w14:paraId="726DC26E" w14:textId="77777777" w:rsidR="00367A8D" w:rsidRPr="00D72AD6" w:rsidRDefault="00367A8D" w:rsidP="00120BA7">
            <w:pPr>
              <w:spacing w:line="276" w:lineRule="auto"/>
              <w:jc w:val="center"/>
              <w:rPr>
                <w:sz w:val="20"/>
                <w:szCs w:val="20"/>
              </w:rPr>
            </w:pPr>
          </w:p>
        </w:tc>
        <w:tc>
          <w:tcPr>
            <w:tcW w:w="622" w:type="pct"/>
            <w:vAlign w:val="center"/>
          </w:tcPr>
          <w:p w14:paraId="77C8F64F" w14:textId="77777777" w:rsidR="00367A8D" w:rsidRPr="00D72AD6" w:rsidRDefault="00367A8D" w:rsidP="00120BA7">
            <w:pPr>
              <w:spacing w:line="276" w:lineRule="auto"/>
              <w:jc w:val="center"/>
              <w:rPr>
                <w:sz w:val="20"/>
                <w:szCs w:val="20"/>
              </w:rPr>
            </w:pPr>
          </w:p>
        </w:tc>
        <w:tc>
          <w:tcPr>
            <w:tcW w:w="707" w:type="pct"/>
            <w:vAlign w:val="center"/>
          </w:tcPr>
          <w:p w14:paraId="739E3ABE" w14:textId="77777777" w:rsidR="00367A8D" w:rsidRPr="00D72AD6" w:rsidRDefault="00367A8D" w:rsidP="00120BA7">
            <w:pPr>
              <w:spacing w:line="276" w:lineRule="auto"/>
              <w:jc w:val="center"/>
              <w:rPr>
                <w:sz w:val="20"/>
                <w:szCs w:val="20"/>
              </w:rPr>
            </w:pPr>
          </w:p>
        </w:tc>
      </w:tr>
      <w:tr w:rsidR="00367A8D" w:rsidRPr="00D72AD6" w14:paraId="3CFF806B" w14:textId="77777777" w:rsidTr="00BF5F3D">
        <w:trPr>
          <w:trHeight w:val="20"/>
        </w:trPr>
        <w:tc>
          <w:tcPr>
            <w:tcW w:w="1020" w:type="pct"/>
            <w:vMerge/>
            <w:vAlign w:val="center"/>
          </w:tcPr>
          <w:p w14:paraId="7EEAC4A9" w14:textId="77777777" w:rsidR="00367A8D" w:rsidRPr="00D72AD6" w:rsidRDefault="00367A8D" w:rsidP="00120BA7">
            <w:pPr>
              <w:spacing w:line="276" w:lineRule="auto"/>
              <w:rPr>
                <w:sz w:val="20"/>
                <w:szCs w:val="20"/>
              </w:rPr>
            </w:pPr>
          </w:p>
        </w:tc>
        <w:tc>
          <w:tcPr>
            <w:tcW w:w="1995" w:type="pct"/>
            <w:vAlign w:val="center"/>
          </w:tcPr>
          <w:p w14:paraId="0F8775B1" w14:textId="77777777" w:rsidR="00367A8D" w:rsidRPr="00D72AD6" w:rsidRDefault="00367A8D" w:rsidP="00120BA7">
            <w:pPr>
              <w:spacing w:line="276" w:lineRule="auto"/>
              <w:rPr>
                <w:sz w:val="20"/>
                <w:szCs w:val="20"/>
              </w:rPr>
            </w:pPr>
            <w:r w:rsidRPr="00D72AD6">
              <w:rPr>
                <w:sz w:val="20"/>
                <w:szCs w:val="20"/>
              </w:rPr>
              <w:t>Financial cost</w:t>
            </w:r>
          </w:p>
        </w:tc>
        <w:tc>
          <w:tcPr>
            <w:tcW w:w="656" w:type="pct"/>
            <w:vAlign w:val="center"/>
          </w:tcPr>
          <w:p w14:paraId="5ABAC929" w14:textId="77777777" w:rsidR="00367A8D" w:rsidRPr="00D72AD6" w:rsidRDefault="00367A8D" w:rsidP="00120BA7">
            <w:pPr>
              <w:spacing w:line="276" w:lineRule="auto"/>
              <w:jc w:val="center"/>
              <w:rPr>
                <w:sz w:val="20"/>
                <w:szCs w:val="20"/>
              </w:rPr>
            </w:pPr>
            <w:r w:rsidRPr="00D72AD6">
              <w:rPr>
                <w:sz w:val="20"/>
                <w:szCs w:val="20"/>
              </w:rPr>
              <w:t>X</w:t>
            </w:r>
          </w:p>
        </w:tc>
        <w:tc>
          <w:tcPr>
            <w:tcW w:w="622" w:type="pct"/>
            <w:vAlign w:val="center"/>
          </w:tcPr>
          <w:p w14:paraId="4AC41D22" w14:textId="77777777" w:rsidR="00367A8D" w:rsidRPr="00D72AD6" w:rsidRDefault="00367A8D" w:rsidP="00120BA7">
            <w:pPr>
              <w:spacing w:line="276" w:lineRule="auto"/>
              <w:jc w:val="center"/>
              <w:rPr>
                <w:sz w:val="20"/>
                <w:szCs w:val="20"/>
              </w:rPr>
            </w:pPr>
            <w:r w:rsidRPr="00D72AD6">
              <w:rPr>
                <w:sz w:val="20"/>
                <w:szCs w:val="20"/>
              </w:rPr>
              <w:t>X</w:t>
            </w:r>
          </w:p>
        </w:tc>
        <w:tc>
          <w:tcPr>
            <w:tcW w:w="707" w:type="pct"/>
            <w:vAlign w:val="center"/>
          </w:tcPr>
          <w:p w14:paraId="609E8920" w14:textId="77777777" w:rsidR="00367A8D" w:rsidRPr="00D72AD6" w:rsidRDefault="00367A8D" w:rsidP="00120BA7">
            <w:pPr>
              <w:spacing w:line="276" w:lineRule="auto"/>
              <w:jc w:val="center"/>
              <w:rPr>
                <w:sz w:val="20"/>
                <w:szCs w:val="20"/>
              </w:rPr>
            </w:pPr>
          </w:p>
        </w:tc>
      </w:tr>
      <w:tr w:rsidR="00367A8D" w:rsidRPr="00D72AD6" w14:paraId="29D80B33" w14:textId="77777777" w:rsidTr="00BF5F3D">
        <w:trPr>
          <w:trHeight w:val="20"/>
        </w:trPr>
        <w:tc>
          <w:tcPr>
            <w:tcW w:w="1020" w:type="pct"/>
            <w:vMerge/>
            <w:vAlign w:val="center"/>
          </w:tcPr>
          <w:p w14:paraId="30EE6303" w14:textId="77777777" w:rsidR="00367A8D" w:rsidRPr="00D72AD6" w:rsidRDefault="00367A8D" w:rsidP="00120BA7">
            <w:pPr>
              <w:spacing w:line="276" w:lineRule="auto"/>
              <w:rPr>
                <w:sz w:val="20"/>
                <w:szCs w:val="20"/>
              </w:rPr>
            </w:pPr>
          </w:p>
        </w:tc>
        <w:tc>
          <w:tcPr>
            <w:tcW w:w="1995" w:type="pct"/>
            <w:vAlign w:val="center"/>
          </w:tcPr>
          <w:p w14:paraId="44593146" w14:textId="77777777" w:rsidR="00367A8D" w:rsidRPr="00D72AD6" w:rsidRDefault="00367A8D" w:rsidP="00120BA7">
            <w:pPr>
              <w:spacing w:line="276" w:lineRule="auto"/>
              <w:rPr>
                <w:sz w:val="20"/>
                <w:szCs w:val="20"/>
              </w:rPr>
            </w:pPr>
            <w:r w:rsidRPr="00D72AD6">
              <w:rPr>
                <w:sz w:val="20"/>
                <w:szCs w:val="20"/>
              </w:rPr>
              <w:t>Emotional distress</w:t>
            </w:r>
          </w:p>
        </w:tc>
        <w:tc>
          <w:tcPr>
            <w:tcW w:w="656" w:type="pct"/>
            <w:vAlign w:val="center"/>
          </w:tcPr>
          <w:p w14:paraId="2CC41356" w14:textId="77777777" w:rsidR="00367A8D" w:rsidRPr="00D72AD6" w:rsidRDefault="00367A8D" w:rsidP="00120BA7">
            <w:pPr>
              <w:spacing w:line="276" w:lineRule="auto"/>
              <w:jc w:val="center"/>
              <w:rPr>
                <w:sz w:val="20"/>
                <w:szCs w:val="20"/>
              </w:rPr>
            </w:pPr>
            <w:r w:rsidRPr="00D72AD6">
              <w:rPr>
                <w:sz w:val="20"/>
                <w:szCs w:val="20"/>
              </w:rPr>
              <w:t>X</w:t>
            </w:r>
          </w:p>
        </w:tc>
        <w:tc>
          <w:tcPr>
            <w:tcW w:w="622" w:type="pct"/>
            <w:vAlign w:val="center"/>
          </w:tcPr>
          <w:p w14:paraId="792699F6" w14:textId="77777777" w:rsidR="00367A8D" w:rsidRPr="00D72AD6" w:rsidRDefault="00367A8D" w:rsidP="00120BA7">
            <w:pPr>
              <w:spacing w:line="276" w:lineRule="auto"/>
              <w:jc w:val="center"/>
              <w:rPr>
                <w:sz w:val="20"/>
                <w:szCs w:val="20"/>
              </w:rPr>
            </w:pPr>
            <w:r w:rsidRPr="00D72AD6">
              <w:rPr>
                <w:sz w:val="20"/>
                <w:szCs w:val="20"/>
              </w:rPr>
              <w:t>X</w:t>
            </w:r>
          </w:p>
        </w:tc>
        <w:tc>
          <w:tcPr>
            <w:tcW w:w="707" w:type="pct"/>
            <w:vAlign w:val="center"/>
          </w:tcPr>
          <w:p w14:paraId="58ED7CC2" w14:textId="77777777" w:rsidR="00367A8D" w:rsidRPr="00D72AD6" w:rsidRDefault="00367A8D" w:rsidP="00120BA7">
            <w:pPr>
              <w:spacing w:line="276" w:lineRule="auto"/>
              <w:jc w:val="center"/>
              <w:rPr>
                <w:sz w:val="20"/>
                <w:szCs w:val="20"/>
              </w:rPr>
            </w:pPr>
          </w:p>
        </w:tc>
      </w:tr>
      <w:tr w:rsidR="00367A8D" w:rsidRPr="00D72AD6" w14:paraId="722E3F13" w14:textId="77777777" w:rsidTr="00BF5F3D">
        <w:trPr>
          <w:trHeight w:val="20"/>
        </w:trPr>
        <w:tc>
          <w:tcPr>
            <w:tcW w:w="1020" w:type="pct"/>
            <w:vMerge/>
            <w:vAlign w:val="center"/>
          </w:tcPr>
          <w:p w14:paraId="60326C82" w14:textId="77777777" w:rsidR="00367A8D" w:rsidRPr="00D72AD6" w:rsidRDefault="00367A8D" w:rsidP="00120BA7">
            <w:pPr>
              <w:spacing w:line="276" w:lineRule="auto"/>
              <w:rPr>
                <w:sz w:val="20"/>
                <w:szCs w:val="20"/>
              </w:rPr>
            </w:pPr>
          </w:p>
        </w:tc>
        <w:tc>
          <w:tcPr>
            <w:tcW w:w="1995" w:type="pct"/>
            <w:vAlign w:val="center"/>
          </w:tcPr>
          <w:p w14:paraId="09798DEC" w14:textId="77777777" w:rsidR="00367A8D" w:rsidRPr="00D72AD6" w:rsidRDefault="00367A8D" w:rsidP="00120BA7">
            <w:pPr>
              <w:spacing w:line="276" w:lineRule="auto"/>
              <w:rPr>
                <w:sz w:val="20"/>
                <w:szCs w:val="20"/>
              </w:rPr>
            </w:pPr>
            <w:r w:rsidRPr="00D72AD6">
              <w:rPr>
                <w:sz w:val="20"/>
                <w:szCs w:val="20"/>
              </w:rPr>
              <w:t>Experiences of violence</w:t>
            </w:r>
          </w:p>
        </w:tc>
        <w:tc>
          <w:tcPr>
            <w:tcW w:w="656" w:type="pct"/>
            <w:vAlign w:val="center"/>
          </w:tcPr>
          <w:p w14:paraId="17465048" w14:textId="77777777" w:rsidR="00367A8D" w:rsidRPr="00D72AD6" w:rsidRDefault="00367A8D" w:rsidP="00120BA7">
            <w:pPr>
              <w:spacing w:line="276" w:lineRule="auto"/>
              <w:jc w:val="center"/>
              <w:rPr>
                <w:sz w:val="20"/>
                <w:szCs w:val="20"/>
              </w:rPr>
            </w:pPr>
          </w:p>
        </w:tc>
        <w:tc>
          <w:tcPr>
            <w:tcW w:w="622" w:type="pct"/>
            <w:vAlign w:val="center"/>
          </w:tcPr>
          <w:p w14:paraId="7F82A0CF" w14:textId="77777777" w:rsidR="00367A8D" w:rsidRPr="00D72AD6" w:rsidRDefault="00367A8D" w:rsidP="00120BA7">
            <w:pPr>
              <w:spacing w:line="276" w:lineRule="auto"/>
              <w:jc w:val="center"/>
              <w:rPr>
                <w:sz w:val="20"/>
                <w:szCs w:val="20"/>
              </w:rPr>
            </w:pPr>
          </w:p>
        </w:tc>
        <w:tc>
          <w:tcPr>
            <w:tcW w:w="707" w:type="pct"/>
            <w:vAlign w:val="center"/>
          </w:tcPr>
          <w:p w14:paraId="5160306A" w14:textId="77777777" w:rsidR="00367A8D" w:rsidRPr="00D72AD6" w:rsidRDefault="00367A8D" w:rsidP="00120BA7">
            <w:pPr>
              <w:spacing w:line="276" w:lineRule="auto"/>
              <w:jc w:val="center"/>
              <w:rPr>
                <w:sz w:val="20"/>
                <w:szCs w:val="20"/>
              </w:rPr>
            </w:pPr>
          </w:p>
        </w:tc>
      </w:tr>
      <w:tr w:rsidR="00367A8D" w:rsidRPr="00D72AD6" w14:paraId="022AA3D5" w14:textId="77777777" w:rsidTr="00BF5F3D">
        <w:trPr>
          <w:trHeight w:val="20"/>
        </w:trPr>
        <w:tc>
          <w:tcPr>
            <w:tcW w:w="1020" w:type="pct"/>
            <w:vMerge/>
            <w:vAlign w:val="center"/>
          </w:tcPr>
          <w:p w14:paraId="7336C3AB" w14:textId="77777777" w:rsidR="00367A8D" w:rsidRPr="00D72AD6" w:rsidRDefault="00367A8D" w:rsidP="00120BA7">
            <w:pPr>
              <w:spacing w:line="276" w:lineRule="auto"/>
              <w:rPr>
                <w:sz w:val="20"/>
                <w:szCs w:val="20"/>
              </w:rPr>
            </w:pPr>
          </w:p>
        </w:tc>
        <w:tc>
          <w:tcPr>
            <w:tcW w:w="1995" w:type="pct"/>
            <w:vAlign w:val="center"/>
          </w:tcPr>
          <w:p w14:paraId="16FD7C6C" w14:textId="77777777" w:rsidR="00367A8D" w:rsidRPr="00D72AD6" w:rsidRDefault="00367A8D" w:rsidP="00120BA7">
            <w:pPr>
              <w:spacing w:line="276" w:lineRule="auto"/>
              <w:rPr>
                <w:sz w:val="20"/>
                <w:szCs w:val="20"/>
              </w:rPr>
            </w:pPr>
            <w:r w:rsidRPr="00D72AD6">
              <w:rPr>
                <w:sz w:val="20"/>
                <w:szCs w:val="20"/>
              </w:rPr>
              <w:t>Emotional distress</w:t>
            </w:r>
          </w:p>
        </w:tc>
        <w:tc>
          <w:tcPr>
            <w:tcW w:w="656" w:type="pct"/>
            <w:vAlign w:val="center"/>
          </w:tcPr>
          <w:p w14:paraId="159AF41C" w14:textId="77777777" w:rsidR="00367A8D" w:rsidRPr="00D72AD6" w:rsidRDefault="00367A8D" w:rsidP="00120BA7">
            <w:pPr>
              <w:spacing w:line="276" w:lineRule="auto"/>
              <w:jc w:val="center"/>
              <w:rPr>
                <w:sz w:val="20"/>
                <w:szCs w:val="20"/>
              </w:rPr>
            </w:pPr>
            <w:r w:rsidRPr="00D72AD6">
              <w:rPr>
                <w:sz w:val="20"/>
                <w:szCs w:val="20"/>
              </w:rPr>
              <w:t>X</w:t>
            </w:r>
          </w:p>
        </w:tc>
        <w:tc>
          <w:tcPr>
            <w:tcW w:w="622" w:type="pct"/>
            <w:vAlign w:val="center"/>
          </w:tcPr>
          <w:p w14:paraId="7493847A" w14:textId="77777777" w:rsidR="00367A8D" w:rsidRPr="00D72AD6" w:rsidRDefault="00367A8D" w:rsidP="00120BA7">
            <w:pPr>
              <w:spacing w:line="276" w:lineRule="auto"/>
              <w:jc w:val="center"/>
              <w:rPr>
                <w:sz w:val="20"/>
                <w:szCs w:val="20"/>
              </w:rPr>
            </w:pPr>
            <w:r w:rsidRPr="00D72AD6">
              <w:rPr>
                <w:sz w:val="20"/>
                <w:szCs w:val="20"/>
              </w:rPr>
              <w:t>X</w:t>
            </w:r>
          </w:p>
        </w:tc>
        <w:tc>
          <w:tcPr>
            <w:tcW w:w="707" w:type="pct"/>
            <w:vAlign w:val="center"/>
          </w:tcPr>
          <w:p w14:paraId="5A4E1FE6" w14:textId="77777777" w:rsidR="00367A8D" w:rsidRPr="00D72AD6" w:rsidRDefault="00367A8D" w:rsidP="00120BA7">
            <w:pPr>
              <w:spacing w:line="276" w:lineRule="auto"/>
              <w:jc w:val="center"/>
              <w:rPr>
                <w:sz w:val="20"/>
                <w:szCs w:val="20"/>
              </w:rPr>
            </w:pPr>
          </w:p>
        </w:tc>
      </w:tr>
      <w:tr w:rsidR="00367A8D" w:rsidRPr="00D72AD6" w14:paraId="0E3D642E" w14:textId="77777777" w:rsidTr="00BF5F3D">
        <w:trPr>
          <w:trHeight w:val="20"/>
        </w:trPr>
        <w:tc>
          <w:tcPr>
            <w:tcW w:w="1020" w:type="pct"/>
            <w:vMerge w:val="restart"/>
            <w:vAlign w:val="center"/>
          </w:tcPr>
          <w:p w14:paraId="38DBDDB9" w14:textId="77777777" w:rsidR="00367A8D" w:rsidRPr="00D72AD6" w:rsidRDefault="00367A8D" w:rsidP="00120BA7">
            <w:pPr>
              <w:spacing w:line="276" w:lineRule="auto"/>
              <w:rPr>
                <w:sz w:val="20"/>
                <w:szCs w:val="20"/>
              </w:rPr>
            </w:pPr>
            <w:r w:rsidRPr="00D72AD6">
              <w:rPr>
                <w:sz w:val="20"/>
                <w:szCs w:val="20"/>
              </w:rPr>
              <w:t>Health</w:t>
            </w:r>
          </w:p>
        </w:tc>
        <w:tc>
          <w:tcPr>
            <w:tcW w:w="1995" w:type="pct"/>
            <w:vAlign w:val="center"/>
          </w:tcPr>
          <w:p w14:paraId="65D5D6A7" w14:textId="77777777" w:rsidR="00367A8D" w:rsidRPr="00D72AD6" w:rsidRDefault="00367A8D" w:rsidP="00120BA7">
            <w:pPr>
              <w:spacing w:line="276" w:lineRule="auto"/>
              <w:rPr>
                <w:sz w:val="20"/>
                <w:szCs w:val="20"/>
              </w:rPr>
            </w:pPr>
            <w:r w:rsidRPr="00D72AD6">
              <w:rPr>
                <w:sz w:val="20"/>
                <w:szCs w:val="20"/>
              </w:rPr>
              <w:t>Depression</w:t>
            </w:r>
          </w:p>
        </w:tc>
        <w:tc>
          <w:tcPr>
            <w:tcW w:w="656" w:type="pct"/>
            <w:vAlign w:val="center"/>
          </w:tcPr>
          <w:p w14:paraId="5798AA58" w14:textId="77777777" w:rsidR="00367A8D" w:rsidRPr="00D72AD6" w:rsidRDefault="00367A8D" w:rsidP="00120BA7">
            <w:pPr>
              <w:spacing w:line="276" w:lineRule="auto"/>
              <w:jc w:val="center"/>
              <w:rPr>
                <w:sz w:val="20"/>
                <w:szCs w:val="20"/>
              </w:rPr>
            </w:pPr>
            <w:r w:rsidRPr="00D72AD6">
              <w:rPr>
                <w:sz w:val="20"/>
                <w:szCs w:val="20"/>
              </w:rPr>
              <w:t>X</w:t>
            </w:r>
          </w:p>
        </w:tc>
        <w:tc>
          <w:tcPr>
            <w:tcW w:w="622" w:type="pct"/>
            <w:vAlign w:val="center"/>
          </w:tcPr>
          <w:p w14:paraId="16CBDE78" w14:textId="77777777" w:rsidR="00367A8D" w:rsidRPr="00D72AD6" w:rsidRDefault="00367A8D" w:rsidP="00120BA7">
            <w:pPr>
              <w:spacing w:line="276" w:lineRule="auto"/>
              <w:jc w:val="center"/>
              <w:rPr>
                <w:sz w:val="20"/>
                <w:szCs w:val="20"/>
              </w:rPr>
            </w:pPr>
          </w:p>
        </w:tc>
        <w:tc>
          <w:tcPr>
            <w:tcW w:w="707" w:type="pct"/>
            <w:vAlign w:val="center"/>
          </w:tcPr>
          <w:p w14:paraId="262255AC" w14:textId="77777777" w:rsidR="00367A8D" w:rsidRPr="00D72AD6" w:rsidRDefault="00367A8D" w:rsidP="00120BA7">
            <w:pPr>
              <w:spacing w:line="276" w:lineRule="auto"/>
              <w:jc w:val="center"/>
              <w:rPr>
                <w:sz w:val="20"/>
                <w:szCs w:val="20"/>
              </w:rPr>
            </w:pPr>
          </w:p>
        </w:tc>
      </w:tr>
      <w:tr w:rsidR="00367A8D" w:rsidRPr="00D72AD6" w14:paraId="44C58728" w14:textId="77777777" w:rsidTr="00BF5F3D">
        <w:trPr>
          <w:trHeight w:val="20"/>
        </w:trPr>
        <w:tc>
          <w:tcPr>
            <w:tcW w:w="1020" w:type="pct"/>
            <w:vMerge/>
            <w:vAlign w:val="center"/>
          </w:tcPr>
          <w:p w14:paraId="6438F121" w14:textId="77777777" w:rsidR="00367A8D" w:rsidRPr="00D72AD6" w:rsidRDefault="00367A8D" w:rsidP="00120BA7">
            <w:pPr>
              <w:spacing w:line="276" w:lineRule="auto"/>
              <w:rPr>
                <w:sz w:val="20"/>
                <w:szCs w:val="20"/>
              </w:rPr>
            </w:pPr>
          </w:p>
        </w:tc>
        <w:tc>
          <w:tcPr>
            <w:tcW w:w="1995" w:type="pct"/>
            <w:vAlign w:val="center"/>
          </w:tcPr>
          <w:p w14:paraId="77877692" w14:textId="77777777" w:rsidR="00367A8D" w:rsidRPr="00D72AD6" w:rsidRDefault="00367A8D" w:rsidP="00120BA7">
            <w:pPr>
              <w:spacing w:line="276" w:lineRule="auto"/>
              <w:rPr>
                <w:sz w:val="20"/>
                <w:szCs w:val="20"/>
              </w:rPr>
            </w:pPr>
            <w:r w:rsidRPr="00D72AD6">
              <w:rPr>
                <w:sz w:val="20"/>
                <w:szCs w:val="20"/>
              </w:rPr>
              <w:t>Impacts of suicidal attempts</w:t>
            </w:r>
          </w:p>
        </w:tc>
        <w:tc>
          <w:tcPr>
            <w:tcW w:w="656" w:type="pct"/>
            <w:vAlign w:val="center"/>
          </w:tcPr>
          <w:p w14:paraId="22DCBB59" w14:textId="77777777" w:rsidR="00367A8D" w:rsidRPr="00D72AD6" w:rsidRDefault="00367A8D" w:rsidP="00120BA7">
            <w:pPr>
              <w:spacing w:line="276" w:lineRule="auto"/>
              <w:jc w:val="center"/>
              <w:rPr>
                <w:sz w:val="20"/>
                <w:szCs w:val="20"/>
              </w:rPr>
            </w:pPr>
            <w:r w:rsidRPr="00D72AD6">
              <w:rPr>
                <w:sz w:val="20"/>
                <w:szCs w:val="20"/>
              </w:rPr>
              <w:t>X</w:t>
            </w:r>
          </w:p>
        </w:tc>
        <w:tc>
          <w:tcPr>
            <w:tcW w:w="622" w:type="pct"/>
            <w:vAlign w:val="center"/>
          </w:tcPr>
          <w:p w14:paraId="090C0600" w14:textId="77777777" w:rsidR="00367A8D" w:rsidRPr="00D72AD6" w:rsidRDefault="00367A8D" w:rsidP="00120BA7">
            <w:pPr>
              <w:spacing w:line="276" w:lineRule="auto"/>
              <w:jc w:val="center"/>
              <w:rPr>
                <w:sz w:val="20"/>
                <w:szCs w:val="20"/>
              </w:rPr>
            </w:pPr>
            <w:r w:rsidRPr="00D72AD6">
              <w:rPr>
                <w:sz w:val="20"/>
                <w:szCs w:val="20"/>
              </w:rPr>
              <w:t>X</w:t>
            </w:r>
          </w:p>
        </w:tc>
        <w:tc>
          <w:tcPr>
            <w:tcW w:w="707" w:type="pct"/>
            <w:vAlign w:val="center"/>
          </w:tcPr>
          <w:p w14:paraId="2D4ED81C" w14:textId="77777777" w:rsidR="00367A8D" w:rsidRPr="00D72AD6" w:rsidRDefault="00367A8D" w:rsidP="00120BA7">
            <w:pPr>
              <w:spacing w:line="276" w:lineRule="auto"/>
              <w:jc w:val="center"/>
              <w:rPr>
                <w:sz w:val="20"/>
                <w:szCs w:val="20"/>
              </w:rPr>
            </w:pPr>
            <w:r w:rsidRPr="00D72AD6">
              <w:rPr>
                <w:sz w:val="20"/>
                <w:szCs w:val="20"/>
              </w:rPr>
              <w:t>X</w:t>
            </w:r>
          </w:p>
        </w:tc>
      </w:tr>
      <w:tr w:rsidR="00367A8D" w:rsidRPr="00D72AD6" w14:paraId="0958C2E6" w14:textId="77777777" w:rsidTr="00BF5F3D">
        <w:trPr>
          <w:trHeight w:val="20"/>
        </w:trPr>
        <w:tc>
          <w:tcPr>
            <w:tcW w:w="1020" w:type="pct"/>
            <w:vMerge/>
            <w:vAlign w:val="center"/>
          </w:tcPr>
          <w:p w14:paraId="68DEF354" w14:textId="77777777" w:rsidR="00367A8D" w:rsidRPr="00D72AD6" w:rsidRDefault="00367A8D" w:rsidP="00120BA7">
            <w:pPr>
              <w:spacing w:line="276" w:lineRule="auto"/>
              <w:rPr>
                <w:sz w:val="20"/>
                <w:szCs w:val="20"/>
              </w:rPr>
            </w:pPr>
          </w:p>
        </w:tc>
        <w:tc>
          <w:tcPr>
            <w:tcW w:w="1995" w:type="pct"/>
            <w:vAlign w:val="center"/>
          </w:tcPr>
          <w:p w14:paraId="4C29C9A3" w14:textId="77777777" w:rsidR="00367A8D" w:rsidRPr="00D72AD6" w:rsidRDefault="00367A8D" w:rsidP="00120BA7">
            <w:pPr>
              <w:spacing w:line="276" w:lineRule="auto"/>
              <w:rPr>
                <w:sz w:val="20"/>
                <w:szCs w:val="20"/>
              </w:rPr>
            </w:pPr>
            <w:r w:rsidRPr="00D72AD6">
              <w:rPr>
                <w:sz w:val="20"/>
                <w:szCs w:val="20"/>
              </w:rPr>
              <w:t>Impacts of fatality by suicide</w:t>
            </w:r>
          </w:p>
        </w:tc>
        <w:tc>
          <w:tcPr>
            <w:tcW w:w="656" w:type="pct"/>
            <w:vAlign w:val="center"/>
          </w:tcPr>
          <w:p w14:paraId="7A29502C" w14:textId="77777777" w:rsidR="00367A8D" w:rsidRPr="00D72AD6" w:rsidRDefault="00367A8D" w:rsidP="00120BA7">
            <w:pPr>
              <w:spacing w:line="276" w:lineRule="auto"/>
              <w:jc w:val="center"/>
              <w:rPr>
                <w:sz w:val="20"/>
                <w:szCs w:val="20"/>
              </w:rPr>
            </w:pPr>
          </w:p>
        </w:tc>
        <w:tc>
          <w:tcPr>
            <w:tcW w:w="622" w:type="pct"/>
            <w:vAlign w:val="center"/>
          </w:tcPr>
          <w:p w14:paraId="1DF59FA6" w14:textId="77777777" w:rsidR="00367A8D" w:rsidRPr="00D72AD6" w:rsidRDefault="00367A8D" w:rsidP="00120BA7">
            <w:pPr>
              <w:spacing w:line="276" w:lineRule="auto"/>
              <w:jc w:val="center"/>
              <w:rPr>
                <w:sz w:val="20"/>
                <w:szCs w:val="20"/>
              </w:rPr>
            </w:pPr>
            <w:r w:rsidRPr="00D72AD6">
              <w:rPr>
                <w:sz w:val="20"/>
                <w:szCs w:val="20"/>
              </w:rPr>
              <w:t>X</w:t>
            </w:r>
          </w:p>
        </w:tc>
        <w:tc>
          <w:tcPr>
            <w:tcW w:w="707" w:type="pct"/>
            <w:vAlign w:val="center"/>
          </w:tcPr>
          <w:p w14:paraId="72FA59ED" w14:textId="77777777" w:rsidR="00367A8D" w:rsidRPr="00D72AD6" w:rsidRDefault="00367A8D" w:rsidP="00120BA7">
            <w:pPr>
              <w:spacing w:line="276" w:lineRule="auto"/>
              <w:jc w:val="center"/>
              <w:rPr>
                <w:sz w:val="20"/>
                <w:szCs w:val="20"/>
              </w:rPr>
            </w:pPr>
            <w:r w:rsidRPr="00D72AD6">
              <w:rPr>
                <w:sz w:val="20"/>
                <w:szCs w:val="20"/>
              </w:rPr>
              <w:t>X</w:t>
            </w:r>
          </w:p>
        </w:tc>
      </w:tr>
      <w:tr w:rsidR="00367A8D" w:rsidRPr="00D72AD6" w14:paraId="45D36295" w14:textId="77777777" w:rsidTr="00BF5F3D">
        <w:trPr>
          <w:trHeight w:val="20"/>
        </w:trPr>
        <w:tc>
          <w:tcPr>
            <w:tcW w:w="1020" w:type="pct"/>
            <w:vMerge/>
            <w:vAlign w:val="center"/>
          </w:tcPr>
          <w:p w14:paraId="2D39B750" w14:textId="77777777" w:rsidR="00367A8D" w:rsidRPr="00D72AD6" w:rsidRDefault="00367A8D" w:rsidP="00120BA7">
            <w:pPr>
              <w:spacing w:line="276" w:lineRule="auto"/>
              <w:rPr>
                <w:sz w:val="20"/>
                <w:szCs w:val="20"/>
              </w:rPr>
            </w:pPr>
          </w:p>
        </w:tc>
        <w:tc>
          <w:tcPr>
            <w:tcW w:w="1995" w:type="pct"/>
            <w:vAlign w:val="center"/>
          </w:tcPr>
          <w:p w14:paraId="1A3A5606" w14:textId="77777777" w:rsidR="00367A8D" w:rsidRPr="00D72AD6" w:rsidRDefault="00367A8D" w:rsidP="00120BA7">
            <w:pPr>
              <w:spacing w:line="276" w:lineRule="auto"/>
              <w:rPr>
                <w:sz w:val="20"/>
                <w:szCs w:val="20"/>
              </w:rPr>
            </w:pPr>
            <w:r w:rsidRPr="00D72AD6">
              <w:rPr>
                <w:sz w:val="20"/>
                <w:szCs w:val="20"/>
              </w:rPr>
              <w:t>HRQoL impact of gambling harm</w:t>
            </w:r>
          </w:p>
        </w:tc>
        <w:tc>
          <w:tcPr>
            <w:tcW w:w="656" w:type="pct"/>
            <w:vAlign w:val="center"/>
          </w:tcPr>
          <w:p w14:paraId="4B02F57A" w14:textId="77777777" w:rsidR="00367A8D" w:rsidRPr="00D72AD6" w:rsidRDefault="00367A8D" w:rsidP="00120BA7">
            <w:pPr>
              <w:spacing w:line="276" w:lineRule="auto"/>
              <w:jc w:val="center"/>
              <w:rPr>
                <w:sz w:val="20"/>
                <w:szCs w:val="20"/>
              </w:rPr>
            </w:pPr>
            <w:r w:rsidRPr="00D72AD6">
              <w:rPr>
                <w:sz w:val="20"/>
                <w:szCs w:val="20"/>
              </w:rPr>
              <w:t>X</w:t>
            </w:r>
          </w:p>
        </w:tc>
        <w:tc>
          <w:tcPr>
            <w:tcW w:w="622" w:type="pct"/>
            <w:vAlign w:val="center"/>
          </w:tcPr>
          <w:p w14:paraId="4B90263B" w14:textId="77777777" w:rsidR="00367A8D" w:rsidRPr="00D72AD6" w:rsidRDefault="00367A8D" w:rsidP="00120BA7">
            <w:pPr>
              <w:spacing w:line="276" w:lineRule="auto"/>
              <w:jc w:val="center"/>
              <w:rPr>
                <w:sz w:val="20"/>
                <w:szCs w:val="20"/>
              </w:rPr>
            </w:pPr>
            <w:r w:rsidRPr="00D72AD6">
              <w:rPr>
                <w:sz w:val="20"/>
                <w:szCs w:val="20"/>
              </w:rPr>
              <w:t>X</w:t>
            </w:r>
          </w:p>
        </w:tc>
        <w:tc>
          <w:tcPr>
            <w:tcW w:w="707" w:type="pct"/>
            <w:vAlign w:val="center"/>
          </w:tcPr>
          <w:p w14:paraId="74178843" w14:textId="77777777" w:rsidR="00367A8D" w:rsidRPr="00D72AD6" w:rsidRDefault="00367A8D" w:rsidP="00120BA7">
            <w:pPr>
              <w:spacing w:line="276" w:lineRule="auto"/>
              <w:jc w:val="center"/>
              <w:rPr>
                <w:sz w:val="20"/>
                <w:szCs w:val="20"/>
              </w:rPr>
            </w:pPr>
          </w:p>
        </w:tc>
      </w:tr>
      <w:tr w:rsidR="00367A8D" w:rsidRPr="00D72AD6" w14:paraId="287D46EC" w14:textId="77777777" w:rsidTr="00BF5F3D">
        <w:trPr>
          <w:trHeight w:val="20"/>
        </w:trPr>
        <w:tc>
          <w:tcPr>
            <w:tcW w:w="1020" w:type="pct"/>
            <w:vMerge/>
            <w:vAlign w:val="center"/>
          </w:tcPr>
          <w:p w14:paraId="5979CBB7" w14:textId="77777777" w:rsidR="00367A8D" w:rsidRPr="00D72AD6" w:rsidRDefault="00367A8D" w:rsidP="00120BA7">
            <w:pPr>
              <w:spacing w:line="276" w:lineRule="auto"/>
              <w:rPr>
                <w:sz w:val="20"/>
                <w:szCs w:val="20"/>
              </w:rPr>
            </w:pPr>
          </w:p>
        </w:tc>
        <w:tc>
          <w:tcPr>
            <w:tcW w:w="1995" w:type="pct"/>
            <w:vAlign w:val="center"/>
          </w:tcPr>
          <w:p w14:paraId="3089004D" w14:textId="77777777" w:rsidR="00367A8D" w:rsidRPr="00D72AD6" w:rsidRDefault="00367A8D" w:rsidP="00120BA7">
            <w:pPr>
              <w:spacing w:line="276" w:lineRule="auto"/>
              <w:rPr>
                <w:sz w:val="20"/>
                <w:szCs w:val="20"/>
              </w:rPr>
            </w:pPr>
            <w:r w:rsidRPr="00D72AD6">
              <w:rPr>
                <w:sz w:val="20"/>
                <w:szCs w:val="20"/>
              </w:rPr>
              <w:t>Health systems</w:t>
            </w:r>
          </w:p>
        </w:tc>
        <w:tc>
          <w:tcPr>
            <w:tcW w:w="656" w:type="pct"/>
            <w:vAlign w:val="center"/>
          </w:tcPr>
          <w:p w14:paraId="12DD5521" w14:textId="77777777" w:rsidR="00367A8D" w:rsidRPr="00D72AD6" w:rsidRDefault="00367A8D" w:rsidP="00120BA7">
            <w:pPr>
              <w:spacing w:line="276" w:lineRule="auto"/>
              <w:jc w:val="center"/>
              <w:rPr>
                <w:sz w:val="20"/>
                <w:szCs w:val="20"/>
              </w:rPr>
            </w:pPr>
          </w:p>
        </w:tc>
        <w:tc>
          <w:tcPr>
            <w:tcW w:w="622" w:type="pct"/>
            <w:vAlign w:val="center"/>
          </w:tcPr>
          <w:p w14:paraId="50178D95" w14:textId="77777777" w:rsidR="00367A8D" w:rsidRPr="00D72AD6" w:rsidRDefault="00367A8D" w:rsidP="00120BA7">
            <w:pPr>
              <w:spacing w:line="276" w:lineRule="auto"/>
              <w:jc w:val="center"/>
              <w:rPr>
                <w:sz w:val="20"/>
                <w:szCs w:val="20"/>
              </w:rPr>
            </w:pPr>
          </w:p>
        </w:tc>
        <w:tc>
          <w:tcPr>
            <w:tcW w:w="707" w:type="pct"/>
            <w:vAlign w:val="center"/>
          </w:tcPr>
          <w:p w14:paraId="329F689E" w14:textId="77777777" w:rsidR="00367A8D" w:rsidRPr="00D72AD6" w:rsidRDefault="00367A8D" w:rsidP="00120BA7">
            <w:pPr>
              <w:spacing w:line="276" w:lineRule="auto"/>
              <w:jc w:val="center"/>
              <w:rPr>
                <w:sz w:val="20"/>
                <w:szCs w:val="20"/>
              </w:rPr>
            </w:pPr>
            <w:r w:rsidRPr="00D72AD6">
              <w:rPr>
                <w:sz w:val="20"/>
                <w:szCs w:val="20"/>
              </w:rPr>
              <w:t>X</w:t>
            </w:r>
          </w:p>
        </w:tc>
      </w:tr>
      <w:tr w:rsidR="00367A8D" w:rsidRPr="00D72AD6" w14:paraId="59230422" w14:textId="77777777" w:rsidTr="00BF5F3D">
        <w:trPr>
          <w:trHeight w:val="20"/>
        </w:trPr>
        <w:tc>
          <w:tcPr>
            <w:tcW w:w="1020" w:type="pct"/>
            <w:vAlign w:val="center"/>
          </w:tcPr>
          <w:p w14:paraId="6916972F" w14:textId="77777777" w:rsidR="00367A8D" w:rsidRPr="00D72AD6" w:rsidRDefault="00367A8D" w:rsidP="00120BA7">
            <w:pPr>
              <w:spacing w:line="276" w:lineRule="auto"/>
              <w:rPr>
                <w:sz w:val="20"/>
                <w:szCs w:val="20"/>
              </w:rPr>
            </w:pPr>
            <w:r w:rsidRPr="00D72AD6">
              <w:rPr>
                <w:sz w:val="20"/>
                <w:szCs w:val="20"/>
              </w:rPr>
              <w:t>Cultural harm</w:t>
            </w:r>
          </w:p>
        </w:tc>
        <w:tc>
          <w:tcPr>
            <w:tcW w:w="1995" w:type="pct"/>
            <w:vAlign w:val="center"/>
          </w:tcPr>
          <w:p w14:paraId="22B2E2E8" w14:textId="77777777" w:rsidR="00367A8D" w:rsidRPr="00D72AD6" w:rsidRDefault="00367A8D" w:rsidP="00120BA7">
            <w:pPr>
              <w:spacing w:line="276" w:lineRule="auto"/>
              <w:rPr>
                <w:sz w:val="20"/>
                <w:szCs w:val="20"/>
              </w:rPr>
            </w:pPr>
            <w:r w:rsidRPr="00D72AD6">
              <w:rPr>
                <w:sz w:val="20"/>
                <w:szCs w:val="20"/>
              </w:rPr>
              <w:t>Reduced engagement or contribution to community; loss of connection, social isolation and loneliness; cultural shame</w:t>
            </w:r>
          </w:p>
        </w:tc>
        <w:tc>
          <w:tcPr>
            <w:tcW w:w="656" w:type="pct"/>
            <w:vAlign w:val="center"/>
          </w:tcPr>
          <w:p w14:paraId="43B7A949" w14:textId="77777777" w:rsidR="00367A8D" w:rsidRPr="00D72AD6" w:rsidRDefault="00367A8D" w:rsidP="00120BA7">
            <w:pPr>
              <w:spacing w:line="276" w:lineRule="auto"/>
              <w:jc w:val="center"/>
              <w:rPr>
                <w:sz w:val="20"/>
                <w:szCs w:val="20"/>
              </w:rPr>
            </w:pPr>
            <w:r w:rsidRPr="00D72AD6">
              <w:rPr>
                <w:sz w:val="20"/>
                <w:szCs w:val="20"/>
              </w:rPr>
              <w:t>X</w:t>
            </w:r>
          </w:p>
        </w:tc>
        <w:tc>
          <w:tcPr>
            <w:tcW w:w="622" w:type="pct"/>
            <w:vAlign w:val="center"/>
          </w:tcPr>
          <w:p w14:paraId="77E62889" w14:textId="77777777" w:rsidR="00367A8D" w:rsidRPr="00D72AD6" w:rsidRDefault="00367A8D" w:rsidP="00120BA7">
            <w:pPr>
              <w:spacing w:line="276" w:lineRule="auto"/>
              <w:jc w:val="center"/>
              <w:rPr>
                <w:sz w:val="20"/>
                <w:szCs w:val="20"/>
              </w:rPr>
            </w:pPr>
            <w:r w:rsidRPr="00D72AD6">
              <w:rPr>
                <w:sz w:val="20"/>
                <w:szCs w:val="20"/>
              </w:rPr>
              <w:t>X</w:t>
            </w:r>
          </w:p>
        </w:tc>
        <w:tc>
          <w:tcPr>
            <w:tcW w:w="707" w:type="pct"/>
            <w:vAlign w:val="center"/>
          </w:tcPr>
          <w:p w14:paraId="53AE19DD" w14:textId="77777777" w:rsidR="00367A8D" w:rsidRPr="00D72AD6" w:rsidRDefault="00367A8D" w:rsidP="00120BA7">
            <w:pPr>
              <w:spacing w:line="276" w:lineRule="auto"/>
              <w:jc w:val="center"/>
              <w:rPr>
                <w:sz w:val="20"/>
                <w:szCs w:val="20"/>
              </w:rPr>
            </w:pPr>
            <w:r w:rsidRPr="00D72AD6">
              <w:rPr>
                <w:sz w:val="20"/>
                <w:szCs w:val="20"/>
              </w:rPr>
              <w:t>X</w:t>
            </w:r>
          </w:p>
        </w:tc>
      </w:tr>
      <w:tr w:rsidR="00367A8D" w:rsidRPr="00D72AD6" w14:paraId="7ACF3DD5" w14:textId="77777777" w:rsidTr="00BF5F3D">
        <w:trPr>
          <w:trHeight w:val="20"/>
        </w:trPr>
        <w:tc>
          <w:tcPr>
            <w:tcW w:w="1020" w:type="pct"/>
            <w:vMerge w:val="restart"/>
            <w:vAlign w:val="center"/>
          </w:tcPr>
          <w:p w14:paraId="2F6265D1" w14:textId="77777777" w:rsidR="00367A8D" w:rsidRPr="00D72AD6" w:rsidRDefault="00367A8D" w:rsidP="00120BA7">
            <w:pPr>
              <w:spacing w:line="276" w:lineRule="auto"/>
              <w:rPr>
                <w:sz w:val="20"/>
                <w:szCs w:val="20"/>
              </w:rPr>
            </w:pPr>
            <w:r w:rsidRPr="00D72AD6">
              <w:rPr>
                <w:sz w:val="20"/>
                <w:szCs w:val="20"/>
              </w:rPr>
              <w:t>Work or study impacts</w:t>
            </w:r>
          </w:p>
        </w:tc>
        <w:tc>
          <w:tcPr>
            <w:tcW w:w="1995" w:type="pct"/>
            <w:vAlign w:val="center"/>
          </w:tcPr>
          <w:p w14:paraId="6CE8D81E" w14:textId="77777777" w:rsidR="00367A8D" w:rsidRPr="00D72AD6" w:rsidRDefault="00367A8D" w:rsidP="00120BA7">
            <w:pPr>
              <w:spacing w:line="276" w:lineRule="auto"/>
              <w:rPr>
                <w:sz w:val="20"/>
                <w:szCs w:val="20"/>
              </w:rPr>
            </w:pPr>
            <w:r w:rsidRPr="00D72AD6">
              <w:rPr>
                <w:sz w:val="20"/>
                <w:szCs w:val="20"/>
              </w:rPr>
              <w:t>Productivity loss to business</w:t>
            </w:r>
          </w:p>
        </w:tc>
        <w:tc>
          <w:tcPr>
            <w:tcW w:w="656" w:type="pct"/>
            <w:vAlign w:val="center"/>
          </w:tcPr>
          <w:p w14:paraId="3BB7E4E5" w14:textId="77777777" w:rsidR="00367A8D" w:rsidRPr="00D72AD6" w:rsidRDefault="00367A8D" w:rsidP="00120BA7">
            <w:pPr>
              <w:spacing w:line="276" w:lineRule="auto"/>
              <w:jc w:val="center"/>
              <w:rPr>
                <w:sz w:val="20"/>
                <w:szCs w:val="20"/>
              </w:rPr>
            </w:pPr>
          </w:p>
        </w:tc>
        <w:tc>
          <w:tcPr>
            <w:tcW w:w="622" w:type="pct"/>
            <w:vAlign w:val="center"/>
          </w:tcPr>
          <w:p w14:paraId="18D4F18C" w14:textId="77777777" w:rsidR="00367A8D" w:rsidRPr="00D72AD6" w:rsidRDefault="00367A8D" w:rsidP="00120BA7">
            <w:pPr>
              <w:spacing w:line="276" w:lineRule="auto"/>
              <w:jc w:val="center"/>
              <w:rPr>
                <w:sz w:val="20"/>
                <w:szCs w:val="20"/>
              </w:rPr>
            </w:pPr>
          </w:p>
        </w:tc>
        <w:tc>
          <w:tcPr>
            <w:tcW w:w="707" w:type="pct"/>
            <w:vAlign w:val="center"/>
          </w:tcPr>
          <w:p w14:paraId="3C433EDB" w14:textId="77777777" w:rsidR="00367A8D" w:rsidRPr="00D72AD6" w:rsidRDefault="00367A8D" w:rsidP="00120BA7">
            <w:pPr>
              <w:spacing w:line="276" w:lineRule="auto"/>
              <w:jc w:val="center"/>
              <w:rPr>
                <w:sz w:val="20"/>
                <w:szCs w:val="20"/>
              </w:rPr>
            </w:pPr>
            <w:r w:rsidRPr="00D72AD6">
              <w:rPr>
                <w:sz w:val="20"/>
                <w:szCs w:val="20"/>
              </w:rPr>
              <w:t>X</w:t>
            </w:r>
          </w:p>
        </w:tc>
      </w:tr>
      <w:tr w:rsidR="00367A8D" w:rsidRPr="00D72AD6" w14:paraId="46F0A520" w14:textId="77777777" w:rsidTr="00BF5F3D">
        <w:trPr>
          <w:trHeight w:val="20"/>
        </w:trPr>
        <w:tc>
          <w:tcPr>
            <w:tcW w:w="1020" w:type="pct"/>
            <w:vMerge/>
            <w:vAlign w:val="center"/>
          </w:tcPr>
          <w:p w14:paraId="7B841241" w14:textId="77777777" w:rsidR="00367A8D" w:rsidRPr="00D72AD6" w:rsidRDefault="00367A8D" w:rsidP="00120BA7">
            <w:pPr>
              <w:spacing w:line="276" w:lineRule="auto"/>
              <w:rPr>
                <w:sz w:val="20"/>
                <w:szCs w:val="20"/>
              </w:rPr>
            </w:pPr>
          </w:p>
        </w:tc>
        <w:tc>
          <w:tcPr>
            <w:tcW w:w="1995" w:type="pct"/>
            <w:vAlign w:val="center"/>
          </w:tcPr>
          <w:p w14:paraId="14BD4DD0" w14:textId="77777777" w:rsidR="00367A8D" w:rsidRPr="00D72AD6" w:rsidRDefault="00367A8D" w:rsidP="00120BA7">
            <w:pPr>
              <w:spacing w:line="276" w:lineRule="auto"/>
              <w:rPr>
                <w:sz w:val="20"/>
                <w:szCs w:val="20"/>
              </w:rPr>
            </w:pPr>
            <w:r w:rsidRPr="00D72AD6">
              <w:rPr>
                <w:sz w:val="20"/>
                <w:szCs w:val="20"/>
              </w:rPr>
              <w:t>Cost of job loss</w:t>
            </w:r>
          </w:p>
        </w:tc>
        <w:tc>
          <w:tcPr>
            <w:tcW w:w="656" w:type="pct"/>
            <w:vAlign w:val="center"/>
          </w:tcPr>
          <w:p w14:paraId="3D5EE454" w14:textId="77777777" w:rsidR="00367A8D" w:rsidRPr="00D72AD6" w:rsidRDefault="00367A8D" w:rsidP="00120BA7">
            <w:pPr>
              <w:spacing w:line="276" w:lineRule="auto"/>
              <w:jc w:val="center"/>
              <w:rPr>
                <w:sz w:val="20"/>
                <w:szCs w:val="20"/>
              </w:rPr>
            </w:pPr>
          </w:p>
        </w:tc>
        <w:tc>
          <w:tcPr>
            <w:tcW w:w="622" w:type="pct"/>
            <w:vAlign w:val="center"/>
          </w:tcPr>
          <w:p w14:paraId="7C6A3418" w14:textId="77777777" w:rsidR="00367A8D" w:rsidRPr="00D72AD6" w:rsidRDefault="00367A8D" w:rsidP="00120BA7">
            <w:pPr>
              <w:spacing w:line="276" w:lineRule="auto"/>
              <w:jc w:val="center"/>
              <w:rPr>
                <w:sz w:val="20"/>
                <w:szCs w:val="20"/>
              </w:rPr>
            </w:pPr>
          </w:p>
        </w:tc>
        <w:tc>
          <w:tcPr>
            <w:tcW w:w="707" w:type="pct"/>
            <w:vAlign w:val="center"/>
          </w:tcPr>
          <w:p w14:paraId="115D64CC" w14:textId="77777777" w:rsidR="00367A8D" w:rsidRPr="00D72AD6" w:rsidRDefault="00367A8D" w:rsidP="00120BA7">
            <w:pPr>
              <w:spacing w:line="276" w:lineRule="auto"/>
              <w:jc w:val="center"/>
              <w:rPr>
                <w:sz w:val="20"/>
                <w:szCs w:val="20"/>
              </w:rPr>
            </w:pPr>
          </w:p>
        </w:tc>
      </w:tr>
      <w:tr w:rsidR="00367A8D" w:rsidRPr="00D72AD6" w14:paraId="73857FAD" w14:textId="77777777" w:rsidTr="00BF5F3D">
        <w:trPr>
          <w:trHeight w:val="20"/>
        </w:trPr>
        <w:tc>
          <w:tcPr>
            <w:tcW w:w="1020" w:type="pct"/>
            <w:vMerge/>
            <w:vAlign w:val="center"/>
          </w:tcPr>
          <w:p w14:paraId="18FB8D40" w14:textId="77777777" w:rsidR="00367A8D" w:rsidRPr="00D72AD6" w:rsidRDefault="00367A8D" w:rsidP="00120BA7">
            <w:pPr>
              <w:spacing w:line="276" w:lineRule="auto"/>
              <w:rPr>
                <w:sz w:val="20"/>
                <w:szCs w:val="20"/>
              </w:rPr>
            </w:pPr>
          </w:p>
        </w:tc>
        <w:tc>
          <w:tcPr>
            <w:tcW w:w="1995" w:type="pct"/>
            <w:vAlign w:val="center"/>
          </w:tcPr>
          <w:p w14:paraId="056694D0" w14:textId="77777777" w:rsidR="00367A8D" w:rsidRPr="00D72AD6" w:rsidRDefault="00367A8D" w:rsidP="00120BA7">
            <w:pPr>
              <w:spacing w:line="276" w:lineRule="auto"/>
              <w:rPr>
                <w:sz w:val="20"/>
                <w:szCs w:val="20"/>
              </w:rPr>
            </w:pPr>
            <w:r w:rsidRPr="00D72AD6">
              <w:rPr>
                <w:sz w:val="20"/>
                <w:szCs w:val="20"/>
              </w:rPr>
              <w:t>Loss of income</w:t>
            </w:r>
          </w:p>
        </w:tc>
        <w:tc>
          <w:tcPr>
            <w:tcW w:w="656" w:type="pct"/>
            <w:vAlign w:val="center"/>
          </w:tcPr>
          <w:p w14:paraId="4B67AAC1" w14:textId="77777777" w:rsidR="00367A8D" w:rsidRPr="00D72AD6" w:rsidRDefault="00367A8D" w:rsidP="00120BA7">
            <w:pPr>
              <w:spacing w:line="276" w:lineRule="auto"/>
              <w:jc w:val="center"/>
              <w:rPr>
                <w:sz w:val="20"/>
                <w:szCs w:val="20"/>
              </w:rPr>
            </w:pPr>
            <w:r w:rsidRPr="00D72AD6">
              <w:rPr>
                <w:sz w:val="20"/>
                <w:szCs w:val="20"/>
              </w:rPr>
              <w:t>X</w:t>
            </w:r>
          </w:p>
        </w:tc>
        <w:tc>
          <w:tcPr>
            <w:tcW w:w="622" w:type="pct"/>
            <w:vAlign w:val="center"/>
          </w:tcPr>
          <w:p w14:paraId="630E9AFB" w14:textId="77777777" w:rsidR="00367A8D" w:rsidRPr="00D72AD6" w:rsidRDefault="00367A8D" w:rsidP="00120BA7">
            <w:pPr>
              <w:spacing w:line="276" w:lineRule="auto"/>
              <w:jc w:val="center"/>
              <w:rPr>
                <w:sz w:val="20"/>
                <w:szCs w:val="20"/>
              </w:rPr>
            </w:pPr>
          </w:p>
        </w:tc>
        <w:tc>
          <w:tcPr>
            <w:tcW w:w="707" w:type="pct"/>
            <w:vAlign w:val="center"/>
          </w:tcPr>
          <w:p w14:paraId="425C8C77" w14:textId="77777777" w:rsidR="00367A8D" w:rsidRPr="00D72AD6" w:rsidRDefault="00367A8D" w:rsidP="00120BA7">
            <w:pPr>
              <w:spacing w:line="276" w:lineRule="auto"/>
              <w:jc w:val="center"/>
              <w:rPr>
                <w:sz w:val="20"/>
                <w:szCs w:val="20"/>
              </w:rPr>
            </w:pPr>
          </w:p>
        </w:tc>
      </w:tr>
      <w:tr w:rsidR="00367A8D" w:rsidRPr="00D72AD6" w14:paraId="78E70565" w14:textId="77777777" w:rsidTr="00BF5F3D">
        <w:trPr>
          <w:trHeight w:val="20"/>
        </w:trPr>
        <w:tc>
          <w:tcPr>
            <w:tcW w:w="1020" w:type="pct"/>
            <w:vMerge/>
            <w:vAlign w:val="center"/>
          </w:tcPr>
          <w:p w14:paraId="638016DE" w14:textId="77777777" w:rsidR="00367A8D" w:rsidRPr="00D72AD6" w:rsidRDefault="00367A8D" w:rsidP="00120BA7">
            <w:pPr>
              <w:spacing w:line="276" w:lineRule="auto"/>
              <w:rPr>
                <w:sz w:val="20"/>
                <w:szCs w:val="20"/>
              </w:rPr>
            </w:pPr>
          </w:p>
        </w:tc>
        <w:tc>
          <w:tcPr>
            <w:tcW w:w="1995" w:type="pct"/>
            <w:vAlign w:val="center"/>
          </w:tcPr>
          <w:p w14:paraId="43FA28A0" w14:textId="77777777" w:rsidR="00367A8D" w:rsidRPr="00D72AD6" w:rsidRDefault="00367A8D" w:rsidP="00120BA7">
            <w:pPr>
              <w:spacing w:line="276" w:lineRule="auto"/>
              <w:rPr>
                <w:sz w:val="20"/>
                <w:szCs w:val="20"/>
              </w:rPr>
            </w:pPr>
            <w:r w:rsidRPr="00D72AD6">
              <w:rPr>
                <w:sz w:val="20"/>
                <w:szCs w:val="20"/>
              </w:rPr>
              <w:t>Job search to the person who gambles</w:t>
            </w:r>
          </w:p>
        </w:tc>
        <w:tc>
          <w:tcPr>
            <w:tcW w:w="656" w:type="pct"/>
            <w:vAlign w:val="center"/>
          </w:tcPr>
          <w:p w14:paraId="6EF56421" w14:textId="77777777" w:rsidR="00367A8D" w:rsidRPr="00D72AD6" w:rsidRDefault="00367A8D" w:rsidP="00120BA7">
            <w:pPr>
              <w:spacing w:line="276" w:lineRule="auto"/>
              <w:jc w:val="center"/>
              <w:rPr>
                <w:sz w:val="20"/>
                <w:szCs w:val="20"/>
              </w:rPr>
            </w:pPr>
            <w:r w:rsidRPr="00D72AD6">
              <w:rPr>
                <w:sz w:val="20"/>
                <w:szCs w:val="20"/>
              </w:rPr>
              <w:t>X</w:t>
            </w:r>
          </w:p>
        </w:tc>
        <w:tc>
          <w:tcPr>
            <w:tcW w:w="622" w:type="pct"/>
            <w:vAlign w:val="center"/>
          </w:tcPr>
          <w:p w14:paraId="570F364E" w14:textId="77777777" w:rsidR="00367A8D" w:rsidRPr="00D72AD6" w:rsidRDefault="00367A8D" w:rsidP="00120BA7">
            <w:pPr>
              <w:spacing w:line="276" w:lineRule="auto"/>
              <w:jc w:val="center"/>
              <w:rPr>
                <w:sz w:val="20"/>
                <w:szCs w:val="20"/>
              </w:rPr>
            </w:pPr>
          </w:p>
        </w:tc>
        <w:tc>
          <w:tcPr>
            <w:tcW w:w="707" w:type="pct"/>
            <w:vAlign w:val="center"/>
          </w:tcPr>
          <w:p w14:paraId="7DA332F6" w14:textId="77777777" w:rsidR="00367A8D" w:rsidRPr="00D72AD6" w:rsidRDefault="00367A8D" w:rsidP="00120BA7">
            <w:pPr>
              <w:spacing w:line="276" w:lineRule="auto"/>
              <w:jc w:val="center"/>
              <w:rPr>
                <w:sz w:val="20"/>
                <w:szCs w:val="20"/>
              </w:rPr>
            </w:pPr>
          </w:p>
        </w:tc>
      </w:tr>
      <w:tr w:rsidR="00367A8D" w:rsidRPr="00D72AD6" w14:paraId="0CAA7866" w14:textId="77777777" w:rsidTr="00BF5F3D">
        <w:trPr>
          <w:trHeight w:val="20"/>
        </w:trPr>
        <w:tc>
          <w:tcPr>
            <w:tcW w:w="1020" w:type="pct"/>
            <w:vMerge/>
            <w:vAlign w:val="center"/>
          </w:tcPr>
          <w:p w14:paraId="51C6E176" w14:textId="77777777" w:rsidR="00367A8D" w:rsidRPr="00D72AD6" w:rsidRDefault="00367A8D" w:rsidP="00120BA7">
            <w:pPr>
              <w:spacing w:line="276" w:lineRule="auto"/>
              <w:rPr>
                <w:sz w:val="20"/>
                <w:szCs w:val="20"/>
              </w:rPr>
            </w:pPr>
          </w:p>
        </w:tc>
        <w:tc>
          <w:tcPr>
            <w:tcW w:w="1995" w:type="pct"/>
            <w:vAlign w:val="center"/>
          </w:tcPr>
          <w:p w14:paraId="55C449C0" w14:textId="77777777" w:rsidR="00367A8D" w:rsidRPr="00D72AD6" w:rsidRDefault="00367A8D" w:rsidP="00120BA7">
            <w:pPr>
              <w:spacing w:line="276" w:lineRule="auto"/>
              <w:rPr>
                <w:sz w:val="20"/>
                <w:szCs w:val="20"/>
              </w:rPr>
            </w:pPr>
            <w:r w:rsidRPr="00D72AD6">
              <w:rPr>
                <w:sz w:val="20"/>
                <w:szCs w:val="20"/>
              </w:rPr>
              <w:t>Employer staff replacement costs</w:t>
            </w:r>
          </w:p>
        </w:tc>
        <w:tc>
          <w:tcPr>
            <w:tcW w:w="656" w:type="pct"/>
            <w:vAlign w:val="center"/>
          </w:tcPr>
          <w:p w14:paraId="664E3B71" w14:textId="77777777" w:rsidR="00367A8D" w:rsidRPr="00D72AD6" w:rsidRDefault="00367A8D" w:rsidP="00120BA7">
            <w:pPr>
              <w:spacing w:line="276" w:lineRule="auto"/>
              <w:jc w:val="center"/>
              <w:rPr>
                <w:sz w:val="20"/>
                <w:szCs w:val="20"/>
              </w:rPr>
            </w:pPr>
          </w:p>
        </w:tc>
        <w:tc>
          <w:tcPr>
            <w:tcW w:w="622" w:type="pct"/>
            <w:vAlign w:val="center"/>
          </w:tcPr>
          <w:p w14:paraId="624B3F15" w14:textId="77777777" w:rsidR="00367A8D" w:rsidRPr="00D72AD6" w:rsidRDefault="00367A8D" w:rsidP="00120BA7">
            <w:pPr>
              <w:spacing w:line="276" w:lineRule="auto"/>
              <w:jc w:val="center"/>
              <w:rPr>
                <w:sz w:val="20"/>
                <w:szCs w:val="20"/>
              </w:rPr>
            </w:pPr>
          </w:p>
        </w:tc>
        <w:tc>
          <w:tcPr>
            <w:tcW w:w="707" w:type="pct"/>
            <w:vAlign w:val="center"/>
          </w:tcPr>
          <w:p w14:paraId="7BBFEB15" w14:textId="77777777" w:rsidR="00367A8D" w:rsidRPr="00D72AD6" w:rsidRDefault="00367A8D" w:rsidP="00120BA7">
            <w:pPr>
              <w:spacing w:line="276" w:lineRule="auto"/>
              <w:jc w:val="center"/>
              <w:rPr>
                <w:sz w:val="20"/>
                <w:szCs w:val="20"/>
              </w:rPr>
            </w:pPr>
            <w:r w:rsidRPr="00D72AD6">
              <w:rPr>
                <w:sz w:val="20"/>
                <w:szCs w:val="20"/>
              </w:rPr>
              <w:t>X</w:t>
            </w:r>
          </w:p>
        </w:tc>
      </w:tr>
      <w:tr w:rsidR="00367A8D" w:rsidRPr="00D72AD6" w14:paraId="6A72B6BF" w14:textId="77777777" w:rsidTr="00BF5F3D">
        <w:trPr>
          <w:trHeight w:val="20"/>
        </w:trPr>
        <w:tc>
          <w:tcPr>
            <w:tcW w:w="1020" w:type="pct"/>
            <w:vMerge/>
            <w:vAlign w:val="center"/>
          </w:tcPr>
          <w:p w14:paraId="02D98699" w14:textId="77777777" w:rsidR="00367A8D" w:rsidRPr="00D72AD6" w:rsidRDefault="00367A8D" w:rsidP="00120BA7">
            <w:pPr>
              <w:spacing w:line="276" w:lineRule="auto"/>
              <w:rPr>
                <w:sz w:val="20"/>
                <w:szCs w:val="20"/>
              </w:rPr>
            </w:pPr>
          </w:p>
        </w:tc>
        <w:tc>
          <w:tcPr>
            <w:tcW w:w="1995" w:type="pct"/>
            <w:vAlign w:val="center"/>
          </w:tcPr>
          <w:p w14:paraId="6E0D4F21" w14:textId="77777777" w:rsidR="00367A8D" w:rsidRPr="00D72AD6" w:rsidRDefault="00367A8D" w:rsidP="00120BA7">
            <w:pPr>
              <w:spacing w:line="276" w:lineRule="auto"/>
              <w:rPr>
                <w:sz w:val="20"/>
                <w:szCs w:val="20"/>
              </w:rPr>
            </w:pPr>
            <w:r w:rsidRPr="00D72AD6">
              <w:rPr>
                <w:sz w:val="20"/>
                <w:szCs w:val="20"/>
              </w:rPr>
              <w:t>Unemployment benefits</w:t>
            </w:r>
          </w:p>
        </w:tc>
        <w:tc>
          <w:tcPr>
            <w:tcW w:w="656" w:type="pct"/>
            <w:vAlign w:val="center"/>
          </w:tcPr>
          <w:p w14:paraId="0FA1A3FF" w14:textId="77777777" w:rsidR="00367A8D" w:rsidRPr="00D72AD6" w:rsidRDefault="00367A8D" w:rsidP="00120BA7">
            <w:pPr>
              <w:spacing w:line="276" w:lineRule="auto"/>
              <w:jc w:val="center"/>
              <w:rPr>
                <w:sz w:val="20"/>
                <w:szCs w:val="20"/>
              </w:rPr>
            </w:pPr>
          </w:p>
        </w:tc>
        <w:tc>
          <w:tcPr>
            <w:tcW w:w="622" w:type="pct"/>
            <w:vAlign w:val="center"/>
          </w:tcPr>
          <w:p w14:paraId="471D338B" w14:textId="77777777" w:rsidR="00367A8D" w:rsidRPr="00D72AD6" w:rsidRDefault="00367A8D" w:rsidP="00120BA7">
            <w:pPr>
              <w:spacing w:line="276" w:lineRule="auto"/>
              <w:jc w:val="center"/>
              <w:rPr>
                <w:sz w:val="20"/>
                <w:szCs w:val="20"/>
              </w:rPr>
            </w:pPr>
          </w:p>
        </w:tc>
        <w:tc>
          <w:tcPr>
            <w:tcW w:w="707" w:type="pct"/>
            <w:vAlign w:val="center"/>
          </w:tcPr>
          <w:p w14:paraId="464F4765" w14:textId="77777777" w:rsidR="00367A8D" w:rsidRPr="00D72AD6" w:rsidRDefault="00367A8D" w:rsidP="00120BA7">
            <w:pPr>
              <w:spacing w:line="276" w:lineRule="auto"/>
              <w:jc w:val="center"/>
              <w:rPr>
                <w:sz w:val="20"/>
                <w:szCs w:val="20"/>
              </w:rPr>
            </w:pPr>
            <w:r w:rsidRPr="00D72AD6">
              <w:rPr>
                <w:sz w:val="20"/>
                <w:szCs w:val="20"/>
              </w:rPr>
              <w:t>X</w:t>
            </w:r>
          </w:p>
        </w:tc>
      </w:tr>
      <w:tr w:rsidR="00367A8D" w:rsidRPr="00D72AD6" w14:paraId="2AA6E1EE" w14:textId="77777777" w:rsidTr="00BF5F3D">
        <w:trPr>
          <w:trHeight w:val="20"/>
        </w:trPr>
        <w:tc>
          <w:tcPr>
            <w:tcW w:w="1020" w:type="pct"/>
            <w:vMerge/>
            <w:vAlign w:val="center"/>
          </w:tcPr>
          <w:p w14:paraId="4DD99B0C" w14:textId="77777777" w:rsidR="00367A8D" w:rsidRPr="00D72AD6" w:rsidRDefault="00367A8D" w:rsidP="00120BA7">
            <w:pPr>
              <w:spacing w:line="276" w:lineRule="auto"/>
              <w:rPr>
                <w:sz w:val="20"/>
                <w:szCs w:val="20"/>
              </w:rPr>
            </w:pPr>
          </w:p>
        </w:tc>
        <w:tc>
          <w:tcPr>
            <w:tcW w:w="1995" w:type="pct"/>
            <w:vAlign w:val="center"/>
          </w:tcPr>
          <w:p w14:paraId="301DF726" w14:textId="77777777" w:rsidR="00367A8D" w:rsidRPr="00D72AD6" w:rsidRDefault="00367A8D" w:rsidP="00120BA7">
            <w:pPr>
              <w:spacing w:line="276" w:lineRule="auto"/>
              <w:rPr>
                <w:sz w:val="20"/>
                <w:szCs w:val="20"/>
              </w:rPr>
            </w:pPr>
            <w:r w:rsidRPr="00D72AD6">
              <w:rPr>
                <w:sz w:val="20"/>
                <w:szCs w:val="20"/>
              </w:rPr>
              <w:t>Cost of absenteeism to business</w:t>
            </w:r>
          </w:p>
        </w:tc>
        <w:tc>
          <w:tcPr>
            <w:tcW w:w="656" w:type="pct"/>
            <w:vAlign w:val="center"/>
          </w:tcPr>
          <w:p w14:paraId="089F33D7" w14:textId="77777777" w:rsidR="00367A8D" w:rsidRPr="00D72AD6" w:rsidRDefault="00367A8D" w:rsidP="00120BA7">
            <w:pPr>
              <w:spacing w:line="276" w:lineRule="auto"/>
              <w:jc w:val="center"/>
              <w:rPr>
                <w:sz w:val="20"/>
                <w:szCs w:val="20"/>
              </w:rPr>
            </w:pPr>
          </w:p>
        </w:tc>
        <w:tc>
          <w:tcPr>
            <w:tcW w:w="622" w:type="pct"/>
            <w:vAlign w:val="center"/>
          </w:tcPr>
          <w:p w14:paraId="5E947A13" w14:textId="77777777" w:rsidR="00367A8D" w:rsidRPr="00D72AD6" w:rsidRDefault="00367A8D" w:rsidP="00120BA7">
            <w:pPr>
              <w:spacing w:line="276" w:lineRule="auto"/>
              <w:jc w:val="center"/>
              <w:rPr>
                <w:sz w:val="20"/>
                <w:szCs w:val="20"/>
              </w:rPr>
            </w:pPr>
          </w:p>
        </w:tc>
        <w:tc>
          <w:tcPr>
            <w:tcW w:w="707" w:type="pct"/>
            <w:vAlign w:val="center"/>
          </w:tcPr>
          <w:p w14:paraId="011C02DF" w14:textId="77777777" w:rsidR="00367A8D" w:rsidRPr="00D72AD6" w:rsidRDefault="00367A8D" w:rsidP="00120BA7">
            <w:pPr>
              <w:spacing w:line="276" w:lineRule="auto"/>
              <w:jc w:val="center"/>
              <w:rPr>
                <w:sz w:val="20"/>
                <w:szCs w:val="20"/>
              </w:rPr>
            </w:pPr>
            <w:r w:rsidRPr="00D72AD6">
              <w:rPr>
                <w:sz w:val="20"/>
                <w:szCs w:val="20"/>
              </w:rPr>
              <w:t>X</w:t>
            </w:r>
          </w:p>
        </w:tc>
      </w:tr>
      <w:tr w:rsidR="00367A8D" w:rsidRPr="00D72AD6" w14:paraId="4A457B1A" w14:textId="77777777" w:rsidTr="00BF5F3D">
        <w:trPr>
          <w:trHeight w:val="20"/>
        </w:trPr>
        <w:tc>
          <w:tcPr>
            <w:tcW w:w="1020" w:type="pct"/>
            <w:vMerge w:val="restart"/>
            <w:vAlign w:val="center"/>
          </w:tcPr>
          <w:p w14:paraId="5F3634C9" w14:textId="77777777" w:rsidR="00367A8D" w:rsidRPr="00D72AD6" w:rsidRDefault="00367A8D" w:rsidP="00120BA7">
            <w:pPr>
              <w:spacing w:line="276" w:lineRule="auto"/>
              <w:rPr>
                <w:sz w:val="20"/>
                <w:szCs w:val="20"/>
              </w:rPr>
            </w:pPr>
            <w:r w:rsidRPr="00D72AD6">
              <w:rPr>
                <w:sz w:val="20"/>
                <w:szCs w:val="20"/>
              </w:rPr>
              <w:t>Criminal activity</w:t>
            </w:r>
          </w:p>
        </w:tc>
        <w:tc>
          <w:tcPr>
            <w:tcW w:w="1995" w:type="pct"/>
            <w:vAlign w:val="center"/>
          </w:tcPr>
          <w:p w14:paraId="3D93F9BE" w14:textId="77777777" w:rsidR="00367A8D" w:rsidRPr="00D72AD6" w:rsidRDefault="00367A8D" w:rsidP="00120BA7">
            <w:pPr>
              <w:spacing w:line="276" w:lineRule="auto"/>
              <w:rPr>
                <w:sz w:val="20"/>
                <w:szCs w:val="20"/>
              </w:rPr>
            </w:pPr>
            <w:r w:rsidRPr="00D72AD6">
              <w:rPr>
                <w:sz w:val="20"/>
                <w:szCs w:val="20"/>
              </w:rPr>
              <w:t>Cost to New Zealand justice system</w:t>
            </w:r>
          </w:p>
        </w:tc>
        <w:tc>
          <w:tcPr>
            <w:tcW w:w="656" w:type="pct"/>
            <w:vAlign w:val="center"/>
          </w:tcPr>
          <w:p w14:paraId="70E0D3C6" w14:textId="77777777" w:rsidR="00367A8D" w:rsidRPr="00D72AD6" w:rsidRDefault="00367A8D" w:rsidP="00120BA7">
            <w:pPr>
              <w:spacing w:line="276" w:lineRule="auto"/>
              <w:jc w:val="center"/>
              <w:rPr>
                <w:sz w:val="20"/>
                <w:szCs w:val="20"/>
              </w:rPr>
            </w:pPr>
          </w:p>
        </w:tc>
        <w:tc>
          <w:tcPr>
            <w:tcW w:w="622" w:type="pct"/>
            <w:vAlign w:val="center"/>
          </w:tcPr>
          <w:p w14:paraId="7C294664" w14:textId="77777777" w:rsidR="00367A8D" w:rsidRPr="00D72AD6" w:rsidRDefault="00367A8D" w:rsidP="00120BA7">
            <w:pPr>
              <w:spacing w:line="276" w:lineRule="auto"/>
              <w:jc w:val="center"/>
              <w:rPr>
                <w:sz w:val="20"/>
                <w:szCs w:val="20"/>
              </w:rPr>
            </w:pPr>
          </w:p>
        </w:tc>
        <w:tc>
          <w:tcPr>
            <w:tcW w:w="707" w:type="pct"/>
            <w:vAlign w:val="center"/>
          </w:tcPr>
          <w:p w14:paraId="567E6715" w14:textId="77777777" w:rsidR="00367A8D" w:rsidRPr="00D72AD6" w:rsidRDefault="00367A8D" w:rsidP="00120BA7">
            <w:pPr>
              <w:spacing w:line="276" w:lineRule="auto"/>
              <w:jc w:val="center"/>
              <w:rPr>
                <w:sz w:val="20"/>
                <w:szCs w:val="20"/>
              </w:rPr>
            </w:pPr>
          </w:p>
        </w:tc>
      </w:tr>
      <w:tr w:rsidR="00367A8D" w:rsidRPr="00D72AD6" w14:paraId="7F729040" w14:textId="77777777" w:rsidTr="00BF5F3D">
        <w:trPr>
          <w:trHeight w:val="20"/>
        </w:trPr>
        <w:tc>
          <w:tcPr>
            <w:tcW w:w="1020" w:type="pct"/>
            <w:vMerge/>
            <w:vAlign w:val="center"/>
          </w:tcPr>
          <w:p w14:paraId="6690728E" w14:textId="77777777" w:rsidR="00367A8D" w:rsidRPr="00D72AD6" w:rsidRDefault="00367A8D" w:rsidP="00120BA7">
            <w:pPr>
              <w:spacing w:line="276" w:lineRule="auto"/>
              <w:rPr>
                <w:sz w:val="20"/>
                <w:szCs w:val="20"/>
              </w:rPr>
            </w:pPr>
          </w:p>
        </w:tc>
        <w:tc>
          <w:tcPr>
            <w:tcW w:w="1995" w:type="pct"/>
            <w:vAlign w:val="center"/>
          </w:tcPr>
          <w:p w14:paraId="4E8790D2" w14:textId="77777777" w:rsidR="00367A8D" w:rsidRPr="00D72AD6" w:rsidRDefault="00367A8D" w:rsidP="00120BA7">
            <w:pPr>
              <w:spacing w:line="276" w:lineRule="auto"/>
              <w:rPr>
                <w:sz w:val="20"/>
                <w:szCs w:val="20"/>
              </w:rPr>
            </w:pPr>
            <w:r w:rsidRPr="00D72AD6">
              <w:rPr>
                <w:sz w:val="20"/>
                <w:szCs w:val="20"/>
              </w:rPr>
              <w:t>Police system cost</w:t>
            </w:r>
          </w:p>
        </w:tc>
        <w:tc>
          <w:tcPr>
            <w:tcW w:w="656" w:type="pct"/>
            <w:vAlign w:val="center"/>
          </w:tcPr>
          <w:p w14:paraId="41CB9CF5" w14:textId="77777777" w:rsidR="00367A8D" w:rsidRPr="00D72AD6" w:rsidRDefault="00367A8D" w:rsidP="00120BA7">
            <w:pPr>
              <w:spacing w:line="276" w:lineRule="auto"/>
              <w:jc w:val="center"/>
              <w:rPr>
                <w:sz w:val="20"/>
                <w:szCs w:val="20"/>
              </w:rPr>
            </w:pPr>
          </w:p>
        </w:tc>
        <w:tc>
          <w:tcPr>
            <w:tcW w:w="622" w:type="pct"/>
            <w:vAlign w:val="center"/>
          </w:tcPr>
          <w:p w14:paraId="3B514696" w14:textId="77777777" w:rsidR="00367A8D" w:rsidRPr="00D72AD6" w:rsidRDefault="00367A8D" w:rsidP="00120BA7">
            <w:pPr>
              <w:spacing w:line="276" w:lineRule="auto"/>
              <w:jc w:val="center"/>
              <w:rPr>
                <w:sz w:val="20"/>
                <w:szCs w:val="20"/>
              </w:rPr>
            </w:pPr>
          </w:p>
        </w:tc>
        <w:tc>
          <w:tcPr>
            <w:tcW w:w="707" w:type="pct"/>
            <w:vAlign w:val="center"/>
          </w:tcPr>
          <w:p w14:paraId="380DAB54" w14:textId="77777777" w:rsidR="00367A8D" w:rsidRPr="00D72AD6" w:rsidRDefault="00367A8D" w:rsidP="00120BA7">
            <w:pPr>
              <w:spacing w:line="276" w:lineRule="auto"/>
              <w:jc w:val="center"/>
              <w:rPr>
                <w:sz w:val="20"/>
                <w:szCs w:val="20"/>
              </w:rPr>
            </w:pPr>
            <w:r w:rsidRPr="00D72AD6">
              <w:rPr>
                <w:sz w:val="20"/>
                <w:szCs w:val="20"/>
              </w:rPr>
              <w:t>X</w:t>
            </w:r>
          </w:p>
        </w:tc>
      </w:tr>
      <w:tr w:rsidR="00367A8D" w:rsidRPr="00D72AD6" w14:paraId="75BCF9FC" w14:textId="77777777" w:rsidTr="00BF5F3D">
        <w:trPr>
          <w:trHeight w:val="20"/>
        </w:trPr>
        <w:tc>
          <w:tcPr>
            <w:tcW w:w="1020" w:type="pct"/>
            <w:vMerge/>
            <w:vAlign w:val="center"/>
          </w:tcPr>
          <w:p w14:paraId="6914E62D" w14:textId="77777777" w:rsidR="00367A8D" w:rsidRPr="00D72AD6" w:rsidRDefault="00367A8D" w:rsidP="00120BA7">
            <w:pPr>
              <w:spacing w:line="276" w:lineRule="auto"/>
              <w:rPr>
                <w:sz w:val="20"/>
                <w:szCs w:val="20"/>
              </w:rPr>
            </w:pPr>
          </w:p>
        </w:tc>
        <w:tc>
          <w:tcPr>
            <w:tcW w:w="1995" w:type="pct"/>
            <w:vAlign w:val="center"/>
          </w:tcPr>
          <w:p w14:paraId="61CF4102" w14:textId="77777777" w:rsidR="00367A8D" w:rsidRPr="00D72AD6" w:rsidRDefault="00367A8D" w:rsidP="00120BA7">
            <w:pPr>
              <w:spacing w:line="276" w:lineRule="auto"/>
              <w:rPr>
                <w:sz w:val="20"/>
                <w:szCs w:val="20"/>
              </w:rPr>
            </w:pPr>
            <w:r w:rsidRPr="00D72AD6">
              <w:rPr>
                <w:sz w:val="20"/>
                <w:szCs w:val="20"/>
              </w:rPr>
              <w:t>Court system cost</w:t>
            </w:r>
          </w:p>
        </w:tc>
        <w:tc>
          <w:tcPr>
            <w:tcW w:w="656" w:type="pct"/>
            <w:vAlign w:val="center"/>
          </w:tcPr>
          <w:p w14:paraId="66FDE2CF" w14:textId="77777777" w:rsidR="00367A8D" w:rsidRPr="00D72AD6" w:rsidRDefault="00367A8D" w:rsidP="00120BA7">
            <w:pPr>
              <w:spacing w:line="276" w:lineRule="auto"/>
              <w:jc w:val="center"/>
              <w:rPr>
                <w:sz w:val="20"/>
                <w:szCs w:val="20"/>
              </w:rPr>
            </w:pPr>
          </w:p>
        </w:tc>
        <w:tc>
          <w:tcPr>
            <w:tcW w:w="622" w:type="pct"/>
            <w:vAlign w:val="center"/>
          </w:tcPr>
          <w:p w14:paraId="34F30D6B" w14:textId="77777777" w:rsidR="00367A8D" w:rsidRPr="00D72AD6" w:rsidRDefault="00367A8D" w:rsidP="00120BA7">
            <w:pPr>
              <w:spacing w:line="276" w:lineRule="auto"/>
              <w:jc w:val="center"/>
              <w:rPr>
                <w:sz w:val="20"/>
                <w:szCs w:val="20"/>
              </w:rPr>
            </w:pPr>
          </w:p>
        </w:tc>
        <w:tc>
          <w:tcPr>
            <w:tcW w:w="707" w:type="pct"/>
            <w:vAlign w:val="center"/>
          </w:tcPr>
          <w:p w14:paraId="6B56A320" w14:textId="77777777" w:rsidR="00367A8D" w:rsidRPr="00D72AD6" w:rsidRDefault="00367A8D" w:rsidP="00120BA7">
            <w:pPr>
              <w:spacing w:line="276" w:lineRule="auto"/>
              <w:jc w:val="center"/>
              <w:rPr>
                <w:sz w:val="20"/>
                <w:szCs w:val="20"/>
              </w:rPr>
            </w:pPr>
            <w:r w:rsidRPr="00D72AD6">
              <w:rPr>
                <w:sz w:val="20"/>
                <w:szCs w:val="20"/>
              </w:rPr>
              <w:t>X</w:t>
            </w:r>
          </w:p>
        </w:tc>
      </w:tr>
      <w:tr w:rsidR="00367A8D" w:rsidRPr="00D72AD6" w14:paraId="3C7B6734" w14:textId="77777777" w:rsidTr="00BF5F3D">
        <w:trPr>
          <w:trHeight w:val="20"/>
        </w:trPr>
        <w:tc>
          <w:tcPr>
            <w:tcW w:w="1020" w:type="pct"/>
            <w:vMerge/>
            <w:vAlign w:val="center"/>
          </w:tcPr>
          <w:p w14:paraId="6DCF2005" w14:textId="77777777" w:rsidR="00367A8D" w:rsidRPr="00D72AD6" w:rsidRDefault="00367A8D" w:rsidP="00120BA7">
            <w:pPr>
              <w:spacing w:line="276" w:lineRule="auto"/>
              <w:rPr>
                <w:sz w:val="20"/>
                <w:szCs w:val="20"/>
              </w:rPr>
            </w:pPr>
          </w:p>
        </w:tc>
        <w:tc>
          <w:tcPr>
            <w:tcW w:w="1995" w:type="pct"/>
            <w:vAlign w:val="center"/>
          </w:tcPr>
          <w:p w14:paraId="3E0C5A2D" w14:textId="77777777" w:rsidR="00367A8D" w:rsidRPr="00D72AD6" w:rsidRDefault="00367A8D" w:rsidP="00120BA7">
            <w:pPr>
              <w:spacing w:line="276" w:lineRule="auto"/>
              <w:rPr>
                <w:sz w:val="20"/>
                <w:szCs w:val="20"/>
              </w:rPr>
            </w:pPr>
            <w:r w:rsidRPr="00D72AD6">
              <w:rPr>
                <w:sz w:val="20"/>
                <w:szCs w:val="20"/>
              </w:rPr>
              <w:t>Corrections system cost (general)</w:t>
            </w:r>
          </w:p>
        </w:tc>
        <w:tc>
          <w:tcPr>
            <w:tcW w:w="656" w:type="pct"/>
            <w:vAlign w:val="center"/>
          </w:tcPr>
          <w:p w14:paraId="7AEC3BA6" w14:textId="77777777" w:rsidR="00367A8D" w:rsidRPr="00D72AD6" w:rsidRDefault="00367A8D" w:rsidP="00120BA7">
            <w:pPr>
              <w:spacing w:line="276" w:lineRule="auto"/>
              <w:jc w:val="center"/>
              <w:rPr>
                <w:sz w:val="20"/>
                <w:szCs w:val="20"/>
              </w:rPr>
            </w:pPr>
          </w:p>
        </w:tc>
        <w:tc>
          <w:tcPr>
            <w:tcW w:w="622" w:type="pct"/>
            <w:vAlign w:val="center"/>
          </w:tcPr>
          <w:p w14:paraId="53B93E33" w14:textId="77777777" w:rsidR="00367A8D" w:rsidRPr="00D72AD6" w:rsidRDefault="00367A8D" w:rsidP="00120BA7">
            <w:pPr>
              <w:spacing w:line="276" w:lineRule="auto"/>
              <w:jc w:val="center"/>
              <w:rPr>
                <w:sz w:val="20"/>
                <w:szCs w:val="20"/>
              </w:rPr>
            </w:pPr>
          </w:p>
        </w:tc>
        <w:tc>
          <w:tcPr>
            <w:tcW w:w="707" w:type="pct"/>
            <w:vAlign w:val="center"/>
          </w:tcPr>
          <w:p w14:paraId="0493FDC7" w14:textId="77777777" w:rsidR="00367A8D" w:rsidRPr="00D72AD6" w:rsidRDefault="00367A8D" w:rsidP="00120BA7">
            <w:pPr>
              <w:spacing w:line="276" w:lineRule="auto"/>
              <w:jc w:val="center"/>
              <w:rPr>
                <w:sz w:val="20"/>
                <w:szCs w:val="20"/>
              </w:rPr>
            </w:pPr>
            <w:r w:rsidRPr="00D72AD6">
              <w:rPr>
                <w:sz w:val="20"/>
                <w:szCs w:val="20"/>
              </w:rPr>
              <w:t>X</w:t>
            </w:r>
          </w:p>
        </w:tc>
      </w:tr>
      <w:tr w:rsidR="00367A8D" w:rsidRPr="00D72AD6" w14:paraId="455083C6" w14:textId="77777777" w:rsidTr="00BF5F3D">
        <w:trPr>
          <w:trHeight w:val="20"/>
        </w:trPr>
        <w:tc>
          <w:tcPr>
            <w:tcW w:w="1020" w:type="pct"/>
            <w:vMerge/>
            <w:vAlign w:val="center"/>
          </w:tcPr>
          <w:p w14:paraId="6532FA4C" w14:textId="77777777" w:rsidR="00367A8D" w:rsidRPr="00D72AD6" w:rsidRDefault="00367A8D" w:rsidP="00120BA7">
            <w:pPr>
              <w:spacing w:line="276" w:lineRule="auto"/>
              <w:rPr>
                <w:sz w:val="20"/>
                <w:szCs w:val="20"/>
              </w:rPr>
            </w:pPr>
          </w:p>
        </w:tc>
        <w:tc>
          <w:tcPr>
            <w:tcW w:w="1995" w:type="pct"/>
            <w:vAlign w:val="center"/>
          </w:tcPr>
          <w:p w14:paraId="6FB92F97" w14:textId="77777777" w:rsidR="00367A8D" w:rsidRPr="00D72AD6" w:rsidRDefault="00367A8D" w:rsidP="00120BA7">
            <w:pPr>
              <w:spacing w:line="276" w:lineRule="auto"/>
              <w:rPr>
                <w:sz w:val="20"/>
                <w:szCs w:val="20"/>
              </w:rPr>
            </w:pPr>
            <w:r w:rsidRPr="00D72AD6">
              <w:rPr>
                <w:sz w:val="20"/>
                <w:szCs w:val="20"/>
              </w:rPr>
              <w:t>Corrections system cost (major fraud)</w:t>
            </w:r>
          </w:p>
        </w:tc>
        <w:tc>
          <w:tcPr>
            <w:tcW w:w="656" w:type="pct"/>
            <w:vAlign w:val="center"/>
          </w:tcPr>
          <w:p w14:paraId="2E63A8F8" w14:textId="77777777" w:rsidR="00367A8D" w:rsidRPr="00D72AD6" w:rsidRDefault="00367A8D" w:rsidP="00120BA7">
            <w:pPr>
              <w:spacing w:line="276" w:lineRule="auto"/>
              <w:jc w:val="center"/>
              <w:rPr>
                <w:sz w:val="20"/>
                <w:szCs w:val="20"/>
              </w:rPr>
            </w:pPr>
          </w:p>
        </w:tc>
        <w:tc>
          <w:tcPr>
            <w:tcW w:w="622" w:type="pct"/>
            <w:vAlign w:val="center"/>
          </w:tcPr>
          <w:p w14:paraId="40560856" w14:textId="77777777" w:rsidR="00367A8D" w:rsidRPr="00D72AD6" w:rsidRDefault="00367A8D" w:rsidP="00120BA7">
            <w:pPr>
              <w:spacing w:line="276" w:lineRule="auto"/>
              <w:jc w:val="center"/>
              <w:rPr>
                <w:sz w:val="20"/>
                <w:szCs w:val="20"/>
              </w:rPr>
            </w:pPr>
          </w:p>
        </w:tc>
        <w:tc>
          <w:tcPr>
            <w:tcW w:w="707" w:type="pct"/>
            <w:vAlign w:val="center"/>
          </w:tcPr>
          <w:p w14:paraId="3F8AA7B4" w14:textId="77777777" w:rsidR="00367A8D" w:rsidRPr="00D72AD6" w:rsidRDefault="00367A8D" w:rsidP="00120BA7">
            <w:pPr>
              <w:spacing w:line="276" w:lineRule="auto"/>
              <w:jc w:val="center"/>
              <w:rPr>
                <w:sz w:val="20"/>
                <w:szCs w:val="20"/>
              </w:rPr>
            </w:pPr>
            <w:r w:rsidRPr="00D72AD6">
              <w:rPr>
                <w:sz w:val="20"/>
                <w:szCs w:val="20"/>
              </w:rPr>
              <w:t>X</w:t>
            </w:r>
          </w:p>
        </w:tc>
      </w:tr>
      <w:tr w:rsidR="00367A8D" w:rsidRPr="00D72AD6" w14:paraId="03E5D771" w14:textId="77777777" w:rsidTr="00BF5F3D">
        <w:trPr>
          <w:trHeight w:val="20"/>
        </w:trPr>
        <w:tc>
          <w:tcPr>
            <w:tcW w:w="1020" w:type="pct"/>
            <w:vMerge/>
            <w:vAlign w:val="center"/>
          </w:tcPr>
          <w:p w14:paraId="3CDC2589" w14:textId="77777777" w:rsidR="00367A8D" w:rsidRPr="00D72AD6" w:rsidRDefault="00367A8D" w:rsidP="00120BA7">
            <w:pPr>
              <w:spacing w:line="276" w:lineRule="auto"/>
              <w:rPr>
                <w:sz w:val="20"/>
                <w:szCs w:val="20"/>
              </w:rPr>
            </w:pPr>
          </w:p>
        </w:tc>
        <w:tc>
          <w:tcPr>
            <w:tcW w:w="1995" w:type="pct"/>
            <w:vAlign w:val="center"/>
          </w:tcPr>
          <w:p w14:paraId="6498D41B" w14:textId="77777777" w:rsidR="00367A8D" w:rsidRPr="00D72AD6" w:rsidRDefault="00367A8D" w:rsidP="00120BA7">
            <w:pPr>
              <w:spacing w:line="276" w:lineRule="auto"/>
              <w:rPr>
                <w:sz w:val="20"/>
                <w:szCs w:val="20"/>
              </w:rPr>
            </w:pPr>
            <w:r w:rsidRPr="00D72AD6">
              <w:rPr>
                <w:sz w:val="20"/>
                <w:szCs w:val="20"/>
              </w:rPr>
              <w:t>Crime to business/community</w:t>
            </w:r>
          </w:p>
        </w:tc>
        <w:tc>
          <w:tcPr>
            <w:tcW w:w="656" w:type="pct"/>
            <w:vAlign w:val="center"/>
          </w:tcPr>
          <w:p w14:paraId="560DF9C2" w14:textId="77777777" w:rsidR="00367A8D" w:rsidRPr="00D72AD6" w:rsidRDefault="00367A8D" w:rsidP="00120BA7">
            <w:pPr>
              <w:spacing w:line="276" w:lineRule="auto"/>
              <w:jc w:val="center"/>
              <w:rPr>
                <w:sz w:val="20"/>
                <w:szCs w:val="20"/>
              </w:rPr>
            </w:pPr>
          </w:p>
        </w:tc>
        <w:tc>
          <w:tcPr>
            <w:tcW w:w="622" w:type="pct"/>
            <w:vAlign w:val="center"/>
          </w:tcPr>
          <w:p w14:paraId="71335B2B" w14:textId="77777777" w:rsidR="00367A8D" w:rsidRPr="00D72AD6" w:rsidRDefault="00367A8D" w:rsidP="00120BA7">
            <w:pPr>
              <w:spacing w:line="276" w:lineRule="auto"/>
              <w:jc w:val="center"/>
              <w:rPr>
                <w:sz w:val="20"/>
                <w:szCs w:val="20"/>
              </w:rPr>
            </w:pPr>
          </w:p>
        </w:tc>
        <w:tc>
          <w:tcPr>
            <w:tcW w:w="707" w:type="pct"/>
            <w:vAlign w:val="center"/>
          </w:tcPr>
          <w:p w14:paraId="5A3D7CB3" w14:textId="77777777" w:rsidR="00367A8D" w:rsidRPr="00D72AD6" w:rsidRDefault="00367A8D" w:rsidP="00120BA7">
            <w:pPr>
              <w:spacing w:line="276" w:lineRule="auto"/>
              <w:jc w:val="center"/>
              <w:rPr>
                <w:sz w:val="20"/>
                <w:szCs w:val="20"/>
              </w:rPr>
            </w:pPr>
          </w:p>
        </w:tc>
      </w:tr>
      <w:tr w:rsidR="00367A8D" w:rsidRPr="00D72AD6" w14:paraId="53512D3D" w14:textId="77777777" w:rsidTr="00BF5F3D">
        <w:trPr>
          <w:trHeight w:val="20"/>
        </w:trPr>
        <w:tc>
          <w:tcPr>
            <w:tcW w:w="1020" w:type="pct"/>
            <w:vMerge/>
            <w:vAlign w:val="center"/>
          </w:tcPr>
          <w:p w14:paraId="2386B98F" w14:textId="77777777" w:rsidR="00367A8D" w:rsidRPr="00D72AD6" w:rsidRDefault="00367A8D" w:rsidP="00120BA7">
            <w:pPr>
              <w:spacing w:line="276" w:lineRule="auto"/>
              <w:rPr>
                <w:sz w:val="20"/>
                <w:szCs w:val="20"/>
              </w:rPr>
            </w:pPr>
          </w:p>
        </w:tc>
        <w:tc>
          <w:tcPr>
            <w:tcW w:w="1995" w:type="pct"/>
            <w:vAlign w:val="center"/>
          </w:tcPr>
          <w:p w14:paraId="02895C93" w14:textId="77777777" w:rsidR="00367A8D" w:rsidRPr="00D72AD6" w:rsidRDefault="00367A8D" w:rsidP="00120BA7">
            <w:pPr>
              <w:spacing w:line="276" w:lineRule="auto"/>
              <w:rPr>
                <w:sz w:val="20"/>
                <w:szCs w:val="20"/>
              </w:rPr>
            </w:pPr>
            <w:r w:rsidRPr="00D72AD6">
              <w:rPr>
                <w:sz w:val="20"/>
                <w:szCs w:val="20"/>
              </w:rPr>
              <w:t>Petty theft or dishonesty</w:t>
            </w:r>
          </w:p>
        </w:tc>
        <w:tc>
          <w:tcPr>
            <w:tcW w:w="656" w:type="pct"/>
            <w:vAlign w:val="center"/>
          </w:tcPr>
          <w:p w14:paraId="6AB11AAA" w14:textId="77777777" w:rsidR="00367A8D" w:rsidRPr="00D72AD6" w:rsidRDefault="00367A8D" w:rsidP="00120BA7">
            <w:pPr>
              <w:spacing w:line="276" w:lineRule="auto"/>
              <w:jc w:val="center"/>
              <w:rPr>
                <w:sz w:val="20"/>
                <w:szCs w:val="20"/>
              </w:rPr>
            </w:pPr>
          </w:p>
        </w:tc>
        <w:tc>
          <w:tcPr>
            <w:tcW w:w="622" w:type="pct"/>
            <w:vAlign w:val="center"/>
          </w:tcPr>
          <w:p w14:paraId="2758CC7F" w14:textId="77777777" w:rsidR="00367A8D" w:rsidRPr="00D72AD6" w:rsidRDefault="00367A8D" w:rsidP="00120BA7">
            <w:pPr>
              <w:spacing w:line="276" w:lineRule="auto"/>
              <w:jc w:val="center"/>
              <w:rPr>
                <w:sz w:val="20"/>
                <w:szCs w:val="20"/>
              </w:rPr>
            </w:pPr>
            <w:r w:rsidRPr="00D72AD6">
              <w:rPr>
                <w:sz w:val="20"/>
                <w:szCs w:val="20"/>
              </w:rPr>
              <w:t>X</w:t>
            </w:r>
          </w:p>
        </w:tc>
        <w:tc>
          <w:tcPr>
            <w:tcW w:w="707" w:type="pct"/>
            <w:vAlign w:val="center"/>
          </w:tcPr>
          <w:p w14:paraId="14A9DB5D" w14:textId="77777777" w:rsidR="00367A8D" w:rsidRPr="00D72AD6" w:rsidRDefault="00367A8D" w:rsidP="00120BA7">
            <w:pPr>
              <w:spacing w:line="276" w:lineRule="auto"/>
              <w:jc w:val="center"/>
              <w:rPr>
                <w:sz w:val="20"/>
                <w:szCs w:val="20"/>
              </w:rPr>
            </w:pPr>
            <w:r w:rsidRPr="00D72AD6">
              <w:rPr>
                <w:sz w:val="20"/>
                <w:szCs w:val="20"/>
              </w:rPr>
              <w:t>X</w:t>
            </w:r>
          </w:p>
        </w:tc>
      </w:tr>
      <w:tr w:rsidR="00367A8D" w:rsidRPr="00D72AD6" w14:paraId="11F81671" w14:textId="77777777" w:rsidTr="00BF5F3D">
        <w:trPr>
          <w:trHeight w:val="20"/>
        </w:trPr>
        <w:tc>
          <w:tcPr>
            <w:tcW w:w="1020" w:type="pct"/>
            <w:vMerge/>
            <w:vAlign w:val="center"/>
          </w:tcPr>
          <w:p w14:paraId="6C416EAD" w14:textId="77777777" w:rsidR="00367A8D" w:rsidRPr="00D72AD6" w:rsidRDefault="00367A8D" w:rsidP="00120BA7">
            <w:pPr>
              <w:spacing w:line="276" w:lineRule="auto"/>
              <w:rPr>
                <w:sz w:val="20"/>
                <w:szCs w:val="20"/>
              </w:rPr>
            </w:pPr>
          </w:p>
        </w:tc>
        <w:tc>
          <w:tcPr>
            <w:tcW w:w="1995" w:type="pct"/>
            <w:vAlign w:val="center"/>
          </w:tcPr>
          <w:p w14:paraId="253FC3CF" w14:textId="77777777" w:rsidR="00367A8D" w:rsidRPr="00D72AD6" w:rsidRDefault="00367A8D" w:rsidP="00120BA7">
            <w:pPr>
              <w:spacing w:line="276" w:lineRule="auto"/>
              <w:rPr>
                <w:sz w:val="20"/>
                <w:szCs w:val="20"/>
              </w:rPr>
            </w:pPr>
            <w:r w:rsidRPr="00D72AD6">
              <w:rPr>
                <w:sz w:val="20"/>
                <w:szCs w:val="20"/>
              </w:rPr>
              <w:t>Major fraud</w:t>
            </w:r>
          </w:p>
        </w:tc>
        <w:tc>
          <w:tcPr>
            <w:tcW w:w="656" w:type="pct"/>
            <w:vAlign w:val="center"/>
          </w:tcPr>
          <w:p w14:paraId="1A479153" w14:textId="77777777" w:rsidR="00367A8D" w:rsidRPr="00D72AD6" w:rsidRDefault="00367A8D" w:rsidP="00120BA7">
            <w:pPr>
              <w:spacing w:line="276" w:lineRule="auto"/>
              <w:jc w:val="center"/>
              <w:rPr>
                <w:sz w:val="20"/>
                <w:szCs w:val="20"/>
              </w:rPr>
            </w:pPr>
          </w:p>
        </w:tc>
        <w:tc>
          <w:tcPr>
            <w:tcW w:w="622" w:type="pct"/>
            <w:vAlign w:val="center"/>
          </w:tcPr>
          <w:p w14:paraId="469EEEAD" w14:textId="77777777" w:rsidR="00367A8D" w:rsidRPr="00D72AD6" w:rsidRDefault="00367A8D" w:rsidP="00120BA7">
            <w:pPr>
              <w:spacing w:line="276" w:lineRule="auto"/>
              <w:jc w:val="center"/>
              <w:rPr>
                <w:sz w:val="20"/>
                <w:szCs w:val="20"/>
              </w:rPr>
            </w:pPr>
            <w:r w:rsidRPr="00D72AD6">
              <w:rPr>
                <w:sz w:val="20"/>
                <w:szCs w:val="20"/>
              </w:rPr>
              <w:t>X</w:t>
            </w:r>
          </w:p>
        </w:tc>
        <w:tc>
          <w:tcPr>
            <w:tcW w:w="707" w:type="pct"/>
            <w:vAlign w:val="center"/>
          </w:tcPr>
          <w:p w14:paraId="5A372E4D" w14:textId="77777777" w:rsidR="00367A8D" w:rsidRPr="00D72AD6" w:rsidRDefault="00367A8D" w:rsidP="00120BA7">
            <w:pPr>
              <w:spacing w:line="276" w:lineRule="auto"/>
              <w:jc w:val="center"/>
              <w:rPr>
                <w:sz w:val="20"/>
                <w:szCs w:val="20"/>
              </w:rPr>
            </w:pPr>
            <w:r w:rsidRPr="00D72AD6">
              <w:rPr>
                <w:sz w:val="20"/>
                <w:szCs w:val="20"/>
              </w:rPr>
              <w:t>X</w:t>
            </w:r>
          </w:p>
        </w:tc>
      </w:tr>
      <w:tr w:rsidR="00367A8D" w:rsidRPr="00D72AD6" w14:paraId="0870C69C" w14:textId="77777777" w:rsidTr="00BF5F3D">
        <w:trPr>
          <w:trHeight w:val="20"/>
        </w:trPr>
        <w:tc>
          <w:tcPr>
            <w:tcW w:w="1020" w:type="pct"/>
            <w:vAlign w:val="center"/>
          </w:tcPr>
          <w:p w14:paraId="7581B80D" w14:textId="77777777" w:rsidR="00367A8D" w:rsidRPr="00D72AD6" w:rsidRDefault="00367A8D" w:rsidP="00120BA7">
            <w:pPr>
              <w:spacing w:line="276" w:lineRule="auto"/>
              <w:rPr>
                <w:sz w:val="20"/>
                <w:szCs w:val="20"/>
              </w:rPr>
            </w:pPr>
            <w:r w:rsidRPr="00D72AD6">
              <w:rPr>
                <w:sz w:val="20"/>
                <w:szCs w:val="20"/>
              </w:rPr>
              <w:t>Life course and generational harm</w:t>
            </w:r>
          </w:p>
        </w:tc>
        <w:tc>
          <w:tcPr>
            <w:tcW w:w="1995" w:type="pct"/>
            <w:vAlign w:val="center"/>
          </w:tcPr>
          <w:p w14:paraId="0C7EC41C" w14:textId="77777777" w:rsidR="00367A8D" w:rsidRPr="00D72AD6" w:rsidRDefault="00367A8D" w:rsidP="00120BA7">
            <w:pPr>
              <w:spacing w:line="276" w:lineRule="auto"/>
              <w:rPr>
                <w:sz w:val="20"/>
                <w:szCs w:val="20"/>
              </w:rPr>
            </w:pPr>
            <w:r w:rsidRPr="00D72AD6">
              <w:rPr>
                <w:sz w:val="20"/>
                <w:szCs w:val="20"/>
              </w:rPr>
              <w:t>Loss of financial security/achievement*; homelessness; impacted life course trajectory*</w:t>
            </w:r>
          </w:p>
        </w:tc>
        <w:tc>
          <w:tcPr>
            <w:tcW w:w="656" w:type="pct"/>
            <w:vAlign w:val="center"/>
          </w:tcPr>
          <w:p w14:paraId="76362389" w14:textId="77777777" w:rsidR="00367A8D" w:rsidRPr="00D72AD6" w:rsidRDefault="00367A8D" w:rsidP="00120BA7">
            <w:pPr>
              <w:spacing w:line="276" w:lineRule="auto"/>
              <w:jc w:val="center"/>
              <w:rPr>
                <w:sz w:val="20"/>
                <w:szCs w:val="20"/>
              </w:rPr>
            </w:pPr>
            <w:r w:rsidRPr="00D72AD6">
              <w:rPr>
                <w:sz w:val="20"/>
                <w:szCs w:val="20"/>
              </w:rPr>
              <w:t>X</w:t>
            </w:r>
          </w:p>
        </w:tc>
        <w:tc>
          <w:tcPr>
            <w:tcW w:w="622" w:type="pct"/>
            <w:vAlign w:val="center"/>
          </w:tcPr>
          <w:p w14:paraId="15FE35E9" w14:textId="77777777" w:rsidR="00367A8D" w:rsidRPr="00D72AD6" w:rsidRDefault="00367A8D" w:rsidP="00120BA7">
            <w:pPr>
              <w:spacing w:line="276" w:lineRule="auto"/>
              <w:jc w:val="center"/>
              <w:rPr>
                <w:sz w:val="20"/>
                <w:szCs w:val="20"/>
              </w:rPr>
            </w:pPr>
            <w:r w:rsidRPr="00D72AD6">
              <w:rPr>
                <w:sz w:val="20"/>
                <w:szCs w:val="20"/>
              </w:rPr>
              <w:t>X</w:t>
            </w:r>
          </w:p>
        </w:tc>
        <w:tc>
          <w:tcPr>
            <w:tcW w:w="707" w:type="pct"/>
            <w:vAlign w:val="center"/>
          </w:tcPr>
          <w:p w14:paraId="5466D7C7" w14:textId="77777777" w:rsidR="00367A8D" w:rsidRPr="00D72AD6" w:rsidRDefault="00367A8D" w:rsidP="00120BA7">
            <w:pPr>
              <w:spacing w:line="276" w:lineRule="auto"/>
              <w:jc w:val="center"/>
              <w:rPr>
                <w:sz w:val="20"/>
                <w:szCs w:val="20"/>
              </w:rPr>
            </w:pPr>
            <w:r w:rsidRPr="00D72AD6">
              <w:rPr>
                <w:sz w:val="20"/>
                <w:szCs w:val="20"/>
              </w:rPr>
              <w:t>X</w:t>
            </w:r>
          </w:p>
        </w:tc>
      </w:tr>
      <w:tr w:rsidR="00367A8D" w:rsidRPr="00D72AD6" w14:paraId="3E014360" w14:textId="77777777" w:rsidTr="00BF5F3D">
        <w:trPr>
          <w:trHeight w:val="20"/>
        </w:trPr>
        <w:tc>
          <w:tcPr>
            <w:tcW w:w="1020" w:type="pct"/>
            <w:vMerge w:val="restart"/>
            <w:vAlign w:val="center"/>
          </w:tcPr>
          <w:p w14:paraId="698015ED" w14:textId="77777777" w:rsidR="00367A8D" w:rsidRPr="00D72AD6" w:rsidRDefault="00367A8D" w:rsidP="00120BA7">
            <w:pPr>
              <w:spacing w:line="276" w:lineRule="auto"/>
              <w:rPr>
                <w:sz w:val="20"/>
                <w:szCs w:val="20"/>
              </w:rPr>
            </w:pPr>
            <w:r w:rsidRPr="00D72AD6">
              <w:rPr>
                <w:sz w:val="20"/>
                <w:szCs w:val="20"/>
              </w:rPr>
              <w:t>Other government or community costs</w:t>
            </w:r>
          </w:p>
        </w:tc>
        <w:tc>
          <w:tcPr>
            <w:tcW w:w="1995" w:type="pct"/>
            <w:vAlign w:val="center"/>
          </w:tcPr>
          <w:p w14:paraId="71D61B55" w14:textId="77777777" w:rsidR="00367A8D" w:rsidRPr="00D72AD6" w:rsidRDefault="00367A8D" w:rsidP="00120BA7">
            <w:pPr>
              <w:spacing w:line="276" w:lineRule="auto"/>
              <w:rPr>
                <w:sz w:val="20"/>
                <w:szCs w:val="20"/>
              </w:rPr>
            </w:pPr>
            <w:r w:rsidRPr="00D72AD6">
              <w:rPr>
                <w:sz w:val="20"/>
                <w:szCs w:val="20"/>
              </w:rPr>
              <w:t>Policy, regulation, research (including treatment funding)</w:t>
            </w:r>
          </w:p>
        </w:tc>
        <w:tc>
          <w:tcPr>
            <w:tcW w:w="656" w:type="pct"/>
            <w:vAlign w:val="center"/>
          </w:tcPr>
          <w:p w14:paraId="3DE37DD8" w14:textId="77777777" w:rsidR="00367A8D" w:rsidRPr="00D72AD6" w:rsidRDefault="00367A8D" w:rsidP="00120BA7">
            <w:pPr>
              <w:spacing w:line="276" w:lineRule="auto"/>
              <w:jc w:val="center"/>
              <w:rPr>
                <w:sz w:val="20"/>
                <w:szCs w:val="20"/>
              </w:rPr>
            </w:pPr>
          </w:p>
        </w:tc>
        <w:tc>
          <w:tcPr>
            <w:tcW w:w="622" w:type="pct"/>
            <w:vAlign w:val="center"/>
          </w:tcPr>
          <w:p w14:paraId="5B5FABF2" w14:textId="77777777" w:rsidR="00367A8D" w:rsidRPr="00D72AD6" w:rsidRDefault="00367A8D" w:rsidP="00120BA7">
            <w:pPr>
              <w:spacing w:line="276" w:lineRule="auto"/>
              <w:jc w:val="center"/>
              <w:rPr>
                <w:sz w:val="20"/>
                <w:szCs w:val="20"/>
              </w:rPr>
            </w:pPr>
          </w:p>
        </w:tc>
        <w:tc>
          <w:tcPr>
            <w:tcW w:w="707" w:type="pct"/>
            <w:vAlign w:val="center"/>
          </w:tcPr>
          <w:p w14:paraId="00545303" w14:textId="77777777" w:rsidR="00367A8D" w:rsidRPr="00D72AD6" w:rsidRDefault="00367A8D" w:rsidP="00120BA7">
            <w:pPr>
              <w:spacing w:line="276" w:lineRule="auto"/>
              <w:jc w:val="center"/>
              <w:rPr>
                <w:sz w:val="20"/>
                <w:szCs w:val="20"/>
              </w:rPr>
            </w:pPr>
            <w:r w:rsidRPr="00D72AD6">
              <w:rPr>
                <w:sz w:val="20"/>
                <w:szCs w:val="20"/>
              </w:rPr>
              <w:t>X</w:t>
            </w:r>
          </w:p>
        </w:tc>
      </w:tr>
      <w:tr w:rsidR="00367A8D" w:rsidRPr="00D72AD6" w14:paraId="36E9DD3F" w14:textId="77777777" w:rsidTr="00BF5F3D">
        <w:trPr>
          <w:trHeight w:val="20"/>
        </w:trPr>
        <w:tc>
          <w:tcPr>
            <w:tcW w:w="1020" w:type="pct"/>
            <w:vMerge/>
            <w:vAlign w:val="center"/>
          </w:tcPr>
          <w:p w14:paraId="518296F0" w14:textId="77777777" w:rsidR="00367A8D" w:rsidRPr="00D72AD6" w:rsidRDefault="00367A8D" w:rsidP="00120BA7">
            <w:pPr>
              <w:spacing w:line="276" w:lineRule="auto"/>
              <w:rPr>
                <w:sz w:val="20"/>
                <w:szCs w:val="20"/>
              </w:rPr>
            </w:pPr>
          </w:p>
        </w:tc>
        <w:tc>
          <w:tcPr>
            <w:tcW w:w="1995" w:type="pct"/>
            <w:vAlign w:val="center"/>
          </w:tcPr>
          <w:p w14:paraId="19E54DFB" w14:textId="4B288F2F" w:rsidR="00367A8D" w:rsidRPr="00D72AD6" w:rsidRDefault="00367A8D" w:rsidP="00120BA7">
            <w:pPr>
              <w:spacing w:line="276" w:lineRule="auto"/>
              <w:rPr>
                <w:sz w:val="20"/>
                <w:szCs w:val="20"/>
              </w:rPr>
            </w:pPr>
            <w:r w:rsidRPr="00D72AD6">
              <w:rPr>
                <w:sz w:val="20"/>
                <w:szCs w:val="20"/>
              </w:rPr>
              <w:t>Non-profit - Provision of services related to gambling addiction</w:t>
            </w:r>
            <w:r w:rsidR="007B18FC">
              <w:rPr>
                <w:sz w:val="20"/>
                <w:szCs w:val="20"/>
              </w:rPr>
              <w:t>^</w:t>
            </w:r>
          </w:p>
        </w:tc>
        <w:tc>
          <w:tcPr>
            <w:tcW w:w="656" w:type="pct"/>
            <w:vAlign w:val="center"/>
          </w:tcPr>
          <w:p w14:paraId="0CED5307" w14:textId="77777777" w:rsidR="00367A8D" w:rsidRPr="00D72AD6" w:rsidRDefault="00367A8D" w:rsidP="00120BA7">
            <w:pPr>
              <w:spacing w:line="276" w:lineRule="auto"/>
              <w:jc w:val="center"/>
              <w:rPr>
                <w:sz w:val="20"/>
                <w:szCs w:val="20"/>
              </w:rPr>
            </w:pPr>
          </w:p>
        </w:tc>
        <w:tc>
          <w:tcPr>
            <w:tcW w:w="622" w:type="pct"/>
            <w:vAlign w:val="center"/>
          </w:tcPr>
          <w:p w14:paraId="0796F9E8" w14:textId="77777777" w:rsidR="00367A8D" w:rsidRPr="00D72AD6" w:rsidRDefault="00367A8D" w:rsidP="00120BA7">
            <w:pPr>
              <w:spacing w:line="276" w:lineRule="auto"/>
              <w:jc w:val="center"/>
              <w:rPr>
                <w:sz w:val="20"/>
                <w:szCs w:val="20"/>
              </w:rPr>
            </w:pPr>
          </w:p>
        </w:tc>
        <w:tc>
          <w:tcPr>
            <w:tcW w:w="707" w:type="pct"/>
            <w:vAlign w:val="center"/>
          </w:tcPr>
          <w:p w14:paraId="45FDDBE6" w14:textId="77777777" w:rsidR="00367A8D" w:rsidRPr="00D72AD6" w:rsidRDefault="00367A8D" w:rsidP="00120BA7">
            <w:pPr>
              <w:spacing w:line="276" w:lineRule="auto"/>
              <w:jc w:val="center"/>
              <w:rPr>
                <w:sz w:val="20"/>
                <w:szCs w:val="20"/>
              </w:rPr>
            </w:pPr>
            <w:r w:rsidRPr="00D72AD6">
              <w:rPr>
                <w:sz w:val="20"/>
                <w:szCs w:val="20"/>
              </w:rPr>
              <w:t>X</w:t>
            </w:r>
          </w:p>
        </w:tc>
      </w:tr>
      <w:tr w:rsidR="00367A8D" w:rsidRPr="00D72AD6" w14:paraId="6E0D7B9F" w14:textId="77777777" w:rsidTr="00BF5F3D">
        <w:trPr>
          <w:trHeight w:val="20"/>
        </w:trPr>
        <w:tc>
          <w:tcPr>
            <w:tcW w:w="1020" w:type="pct"/>
            <w:vMerge/>
            <w:vAlign w:val="center"/>
          </w:tcPr>
          <w:p w14:paraId="44D999CC" w14:textId="77777777" w:rsidR="00367A8D" w:rsidRPr="00D72AD6" w:rsidRDefault="00367A8D" w:rsidP="00120BA7">
            <w:pPr>
              <w:spacing w:line="276" w:lineRule="auto"/>
              <w:rPr>
                <w:sz w:val="20"/>
                <w:szCs w:val="20"/>
              </w:rPr>
            </w:pPr>
          </w:p>
        </w:tc>
        <w:tc>
          <w:tcPr>
            <w:tcW w:w="1995" w:type="pct"/>
            <w:vAlign w:val="center"/>
          </w:tcPr>
          <w:p w14:paraId="6AEDEDC4" w14:textId="77777777" w:rsidR="00367A8D" w:rsidRPr="00D72AD6" w:rsidRDefault="00367A8D" w:rsidP="00120BA7">
            <w:pPr>
              <w:spacing w:line="276" w:lineRule="auto"/>
              <w:rPr>
                <w:sz w:val="20"/>
                <w:szCs w:val="20"/>
              </w:rPr>
            </w:pPr>
            <w:r w:rsidRPr="00D72AD6">
              <w:rPr>
                <w:sz w:val="20"/>
                <w:szCs w:val="20"/>
              </w:rPr>
              <w:t>Environmental costs*</w:t>
            </w:r>
          </w:p>
        </w:tc>
        <w:tc>
          <w:tcPr>
            <w:tcW w:w="656" w:type="pct"/>
            <w:vAlign w:val="center"/>
          </w:tcPr>
          <w:p w14:paraId="44C75D0E" w14:textId="77777777" w:rsidR="00367A8D" w:rsidRPr="00D72AD6" w:rsidRDefault="00367A8D" w:rsidP="00120BA7">
            <w:pPr>
              <w:spacing w:line="276" w:lineRule="auto"/>
              <w:jc w:val="center"/>
              <w:rPr>
                <w:sz w:val="20"/>
                <w:szCs w:val="20"/>
              </w:rPr>
            </w:pPr>
          </w:p>
        </w:tc>
        <w:tc>
          <w:tcPr>
            <w:tcW w:w="622" w:type="pct"/>
            <w:vAlign w:val="center"/>
          </w:tcPr>
          <w:p w14:paraId="2F49CEA9" w14:textId="77777777" w:rsidR="00367A8D" w:rsidRPr="00D72AD6" w:rsidRDefault="00367A8D" w:rsidP="00120BA7">
            <w:pPr>
              <w:spacing w:line="276" w:lineRule="auto"/>
              <w:jc w:val="center"/>
              <w:rPr>
                <w:sz w:val="20"/>
                <w:szCs w:val="20"/>
              </w:rPr>
            </w:pPr>
          </w:p>
        </w:tc>
        <w:tc>
          <w:tcPr>
            <w:tcW w:w="707" w:type="pct"/>
            <w:vAlign w:val="center"/>
          </w:tcPr>
          <w:p w14:paraId="3D89E470" w14:textId="77777777" w:rsidR="00367A8D" w:rsidRPr="00D72AD6" w:rsidRDefault="00367A8D" w:rsidP="00120BA7">
            <w:pPr>
              <w:spacing w:line="276" w:lineRule="auto"/>
              <w:jc w:val="center"/>
              <w:rPr>
                <w:sz w:val="20"/>
                <w:szCs w:val="20"/>
              </w:rPr>
            </w:pPr>
            <w:r w:rsidRPr="00D72AD6">
              <w:rPr>
                <w:sz w:val="20"/>
                <w:szCs w:val="20"/>
              </w:rPr>
              <w:t>X</w:t>
            </w:r>
          </w:p>
        </w:tc>
      </w:tr>
    </w:tbl>
    <w:p w14:paraId="46D62FAB" w14:textId="512FBFBB" w:rsidR="002061D6" w:rsidRPr="00D72AD6" w:rsidRDefault="00367A8D" w:rsidP="0071715F">
      <w:pPr>
        <w:rPr>
          <w:sz w:val="20"/>
          <w:szCs w:val="20"/>
        </w:rPr>
      </w:pPr>
      <w:r w:rsidRPr="00D72AD6">
        <w:rPr>
          <w:sz w:val="20"/>
          <w:szCs w:val="20"/>
        </w:rPr>
        <w:t xml:space="preserve"> </w:t>
      </w:r>
      <w:r w:rsidRPr="00EF3757">
        <w:rPr>
          <w:sz w:val="16"/>
          <w:szCs w:val="16"/>
        </w:rPr>
        <w:t>* Insufficient data to cost</w:t>
      </w:r>
      <w:r w:rsidR="007B18FC" w:rsidRPr="00EF3757">
        <w:rPr>
          <w:sz w:val="16"/>
          <w:szCs w:val="16"/>
        </w:rPr>
        <w:t>. ^</w:t>
      </w:r>
      <w:r w:rsidR="002061D6" w:rsidRPr="00EF3757">
        <w:rPr>
          <w:rStyle w:val="citation-36"/>
          <w:sz w:val="16"/>
          <w:szCs w:val="16"/>
        </w:rPr>
        <w:t>Note on Cost Attribution: This framework includes all economic costs associated with gambling harm, such as the funding of regulation, research, and treatment services</w:t>
      </w:r>
      <w:r w:rsidR="002061D6" w:rsidRPr="00EF3757">
        <w:rPr>
          <w:sz w:val="16"/>
          <w:szCs w:val="16"/>
        </w:rPr>
        <w:t xml:space="preserve">. While it is acknowledged that many of these functions are funded through industry-specific levies and taxes (i.e., a cost-recovery model), they are included here because they represent real resource expenditure required to manage and mitigate gambling harm. </w:t>
      </w:r>
      <w:r w:rsidR="00A6507B" w:rsidRPr="00EF3757">
        <w:rPr>
          <w:rStyle w:val="citation-46"/>
          <w:sz w:val="16"/>
          <w:szCs w:val="16"/>
        </w:rPr>
        <w:t>The purpose of this study is to quantify the total social and economic cost, not to conduct an analysis of the 'overall net economic balance' of the gambling industry</w:t>
      </w:r>
      <w:r w:rsidR="00A6507B" w:rsidRPr="00EF3757">
        <w:rPr>
          <w:sz w:val="16"/>
          <w:szCs w:val="16"/>
        </w:rPr>
        <w:t>.</w:t>
      </w:r>
    </w:p>
    <w:p w14:paraId="76D2418A" w14:textId="26369146" w:rsidR="00DB689D" w:rsidRDefault="00310A10" w:rsidP="00657824">
      <w:pPr>
        <w:pStyle w:val="Heading2"/>
      </w:pPr>
      <w:bookmarkStart w:id="283" w:name="_kp295ulxf1b3" w:colFirst="0" w:colLast="0"/>
      <w:bookmarkStart w:id="284" w:name="_q5jvxassznwc" w:colFirst="0" w:colLast="0"/>
      <w:bookmarkStart w:id="285" w:name="_Toc201572421"/>
      <w:bookmarkStart w:id="286" w:name="_Toc207195939"/>
      <w:bookmarkEnd w:id="283"/>
      <w:bookmarkEnd w:id="284"/>
      <w:r>
        <w:t xml:space="preserve">Key </w:t>
      </w:r>
      <w:r w:rsidR="006F1A3E">
        <w:t>m</w:t>
      </w:r>
      <w:r>
        <w:t>ethodological and conceptual issues</w:t>
      </w:r>
      <w:bookmarkEnd w:id="285"/>
      <w:bookmarkEnd w:id="286"/>
    </w:p>
    <w:p w14:paraId="146BD3A6" w14:textId="77777777" w:rsidR="00331991" w:rsidRPr="00331991" w:rsidRDefault="00331991" w:rsidP="00331991"/>
    <w:p w14:paraId="7B294231" w14:textId="77777777" w:rsidR="00DB689D" w:rsidRDefault="00310A10" w:rsidP="00367A8D">
      <w:pPr>
        <w:spacing w:line="360" w:lineRule="auto"/>
      </w:pPr>
      <w:r>
        <w:t>The review of literature in the prior chapters has identified some key methodological and conceptual considerations for undertaking a new economic costing in New Zealand.</w:t>
      </w:r>
    </w:p>
    <w:p w14:paraId="78DD43C3" w14:textId="77777777" w:rsidR="00DB689D" w:rsidRDefault="00310A10" w:rsidP="00C30E1A">
      <w:pPr>
        <w:pStyle w:val="Heading3"/>
      </w:pPr>
      <w:bookmarkStart w:id="287" w:name="_wpa5vbbhp7mm" w:colFirst="0" w:colLast="0"/>
      <w:bookmarkStart w:id="288" w:name="_Toc201572422"/>
      <w:bookmarkStart w:id="289" w:name="_Toc207195940"/>
      <w:bookmarkEnd w:id="287"/>
      <w:r>
        <w:t>Excessive gambling spend as an opportunity cost</w:t>
      </w:r>
      <w:bookmarkEnd w:id="288"/>
      <w:bookmarkEnd w:id="289"/>
    </w:p>
    <w:p w14:paraId="5B7D9AAE" w14:textId="77777777" w:rsidR="00DB689D" w:rsidRDefault="00310A10" w:rsidP="00367A8D">
      <w:pPr>
        <w:spacing w:before="240" w:after="240" w:line="360" w:lineRule="auto"/>
      </w:pPr>
      <w:r>
        <w:t>A key concept in measuring the economic impact of gambling harm is the idea of 'excessive gambling spend' treated as an 'opportunity cost.' This is a significant component in this economic costing.</w:t>
      </w:r>
    </w:p>
    <w:p w14:paraId="7CA3F560" w14:textId="77777777" w:rsidR="00DB689D" w:rsidRDefault="00310A10" w:rsidP="00367A8D">
      <w:pPr>
        <w:spacing w:before="240" w:after="240" w:line="360" w:lineRule="auto"/>
      </w:pPr>
      <w:r>
        <w:t>The core idea, pioneered by the Australian Productivity Commission (1999), is that money spent on gambling by individuals experiencing gambling problems, beyond what might be considered typical recreational spending, represents a cost. This 'excess' spending is viewed as a loss because the money could have been used for more beneficial purposes, and it often indicates spending that yields little to no real value or wellbeing for the individual due to the nature of their gambling problem. The approach generally assumes that if not for their gambling issues, these individuals would spend amounts similar to those who gamble without problems.</w:t>
      </w:r>
    </w:p>
    <w:p w14:paraId="390960DB" w14:textId="28B8CC5F" w:rsidR="00DB689D" w:rsidRDefault="00310A10" w:rsidP="00367A8D">
      <w:pPr>
        <w:spacing w:before="240" w:after="240" w:line="360" w:lineRule="auto"/>
      </w:pPr>
      <w:r>
        <w:t xml:space="preserve">This method of identifying and costing excessive spend has been adopted and refined in later studies </w:t>
      </w:r>
      <w:r w:rsidR="0038398B">
        <w:rPr>
          <w:noProof/>
          <w:color w:val="000000"/>
        </w:rPr>
        <w:t>(</w:t>
      </w:r>
      <w:r w:rsidR="002A3095">
        <w:rPr>
          <w:noProof/>
          <w:color w:val="000000"/>
        </w:rPr>
        <w:t>Browne, Greer et al., 2017</w:t>
      </w:r>
      <w:r w:rsidR="0038398B">
        <w:rPr>
          <w:noProof/>
          <w:color w:val="000000"/>
        </w:rPr>
        <w:t>; Victorian Competition and Efficiency Commission, 2012)</w:t>
      </w:r>
      <w:r>
        <w:t>. For example, some refinements consider excessive spending across different levels of gambling risk (not just 'problem gambling’) and adjust the cost based on the severity of financial harms reported by each group. This contrasts with earlier models that might have costed the entire difference in spending for those with the most severe problems.</w:t>
      </w:r>
    </w:p>
    <w:p w14:paraId="37D58A80" w14:textId="44B702B4" w:rsidR="00DB689D" w:rsidRDefault="00310A10" w:rsidP="00367A8D">
      <w:pPr>
        <w:spacing w:before="240" w:after="240" w:line="360" w:lineRule="auto"/>
      </w:pPr>
      <w:r>
        <w:t xml:space="preserve">Calculating this excessive spend usually involves comparing self-reported expenditure from surveys with actual industry revenue data, as individuals often underestimate their gambling losses in surveys </w:t>
      </w:r>
      <w:r w:rsidR="0038398B">
        <w:rPr>
          <w:noProof/>
          <w:color w:val="000000"/>
        </w:rPr>
        <w:t>(Productivity Commission, 1999)</w:t>
      </w:r>
      <w:r>
        <w:t>. A key assumption is that any underreporting of spending is proportionally similar across all gambling categories.</w:t>
      </w:r>
    </w:p>
    <w:p w14:paraId="162F1B48" w14:textId="6F23EC73" w:rsidR="00DB689D" w:rsidRDefault="00310A10" w:rsidP="00367A8D">
      <w:pPr>
        <w:spacing w:before="240" w:after="240" w:line="360" w:lineRule="auto"/>
      </w:pPr>
      <w:r>
        <w:t xml:space="preserve">Including excessive spend as a cost item reflects the understanding that problematic gambling diverts money from other potentially beneficial uses. This aligns with public health perspectives and is supported by evidence showing that excessive gambling spending often displaces essential expenses (e.g., health, utilities) and that a significant portion of gambling industry revenue comes from individuals experiencing harm </w:t>
      </w:r>
      <w:r w:rsidR="0038398B">
        <w:rPr>
          <w:noProof/>
          <w:color w:val="000000"/>
        </w:rPr>
        <w:t>(Marionneau, Lahtinen, et al., 2024; Zendle &amp; Newall, 2024)</w:t>
      </w:r>
      <w:r>
        <w:t>.</w:t>
      </w:r>
    </w:p>
    <w:p w14:paraId="28365746" w14:textId="0D448A01" w:rsidR="00DB689D" w:rsidRDefault="00310A10" w:rsidP="00367A8D">
      <w:pPr>
        <w:spacing w:before="240" w:after="240" w:line="360" w:lineRule="auto"/>
      </w:pPr>
      <w:r>
        <w:t xml:space="preserve">It's also relevant to consider that all gambling expenditure, including that by individuals without gambling problems, has wider economic opportunity costs. For instance, if money spent on EGMs in New Zealand were instead spent in the retail sector, research indicates this could generate more jobs </w:t>
      </w:r>
      <w:r w:rsidR="0038398B">
        <w:rPr>
          <w:noProof/>
          <w:color w:val="000000"/>
        </w:rPr>
        <w:t>(Hogan, n.d.)</w:t>
      </w:r>
      <w:r>
        <w:t xml:space="preserve"> and different tax outcomes </w:t>
      </w:r>
      <w:r w:rsidR="0038398B">
        <w:rPr>
          <w:noProof/>
          <w:color w:val="000000"/>
        </w:rPr>
        <w:t>(Ministry of Health, 2022)</w:t>
      </w:r>
      <w:r>
        <w:t>. Generally, money not spent on gambling would likely be directed to other areas of the economy.</w:t>
      </w:r>
    </w:p>
    <w:p w14:paraId="47BEE229" w14:textId="77777777" w:rsidR="00DB689D" w:rsidRDefault="00310A10" w:rsidP="00367A8D">
      <w:pPr>
        <w:spacing w:before="240" w:after="240" w:line="360" w:lineRule="auto"/>
      </w:pPr>
      <w:r>
        <w:t xml:space="preserve">This particular study, however, focuses on calculating the </w:t>
      </w:r>
      <w:r>
        <w:rPr>
          <w:i/>
        </w:rPr>
        <w:t>social costs resulting from gambling harm</w:t>
      </w:r>
      <w:r>
        <w:t>, rather than the overall net economic balance of the entire gambling industry. Because the recreational spending of people classified as non-problem gambling is not itself counted as a 'social cost' in this harm-focused framework, the general economic contributions associated with that segment of gambling activity (such as employment and tax revenue generated from non-problematic play) are not used to offset the specific costs of harm identified in this report.</w:t>
      </w:r>
    </w:p>
    <w:p w14:paraId="00F70E8C" w14:textId="77777777" w:rsidR="00DB689D" w:rsidRDefault="00310A10" w:rsidP="00367A8D">
      <w:pPr>
        <w:spacing w:before="240" w:after="240" w:line="360" w:lineRule="auto"/>
      </w:pPr>
      <w:r>
        <w:t>Other economic factors, such as revenue from international visitors or the benefit of 'import substitution' (where New Zealanders spend on domestic gambling options instead of offshore sites) also exist. While these have economic relevance, they are generally considered secondary to the primary aim of this study-to quantify the domestic social costs of gambling harm. Thus, a detailed analysis of these broader economic benefits is outside the current scope, though their exclusion from a comprehensive net economic assessment is noted.</w:t>
      </w:r>
    </w:p>
    <w:p w14:paraId="20F5C78F" w14:textId="77777777" w:rsidR="00DB689D" w:rsidRDefault="00310A10" w:rsidP="00C30E1A">
      <w:pPr>
        <w:pStyle w:val="Heading3"/>
      </w:pPr>
      <w:bookmarkStart w:id="290" w:name="_pm0kw1d9uv2d" w:colFirst="0" w:colLast="0"/>
      <w:bookmarkStart w:id="291" w:name="_Toc201572423"/>
      <w:bookmarkStart w:id="292" w:name="_Toc207195941"/>
      <w:bookmarkEnd w:id="290"/>
      <w:r>
        <w:t>Health-related quality of life</w:t>
      </w:r>
      <w:bookmarkEnd w:id="291"/>
      <w:bookmarkEnd w:id="292"/>
    </w:p>
    <w:p w14:paraId="0FF5835C" w14:textId="494AFEF9" w:rsidR="00DB689D" w:rsidRDefault="00310A10" w:rsidP="00367A8D">
      <w:pPr>
        <w:spacing w:line="360" w:lineRule="auto"/>
      </w:pPr>
      <w:r>
        <w:t xml:space="preserve">HRQoL is a well-established metric in public health and economic costing that quantifies the burden of disease and other health-related impacts on individuals and </w:t>
      </w:r>
      <w:r w:rsidR="004D5F67">
        <w:t>populations. It</w:t>
      </w:r>
      <w:r>
        <w:t xml:space="preserve"> encompasses physical, mental, and social dimensions of well-being, typically expressed in terms of QALYs, DALYs, or YLDs. These measures enable comparison of gambling-related harms with other health conditions and facilitate an economic assessment of their broader societal costs.</w:t>
      </w:r>
    </w:p>
    <w:p w14:paraId="58BD0732" w14:textId="77777777" w:rsidR="00DB689D" w:rsidRDefault="00DB689D" w:rsidP="00367A8D">
      <w:pPr>
        <w:spacing w:line="360" w:lineRule="auto"/>
      </w:pPr>
    </w:p>
    <w:p w14:paraId="66C9F625" w14:textId="0FBF33DC" w:rsidR="00DB689D" w:rsidRDefault="00310A10" w:rsidP="00367A8D">
      <w:pPr>
        <w:spacing w:line="360" w:lineRule="auto"/>
      </w:pPr>
      <w:r>
        <w:t xml:space="preserve">In the context of gambling, HRQoL provides a lens through which to evaluate the non-financial consequences experienced by individuals who gamble and those affected by their behaviour </w:t>
      </w:r>
      <w:r w:rsidR="00DB2449">
        <w:rPr>
          <w:noProof/>
          <w:color w:val="000000"/>
        </w:rPr>
        <w:t>(Browne, Tulloch, &amp; Rockloff, 2025)</w:t>
      </w:r>
      <w:r>
        <w:t xml:space="preserve">. The methodology for estimating HRQoL decrements due to gambling harm has evolved over the past decade, with increasing reliance on direct elicitation methods and health-state valuation techniques. A key development in this field has been the adaptation of standard burden-of-disease methodologies to quantify the impact of gambling harms in a manner comparable to other public health issues, such as depression and alcohol misuse </w:t>
      </w:r>
      <w:r w:rsidR="00DB2449">
        <w:rPr>
          <w:noProof/>
          <w:color w:val="000000"/>
        </w:rPr>
        <w:t>(</w:t>
      </w:r>
      <w:r w:rsidR="002A3095">
        <w:rPr>
          <w:noProof/>
          <w:color w:val="000000"/>
        </w:rPr>
        <w:t>Browne, Greer et al., 2017</w:t>
      </w:r>
      <w:r w:rsidR="00DB2449">
        <w:rPr>
          <w:noProof/>
          <w:color w:val="000000"/>
        </w:rPr>
        <w:t>; Browne, Tulloch, Rawat, et al., 2025; Tulloch et al., submitted 2025)</w:t>
      </w:r>
      <w:r>
        <w:t>.</w:t>
      </w:r>
    </w:p>
    <w:p w14:paraId="6CF4DE07" w14:textId="77777777" w:rsidR="00DB689D" w:rsidRDefault="00310A10" w:rsidP="00367A8D">
      <w:pPr>
        <w:spacing w:line="360" w:lineRule="auto"/>
      </w:pPr>
      <w:r>
        <w:t xml:space="preserve"> </w:t>
      </w:r>
    </w:p>
    <w:p w14:paraId="08F6A4AA" w14:textId="6D005A1E" w:rsidR="00DB689D" w:rsidRDefault="00310A10" w:rsidP="00367A8D">
      <w:pPr>
        <w:spacing w:line="360" w:lineRule="auto"/>
      </w:pPr>
      <w:r>
        <w:t xml:space="preserve">Key studies have significantly advanced our understanding of gambling's impact on HRQoL. Research conducted in Victoria </w:t>
      </w:r>
      <w:r w:rsidR="00DB2449">
        <w:rPr>
          <w:noProof/>
          <w:color w:val="000000"/>
        </w:rPr>
        <w:t>(Browne et al., 2016)</w:t>
      </w:r>
      <w:r>
        <w:t xml:space="preserve"> and New Zealand </w:t>
      </w:r>
      <w:r w:rsidR="00DB2449">
        <w:rPr>
          <w:noProof/>
          <w:color w:val="000000"/>
        </w:rPr>
        <w:t>(</w:t>
      </w:r>
      <w:r w:rsidR="002A3095">
        <w:rPr>
          <w:noProof/>
          <w:color w:val="000000"/>
        </w:rPr>
        <w:t>Browne, Greer et al., 2017</w:t>
      </w:r>
      <w:r w:rsidR="00DB2449">
        <w:rPr>
          <w:noProof/>
          <w:color w:val="000000"/>
        </w:rPr>
        <w:t>)</w:t>
      </w:r>
      <w:r>
        <w:t xml:space="preserve"> established foundational methodologies and findings. The New Zealand study, for instance, found that for people who gamble, the average HRQoL decrements associated with low-risk, moderate-risk, and problem gambling were 0.18, 0.37, and 0.54 respectively. For affected others, the decrements were 0.24, 0.31, and 0.34 for the same categories</w:t>
      </w:r>
      <w:r w:rsidR="00134B05">
        <w:t>.</w:t>
      </w:r>
      <w:r>
        <w:t xml:space="preserve"> In simple language, this implies that a person experiencing gambling problems realises only about 46% (calculated as 1 - 0.54 = 0.46) of the life utility experienced by someone who is otherwise well and not experiencing gambling problems. While for many people this kind of metric is an unfamiliar way to think about health and quality of life, it crucially provides a mechanism to quantify health impacts arising from gambling problems.</w:t>
      </w:r>
    </w:p>
    <w:p w14:paraId="7917B372" w14:textId="77777777" w:rsidR="00DB689D" w:rsidRDefault="00DB689D" w:rsidP="00367A8D">
      <w:pPr>
        <w:spacing w:line="360" w:lineRule="auto"/>
      </w:pPr>
    </w:p>
    <w:p w14:paraId="1D4C0444" w14:textId="770C6C1B" w:rsidR="00DB689D" w:rsidRDefault="00310A10" w:rsidP="00367A8D">
      <w:pPr>
        <w:spacing w:line="360" w:lineRule="auto"/>
      </w:pPr>
      <w:r>
        <w:t xml:space="preserve">Two primary methodological approaches have been employed to measure gambling-related HRQoL decrements: direct and indirect elicitation methods. Direct methods, such as Time Trade-Off (TTO) and Visual Analogue Scale (VAS), involve asking participants to evaluate hypothetical health states. Indirect methods use statistical inference from established health utility measures </w:t>
      </w:r>
      <w:r w:rsidR="00DB2449">
        <w:rPr>
          <w:noProof/>
          <w:color w:val="000000"/>
        </w:rPr>
        <w:t>(Browne et al., 2020)</w:t>
      </w:r>
      <w:r>
        <w:t xml:space="preserve">. Recent Australian surveys have included the Gambling Harms Scales for people who gamble and affected others (GHS-10 / GHS-10-AO). These screens have been developed so they can be scored according to the expected disability weight associated with each score </w:t>
      </w:r>
      <w:r w:rsidR="0038398B">
        <w:rPr>
          <w:noProof/>
          <w:color w:val="000000"/>
        </w:rPr>
        <w:t>(Browne et al., 2022)</w:t>
      </w:r>
      <w:r>
        <w:t>. The disability weights were established using a propensity-matched case-control methodology, comparing people who gamble with and without reported harms regarding their health functioning.</w:t>
      </w:r>
    </w:p>
    <w:p w14:paraId="084C751B" w14:textId="77777777" w:rsidR="00DB689D" w:rsidRDefault="00DB689D" w:rsidP="00367A8D">
      <w:pPr>
        <w:spacing w:line="360" w:lineRule="auto"/>
      </w:pPr>
    </w:p>
    <w:p w14:paraId="78353C76" w14:textId="56923659" w:rsidR="00DB689D" w:rsidRDefault="00310A10" w:rsidP="00367A8D">
      <w:pPr>
        <w:spacing w:line="360" w:lineRule="auto"/>
      </w:pPr>
      <w:r>
        <w:t xml:space="preserve">Both approaches have strengths and limitations. Direct methods may be subject to bias from response framing, stigma, and over-attribution. In contrast, indirect methods, which rely on generic measures of health and physical functioning, seem less sensitive in capturing the full scope of gambling-specific impacts </w:t>
      </w:r>
      <w:r w:rsidR="00DB2449">
        <w:rPr>
          <w:noProof/>
          <w:color w:val="000000"/>
        </w:rPr>
        <w:t>(Browne, Tulloch, &amp; Rockloff, 2025; Tulloch et al., submitted 2025)</w:t>
      </w:r>
      <w:r>
        <w:t>.</w:t>
      </w:r>
    </w:p>
    <w:p w14:paraId="2D5D68CA" w14:textId="77777777" w:rsidR="00DB689D" w:rsidRDefault="00310A10" w:rsidP="00367A8D">
      <w:pPr>
        <w:spacing w:line="360" w:lineRule="auto"/>
      </w:pPr>
      <w:r>
        <w:t xml:space="preserve"> </w:t>
      </w:r>
    </w:p>
    <w:p w14:paraId="7389D2D7" w14:textId="2467E85F" w:rsidR="00DB689D" w:rsidRDefault="00310A10" w:rsidP="00367A8D">
      <w:pPr>
        <w:spacing w:line="360" w:lineRule="auto"/>
      </w:pPr>
      <w:r>
        <w:t xml:space="preserve">A recent review synthesised existing research on the HRQoL effects of gambling. Drawing from direct and indirect elicitation data, this review identified consistent maximum HRQoL decrements of approximately 0.45 for individuals experiencing severe gambling problems, and 0.40 for affected others exposed to such problems </w:t>
      </w:r>
      <w:r w:rsidR="00331991">
        <w:rPr>
          <w:noProof/>
          <w:color w:val="000000"/>
        </w:rPr>
        <w:t>(Tulloch et al., submitted 2025)</w:t>
      </w:r>
      <w:r>
        <w:t>. This means that someone with severe gambling problems is living with about 45% lower quality of life than they would if they did not have those problems.</w:t>
      </w:r>
    </w:p>
    <w:p w14:paraId="35C1B47B" w14:textId="77777777" w:rsidR="00AB4BAE" w:rsidRDefault="00AB4BAE" w:rsidP="00367A8D">
      <w:pPr>
        <w:spacing w:line="360" w:lineRule="auto"/>
      </w:pPr>
    </w:p>
    <w:p w14:paraId="096A6A8F" w14:textId="77777777" w:rsidR="00DB689D" w:rsidRDefault="00310A10" w:rsidP="00C30E1A">
      <w:pPr>
        <w:pStyle w:val="Heading3"/>
      </w:pPr>
      <w:bookmarkStart w:id="293" w:name="_dlyw5h9oxbm5" w:colFirst="0" w:colLast="0"/>
      <w:bookmarkStart w:id="294" w:name="_Toc201572424"/>
      <w:bookmarkStart w:id="295" w:name="_Toc207195942"/>
      <w:bookmarkEnd w:id="293"/>
      <w:r>
        <w:t>Application to economic costings</w:t>
      </w:r>
      <w:bookmarkEnd w:id="294"/>
      <w:bookmarkEnd w:id="295"/>
    </w:p>
    <w:p w14:paraId="5286AB5E" w14:textId="77777777" w:rsidR="00DB689D" w:rsidRDefault="00310A10" w:rsidP="00367A8D">
      <w:pPr>
        <w:spacing w:line="360" w:lineRule="auto"/>
      </w:pPr>
      <w:r>
        <w:t>HRQoL decrements are typically converted to QALYs, DALYs or YLD to facilitate comparison with other health conditions and enable economic costing. The monetisation of these impacts often uses approaches such as GDP per capita or VoSLY, although debates persist about the most appropriate valuation method (Verguet &amp; Chakrabarti, 2023).</w:t>
      </w:r>
    </w:p>
    <w:p w14:paraId="13691090" w14:textId="77777777" w:rsidR="00DB689D" w:rsidRDefault="00310A10" w:rsidP="00367A8D">
      <w:pPr>
        <w:spacing w:line="360" w:lineRule="auto"/>
      </w:pPr>
      <w:r>
        <w:t xml:space="preserve"> </w:t>
      </w:r>
    </w:p>
    <w:p w14:paraId="40AD2EDE" w14:textId="77777777" w:rsidR="00DB689D" w:rsidRDefault="00310A10" w:rsidP="00367A8D">
      <w:pPr>
        <w:spacing w:line="360" w:lineRule="auto"/>
      </w:pPr>
      <w:r>
        <w:t>Recent economic costings have employed diverse methods to monetise HRQoL impacts of gambling. In the Northern Territory of Australia, Whetton et al. (2021) linked reported harms to decrements from the 2016 Global Burden of Disease study, discounted DALYs by 50% for symptom-free periods, and valued them using the VoSLY. They provided upper and lower bound estimates to account for methodological variances. Tasmania adopted a similar approach, mapping known harms to DALYs and valuing them using VoSLYs (ACIL Allen Consulting et al., 2018).</w:t>
      </w:r>
    </w:p>
    <w:p w14:paraId="4EEBCA39" w14:textId="77777777" w:rsidR="00DB689D" w:rsidRDefault="00DB689D" w:rsidP="00367A8D">
      <w:pPr>
        <w:spacing w:line="360" w:lineRule="auto"/>
      </w:pPr>
    </w:p>
    <w:p w14:paraId="46B9C2CD" w14:textId="4DD2E9FD" w:rsidR="00DB689D" w:rsidRDefault="00310A10" w:rsidP="00367A8D">
      <w:pPr>
        <w:spacing w:line="360" w:lineRule="auto"/>
      </w:pPr>
      <w:r>
        <w:t xml:space="preserve">Some studies have focused on specific subgroups or used expert opinions. The study in the Czech Republic by </w:t>
      </w:r>
      <w:r w:rsidR="00DB2449">
        <w:rPr>
          <w:noProof/>
          <w:color w:val="000000"/>
        </w:rPr>
        <w:t>(Winkler et al., 2017)</w:t>
      </w:r>
      <w:r>
        <w:t xml:space="preserve"> calculated HRQoL only for individuals classified with pathological gambling, using expert physician estimates of clinically significant depression and valuing the associated HRQoL impact using average costs per patient with depression. The National Australian Cost of Addiction study </w:t>
      </w:r>
      <w:r w:rsidR="00DB2449">
        <w:rPr>
          <w:noProof/>
          <w:color w:val="000000"/>
        </w:rPr>
        <w:t>(KPMG and Rethink Addiction, 2022)</w:t>
      </w:r>
      <w:r>
        <w:t xml:space="preserve"> used HRQoL decrements derived from Browne, Greer et al. </w:t>
      </w:r>
      <w:r w:rsidR="00DB2449">
        <w:rPr>
          <w:noProof/>
          <w:color w:val="000000"/>
        </w:rPr>
        <w:t>(2017)</w:t>
      </w:r>
      <w:r>
        <w:t>, although they did not specify their calculation method. Not all studies have included HRQoL valuations. The United Kingdom study by Bhattacharjee et al. (2023) did not consider HRQoL beyond direct costs for mental health GP visits, while the Italian study by Lucchini &amp; Comi (2022) did not include HRQoL valuation at all.</w:t>
      </w:r>
    </w:p>
    <w:p w14:paraId="5F7300FF" w14:textId="77777777" w:rsidR="00DB689D" w:rsidRDefault="00DB689D" w:rsidP="00367A8D">
      <w:pPr>
        <w:spacing w:line="360" w:lineRule="auto"/>
      </w:pPr>
    </w:p>
    <w:p w14:paraId="59FA1E43" w14:textId="6911715C" w:rsidR="00DB689D" w:rsidRDefault="00310A10" w:rsidP="00367A8D">
      <w:pPr>
        <w:spacing w:line="360" w:lineRule="auto"/>
      </w:pPr>
      <w:r>
        <w:t xml:space="preserve">The Social Cost of Gambling to Victoria Reports </w:t>
      </w:r>
      <w:r w:rsidR="00DB2449">
        <w:rPr>
          <w:noProof/>
          <w:color w:val="000000"/>
        </w:rPr>
        <w:t>(</w:t>
      </w:r>
      <w:r w:rsidR="002A3095">
        <w:rPr>
          <w:noProof/>
          <w:color w:val="000000"/>
        </w:rPr>
        <w:t>Browne, Greer et al., 2017</w:t>
      </w:r>
      <w:r w:rsidR="00DB2449">
        <w:rPr>
          <w:noProof/>
          <w:color w:val="000000"/>
        </w:rPr>
        <w:t>; Browne, Tulloch, Rawat, et al., 2025)</w:t>
      </w:r>
      <w:r>
        <w:t xml:space="preserve"> demonstrated the significance of HRQoL impacts as a major component of the overall social cost of gambling. These studies integrate HRQoL decrements into broader economic models to estimate the cumulative burden on people who gamble and affected others, such as family members, partners, and close associates.</w:t>
      </w:r>
    </w:p>
    <w:p w14:paraId="6B67D232" w14:textId="77777777" w:rsidR="00DB689D" w:rsidRDefault="00DB689D" w:rsidP="00367A8D">
      <w:pPr>
        <w:spacing w:line="360" w:lineRule="auto"/>
      </w:pPr>
    </w:p>
    <w:p w14:paraId="08F7AA8C" w14:textId="77777777" w:rsidR="00DB689D" w:rsidRDefault="00310A10" w:rsidP="00367A8D">
      <w:pPr>
        <w:spacing w:line="360" w:lineRule="auto"/>
      </w:pPr>
      <w:r>
        <w:t>The Victorian studies utilised a multi-step approach to quantify HRQoL impacts:</w:t>
      </w:r>
    </w:p>
    <w:p w14:paraId="2056835F" w14:textId="77777777" w:rsidR="00DB689D" w:rsidRDefault="00310A10" w:rsidP="00367A8D">
      <w:pPr>
        <w:numPr>
          <w:ilvl w:val="0"/>
          <w:numId w:val="26"/>
        </w:numPr>
        <w:spacing w:line="360" w:lineRule="auto"/>
      </w:pPr>
      <w:r w:rsidRPr="0078032A">
        <w:rPr>
          <w:bCs/>
          <w:i/>
          <w:iCs/>
        </w:rPr>
        <w:t>Prevalence Estimation</w:t>
      </w:r>
      <w:r>
        <w:rPr>
          <w:b/>
        </w:rPr>
        <w:t>:</w:t>
      </w:r>
      <w:r>
        <w:t xml:space="preserve"> Identification of individuals experiencing gambling-related harm using population-level surveys and standardised screening tools such as the Gambling Harms Scale (GHS-10).</w:t>
      </w:r>
    </w:p>
    <w:p w14:paraId="31FA8411" w14:textId="77777777" w:rsidR="00DB689D" w:rsidRDefault="00310A10" w:rsidP="00367A8D">
      <w:pPr>
        <w:numPr>
          <w:ilvl w:val="0"/>
          <w:numId w:val="26"/>
        </w:numPr>
        <w:spacing w:line="360" w:lineRule="auto"/>
      </w:pPr>
      <w:r w:rsidRPr="00055CD3">
        <w:rPr>
          <w:bCs/>
        </w:rPr>
        <w:t>Severity Weighting</w:t>
      </w:r>
      <w:r>
        <w:rPr>
          <w:b/>
        </w:rPr>
        <w:t>:</w:t>
      </w:r>
      <w:r>
        <w:t xml:space="preserve"> Application of HRQoL decrements derived from valuation studies that map specific gambling harms onto established disability weights used in burden-of-disease research.</w:t>
      </w:r>
    </w:p>
    <w:p w14:paraId="72A94E9F" w14:textId="77777777" w:rsidR="00DB689D" w:rsidRDefault="00310A10" w:rsidP="00367A8D">
      <w:pPr>
        <w:numPr>
          <w:ilvl w:val="0"/>
          <w:numId w:val="26"/>
        </w:numPr>
        <w:spacing w:line="360" w:lineRule="auto"/>
      </w:pPr>
      <w:r w:rsidRPr="0078032A">
        <w:rPr>
          <w:bCs/>
          <w:i/>
          <w:iCs/>
        </w:rPr>
        <w:t>Monetisation</w:t>
      </w:r>
      <w:r>
        <w:rPr>
          <w:b/>
        </w:rPr>
        <w:t>:</w:t>
      </w:r>
      <w:r>
        <w:t xml:space="preserve"> Conversion of HRQoL decrements into economic terms using per capita GDP as a reference metric, aligning with best practices in health economics.</w:t>
      </w:r>
    </w:p>
    <w:p w14:paraId="643A30C8" w14:textId="77777777" w:rsidR="00DB689D" w:rsidRDefault="00310A10" w:rsidP="00367A8D">
      <w:pPr>
        <w:numPr>
          <w:ilvl w:val="0"/>
          <w:numId w:val="26"/>
        </w:numPr>
        <w:spacing w:line="360" w:lineRule="auto"/>
      </w:pPr>
      <w:r w:rsidRPr="0078032A">
        <w:rPr>
          <w:bCs/>
          <w:i/>
          <w:iCs/>
        </w:rPr>
        <w:t>Discounting</w:t>
      </w:r>
      <w:r>
        <w:rPr>
          <w:b/>
        </w:rPr>
        <w:t>:</w:t>
      </w:r>
      <w:r>
        <w:t xml:space="preserve"> Because HRQoL serves as an ‘omnibus’ index of social-psychological impact, it often subsumes or overlaps with other, more specific cost estimates within the studies, such as depression-related costs. Consequently, the final accounting subtracts these estimates to prevent double counting.</w:t>
      </w:r>
    </w:p>
    <w:p w14:paraId="276E4EA3" w14:textId="77777777" w:rsidR="00DB689D" w:rsidRDefault="00DB689D" w:rsidP="00367A8D">
      <w:pPr>
        <w:spacing w:line="360" w:lineRule="auto"/>
      </w:pPr>
    </w:p>
    <w:p w14:paraId="4DCB7EDB" w14:textId="49B34773" w:rsidR="00DB689D" w:rsidRDefault="00310A10" w:rsidP="00367A8D">
      <w:pPr>
        <w:spacing w:line="360" w:lineRule="auto"/>
      </w:pPr>
      <w:r>
        <w:t xml:space="preserve">The most recent NZGS (2023/24) included the PGSI, but not the GHS instruments. Nevertheless, prior analyses based on the PGSI yield aggregate estimates similar to those based on the GHS </w:t>
      </w:r>
      <w:r w:rsidR="00DB2449">
        <w:rPr>
          <w:noProof/>
          <w:color w:val="000000"/>
        </w:rPr>
        <w:t>(Browne, Tulloch, Rawat, et al., 2025)</w:t>
      </w:r>
      <w:r>
        <w:t xml:space="preserve">; furthermore, Tulloch et al </w:t>
      </w:r>
      <w:r w:rsidR="00DB2449">
        <w:rPr>
          <w:noProof/>
          <w:color w:val="000000"/>
        </w:rPr>
        <w:t>(submitted 2025)</w:t>
      </w:r>
      <w:r>
        <w:t xml:space="preserve"> provide a scoring method applicable to both the PGSI and the GHS. Accordingly, the present costing study bases its HRQoL decrements on this data.</w:t>
      </w:r>
    </w:p>
    <w:p w14:paraId="12CE87E1" w14:textId="77777777" w:rsidR="00DB689D" w:rsidRDefault="00310A10" w:rsidP="00C30E1A">
      <w:pPr>
        <w:pStyle w:val="Heading3"/>
      </w:pPr>
      <w:bookmarkStart w:id="296" w:name="_17b3axkl0gg4" w:colFirst="0" w:colLast="0"/>
      <w:bookmarkStart w:id="297" w:name="_Toc201572425"/>
      <w:bookmarkStart w:id="298" w:name="_Toc207195943"/>
      <w:bookmarkEnd w:id="296"/>
      <w:r>
        <w:t>HRQoL impacts to affected others</w:t>
      </w:r>
      <w:bookmarkEnd w:id="297"/>
      <w:bookmarkEnd w:id="298"/>
    </w:p>
    <w:p w14:paraId="183F80EE" w14:textId="1A3C5C2A" w:rsidR="00DB689D" w:rsidRDefault="00310A10" w:rsidP="00367A8D">
      <w:pPr>
        <w:spacing w:line="360" w:lineRule="auto"/>
      </w:pPr>
      <w:r>
        <w:t xml:space="preserve">In the 2017 and 2023 Victorian reports </w:t>
      </w:r>
      <w:r w:rsidR="00DB2449">
        <w:rPr>
          <w:noProof/>
          <w:color w:val="000000"/>
        </w:rPr>
        <w:t>(</w:t>
      </w:r>
      <w:r w:rsidR="002A3095">
        <w:rPr>
          <w:noProof/>
          <w:color w:val="000000"/>
        </w:rPr>
        <w:t>Browne, Greer et al., 2017</w:t>
      </w:r>
      <w:r w:rsidR="00DB2449">
        <w:rPr>
          <w:noProof/>
          <w:color w:val="000000"/>
        </w:rPr>
        <w:t>; Browne, Tulloch, Rawat, et al., 2025)</w:t>
      </w:r>
      <w:r>
        <w:t>, the HRQoL impacts on affected others were identified as a substantial gambling-related cost. However, the methods for measuring these impacts differed between the two reports.</w:t>
      </w:r>
    </w:p>
    <w:p w14:paraId="5741FB28" w14:textId="77777777" w:rsidR="00DB689D" w:rsidRDefault="00DB689D" w:rsidP="00367A8D">
      <w:pPr>
        <w:spacing w:line="360" w:lineRule="auto"/>
      </w:pPr>
    </w:p>
    <w:p w14:paraId="194D1F6D" w14:textId="7DC8F37F" w:rsidR="00DB689D" w:rsidRDefault="00310A10" w:rsidP="00367A8D">
      <w:pPr>
        <w:spacing w:line="360" w:lineRule="auto"/>
      </w:pPr>
      <w:r>
        <w:t xml:space="preserve">In the 2017 report, the number of affected others was calculated using estimates from other research </w:t>
      </w:r>
      <w:r w:rsidR="00DB2449">
        <w:rPr>
          <w:noProof/>
          <w:color w:val="000000"/>
        </w:rPr>
        <w:t>(Goodwin et al., 2017)</w:t>
      </w:r>
      <w:r>
        <w:t xml:space="preserve">. This prior work estimated that for each person experiencing problem gambling, six other people are affected; for each person experiencing moderate-risk gambling, three people are affected; and for each person categorised as low-risk gambling, one other person is affected. From this total number of affected others, the proportion experiencing moderate or severe emotional distress due to another person’s gambling </w:t>
      </w:r>
      <w:r w:rsidR="00DB2449">
        <w:rPr>
          <w:noProof/>
          <w:color w:val="000000"/>
        </w:rPr>
        <w:t>(identified from Browne et al., 2016)</w:t>
      </w:r>
      <w:r>
        <w:t xml:space="preserve"> was used to estimate the final number of affected others experiencing HRQoL impacts. In contrast, the 2023 report utilised prevalence data that included a specific harm scale for measuring harms to affected others (GHS-10-AO). This scale was designed using health utility information and an indirect or statistical methodology to identify associated health decrements.</w:t>
      </w:r>
    </w:p>
    <w:p w14:paraId="3EBB4FAC" w14:textId="77777777" w:rsidR="00DB689D" w:rsidRDefault="00310A10" w:rsidP="00367A8D">
      <w:pPr>
        <w:spacing w:line="360" w:lineRule="auto"/>
      </w:pPr>
      <w:r>
        <w:t xml:space="preserve"> </w:t>
      </w:r>
    </w:p>
    <w:p w14:paraId="32EC405E" w14:textId="77777777" w:rsidR="00DB689D" w:rsidRDefault="00310A10" w:rsidP="00367A8D">
      <w:pPr>
        <w:spacing w:line="360" w:lineRule="auto"/>
      </w:pPr>
      <w:r>
        <w:t>In the 2023 report, the estimated cost of the emotional and psychological impact of gambling harm on affected others was approximately $1.6 billion. This figure is slightly higher than the previous inflation-adjusted estimate of $1.3 billion. The increase likely reflects a more precise estimation of harm to affected others, with prevalence inferred directly from the population survey rather than extrapolated from the number of people harmed per person.</w:t>
      </w:r>
    </w:p>
    <w:p w14:paraId="2C6E298C" w14:textId="77777777" w:rsidR="00DB689D" w:rsidRDefault="00DB689D" w:rsidP="00367A8D">
      <w:pPr>
        <w:spacing w:line="360" w:lineRule="auto"/>
      </w:pPr>
    </w:p>
    <w:p w14:paraId="193C99B5" w14:textId="46C50A6A" w:rsidR="00DB689D" w:rsidRDefault="00310A10" w:rsidP="00367A8D">
      <w:pPr>
        <w:spacing w:line="360" w:lineRule="auto"/>
      </w:pPr>
      <w:r>
        <w:t xml:space="preserve">Since the NZGS (2023/24) does not include specific measures for harm to affected others, the current costing will base its methodology on that used in the 2017 report </w:t>
      </w:r>
      <w:r w:rsidR="0038398B">
        <w:rPr>
          <w:noProof/>
          <w:color w:val="000000"/>
        </w:rPr>
        <w:t>(</w:t>
      </w:r>
      <w:r w:rsidR="002A3095">
        <w:rPr>
          <w:noProof/>
          <w:color w:val="000000"/>
        </w:rPr>
        <w:t>Browne, Greer et al., 2017</w:t>
      </w:r>
      <w:r w:rsidR="0038398B">
        <w:rPr>
          <w:noProof/>
          <w:color w:val="000000"/>
        </w:rPr>
        <w:t>)</w:t>
      </w:r>
      <w:r>
        <w:t xml:space="preserve"> The proportion of New Zealand affected others experiencing HRQoL impacts will be identified through individuals reporting harm to their physical or mental health due to another person’s gambling </w:t>
      </w:r>
      <w:r w:rsidR="00DB2449">
        <w:rPr>
          <w:noProof/>
          <w:color w:val="000000"/>
        </w:rPr>
        <w:t xml:space="preserve">(identified from </w:t>
      </w:r>
      <w:r w:rsidR="002A3095">
        <w:rPr>
          <w:noProof/>
          <w:color w:val="000000"/>
        </w:rPr>
        <w:t>Browne, Greer et al., 2017</w:t>
      </w:r>
      <w:r w:rsidR="00DB2449">
        <w:rPr>
          <w:noProof/>
          <w:color w:val="000000"/>
        </w:rPr>
        <w:t>)</w:t>
      </w:r>
      <w:r>
        <w:t>.</w:t>
      </w:r>
    </w:p>
    <w:p w14:paraId="44E170EC" w14:textId="77777777" w:rsidR="00DB689D" w:rsidRDefault="00310A10" w:rsidP="00C30E1A">
      <w:pPr>
        <w:pStyle w:val="Heading3"/>
      </w:pPr>
      <w:bookmarkStart w:id="299" w:name="_2isqe05apa6i" w:colFirst="0" w:colLast="0"/>
      <w:bookmarkStart w:id="300" w:name="_Toc201572426"/>
      <w:bookmarkStart w:id="301" w:name="_Toc207195944"/>
      <w:bookmarkEnd w:id="299"/>
      <w:r>
        <w:t>Discounting HRQoL to avoid double-counting</w:t>
      </w:r>
      <w:bookmarkEnd w:id="300"/>
      <w:bookmarkEnd w:id="301"/>
    </w:p>
    <w:p w14:paraId="17B5E21B" w14:textId="38F93D73" w:rsidR="00DB689D" w:rsidRDefault="00310A10" w:rsidP="00367A8D">
      <w:pPr>
        <w:spacing w:line="360" w:lineRule="auto"/>
      </w:pPr>
      <w:r>
        <w:t xml:space="preserve">Accurately assessing the economic impact of gambling-related harm in New Zealand requires isolating the costs attributable to specific harm domains. In this report, we use a 29.3% weighting factor when calculating costs associated with emotional and psychological harm (affecting both people who gamble and affected others). This factor is derived from a dominance analysis of disability weights in prior research </w:t>
      </w:r>
      <w:r w:rsidR="0038398B">
        <w:rPr>
          <w:noProof/>
          <w:color w:val="000000"/>
        </w:rPr>
        <w:t>(</w:t>
      </w:r>
      <w:r w:rsidR="002A3095">
        <w:rPr>
          <w:noProof/>
          <w:color w:val="000000"/>
        </w:rPr>
        <w:t>Browne, Greer et al., 2017</w:t>
      </w:r>
      <w:r w:rsidR="0038398B">
        <w:rPr>
          <w:noProof/>
          <w:color w:val="000000"/>
        </w:rPr>
        <w:t>)</w:t>
      </w:r>
      <w:r>
        <w:t>, providing a basis for understanding the relative contribution of different harm categories to gambling's overall impact. Key elements of this methodology include:</w:t>
      </w:r>
    </w:p>
    <w:p w14:paraId="37AFED84" w14:textId="77777777" w:rsidR="00DB689D" w:rsidRDefault="00DB689D" w:rsidP="00367A8D">
      <w:pPr>
        <w:spacing w:line="360" w:lineRule="auto"/>
      </w:pPr>
    </w:p>
    <w:p w14:paraId="7337B445" w14:textId="77777777" w:rsidR="00DB689D" w:rsidRDefault="00310A10" w:rsidP="00367A8D">
      <w:pPr>
        <w:numPr>
          <w:ilvl w:val="0"/>
          <w:numId w:val="12"/>
        </w:numPr>
        <w:spacing w:line="360" w:lineRule="auto"/>
      </w:pPr>
      <w:r w:rsidRPr="0078032A">
        <w:rPr>
          <w:i/>
          <w:iCs/>
        </w:rPr>
        <w:t>Disability Weights</w:t>
      </w:r>
      <w:r w:rsidRPr="00AF04C9">
        <w:rPr>
          <w:b/>
          <w:bCs/>
        </w:rPr>
        <w:t>:</w:t>
      </w:r>
      <w:r>
        <w:t xml:space="preserve"> These weights, established by Browne et al. (2016), quantify the reduction in an individual's quality of life from gambling-related harm, measured on a scale from 0 (no impact) to 1 (maximum impact).</w:t>
      </w:r>
    </w:p>
    <w:p w14:paraId="3B0BBAAB" w14:textId="77777777" w:rsidR="00DB689D" w:rsidRDefault="00310A10" w:rsidP="00367A8D">
      <w:pPr>
        <w:numPr>
          <w:ilvl w:val="0"/>
          <w:numId w:val="12"/>
        </w:numPr>
        <w:spacing w:line="360" w:lineRule="auto"/>
      </w:pPr>
      <w:r w:rsidRPr="0078032A">
        <w:rPr>
          <w:i/>
          <w:iCs/>
        </w:rPr>
        <w:t>Dominance Analysis</w:t>
      </w:r>
      <w:r w:rsidRPr="00AF04C9">
        <w:rPr>
          <w:b/>
          <w:bCs/>
        </w:rPr>
        <w:t>:</w:t>
      </w:r>
      <w:r>
        <w:t xml:space="preserve"> A statistical technique used to determine the unique contribution of emotional and psychological harm to the variance observed in DWs, effectively dividing the overall impact into its component parts.</w:t>
      </w:r>
    </w:p>
    <w:p w14:paraId="4C0518D9" w14:textId="77777777" w:rsidR="00DB689D" w:rsidRDefault="00DB689D" w:rsidP="00367A8D">
      <w:pPr>
        <w:spacing w:line="360" w:lineRule="auto"/>
        <w:ind w:left="720"/>
      </w:pPr>
    </w:p>
    <w:p w14:paraId="7A9717CB" w14:textId="527EEA58" w:rsidR="00DB689D" w:rsidRDefault="00310A10" w:rsidP="00367A8D">
      <w:pPr>
        <w:spacing w:line="360" w:lineRule="auto"/>
      </w:pPr>
      <w:r>
        <w:t xml:space="preserve">The 29.3% weighting thus represents our best estimate of the contribution of psychological and emotional impacts to global HRQoL decrements. This methodology allows us to isolate and cost the specific impact of emotional and psychological factors on </w:t>
      </w:r>
      <w:r w:rsidR="002B4EA6">
        <w:t>quality-of-life</w:t>
      </w:r>
      <w:r>
        <w:t xml:space="preserve"> reductions associated with gambling harm, while excluding contributions to HRQoL impacts attributable to financial deprivation, relationship difficulties, physical health issues, consequential socially deviant behaviour, and work or study problems that are costed elsewhere in this report.</w:t>
      </w:r>
    </w:p>
    <w:p w14:paraId="1178B438" w14:textId="77777777" w:rsidR="00DB689D" w:rsidRDefault="00310A10" w:rsidP="00C30E1A">
      <w:pPr>
        <w:pStyle w:val="Heading3"/>
      </w:pPr>
      <w:bookmarkStart w:id="302" w:name="_f8pdvublrmz1" w:colFirst="0" w:colLast="0"/>
      <w:bookmarkStart w:id="303" w:name="_Toc201572427"/>
      <w:bookmarkStart w:id="304" w:name="_Toc207195945"/>
      <w:bookmarkEnd w:id="302"/>
      <w:r>
        <w:t>The prevention paradox</w:t>
      </w:r>
      <w:bookmarkEnd w:id="303"/>
      <w:bookmarkEnd w:id="304"/>
    </w:p>
    <w:p w14:paraId="5EA68A5B" w14:textId="5031433C" w:rsidR="00DB689D" w:rsidRDefault="00310A10" w:rsidP="00367A8D">
      <w:pPr>
        <w:spacing w:line="360" w:lineRule="auto"/>
      </w:pPr>
      <w:r>
        <w:t xml:space="preserve">A recent study of gambling expert stakeholders in New Zealand identified concerns when the public health focus is solely on individuals with severe gambling problems </w:t>
      </w:r>
      <w:r w:rsidR="0038398B">
        <w:rPr>
          <w:noProof/>
          <w:color w:val="000000"/>
        </w:rPr>
        <w:t>(Rimal et al., 2023)</w:t>
      </w:r>
      <w:r>
        <w:t xml:space="preserve">. A key consideration in HRQoL costing is the inclusion of impacts across the entire spectrum of gambling risk, encompassing low-risk and moderate-risk. This approach aligns with the 'prevention paradox' in gambling harm, suggesting that the cumulative harm from less severe cases can be substantial, potentially exceeding that from the fewer severe cases </w:t>
      </w:r>
      <w:r w:rsidR="00DB2449">
        <w:rPr>
          <w:noProof/>
          <w:color w:val="000000"/>
        </w:rPr>
        <w:t>(Browne &amp; Rockloff, 2018)</w:t>
      </w:r>
      <w:r>
        <w:t xml:space="preserve">. Recent developments have broadened the scope of HRQoL assessment to include affected others, acknowledging the significant impact of gambling on family members and close associates. The development of specific measures, such as the Gambling Harm Scale-10 (GHS-10) and the GHS-10 for Affected Others (GHS-10-AO), signifies an important advancement in capturing these wider impacts </w:t>
      </w:r>
      <w:r w:rsidR="0038398B">
        <w:rPr>
          <w:noProof/>
          <w:color w:val="000000"/>
        </w:rPr>
        <w:t>(Browne et al., 2022)</w:t>
      </w:r>
      <w:r>
        <w:t>.</w:t>
      </w:r>
    </w:p>
    <w:p w14:paraId="36169FDF" w14:textId="77777777" w:rsidR="00DB689D" w:rsidRDefault="00310A10" w:rsidP="00367A8D">
      <w:pPr>
        <w:spacing w:line="360" w:lineRule="auto"/>
      </w:pPr>
      <w:r>
        <w:t xml:space="preserve"> </w:t>
      </w:r>
    </w:p>
    <w:p w14:paraId="1D000D8C" w14:textId="77777777" w:rsidR="00DB689D" w:rsidRDefault="00310A10" w:rsidP="00367A8D">
      <w:pPr>
        <w:spacing w:line="360" w:lineRule="auto"/>
      </w:pPr>
      <w:r>
        <w:t>Multiple studies demonstrate that although severe gambling problems affect a smaller segment of the population, a significant proportion of gambling's societal impact originates from the larger group experiencing lower levels of harm:</w:t>
      </w:r>
    </w:p>
    <w:p w14:paraId="26147E0A" w14:textId="77777777" w:rsidR="00DB689D" w:rsidRDefault="00310A10" w:rsidP="00367A8D">
      <w:pPr>
        <w:spacing w:line="360" w:lineRule="auto"/>
      </w:pPr>
      <w:r>
        <w:t xml:space="preserve"> </w:t>
      </w:r>
    </w:p>
    <w:p w14:paraId="7B3418BA" w14:textId="77777777" w:rsidR="00DB689D" w:rsidRDefault="00310A10" w:rsidP="00367A8D">
      <w:pPr>
        <w:spacing w:line="360" w:lineRule="auto"/>
        <w:ind w:left="1080" w:hanging="360"/>
      </w:pPr>
      <w:r>
        <w:t>●</w:t>
      </w:r>
      <w:r>
        <w:rPr>
          <w:sz w:val="14"/>
          <w:szCs w:val="14"/>
        </w:rPr>
        <w:t xml:space="preserve"> </w:t>
      </w:r>
      <w:r>
        <w:rPr>
          <w:sz w:val="14"/>
          <w:szCs w:val="14"/>
        </w:rPr>
        <w:tab/>
      </w:r>
      <w:r>
        <w:t>Browne et al. (2016) found that in Australia (Victoria), 50.2% of the HRQoL impact was attributed to low-risk gambling, whereas only 15.2% was attributed to problem gambling.</w:t>
      </w:r>
    </w:p>
    <w:p w14:paraId="18A58245" w14:textId="78441B00" w:rsidR="00DB689D" w:rsidRDefault="00310A10" w:rsidP="00367A8D">
      <w:pPr>
        <w:spacing w:line="360" w:lineRule="auto"/>
        <w:ind w:left="1080" w:hanging="360"/>
      </w:pPr>
      <w:r>
        <w:t>●</w:t>
      </w:r>
      <w:r>
        <w:rPr>
          <w:sz w:val="14"/>
          <w:szCs w:val="14"/>
        </w:rPr>
        <w:t xml:space="preserve"> </w:t>
      </w:r>
      <w:r>
        <w:rPr>
          <w:sz w:val="14"/>
          <w:szCs w:val="14"/>
        </w:rPr>
        <w:tab/>
      </w:r>
      <w:r>
        <w:t xml:space="preserve">In the United Kingdom, Canale et al. </w:t>
      </w:r>
      <w:r w:rsidR="0038398B">
        <w:rPr>
          <w:noProof/>
          <w:color w:val="000000"/>
        </w:rPr>
        <w:t>(2016)</w:t>
      </w:r>
      <w:r>
        <w:t xml:space="preserve"> reported that 25.5% of social harms were associated with low-risk gambling, compared with 36.5% for problem gambling.</w:t>
      </w:r>
    </w:p>
    <w:p w14:paraId="20835DB8" w14:textId="34E2CA55" w:rsidR="00DB689D" w:rsidRDefault="00310A10" w:rsidP="00367A8D">
      <w:pPr>
        <w:spacing w:line="360" w:lineRule="auto"/>
        <w:ind w:left="1080" w:hanging="360"/>
      </w:pPr>
      <w:r>
        <w:t>●</w:t>
      </w:r>
      <w:r>
        <w:rPr>
          <w:sz w:val="14"/>
          <w:szCs w:val="14"/>
        </w:rPr>
        <w:t xml:space="preserve"> </w:t>
      </w:r>
      <w:r>
        <w:rPr>
          <w:sz w:val="14"/>
          <w:szCs w:val="14"/>
        </w:rPr>
        <w:tab/>
      </w:r>
      <w:r>
        <w:t xml:space="preserve">Tulloch et al. </w:t>
      </w:r>
      <w:r w:rsidR="00DB2449">
        <w:rPr>
          <w:noProof/>
          <w:color w:val="000000"/>
        </w:rPr>
        <w:t>(2024)</w:t>
      </w:r>
      <w:r>
        <w:t xml:space="preserve"> observed that in Australia (National), 42.2% of the HRQoL impact originated from lower-risk gambling, while 25.2% was from problem gambling.</w:t>
      </w:r>
    </w:p>
    <w:p w14:paraId="6AAF2EB6" w14:textId="77777777" w:rsidR="00DB689D" w:rsidRDefault="00310A10" w:rsidP="00367A8D">
      <w:pPr>
        <w:spacing w:line="360" w:lineRule="auto"/>
      </w:pPr>
      <w:r>
        <w:t xml:space="preserve"> </w:t>
      </w:r>
    </w:p>
    <w:p w14:paraId="5D9FF846" w14:textId="6C350DA4" w:rsidR="00DB689D" w:rsidRDefault="00310A10" w:rsidP="00367A8D">
      <w:pPr>
        <w:spacing w:line="360" w:lineRule="auto"/>
      </w:pPr>
      <w:r>
        <w:t xml:space="preserve">These findings underscore the importance of considering the entire spectrum of gambling behaviour when assessing societal impact. The inclusion of all levels of gambling problem severity in cost quantification is a recommendation from Latvala et al. </w:t>
      </w:r>
      <w:r w:rsidR="00DB2449">
        <w:rPr>
          <w:noProof/>
          <w:color w:val="000000"/>
        </w:rPr>
        <w:t>(2019)</w:t>
      </w:r>
      <w:r>
        <w:t xml:space="preserve"> that has also been adopted in various studies:</w:t>
      </w:r>
    </w:p>
    <w:p w14:paraId="5D046E71" w14:textId="77777777" w:rsidR="00DB689D" w:rsidRDefault="00310A10" w:rsidP="00367A8D">
      <w:pPr>
        <w:spacing w:line="360" w:lineRule="auto"/>
      </w:pPr>
      <w:r>
        <w:t xml:space="preserve"> </w:t>
      </w:r>
    </w:p>
    <w:p w14:paraId="0E0DDD2A" w14:textId="2E48B54B" w:rsidR="00DB689D" w:rsidRDefault="00310A10" w:rsidP="00367A8D">
      <w:pPr>
        <w:spacing w:line="360" w:lineRule="auto"/>
        <w:ind w:left="1080" w:hanging="360"/>
      </w:pPr>
      <w:r>
        <w:t>●</w:t>
      </w:r>
      <w:r>
        <w:rPr>
          <w:sz w:val="14"/>
          <w:szCs w:val="14"/>
        </w:rPr>
        <w:t xml:space="preserve"> </w:t>
      </w:r>
      <w:r>
        <w:rPr>
          <w:sz w:val="14"/>
          <w:szCs w:val="14"/>
        </w:rPr>
        <w:tab/>
      </w:r>
      <w:r>
        <w:t xml:space="preserve">Victoria, Australia </w:t>
      </w:r>
      <w:r w:rsidR="0038398B">
        <w:rPr>
          <w:noProof/>
          <w:color w:val="000000"/>
        </w:rPr>
        <w:t>(</w:t>
      </w:r>
      <w:r w:rsidR="002A3095">
        <w:rPr>
          <w:noProof/>
          <w:color w:val="000000"/>
        </w:rPr>
        <w:t>Browne, Greer et al., 2017</w:t>
      </w:r>
      <w:r w:rsidR="0038398B">
        <w:rPr>
          <w:noProof/>
          <w:color w:val="000000"/>
        </w:rPr>
        <w:t>)</w:t>
      </w:r>
    </w:p>
    <w:p w14:paraId="44EA4E41" w14:textId="3F941FAF" w:rsidR="00DB689D" w:rsidRDefault="00310A10" w:rsidP="00367A8D">
      <w:pPr>
        <w:spacing w:line="360" w:lineRule="auto"/>
        <w:ind w:left="1080" w:hanging="360"/>
      </w:pPr>
      <w:r>
        <w:t>●</w:t>
      </w:r>
      <w:r>
        <w:rPr>
          <w:sz w:val="14"/>
          <w:szCs w:val="14"/>
        </w:rPr>
        <w:t xml:space="preserve"> </w:t>
      </w:r>
      <w:r>
        <w:rPr>
          <w:sz w:val="14"/>
          <w:szCs w:val="14"/>
        </w:rPr>
        <w:tab/>
      </w:r>
      <w:r>
        <w:t xml:space="preserve">Northern Territory, Australia </w:t>
      </w:r>
      <w:r w:rsidR="0038398B">
        <w:rPr>
          <w:noProof/>
          <w:color w:val="000000"/>
        </w:rPr>
        <w:t>(Whetton et al., 2018)</w:t>
      </w:r>
    </w:p>
    <w:p w14:paraId="6BC8DDB7" w14:textId="2AAF24EF" w:rsidR="00DB689D" w:rsidRDefault="00310A10" w:rsidP="00367A8D">
      <w:pPr>
        <w:spacing w:line="360" w:lineRule="auto"/>
        <w:ind w:left="1080" w:hanging="360"/>
      </w:pPr>
      <w:r>
        <w:t>●</w:t>
      </w:r>
      <w:r>
        <w:rPr>
          <w:sz w:val="14"/>
          <w:szCs w:val="14"/>
        </w:rPr>
        <w:t xml:space="preserve"> </w:t>
      </w:r>
      <w:r>
        <w:rPr>
          <w:sz w:val="14"/>
          <w:szCs w:val="14"/>
        </w:rPr>
        <w:tab/>
      </w:r>
      <w:r>
        <w:t xml:space="preserve">Sweden </w:t>
      </w:r>
      <w:r w:rsidR="0038398B">
        <w:rPr>
          <w:noProof/>
          <w:color w:val="000000"/>
        </w:rPr>
        <w:t>(Hofmarcher et al., 2020)</w:t>
      </w:r>
    </w:p>
    <w:p w14:paraId="13EEA7F9" w14:textId="5FA64E45" w:rsidR="00DB689D" w:rsidRDefault="00310A10" w:rsidP="00367A8D">
      <w:pPr>
        <w:spacing w:line="360" w:lineRule="auto"/>
        <w:ind w:left="1080" w:hanging="360"/>
      </w:pPr>
      <w:r>
        <w:t>●</w:t>
      </w:r>
      <w:r>
        <w:rPr>
          <w:sz w:val="14"/>
          <w:szCs w:val="14"/>
        </w:rPr>
        <w:t xml:space="preserve"> </w:t>
      </w:r>
      <w:r>
        <w:rPr>
          <w:sz w:val="14"/>
          <w:szCs w:val="14"/>
        </w:rPr>
        <w:tab/>
      </w:r>
      <w:r>
        <w:t xml:space="preserve">Italy </w:t>
      </w:r>
      <w:r w:rsidR="0038398B">
        <w:rPr>
          <w:noProof/>
          <w:color w:val="000000"/>
        </w:rPr>
        <w:t>(Lucchini &amp; Comi, 2022)</w:t>
      </w:r>
    </w:p>
    <w:p w14:paraId="45AEC3EA" w14:textId="7691E7B3" w:rsidR="00DB689D" w:rsidRDefault="00310A10" w:rsidP="00367A8D">
      <w:pPr>
        <w:spacing w:line="360" w:lineRule="auto"/>
        <w:ind w:left="1080" w:hanging="360"/>
      </w:pPr>
      <w:r>
        <w:t>●</w:t>
      </w:r>
      <w:r>
        <w:rPr>
          <w:sz w:val="14"/>
          <w:szCs w:val="14"/>
        </w:rPr>
        <w:t xml:space="preserve"> </w:t>
      </w:r>
      <w:r>
        <w:rPr>
          <w:sz w:val="14"/>
          <w:szCs w:val="14"/>
        </w:rPr>
        <w:tab/>
      </w:r>
      <w:r>
        <w:t xml:space="preserve">United Kingdom </w:t>
      </w:r>
      <w:r w:rsidR="00DB2449">
        <w:rPr>
          <w:noProof/>
          <w:color w:val="000000"/>
        </w:rPr>
        <w:t>(Office for Health Improvement and Disparities, 2023)</w:t>
      </w:r>
    </w:p>
    <w:p w14:paraId="5C9EB449" w14:textId="77777777" w:rsidR="00DB689D" w:rsidRDefault="00310A10" w:rsidP="00367A8D">
      <w:pPr>
        <w:spacing w:line="360" w:lineRule="auto"/>
      </w:pPr>
      <w:r>
        <w:t xml:space="preserve"> </w:t>
      </w:r>
    </w:p>
    <w:p w14:paraId="4F772AE9" w14:textId="6D8F3FAA" w:rsidR="00DB689D" w:rsidRDefault="00310A10" w:rsidP="00367A8D">
      <w:pPr>
        <w:spacing w:line="360" w:lineRule="auto"/>
      </w:pPr>
      <w:r>
        <w:t xml:space="preserve">However, this approach is subject to ongoing debate. Critics suggest that including low- and moderate-risk gambling might inflate harm estimates </w:t>
      </w:r>
      <w:r w:rsidR="0038398B">
        <w:rPr>
          <w:noProof/>
          <w:color w:val="000000"/>
        </w:rPr>
        <w:t>(Delfabbro &amp; King, 2017)</w:t>
      </w:r>
      <w:r>
        <w:t xml:space="preserve">. Some researchers advocate for focusing solely on so-called 'genuine' harms, such as bankruptcy, and excluding harms like 'increased credit card debt'. More extreme harms are chiefly reported by individuals classified under moderate-risk and problem gambling </w:t>
      </w:r>
      <w:r w:rsidR="0038398B">
        <w:rPr>
          <w:noProof/>
          <w:color w:val="000000"/>
        </w:rPr>
        <w:t>(Christensen et al., 2015)</w:t>
      </w:r>
      <w:r>
        <w:t xml:space="preserve">. Nevertheless, recent studies employing various elicitation protocols support including impacts across the risk spectrum for both individuals who gamble and affected others </w:t>
      </w:r>
      <w:r w:rsidR="0038398B">
        <w:rPr>
          <w:noProof/>
          <w:color w:val="000000"/>
        </w:rPr>
        <w:t>(McLauchlan et al., 2020; Murray Boyle et al., 2021, 2022)</w:t>
      </w:r>
      <w:r>
        <w:t>.</w:t>
      </w:r>
    </w:p>
    <w:p w14:paraId="29B6170B" w14:textId="77777777" w:rsidR="00DB689D" w:rsidRDefault="00310A10" w:rsidP="00C30E1A">
      <w:pPr>
        <w:pStyle w:val="Heading3"/>
      </w:pPr>
      <w:bookmarkStart w:id="305" w:name="_3hz9ifoz88ef" w:colFirst="0" w:colLast="0"/>
      <w:bookmarkStart w:id="306" w:name="_Impact_attributable_to"/>
      <w:bookmarkStart w:id="307" w:name="_Toc201572428"/>
      <w:bookmarkStart w:id="308" w:name="_Toc207195946"/>
      <w:bookmarkEnd w:id="305"/>
      <w:bookmarkEnd w:id="306"/>
      <w:r>
        <w:t>Impact attributable to specific gambling forms</w:t>
      </w:r>
      <w:bookmarkEnd w:id="307"/>
      <w:bookmarkEnd w:id="308"/>
    </w:p>
    <w:p w14:paraId="499ED823" w14:textId="15451D6D" w:rsidR="00DB689D" w:rsidRDefault="00310A10" w:rsidP="00367A8D">
      <w:pPr>
        <w:spacing w:line="360" w:lineRule="auto"/>
      </w:pPr>
      <w:r>
        <w:t xml:space="preserve">Attributing gambling-related costs to specific gambling forms is crucial for understanding the policy implications of gambling's economic impact. This is because different forms vary significantly in total market size/revenue, the proportion of revenue from individuals experiencing gambling problems, and the overall attributable impact. This attribution process relies on the relative contribution of each gambling form to overall gambling problems, since most costs originate from harms associated with gambling problems and excessive spending </w:t>
      </w:r>
      <w:r w:rsidR="00DB2449">
        <w:rPr>
          <w:noProof/>
          <w:color w:val="000000"/>
        </w:rPr>
        <w:t>(</w:t>
      </w:r>
      <w:r w:rsidR="002A3095">
        <w:rPr>
          <w:noProof/>
          <w:color w:val="000000"/>
        </w:rPr>
        <w:t>Browne, Greer et al., 2017</w:t>
      </w:r>
      <w:r w:rsidR="00DB2449">
        <w:rPr>
          <w:noProof/>
          <w:color w:val="000000"/>
        </w:rPr>
        <w:t>; Browne, Tulloch, Rawat, et al., 2025)</w:t>
      </w:r>
      <w:r>
        <w:t>.</w:t>
      </w:r>
    </w:p>
    <w:p w14:paraId="6DD69A11" w14:textId="77777777" w:rsidR="00DB689D" w:rsidRDefault="00310A10" w:rsidP="00367A8D">
      <w:pPr>
        <w:spacing w:line="360" w:lineRule="auto"/>
      </w:pPr>
      <w:r>
        <w:t xml:space="preserve"> </w:t>
      </w:r>
    </w:p>
    <w:p w14:paraId="5CE178D5" w14:textId="6E0AE592" w:rsidR="00DB689D" w:rsidRDefault="00310A10" w:rsidP="00367A8D">
      <w:pPr>
        <w:spacing w:line="360" w:lineRule="auto"/>
      </w:pPr>
      <w:r>
        <w:t xml:space="preserve">Recent research has significantly advanced our understanding of this attribution. Browne et al. </w:t>
      </w:r>
      <w:r w:rsidR="0038398B">
        <w:rPr>
          <w:noProof/>
          <w:color w:val="000000"/>
        </w:rPr>
        <w:t>(2023)</w:t>
      </w:r>
      <w:r>
        <w:t xml:space="preserve"> conducted a statistical analysis using a combined dataset of over 71,000 respondents from representative gambling prevalence surveys across multiple Australian jurisdictions. Their study utilised multiple regression and variance-partitioning techniques to model the unique effects of engagement frequencies for each gambling activity, while adjusting for participation rates. The findings reveal significant differences in the harm attributable to various gambling forms. EGMs were identified as the primary driver of gambling problems nationally, estimated to be responsible for 52-57% of all gambling-related harms. Casino table games, sports betting, and race betting collectively account for approximately one-third of these problems. In contrast, other common forms like lotteries and bingo show virtually no unique association with harmful gambling after considering co-occurring engagement with other forms </w:t>
      </w:r>
      <w:r w:rsidR="0097369F">
        <w:rPr>
          <w:noProof/>
          <w:color w:val="000000"/>
        </w:rPr>
        <w:t>(Browne et al., 2023)</w:t>
      </w:r>
      <w:r>
        <w:t>.</w:t>
      </w:r>
    </w:p>
    <w:p w14:paraId="50E56A8E" w14:textId="77777777" w:rsidR="00DB689D" w:rsidRDefault="00DB689D" w:rsidP="00367A8D">
      <w:pPr>
        <w:spacing w:line="360" w:lineRule="auto"/>
      </w:pPr>
    </w:p>
    <w:p w14:paraId="0C35A800" w14:textId="231CD7DE" w:rsidR="00DB689D" w:rsidRDefault="00310A10" w:rsidP="00367A8D">
      <w:pPr>
        <w:spacing w:line="360" w:lineRule="auto"/>
      </w:pPr>
      <w:r>
        <w:t xml:space="preserve">The multiple regression method of attribution enables a breakdown of costs by form. When compared to total participation rates, market size, and government revenue, this breakdown offers valuable insights into which products represent a poor 'value proposition' for the government and the community. This, in turn, provides crucial direction for future regulatory decisions </w:t>
      </w:r>
      <w:r w:rsidR="0038398B">
        <w:rPr>
          <w:noProof/>
          <w:color w:val="000000"/>
        </w:rPr>
        <w:t>(</w:t>
      </w:r>
      <w:r w:rsidR="002A3095">
        <w:rPr>
          <w:noProof/>
          <w:color w:val="000000"/>
        </w:rPr>
        <w:t>Browne, Greer et al., 2017</w:t>
      </w:r>
      <w:r w:rsidR="0038398B">
        <w:rPr>
          <w:noProof/>
          <w:color w:val="000000"/>
        </w:rPr>
        <w:t>)</w:t>
      </w:r>
      <w:r>
        <w:t>.</w:t>
      </w:r>
    </w:p>
    <w:p w14:paraId="017AB662" w14:textId="77777777" w:rsidR="00DB689D" w:rsidRDefault="00310A10" w:rsidP="00367A8D">
      <w:pPr>
        <w:spacing w:line="360" w:lineRule="auto"/>
      </w:pPr>
      <w:r>
        <w:t xml:space="preserve"> </w:t>
      </w:r>
    </w:p>
    <w:p w14:paraId="5BB391C9" w14:textId="03D0BFA7" w:rsidR="00DB689D" w:rsidRDefault="00310A10" w:rsidP="00367A8D">
      <w:pPr>
        <w:spacing w:line="360" w:lineRule="auto"/>
      </w:pPr>
      <w:r>
        <w:t xml:space="preserve">This pattern of attributable impact in Australia is consistent with the observation that highly accessible, continuous electronic forms of gambling, which can lead to large player losses, contribute most significantly to the cost of gambling. The situation in Western Australia offers a compelling illustration of this principle. Due to restricted EGM accessibility (limited to a single casino), Western Australia exhibits lower EGM participation, fewer gambling problems, and considerably reduced harm attributable to EGMs when compared to other states </w:t>
      </w:r>
      <w:r w:rsidR="0038398B">
        <w:rPr>
          <w:noProof/>
          <w:color w:val="000000"/>
        </w:rPr>
        <w:t>(Russell et al., 2023)</w:t>
      </w:r>
      <w:r>
        <w:t>.</w:t>
      </w:r>
    </w:p>
    <w:p w14:paraId="12ECB11A" w14:textId="77777777" w:rsidR="00DB689D" w:rsidRDefault="00310A10" w:rsidP="00367A8D">
      <w:pPr>
        <w:spacing w:line="360" w:lineRule="auto"/>
      </w:pPr>
      <w:r>
        <w:t xml:space="preserve"> </w:t>
      </w:r>
    </w:p>
    <w:p w14:paraId="1D52F2A9" w14:textId="79FBD397" w:rsidR="00DB689D" w:rsidRDefault="00310A10" w:rsidP="00367A8D">
      <w:pPr>
        <w:spacing w:line="360" w:lineRule="auto"/>
      </w:pPr>
      <w:r>
        <w:t xml:space="preserve">In New Zealand, the 2016 Health and Lifestyles Survey </w:t>
      </w:r>
      <w:r w:rsidR="0038398B">
        <w:rPr>
          <w:noProof/>
          <w:color w:val="000000"/>
        </w:rPr>
        <w:t>(Thimasarn-Anwar et al., 2018)</w:t>
      </w:r>
      <w:r>
        <w:t xml:space="preserve"> found that half of those who regularly played </w:t>
      </w:r>
      <w:r w:rsidR="00494DC3">
        <w:t xml:space="preserve">Class 4 pokies </w:t>
      </w:r>
      <w:r>
        <w:t xml:space="preserve">experienced some form of harm. Nearly half (48%) of individuals receiving treatment through gambling harm treatment services in New Zealand identified EGMs as their primary mode of problem gambling </w:t>
      </w:r>
      <w:r w:rsidR="00DB2449">
        <w:rPr>
          <w:noProof/>
          <w:color w:val="000000"/>
        </w:rPr>
        <w:t>(Ministry of Health, 2023)</w:t>
      </w:r>
      <w:r>
        <w:t xml:space="preserve">. Additionally, individuals categorised as experiencing moderate-risk and problem gambling spend significantly more on EGMs than others </w:t>
      </w:r>
      <w:r w:rsidR="0038398B">
        <w:rPr>
          <w:noProof/>
          <w:color w:val="000000"/>
        </w:rPr>
        <w:t>(Abbott et al., 2018)</w:t>
      </w:r>
      <w:r>
        <w:t xml:space="preserve">. A National Study in New Zealand found that EGMs posed the greatest risk to the quality of life for people who gamble, compared to other gambling forms </w:t>
      </w:r>
      <w:r w:rsidR="00DB2449">
        <w:rPr>
          <w:noProof/>
          <w:color w:val="000000"/>
        </w:rPr>
        <w:t>(Lin et al., 2010)</w:t>
      </w:r>
      <w:r>
        <w:t xml:space="preserve">. There is also some evidence suggesting that the risk of harm from </w:t>
      </w:r>
      <w:r w:rsidR="00494DC3">
        <w:t xml:space="preserve">Class 4 pokies </w:t>
      </w:r>
      <w:r>
        <w:t xml:space="preserve">is higher for women than for men </w:t>
      </w:r>
      <w:r w:rsidR="0038398B">
        <w:rPr>
          <w:noProof/>
          <w:color w:val="000000"/>
        </w:rPr>
        <w:t>(Palmer Du Preez et al., 2019)</w:t>
      </w:r>
      <w:r>
        <w:t>. However, New Zealand's gambling landscape is changing rapidly, and the relative impact of different forms and channels (e.g., in-venue, online) in 2025 could be considerably different.</w:t>
      </w:r>
    </w:p>
    <w:p w14:paraId="12340A6D" w14:textId="77777777" w:rsidR="00DB689D" w:rsidRDefault="00310A10" w:rsidP="00367A8D">
      <w:pPr>
        <w:spacing w:line="360" w:lineRule="auto"/>
      </w:pPr>
      <w:r>
        <w:t xml:space="preserve"> </w:t>
      </w:r>
    </w:p>
    <w:p w14:paraId="7180A095" w14:textId="77777777" w:rsidR="00DB689D" w:rsidRDefault="00310A10" w:rsidP="00367A8D">
      <w:pPr>
        <w:spacing w:line="360" w:lineRule="auto"/>
      </w:pPr>
      <w:r>
        <w:t>It is important to note that while the total cost of gambling can be attributed to each form with relatively few assumptions, this approach has some limitations. The relative contribution of each form to problems might vary somewhat between jurisdictions, and the exact proportion of harm attributable to each form could be subject to some uncertainty. Nevertheless, the methods used in large-scale studies, such as that by Browne et al. (2023) can be applied to current New Zealand data, thereby offering a robust foundation for attributing costs to different forms.</w:t>
      </w:r>
    </w:p>
    <w:p w14:paraId="25D2FD1A" w14:textId="77777777" w:rsidR="00DB689D" w:rsidRDefault="00310A10" w:rsidP="00C30E1A">
      <w:pPr>
        <w:pStyle w:val="Heading3"/>
      </w:pPr>
      <w:bookmarkStart w:id="309" w:name="_w95p8nxf0akg" w:colFirst="0" w:colLast="0"/>
      <w:bookmarkStart w:id="310" w:name="_Attribution_to_cultural"/>
      <w:bookmarkStart w:id="311" w:name="_Toc201572429"/>
      <w:bookmarkStart w:id="312" w:name="_Toc207195947"/>
      <w:bookmarkEnd w:id="309"/>
      <w:bookmarkEnd w:id="310"/>
      <w:r>
        <w:t>Attribution to cultural groups</w:t>
      </w:r>
      <w:bookmarkEnd w:id="311"/>
      <w:bookmarkEnd w:id="312"/>
    </w:p>
    <w:p w14:paraId="2A448EA9" w14:textId="77777777" w:rsidR="00DB689D" w:rsidRDefault="00310A10" w:rsidP="00367A8D">
      <w:pPr>
        <w:spacing w:before="240" w:after="240" w:line="360" w:lineRule="auto"/>
      </w:pPr>
      <w:r>
        <w:t>A primary objective of this study is to estimate the relative share of the total cost of gambling harm experienced by major cultural and ethnic groups in New Zealand. The method detailed below is a heuristic developed for this study, intended to apportion the estimated national gambling harm cost according to the prevalence and severity of gambling problems reported by these groups.</w:t>
      </w:r>
    </w:p>
    <w:p w14:paraId="2321B66C" w14:textId="77777777" w:rsidR="00DB689D" w:rsidRDefault="00310A10" w:rsidP="00367A8D">
      <w:pPr>
        <w:pStyle w:val="Heading4"/>
        <w:spacing w:before="240" w:after="240" w:line="360" w:lineRule="auto"/>
      </w:pPr>
      <w:bookmarkStart w:id="313" w:name="_ii3qnsqei4ou" w:colFirst="0" w:colLast="0"/>
      <w:bookmarkEnd w:id="313"/>
      <w:r>
        <w:t>Rationale and Approach</w:t>
      </w:r>
    </w:p>
    <w:p w14:paraId="5F601C95" w14:textId="77777777" w:rsidR="00DB689D" w:rsidRDefault="00310A10" w:rsidP="00367A8D">
      <w:pPr>
        <w:spacing w:before="240" w:after="240" w:line="360" w:lineRule="auto"/>
      </w:pPr>
      <w:r>
        <w:t>The fundamental logic behind this attribution is that the differing rates of low-risk, moderate-risk, and problem gambling observed across various cultural groups act as indicators for distributing the overall population-level harm. Although individual experiences of harm are multifaceted, this method employs established problem gambling categories as a proxy to estimate this distribution. The calculation depends on two main data inputs:</w:t>
      </w:r>
    </w:p>
    <w:p w14:paraId="053567AF" w14:textId="77777777" w:rsidR="00DB689D" w:rsidRDefault="00310A10" w:rsidP="00367A8D">
      <w:pPr>
        <w:numPr>
          <w:ilvl w:val="0"/>
          <w:numId w:val="27"/>
        </w:numPr>
        <w:spacing w:before="240" w:line="360" w:lineRule="auto"/>
      </w:pPr>
      <w:r>
        <w:t>Self-reported gambling problem prevalence data from the latest NZGS (2023/24), which classifies individuals into non-problem, low-risk, moderate-risk, and problem gambling categories using the PGSI.</w:t>
      </w:r>
    </w:p>
    <w:p w14:paraId="6CD75919" w14:textId="77777777" w:rsidR="00DB689D" w:rsidRDefault="00310A10" w:rsidP="00367A8D">
      <w:pPr>
        <w:numPr>
          <w:ilvl w:val="0"/>
          <w:numId w:val="27"/>
        </w:numPr>
        <w:spacing w:after="240" w:line="360" w:lineRule="auto"/>
      </w:pPr>
      <w:r>
        <w:t>The population proportion of each cultural group in New Zealand.</w:t>
      </w:r>
    </w:p>
    <w:p w14:paraId="1C81FA96" w14:textId="162FB014" w:rsidR="00DB689D" w:rsidRDefault="00310A10" w:rsidP="00367A8D">
      <w:pPr>
        <w:pStyle w:val="Heading4"/>
        <w:spacing w:before="240" w:after="240" w:line="360" w:lineRule="auto"/>
      </w:pPr>
      <w:bookmarkStart w:id="314" w:name="_n99n2ohwd66u" w:colFirst="0" w:colLast="0"/>
      <w:bookmarkEnd w:id="314"/>
      <w:r>
        <w:t xml:space="preserve">Calculating </w:t>
      </w:r>
      <w:r w:rsidR="006F1A3E">
        <w:t>w</w:t>
      </w:r>
      <w:r>
        <w:t xml:space="preserve">eighted </w:t>
      </w:r>
      <w:r w:rsidR="006F1A3E">
        <w:t>h</w:t>
      </w:r>
      <w:r>
        <w:t xml:space="preserve">arm </w:t>
      </w:r>
      <w:r w:rsidR="006F1A3E">
        <w:t>s</w:t>
      </w:r>
      <w:r>
        <w:t xml:space="preserve">hare by </w:t>
      </w:r>
      <w:r w:rsidR="006F1A3E">
        <w:t>c</w:t>
      </w:r>
      <w:r>
        <w:t xml:space="preserve">ultural </w:t>
      </w:r>
      <w:r w:rsidR="006F1A3E">
        <w:t>g</w:t>
      </w:r>
      <w:r>
        <w:t>roup</w:t>
      </w:r>
    </w:p>
    <w:p w14:paraId="4177128D" w14:textId="77777777" w:rsidR="00DB689D" w:rsidRDefault="00310A10" w:rsidP="00367A8D">
      <w:pPr>
        <w:spacing w:before="240" w:after="240" w:line="360" w:lineRule="auto"/>
      </w:pPr>
      <w:r>
        <w:t>To estimate the relative share of harm for each cultural group, the following steps are undertaken:</w:t>
      </w:r>
    </w:p>
    <w:p w14:paraId="100F7EB2" w14:textId="37458766" w:rsidR="00DB689D" w:rsidRDefault="00310A10" w:rsidP="00367A8D">
      <w:pPr>
        <w:numPr>
          <w:ilvl w:val="0"/>
          <w:numId w:val="8"/>
        </w:numPr>
        <w:spacing w:before="240" w:line="360" w:lineRule="auto"/>
      </w:pPr>
      <w:r w:rsidRPr="0078032A">
        <w:rPr>
          <w:bCs/>
          <w:i/>
          <w:iCs/>
        </w:rPr>
        <w:t>Severity Weighting</w:t>
      </w:r>
      <w:r>
        <w:rPr>
          <w:b/>
        </w:rPr>
        <w:t>:</w:t>
      </w:r>
      <w:r>
        <w:t xml:space="preserve"> A severity weighting is applied to the prevalence of at-risk gambling within each cultural group. This study adopts a 1:2:3 ratio for low-risk, moderate-risk, and problem gambling categories, respectively. This weighting is a heuristic measure designed to acknowledge the progressively greater impact indicated by higher PGSI scores. This specific ratio was chosen to reflect increasing severity without making the model overly sensitive to the small sample sizes often found for people categorised as problem gambling, especially when data is segmented by cultural group. </w:t>
      </w:r>
      <w:r w:rsidR="00AF04C9">
        <w:t>Simulations confirm</w:t>
      </w:r>
      <w:r>
        <w:t xml:space="preserve"> that other reasonable weighting factors (e.g., a 1:1:1 weighting, giving equal weight to each at-risk category) yield similar relative distributions of harm across groups</w:t>
      </w:r>
      <w:r w:rsidR="00AF04C9">
        <w:t>, since the relative ratios of PGSI risk categories are highly consistent</w:t>
      </w:r>
      <w:r>
        <w:t>. However, the 1:2:3 weighting is preferred because it better, though still heuristically, represents the escalating nature of harm associated with more severe gambling problems</w:t>
      </w:r>
      <w:r w:rsidR="00AF04C9">
        <w:t xml:space="preserve"> and the greater information content of the PGSI instrument at medium/high scores</w:t>
      </w:r>
      <w:r>
        <w:t>.</w:t>
      </w:r>
    </w:p>
    <w:p w14:paraId="3D7C337A" w14:textId="77777777" w:rsidR="00DB689D" w:rsidRDefault="00310A10" w:rsidP="00367A8D">
      <w:pPr>
        <w:numPr>
          <w:ilvl w:val="0"/>
          <w:numId w:val="8"/>
        </w:numPr>
        <w:spacing w:line="360" w:lineRule="auto"/>
      </w:pPr>
      <w:r w:rsidRPr="0078032A">
        <w:rPr>
          <w:bCs/>
          <w:i/>
          <w:iCs/>
        </w:rPr>
        <w:t>Calculating Raw Harm Scores</w:t>
      </w:r>
      <w:r>
        <w:rPr>
          <w:b/>
        </w:rPr>
        <w:t>:</w:t>
      </w:r>
      <w:r>
        <w:t xml:space="preserve"> For each cultural group:</w:t>
      </w:r>
    </w:p>
    <w:p w14:paraId="60CFADBA" w14:textId="77777777" w:rsidR="00DB689D" w:rsidRDefault="00310A10" w:rsidP="00367A8D">
      <w:pPr>
        <w:numPr>
          <w:ilvl w:val="1"/>
          <w:numId w:val="8"/>
        </w:numPr>
        <w:spacing w:line="360" w:lineRule="auto"/>
      </w:pPr>
      <w:r>
        <w:t>The number of individuals in the low-risk gambling category is multiplied by a weight of 1.</w:t>
      </w:r>
    </w:p>
    <w:p w14:paraId="1A48B3AE" w14:textId="77777777" w:rsidR="00DB689D" w:rsidRDefault="00310A10" w:rsidP="00367A8D">
      <w:pPr>
        <w:numPr>
          <w:ilvl w:val="1"/>
          <w:numId w:val="8"/>
        </w:numPr>
        <w:spacing w:line="360" w:lineRule="auto"/>
      </w:pPr>
      <w:r>
        <w:t>The number of individuals in the moderate-risk gambling category is multiplied by a weight of 2.</w:t>
      </w:r>
    </w:p>
    <w:p w14:paraId="7221DE65" w14:textId="77777777" w:rsidR="00DB689D" w:rsidRDefault="00310A10" w:rsidP="00367A8D">
      <w:pPr>
        <w:numPr>
          <w:ilvl w:val="1"/>
          <w:numId w:val="8"/>
        </w:numPr>
        <w:spacing w:line="360" w:lineRule="auto"/>
      </w:pPr>
      <w:r>
        <w:t>The number of individuals in the problem gambling category is multiplied by a weight of 3.</w:t>
      </w:r>
    </w:p>
    <w:p w14:paraId="185DADC6" w14:textId="77777777" w:rsidR="00DB689D" w:rsidRDefault="00310A10" w:rsidP="00367A8D">
      <w:pPr>
        <w:numPr>
          <w:ilvl w:val="1"/>
          <w:numId w:val="8"/>
        </w:numPr>
        <w:spacing w:line="360" w:lineRule="auto"/>
      </w:pPr>
      <w:r>
        <w:t>These three weighted values are then summed for each cultural group to generate a 'raw harm score' for that group.</w:t>
      </w:r>
    </w:p>
    <w:p w14:paraId="5CE039C1" w14:textId="77777777" w:rsidR="00DB689D" w:rsidRDefault="00310A10" w:rsidP="00367A8D">
      <w:pPr>
        <w:numPr>
          <w:ilvl w:val="0"/>
          <w:numId w:val="8"/>
        </w:numPr>
        <w:spacing w:after="240" w:line="360" w:lineRule="auto"/>
      </w:pPr>
      <w:r w:rsidRPr="0078032A">
        <w:rPr>
          <w:bCs/>
          <w:i/>
          <w:iCs/>
        </w:rPr>
        <w:t>Normalising to Determine Proportional Share</w:t>
      </w:r>
      <w:r>
        <w:rPr>
          <w:b/>
        </w:rPr>
        <w:t>:</w:t>
      </w:r>
      <w:r>
        <w:t xml:space="preserve"> The raw harm scores for all cultural groups are summed to create a total raw harm score. The raw harm score for each cultural group is then expressed as a percentage of this total. This percentage represents the estimated 'weighted harm share' or 'proportional harm score' for each cultural group, indicating their estimated portion of the total financial impact of gambling harm in New Zealand.</w:t>
      </w:r>
    </w:p>
    <w:p w14:paraId="21147D21" w14:textId="3E82A391" w:rsidR="00DB689D" w:rsidRDefault="00310A10" w:rsidP="00367A8D">
      <w:pPr>
        <w:pStyle w:val="Heading4"/>
        <w:spacing w:before="240" w:after="240" w:line="360" w:lineRule="auto"/>
      </w:pPr>
      <w:bookmarkStart w:id="315" w:name="_9yhaymu8r47" w:colFirst="0" w:colLast="0"/>
      <w:bookmarkEnd w:id="315"/>
      <w:r>
        <w:t xml:space="preserve">Limitations and </w:t>
      </w:r>
      <w:r w:rsidR="006F1A3E">
        <w:t>c</w:t>
      </w:r>
      <w:r>
        <w:t>onsiderations</w:t>
      </w:r>
    </w:p>
    <w:p w14:paraId="2A111090" w14:textId="77777777" w:rsidR="00DB689D" w:rsidRDefault="00310A10" w:rsidP="00367A8D">
      <w:pPr>
        <w:spacing w:before="240" w:after="240" w:line="360" w:lineRule="auto"/>
      </w:pPr>
      <w:r>
        <w:t xml:space="preserve">Readers should note the inherent limitations of this attribution method. It offers a relative distribution of estimated costs based on problem gambling prevalence and an assumed severity gradient, but it cannot quantify the absolute or unique nature of harms that may be experienced differently across cultural groups. For example, qualitative evidence suggests that harms may be amplified within Māori and Pacific communities due to interconnected </w:t>
      </w:r>
      <w:r w:rsidRPr="00134B05">
        <w:t>whānau</w:t>
      </w:r>
      <w:r>
        <w:t xml:space="preserve"> structures; however, such cultural nuances are not captured in this relative distribution.</w:t>
      </w:r>
    </w:p>
    <w:p w14:paraId="410D6D0E" w14:textId="36C29624" w:rsidR="00DB689D" w:rsidRDefault="00310A10" w:rsidP="00367A8D">
      <w:pPr>
        <w:spacing w:before="240" w:after="240" w:line="360" w:lineRule="auto"/>
      </w:pPr>
      <w:r>
        <w:t>This is primarily due to a lack of robust quantitative data to confidently adjust estimates for such differential cultural impacts at a population level. Incorporating these specific impacts requires dedicated future research. Consequently, while this attribution provides insight into harm distribution based on prevalence, it does not present a complete picture of culturally specific impacts, which is a key consideration when interpreting the results presented later in this report.</w:t>
      </w:r>
    </w:p>
    <w:p w14:paraId="3B1D7872" w14:textId="77777777" w:rsidR="00DB689D" w:rsidRDefault="00310A10" w:rsidP="00C30E1A">
      <w:pPr>
        <w:pStyle w:val="Heading3"/>
      </w:pPr>
      <w:bookmarkStart w:id="316" w:name="_2sszt5wvqk21" w:colFirst="0" w:colLast="0"/>
      <w:bookmarkStart w:id="317" w:name="_Toc201572430"/>
      <w:bookmarkStart w:id="318" w:name="_Toc207195948"/>
      <w:bookmarkEnd w:id="316"/>
      <w:r>
        <w:t>Causality</w:t>
      </w:r>
      <w:bookmarkEnd w:id="317"/>
      <w:bookmarkEnd w:id="318"/>
    </w:p>
    <w:p w14:paraId="74A27664" w14:textId="77777777" w:rsidR="00DB689D" w:rsidRDefault="00310A10" w:rsidP="00367A8D">
      <w:pPr>
        <w:spacing w:line="360" w:lineRule="auto"/>
      </w:pPr>
      <w:r>
        <w:t>The accurate attribution of costs to gambling, as opposed to other correlated risk factors or co-morbid conditions, is crucial in economic costings of gambling harm. However, establishing clear causal relationships between gambling and various harms presents significant challenges, particularly when considering the complex interplay of factors that contribute to an individual's health and wellbeing.</w:t>
      </w:r>
    </w:p>
    <w:p w14:paraId="17A4D763" w14:textId="77777777" w:rsidR="00DB689D" w:rsidRDefault="00310A10" w:rsidP="00367A8D">
      <w:pPr>
        <w:spacing w:line="360" w:lineRule="auto"/>
      </w:pPr>
      <w:r>
        <w:t xml:space="preserve"> </w:t>
      </w:r>
    </w:p>
    <w:p w14:paraId="29E7AA96" w14:textId="77777777" w:rsidR="00DB689D" w:rsidRDefault="00310A10" w:rsidP="00367A8D">
      <w:pPr>
        <w:spacing w:line="360" w:lineRule="auto"/>
      </w:pPr>
      <w:r>
        <w:t>The difficulties in gathering solid evidence for causality or determining the attributable fraction of harm due to gambling include:</w:t>
      </w:r>
    </w:p>
    <w:p w14:paraId="37880A1E" w14:textId="77777777" w:rsidR="00DB689D" w:rsidRDefault="00310A10" w:rsidP="00367A8D">
      <w:pPr>
        <w:spacing w:line="360" w:lineRule="auto"/>
      </w:pPr>
      <w:r>
        <w:t xml:space="preserve"> </w:t>
      </w:r>
    </w:p>
    <w:p w14:paraId="78F901A1" w14:textId="292994FE" w:rsidR="00DB689D" w:rsidRDefault="00310A10" w:rsidP="00367A8D">
      <w:pPr>
        <w:spacing w:line="360" w:lineRule="auto"/>
        <w:ind w:left="1080" w:hanging="360"/>
      </w:pPr>
      <w:r>
        <w:t>1.</w:t>
      </w:r>
      <w:r>
        <w:rPr>
          <w:sz w:val="14"/>
          <w:szCs w:val="14"/>
        </w:rPr>
        <w:t xml:space="preserve"> </w:t>
      </w:r>
      <w:r>
        <w:rPr>
          <w:sz w:val="14"/>
          <w:szCs w:val="14"/>
        </w:rPr>
        <w:tab/>
      </w:r>
      <w:r>
        <w:rPr>
          <w:i/>
        </w:rPr>
        <w:t>Complex relationships:</w:t>
      </w:r>
      <w:r>
        <w:t xml:space="preserve"> While some harms, such as financial losses, can be more directly attributed to gambling, others like depression and suicidal behaviours often have multiple contributing factors. These may include gambling, pre-existing mental health issues, substance use, or environmental stressors </w:t>
      </w:r>
      <w:r w:rsidR="00DB2449">
        <w:rPr>
          <w:noProof/>
          <w:color w:val="000000"/>
        </w:rPr>
        <w:t>(Browne et al., 2016; Productivity Commission, 1999)</w:t>
      </w:r>
      <w:r>
        <w:t xml:space="preserve">. In these cases, it may be unclear, even to the person experiencing it, what the exact relationship is between these factors </w:t>
      </w:r>
      <w:r w:rsidR="0038398B">
        <w:rPr>
          <w:noProof/>
          <w:color w:val="000000"/>
        </w:rPr>
        <w:t>(Landon et al., 2018)</w:t>
      </w:r>
    </w:p>
    <w:p w14:paraId="03C06A70" w14:textId="743B06EB" w:rsidR="00DB689D" w:rsidRDefault="00310A10" w:rsidP="00367A8D">
      <w:pPr>
        <w:spacing w:line="360" w:lineRule="auto"/>
        <w:ind w:left="1080" w:hanging="360"/>
      </w:pPr>
      <w:r>
        <w:t>2.</w:t>
      </w:r>
      <w:r>
        <w:rPr>
          <w:sz w:val="14"/>
          <w:szCs w:val="14"/>
        </w:rPr>
        <w:t xml:space="preserve"> </w:t>
      </w:r>
      <w:r>
        <w:rPr>
          <w:sz w:val="14"/>
          <w:szCs w:val="14"/>
        </w:rPr>
        <w:tab/>
      </w:r>
      <w:r>
        <w:rPr>
          <w:i/>
        </w:rPr>
        <w:t>Bi-directional relationships:</w:t>
      </w:r>
      <w:r>
        <w:t xml:space="preserve"> Many gambling-related harms exhibit bi-directional relationships with gambling behaviour. For instance, gambling may lead to depression, but depression may also lead to increased gambling as a form of escape or self-medication </w:t>
      </w:r>
      <w:r w:rsidR="00DB2449">
        <w:rPr>
          <w:noProof/>
          <w:color w:val="000000"/>
        </w:rPr>
        <w:t>(Langham et al., 2016)</w:t>
      </w:r>
      <w:r>
        <w:t>.</w:t>
      </w:r>
    </w:p>
    <w:p w14:paraId="07C00237" w14:textId="77777777" w:rsidR="00DB689D" w:rsidRDefault="00310A10" w:rsidP="00367A8D">
      <w:pPr>
        <w:spacing w:line="360" w:lineRule="auto"/>
        <w:ind w:left="1080" w:hanging="360"/>
      </w:pPr>
      <w:r>
        <w:t>3.</w:t>
      </w:r>
      <w:r>
        <w:rPr>
          <w:sz w:val="14"/>
          <w:szCs w:val="14"/>
        </w:rPr>
        <w:t xml:space="preserve"> </w:t>
      </w:r>
      <w:r>
        <w:rPr>
          <w:sz w:val="14"/>
          <w:szCs w:val="14"/>
        </w:rPr>
        <w:tab/>
      </w:r>
      <w:r>
        <w:rPr>
          <w:i/>
        </w:rPr>
        <w:t>Varying degrees of causality:</w:t>
      </w:r>
      <w:r>
        <w:t xml:space="preserve"> The strength of the causal relationship likely varies across different types of harm and gambling severity levels. For example, the relationship between gambling and depression may involve more bidirectional causality than that between gambling and crime or decreased productivity of affected others.</w:t>
      </w:r>
    </w:p>
    <w:p w14:paraId="6C219BF2" w14:textId="71ED1D49" w:rsidR="00DB689D" w:rsidRDefault="00310A10" w:rsidP="00367A8D">
      <w:pPr>
        <w:spacing w:line="360" w:lineRule="auto"/>
        <w:ind w:left="1080" w:hanging="360"/>
      </w:pPr>
      <w:r>
        <w:t>4.</w:t>
      </w:r>
      <w:r>
        <w:rPr>
          <w:sz w:val="14"/>
          <w:szCs w:val="14"/>
        </w:rPr>
        <w:t xml:space="preserve"> </w:t>
      </w:r>
      <w:r>
        <w:rPr>
          <w:sz w:val="14"/>
          <w:szCs w:val="14"/>
        </w:rPr>
        <w:tab/>
      </w:r>
      <w:r>
        <w:rPr>
          <w:i/>
        </w:rPr>
        <w:t>Limited longitudinal studies</w:t>
      </w:r>
      <w:r>
        <w:t xml:space="preserve">: The literature on causal relationships between gambling and gambling harm is limited, partly due to the scarcity of long-term longitudinal studies that can establish temporal precedence and rule out alternative explanations </w:t>
      </w:r>
      <w:r w:rsidR="00DB2449">
        <w:rPr>
          <w:noProof/>
          <w:color w:val="000000"/>
        </w:rPr>
        <w:t>(Langham et al., 2016; Patel &amp; McDaid, 2019)</w:t>
      </w:r>
      <w:r>
        <w:t>.</w:t>
      </w:r>
    </w:p>
    <w:p w14:paraId="606873F2" w14:textId="77777777" w:rsidR="00DB689D" w:rsidRDefault="00310A10" w:rsidP="00367A8D">
      <w:pPr>
        <w:spacing w:line="360" w:lineRule="auto"/>
        <w:ind w:left="720"/>
      </w:pPr>
      <w:r>
        <w:t xml:space="preserve"> </w:t>
      </w:r>
    </w:p>
    <w:p w14:paraId="2234ED72" w14:textId="13C37AFD" w:rsidR="00DB689D" w:rsidRDefault="00310A10" w:rsidP="00367A8D">
      <w:pPr>
        <w:spacing w:line="360" w:lineRule="auto"/>
      </w:pPr>
      <w:r>
        <w:t xml:space="preserve">Given these challenges, economic costings have often relied on pragmatic heuristics to account for partial attribution. The most common method, following the methodology of the Australian Productivity Commission </w:t>
      </w:r>
      <w:r w:rsidR="0038398B">
        <w:rPr>
          <w:noProof/>
          <w:color w:val="000000"/>
        </w:rPr>
        <w:t>(1999)</w:t>
      </w:r>
      <w:r>
        <w:t xml:space="preserve">, applies a uniform reduction (usually 20%) to account for the factor of partial attribution. This approach has been adopted in various costings, including in Australia </w:t>
      </w:r>
      <w:r w:rsidR="0097369F">
        <w:rPr>
          <w:noProof/>
          <w:color w:val="000000"/>
        </w:rPr>
        <w:t>(</w:t>
      </w:r>
      <w:r w:rsidR="002A3095">
        <w:rPr>
          <w:noProof/>
          <w:color w:val="000000"/>
        </w:rPr>
        <w:t>Browne, Greer et al., 2017</w:t>
      </w:r>
      <w:r w:rsidR="0097369F">
        <w:rPr>
          <w:noProof/>
          <w:color w:val="000000"/>
        </w:rPr>
        <w:t>)</w:t>
      </w:r>
      <w:r>
        <w:t>.</w:t>
      </w:r>
    </w:p>
    <w:p w14:paraId="638602C8" w14:textId="77777777" w:rsidR="00DB689D" w:rsidRDefault="00310A10" w:rsidP="00367A8D">
      <w:pPr>
        <w:spacing w:line="360" w:lineRule="auto"/>
      </w:pPr>
      <w:r>
        <w:t xml:space="preserve"> </w:t>
      </w:r>
    </w:p>
    <w:p w14:paraId="2725A0BA" w14:textId="77777777" w:rsidR="00DB689D" w:rsidRDefault="00310A10" w:rsidP="00367A8D">
      <w:pPr>
        <w:spacing w:line="360" w:lineRule="auto"/>
      </w:pPr>
      <w:r>
        <w:t xml:space="preserve">However, this uniform discount approach has limitations. Applying a 20% reduction across all harm types and severity levels may not accurately reflect the complex relationships involved. The degree of reverse causality is likely to vary across different types of harm and gambling severity levels. For instance, the question of causality might be more pronounced in low-risk gambling categories compared to high-risk ones. Despite these limitations, the uniform discount approach remains widely used due to the lack of empirical evidence to support differential discounting. Therefore, the current study will continue to use this approach. </w:t>
      </w:r>
    </w:p>
    <w:p w14:paraId="6993D2E3" w14:textId="77777777" w:rsidR="00DB689D" w:rsidRDefault="00DB689D" w:rsidP="00367A8D">
      <w:pPr>
        <w:spacing w:line="360" w:lineRule="auto"/>
      </w:pPr>
    </w:p>
    <w:p w14:paraId="670E4E11" w14:textId="1A490859" w:rsidR="00DB689D" w:rsidRDefault="00AF04C9" w:rsidP="00367A8D">
      <w:pPr>
        <w:spacing w:line="360" w:lineRule="auto"/>
      </w:pPr>
      <w:r>
        <w:t xml:space="preserve">For the severe harms of divorce, homelessness, and suicide attempts, we have excluded people classified as low-risk gambling from cost attribution (i.e., applying a 100% discount). This decision reflects the uncertainty around causality in these cases, where multiple complex factors are often involved. That said, this should not be interpreted as evidence that low-risk gambling cannot in some cases contribute to such outcomes. Further, a low PGSI score does not necessarily indicate with confidence low financial harm. For example, a person may score 2 on the PGSI if gambling consistently causes financial strain in their household, a recognised driver of housing insecurity. The decision to discount low-risk gambling </w:t>
      </w:r>
      <w:r w:rsidRPr="00AF04C9">
        <w:rPr>
          <w:i/>
          <w:iCs/>
        </w:rPr>
        <w:t xml:space="preserve">in severe harm categories only </w:t>
      </w:r>
      <w:r>
        <w:t xml:space="preserve">is a conservative measure based on attributional uncertainty, given the low rate of these outcomes arising from this risk category. </w:t>
      </w:r>
    </w:p>
    <w:p w14:paraId="2AD5C8D4" w14:textId="77777777" w:rsidR="00DB689D" w:rsidRDefault="00DB689D" w:rsidP="00367A8D">
      <w:pPr>
        <w:spacing w:line="360" w:lineRule="auto"/>
      </w:pPr>
    </w:p>
    <w:p w14:paraId="4778DB51" w14:textId="53ED82D7" w:rsidR="00DB689D" w:rsidRDefault="00310A10" w:rsidP="00367A8D">
      <w:pPr>
        <w:spacing w:line="360" w:lineRule="auto"/>
      </w:pPr>
      <w:r>
        <w:t>The Community Consultation (Chapter 4) provided important context for understanding how even low-risk gambling can lead to serious consequences. Participants noted that many people they support are already living on the financial edge, and even small gambling losses can trigger a cascade of harms - such as falling behind on rent, losing access to transport, and eventually losing employment or housing. In these cases, what may appear as ‘low-risk’ gambling can, in fact, lead to disproportionately severe outcomes due to pre-existing vulnerabilities. Similarly, the loss of trust in relationships, even when the partner is classified as low-risk gambling (due to lying, secrecy, etc.), can lead to significant harms, such as relationship breakdowns. Although excluded from the costing for conservative reasons, these accounts highlight that the impact of low-risk gambling should not be underestimated in public health responses.</w:t>
      </w:r>
    </w:p>
    <w:p w14:paraId="02829A5B" w14:textId="77777777" w:rsidR="00DB689D" w:rsidRDefault="00310A10" w:rsidP="00C30E1A">
      <w:pPr>
        <w:pStyle w:val="Heading3"/>
      </w:pPr>
      <w:bookmarkStart w:id="319" w:name="_lyra1zh04r66" w:colFirst="0" w:colLast="0"/>
      <w:bookmarkStart w:id="320" w:name="_Toc201572431"/>
      <w:bookmarkStart w:id="321" w:name="_Toc207195949"/>
      <w:bookmarkEnd w:id="319"/>
      <w:r>
        <w:t>Uncertainty</w:t>
      </w:r>
      <w:bookmarkEnd w:id="320"/>
      <w:bookmarkEnd w:id="321"/>
    </w:p>
    <w:p w14:paraId="6768460F" w14:textId="77777777" w:rsidR="00DB689D" w:rsidRDefault="00310A10" w:rsidP="00367A8D">
      <w:pPr>
        <w:spacing w:line="360" w:lineRule="auto"/>
      </w:pPr>
      <w:r>
        <w:t>Economic costings, particularly those involving complex social phenomena like gambling harm, inevitably incorporate various sources of uncertainty. These uncertainties can arise from limitations in data sources, methodological choices, and the inherent variability within limited data samples. Recognising and accounting for these uncertainties is crucial for producing robust and credible cost estimates.</w:t>
      </w:r>
    </w:p>
    <w:p w14:paraId="2654A5B7" w14:textId="77777777" w:rsidR="00DB689D" w:rsidRDefault="00310A10" w:rsidP="00367A8D">
      <w:pPr>
        <w:spacing w:line="360" w:lineRule="auto"/>
      </w:pPr>
      <w:r>
        <w:t xml:space="preserve"> </w:t>
      </w:r>
    </w:p>
    <w:p w14:paraId="1866160E" w14:textId="77777777" w:rsidR="00DB689D" w:rsidRDefault="00310A10" w:rsidP="00367A8D">
      <w:pPr>
        <w:spacing w:line="360" w:lineRule="auto"/>
      </w:pPr>
      <w:r>
        <w:t>A parametric bootstrapping approach is one way to address these uncertainties. It provides a way to generate confidence intervals for the total cost estimate, taking into account the uncertainties in each individual cost category. For each cost category, in addition to a single best estimate, upper and lower bounds are also established. These bounds are based on alternative calculation approaches, different data sources, or varying assumptions about the underlying process. Using these three figures (lower bound, best estimate, and upper bound) for each cost category, a parametric bootstrap can be employed to calculate the overall uncertainty. This involves treating each cost category as an independent random variable with a probability distribution (e.g., normal, triangular) with specified mode and extrema. For example, a triangular distribution could be defined by three points: the minimum (lower bound), the mode (best estimate), and the maximum (upper bound). By repeatedly sampling from these distributions and summing the results, we can generate a distribution of possible total costs. From this distribution, we can also calculate confidence intervals, providing a range within which we can be reasonably confident the true cost lies.</w:t>
      </w:r>
    </w:p>
    <w:p w14:paraId="1F68CFE2" w14:textId="77777777" w:rsidR="00DB689D" w:rsidRDefault="00310A10" w:rsidP="00367A8D">
      <w:pPr>
        <w:spacing w:line="360" w:lineRule="auto"/>
      </w:pPr>
      <w:r>
        <w:t xml:space="preserve"> </w:t>
      </w:r>
    </w:p>
    <w:p w14:paraId="12FBDECE" w14:textId="77777777" w:rsidR="00DB689D" w:rsidRDefault="00310A10" w:rsidP="00367A8D">
      <w:pPr>
        <w:spacing w:line="360" w:lineRule="auto"/>
      </w:pPr>
      <w:r>
        <w:t>This approach has several advantages. It allows us to incorporate uncertainties from multiple sources systematically, provides a clear and interpretable measure of overall uncertainty, and avoids the need for overly complex and opaque statistical or simulation models. Moreover, it provides transparency about the methodological choices, sources, and magnitude of uncertainty in our estimates. It does not take into account correlated errors across cost categories, but there are typically diverse assumptions and methods employed across categories. Accordingly, there is generally little reason to suspect a significant degree of bias due to this limitation.</w:t>
      </w:r>
    </w:p>
    <w:p w14:paraId="639F462C" w14:textId="77777777" w:rsidR="00DB689D" w:rsidRDefault="00310A10" w:rsidP="00C30E1A">
      <w:pPr>
        <w:pStyle w:val="Heading3"/>
      </w:pPr>
      <w:bookmarkStart w:id="322" w:name="_sf77b86205g7" w:colFirst="0" w:colLast="0"/>
      <w:bookmarkStart w:id="323" w:name="_Toc201572432"/>
      <w:bookmarkStart w:id="324" w:name="_Toc207195950"/>
      <w:bookmarkEnd w:id="322"/>
      <w:r>
        <w:t>Harm attribution approach</w:t>
      </w:r>
      <w:bookmarkEnd w:id="323"/>
      <w:bookmarkEnd w:id="324"/>
    </w:p>
    <w:p w14:paraId="7053EECE" w14:textId="5CC186DE" w:rsidR="00DB689D" w:rsidRDefault="00310A10" w:rsidP="00367A8D">
      <w:pPr>
        <w:spacing w:line="360" w:lineRule="auto"/>
      </w:pPr>
      <w:r>
        <w:t xml:space="preserve">This methodology includes only harms identified as being attributable to gambling, which likely understates the full social cost. For example, job loss caused directly by gambling is included, but cases where gambling contributes indirectly, such as through stress-related illness or alcohol use, are excluded because of attributional uncertainty and data limitations </w:t>
      </w:r>
      <w:r w:rsidR="00DB2449">
        <w:rPr>
          <w:noProof/>
          <w:color w:val="000000"/>
        </w:rPr>
        <w:t>(Langham et al., 2016)</w:t>
      </w:r>
      <w:r>
        <w:t>. This conservative approach avoids overestimation but omits partially attributable harms. Future research should explore methods to better capture these complex costs.</w:t>
      </w:r>
    </w:p>
    <w:p w14:paraId="5EFD5975" w14:textId="77777777" w:rsidR="00DB689D" w:rsidRDefault="00310A10" w:rsidP="00C30E1A">
      <w:pPr>
        <w:pStyle w:val="Heading3"/>
      </w:pPr>
      <w:bookmarkStart w:id="325" w:name="_pd7j2c5oz6hy" w:colFirst="0" w:colLast="0"/>
      <w:bookmarkStart w:id="326" w:name="_Toc201572433"/>
      <w:bookmarkStart w:id="327" w:name="_Toc207195951"/>
      <w:bookmarkEnd w:id="325"/>
      <w:r>
        <w:t>Rounding</w:t>
      </w:r>
      <w:bookmarkEnd w:id="326"/>
      <w:bookmarkEnd w:id="327"/>
    </w:p>
    <w:p w14:paraId="02D30684" w14:textId="74ADAE4C" w:rsidR="00EC2B74" w:rsidRDefault="00310A10" w:rsidP="00367A8D">
      <w:pPr>
        <w:spacing w:before="240" w:after="240" w:line="360" w:lineRule="auto"/>
      </w:pPr>
      <w:r>
        <w:t>Figures and percentages presented in the table are rounded and, therefore, may not add precisely. Recalculations using these rounded values may produce slight variations, but these do not materially affect the study’s results or conclusions.</w:t>
      </w:r>
    </w:p>
    <w:p w14:paraId="659080CA" w14:textId="77777777" w:rsidR="0078032A" w:rsidRDefault="0078032A" w:rsidP="00367A8D">
      <w:pPr>
        <w:spacing w:before="240" w:after="240" w:line="360" w:lineRule="auto"/>
      </w:pPr>
    </w:p>
    <w:p w14:paraId="4E8A5127" w14:textId="77777777" w:rsidR="0078032A" w:rsidRDefault="0078032A" w:rsidP="00367A8D">
      <w:pPr>
        <w:spacing w:before="240" w:after="240" w:line="360" w:lineRule="auto"/>
      </w:pPr>
    </w:p>
    <w:p w14:paraId="28D5E872" w14:textId="77777777" w:rsidR="0078032A" w:rsidRDefault="0078032A" w:rsidP="00367A8D">
      <w:pPr>
        <w:spacing w:before="240" w:after="240" w:line="360" w:lineRule="auto"/>
      </w:pPr>
    </w:p>
    <w:p w14:paraId="01351B47" w14:textId="46414C29" w:rsidR="00DB689D" w:rsidRDefault="00310A10" w:rsidP="00657824">
      <w:pPr>
        <w:pStyle w:val="Heading2"/>
      </w:pPr>
      <w:bookmarkStart w:id="328" w:name="_7xqd53jlyld7" w:colFirst="0" w:colLast="0"/>
      <w:bookmarkStart w:id="329" w:name="_Toc201572434"/>
      <w:bookmarkStart w:id="330" w:name="_Toc207195952"/>
      <w:bookmarkEnd w:id="328"/>
      <w:r>
        <w:t>Data sources</w:t>
      </w:r>
      <w:bookmarkEnd w:id="329"/>
      <w:bookmarkEnd w:id="330"/>
    </w:p>
    <w:p w14:paraId="37AF64A2" w14:textId="071FE389" w:rsidR="00DB689D" w:rsidRDefault="00310A10" w:rsidP="00367A8D">
      <w:pPr>
        <w:spacing w:line="360" w:lineRule="auto"/>
      </w:pPr>
      <w:r>
        <w:rPr>
          <w:color w:val="0E101A"/>
        </w:rPr>
        <w:t xml:space="preserve">Data sources have been identified for each of the cost categories in the </w:t>
      </w:r>
      <w:r>
        <w:t>Framework</w:t>
      </w:r>
      <w:r w:rsidR="00367A8D">
        <w:t xml:space="preserve"> (Chapter 5, Table 1</w:t>
      </w:r>
      <w:r>
        <w:t>. Data was sourced for the 2023-24 financial year. Where relevant information was not available, the most recently available data was used. Each category requires three key types of data sources:</w:t>
      </w:r>
    </w:p>
    <w:p w14:paraId="5EB47E48" w14:textId="77777777" w:rsidR="00DB689D" w:rsidRDefault="00310A10" w:rsidP="00367A8D">
      <w:pPr>
        <w:spacing w:line="360" w:lineRule="auto"/>
        <w:ind w:left="1080" w:hanging="360"/>
      </w:pPr>
      <w:r>
        <w:t>●</w:t>
      </w:r>
      <w:r>
        <w:rPr>
          <w:sz w:val="14"/>
          <w:szCs w:val="14"/>
        </w:rPr>
        <w:t xml:space="preserve"> </w:t>
      </w:r>
      <w:r>
        <w:rPr>
          <w:sz w:val="14"/>
          <w:szCs w:val="14"/>
        </w:rPr>
        <w:tab/>
      </w:r>
      <w:r>
        <w:t>New Zealand population prevalence</w:t>
      </w:r>
    </w:p>
    <w:p w14:paraId="4D5D6B6B" w14:textId="77777777" w:rsidR="00DB689D" w:rsidRDefault="00310A10" w:rsidP="00367A8D">
      <w:pPr>
        <w:spacing w:line="360" w:lineRule="auto"/>
        <w:ind w:left="1080" w:hanging="360"/>
      </w:pPr>
      <w:r>
        <w:t>●</w:t>
      </w:r>
      <w:r>
        <w:rPr>
          <w:sz w:val="14"/>
          <w:szCs w:val="14"/>
        </w:rPr>
        <w:t xml:space="preserve"> </w:t>
      </w:r>
      <w:r>
        <w:rPr>
          <w:sz w:val="14"/>
          <w:szCs w:val="14"/>
        </w:rPr>
        <w:tab/>
      </w:r>
      <w:r>
        <w:t>Prevalence of a cost item</w:t>
      </w:r>
    </w:p>
    <w:p w14:paraId="13EECADB" w14:textId="77777777" w:rsidR="00DB689D" w:rsidRDefault="00310A10" w:rsidP="00367A8D">
      <w:pPr>
        <w:spacing w:line="360" w:lineRule="auto"/>
        <w:ind w:left="1080" w:hanging="360"/>
      </w:pPr>
      <w:r>
        <w:t>●</w:t>
      </w:r>
      <w:r>
        <w:rPr>
          <w:sz w:val="14"/>
          <w:szCs w:val="14"/>
        </w:rPr>
        <w:t xml:space="preserve"> </w:t>
      </w:r>
      <w:r>
        <w:rPr>
          <w:sz w:val="14"/>
          <w:szCs w:val="14"/>
        </w:rPr>
        <w:tab/>
      </w:r>
      <w:r>
        <w:t>Average cost per item</w:t>
      </w:r>
    </w:p>
    <w:p w14:paraId="4AE8E503" w14:textId="77777777" w:rsidR="00DB689D" w:rsidRDefault="00310A10" w:rsidP="00C30E1A">
      <w:pPr>
        <w:pStyle w:val="Heading3"/>
      </w:pPr>
      <w:bookmarkStart w:id="331" w:name="_4uk9e4sfb0xd" w:colFirst="0" w:colLast="0"/>
      <w:bookmarkStart w:id="332" w:name="_Toc201572435"/>
      <w:bookmarkStart w:id="333" w:name="_Toc207195953"/>
      <w:bookmarkEnd w:id="331"/>
      <w:r>
        <w:t>Population prevalence</w:t>
      </w:r>
      <w:bookmarkEnd w:id="332"/>
      <w:bookmarkEnd w:id="333"/>
    </w:p>
    <w:p w14:paraId="63A6796E" w14:textId="05B83519" w:rsidR="00DB689D" w:rsidRDefault="00310A10" w:rsidP="00367A8D">
      <w:pPr>
        <w:spacing w:line="360" w:lineRule="auto"/>
      </w:pPr>
      <w:r>
        <w:t xml:space="preserve">General population data for New Zealand was sourced from the 2023 Census (New Zealand Government, 2024a). The prevalence of gambling problems in New Zealand was estimated using the NZGS (2023/24), conducted by the Ministry of Health. Gambling problems were measured by the PGSI </w:t>
      </w:r>
      <w:r w:rsidR="0038398B">
        <w:rPr>
          <w:noProof/>
          <w:color w:val="000000"/>
        </w:rPr>
        <w:t>(Ferris &amp; Wynne, 2001)</w:t>
      </w:r>
      <w:r>
        <w:t>, a commonly used measure of problem gambling that categorises people who gamble as low-risk (scores of 1-2), moderate-risk (3-7), and problem gambling (8+).</w:t>
      </w:r>
    </w:p>
    <w:p w14:paraId="048D6CE5" w14:textId="77777777" w:rsidR="00DB689D" w:rsidRDefault="00310A10" w:rsidP="00C30E1A">
      <w:pPr>
        <w:pStyle w:val="Heading3"/>
      </w:pPr>
      <w:bookmarkStart w:id="334" w:name="_g8vw4blal1yi" w:colFirst="0" w:colLast="0"/>
      <w:bookmarkStart w:id="335" w:name="_Toc201572436"/>
      <w:bookmarkStart w:id="336" w:name="_Toc207195954"/>
      <w:bookmarkEnd w:id="334"/>
      <w:r>
        <w:t>Item Prevalence</w:t>
      </w:r>
      <w:bookmarkEnd w:id="335"/>
      <w:bookmarkEnd w:id="336"/>
    </w:p>
    <w:p w14:paraId="635A6ECF" w14:textId="77777777" w:rsidR="00DB075D" w:rsidRDefault="00310A10" w:rsidP="00DB075D">
      <w:pPr>
        <w:spacing w:line="360" w:lineRule="auto"/>
      </w:pPr>
      <w:r>
        <w:t xml:space="preserve">Two key data sources have been identified for the prevalence of individual cost items within each PGSI group. These include the NZGS (2023/24) and data associated with the Measuring the Burden of Gambling Harm in New Zealand report </w:t>
      </w:r>
      <w:r w:rsidR="00DB2449">
        <w:rPr>
          <w:noProof/>
          <w:color w:val="000000"/>
        </w:rPr>
        <w:t>(</w:t>
      </w:r>
      <w:r w:rsidR="002A3095">
        <w:rPr>
          <w:noProof/>
          <w:color w:val="000000"/>
        </w:rPr>
        <w:t>Browne, Greer et al., 2017</w:t>
      </w:r>
      <w:r w:rsidR="00DB2449">
        <w:rPr>
          <w:noProof/>
          <w:color w:val="000000"/>
        </w:rPr>
        <w:t>)</w:t>
      </w:r>
      <w:r>
        <w:t>. This report was commissioned by the New Zealand Ministry of Health to develop a framework for understanding and measuring gambling-related harm in New Zealand and involved conducting a comprehensive national survey on harm prevalence. The survey included an 83-item harm checklist, assessing impacts across all cost domains.</w:t>
      </w:r>
    </w:p>
    <w:p w14:paraId="1F59F02A" w14:textId="1733F481" w:rsidR="00DB075D" w:rsidRDefault="00DB075D" w:rsidP="00C30E1A">
      <w:pPr>
        <w:pStyle w:val="Heading3"/>
      </w:pPr>
      <w:bookmarkStart w:id="337" w:name="_Toc207195955"/>
      <w:r>
        <w:t>Key data sources</w:t>
      </w:r>
      <w:bookmarkEnd w:id="337"/>
    </w:p>
    <w:p w14:paraId="5F5FC62C" w14:textId="3F58AEE4" w:rsidR="00DB075D" w:rsidRDefault="00B961CB" w:rsidP="0078032A">
      <w:pPr>
        <w:spacing w:line="360" w:lineRule="auto"/>
      </w:pPr>
      <w:r>
        <w:t>Table 3</w:t>
      </w:r>
      <w:r w:rsidR="00DB075D">
        <w:t xml:space="preserve"> provides a brief description of key data sources and their application. </w:t>
      </w:r>
      <w:r>
        <w:t xml:space="preserve">Some are discussed in more detail in the next section (section 5.4 - key data considerations), and </w:t>
      </w:r>
      <w:r w:rsidR="00DB075D">
        <w:t xml:space="preserve">all </w:t>
      </w:r>
      <w:r w:rsidR="00DB075D" w:rsidRPr="00BB3C33">
        <w:rPr>
          <w:sz w:val="22"/>
          <w:szCs w:val="22"/>
        </w:rPr>
        <w:t>data sources are described and cited within individual cost item calculations</w:t>
      </w:r>
      <w:r w:rsidR="00DB075D">
        <w:t>.</w:t>
      </w:r>
    </w:p>
    <w:p w14:paraId="11917107" w14:textId="77777777" w:rsidR="0078032A" w:rsidRDefault="0078032A" w:rsidP="00DB075D"/>
    <w:p w14:paraId="0664ACA7" w14:textId="77777777" w:rsidR="0078032A" w:rsidRDefault="0078032A" w:rsidP="00DB094D">
      <w:pPr>
        <w:pStyle w:val="Caption"/>
        <w:sectPr w:rsidR="0078032A" w:rsidSect="00B135FD">
          <w:headerReference w:type="default" r:id="rId20"/>
          <w:footerReference w:type="even" r:id="rId21"/>
          <w:footerReference w:type="default" r:id="rId22"/>
          <w:pgSz w:w="11901" w:h="16817"/>
          <w:pgMar w:top="1440" w:right="1134" w:bottom="1440" w:left="1440" w:header="720" w:footer="720" w:gutter="0"/>
          <w:cols w:space="720"/>
          <w:titlePg/>
        </w:sectPr>
      </w:pPr>
    </w:p>
    <w:p w14:paraId="201D5335" w14:textId="77777777" w:rsidR="0078032A" w:rsidRDefault="0078032A" w:rsidP="00DB094D">
      <w:pPr>
        <w:pStyle w:val="Caption"/>
      </w:pPr>
    </w:p>
    <w:p w14:paraId="172C121E" w14:textId="1C6BFE41" w:rsidR="00DB075D" w:rsidRPr="00DB094D" w:rsidRDefault="00DB075D" w:rsidP="00DB094D">
      <w:pPr>
        <w:pStyle w:val="Caption"/>
      </w:pPr>
      <w:bookmarkStart w:id="338" w:name="_Toc207619045"/>
      <w:r w:rsidRPr="00DB094D">
        <w:t xml:space="preserve">Table </w:t>
      </w:r>
      <w:r w:rsidRPr="00DB094D">
        <w:fldChar w:fldCharType="begin"/>
      </w:r>
      <w:r w:rsidRPr="00DB094D">
        <w:instrText xml:space="preserve"> SEQ Table \* ARABIC </w:instrText>
      </w:r>
      <w:r w:rsidRPr="00DB094D">
        <w:fldChar w:fldCharType="separate"/>
      </w:r>
      <w:r w:rsidR="00986A0D">
        <w:rPr>
          <w:noProof/>
        </w:rPr>
        <w:t>3</w:t>
      </w:r>
      <w:r w:rsidRPr="00DB094D">
        <w:fldChar w:fldCharType="end"/>
      </w:r>
      <w:r w:rsidRPr="00DB094D">
        <w:t>. Summary of key data sources and their application</w:t>
      </w:r>
      <w:bookmarkEnd w:id="338"/>
    </w:p>
    <w:tbl>
      <w:tblPr>
        <w:tblStyle w:val="TableGridLight"/>
        <w:tblW w:w="13887" w:type="dxa"/>
        <w:tblLook w:val="04A0" w:firstRow="1" w:lastRow="0" w:firstColumn="1" w:lastColumn="0" w:noHBand="0" w:noVBand="1"/>
      </w:tblPr>
      <w:tblGrid>
        <w:gridCol w:w="4531"/>
        <w:gridCol w:w="3402"/>
        <w:gridCol w:w="5954"/>
      </w:tblGrid>
      <w:tr w:rsidR="0078032A" w:rsidRPr="0078032A" w14:paraId="5815EA21" w14:textId="77777777" w:rsidTr="0078032A">
        <w:trPr>
          <w:trHeight w:val="315"/>
        </w:trPr>
        <w:tc>
          <w:tcPr>
            <w:tcW w:w="4531" w:type="dxa"/>
            <w:shd w:val="clear" w:color="auto" w:fill="F2F2F2" w:themeFill="background1" w:themeFillShade="F2"/>
            <w:hideMark/>
          </w:tcPr>
          <w:p w14:paraId="3A867301" w14:textId="77777777" w:rsidR="00DB075D" w:rsidRPr="0078032A" w:rsidRDefault="00DB075D" w:rsidP="0078032A">
            <w:pPr>
              <w:spacing w:line="360" w:lineRule="auto"/>
              <w:rPr>
                <w:b/>
                <w:bCs/>
                <w:sz w:val="20"/>
                <w:szCs w:val="20"/>
              </w:rPr>
            </w:pPr>
            <w:r w:rsidRPr="0078032A">
              <w:rPr>
                <w:b/>
                <w:bCs/>
                <w:sz w:val="20"/>
                <w:szCs w:val="20"/>
              </w:rPr>
              <w:t>Data Source</w:t>
            </w:r>
          </w:p>
        </w:tc>
        <w:tc>
          <w:tcPr>
            <w:tcW w:w="3402" w:type="dxa"/>
            <w:shd w:val="clear" w:color="auto" w:fill="F2F2F2" w:themeFill="background1" w:themeFillShade="F2"/>
            <w:hideMark/>
          </w:tcPr>
          <w:p w14:paraId="52F6CFD1" w14:textId="77777777" w:rsidR="00DB075D" w:rsidRPr="0078032A" w:rsidRDefault="00DB075D" w:rsidP="0078032A">
            <w:pPr>
              <w:spacing w:line="360" w:lineRule="auto"/>
              <w:rPr>
                <w:b/>
                <w:bCs/>
                <w:sz w:val="20"/>
                <w:szCs w:val="20"/>
              </w:rPr>
            </w:pPr>
            <w:r w:rsidRPr="0078032A">
              <w:rPr>
                <w:b/>
                <w:bCs/>
                <w:sz w:val="20"/>
                <w:szCs w:val="20"/>
              </w:rPr>
              <w:t>Type of Data</w:t>
            </w:r>
          </w:p>
        </w:tc>
        <w:tc>
          <w:tcPr>
            <w:tcW w:w="5954" w:type="dxa"/>
            <w:shd w:val="clear" w:color="auto" w:fill="F2F2F2" w:themeFill="background1" w:themeFillShade="F2"/>
            <w:hideMark/>
          </w:tcPr>
          <w:p w14:paraId="618F78B0" w14:textId="77777777" w:rsidR="00DB075D" w:rsidRPr="0078032A" w:rsidRDefault="00DB075D" w:rsidP="0078032A">
            <w:pPr>
              <w:spacing w:line="360" w:lineRule="auto"/>
              <w:rPr>
                <w:b/>
                <w:bCs/>
                <w:sz w:val="20"/>
                <w:szCs w:val="20"/>
              </w:rPr>
            </w:pPr>
            <w:r w:rsidRPr="0078032A">
              <w:rPr>
                <w:b/>
                <w:bCs/>
                <w:sz w:val="20"/>
                <w:szCs w:val="20"/>
              </w:rPr>
              <w:t>Primary Use in Report</w:t>
            </w:r>
          </w:p>
        </w:tc>
      </w:tr>
      <w:tr w:rsidR="00DB075D" w:rsidRPr="0078032A" w14:paraId="00B39B97" w14:textId="77777777" w:rsidTr="0078032A">
        <w:trPr>
          <w:trHeight w:val="315"/>
        </w:trPr>
        <w:tc>
          <w:tcPr>
            <w:tcW w:w="13887" w:type="dxa"/>
            <w:gridSpan w:val="3"/>
            <w:shd w:val="clear" w:color="auto" w:fill="F2F2F2" w:themeFill="background1" w:themeFillShade="F2"/>
            <w:hideMark/>
          </w:tcPr>
          <w:p w14:paraId="5BC3C6EF" w14:textId="77777777" w:rsidR="00DB075D" w:rsidRPr="0078032A" w:rsidRDefault="00DB075D" w:rsidP="0078032A">
            <w:pPr>
              <w:spacing w:line="360" w:lineRule="auto"/>
              <w:rPr>
                <w:sz w:val="20"/>
                <w:szCs w:val="20"/>
              </w:rPr>
            </w:pPr>
            <w:r w:rsidRPr="0078032A">
              <w:rPr>
                <w:b/>
                <w:bCs/>
                <w:sz w:val="20"/>
                <w:szCs w:val="20"/>
              </w:rPr>
              <w:t>Core Gambling Harm &amp; Prevalence Data</w:t>
            </w:r>
          </w:p>
        </w:tc>
      </w:tr>
      <w:tr w:rsidR="0078032A" w:rsidRPr="0078032A" w14:paraId="53DA6307" w14:textId="77777777" w:rsidTr="0078032A">
        <w:trPr>
          <w:trHeight w:val="315"/>
        </w:trPr>
        <w:tc>
          <w:tcPr>
            <w:tcW w:w="4531" w:type="dxa"/>
            <w:hideMark/>
          </w:tcPr>
          <w:p w14:paraId="05649E64" w14:textId="77777777" w:rsidR="00DB075D" w:rsidRPr="0078032A" w:rsidRDefault="00DB075D" w:rsidP="0078032A">
            <w:pPr>
              <w:spacing w:line="360" w:lineRule="auto"/>
              <w:rPr>
                <w:sz w:val="20"/>
                <w:szCs w:val="20"/>
              </w:rPr>
            </w:pPr>
            <w:r w:rsidRPr="0078032A">
              <w:rPr>
                <w:sz w:val="20"/>
                <w:szCs w:val="20"/>
              </w:rPr>
              <w:t>New Zealand Gambling Survey (NZGS) 2023/24</w:t>
            </w:r>
          </w:p>
        </w:tc>
        <w:tc>
          <w:tcPr>
            <w:tcW w:w="3402" w:type="dxa"/>
            <w:hideMark/>
          </w:tcPr>
          <w:p w14:paraId="001D0E17" w14:textId="77777777" w:rsidR="00DB075D" w:rsidRPr="0078032A" w:rsidRDefault="00DB075D" w:rsidP="0078032A">
            <w:pPr>
              <w:spacing w:line="360" w:lineRule="auto"/>
              <w:rPr>
                <w:sz w:val="20"/>
                <w:szCs w:val="20"/>
              </w:rPr>
            </w:pPr>
            <w:r w:rsidRPr="0078032A">
              <w:rPr>
                <w:sz w:val="20"/>
                <w:szCs w:val="20"/>
              </w:rPr>
              <w:t>National gambling prevalence survey</w:t>
            </w:r>
          </w:p>
        </w:tc>
        <w:tc>
          <w:tcPr>
            <w:tcW w:w="5954" w:type="dxa"/>
            <w:hideMark/>
          </w:tcPr>
          <w:p w14:paraId="75B24A54" w14:textId="77777777" w:rsidR="00DB075D" w:rsidRPr="0078032A" w:rsidRDefault="00DB075D" w:rsidP="0078032A">
            <w:pPr>
              <w:spacing w:line="360" w:lineRule="auto"/>
              <w:rPr>
                <w:sz w:val="20"/>
                <w:szCs w:val="20"/>
              </w:rPr>
            </w:pPr>
            <w:r w:rsidRPr="0078032A">
              <w:rPr>
                <w:sz w:val="20"/>
                <w:szCs w:val="20"/>
              </w:rPr>
              <w:t>To establish the number of adults in each PGSI risk category, forming the population base for all harm calculations.</w:t>
            </w:r>
          </w:p>
        </w:tc>
      </w:tr>
      <w:tr w:rsidR="0078032A" w:rsidRPr="0078032A" w14:paraId="6B41A6B3" w14:textId="77777777" w:rsidTr="0078032A">
        <w:trPr>
          <w:trHeight w:val="315"/>
        </w:trPr>
        <w:tc>
          <w:tcPr>
            <w:tcW w:w="4531" w:type="dxa"/>
            <w:hideMark/>
          </w:tcPr>
          <w:p w14:paraId="7C15E060" w14:textId="5B4B8937" w:rsidR="00DB075D" w:rsidRPr="0078032A" w:rsidRDefault="00DB075D" w:rsidP="0078032A">
            <w:pPr>
              <w:spacing w:line="360" w:lineRule="auto"/>
              <w:rPr>
                <w:sz w:val="20"/>
                <w:szCs w:val="20"/>
              </w:rPr>
            </w:pPr>
            <w:r w:rsidRPr="0078032A">
              <w:rPr>
                <w:sz w:val="20"/>
                <w:szCs w:val="20"/>
              </w:rPr>
              <w:t>Measuring the Burden of Gambling Harm in New Zealand (Browne, Greer et al., 2017)</w:t>
            </w:r>
          </w:p>
        </w:tc>
        <w:tc>
          <w:tcPr>
            <w:tcW w:w="3402" w:type="dxa"/>
            <w:hideMark/>
          </w:tcPr>
          <w:p w14:paraId="6E4DC519" w14:textId="77777777" w:rsidR="00DB075D" w:rsidRPr="0078032A" w:rsidRDefault="00DB075D" w:rsidP="0078032A">
            <w:pPr>
              <w:spacing w:line="360" w:lineRule="auto"/>
              <w:rPr>
                <w:sz w:val="20"/>
                <w:szCs w:val="20"/>
              </w:rPr>
            </w:pPr>
            <w:r w:rsidRPr="0078032A">
              <w:rPr>
                <w:sz w:val="20"/>
                <w:szCs w:val="20"/>
              </w:rPr>
              <w:t>Specific harm prevalence survey</w:t>
            </w:r>
          </w:p>
        </w:tc>
        <w:tc>
          <w:tcPr>
            <w:tcW w:w="5954" w:type="dxa"/>
            <w:hideMark/>
          </w:tcPr>
          <w:p w14:paraId="388F4472" w14:textId="77777777" w:rsidR="00DB075D" w:rsidRPr="0078032A" w:rsidRDefault="00DB075D" w:rsidP="0078032A">
            <w:pPr>
              <w:spacing w:line="360" w:lineRule="auto"/>
              <w:rPr>
                <w:sz w:val="20"/>
                <w:szCs w:val="20"/>
              </w:rPr>
            </w:pPr>
            <w:r w:rsidRPr="0078032A">
              <w:rPr>
                <w:sz w:val="20"/>
                <w:szCs w:val="20"/>
              </w:rPr>
              <w:t>To determine the percentage of people in each PGSI category who experience specific harms (e.g., divorce, job loss, depression, violence). These proportions were applied to the number of adults in each PGSI risk category identified in the NZGS.</w:t>
            </w:r>
          </w:p>
        </w:tc>
      </w:tr>
      <w:tr w:rsidR="00DB075D" w:rsidRPr="0078032A" w14:paraId="6B2070BC" w14:textId="77777777" w:rsidTr="0078032A">
        <w:trPr>
          <w:trHeight w:val="315"/>
        </w:trPr>
        <w:tc>
          <w:tcPr>
            <w:tcW w:w="13887" w:type="dxa"/>
            <w:gridSpan w:val="3"/>
            <w:shd w:val="clear" w:color="auto" w:fill="F2F2F2" w:themeFill="background1" w:themeFillShade="F2"/>
            <w:hideMark/>
          </w:tcPr>
          <w:p w14:paraId="68499D32" w14:textId="5717F4C3" w:rsidR="00DB075D" w:rsidRPr="0078032A" w:rsidRDefault="00DB075D" w:rsidP="0078032A">
            <w:pPr>
              <w:spacing w:line="360" w:lineRule="auto"/>
              <w:rPr>
                <w:sz w:val="20"/>
                <w:szCs w:val="20"/>
              </w:rPr>
            </w:pPr>
            <w:r w:rsidRPr="0078032A">
              <w:rPr>
                <w:b/>
                <w:bCs/>
                <w:sz w:val="20"/>
                <w:szCs w:val="20"/>
              </w:rPr>
              <w:t>Economic &amp; Population Data (NZ)</w:t>
            </w:r>
          </w:p>
        </w:tc>
      </w:tr>
      <w:tr w:rsidR="0078032A" w:rsidRPr="0078032A" w14:paraId="455B9301" w14:textId="77777777" w:rsidTr="0078032A">
        <w:trPr>
          <w:trHeight w:val="315"/>
        </w:trPr>
        <w:tc>
          <w:tcPr>
            <w:tcW w:w="4531" w:type="dxa"/>
            <w:hideMark/>
          </w:tcPr>
          <w:p w14:paraId="5691D9E0" w14:textId="77777777" w:rsidR="00DB075D" w:rsidRPr="0078032A" w:rsidRDefault="00DB075D" w:rsidP="0078032A">
            <w:pPr>
              <w:spacing w:line="360" w:lineRule="auto"/>
              <w:rPr>
                <w:sz w:val="20"/>
                <w:szCs w:val="20"/>
              </w:rPr>
            </w:pPr>
            <w:r w:rsidRPr="0078032A">
              <w:rPr>
                <w:sz w:val="20"/>
                <w:szCs w:val="20"/>
              </w:rPr>
              <w:t>Department of Internal Affairs / Stats NZ</w:t>
            </w:r>
          </w:p>
        </w:tc>
        <w:tc>
          <w:tcPr>
            <w:tcW w:w="3402" w:type="dxa"/>
            <w:hideMark/>
          </w:tcPr>
          <w:p w14:paraId="346050B3" w14:textId="77777777" w:rsidR="00DB075D" w:rsidRPr="0078032A" w:rsidRDefault="00DB075D" w:rsidP="0078032A">
            <w:pPr>
              <w:spacing w:line="360" w:lineRule="auto"/>
              <w:rPr>
                <w:sz w:val="20"/>
                <w:szCs w:val="20"/>
              </w:rPr>
            </w:pPr>
            <w:r w:rsidRPr="0078032A">
              <w:rPr>
                <w:sz w:val="20"/>
                <w:szCs w:val="20"/>
              </w:rPr>
              <w:t>Official government statistics</w:t>
            </w:r>
          </w:p>
        </w:tc>
        <w:tc>
          <w:tcPr>
            <w:tcW w:w="5954" w:type="dxa"/>
            <w:hideMark/>
          </w:tcPr>
          <w:p w14:paraId="6E04B333" w14:textId="77777777" w:rsidR="00DB075D" w:rsidRPr="0078032A" w:rsidRDefault="00DB075D" w:rsidP="0078032A">
            <w:pPr>
              <w:spacing w:line="360" w:lineRule="auto"/>
              <w:rPr>
                <w:sz w:val="20"/>
                <w:szCs w:val="20"/>
              </w:rPr>
            </w:pPr>
            <w:r w:rsidRPr="0078032A">
              <w:rPr>
                <w:sz w:val="20"/>
                <w:szCs w:val="20"/>
              </w:rPr>
              <w:t>Provided total regulated gambling expenditure, national population and demographic data, household size, and insolvency statistics.</w:t>
            </w:r>
          </w:p>
        </w:tc>
      </w:tr>
      <w:tr w:rsidR="0078032A" w:rsidRPr="0078032A" w14:paraId="771A6FCC" w14:textId="77777777" w:rsidTr="0078032A">
        <w:trPr>
          <w:trHeight w:val="315"/>
        </w:trPr>
        <w:tc>
          <w:tcPr>
            <w:tcW w:w="4531" w:type="dxa"/>
            <w:hideMark/>
          </w:tcPr>
          <w:p w14:paraId="6523615B" w14:textId="77777777" w:rsidR="00DB075D" w:rsidRPr="0078032A" w:rsidRDefault="00DB075D" w:rsidP="0078032A">
            <w:pPr>
              <w:spacing w:line="360" w:lineRule="auto"/>
              <w:rPr>
                <w:sz w:val="20"/>
                <w:szCs w:val="20"/>
              </w:rPr>
            </w:pPr>
            <w:r w:rsidRPr="0078032A">
              <w:rPr>
                <w:sz w:val="20"/>
                <w:szCs w:val="20"/>
              </w:rPr>
              <w:t>World Bank Group / CEIC</w:t>
            </w:r>
          </w:p>
        </w:tc>
        <w:tc>
          <w:tcPr>
            <w:tcW w:w="3402" w:type="dxa"/>
            <w:hideMark/>
          </w:tcPr>
          <w:p w14:paraId="195AD1A7" w14:textId="77777777" w:rsidR="00DB075D" w:rsidRPr="0078032A" w:rsidRDefault="00DB075D" w:rsidP="0078032A">
            <w:pPr>
              <w:spacing w:line="360" w:lineRule="auto"/>
              <w:rPr>
                <w:sz w:val="20"/>
                <w:szCs w:val="20"/>
              </w:rPr>
            </w:pPr>
            <w:r w:rsidRPr="0078032A">
              <w:rPr>
                <w:sz w:val="20"/>
                <w:szCs w:val="20"/>
              </w:rPr>
              <w:t>Macroeconomic data</w:t>
            </w:r>
          </w:p>
        </w:tc>
        <w:tc>
          <w:tcPr>
            <w:tcW w:w="5954" w:type="dxa"/>
            <w:hideMark/>
          </w:tcPr>
          <w:p w14:paraId="4C29B53B" w14:textId="77777777" w:rsidR="00DB075D" w:rsidRPr="0078032A" w:rsidRDefault="00DB075D" w:rsidP="0078032A">
            <w:pPr>
              <w:spacing w:line="360" w:lineRule="auto"/>
              <w:rPr>
                <w:sz w:val="20"/>
                <w:szCs w:val="20"/>
              </w:rPr>
            </w:pPr>
            <w:r w:rsidRPr="0078032A">
              <w:rPr>
                <w:sz w:val="20"/>
                <w:szCs w:val="20"/>
              </w:rPr>
              <w:t>Provided New Zealand's GDP per capita, used as the basis for valuing a Year Lived with Disability (YLD).</w:t>
            </w:r>
          </w:p>
        </w:tc>
      </w:tr>
      <w:tr w:rsidR="0078032A" w:rsidRPr="0078032A" w14:paraId="10306A90" w14:textId="77777777" w:rsidTr="0078032A">
        <w:trPr>
          <w:trHeight w:val="315"/>
        </w:trPr>
        <w:tc>
          <w:tcPr>
            <w:tcW w:w="4531" w:type="dxa"/>
            <w:hideMark/>
          </w:tcPr>
          <w:p w14:paraId="4C3FDD5E" w14:textId="77777777" w:rsidR="00DB075D" w:rsidRPr="0078032A" w:rsidRDefault="00DB075D" w:rsidP="0078032A">
            <w:pPr>
              <w:spacing w:line="360" w:lineRule="auto"/>
              <w:rPr>
                <w:sz w:val="20"/>
                <w:szCs w:val="20"/>
              </w:rPr>
            </w:pPr>
            <w:r w:rsidRPr="0078032A">
              <w:rPr>
                <w:sz w:val="20"/>
                <w:szCs w:val="20"/>
              </w:rPr>
              <w:t>NZ Government Labour Market Statistics</w:t>
            </w:r>
          </w:p>
        </w:tc>
        <w:tc>
          <w:tcPr>
            <w:tcW w:w="3402" w:type="dxa"/>
            <w:hideMark/>
          </w:tcPr>
          <w:p w14:paraId="491C4D85" w14:textId="77777777" w:rsidR="00DB075D" w:rsidRPr="0078032A" w:rsidRDefault="00DB075D" w:rsidP="0078032A">
            <w:pPr>
              <w:spacing w:line="360" w:lineRule="auto"/>
              <w:rPr>
                <w:sz w:val="20"/>
                <w:szCs w:val="20"/>
              </w:rPr>
            </w:pPr>
            <w:r w:rsidRPr="0078032A">
              <w:rPr>
                <w:sz w:val="20"/>
                <w:szCs w:val="20"/>
              </w:rPr>
              <w:t>Employment and income data</w:t>
            </w:r>
          </w:p>
        </w:tc>
        <w:tc>
          <w:tcPr>
            <w:tcW w:w="5954" w:type="dxa"/>
            <w:hideMark/>
          </w:tcPr>
          <w:p w14:paraId="5DD6B025" w14:textId="77777777" w:rsidR="00DB075D" w:rsidRPr="0078032A" w:rsidRDefault="00DB075D" w:rsidP="0078032A">
            <w:pPr>
              <w:spacing w:line="360" w:lineRule="auto"/>
              <w:rPr>
                <w:sz w:val="20"/>
                <w:szCs w:val="20"/>
              </w:rPr>
            </w:pPr>
            <w:r w:rsidRPr="0078032A">
              <w:rPr>
                <w:sz w:val="20"/>
                <w:szCs w:val="20"/>
              </w:rPr>
              <w:t>Provided figures on average earnings, unemployment duration, and unemployment benefit rates for job loss calculations.</w:t>
            </w:r>
          </w:p>
        </w:tc>
      </w:tr>
      <w:tr w:rsidR="00DB075D" w:rsidRPr="0078032A" w14:paraId="1993235B" w14:textId="77777777" w:rsidTr="0078032A">
        <w:trPr>
          <w:trHeight w:val="315"/>
        </w:trPr>
        <w:tc>
          <w:tcPr>
            <w:tcW w:w="13887" w:type="dxa"/>
            <w:gridSpan w:val="3"/>
            <w:shd w:val="clear" w:color="auto" w:fill="F2F2F2" w:themeFill="background1" w:themeFillShade="F2"/>
            <w:hideMark/>
          </w:tcPr>
          <w:p w14:paraId="2C74D81A" w14:textId="77777777" w:rsidR="00DB075D" w:rsidRPr="0078032A" w:rsidRDefault="00DB075D" w:rsidP="0078032A">
            <w:pPr>
              <w:spacing w:line="360" w:lineRule="auto"/>
              <w:rPr>
                <w:sz w:val="20"/>
                <w:szCs w:val="20"/>
              </w:rPr>
            </w:pPr>
            <w:r w:rsidRPr="0078032A">
              <w:rPr>
                <w:b/>
                <w:bCs/>
                <w:sz w:val="20"/>
                <w:szCs w:val="20"/>
              </w:rPr>
              <w:t>Government &amp; Regulatory Costs (NZ)</w:t>
            </w:r>
          </w:p>
        </w:tc>
      </w:tr>
      <w:tr w:rsidR="0078032A" w:rsidRPr="0078032A" w14:paraId="3F430825" w14:textId="77777777" w:rsidTr="0078032A">
        <w:trPr>
          <w:trHeight w:val="315"/>
        </w:trPr>
        <w:tc>
          <w:tcPr>
            <w:tcW w:w="4531" w:type="dxa"/>
            <w:hideMark/>
          </w:tcPr>
          <w:p w14:paraId="3CC01F98" w14:textId="77777777" w:rsidR="00DB075D" w:rsidRPr="0078032A" w:rsidRDefault="00DB075D" w:rsidP="0078032A">
            <w:pPr>
              <w:spacing w:line="360" w:lineRule="auto"/>
              <w:rPr>
                <w:sz w:val="20"/>
                <w:szCs w:val="20"/>
              </w:rPr>
            </w:pPr>
            <w:r w:rsidRPr="0078032A">
              <w:rPr>
                <w:sz w:val="20"/>
                <w:szCs w:val="20"/>
              </w:rPr>
              <w:t>NZ Treasury, Ministry of Health, Ministry of Social Development</w:t>
            </w:r>
          </w:p>
        </w:tc>
        <w:tc>
          <w:tcPr>
            <w:tcW w:w="3402" w:type="dxa"/>
            <w:hideMark/>
          </w:tcPr>
          <w:p w14:paraId="3188D346" w14:textId="77777777" w:rsidR="00DB075D" w:rsidRPr="0078032A" w:rsidRDefault="00DB075D" w:rsidP="0078032A">
            <w:pPr>
              <w:spacing w:line="360" w:lineRule="auto"/>
              <w:rPr>
                <w:sz w:val="20"/>
                <w:szCs w:val="20"/>
              </w:rPr>
            </w:pPr>
            <w:r w:rsidRPr="0078032A">
              <w:rPr>
                <w:sz w:val="20"/>
                <w:szCs w:val="20"/>
              </w:rPr>
              <w:t>Government budget and strategy documents</w:t>
            </w:r>
          </w:p>
        </w:tc>
        <w:tc>
          <w:tcPr>
            <w:tcW w:w="5954" w:type="dxa"/>
            <w:hideMark/>
          </w:tcPr>
          <w:p w14:paraId="691E0216" w14:textId="77777777" w:rsidR="00DB075D" w:rsidRPr="0078032A" w:rsidRDefault="00DB075D" w:rsidP="0078032A">
            <w:pPr>
              <w:spacing w:line="360" w:lineRule="auto"/>
              <w:rPr>
                <w:sz w:val="20"/>
                <w:szCs w:val="20"/>
              </w:rPr>
            </w:pPr>
            <w:r w:rsidRPr="0078032A">
              <w:rPr>
                <w:sz w:val="20"/>
                <w:szCs w:val="20"/>
              </w:rPr>
              <w:t>Sourced the direct costs of government activities, including Vote Health funding, the budget for the Gambling Harm Minimisation Strategy, regulatory body costs, and funding for financial capability services.</w:t>
            </w:r>
          </w:p>
        </w:tc>
      </w:tr>
      <w:tr w:rsidR="00DB075D" w:rsidRPr="0078032A" w14:paraId="497C154A" w14:textId="77777777" w:rsidTr="0078032A">
        <w:trPr>
          <w:trHeight w:val="315"/>
        </w:trPr>
        <w:tc>
          <w:tcPr>
            <w:tcW w:w="13887" w:type="dxa"/>
            <w:gridSpan w:val="3"/>
            <w:shd w:val="clear" w:color="auto" w:fill="F2F2F2" w:themeFill="background1" w:themeFillShade="F2"/>
            <w:vAlign w:val="center"/>
            <w:hideMark/>
          </w:tcPr>
          <w:p w14:paraId="099C3A7A" w14:textId="77777777" w:rsidR="00DB075D" w:rsidRPr="0078032A" w:rsidRDefault="00DB075D" w:rsidP="0078032A">
            <w:pPr>
              <w:spacing w:line="360" w:lineRule="auto"/>
              <w:rPr>
                <w:sz w:val="20"/>
                <w:szCs w:val="20"/>
              </w:rPr>
            </w:pPr>
            <w:r w:rsidRPr="0078032A">
              <w:rPr>
                <w:b/>
                <w:bCs/>
                <w:sz w:val="20"/>
                <w:szCs w:val="20"/>
              </w:rPr>
              <w:t>Specific Harm Costings (NZ Proxies &amp; Data)</w:t>
            </w:r>
          </w:p>
        </w:tc>
      </w:tr>
      <w:tr w:rsidR="0078032A" w:rsidRPr="0078032A" w14:paraId="5E7CC725" w14:textId="77777777" w:rsidTr="0078032A">
        <w:trPr>
          <w:trHeight w:val="315"/>
        </w:trPr>
        <w:tc>
          <w:tcPr>
            <w:tcW w:w="4531" w:type="dxa"/>
            <w:hideMark/>
          </w:tcPr>
          <w:p w14:paraId="38498FD9" w14:textId="77777777" w:rsidR="00DB075D" w:rsidRPr="0078032A" w:rsidRDefault="00DB075D" w:rsidP="0078032A">
            <w:pPr>
              <w:spacing w:line="360" w:lineRule="auto"/>
              <w:rPr>
                <w:sz w:val="20"/>
                <w:szCs w:val="20"/>
              </w:rPr>
            </w:pPr>
            <w:r w:rsidRPr="0078032A">
              <w:rPr>
                <w:sz w:val="20"/>
                <w:szCs w:val="20"/>
              </w:rPr>
              <w:t>NZ Insolvency and Trustee Service</w:t>
            </w:r>
          </w:p>
        </w:tc>
        <w:tc>
          <w:tcPr>
            <w:tcW w:w="3402" w:type="dxa"/>
            <w:hideMark/>
          </w:tcPr>
          <w:p w14:paraId="79205B1C" w14:textId="77777777" w:rsidR="00DB075D" w:rsidRPr="0078032A" w:rsidRDefault="00DB075D" w:rsidP="0078032A">
            <w:pPr>
              <w:spacing w:line="360" w:lineRule="auto"/>
              <w:rPr>
                <w:sz w:val="20"/>
                <w:szCs w:val="20"/>
              </w:rPr>
            </w:pPr>
            <w:r w:rsidRPr="0078032A">
              <w:rPr>
                <w:sz w:val="20"/>
                <w:szCs w:val="20"/>
              </w:rPr>
              <w:t>Insolvency statistics</w:t>
            </w:r>
          </w:p>
        </w:tc>
        <w:tc>
          <w:tcPr>
            <w:tcW w:w="5954" w:type="dxa"/>
            <w:hideMark/>
          </w:tcPr>
          <w:p w14:paraId="695434DC" w14:textId="77777777" w:rsidR="00DB075D" w:rsidRPr="0078032A" w:rsidRDefault="00DB075D" w:rsidP="0078032A">
            <w:pPr>
              <w:spacing w:line="360" w:lineRule="auto"/>
              <w:rPr>
                <w:sz w:val="20"/>
                <w:szCs w:val="20"/>
              </w:rPr>
            </w:pPr>
            <w:r w:rsidRPr="0078032A">
              <w:rPr>
                <w:sz w:val="20"/>
                <w:szCs w:val="20"/>
              </w:rPr>
              <w:t>Provided the rate of gambling-related bankruptcies and the average debt associated with insolvency cases.</w:t>
            </w:r>
          </w:p>
        </w:tc>
      </w:tr>
      <w:tr w:rsidR="0078032A" w:rsidRPr="0078032A" w14:paraId="54EC3573" w14:textId="77777777" w:rsidTr="0078032A">
        <w:trPr>
          <w:trHeight w:val="315"/>
        </w:trPr>
        <w:tc>
          <w:tcPr>
            <w:tcW w:w="4531" w:type="dxa"/>
            <w:hideMark/>
          </w:tcPr>
          <w:p w14:paraId="73F0AD81" w14:textId="77777777" w:rsidR="00DB075D" w:rsidRPr="0078032A" w:rsidRDefault="00DB075D" w:rsidP="0078032A">
            <w:pPr>
              <w:spacing w:line="360" w:lineRule="auto"/>
              <w:rPr>
                <w:sz w:val="20"/>
                <w:szCs w:val="20"/>
              </w:rPr>
            </w:pPr>
            <w:r w:rsidRPr="0078032A">
              <w:rPr>
                <w:sz w:val="20"/>
                <w:szCs w:val="20"/>
              </w:rPr>
              <w:t>Privacy Commissioner of New Zealand (Warburton, 2021)</w:t>
            </w:r>
          </w:p>
        </w:tc>
        <w:tc>
          <w:tcPr>
            <w:tcW w:w="3402" w:type="dxa"/>
            <w:hideMark/>
          </w:tcPr>
          <w:p w14:paraId="733D309C" w14:textId="77777777" w:rsidR="00DB075D" w:rsidRPr="0078032A" w:rsidRDefault="00DB075D" w:rsidP="0078032A">
            <w:pPr>
              <w:spacing w:line="360" w:lineRule="auto"/>
              <w:rPr>
                <w:sz w:val="20"/>
                <w:szCs w:val="20"/>
              </w:rPr>
            </w:pPr>
            <w:r w:rsidRPr="0078032A">
              <w:rPr>
                <w:sz w:val="20"/>
                <w:szCs w:val="20"/>
              </w:rPr>
              <w:t>Legal guidance</w:t>
            </w:r>
          </w:p>
        </w:tc>
        <w:tc>
          <w:tcPr>
            <w:tcW w:w="5954" w:type="dxa"/>
            <w:hideMark/>
          </w:tcPr>
          <w:p w14:paraId="0D7ECF87" w14:textId="77777777" w:rsidR="00DB075D" w:rsidRPr="0078032A" w:rsidRDefault="00DB075D" w:rsidP="0078032A">
            <w:pPr>
              <w:spacing w:line="360" w:lineRule="auto"/>
              <w:rPr>
                <w:sz w:val="20"/>
                <w:szCs w:val="20"/>
              </w:rPr>
            </w:pPr>
            <w:r w:rsidRPr="0078032A">
              <w:rPr>
                <w:sz w:val="20"/>
                <w:szCs w:val="20"/>
              </w:rPr>
              <w:t>Provided the $10,000 proxy value for emotional harm resulting from a privacy breach, used as a conservative estimate for emotional distress.</w:t>
            </w:r>
          </w:p>
        </w:tc>
      </w:tr>
      <w:tr w:rsidR="0078032A" w:rsidRPr="0078032A" w14:paraId="44D7F76F" w14:textId="77777777" w:rsidTr="0078032A">
        <w:trPr>
          <w:trHeight w:val="315"/>
        </w:trPr>
        <w:tc>
          <w:tcPr>
            <w:tcW w:w="4531" w:type="dxa"/>
            <w:hideMark/>
          </w:tcPr>
          <w:p w14:paraId="04CB5A97" w14:textId="77777777" w:rsidR="00DB075D" w:rsidRPr="0078032A" w:rsidRDefault="00DB075D" w:rsidP="0078032A">
            <w:pPr>
              <w:spacing w:line="360" w:lineRule="auto"/>
              <w:rPr>
                <w:sz w:val="20"/>
                <w:szCs w:val="20"/>
              </w:rPr>
            </w:pPr>
            <w:r w:rsidRPr="0078032A">
              <w:rPr>
                <w:sz w:val="20"/>
                <w:szCs w:val="20"/>
              </w:rPr>
              <w:t>O’Dea &amp; Tucker (2005), "The cost of suicide to society"</w:t>
            </w:r>
          </w:p>
        </w:tc>
        <w:tc>
          <w:tcPr>
            <w:tcW w:w="3402" w:type="dxa"/>
            <w:hideMark/>
          </w:tcPr>
          <w:p w14:paraId="085F1638" w14:textId="77777777" w:rsidR="00DB075D" w:rsidRPr="0078032A" w:rsidRDefault="00DB075D" w:rsidP="0078032A">
            <w:pPr>
              <w:spacing w:line="360" w:lineRule="auto"/>
              <w:rPr>
                <w:sz w:val="20"/>
                <w:szCs w:val="20"/>
              </w:rPr>
            </w:pPr>
            <w:r w:rsidRPr="0078032A">
              <w:rPr>
                <w:sz w:val="20"/>
                <w:szCs w:val="20"/>
              </w:rPr>
              <w:t>Health economic report</w:t>
            </w:r>
          </w:p>
        </w:tc>
        <w:tc>
          <w:tcPr>
            <w:tcW w:w="5954" w:type="dxa"/>
            <w:hideMark/>
          </w:tcPr>
          <w:p w14:paraId="42E42122" w14:textId="77777777" w:rsidR="00DB075D" w:rsidRPr="0078032A" w:rsidRDefault="00DB075D" w:rsidP="0078032A">
            <w:pPr>
              <w:spacing w:line="360" w:lineRule="auto"/>
              <w:rPr>
                <w:sz w:val="20"/>
                <w:szCs w:val="20"/>
              </w:rPr>
            </w:pPr>
            <w:r w:rsidRPr="0078032A">
              <w:rPr>
                <w:sz w:val="20"/>
                <w:szCs w:val="20"/>
              </w:rPr>
              <w:t>Provided foundational data on the cost of services for suicide attempts and fatalities, which was adjusted for inflation.</w:t>
            </w:r>
          </w:p>
        </w:tc>
      </w:tr>
      <w:tr w:rsidR="0078032A" w:rsidRPr="0078032A" w14:paraId="2597D74B" w14:textId="77777777" w:rsidTr="0078032A">
        <w:trPr>
          <w:trHeight w:val="315"/>
        </w:trPr>
        <w:tc>
          <w:tcPr>
            <w:tcW w:w="4531" w:type="dxa"/>
            <w:hideMark/>
          </w:tcPr>
          <w:p w14:paraId="2C3C2E40" w14:textId="77777777" w:rsidR="00DB075D" w:rsidRPr="0078032A" w:rsidRDefault="00DB075D" w:rsidP="0078032A">
            <w:pPr>
              <w:spacing w:line="360" w:lineRule="auto"/>
              <w:rPr>
                <w:sz w:val="20"/>
                <w:szCs w:val="20"/>
              </w:rPr>
            </w:pPr>
            <w:r w:rsidRPr="0078032A">
              <w:rPr>
                <w:sz w:val="20"/>
                <w:szCs w:val="20"/>
              </w:rPr>
              <w:t>Southern Cross &amp; BusinessNZ, "Workplace Wellness 2023"</w:t>
            </w:r>
          </w:p>
        </w:tc>
        <w:tc>
          <w:tcPr>
            <w:tcW w:w="3402" w:type="dxa"/>
            <w:hideMark/>
          </w:tcPr>
          <w:p w14:paraId="1BC70752" w14:textId="77777777" w:rsidR="00DB075D" w:rsidRPr="0078032A" w:rsidRDefault="00DB075D" w:rsidP="0078032A">
            <w:pPr>
              <w:spacing w:line="360" w:lineRule="auto"/>
              <w:rPr>
                <w:sz w:val="20"/>
                <w:szCs w:val="20"/>
              </w:rPr>
            </w:pPr>
            <w:r w:rsidRPr="0078032A">
              <w:rPr>
                <w:sz w:val="20"/>
                <w:szCs w:val="20"/>
              </w:rPr>
              <w:t>Business report</w:t>
            </w:r>
          </w:p>
        </w:tc>
        <w:tc>
          <w:tcPr>
            <w:tcW w:w="5954" w:type="dxa"/>
            <w:hideMark/>
          </w:tcPr>
          <w:p w14:paraId="3D70A5DD" w14:textId="77777777" w:rsidR="00DB075D" w:rsidRPr="0078032A" w:rsidRDefault="00DB075D" w:rsidP="0078032A">
            <w:pPr>
              <w:spacing w:line="360" w:lineRule="auto"/>
              <w:rPr>
                <w:sz w:val="20"/>
                <w:szCs w:val="20"/>
              </w:rPr>
            </w:pPr>
            <w:r w:rsidRPr="0078032A">
              <w:rPr>
                <w:sz w:val="20"/>
                <w:szCs w:val="20"/>
              </w:rPr>
              <w:t>Provided the median annual cost of employee absenteeism in New Zealand.</w:t>
            </w:r>
          </w:p>
        </w:tc>
      </w:tr>
      <w:tr w:rsidR="00DB075D" w:rsidRPr="0078032A" w14:paraId="0AA0C506" w14:textId="77777777" w:rsidTr="0078032A">
        <w:trPr>
          <w:trHeight w:val="315"/>
        </w:trPr>
        <w:tc>
          <w:tcPr>
            <w:tcW w:w="13887" w:type="dxa"/>
            <w:gridSpan w:val="3"/>
            <w:shd w:val="clear" w:color="auto" w:fill="F2F2F2" w:themeFill="background1" w:themeFillShade="F2"/>
            <w:vAlign w:val="center"/>
            <w:hideMark/>
          </w:tcPr>
          <w:p w14:paraId="4D2B2113" w14:textId="77777777" w:rsidR="00DB075D" w:rsidRPr="0078032A" w:rsidRDefault="00DB075D" w:rsidP="0078032A">
            <w:pPr>
              <w:spacing w:line="360" w:lineRule="auto"/>
              <w:rPr>
                <w:sz w:val="20"/>
                <w:szCs w:val="20"/>
              </w:rPr>
            </w:pPr>
            <w:r w:rsidRPr="0078032A">
              <w:rPr>
                <w:b/>
                <w:bCs/>
                <w:sz w:val="20"/>
                <w:szCs w:val="20"/>
              </w:rPr>
              <w:t>International Data (Proxies &amp; Comparators)</w:t>
            </w:r>
          </w:p>
        </w:tc>
      </w:tr>
      <w:tr w:rsidR="0078032A" w:rsidRPr="0078032A" w14:paraId="7568279B" w14:textId="77777777" w:rsidTr="0078032A">
        <w:trPr>
          <w:trHeight w:val="315"/>
        </w:trPr>
        <w:tc>
          <w:tcPr>
            <w:tcW w:w="4531" w:type="dxa"/>
            <w:hideMark/>
          </w:tcPr>
          <w:p w14:paraId="54B338F7" w14:textId="77777777" w:rsidR="00DB075D" w:rsidRPr="0078032A" w:rsidRDefault="00DB075D" w:rsidP="0078032A">
            <w:pPr>
              <w:spacing w:line="360" w:lineRule="auto"/>
              <w:rPr>
                <w:sz w:val="20"/>
                <w:szCs w:val="20"/>
              </w:rPr>
            </w:pPr>
            <w:r w:rsidRPr="0078032A">
              <w:rPr>
                <w:sz w:val="20"/>
                <w:szCs w:val="20"/>
              </w:rPr>
              <w:t>Australian Jurisdictional Prevalence Surveys (NSW, VIC, etc.)</w:t>
            </w:r>
          </w:p>
        </w:tc>
        <w:tc>
          <w:tcPr>
            <w:tcW w:w="3402" w:type="dxa"/>
            <w:hideMark/>
          </w:tcPr>
          <w:p w14:paraId="7A9D4800" w14:textId="77777777" w:rsidR="00DB075D" w:rsidRPr="0078032A" w:rsidRDefault="00DB075D" w:rsidP="0078032A">
            <w:pPr>
              <w:spacing w:line="360" w:lineRule="auto"/>
              <w:rPr>
                <w:sz w:val="20"/>
                <w:szCs w:val="20"/>
              </w:rPr>
            </w:pPr>
            <w:r w:rsidRPr="0078032A">
              <w:rPr>
                <w:sz w:val="20"/>
                <w:szCs w:val="20"/>
              </w:rPr>
              <w:t>Self-reported gambling expenditure</w:t>
            </w:r>
          </w:p>
        </w:tc>
        <w:tc>
          <w:tcPr>
            <w:tcW w:w="5954" w:type="dxa"/>
            <w:hideMark/>
          </w:tcPr>
          <w:p w14:paraId="7EE013E5" w14:textId="77777777" w:rsidR="00DB075D" w:rsidRPr="0078032A" w:rsidRDefault="00DB075D" w:rsidP="0078032A">
            <w:pPr>
              <w:spacing w:line="360" w:lineRule="auto"/>
              <w:rPr>
                <w:sz w:val="20"/>
                <w:szCs w:val="20"/>
              </w:rPr>
            </w:pPr>
            <w:r w:rsidRPr="0078032A">
              <w:rPr>
                <w:sz w:val="20"/>
                <w:szCs w:val="20"/>
              </w:rPr>
              <w:t>Used to model the relative spend patterns across PGSI groups, as a proxy to calculate the "opportunity cost of excess spend" in NZ.</w:t>
            </w:r>
          </w:p>
        </w:tc>
      </w:tr>
      <w:tr w:rsidR="0078032A" w:rsidRPr="0078032A" w14:paraId="45114398" w14:textId="77777777" w:rsidTr="0078032A">
        <w:trPr>
          <w:trHeight w:val="315"/>
        </w:trPr>
        <w:tc>
          <w:tcPr>
            <w:tcW w:w="4531" w:type="dxa"/>
            <w:hideMark/>
          </w:tcPr>
          <w:p w14:paraId="37C46968" w14:textId="77777777" w:rsidR="00DB075D" w:rsidRPr="0078032A" w:rsidRDefault="00DB075D" w:rsidP="0078032A">
            <w:pPr>
              <w:spacing w:line="360" w:lineRule="auto"/>
              <w:rPr>
                <w:sz w:val="20"/>
                <w:szCs w:val="20"/>
              </w:rPr>
            </w:pPr>
            <w:r w:rsidRPr="0078032A">
              <w:rPr>
                <w:sz w:val="20"/>
                <w:szCs w:val="20"/>
              </w:rPr>
              <w:t>Australian Institute of Criminology / Warfield &amp; Associates (2016)</w:t>
            </w:r>
          </w:p>
        </w:tc>
        <w:tc>
          <w:tcPr>
            <w:tcW w:w="3402" w:type="dxa"/>
            <w:hideMark/>
          </w:tcPr>
          <w:p w14:paraId="050C9D9E" w14:textId="77777777" w:rsidR="00DB075D" w:rsidRPr="0078032A" w:rsidRDefault="00DB075D" w:rsidP="0078032A">
            <w:pPr>
              <w:spacing w:line="360" w:lineRule="auto"/>
              <w:rPr>
                <w:sz w:val="20"/>
                <w:szCs w:val="20"/>
              </w:rPr>
            </w:pPr>
            <w:r w:rsidRPr="0078032A">
              <w:rPr>
                <w:sz w:val="20"/>
                <w:szCs w:val="20"/>
              </w:rPr>
              <w:t>Crime reports</w:t>
            </w:r>
          </w:p>
        </w:tc>
        <w:tc>
          <w:tcPr>
            <w:tcW w:w="5954" w:type="dxa"/>
            <w:hideMark/>
          </w:tcPr>
          <w:p w14:paraId="500759EA" w14:textId="77777777" w:rsidR="00DB075D" w:rsidRPr="0078032A" w:rsidRDefault="00DB075D" w:rsidP="0078032A">
            <w:pPr>
              <w:spacing w:line="360" w:lineRule="auto"/>
              <w:rPr>
                <w:sz w:val="20"/>
                <w:szCs w:val="20"/>
              </w:rPr>
            </w:pPr>
            <w:r w:rsidRPr="0078032A">
              <w:rPr>
                <w:sz w:val="20"/>
                <w:szCs w:val="20"/>
              </w:rPr>
              <w:t>Provided proxy data for the average cost of petty theft and the prevalence and cost of major fraud motivated by gambling.</w:t>
            </w:r>
          </w:p>
        </w:tc>
      </w:tr>
      <w:tr w:rsidR="0078032A" w:rsidRPr="0078032A" w14:paraId="7F23CE4E" w14:textId="77777777" w:rsidTr="0078032A">
        <w:trPr>
          <w:trHeight w:val="315"/>
        </w:trPr>
        <w:tc>
          <w:tcPr>
            <w:tcW w:w="4531" w:type="dxa"/>
            <w:hideMark/>
          </w:tcPr>
          <w:p w14:paraId="425AF30A" w14:textId="77777777" w:rsidR="00DB075D" w:rsidRPr="0078032A" w:rsidRDefault="00DB075D" w:rsidP="0078032A">
            <w:pPr>
              <w:spacing w:line="360" w:lineRule="auto"/>
              <w:rPr>
                <w:sz w:val="20"/>
                <w:szCs w:val="20"/>
              </w:rPr>
            </w:pPr>
            <w:r w:rsidRPr="0078032A">
              <w:rPr>
                <w:sz w:val="20"/>
                <w:szCs w:val="20"/>
              </w:rPr>
              <w:t>H2 Gambling Capital (2023), "Australia Offshore Wagering Market Analysis"</w:t>
            </w:r>
          </w:p>
        </w:tc>
        <w:tc>
          <w:tcPr>
            <w:tcW w:w="3402" w:type="dxa"/>
            <w:hideMark/>
          </w:tcPr>
          <w:p w14:paraId="362A91C9" w14:textId="77777777" w:rsidR="00DB075D" w:rsidRPr="0078032A" w:rsidRDefault="00DB075D" w:rsidP="0078032A">
            <w:pPr>
              <w:spacing w:line="360" w:lineRule="auto"/>
              <w:rPr>
                <w:sz w:val="20"/>
                <w:szCs w:val="20"/>
              </w:rPr>
            </w:pPr>
            <w:r w:rsidRPr="0078032A">
              <w:rPr>
                <w:sz w:val="20"/>
                <w:szCs w:val="20"/>
              </w:rPr>
              <w:t>Specialist industry analysis</w:t>
            </w:r>
          </w:p>
        </w:tc>
        <w:tc>
          <w:tcPr>
            <w:tcW w:w="5954" w:type="dxa"/>
            <w:hideMark/>
          </w:tcPr>
          <w:p w14:paraId="1A27ACFB" w14:textId="77777777" w:rsidR="00DB075D" w:rsidRPr="0078032A" w:rsidRDefault="00DB075D" w:rsidP="0078032A">
            <w:pPr>
              <w:spacing w:line="360" w:lineRule="auto"/>
              <w:rPr>
                <w:sz w:val="20"/>
                <w:szCs w:val="20"/>
              </w:rPr>
            </w:pPr>
            <w:r w:rsidRPr="0078032A">
              <w:rPr>
                <w:sz w:val="20"/>
                <w:szCs w:val="20"/>
              </w:rPr>
              <w:t>Used for contextual comparison to understand the nature of the illegal "black market" for online gambling in a similar jurisdiction.</w:t>
            </w:r>
          </w:p>
        </w:tc>
      </w:tr>
    </w:tbl>
    <w:p w14:paraId="1BAE7E39" w14:textId="77777777" w:rsidR="00DB075D" w:rsidRPr="00E628BC" w:rsidRDefault="00DB075D" w:rsidP="00DB075D">
      <w:pPr>
        <w:rPr>
          <w:sz w:val="21"/>
          <w:szCs w:val="21"/>
        </w:rPr>
      </w:pPr>
      <w:r w:rsidRPr="00E628BC">
        <w:rPr>
          <w:sz w:val="21"/>
          <w:szCs w:val="21"/>
        </w:rPr>
        <w:t>Note: This is not comprehensive, all data sources are described and cited within individual cost item calculations.</w:t>
      </w:r>
    </w:p>
    <w:p w14:paraId="791F5AA7" w14:textId="77777777" w:rsidR="00DB075D" w:rsidRDefault="00DB075D" w:rsidP="00DB075D">
      <w:pPr>
        <w:spacing w:line="360" w:lineRule="auto"/>
      </w:pPr>
    </w:p>
    <w:p w14:paraId="5F4047FA" w14:textId="77777777" w:rsidR="0078032A" w:rsidRDefault="0078032A" w:rsidP="00367A8D">
      <w:pPr>
        <w:spacing w:line="360" w:lineRule="auto"/>
        <w:sectPr w:rsidR="0078032A" w:rsidSect="0078032A">
          <w:pgSz w:w="16817" w:h="11901" w:orient="landscape"/>
          <w:pgMar w:top="1134" w:right="1440" w:bottom="1440" w:left="1440" w:header="720" w:footer="720" w:gutter="0"/>
          <w:cols w:space="720"/>
          <w:titlePg/>
          <w:docGrid w:linePitch="326"/>
        </w:sectPr>
      </w:pPr>
    </w:p>
    <w:p w14:paraId="6EF965DC" w14:textId="77777777" w:rsidR="00DB689D" w:rsidRDefault="00310A10" w:rsidP="00657824">
      <w:pPr>
        <w:pStyle w:val="Heading2"/>
      </w:pPr>
      <w:bookmarkStart w:id="339" w:name="_Toc201572437"/>
      <w:bookmarkStart w:id="340" w:name="_Toc207195956"/>
      <w:r>
        <w:t>Key data considerations</w:t>
      </w:r>
      <w:bookmarkEnd w:id="339"/>
      <w:bookmarkEnd w:id="340"/>
    </w:p>
    <w:p w14:paraId="70C5A3F4" w14:textId="77777777" w:rsidR="00DB689D" w:rsidRDefault="00310A10" w:rsidP="00367A8D">
      <w:pPr>
        <w:spacing w:line="360" w:lineRule="auto"/>
      </w:pPr>
      <w:r>
        <w:t>The economic costing presented incorporates a very large and diverse set of quantitative data sources to determine parameter estimates and assumptions. Where these are lacking or dubious, some qualitative research is also referenced, including Community Consultations reported in Chapter 4.</w:t>
      </w:r>
    </w:p>
    <w:p w14:paraId="692FAB38" w14:textId="77777777" w:rsidR="00DB689D" w:rsidRDefault="00310A10" w:rsidP="00C30E1A">
      <w:pPr>
        <w:pStyle w:val="Heading3"/>
      </w:pPr>
      <w:bookmarkStart w:id="341" w:name="_396qaeqy3c6q" w:colFirst="0" w:colLast="0"/>
      <w:bookmarkStart w:id="342" w:name="_Toc201572438"/>
      <w:bookmarkStart w:id="343" w:name="_Toc207195957"/>
      <w:bookmarkEnd w:id="341"/>
      <w:r>
        <w:t>Prevalence items</w:t>
      </w:r>
      <w:bookmarkEnd w:id="342"/>
      <w:bookmarkEnd w:id="343"/>
    </w:p>
    <w:p w14:paraId="64C86C9E" w14:textId="77777777" w:rsidR="00DB689D" w:rsidRDefault="00310A10" w:rsidP="00367A8D">
      <w:pPr>
        <w:spacing w:line="360" w:lineRule="auto"/>
      </w:pPr>
      <w:r>
        <w:t>The ideal data sources for prevalence items are population-representative and directly estimate the specific harm categories being examined, such as financial spend, HRQoL, or relationship impacts, within the New Zealand context. This includes high-quality national datasets, such as the NZGS (2023/24). However, this type of data is not always available or comprehensive enough to cover all relevant harm categories. For example, while the NZGS (2023/24) provides information about gambling participation and gambling problem severity, it has relatively limited information about specific harms or impacts on others.</w:t>
      </w:r>
    </w:p>
    <w:p w14:paraId="6CD584F9" w14:textId="77777777" w:rsidR="00CF48ED" w:rsidRDefault="00CF48ED" w:rsidP="00367A8D">
      <w:pPr>
        <w:spacing w:line="360" w:lineRule="auto"/>
      </w:pPr>
      <w:bookmarkStart w:id="344" w:name="_rky4i2qm8il2" w:colFirst="0" w:colLast="0"/>
      <w:bookmarkEnd w:id="344"/>
    </w:p>
    <w:p w14:paraId="11AB9F42" w14:textId="03303E5F" w:rsidR="00DB689D" w:rsidRDefault="00310A10" w:rsidP="00367A8D">
      <w:pPr>
        <w:spacing w:line="360" w:lineRule="auto"/>
      </w:pPr>
      <w:r>
        <w:t>Given these limitations, options include expanding the search beyond New Zealand or using non-representative data. Therefore, when New Zealand-specific data is unavailable, the best alternatives have been identified, which, in some cases, include high-quality data from comparable countries. Data from Australian studies can be a valuable proxy due to the similarities in population characteristics, and gambling environments and behaviours, between the two countries (Livingstone &amp; Adams, 2011; Rawat et al., 2018; Tran et al., 2024).</w:t>
      </w:r>
    </w:p>
    <w:p w14:paraId="00094F5E" w14:textId="77777777" w:rsidR="00DB689D" w:rsidRDefault="00310A10" w:rsidP="00367A8D">
      <w:pPr>
        <w:spacing w:line="360" w:lineRule="auto"/>
      </w:pPr>
      <w:r>
        <w:t xml:space="preserve"> </w:t>
      </w:r>
    </w:p>
    <w:p w14:paraId="003678F5" w14:textId="7B25FAE4" w:rsidR="00DB689D" w:rsidRDefault="00310A10" w:rsidP="00367A8D">
      <w:pPr>
        <w:spacing w:line="360" w:lineRule="auto"/>
      </w:pPr>
      <w:r>
        <w:t xml:space="preserve">In instances where neither population-representative New Zealand data nor comparable Australian data is available, we have adapted non-representative data for use. This involves taking data from non-representative studies and projecting it onto New Zealand's gambling problem severity data to estimate the impact on the population. The Measuring the Burden of Gambling Harm in New Zealand </w:t>
      </w:r>
      <w:r w:rsidR="00DB2449">
        <w:rPr>
          <w:noProof/>
          <w:color w:val="000000"/>
        </w:rPr>
        <w:t>(</w:t>
      </w:r>
      <w:r w:rsidR="002A3095">
        <w:rPr>
          <w:noProof/>
          <w:color w:val="000000"/>
        </w:rPr>
        <w:t>Browne, Greer et al., 2017</w:t>
      </w:r>
      <w:r w:rsidR="00DB2449">
        <w:rPr>
          <w:noProof/>
          <w:color w:val="000000"/>
        </w:rPr>
        <w:t>)</w:t>
      </w:r>
      <w:r>
        <w:t xml:space="preserve"> report was the source of key data used in this manner. While this approach is not ideal, it allows us to fill critical gaps and provide the most comprehensive economic costing possible. The alternative is not costing items, which would result in an incomplete analysis and potentially underestimate the true economic impact of gambling harm in New Zealand.</w:t>
      </w:r>
    </w:p>
    <w:p w14:paraId="22D3FD4D" w14:textId="77777777" w:rsidR="00302740" w:rsidRDefault="00302740" w:rsidP="00367A8D">
      <w:pPr>
        <w:spacing w:line="360" w:lineRule="auto"/>
      </w:pPr>
    </w:p>
    <w:p w14:paraId="09E3B110" w14:textId="1BAA3B42" w:rsidR="00302740" w:rsidRDefault="00302740" w:rsidP="00367A8D">
      <w:pPr>
        <w:spacing w:line="360" w:lineRule="auto"/>
      </w:pPr>
      <w:r>
        <w:t>Many</w:t>
      </w:r>
      <w:r w:rsidRPr="00BB3C33">
        <w:t xml:space="preserve"> analys</w:t>
      </w:r>
      <w:r>
        <w:t>e</w:t>
      </w:r>
      <w:r w:rsidRPr="00BB3C33">
        <w:t xml:space="preserve">s in this report </w:t>
      </w:r>
      <w:r w:rsidR="004F7C45">
        <w:t>were</w:t>
      </w:r>
      <w:r w:rsidRPr="00BB3C33">
        <w:t xml:space="preserve"> calibrated using data for the New Zealand population aged 1</w:t>
      </w:r>
      <w:r w:rsidR="00BF11A0">
        <w:t>5</w:t>
      </w:r>
      <w:r w:rsidRPr="00BB3C33">
        <w:t xml:space="preserve"> and over</w:t>
      </w:r>
      <w:r>
        <w:t xml:space="preserve">, from the NZGS (2023/24). </w:t>
      </w:r>
      <w:r w:rsidRPr="00BB3C33">
        <w:t>In instances where data from other sources were integrated</w:t>
      </w:r>
      <w:r>
        <w:t xml:space="preserve">, </w:t>
      </w:r>
      <w:r w:rsidRPr="00BB3C33">
        <w:t>such as survey data on gambling harms, which was collected from an 18+ population</w:t>
      </w:r>
      <w:r>
        <w:t xml:space="preserve">, </w:t>
      </w:r>
      <w:r w:rsidRPr="00BB3C33">
        <w:t>it was necessary to apply this data across the entire 1</w:t>
      </w:r>
      <w:r w:rsidR="00E0136B">
        <w:t>5</w:t>
      </w:r>
      <w:r w:rsidRPr="00BB3C33">
        <w:t>+ cohort</w:t>
      </w:r>
      <w:r>
        <w:t xml:space="preserve">. </w:t>
      </w:r>
      <w:r w:rsidRPr="00BB3C33">
        <w:t>This approach relies on the assumption that individuals aged 1</w:t>
      </w:r>
      <w:r w:rsidR="00BF11A0">
        <w:t>5</w:t>
      </w:r>
      <w:r w:rsidRPr="00BB3C33">
        <w:t>-17 within a given PGSI category experience harms at a rate comparable to that of adults in the same category</w:t>
      </w:r>
      <w:r>
        <w:t>. This is an assumption made in the absence of specific harm data for this younger age group.</w:t>
      </w:r>
    </w:p>
    <w:p w14:paraId="3A844F83" w14:textId="77777777" w:rsidR="00DB689D" w:rsidRDefault="00310A10" w:rsidP="00367A8D">
      <w:pPr>
        <w:pStyle w:val="Heading4"/>
        <w:spacing w:line="360" w:lineRule="auto"/>
      </w:pPr>
      <w:bookmarkStart w:id="345" w:name="_jirtky38pgya" w:colFirst="0" w:colLast="0"/>
      <w:bookmarkEnd w:id="345"/>
      <w:r>
        <w:t>Prevalence of problem gambling</w:t>
      </w:r>
    </w:p>
    <w:p w14:paraId="47FBEFB1" w14:textId="305755B5" w:rsidR="006B5094" w:rsidRPr="006B5094" w:rsidRDefault="00310A10" w:rsidP="00367A8D">
      <w:pPr>
        <w:spacing w:after="160" w:line="360" w:lineRule="auto"/>
        <w:rPr>
          <w:color w:val="0E101A"/>
        </w:rPr>
      </w:pPr>
      <w:r>
        <w:rPr>
          <w:color w:val="0E101A"/>
        </w:rPr>
        <w:t xml:space="preserve">The prevalence of problem gambling was sourced from the </w:t>
      </w:r>
      <w:r>
        <w:t>NZGS (2023/24) using the PGSI. The survey found 5.93% of New Zealand adults (1</w:t>
      </w:r>
      <w:r w:rsidR="00E0136B">
        <w:t>5</w:t>
      </w:r>
      <w:r>
        <w:t xml:space="preserve">+) were categorised as low-risk gambling, 1.94% as moderate-risk gambling, and 0.47% as problem gambling. </w:t>
      </w:r>
      <w:r>
        <w:rPr>
          <w:color w:val="0E101A"/>
        </w:rPr>
        <w:t xml:space="preserve"> </w:t>
      </w:r>
    </w:p>
    <w:p w14:paraId="0B8ECD5B" w14:textId="77777777" w:rsidR="00DB689D" w:rsidRDefault="00310A10" w:rsidP="00367A8D">
      <w:pPr>
        <w:pStyle w:val="Heading4"/>
        <w:spacing w:line="360" w:lineRule="auto"/>
      </w:pPr>
      <w:bookmarkStart w:id="346" w:name="_gwlwq4e3922n" w:colFirst="0" w:colLast="0"/>
      <w:bookmarkEnd w:id="346"/>
      <w:r>
        <w:t>Prevalence of affected others</w:t>
      </w:r>
    </w:p>
    <w:p w14:paraId="4FDA6D59" w14:textId="270411D3" w:rsidR="00DB689D" w:rsidRDefault="00310A10" w:rsidP="00367A8D">
      <w:pPr>
        <w:spacing w:after="160" w:line="360" w:lineRule="auto"/>
      </w:pPr>
      <w:r>
        <w:t xml:space="preserve">The NZGS (2023/24) includes questions about the impact of gambling problems on families. For example, it includes questions about arguments and going without something they needed due to another person’s gambling. The </w:t>
      </w:r>
      <w:r>
        <w:rPr>
          <w:i/>
        </w:rPr>
        <w:t>2016 New Zealand Health and Lifestyles Survey</w:t>
      </w:r>
      <w:r>
        <w:t xml:space="preserve"> </w:t>
      </w:r>
      <w:r w:rsidR="00DB2449">
        <w:rPr>
          <w:noProof/>
          <w:color w:val="000000"/>
        </w:rPr>
        <w:t>(Thimasarn-Anwar et al., 2018)</w:t>
      </w:r>
      <w:r>
        <w:t xml:space="preserve"> found that around 22% of New Zealand adults have been affected at some time in their lives by another person’s gambling and around 6% reported at least one form of household-level harm (such as arguments or unpaid bills). However, the questions in these surveys are broad, do not identify direct harm experienced by the respondent, nor do they distinguish between levels of gambling severity. As a result, they are not suitable for direct use in this study. </w:t>
      </w:r>
    </w:p>
    <w:p w14:paraId="09A1BF36" w14:textId="3A3B4192" w:rsidR="00DB689D" w:rsidRDefault="00310A10" w:rsidP="00367A8D">
      <w:pPr>
        <w:spacing w:after="160" w:line="360" w:lineRule="auto"/>
      </w:pPr>
      <w:r>
        <w:t xml:space="preserve">Instead, the current study replicates the approach used in Victoria </w:t>
      </w:r>
      <w:r w:rsidR="0038398B">
        <w:rPr>
          <w:noProof/>
          <w:color w:val="000000"/>
        </w:rPr>
        <w:t>(</w:t>
      </w:r>
      <w:r w:rsidR="002A3095">
        <w:rPr>
          <w:noProof/>
          <w:color w:val="000000"/>
        </w:rPr>
        <w:t>Browne, Greer et al., 2017</w:t>
      </w:r>
      <w:r w:rsidR="0038398B">
        <w:rPr>
          <w:noProof/>
          <w:color w:val="000000"/>
        </w:rPr>
        <w:t>)</w:t>
      </w:r>
      <w:r>
        <w:t>, as previously outlined. This method assumes that each person with a gambling problem affects approximately six others, with moderate-risk gambling affecting three people, and low-risk gambling affecting one. This equates to around 14.6% of New Zealand adults being exposed to another person’s gambling problem-though not all experience harm.</w:t>
      </w:r>
    </w:p>
    <w:p w14:paraId="1D312E3F" w14:textId="16D22427" w:rsidR="00DB689D" w:rsidRDefault="00310A10" w:rsidP="00367A8D">
      <w:pPr>
        <w:spacing w:after="160" w:line="360" w:lineRule="auto"/>
        <w:rPr>
          <w:color w:val="0E101A"/>
        </w:rPr>
      </w:pPr>
      <w:r>
        <w:rPr>
          <w:color w:val="0E101A"/>
        </w:rPr>
        <w:t xml:space="preserve">Data from the </w:t>
      </w:r>
      <w:r>
        <w:rPr>
          <w:i/>
          <w:color w:val="0E101A"/>
        </w:rPr>
        <w:t>Measuring the Burden of Gambling Harm in New Zealand Study</w:t>
      </w:r>
      <w:r>
        <w:rPr>
          <w:color w:val="0E101A"/>
        </w:rPr>
        <w:t xml:space="preserve"> </w:t>
      </w:r>
      <w:r w:rsidR="00DB2449">
        <w:rPr>
          <w:noProof/>
          <w:color w:val="000000"/>
        </w:rPr>
        <w:t>(</w:t>
      </w:r>
      <w:r w:rsidR="002A3095">
        <w:rPr>
          <w:noProof/>
          <w:color w:val="000000"/>
        </w:rPr>
        <w:t>Browne, Greer et al., 2017</w:t>
      </w:r>
      <w:r w:rsidR="00DB2449">
        <w:rPr>
          <w:noProof/>
          <w:color w:val="000000"/>
        </w:rPr>
        <w:t>)</w:t>
      </w:r>
      <w:r>
        <w:rPr>
          <w:color w:val="0E101A"/>
        </w:rPr>
        <w:t xml:space="preserve"> was then used to estimate the proportion of people who experience specific forms of harm. For example, it is estimated that around 4.5% of the adult population </w:t>
      </w:r>
      <w:r w:rsidR="005E7CE6">
        <w:rPr>
          <w:color w:val="0E101A"/>
        </w:rPr>
        <w:t xml:space="preserve">has </w:t>
      </w:r>
      <w:r>
        <w:rPr>
          <w:color w:val="0E101A"/>
        </w:rPr>
        <w:t>experiences some level of physical or mental health harm due to someone else’s gambling.</w:t>
      </w:r>
      <w:r w:rsidR="005E7CE6">
        <w:rPr>
          <w:color w:val="0E101A"/>
        </w:rPr>
        <w:t xml:space="preserve"> This is based on individuals reporting on the single most severe 12-month period of harm they have </w:t>
      </w:r>
      <w:r w:rsidR="00854F2A">
        <w:rPr>
          <w:color w:val="0E101A"/>
        </w:rPr>
        <w:t>encountered</w:t>
      </w:r>
      <w:r w:rsidR="005E7CE6">
        <w:rPr>
          <w:color w:val="0E101A"/>
        </w:rPr>
        <w:t xml:space="preserve"> in their lifetime.</w:t>
      </w:r>
    </w:p>
    <w:p w14:paraId="02C7E023" w14:textId="77777777" w:rsidR="00DB689D" w:rsidRDefault="00310A10" w:rsidP="00C30E1A">
      <w:pPr>
        <w:pStyle w:val="Heading3"/>
      </w:pPr>
      <w:bookmarkStart w:id="347" w:name="_8h9u7cj498ca" w:colFirst="0" w:colLast="0"/>
      <w:bookmarkStart w:id="348" w:name="_Toc201572439"/>
      <w:bookmarkStart w:id="349" w:name="_Toc207195958"/>
      <w:bookmarkEnd w:id="347"/>
      <w:r>
        <w:t>Cost items</w:t>
      </w:r>
      <w:bookmarkEnd w:id="348"/>
      <w:bookmarkEnd w:id="349"/>
    </w:p>
    <w:p w14:paraId="48EE4980" w14:textId="77777777" w:rsidR="00DB689D" w:rsidRDefault="00310A10" w:rsidP="00367A8D">
      <w:pPr>
        <w:spacing w:line="360" w:lineRule="auto"/>
      </w:pPr>
      <w:r>
        <w:t>A search strategy ensured the use of credible and reliable data sources. This approach prioritised New Zealand government reports and research articles, particularly for health-related items. To gather data on income and employment, we first consulted government websites and official statistics for accurate and up-to-date information. Private businesses and industry reports were consulted only after these primary sources were exhausted.</w:t>
      </w:r>
    </w:p>
    <w:p w14:paraId="78868279" w14:textId="77777777" w:rsidR="00DB689D" w:rsidRDefault="00310A10" w:rsidP="00367A8D">
      <w:pPr>
        <w:spacing w:line="360" w:lineRule="auto"/>
      </w:pPr>
      <w:r>
        <w:t xml:space="preserve"> </w:t>
      </w:r>
    </w:p>
    <w:p w14:paraId="26F2FAB1" w14:textId="77777777" w:rsidR="00512558" w:rsidRDefault="00310A10" w:rsidP="00512558">
      <w:pPr>
        <w:spacing w:line="360" w:lineRule="auto"/>
      </w:pPr>
      <w:r>
        <w:t xml:space="preserve">When local data sources were unavailable, methodologies and insights from previous Australian costing studies were utilised, including approaches from the Australian Productivity Commission </w:t>
      </w:r>
      <w:r w:rsidR="00DB2449">
        <w:rPr>
          <w:noProof/>
          <w:color w:val="000000"/>
        </w:rPr>
        <w:t>(1999)</w:t>
      </w:r>
      <w:r>
        <w:t xml:space="preserve">, the VCEC (2012), and the study by Browne, Greer et al. </w:t>
      </w:r>
      <w:r w:rsidR="0038398B">
        <w:rPr>
          <w:noProof/>
          <w:color w:val="000000"/>
        </w:rPr>
        <w:t>(2017)</w:t>
      </w:r>
      <w:r>
        <w:t>. These studies offered frameworks and comparative data that informed our analysis.</w:t>
      </w:r>
    </w:p>
    <w:p w14:paraId="4D2F29CD" w14:textId="77777777" w:rsidR="00512558" w:rsidRDefault="00512558" w:rsidP="00512558">
      <w:pPr>
        <w:spacing w:line="360" w:lineRule="auto"/>
      </w:pPr>
    </w:p>
    <w:p w14:paraId="73CE0B3F" w14:textId="05F2E5B4" w:rsidR="00512558" w:rsidRDefault="00512558" w:rsidP="00367A8D">
      <w:pPr>
        <w:spacing w:line="360" w:lineRule="auto"/>
      </w:pPr>
      <w:r>
        <w:t>The analysis integrates data from multiple sources, which may not share uniform reporting periods. A core assumption is that all data reflect a full 12-month cycle, and minor misalignments between reporting periods do not materially impact the overall annual costings.</w:t>
      </w:r>
    </w:p>
    <w:p w14:paraId="024C3F56" w14:textId="77777777" w:rsidR="00DB689D" w:rsidRDefault="00310A10" w:rsidP="00367A8D">
      <w:pPr>
        <w:spacing w:line="360" w:lineRule="auto"/>
      </w:pPr>
      <w:r>
        <w:t xml:space="preserve"> </w:t>
      </w:r>
    </w:p>
    <w:p w14:paraId="42268555" w14:textId="77777777" w:rsidR="00DB689D" w:rsidRDefault="00310A10" w:rsidP="00367A8D">
      <w:pPr>
        <w:spacing w:line="360" w:lineRule="auto"/>
      </w:pPr>
      <w:r>
        <w:t>Cost items can be either tangible or intangible. Tangible costs, being directly measurable and quantifiable in monetary terms, include healthcare expenses and legal costs arising from gambling. Conversely, intangible costs, which often affect quality of life or emotional well-being, are more challenging to quantify financially. Proxies were used to estimate these indirect costs.</w:t>
      </w:r>
    </w:p>
    <w:p w14:paraId="5AD5E579" w14:textId="77777777" w:rsidR="00DB689D" w:rsidRDefault="00310A10" w:rsidP="00C30E1A">
      <w:pPr>
        <w:pStyle w:val="Heading3"/>
      </w:pPr>
      <w:bookmarkStart w:id="350" w:name="_colwa8ktylbo" w:colFirst="0" w:colLast="0"/>
      <w:bookmarkStart w:id="351" w:name="_Toc201572440"/>
      <w:bookmarkStart w:id="352" w:name="_Toc207195959"/>
      <w:bookmarkEnd w:id="350"/>
      <w:r>
        <w:t>Proxy for emotional harm</w:t>
      </w:r>
      <w:bookmarkEnd w:id="351"/>
      <w:bookmarkEnd w:id="352"/>
    </w:p>
    <w:p w14:paraId="255463EC" w14:textId="4A916038" w:rsidR="00DB689D" w:rsidRDefault="00310A10" w:rsidP="00367A8D">
      <w:pPr>
        <w:spacing w:line="360" w:lineRule="auto"/>
      </w:pPr>
      <w:r>
        <w:t xml:space="preserve">The current study adopts a proxy for emotional distress identified by the Privacy Commissioner of New Zealand (Warburton, 2021) for emotional harm resulting from privacy breaches. The lowest of the three identified bands ($10,000, $50,000, and over $50,000) was applied as a proxy for emotional harm. This approach allows for the acknowledgment and approximation of these impacts, even when direct measurement is impossible. For some cost items, this amount has been increased to $25,000 to identify an upper bound. This figure represents the upper end of the general range for most successful claims. These proxies are considered relatively conservative. For context, the Human Rights Tribunal of New Zealand has awarded amounts for pain and suffering associated with ‘emotional harm,’ ranging from $2,000 for ‘injury to feelings’ to $60,000 for ‘humiliation, loss of dignity and injury to feelings’ </w:t>
      </w:r>
      <w:r w:rsidR="0038398B">
        <w:rPr>
          <w:noProof/>
          <w:color w:val="000000"/>
        </w:rPr>
        <w:t>(Human Rights Review Tribunal, 2025)</w:t>
      </w:r>
      <w:r>
        <w:t>.</w:t>
      </w:r>
    </w:p>
    <w:p w14:paraId="318A188C" w14:textId="77777777" w:rsidR="00DB689D" w:rsidRDefault="00310A10" w:rsidP="00C30E1A">
      <w:pPr>
        <w:pStyle w:val="Heading3"/>
      </w:pPr>
      <w:bookmarkStart w:id="353" w:name="_lpmvymxx63e9" w:colFirst="0" w:colLast="0"/>
      <w:bookmarkStart w:id="354" w:name="_Toc201572441"/>
      <w:bookmarkStart w:id="355" w:name="_Toc207195960"/>
      <w:bookmarkEnd w:id="353"/>
      <w:r>
        <w:t>Proxy for YLD (years lived with disability)</w:t>
      </w:r>
      <w:bookmarkEnd w:id="354"/>
      <w:bookmarkEnd w:id="355"/>
    </w:p>
    <w:p w14:paraId="19DC7519" w14:textId="376328D1" w:rsidR="00DB689D" w:rsidRDefault="00310A10" w:rsidP="00367A8D">
      <w:pPr>
        <w:spacing w:line="360" w:lineRule="auto"/>
      </w:pPr>
      <w:r>
        <w:t xml:space="preserve">Several recognised approaches exist for valuing a YLD. Two commonly used methods are the Value of a Statistical Life Year (VoSLY) and GDP per capita-based estimates. VoSLY represents an estimate of 'the value society places on reducing the risk of premature death by one year' </w:t>
      </w:r>
      <w:r w:rsidR="0038398B">
        <w:rPr>
          <w:noProof/>
          <w:color w:val="000000"/>
        </w:rPr>
        <w:t>(Victoria Institute of Strategic Economic Studies, 2016, p. 16)</w:t>
      </w:r>
      <w:r>
        <w:t xml:space="preserve">. In New Zealand, the Land Transport Safety Authority identified the Value of a Statistical Life in 2004 as $2,725,000 </w:t>
      </w:r>
      <w:r w:rsidR="0038398B">
        <w:rPr>
          <w:noProof/>
          <w:color w:val="000000"/>
        </w:rPr>
        <w:t>(O’Dea &amp; Tucker, 2005)</w:t>
      </w:r>
      <w:r>
        <w:t xml:space="preserve">. In 2005, O’Dea and Tucker </w:t>
      </w:r>
      <w:r w:rsidR="0038398B">
        <w:rPr>
          <w:noProof/>
          <w:color w:val="000000"/>
        </w:rPr>
        <w:t>(2005)</w:t>
      </w:r>
      <w:r>
        <w:t xml:space="preserve"> used this figure to derive a VoSLY estimate of $61,603 (equivalent to $98,775 in 2024). This method has since been used in subsequent New Zealand studies </w:t>
      </w:r>
      <w:r w:rsidR="0038398B">
        <w:rPr>
          <w:noProof/>
          <w:color w:val="000000"/>
        </w:rPr>
        <w:t>(Kahui &amp; Snively, 2014; e.g., Reid et al., 2022; Victoria Institute of Strategic Economic Studies, 2016)</w:t>
      </w:r>
      <w:r>
        <w:t xml:space="preserve">. For example, a 2014 report, </w:t>
      </w:r>
      <w:r>
        <w:rPr>
          <w:i/>
        </w:rPr>
        <w:t>The Economic Cost of Child Abuse and Intimate Partner Violence to New Zealand</w:t>
      </w:r>
      <w:r>
        <w:t xml:space="preserve"> </w:t>
      </w:r>
      <w:r w:rsidR="0038398B">
        <w:rPr>
          <w:noProof/>
          <w:color w:val="000000"/>
        </w:rPr>
        <w:t>(Kahui &amp; Snively, 2014)</w:t>
      </w:r>
      <w:r>
        <w:t xml:space="preserve">, a used a VoSLY of $181,652 based on </w:t>
      </w:r>
      <w:r w:rsidR="002B4EA6">
        <w:t>a</w:t>
      </w:r>
      <w:r>
        <w:t xml:space="preserve"> 2013 estimation from the Ministry of Transport. According to O’Dea and Tucker, one limitation of the VoSLY method is its assumption that all life years hold equal value, irrespective of age or other personal characteristics. In reality, community preferences often suggest that greater value is placed on preserving younger life years. Consequently, the VoSLY approach may underestimate the cost of harms that disproportionately affect younger individuals.</w:t>
      </w:r>
    </w:p>
    <w:p w14:paraId="39850970" w14:textId="77777777" w:rsidR="00DB689D" w:rsidRDefault="00DB689D" w:rsidP="00367A8D">
      <w:pPr>
        <w:spacing w:line="360" w:lineRule="auto"/>
      </w:pPr>
    </w:p>
    <w:p w14:paraId="3FC7E0DC" w14:textId="34887258" w:rsidR="00DB689D" w:rsidRDefault="00310A10" w:rsidP="00367A8D">
      <w:pPr>
        <w:spacing w:line="360" w:lineRule="auto"/>
      </w:pPr>
      <w:r>
        <w:t xml:space="preserve">An alternative approach, adopted by international bodies like the World Health Organization and the World Bank, involves estimating the value of a life year (VLY) as a proportion of a nation's GDP per capita. This technique has been applied in assessing the economic burden of mental health conditions </w:t>
      </w:r>
      <w:r w:rsidR="0038398B">
        <w:rPr>
          <w:noProof/>
          <w:color w:val="000000"/>
        </w:rPr>
        <w:t>(e.g., Arias et al., 2022)</w:t>
      </w:r>
      <w:r>
        <w:t>. The World Health Organization suggests using a range of one to three times GDP per capita to establish plausible lower and upper bounds (Robinson et al., 2017). However, a systematic review by Lino et al. (2022) proposed a narrower valuation range of 0.5 to 1.5 times GDP per capita.</w:t>
      </w:r>
    </w:p>
    <w:p w14:paraId="720A2339" w14:textId="77777777" w:rsidR="00DB689D" w:rsidRDefault="00DB689D" w:rsidP="00367A8D">
      <w:pPr>
        <w:spacing w:line="360" w:lineRule="auto"/>
      </w:pPr>
    </w:p>
    <w:p w14:paraId="09F6309B" w14:textId="0D85174D" w:rsidR="00DB689D" w:rsidRDefault="00310A10" w:rsidP="00367A8D">
      <w:pPr>
        <w:spacing w:line="360" w:lineRule="auto"/>
      </w:pPr>
      <w:r>
        <w:t xml:space="preserve">The two Social Cost of Gambling to Victoria studies </w:t>
      </w:r>
      <w:r w:rsidR="00DB2449">
        <w:rPr>
          <w:noProof/>
          <w:color w:val="000000"/>
        </w:rPr>
        <w:t>(</w:t>
      </w:r>
      <w:r w:rsidR="002A3095">
        <w:rPr>
          <w:noProof/>
          <w:color w:val="000000"/>
        </w:rPr>
        <w:t>Browne, Greer et al., 2017</w:t>
      </w:r>
      <w:r w:rsidR="00DB2449">
        <w:rPr>
          <w:noProof/>
          <w:color w:val="000000"/>
        </w:rPr>
        <w:t>; Browne, Tulloch, Rawat, et al., 2025)</w:t>
      </w:r>
      <w:r>
        <w:t xml:space="preserve"> use GDP per capita as a proxy to value YLD. For the current study, the GDP per capita method was chosen because it is more conservative and current than VoSLY, and it has a published methodology for establishing plausible upper and lower bounds </w:t>
      </w:r>
      <w:r w:rsidR="00DB2449">
        <w:rPr>
          <w:noProof/>
          <w:color w:val="000000"/>
        </w:rPr>
        <w:t>(Iino et al., 2022)</w:t>
      </w:r>
      <w:r>
        <w:t xml:space="preserve">. Therefore, the central estimate used in the current study is based on New Zealand’s GDP per capita ($78,613) </w:t>
      </w:r>
      <w:r w:rsidR="00DB2449">
        <w:rPr>
          <w:noProof/>
          <w:color w:val="000000"/>
        </w:rPr>
        <w:t>(World Bank Group, 2024)</w:t>
      </w:r>
      <w:r>
        <w:t xml:space="preserve">. Following </w:t>
      </w:r>
      <w:r w:rsidR="00AF04C9">
        <w:t>L</w:t>
      </w:r>
      <w:r>
        <w:t xml:space="preserve">ino et al. 's </w:t>
      </w:r>
      <w:r w:rsidR="00DB2449">
        <w:rPr>
          <w:noProof/>
          <w:color w:val="000000"/>
        </w:rPr>
        <w:t>(2022)</w:t>
      </w:r>
      <w:r>
        <w:t xml:space="preserve"> recommendation, the study uses a lower bound of $39,306 and an upper bound of $117,919, representing </w:t>
      </w:r>
      <w:r w:rsidR="002B4EA6">
        <w:t>0.5- and 1.5-times</w:t>
      </w:r>
      <w:r>
        <w:t xml:space="preserve"> GDP per capita, respectively.</w:t>
      </w:r>
    </w:p>
    <w:p w14:paraId="2F24C513" w14:textId="77777777" w:rsidR="00DB689D" w:rsidRDefault="00310A10" w:rsidP="00C30E1A">
      <w:pPr>
        <w:pStyle w:val="Heading3"/>
      </w:pPr>
      <w:bookmarkStart w:id="356" w:name="_kuanpwqbw9it" w:colFirst="0" w:colLast="0"/>
      <w:bookmarkStart w:id="357" w:name="_Toc201572442"/>
      <w:bookmarkStart w:id="358" w:name="_Toc207195961"/>
      <w:bookmarkEnd w:id="356"/>
      <w:r>
        <w:t>Costing opportunity costs of excessive spend</w:t>
      </w:r>
      <w:bookmarkEnd w:id="357"/>
      <w:bookmarkEnd w:id="358"/>
    </w:p>
    <w:p w14:paraId="30A92E50" w14:textId="77777777" w:rsidR="00DB689D" w:rsidRDefault="00310A10" w:rsidP="00367A8D">
      <w:pPr>
        <w:pStyle w:val="Heading4"/>
        <w:spacing w:line="360" w:lineRule="auto"/>
      </w:pPr>
      <w:bookmarkStart w:id="359" w:name="_uh8x6knxjmz3" w:colFirst="0" w:colLast="0"/>
      <w:bookmarkEnd w:id="359"/>
      <w:r>
        <w:t>Background and precedents</w:t>
      </w:r>
    </w:p>
    <w:p w14:paraId="656286AE" w14:textId="72F563F6" w:rsidR="00DB689D" w:rsidRDefault="00310A10" w:rsidP="00367A8D">
      <w:pPr>
        <w:spacing w:line="360" w:lineRule="auto"/>
      </w:pPr>
      <w:r>
        <w:t xml:space="preserve">This costing adopts the methodology and rationale from prior studies, treating the difference in average spending between people categorised as non-problem gambling and at-risk gambling as 'excessive' expenditure </w:t>
      </w:r>
      <w:r w:rsidR="0038398B">
        <w:rPr>
          <w:noProof/>
          <w:color w:val="000000"/>
        </w:rPr>
        <w:t>(</w:t>
      </w:r>
      <w:r w:rsidR="002A3095">
        <w:rPr>
          <w:noProof/>
          <w:color w:val="000000"/>
        </w:rPr>
        <w:t>Browne, Greer et al., 2017</w:t>
      </w:r>
      <w:r w:rsidR="0038398B">
        <w:rPr>
          <w:noProof/>
          <w:color w:val="000000"/>
        </w:rPr>
        <w:t>; Productivity Commission, 1999; Victorian Competition and Efficiency Commission, 2012)</w:t>
      </w:r>
      <w:r>
        <w:t>. This process involves combining self-reported spending data from gambling prevalence surveys with industry-reported total losses from people who gamble.</w:t>
      </w:r>
    </w:p>
    <w:p w14:paraId="0FD5B654" w14:textId="77777777" w:rsidR="00DB689D" w:rsidRDefault="00DB689D" w:rsidP="00367A8D">
      <w:pPr>
        <w:spacing w:line="360" w:lineRule="auto"/>
      </w:pPr>
    </w:p>
    <w:p w14:paraId="14C06453" w14:textId="61C54545" w:rsidR="00DB689D" w:rsidRDefault="00310A10" w:rsidP="00367A8D">
      <w:pPr>
        <w:spacing w:line="360" w:lineRule="auto"/>
      </w:pPr>
      <w:r>
        <w:t xml:space="preserve">Appendix H of the Victorian Competition and Efficiency Commission's report </w:t>
      </w:r>
      <w:r w:rsidR="006B5094">
        <w:t>(</w:t>
      </w:r>
      <w:r w:rsidR="006B5094">
        <w:rPr>
          <w:noProof/>
          <w:color w:val="000000"/>
        </w:rPr>
        <w:t xml:space="preserve">Victorian Competition and Efficiency Commission, 2012) </w:t>
      </w:r>
      <w:r>
        <w:t>provides a comprehensive justification for its methodological approach to calculating the economic costs of excessive gambling expenditure by people categorised as problem gambling in Victoria.</w:t>
      </w:r>
    </w:p>
    <w:p w14:paraId="33D57349" w14:textId="77777777" w:rsidR="00DB689D" w:rsidRDefault="00DB689D" w:rsidP="00367A8D">
      <w:pPr>
        <w:spacing w:line="360" w:lineRule="auto"/>
      </w:pPr>
    </w:p>
    <w:p w14:paraId="1EB474AA" w14:textId="7E5387A8" w:rsidR="00DB689D" w:rsidRDefault="00310A10" w:rsidP="00367A8D">
      <w:pPr>
        <w:spacing w:line="360" w:lineRule="auto"/>
      </w:pPr>
      <w:r>
        <w:t xml:space="preserve">The VCEC's approach is fundamentally based on the framework established by the Productivity Commission's </w:t>
      </w:r>
      <w:r w:rsidR="0038398B">
        <w:rPr>
          <w:noProof/>
          <w:color w:val="000000"/>
        </w:rPr>
        <w:t>(1999)</w:t>
      </w:r>
      <w:r>
        <w:t xml:space="preserve"> inquiry report. This framework compares 'normal' gambling expenditure (defined as the average amount spent by people categorised as non-problem gambling) with the estimated actual expenditure of individuals classified as problem gambling. The difference between these figures is termed excessive expenditure, which is then translated into economic cost estimates using consumer surplus calculations.</w:t>
      </w:r>
    </w:p>
    <w:p w14:paraId="0BEC59A1" w14:textId="77777777" w:rsidR="00DB689D" w:rsidRDefault="00DB689D" w:rsidP="00367A8D">
      <w:pPr>
        <w:spacing w:line="360" w:lineRule="auto"/>
      </w:pPr>
    </w:p>
    <w:p w14:paraId="05372DFD" w14:textId="35B149AB" w:rsidR="00DB689D" w:rsidRDefault="00310A10" w:rsidP="00367A8D">
      <w:pPr>
        <w:spacing w:line="360" w:lineRule="auto"/>
      </w:pPr>
      <w:r>
        <w:t xml:space="preserve">Although acknowledging certain critiques of this methodology, the VCEC emphasised that the Productivity Commission's </w:t>
      </w:r>
      <w:r w:rsidR="0038398B">
        <w:rPr>
          <w:noProof/>
          <w:color w:val="000000"/>
        </w:rPr>
        <w:t>(1999)</w:t>
      </w:r>
      <w:r>
        <w:t xml:space="preserve"> framework had served as a reference point for numerous subsequent research initiatives, including a 2011 investigation into the Economic and Social Impacts of Gambling in Tasmania. Lacking a demonstrably superior methodological alternative, the VCEC determined that the Productivity Commission's approach provided an appropriate foundation for its analysis.</w:t>
      </w:r>
    </w:p>
    <w:p w14:paraId="30EBF4BD" w14:textId="77777777" w:rsidR="00DB689D" w:rsidRDefault="00DB689D" w:rsidP="00367A8D">
      <w:pPr>
        <w:spacing w:line="360" w:lineRule="auto"/>
      </w:pPr>
    </w:p>
    <w:p w14:paraId="6718C87B" w14:textId="77777777" w:rsidR="00DB689D" w:rsidRDefault="00310A10" w:rsidP="00367A8D">
      <w:pPr>
        <w:spacing w:line="360" w:lineRule="auto"/>
      </w:pPr>
      <w:r>
        <w:t>The VCEC acknowledged objections from gambling industry stakeholders regarding elements of the Productivity Commission's methodology. For example, Clubs Australia argued that many underlying assumptions in the Productivity Commission's calculations were invalid. Nevertheless, the VCEC concluded that, with certain modifications, the Productivity Commission's approach offered a reasonable basis for estimating the economic costs of excessive gambling expenditure by people categorised as problem gambling, considering the available data constraints. To address uncertainties about key inputs and assumptions, the VCEC implemented sensitivity analysis, which involved testing various expenditure share assumptions for those categorised as problem gambling, as well as different levels of what constitutes 'normal' expenditure. The VCEC found that expenditure share assumptions most significantly influenced the results and, consequently, reported a range of cost estimates to reflect this uncertainty.</w:t>
      </w:r>
    </w:p>
    <w:p w14:paraId="3CCFFE03" w14:textId="77777777" w:rsidR="00DB689D" w:rsidRDefault="00DB689D" w:rsidP="00367A8D">
      <w:pPr>
        <w:spacing w:line="360" w:lineRule="auto"/>
      </w:pPr>
    </w:p>
    <w:p w14:paraId="12507F13" w14:textId="77777777" w:rsidR="00DB689D" w:rsidRDefault="00310A10" w:rsidP="00367A8D">
      <w:pPr>
        <w:spacing w:line="360" w:lineRule="auto"/>
      </w:pPr>
      <w:r>
        <w:t>The VCEC ultimately calculated the economic cost of excessive gambling expenditure to be between $1 billion and $1.4 billion in 2010-11. In a comparable analysis, Browne et al. (2017) estimated excessive expenditure costs in Victoria at $1.06 billion for 2017, based on 2014 prevalence survey data. This 2017 assessment refined the methodology by including low-risk and moderate-risk groups in addition to people categorised as problem gambling, thereby covering the full spectrum of gambling-related issues. However, the researchers discounted the costs for all groups based on the correlation between expenditure and self-reported financial gambling harms. This resulted in discounts of 90% for people categorised as problem gambling, 80% for moderate-risk gambling, and 40% for low-risk gambling. These discounts recognise that people classified as at-risk gambling might derive additional utility from their excessive expenditure compared to non-problem gambling, but this utility proportion, or 'value for money’, tends to diminish as gambling problems worsen.</w:t>
      </w:r>
    </w:p>
    <w:p w14:paraId="3527C868" w14:textId="77777777" w:rsidR="00DB689D" w:rsidRDefault="00DB689D" w:rsidP="00367A8D">
      <w:pPr>
        <w:spacing w:line="360" w:lineRule="auto"/>
      </w:pPr>
    </w:p>
    <w:p w14:paraId="524002B7" w14:textId="77777777" w:rsidR="00DB689D" w:rsidRDefault="00310A10" w:rsidP="00367A8D">
      <w:pPr>
        <w:spacing w:line="360" w:lineRule="auto"/>
      </w:pPr>
      <w:r>
        <w:t>This refined approach provides greater methodological coherence. If the average expenditure of a person categorised as non-problem gambling sets a baseline for 'reasonable' spending, and people categorised as low-risk and moderate-risk gambling spend substantially more while also reporting increased financial harms compared to non-problem gambling, excluding them from cost calculations becomes difficult to justify. Conversely, if only the excessive expenditure of problem gambling is considered, and the spending of low-risk and moderate-risk gambling is not classified as 'excessive,' it is problematic to justify costing the difference between problem gambling and non-problem gambling instead of relating it to low-risk or moderate-risk averages.</w:t>
      </w:r>
    </w:p>
    <w:p w14:paraId="7CB50483" w14:textId="77777777" w:rsidR="00DB689D" w:rsidRDefault="00310A10" w:rsidP="00367A8D">
      <w:pPr>
        <w:pStyle w:val="Heading4"/>
        <w:spacing w:line="360" w:lineRule="auto"/>
      </w:pPr>
      <w:bookmarkStart w:id="360" w:name="_e99u904qxkrh" w:colFirst="0" w:colLast="0"/>
      <w:bookmarkEnd w:id="360"/>
      <w:r>
        <w:t xml:space="preserve">Amended approach for New Zealand </w:t>
      </w:r>
    </w:p>
    <w:p w14:paraId="477B1438" w14:textId="77777777" w:rsidR="00DB689D" w:rsidRDefault="00310A10" w:rsidP="00367A8D">
      <w:pPr>
        <w:spacing w:line="360" w:lineRule="auto"/>
      </w:pPr>
      <w:r>
        <w:t>The core conceptual framework for estimating excessive spending, to be treated as an opportunity cost, involves integrating three sources of information:</w:t>
      </w:r>
    </w:p>
    <w:p w14:paraId="57C38122" w14:textId="77777777" w:rsidR="00DB689D" w:rsidRDefault="00310A10" w:rsidP="00645029">
      <w:pPr>
        <w:numPr>
          <w:ilvl w:val="0"/>
          <w:numId w:val="43"/>
        </w:numPr>
        <w:spacing w:line="360" w:lineRule="auto"/>
      </w:pPr>
      <w:r>
        <w:t>The total prevalence of non-problem gambling, low-risk gambling, moderate-risk gambling, and problem gambling</w:t>
      </w:r>
    </w:p>
    <w:p w14:paraId="023DD890" w14:textId="77777777" w:rsidR="00DB689D" w:rsidRDefault="00310A10" w:rsidP="00645029">
      <w:pPr>
        <w:numPr>
          <w:ilvl w:val="0"/>
          <w:numId w:val="43"/>
        </w:numPr>
        <w:spacing w:line="360" w:lineRule="auto"/>
      </w:pPr>
      <w:r>
        <w:t>The average self-reported spending by each group</w:t>
      </w:r>
    </w:p>
    <w:p w14:paraId="19A9AC4F" w14:textId="77777777" w:rsidR="00DB689D" w:rsidRDefault="00310A10" w:rsidP="00645029">
      <w:pPr>
        <w:numPr>
          <w:ilvl w:val="0"/>
          <w:numId w:val="43"/>
        </w:numPr>
        <w:spacing w:line="360" w:lineRule="auto"/>
      </w:pPr>
      <w:r>
        <w:t>Total losses, as reported by industry financial reports</w:t>
      </w:r>
    </w:p>
    <w:p w14:paraId="1D441BAF" w14:textId="77777777" w:rsidR="00DB689D" w:rsidRDefault="00DB689D" w:rsidP="00367A8D">
      <w:pPr>
        <w:spacing w:line="360" w:lineRule="auto"/>
      </w:pPr>
    </w:p>
    <w:p w14:paraId="58E6CFE8" w14:textId="77777777" w:rsidR="00DB689D" w:rsidRDefault="00310A10" w:rsidP="00367A8D">
      <w:pPr>
        <w:spacing w:line="360" w:lineRule="auto"/>
      </w:pPr>
      <w:r>
        <w:t>In this framework, the total share of losses is allocated among population-weighted estimates of people in each category, based on the average spending in each group.</w:t>
      </w:r>
    </w:p>
    <w:p w14:paraId="316A691C" w14:textId="77777777" w:rsidR="00DB689D" w:rsidRDefault="00310A10" w:rsidP="00367A8D">
      <w:pPr>
        <w:spacing w:line="360" w:lineRule="auto"/>
      </w:pPr>
      <w:r>
        <w:t>Unfortunately, high-quality self-report data on individual spending is unavailable in the most recent NZGS (2023/24). Although questions on expenditure were included, the response format utilised a four-level Likert scale rather than requiring a specific estimate of individual expenditure that could be converted to per-annum spending. Thus, while components (1) and (3) mentioned above are available from local sources, a reliable local estimate for component (2) is lacking. Crucially, total spending is scaled by total gambling losses (component 3), as financial reports are far more reliable than extrapolated self-reported losses from the survey sample. Therefore, only the average relative spending of individuals in each gambling category affects the calculation. The core assumption is that any bias in self-reported spending (typically downward) is proportional to the reported figure. In other words, this approach assumes that people categorised as at-risk or problem gambling underestimate their losses at a proportional rate similar to that of those categorised as non-problem gambling. Relatively little research has investigated whether this is a sound assumption, and there appear to be no empirical or strong theoretical arguments favouring a differential reporting bias.</w:t>
      </w:r>
    </w:p>
    <w:p w14:paraId="5A4F1596" w14:textId="77777777" w:rsidR="00DB689D" w:rsidRDefault="00DB689D" w:rsidP="00367A8D">
      <w:pPr>
        <w:spacing w:line="360" w:lineRule="auto"/>
      </w:pPr>
    </w:p>
    <w:p w14:paraId="26FC0119" w14:textId="40763074" w:rsidR="00DB689D" w:rsidRDefault="00310A10" w:rsidP="00367A8D">
      <w:pPr>
        <w:spacing w:line="360" w:lineRule="auto"/>
      </w:pPr>
      <w:r>
        <w:t>Given the lack of self-reported spending data for New Zealand, self-reported spending figures from Australian jurisdictions with recent expenditure data were compiled to assess consistency in the average spending of those classified as at-risk gambling compared to non-problem gambling. This analysis is summarised in</w:t>
      </w:r>
      <w:r w:rsidR="00CF48ED">
        <w:t xml:space="preserve"> Table </w:t>
      </w:r>
      <w:r w:rsidR="00757932">
        <w:t xml:space="preserve">4 </w:t>
      </w:r>
      <w:r>
        <w:t>below.</w:t>
      </w:r>
    </w:p>
    <w:p w14:paraId="3F8700F2" w14:textId="77777777" w:rsidR="00CF48ED" w:rsidRDefault="00CF48ED" w:rsidP="00367A8D">
      <w:pPr>
        <w:spacing w:line="360" w:lineRule="auto"/>
      </w:pPr>
    </w:p>
    <w:p w14:paraId="515D609C" w14:textId="6DAC0419" w:rsidR="00CF48ED" w:rsidRPr="00DB094D" w:rsidRDefault="00CF48ED" w:rsidP="00DB094D">
      <w:pPr>
        <w:pStyle w:val="Caption"/>
      </w:pPr>
      <w:bookmarkStart w:id="361" w:name="_Toc207619046"/>
      <w:r w:rsidRPr="00DB094D">
        <w:t xml:space="preserve">Table </w:t>
      </w:r>
      <w:r w:rsidRPr="00DB094D">
        <w:fldChar w:fldCharType="begin"/>
      </w:r>
      <w:r w:rsidRPr="00DB094D">
        <w:instrText xml:space="preserve"> SEQ Table \* ARABIC </w:instrText>
      </w:r>
      <w:r w:rsidRPr="00DB094D">
        <w:fldChar w:fldCharType="separate"/>
      </w:r>
      <w:r w:rsidR="00986A0D">
        <w:rPr>
          <w:noProof/>
        </w:rPr>
        <w:t>4</w:t>
      </w:r>
      <w:r w:rsidRPr="00DB094D">
        <w:fldChar w:fldCharType="end"/>
      </w:r>
      <w:r w:rsidRPr="00DB094D">
        <w:t>. Comparison of at-risk gambling spend relative to non-problem gambling spend across Australian jurisdictions</w:t>
      </w:r>
      <w:bookmarkEnd w:id="361"/>
    </w:p>
    <w:tbl>
      <w:tblPr>
        <w:tblStyle w:val="TableGridLight"/>
        <w:tblW w:w="5000" w:type="pct"/>
        <w:tblLook w:val="0600" w:firstRow="0" w:lastRow="0" w:firstColumn="0" w:lastColumn="0" w:noHBand="1" w:noVBand="1"/>
      </w:tblPr>
      <w:tblGrid>
        <w:gridCol w:w="1606"/>
        <w:gridCol w:w="1468"/>
        <w:gridCol w:w="1608"/>
        <w:gridCol w:w="1465"/>
        <w:gridCol w:w="1612"/>
        <w:gridCol w:w="1558"/>
      </w:tblGrid>
      <w:tr w:rsidR="00CF48ED" w:rsidRPr="00DD0432" w14:paraId="0415A2B4" w14:textId="77777777">
        <w:trPr>
          <w:trHeight w:val="397"/>
        </w:trPr>
        <w:tc>
          <w:tcPr>
            <w:tcW w:w="862" w:type="pct"/>
            <w:vMerge w:val="restart"/>
            <w:vAlign w:val="center"/>
          </w:tcPr>
          <w:p w14:paraId="0650192B" w14:textId="77777777" w:rsidR="00CF48ED" w:rsidRPr="00DD0432" w:rsidRDefault="00CF48ED">
            <w:pPr>
              <w:spacing w:line="276" w:lineRule="auto"/>
            </w:pPr>
            <w:r w:rsidRPr="00DD0432">
              <w:rPr>
                <w:sz w:val="20"/>
                <w:szCs w:val="20"/>
              </w:rPr>
              <w:t xml:space="preserve"> </w:t>
            </w:r>
          </w:p>
        </w:tc>
        <w:tc>
          <w:tcPr>
            <w:tcW w:w="4138" w:type="pct"/>
            <w:gridSpan w:val="5"/>
            <w:shd w:val="clear" w:color="auto" w:fill="F2F2F2" w:themeFill="background1" w:themeFillShade="F2"/>
            <w:vAlign w:val="center"/>
          </w:tcPr>
          <w:p w14:paraId="49E22797" w14:textId="77777777" w:rsidR="00CF48ED" w:rsidRPr="00274583" w:rsidRDefault="00CF48ED">
            <w:pPr>
              <w:spacing w:line="276" w:lineRule="auto"/>
              <w:jc w:val="center"/>
              <w:rPr>
                <w:b/>
                <w:bCs/>
              </w:rPr>
            </w:pPr>
            <w:r w:rsidRPr="00274583">
              <w:rPr>
                <w:b/>
                <w:bCs/>
                <w:sz w:val="20"/>
                <w:szCs w:val="20"/>
              </w:rPr>
              <w:t>Average per person spend as a multiple of NPG spend</w:t>
            </w:r>
          </w:p>
        </w:tc>
      </w:tr>
      <w:tr w:rsidR="00CF48ED" w:rsidRPr="00DD0432" w14:paraId="7E65AE14" w14:textId="77777777">
        <w:trPr>
          <w:trHeight w:val="397"/>
        </w:trPr>
        <w:tc>
          <w:tcPr>
            <w:tcW w:w="862" w:type="pct"/>
            <w:vMerge/>
            <w:vAlign w:val="center"/>
          </w:tcPr>
          <w:p w14:paraId="4D0F7482" w14:textId="77777777" w:rsidR="00CF48ED" w:rsidRPr="00DD0432" w:rsidRDefault="00CF48ED">
            <w:pPr>
              <w:spacing w:line="276" w:lineRule="auto"/>
            </w:pPr>
          </w:p>
        </w:tc>
        <w:tc>
          <w:tcPr>
            <w:tcW w:w="788" w:type="pct"/>
            <w:shd w:val="clear" w:color="auto" w:fill="F2F2F2" w:themeFill="background1" w:themeFillShade="F2"/>
            <w:vAlign w:val="center"/>
          </w:tcPr>
          <w:p w14:paraId="64F58401" w14:textId="77777777" w:rsidR="00CF48ED" w:rsidRPr="00274583" w:rsidRDefault="00CF48ED">
            <w:pPr>
              <w:spacing w:line="276" w:lineRule="auto"/>
              <w:jc w:val="center"/>
              <w:rPr>
                <w:b/>
                <w:bCs/>
              </w:rPr>
            </w:pPr>
            <w:r w:rsidRPr="00274583">
              <w:rPr>
                <w:b/>
                <w:bCs/>
                <w:sz w:val="20"/>
                <w:szCs w:val="20"/>
              </w:rPr>
              <w:t>NSW</w:t>
            </w:r>
          </w:p>
        </w:tc>
        <w:tc>
          <w:tcPr>
            <w:tcW w:w="863" w:type="pct"/>
            <w:shd w:val="clear" w:color="auto" w:fill="F2F2F2" w:themeFill="background1" w:themeFillShade="F2"/>
            <w:vAlign w:val="center"/>
          </w:tcPr>
          <w:p w14:paraId="39D5FFF7" w14:textId="77777777" w:rsidR="00CF48ED" w:rsidRPr="00274583" w:rsidRDefault="00CF48ED">
            <w:pPr>
              <w:spacing w:line="276" w:lineRule="auto"/>
              <w:jc w:val="center"/>
              <w:rPr>
                <w:b/>
                <w:bCs/>
              </w:rPr>
            </w:pPr>
            <w:r w:rsidRPr="00274583">
              <w:rPr>
                <w:b/>
                <w:bCs/>
                <w:sz w:val="20"/>
                <w:szCs w:val="20"/>
              </w:rPr>
              <w:t>ACT</w:t>
            </w:r>
          </w:p>
        </w:tc>
        <w:tc>
          <w:tcPr>
            <w:tcW w:w="786" w:type="pct"/>
            <w:shd w:val="clear" w:color="auto" w:fill="F2F2F2" w:themeFill="background1" w:themeFillShade="F2"/>
            <w:vAlign w:val="center"/>
          </w:tcPr>
          <w:p w14:paraId="61C98C42" w14:textId="77777777" w:rsidR="00CF48ED" w:rsidRPr="00274583" w:rsidRDefault="00CF48ED">
            <w:pPr>
              <w:spacing w:line="276" w:lineRule="auto"/>
              <w:jc w:val="center"/>
              <w:rPr>
                <w:b/>
                <w:bCs/>
              </w:rPr>
            </w:pPr>
            <w:r w:rsidRPr="00274583">
              <w:rPr>
                <w:b/>
                <w:bCs/>
                <w:sz w:val="20"/>
                <w:szCs w:val="20"/>
              </w:rPr>
              <w:t>VIC</w:t>
            </w:r>
          </w:p>
        </w:tc>
        <w:tc>
          <w:tcPr>
            <w:tcW w:w="865" w:type="pct"/>
            <w:shd w:val="clear" w:color="auto" w:fill="F2F2F2" w:themeFill="background1" w:themeFillShade="F2"/>
            <w:vAlign w:val="center"/>
          </w:tcPr>
          <w:p w14:paraId="0C169E8A" w14:textId="77777777" w:rsidR="00CF48ED" w:rsidRPr="00274583" w:rsidRDefault="00CF48ED">
            <w:pPr>
              <w:spacing w:line="276" w:lineRule="auto"/>
              <w:jc w:val="center"/>
              <w:rPr>
                <w:b/>
                <w:bCs/>
              </w:rPr>
            </w:pPr>
            <w:r w:rsidRPr="00274583">
              <w:rPr>
                <w:b/>
                <w:bCs/>
                <w:sz w:val="20"/>
                <w:szCs w:val="20"/>
              </w:rPr>
              <w:t>TAS</w:t>
            </w:r>
          </w:p>
        </w:tc>
        <w:tc>
          <w:tcPr>
            <w:tcW w:w="836" w:type="pct"/>
            <w:shd w:val="clear" w:color="auto" w:fill="F2F2F2" w:themeFill="background1" w:themeFillShade="F2"/>
            <w:vAlign w:val="center"/>
          </w:tcPr>
          <w:p w14:paraId="5ACCD073" w14:textId="77777777" w:rsidR="00CF48ED" w:rsidRPr="00274583" w:rsidRDefault="00CF48ED">
            <w:pPr>
              <w:spacing w:line="276" w:lineRule="auto"/>
              <w:jc w:val="center"/>
              <w:rPr>
                <w:b/>
                <w:bCs/>
              </w:rPr>
            </w:pPr>
            <w:r w:rsidRPr="00274583">
              <w:rPr>
                <w:b/>
                <w:bCs/>
                <w:sz w:val="20"/>
                <w:szCs w:val="20"/>
              </w:rPr>
              <w:t>Average</w:t>
            </w:r>
          </w:p>
        </w:tc>
      </w:tr>
      <w:tr w:rsidR="00CF48ED" w:rsidRPr="00DD0432" w14:paraId="1DB41C96" w14:textId="77777777">
        <w:trPr>
          <w:trHeight w:val="397"/>
        </w:trPr>
        <w:tc>
          <w:tcPr>
            <w:tcW w:w="862" w:type="pct"/>
            <w:vAlign w:val="center"/>
          </w:tcPr>
          <w:p w14:paraId="1DD44175" w14:textId="77777777" w:rsidR="00CF48ED" w:rsidRPr="00A83FE7" w:rsidRDefault="00CF48ED">
            <w:pPr>
              <w:spacing w:line="276" w:lineRule="auto"/>
              <w:rPr>
                <w:sz w:val="20"/>
                <w:szCs w:val="20"/>
              </w:rPr>
            </w:pPr>
            <w:r w:rsidRPr="00A83FE7">
              <w:rPr>
                <w:sz w:val="20"/>
                <w:szCs w:val="20"/>
              </w:rPr>
              <w:t>NPG</w:t>
            </w:r>
          </w:p>
        </w:tc>
        <w:tc>
          <w:tcPr>
            <w:tcW w:w="788" w:type="pct"/>
            <w:vAlign w:val="center"/>
          </w:tcPr>
          <w:p w14:paraId="72DFF9A5" w14:textId="77777777" w:rsidR="00CF48ED" w:rsidRPr="00DD0432" w:rsidRDefault="00CF48ED">
            <w:pPr>
              <w:spacing w:line="276" w:lineRule="auto"/>
              <w:jc w:val="right"/>
              <w:rPr>
                <w:sz w:val="20"/>
                <w:szCs w:val="20"/>
              </w:rPr>
            </w:pPr>
            <w:r w:rsidRPr="00DD0432">
              <w:rPr>
                <w:sz w:val="20"/>
                <w:szCs w:val="20"/>
              </w:rPr>
              <w:t>1</w:t>
            </w:r>
          </w:p>
        </w:tc>
        <w:tc>
          <w:tcPr>
            <w:tcW w:w="863" w:type="pct"/>
            <w:vAlign w:val="center"/>
          </w:tcPr>
          <w:p w14:paraId="15792E79" w14:textId="77777777" w:rsidR="00CF48ED" w:rsidRPr="00DD0432" w:rsidRDefault="00CF48ED">
            <w:pPr>
              <w:spacing w:line="276" w:lineRule="auto"/>
              <w:jc w:val="right"/>
              <w:rPr>
                <w:sz w:val="20"/>
                <w:szCs w:val="20"/>
              </w:rPr>
            </w:pPr>
            <w:r w:rsidRPr="00DD0432">
              <w:rPr>
                <w:sz w:val="20"/>
                <w:szCs w:val="20"/>
              </w:rPr>
              <w:t>1</w:t>
            </w:r>
          </w:p>
        </w:tc>
        <w:tc>
          <w:tcPr>
            <w:tcW w:w="786" w:type="pct"/>
            <w:vAlign w:val="center"/>
          </w:tcPr>
          <w:p w14:paraId="64F89146" w14:textId="77777777" w:rsidR="00CF48ED" w:rsidRPr="00DD0432" w:rsidRDefault="00CF48ED">
            <w:pPr>
              <w:spacing w:line="276" w:lineRule="auto"/>
              <w:jc w:val="right"/>
              <w:rPr>
                <w:sz w:val="20"/>
                <w:szCs w:val="20"/>
              </w:rPr>
            </w:pPr>
            <w:r w:rsidRPr="00DD0432">
              <w:rPr>
                <w:sz w:val="20"/>
                <w:szCs w:val="20"/>
              </w:rPr>
              <w:t>1</w:t>
            </w:r>
          </w:p>
        </w:tc>
        <w:tc>
          <w:tcPr>
            <w:tcW w:w="865" w:type="pct"/>
            <w:vAlign w:val="center"/>
          </w:tcPr>
          <w:p w14:paraId="2EEA28E9" w14:textId="77777777" w:rsidR="00CF48ED" w:rsidRPr="00DD0432" w:rsidRDefault="00CF48ED">
            <w:pPr>
              <w:spacing w:line="276" w:lineRule="auto"/>
              <w:jc w:val="right"/>
              <w:rPr>
                <w:sz w:val="20"/>
                <w:szCs w:val="20"/>
              </w:rPr>
            </w:pPr>
            <w:r w:rsidRPr="00DD0432">
              <w:rPr>
                <w:sz w:val="20"/>
                <w:szCs w:val="20"/>
              </w:rPr>
              <w:t>1</w:t>
            </w:r>
          </w:p>
        </w:tc>
        <w:tc>
          <w:tcPr>
            <w:tcW w:w="836" w:type="pct"/>
            <w:vAlign w:val="center"/>
          </w:tcPr>
          <w:p w14:paraId="68303D7F" w14:textId="77777777" w:rsidR="00CF48ED" w:rsidRPr="00DD0432" w:rsidRDefault="00CF48ED">
            <w:pPr>
              <w:spacing w:line="276" w:lineRule="auto"/>
              <w:jc w:val="right"/>
              <w:rPr>
                <w:sz w:val="20"/>
                <w:szCs w:val="20"/>
              </w:rPr>
            </w:pPr>
            <w:r w:rsidRPr="00DD0432">
              <w:rPr>
                <w:sz w:val="20"/>
                <w:szCs w:val="20"/>
              </w:rPr>
              <w:t>1</w:t>
            </w:r>
          </w:p>
        </w:tc>
      </w:tr>
      <w:tr w:rsidR="00CF48ED" w:rsidRPr="00DD0432" w14:paraId="477BF6D8" w14:textId="77777777">
        <w:trPr>
          <w:trHeight w:val="397"/>
        </w:trPr>
        <w:tc>
          <w:tcPr>
            <w:tcW w:w="862" w:type="pct"/>
            <w:vAlign w:val="center"/>
          </w:tcPr>
          <w:p w14:paraId="21B96C1A" w14:textId="77777777" w:rsidR="00CF48ED" w:rsidRPr="00A83FE7" w:rsidRDefault="00CF48ED">
            <w:pPr>
              <w:spacing w:line="276" w:lineRule="auto"/>
            </w:pPr>
            <w:r w:rsidRPr="00A83FE7">
              <w:rPr>
                <w:sz w:val="20"/>
                <w:szCs w:val="20"/>
              </w:rPr>
              <w:t>LR</w:t>
            </w:r>
          </w:p>
        </w:tc>
        <w:tc>
          <w:tcPr>
            <w:tcW w:w="788" w:type="pct"/>
            <w:vAlign w:val="center"/>
          </w:tcPr>
          <w:p w14:paraId="6174F178" w14:textId="77777777" w:rsidR="00CF48ED" w:rsidRPr="00DD0432" w:rsidRDefault="00CF48ED">
            <w:pPr>
              <w:spacing w:line="276" w:lineRule="auto"/>
              <w:jc w:val="right"/>
            </w:pPr>
            <w:r w:rsidRPr="00DD0432">
              <w:rPr>
                <w:sz w:val="20"/>
                <w:szCs w:val="20"/>
              </w:rPr>
              <w:t>3.09</w:t>
            </w:r>
          </w:p>
        </w:tc>
        <w:tc>
          <w:tcPr>
            <w:tcW w:w="863" w:type="pct"/>
            <w:vAlign w:val="center"/>
          </w:tcPr>
          <w:p w14:paraId="5E606222" w14:textId="77777777" w:rsidR="00CF48ED" w:rsidRPr="00DD0432" w:rsidRDefault="00CF48ED">
            <w:pPr>
              <w:spacing w:line="276" w:lineRule="auto"/>
              <w:jc w:val="right"/>
            </w:pPr>
            <w:r w:rsidRPr="00DD0432">
              <w:rPr>
                <w:sz w:val="20"/>
                <w:szCs w:val="20"/>
              </w:rPr>
              <w:t>3.22</w:t>
            </w:r>
          </w:p>
        </w:tc>
        <w:tc>
          <w:tcPr>
            <w:tcW w:w="786" w:type="pct"/>
            <w:vAlign w:val="center"/>
          </w:tcPr>
          <w:p w14:paraId="32A18E84" w14:textId="77777777" w:rsidR="00CF48ED" w:rsidRPr="00DD0432" w:rsidRDefault="00CF48ED">
            <w:pPr>
              <w:spacing w:line="276" w:lineRule="auto"/>
              <w:jc w:val="right"/>
            </w:pPr>
            <w:r w:rsidRPr="00DD0432">
              <w:rPr>
                <w:sz w:val="20"/>
                <w:szCs w:val="20"/>
              </w:rPr>
              <w:t>3.40</w:t>
            </w:r>
          </w:p>
        </w:tc>
        <w:tc>
          <w:tcPr>
            <w:tcW w:w="865" w:type="pct"/>
            <w:vAlign w:val="center"/>
          </w:tcPr>
          <w:p w14:paraId="7AE52176" w14:textId="77777777" w:rsidR="00CF48ED" w:rsidRPr="00DD0432" w:rsidRDefault="00CF48ED">
            <w:pPr>
              <w:spacing w:line="276" w:lineRule="auto"/>
              <w:jc w:val="right"/>
            </w:pPr>
            <w:r w:rsidRPr="00DD0432">
              <w:rPr>
                <w:sz w:val="20"/>
                <w:szCs w:val="20"/>
              </w:rPr>
              <w:t>2.69</w:t>
            </w:r>
          </w:p>
        </w:tc>
        <w:tc>
          <w:tcPr>
            <w:tcW w:w="836" w:type="pct"/>
            <w:vAlign w:val="center"/>
          </w:tcPr>
          <w:p w14:paraId="43419EF5" w14:textId="77777777" w:rsidR="00CF48ED" w:rsidRPr="00DD0432" w:rsidRDefault="00CF48ED">
            <w:pPr>
              <w:spacing w:line="276" w:lineRule="auto"/>
              <w:jc w:val="right"/>
            </w:pPr>
            <w:r w:rsidRPr="00DD0432">
              <w:rPr>
                <w:sz w:val="20"/>
                <w:szCs w:val="20"/>
              </w:rPr>
              <w:t>3.10</w:t>
            </w:r>
          </w:p>
        </w:tc>
      </w:tr>
      <w:tr w:rsidR="00CF48ED" w:rsidRPr="00DD0432" w14:paraId="02E8EC7F" w14:textId="77777777">
        <w:trPr>
          <w:trHeight w:val="397"/>
        </w:trPr>
        <w:tc>
          <w:tcPr>
            <w:tcW w:w="862" w:type="pct"/>
            <w:vAlign w:val="center"/>
          </w:tcPr>
          <w:p w14:paraId="79B98E23" w14:textId="77777777" w:rsidR="00CF48ED" w:rsidRPr="00A83FE7" w:rsidRDefault="00CF48ED">
            <w:pPr>
              <w:spacing w:line="276" w:lineRule="auto"/>
            </w:pPr>
            <w:r w:rsidRPr="00A83FE7">
              <w:rPr>
                <w:sz w:val="20"/>
                <w:szCs w:val="20"/>
              </w:rPr>
              <w:t>MR</w:t>
            </w:r>
          </w:p>
        </w:tc>
        <w:tc>
          <w:tcPr>
            <w:tcW w:w="788" w:type="pct"/>
            <w:vAlign w:val="center"/>
          </w:tcPr>
          <w:p w14:paraId="5E8ED477" w14:textId="77777777" w:rsidR="00CF48ED" w:rsidRPr="00DD0432" w:rsidRDefault="00CF48ED">
            <w:pPr>
              <w:spacing w:line="276" w:lineRule="auto"/>
              <w:jc w:val="right"/>
            </w:pPr>
            <w:r w:rsidRPr="00DD0432">
              <w:rPr>
                <w:sz w:val="20"/>
                <w:szCs w:val="20"/>
              </w:rPr>
              <w:t>8.29</w:t>
            </w:r>
          </w:p>
        </w:tc>
        <w:tc>
          <w:tcPr>
            <w:tcW w:w="863" w:type="pct"/>
            <w:vAlign w:val="center"/>
          </w:tcPr>
          <w:p w14:paraId="2879CDE5" w14:textId="77777777" w:rsidR="00CF48ED" w:rsidRPr="00DD0432" w:rsidRDefault="00CF48ED">
            <w:pPr>
              <w:spacing w:line="276" w:lineRule="auto"/>
              <w:jc w:val="right"/>
            </w:pPr>
            <w:r w:rsidRPr="00DD0432">
              <w:rPr>
                <w:sz w:val="20"/>
                <w:szCs w:val="20"/>
              </w:rPr>
              <w:t>8.62</w:t>
            </w:r>
          </w:p>
        </w:tc>
        <w:tc>
          <w:tcPr>
            <w:tcW w:w="786" w:type="pct"/>
            <w:vAlign w:val="center"/>
          </w:tcPr>
          <w:p w14:paraId="63DC9CE9" w14:textId="77777777" w:rsidR="00CF48ED" w:rsidRPr="00DD0432" w:rsidRDefault="00CF48ED">
            <w:pPr>
              <w:spacing w:line="276" w:lineRule="auto"/>
              <w:jc w:val="right"/>
            </w:pPr>
            <w:r w:rsidRPr="00DD0432">
              <w:rPr>
                <w:sz w:val="20"/>
                <w:szCs w:val="20"/>
              </w:rPr>
              <w:t>12.17</w:t>
            </w:r>
          </w:p>
        </w:tc>
        <w:tc>
          <w:tcPr>
            <w:tcW w:w="865" w:type="pct"/>
            <w:vAlign w:val="center"/>
          </w:tcPr>
          <w:p w14:paraId="217C84DE" w14:textId="77777777" w:rsidR="00CF48ED" w:rsidRPr="00DD0432" w:rsidRDefault="00CF48ED">
            <w:pPr>
              <w:spacing w:line="276" w:lineRule="auto"/>
              <w:jc w:val="right"/>
            </w:pPr>
            <w:r w:rsidRPr="00DD0432">
              <w:rPr>
                <w:sz w:val="20"/>
                <w:szCs w:val="20"/>
              </w:rPr>
              <w:t>12.90</w:t>
            </w:r>
          </w:p>
        </w:tc>
        <w:tc>
          <w:tcPr>
            <w:tcW w:w="836" w:type="pct"/>
            <w:vAlign w:val="center"/>
          </w:tcPr>
          <w:p w14:paraId="4101F38B" w14:textId="77777777" w:rsidR="00CF48ED" w:rsidRPr="00DD0432" w:rsidRDefault="00CF48ED">
            <w:pPr>
              <w:spacing w:line="276" w:lineRule="auto"/>
              <w:jc w:val="right"/>
            </w:pPr>
            <w:r w:rsidRPr="00DD0432">
              <w:rPr>
                <w:sz w:val="20"/>
                <w:szCs w:val="20"/>
              </w:rPr>
              <w:t>10.50</w:t>
            </w:r>
          </w:p>
        </w:tc>
      </w:tr>
      <w:tr w:rsidR="00CF48ED" w:rsidRPr="00DD0432" w14:paraId="64A2E708" w14:textId="77777777">
        <w:trPr>
          <w:trHeight w:val="397"/>
        </w:trPr>
        <w:tc>
          <w:tcPr>
            <w:tcW w:w="862" w:type="pct"/>
            <w:vAlign w:val="center"/>
          </w:tcPr>
          <w:p w14:paraId="3CC5852D" w14:textId="77777777" w:rsidR="00CF48ED" w:rsidRPr="00A83FE7" w:rsidRDefault="00CF48ED">
            <w:pPr>
              <w:spacing w:line="276" w:lineRule="auto"/>
            </w:pPr>
            <w:r w:rsidRPr="00A83FE7">
              <w:rPr>
                <w:sz w:val="20"/>
                <w:szCs w:val="20"/>
              </w:rPr>
              <w:t>PG</w:t>
            </w:r>
          </w:p>
        </w:tc>
        <w:tc>
          <w:tcPr>
            <w:tcW w:w="788" w:type="pct"/>
            <w:vAlign w:val="center"/>
          </w:tcPr>
          <w:p w14:paraId="0092DC4E" w14:textId="77777777" w:rsidR="00CF48ED" w:rsidRPr="00DD0432" w:rsidRDefault="00CF48ED">
            <w:pPr>
              <w:spacing w:line="276" w:lineRule="auto"/>
              <w:jc w:val="right"/>
            </w:pPr>
            <w:r w:rsidRPr="00DD0432">
              <w:rPr>
                <w:sz w:val="20"/>
                <w:szCs w:val="20"/>
              </w:rPr>
              <w:t>45.00</w:t>
            </w:r>
          </w:p>
        </w:tc>
        <w:tc>
          <w:tcPr>
            <w:tcW w:w="863" w:type="pct"/>
            <w:vAlign w:val="center"/>
          </w:tcPr>
          <w:p w14:paraId="1D1A555C" w14:textId="77777777" w:rsidR="00CF48ED" w:rsidRPr="00DD0432" w:rsidRDefault="00CF48ED">
            <w:pPr>
              <w:spacing w:line="276" w:lineRule="auto"/>
              <w:jc w:val="right"/>
            </w:pPr>
            <w:r w:rsidRPr="00DD0432">
              <w:rPr>
                <w:sz w:val="20"/>
                <w:szCs w:val="20"/>
              </w:rPr>
              <w:t>90.66</w:t>
            </w:r>
          </w:p>
        </w:tc>
        <w:tc>
          <w:tcPr>
            <w:tcW w:w="786" w:type="pct"/>
            <w:vAlign w:val="center"/>
          </w:tcPr>
          <w:p w14:paraId="164966AB" w14:textId="77777777" w:rsidR="00CF48ED" w:rsidRPr="00DD0432" w:rsidRDefault="00CF48ED">
            <w:pPr>
              <w:spacing w:line="276" w:lineRule="auto"/>
              <w:jc w:val="right"/>
            </w:pPr>
            <w:r w:rsidRPr="00DD0432">
              <w:rPr>
                <w:sz w:val="20"/>
                <w:szCs w:val="20"/>
              </w:rPr>
              <w:t>60.57</w:t>
            </w:r>
          </w:p>
        </w:tc>
        <w:tc>
          <w:tcPr>
            <w:tcW w:w="865" w:type="pct"/>
            <w:vAlign w:val="center"/>
          </w:tcPr>
          <w:p w14:paraId="18F46E99" w14:textId="77777777" w:rsidR="00CF48ED" w:rsidRPr="00DD0432" w:rsidRDefault="00CF48ED">
            <w:pPr>
              <w:spacing w:line="276" w:lineRule="auto"/>
              <w:jc w:val="right"/>
            </w:pPr>
            <w:r w:rsidRPr="00DD0432">
              <w:rPr>
                <w:sz w:val="20"/>
                <w:szCs w:val="20"/>
              </w:rPr>
              <w:t>50.30</w:t>
            </w:r>
          </w:p>
        </w:tc>
        <w:tc>
          <w:tcPr>
            <w:tcW w:w="836" w:type="pct"/>
            <w:vAlign w:val="center"/>
          </w:tcPr>
          <w:p w14:paraId="7443B5D0" w14:textId="77777777" w:rsidR="00CF48ED" w:rsidRPr="00DD0432" w:rsidRDefault="00CF48ED">
            <w:pPr>
              <w:spacing w:line="276" w:lineRule="auto"/>
              <w:jc w:val="right"/>
            </w:pPr>
            <w:r w:rsidRPr="00DD0432">
              <w:rPr>
                <w:sz w:val="20"/>
                <w:szCs w:val="20"/>
              </w:rPr>
              <w:t>61.63</w:t>
            </w:r>
          </w:p>
        </w:tc>
      </w:tr>
      <w:tr w:rsidR="00CF48ED" w:rsidRPr="00DD0432" w14:paraId="28BD1232" w14:textId="77777777">
        <w:trPr>
          <w:trHeight w:val="397"/>
        </w:trPr>
        <w:tc>
          <w:tcPr>
            <w:tcW w:w="5000" w:type="pct"/>
            <w:gridSpan w:val="6"/>
            <w:vAlign w:val="center"/>
          </w:tcPr>
          <w:p w14:paraId="588606BB" w14:textId="638FFC73" w:rsidR="00CF48ED" w:rsidRPr="008143DA" w:rsidRDefault="00CF48ED" w:rsidP="008143DA">
            <w:pPr>
              <w:spacing w:line="276" w:lineRule="auto"/>
              <w:rPr>
                <w:i/>
                <w:iCs/>
                <w:sz w:val="20"/>
                <w:szCs w:val="20"/>
              </w:rPr>
            </w:pPr>
            <w:r w:rsidRPr="008143DA">
              <w:rPr>
                <w:i/>
                <w:iCs/>
                <w:sz w:val="20"/>
                <w:szCs w:val="20"/>
              </w:rPr>
              <w:t>Note: NPG (non-problem gambling), LR (low-risk gambling), MR (moderate-risk gambling), and</w:t>
            </w:r>
            <w:r w:rsidR="008143DA">
              <w:rPr>
                <w:i/>
                <w:iCs/>
                <w:sz w:val="20"/>
                <w:szCs w:val="20"/>
              </w:rPr>
              <w:t xml:space="preserve"> PG</w:t>
            </w:r>
            <w:r w:rsidRPr="008143DA">
              <w:rPr>
                <w:i/>
                <w:iCs/>
                <w:sz w:val="20"/>
                <w:szCs w:val="20"/>
              </w:rPr>
              <w:t xml:space="preserve"> </w:t>
            </w:r>
            <w:r w:rsidR="008143DA">
              <w:rPr>
                <w:i/>
                <w:iCs/>
                <w:sz w:val="20"/>
                <w:szCs w:val="20"/>
              </w:rPr>
              <w:t>(</w:t>
            </w:r>
            <w:r w:rsidRPr="008143DA">
              <w:rPr>
                <w:i/>
                <w:iCs/>
                <w:sz w:val="20"/>
                <w:szCs w:val="20"/>
              </w:rPr>
              <w:t>problem gambling</w:t>
            </w:r>
            <w:r w:rsidR="008143DA">
              <w:rPr>
                <w:i/>
                <w:iCs/>
                <w:sz w:val="20"/>
                <w:szCs w:val="20"/>
              </w:rPr>
              <w:t>)</w:t>
            </w:r>
            <w:r w:rsidRPr="008143DA">
              <w:rPr>
                <w:i/>
                <w:iCs/>
                <w:sz w:val="20"/>
                <w:szCs w:val="20"/>
              </w:rPr>
              <w:t>.</w:t>
            </w:r>
            <w:r w:rsidR="008143DA">
              <w:rPr>
                <w:i/>
                <w:iCs/>
                <w:sz w:val="20"/>
                <w:szCs w:val="20"/>
              </w:rPr>
              <w:t xml:space="preserve"> </w:t>
            </w:r>
            <w:r w:rsidR="008143DA" w:rsidRPr="008143DA">
              <w:rPr>
                <w:i/>
                <w:iCs/>
                <w:sz w:val="20"/>
                <w:szCs w:val="20"/>
              </w:rPr>
              <w:t xml:space="preserve">The expenditure multiples for each jurisdiction, representing the average spend relative to </w:t>
            </w:r>
            <w:r w:rsidR="008143DA">
              <w:rPr>
                <w:i/>
                <w:iCs/>
                <w:sz w:val="20"/>
                <w:szCs w:val="20"/>
              </w:rPr>
              <w:t>NPGs</w:t>
            </w:r>
            <w:r w:rsidR="008143DA" w:rsidRPr="008143DA">
              <w:rPr>
                <w:i/>
                <w:iCs/>
                <w:sz w:val="20"/>
                <w:szCs w:val="20"/>
              </w:rPr>
              <w:t>, were derived from data in the following prevalence surveys:</w:t>
            </w:r>
            <w:r w:rsidR="008143DA">
              <w:rPr>
                <w:i/>
                <w:iCs/>
                <w:sz w:val="20"/>
                <w:szCs w:val="20"/>
              </w:rPr>
              <w:t xml:space="preserve"> </w:t>
            </w:r>
            <w:r w:rsidR="008143DA" w:rsidRPr="008143DA">
              <w:rPr>
                <w:i/>
                <w:iCs/>
                <w:sz w:val="20"/>
                <w:szCs w:val="20"/>
              </w:rPr>
              <w:t>NSW: Survey of Gambling and Health in NSW 2024</w:t>
            </w:r>
            <w:r w:rsidR="008143DA">
              <w:rPr>
                <w:i/>
                <w:iCs/>
                <w:sz w:val="20"/>
                <w:szCs w:val="20"/>
              </w:rPr>
              <w:t xml:space="preserve">, </w:t>
            </w:r>
            <w:r w:rsidR="008143DA" w:rsidRPr="008143DA">
              <w:rPr>
                <w:i/>
                <w:iCs/>
                <w:sz w:val="20"/>
                <w:szCs w:val="20"/>
              </w:rPr>
              <w:t>ACT: 2024 ACT Gambling Survey</w:t>
            </w:r>
            <w:r w:rsidR="008143DA">
              <w:rPr>
                <w:i/>
                <w:iCs/>
                <w:sz w:val="20"/>
                <w:szCs w:val="20"/>
              </w:rPr>
              <w:t xml:space="preserve">, </w:t>
            </w:r>
            <w:r w:rsidR="008143DA" w:rsidRPr="008143DA">
              <w:rPr>
                <w:i/>
                <w:iCs/>
                <w:sz w:val="20"/>
                <w:szCs w:val="20"/>
              </w:rPr>
              <w:t>VIC: Victorian Population Gambling and Health Study 2023</w:t>
            </w:r>
            <w:r w:rsidR="008143DA">
              <w:rPr>
                <w:i/>
                <w:iCs/>
                <w:sz w:val="20"/>
                <w:szCs w:val="20"/>
              </w:rPr>
              <w:t xml:space="preserve">, </w:t>
            </w:r>
            <w:r w:rsidR="008143DA" w:rsidRPr="008143DA">
              <w:rPr>
                <w:i/>
                <w:iCs/>
                <w:sz w:val="20"/>
                <w:szCs w:val="20"/>
              </w:rPr>
              <w:t>TAS: Fifth Social and Economic Impact Study of Gambling in Tasmania, 2021</w:t>
            </w:r>
            <w:r w:rsidR="008143DA">
              <w:rPr>
                <w:i/>
                <w:iCs/>
                <w:sz w:val="20"/>
                <w:szCs w:val="20"/>
              </w:rPr>
              <w:t>.</w:t>
            </w:r>
          </w:p>
        </w:tc>
      </w:tr>
    </w:tbl>
    <w:p w14:paraId="5176B07C" w14:textId="77777777" w:rsidR="00CF48ED" w:rsidRDefault="00CF48ED" w:rsidP="00367A8D">
      <w:pPr>
        <w:spacing w:line="360" w:lineRule="auto"/>
      </w:pPr>
    </w:p>
    <w:p w14:paraId="2CC2DB40" w14:textId="77777777" w:rsidR="00DB689D" w:rsidRDefault="00DB689D" w:rsidP="00367A8D">
      <w:pPr>
        <w:spacing w:line="360" w:lineRule="auto"/>
      </w:pPr>
    </w:p>
    <w:p w14:paraId="466964BD" w14:textId="77777777" w:rsidR="006B5094" w:rsidRDefault="00310A10" w:rsidP="00367A8D">
      <w:pPr>
        <w:spacing w:line="360" w:lineRule="auto"/>
      </w:pPr>
      <w:r>
        <w:t xml:space="preserve">Expenditure data tends to be strongly positively skewed, and averages are affected by sample sizes, which leads to higher variability in the more severe PGSI categories. With this in mind, relatively consistent evidence exists regarding the typical spending of at-risk gambling compared to non-problem gambling. We therefore apply these relative rates of over-expenditure from Australian data to New Zealand, combining them with local figures on total gambling losses and population-weighted estimates of the number of people in each category from the NZGS (2023/24). </w:t>
      </w:r>
    </w:p>
    <w:p w14:paraId="467BBF57" w14:textId="77777777" w:rsidR="006B5094" w:rsidRDefault="006B5094" w:rsidP="00367A8D">
      <w:pPr>
        <w:spacing w:line="360" w:lineRule="auto"/>
      </w:pPr>
    </w:p>
    <w:p w14:paraId="2F0578DD" w14:textId="544A6E71" w:rsidR="00DB689D" w:rsidRDefault="00310A10" w:rsidP="00367A8D">
      <w:pPr>
        <w:spacing w:line="360" w:lineRule="auto"/>
      </w:pPr>
      <w:r>
        <w:t>This calculation is most clearly presented by the following steps:</w:t>
      </w:r>
    </w:p>
    <w:p w14:paraId="7FFA9451" w14:textId="77777777" w:rsidR="00DB689D" w:rsidRDefault="00310A10" w:rsidP="00367A8D">
      <w:pPr>
        <w:numPr>
          <w:ilvl w:val="0"/>
          <w:numId w:val="7"/>
        </w:numPr>
        <w:spacing w:line="360" w:lineRule="auto"/>
      </w:pPr>
      <w:r>
        <w:t>Calculating the total number of ‘shares’ in gambling expenditure by multiplying the number of people in each gambling segment by their relative spending</w:t>
      </w:r>
    </w:p>
    <w:p w14:paraId="4B18E60E" w14:textId="77777777" w:rsidR="00DB689D" w:rsidRDefault="00310A10" w:rsidP="00367A8D">
      <w:pPr>
        <w:numPr>
          <w:ilvl w:val="0"/>
          <w:numId w:val="7"/>
        </w:numPr>
        <w:spacing w:line="360" w:lineRule="auto"/>
      </w:pPr>
      <w:r>
        <w:t>Dividing total gambling losses by the total number of shares</w:t>
      </w:r>
    </w:p>
    <w:p w14:paraId="153E7FE1" w14:textId="77777777" w:rsidR="00DB689D" w:rsidRDefault="00310A10" w:rsidP="00367A8D">
      <w:pPr>
        <w:numPr>
          <w:ilvl w:val="0"/>
          <w:numId w:val="7"/>
        </w:numPr>
        <w:spacing w:line="360" w:lineRule="auto"/>
      </w:pPr>
      <w:r>
        <w:t>Calculating the average loss per person</w:t>
      </w:r>
    </w:p>
    <w:p w14:paraId="19BC9795" w14:textId="77777777" w:rsidR="00DB689D" w:rsidRDefault="00310A10" w:rsidP="00367A8D">
      <w:pPr>
        <w:numPr>
          <w:ilvl w:val="0"/>
          <w:numId w:val="7"/>
        </w:numPr>
        <w:spacing w:line="360" w:lineRule="auto"/>
      </w:pPr>
      <w:r>
        <w:t>Subtracting the average ‘rational’ expenditure, as estimated by NPG spending</w:t>
      </w:r>
    </w:p>
    <w:p w14:paraId="730FF57C" w14:textId="0E4A96DE" w:rsidR="00DB689D" w:rsidRDefault="00AF04C9" w:rsidP="00367A8D">
      <w:pPr>
        <w:numPr>
          <w:ilvl w:val="0"/>
          <w:numId w:val="7"/>
        </w:numPr>
        <w:spacing w:line="360" w:lineRule="auto"/>
      </w:pPr>
      <w:r>
        <w:t xml:space="preserve">Discounting this amount via two approaches, either by including only PGs, or by a progressive ratio across gambling risk categories, following </w:t>
      </w:r>
      <w:r w:rsidR="0038398B">
        <w:rPr>
          <w:noProof/>
          <w:color w:val="000000"/>
        </w:rPr>
        <w:t>(</w:t>
      </w:r>
      <w:r w:rsidR="002A3095">
        <w:rPr>
          <w:noProof/>
          <w:color w:val="000000"/>
        </w:rPr>
        <w:t>Browne, Greer et al., 2017</w:t>
      </w:r>
      <w:r w:rsidR="0038398B">
        <w:rPr>
          <w:noProof/>
          <w:color w:val="000000"/>
        </w:rPr>
        <w:t>)</w:t>
      </w:r>
      <w:r>
        <w:t>.</w:t>
      </w:r>
      <w:r>
        <w:br w:type="page"/>
      </w:r>
    </w:p>
    <w:p w14:paraId="46498564" w14:textId="6B9B3D7E" w:rsidR="00DB689D" w:rsidRDefault="00310A10" w:rsidP="00367A8D">
      <w:pPr>
        <w:pStyle w:val="Heading1"/>
        <w:spacing w:line="360" w:lineRule="auto"/>
      </w:pPr>
      <w:bookmarkStart w:id="362" w:name="_d1t1qykp464" w:colFirst="0" w:colLast="0"/>
      <w:bookmarkStart w:id="363" w:name="_Toc201572443"/>
      <w:bookmarkStart w:id="364" w:name="_Toc207195962"/>
      <w:bookmarkEnd w:id="362"/>
      <w:r>
        <w:t>Results</w:t>
      </w:r>
      <w:bookmarkEnd w:id="363"/>
      <w:bookmarkEnd w:id="364"/>
    </w:p>
    <w:p w14:paraId="0D8F2406" w14:textId="77777777" w:rsidR="00DB689D" w:rsidRDefault="00310A10" w:rsidP="00367A8D">
      <w:pPr>
        <w:spacing w:line="360" w:lineRule="auto"/>
      </w:pPr>
      <w:r>
        <w:t xml:space="preserve">We first provide an overview of the major cost categories and breakdowns, which contains high-level summaries of the costing. This is followed in the next section by a detailed explanation of the calculation steps, data sources and assumptions for each cost category. </w:t>
      </w:r>
    </w:p>
    <w:p w14:paraId="23ACAD3B" w14:textId="77777777" w:rsidR="00DB689D" w:rsidRDefault="00310A10" w:rsidP="00657824">
      <w:pPr>
        <w:pStyle w:val="Heading2"/>
      </w:pPr>
      <w:bookmarkStart w:id="365" w:name="_deeai9cdl4t4" w:colFirst="0" w:colLast="0"/>
      <w:bookmarkStart w:id="366" w:name="_Toc201572444"/>
      <w:bookmarkStart w:id="367" w:name="_Toc207195963"/>
      <w:bookmarkEnd w:id="365"/>
      <w:r>
        <w:t>Summary of cost categories</w:t>
      </w:r>
      <w:bookmarkEnd w:id="366"/>
      <w:bookmarkEnd w:id="367"/>
    </w:p>
    <w:p w14:paraId="327E6EED" w14:textId="618D7E9C" w:rsidR="00DB689D" w:rsidRDefault="00310A10" w:rsidP="00367A8D">
      <w:pPr>
        <w:spacing w:line="360" w:lineRule="auto"/>
      </w:pPr>
      <w:r>
        <w:t>The total estimated cost of gambling problems in New Zealand for the 2023-24 period is approximately $4.</w:t>
      </w:r>
      <w:r w:rsidR="009C0E58">
        <w:t xml:space="preserve">219 </w:t>
      </w:r>
      <w:r>
        <w:t xml:space="preserve">billion </w:t>
      </w:r>
      <w:r w:rsidR="00CF48ED">
        <w:t xml:space="preserve">(Table </w:t>
      </w:r>
      <w:r w:rsidR="00757932">
        <w:t>5</w:t>
      </w:r>
      <w:r w:rsidR="00CF48ED">
        <w:t>)</w:t>
      </w:r>
      <w:r>
        <w:t>. Health impacts – encompassing quality of life impacts to people who gamble and others, as well as costs to the New Zealand health system – account for almost half, $2.04 billion (</w:t>
      </w:r>
      <w:r w:rsidR="001A61AD">
        <w:t>48.43</w:t>
      </w:r>
      <w:r>
        <w:t>%) of this total. Financial impacts amount to $1.</w:t>
      </w:r>
      <w:r w:rsidR="001A61AD">
        <w:t xml:space="preserve">19 </w:t>
      </w:r>
      <w:r>
        <w:t>billion (28.</w:t>
      </w:r>
      <w:r w:rsidR="001A61AD">
        <w:t>28</w:t>
      </w:r>
      <w:r>
        <w:t>%</w:t>
      </w:r>
      <w:r w:rsidR="006A1508">
        <w:t>);</w:t>
      </w:r>
      <w:r>
        <w:t xml:space="preserve"> relationship impacts to $185.2 million, and work or study impacts contribute $678.8 million (</w:t>
      </w:r>
      <w:r w:rsidR="001A61AD">
        <w:t>16.09</w:t>
      </w:r>
      <w:r>
        <w:t>%). Criminal activity accounts for $</w:t>
      </w:r>
      <w:r w:rsidR="001A61AD">
        <w:t>54.3</w:t>
      </w:r>
      <w:r>
        <w:t xml:space="preserve"> million (1.</w:t>
      </w:r>
      <w:r w:rsidR="001A61AD">
        <w:t>29</w:t>
      </w:r>
      <w:r>
        <w:t>%), other government or community costs are $</w:t>
      </w:r>
      <w:r w:rsidR="001A61AD">
        <w:t>58</w:t>
      </w:r>
      <w:r>
        <w:t>.</w:t>
      </w:r>
      <w:r w:rsidR="001A61AD">
        <w:t>8</w:t>
      </w:r>
      <w:r>
        <w:t xml:space="preserve"> million (1.</w:t>
      </w:r>
      <w:r w:rsidR="001A61AD">
        <w:t>39</w:t>
      </w:r>
      <w:r>
        <w:t xml:space="preserve">%), and life course harm (homelessness) represents $5.2 million (0.12%) of the total cost. </w:t>
      </w:r>
    </w:p>
    <w:p w14:paraId="3772404E" w14:textId="77777777" w:rsidR="00DB689D" w:rsidRDefault="00DB689D" w:rsidP="00367A8D">
      <w:pPr>
        <w:spacing w:line="360" w:lineRule="auto"/>
      </w:pPr>
    </w:p>
    <w:p w14:paraId="2658A967" w14:textId="4C12BFF6" w:rsidR="00CF48ED" w:rsidRPr="00DD0432" w:rsidRDefault="00CF48ED" w:rsidP="00DB094D">
      <w:pPr>
        <w:pStyle w:val="Caption"/>
      </w:pPr>
      <w:bookmarkStart w:id="368" w:name="_Toc207619047"/>
      <w:r w:rsidRPr="00DD0432">
        <w:t xml:space="preserve">Table </w:t>
      </w:r>
      <w:r w:rsidRPr="00DD0432">
        <w:fldChar w:fldCharType="begin"/>
      </w:r>
      <w:r w:rsidRPr="00DD0432">
        <w:instrText xml:space="preserve"> SEQ Table \* ARABIC </w:instrText>
      </w:r>
      <w:r w:rsidRPr="00DD0432">
        <w:fldChar w:fldCharType="separate"/>
      </w:r>
      <w:r w:rsidR="00986A0D">
        <w:rPr>
          <w:noProof/>
        </w:rPr>
        <w:t>5</w:t>
      </w:r>
      <w:r w:rsidRPr="00DD0432">
        <w:fldChar w:fldCharType="end"/>
      </w:r>
      <w:r w:rsidRPr="00DD0432">
        <w:t>. Cost of gambling problems to New Zealand (2023-24) by cost category</w:t>
      </w:r>
      <w:bookmarkEnd w:id="368"/>
    </w:p>
    <w:tbl>
      <w:tblPr>
        <w:tblStyle w:val="TableGridLight"/>
        <w:tblW w:w="8926" w:type="dxa"/>
        <w:tblLook w:val="04A0" w:firstRow="1" w:lastRow="0" w:firstColumn="1" w:lastColumn="0" w:noHBand="0" w:noVBand="1"/>
      </w:tblPr>
      <w:tblGrid>
        <w:gridCol w:w="4390"/>
        <w:gridCol w:w="2409"/>
        <w:gridCol w:w="2127"/>
      </w:tblGrid>
      <w:tr w:rsidR="00CF48ED" w:rsidRPr="00DD0432" w14:paraId="2962ADF3" w14:textId="77777777">
        <w:trPr>
          <w:trHeight w:val="397"/>
        </w:trPr>
        <w:tc>
          <w:tcPr>
            <w:tcW w:w="4390" w:type="dxa"/>
            <w:shd w:val="clear" w:color="auto" w:fill="F2F2F2" w:themeFill="background1" w:themeFillShade="F2"/>
            <w:vAlign w:val="center"/>
            <w:hideMark/>
          </w:tcPr>
          <w:p w14:paraId="326794C8" w14:textId="77777777" w:rsidR="00CF48ED" w:rsidRPr="00DD0432" w:rsidRDefault="00CF48ED">
            <w:pPr>
              <w:spacing w:line="276" w:lineRule="auto"/>
              <w:jc w:val="center"/>
              <w:rPr>
                <w:b/>
                <w:bCs/>
                <w:color w:val="000000"/>
                <w:sz w:val="20"/>
                <w:szCs w:val="20"/>
              </w:rPr>
            </w:pPr>
            <w:r w:rsidRPr="00DD0432">
              <w:rPr>
                <w:b/>
                <w:bCs/>
                <w:color w:val="000000"/>
                <w:sz w:val="20"/>
                <w:szCs w:val="20"/>
              </w:rPr>
              <w:t>Cost Category</w:t>
            </w:r>
          </w:p>
        </w:tc>
        <w:tc>
          <w:tcPr>
            <w:tcW w:w="2409" w:type="dxa"/>
            <w:shd w:val="clear" w:color="auto" w:fill="F2F2F2" w:themeFill="background1" w:themeFillShade="F2"/>
            <w:vAlign w:val="center"/>
            <w:hideMark/>
          </w:tcPr>
          <w:p w14:paraId="4AC3979E" w14:textId="77777777" w:rsidR="00CF48ED" w:rsidRPr="00DD0432" w:rsidRDefault="00CF48ED">
            <w:pPr>
              <w:spacing w:line="276" w:lineRule="auto"/>
              <w:jc w:val="center"/>
              <w:rPr>
                <w:b/>
                <w:bCs/>
                <w:color w:val="000000"/>
                <w:sz w:val="20"/>
                <w:szCs w:val="20"/>
              </w:rPr>
            </w:pPr>
            <w:r w:rsidRPr="00DD0432">
              <w:rPr>
                <w:b/>
                <w:bCs/>
                <w:color w:val="000000"/>
                <w:sz w:val="20"/>
                <w:szCs w:val="20"/>
              </w:rPr>
              <w:t>Cost</w:t>
            </w:r>
          </w:p>
        </w:tc>
        <w:tc>
          <w:tcPr>
            <w:tcW w:w="2127" w:type="dxa"/>
            <w:shd w:val="clear" w:color="auto" w:fill="F2F2F2" w:themeFill="background1" w:themeFillShade="F2"/>
            <w:vAlign w:val="center"/>
            <w:hideMark/>
          </w:tcPr>
          <w:p w14:paraId="4C9C75DE" w14:textId="77777777" w:rsidR="00CF48ED" w:rsidRPr="00DD0432" w:rsidRDefault="00CF48ED">
            <w:pPr>
              <w:spacing w:line="276" w:lineRule="auto"/>
              <w:jc w:val="center"/>
              <w:rPr>
                <w:b/>
                <w:bCs/>
                <w:color w:val="000000"/>
                <w:sz w:val="20"/>
                <w:szCs w:val="20"/>
              </w:rPr>
            </w:pPr>
            <w:r w:rsidRPr="00DD0432">
              <w:rPr>
                <w:b/>
                <w:bCs/>
                <w:color w:val="000000"/>
                <w:sz w:val="20"/>
                <w:szCs w:val="20"/>
              </w:rPr>
              <w:t>Contribution</w:t>
            </w:r>
          </w:p>
        </w:tc>
      </w:tr>
      <w:tr w:rsidR="001A61AD" w:rsidRPr="00DD0432" w14:paraId="7D662CF6" w14:textId="77777777">
        <w:trPr>
          <w:trHeight w:val="397"/>
        </w:trPr>
        <w:tc>
          <w:tcPr>
            <w:tcW w:w="4390" w:type="dxa"/>
            <w:noWrap/>
            <w:vAlign w:val="center"/>
            <w:hideMark/>
          </w:tcPr>
          <w:p w14:paraId="49B8171F" w14:textId="77777777" w:rsidR="001A61AD" w:rsidRPr="00DD0432" w:rsidRDefault="001A61AD" w:rsidP="001A61AD">
            <w:pPr>
              <w:spacing w:line="276" w:lineRule="auto"/>
              <w:rPr>
                <w:color w:val="000000"/>
                <w:sz w:val="20"/>
                <w:szCs w:val="20"/>
              </w:rPr>
            </w:pPr>
            <w:r w:rsidRPr="00DD0432">
              <w:rPr>
                <w:color w:val="000000"/>
                <w:sz w:val="20"/>
                <w:szCs w:val="20"/>
              </w:rPr>
              <w:t>Financial impacts</w:t>
            </w:r>
          </w:p>
        </w:tc>
        <w:tc>
          <w:tcPr>
            <w:tcW w:w="2409" w:type="dxa"/>
            <w:noWrap/>
            <w:vAlign w:val="center"/>
            <w:hideMark/>
          </w:tcPr>
          <w:p w14:paraId="365BE3EB" w14:textId="052A4477" w:rsidR="001A61AD" w:rsidRPr="001A61AD" w:rsidRDefault="001A61AD" w:rsidP="001A61AD">
            <w:pPr>
              <w:spacing w:line="276" w:lineRule="auto"/>
              <w:jc w:val="right"/>
              <w:rPr>
                <w:color w:val="000000"/>
                <w:sz w:val="20"/>
                <w:szCs w:val="20"/>
              </w:rPr>
            </w:pPr>
            <w:r w:rsidRPr="00BB3C33">
              <w:rPr>
                <w:color w:val="000000"/>
                <w:sz w:val="20"/>
                <w:szCs w:val="20"/>
              </w:rPr>
              <w:t>$1,193,208,654</w:t>
            </w:r>
          </w:p>
        </w:tc>
        <w:tc>
          <w:tcPr>
            <w:tcW w:w="2127" w:type="dxa"/>
            <w:noWrap/>
            <w:vAlign w:val="center"/>
            <w:hideMark/>
          </w:tcPr>
          <w:p w14:paraId="7E43782C" w14:textId="41913942" w:rsidR="001A61AD" w:rsidRPr="001A61AD" w:rsidRDefault="001A61AD" w:rsidP="001A61AD">
            <w:pPr>
              <w:spacing w:line="276" w:lineRule="auto"/>
              <w:jc w:val="right"/>
              <w:rPr>
                <w:color w:val="000000"/>
                <w:sz w:val="20"/>
                <w:szCs w:val="20"/>
              </w:rPr>
            </w:pPr>
            <w:r w:rsidRPr="00BB3C33">
              <w:rPr>
                <w:color w:val="000000"/>
                <w:sz w:val="20"/>
                <w:szCs w:val="20"/>
              </w:rPr>
              <w:t>28.28%</w:t>
            </w:r>
          </w:p>
        </w:tc>
      </w:tr>
      <w:tr w:rsidR="001A61AD" w:rsidRPr="00DD0432" w14:paraId="0D6732EA" w14:textId="77777777">
        <w:trPr>
          <w:trHeight w:val="397"/>
        </w:trPr>
        <w:tc>
          <w:tcPr>
            <w:tcW w:w="4390" w:type="dxa"/>
            <w:noWrap/>
            <w:vAlign w:val="center"/>
            <w:hideMark/>
          </w:tcPr>
          <w:p w14:paraId="53D7D8AB" w14:textId="77777777" w:rsidR="001A61AD" w:rsidRPr="00DD0432" w:rsidRDefault="001A61AD" w:rsidP="001A61AD">
            <w:pPr>
              <w:spacing w:line="276" w:lineRule="auto"/>
              <w:rPr>
                <w:color w:val="000000"/>
                <w:sz w:val="20"/>
                <w:szCs w:val="20"/>
              </w:rPr>
            </w:pPr>
            <w:r w:rsidRPr="00DD0432">
              <w:rPr>
                <w:color w:val="000000"/>
                <w:sz w:val="20"/>
                <w:szCs w:val="20"/>
              </w:rPr>
              <w:t>Relationship disruption, conflict or breakdown</w:t>
            </w:r>
          </w:p>
        </w:tc>
        <w:tc>
          <w:tcPr>
            <w:tcW w:w="2409" w:type="dxa"/>
            <w:noWrap/>
            <w:vAlign w:val="center"/>
            <w:hideMark/>
          </w:tcPr>
          <w:p w14:paraId="1AA00957" w14:textId="7B4E835F" w:rsidR="001A61AD" w:rsidRPr="001A61AD" w:rsidRDefault="001A61AD" w:rsidP="001A61AD">
            <w:pPr>
              <w:spacing w:line="276" w:lineRule="auto"/>
              <w:jc w:val="right"/>
              <w:rPr>
                <w:color w:val="000000"/>
                <w:sz w:val="20"/>
                <w:szCs w:val="20"/>
              </w:rPr>
            </w:pPr>
            <w:r w:rsidRPr="00BB3C33">
              <w:rPr>
                <w:color w:val="000000"/>
                <w:sz w:val="20"/>
                <w:szCs w:val="20"/>
              </w:rPr>
              <w:t>$185,225,197</w:t>
            </w:r>
          </w:p>
        </w:tc>
        <w:tc>
          <w:tcPr>
            <w:tcW w:w="2127" w:type="dxa"/>
            <w:noWrap/>
            <w:vAlign w:val="center"/>
            <w:hideMark/>
          </w:tcPr>
          <w:p w14:paraId="089313B1" w14:textId="0E12D105" w:rsidR="001A61AD" w:rsidRPr="001A61AD" w:rsidRDefault="001A61AD" w:rsidP="001A61AD">
            <w:pPr>
              <w:spacing w:line="276" w:lineRule="auto"/>
              <w:jc w:val="right"/>
              <w:rPr>
                <w:color w:val="000000"/>
                <w:sz w:val="20"/>
                <w:szCs w:val="20"/>
              </w:rPr>
            </w:pPr>
            <w:r w:rsidRPr="00BB3C33">
              <w:rPr>
                <w:color w:val="000000"/>
                <w:sz w:val="20"/>
                <w:szCs w:val="20"/>
              </w:rPr>
              <w:t>4.39%</w:t>
            </w:r>
          </w:p>
        </w:tc>
      </w:tr>
      <w:tr w:rsidR="001A61AD" w:rsidRPr="00DD0432" w14:paraId="7821B975" w14:textId="77777777">
        <w:trPr>
          <w:trHeight w:val="397"/>
        </w:trPr>
        <w:tc>
          <w:tcPr>
            <w:tcW w:w="4390" w:type="dxa"/>
            <w:noWrap/>
            <w:vAlign w:val="center"/>
            <w:hideMark/>
          </w:tcPr>
          <w:p w14:paraId="4B18E4AB" w14:textId="77777777" w:rsidR="001A61AD" w:rsidRPr="00DD0432" w:rsidRDefault="001A61AD" w:rsidP="001A61AD">
            <w:pPr>
              <w:spacing w:line="276" w:lineRule="auto"/>
              <w:rPr>
                <w:color w:val="000000"/>
                <w:sz w:val="20"/>
                <w:szCs w:val="20"/>
              </w:rPr>
            </w:pPr>
            <w:r w:rsidRPr="00DD0432">
              <w:rPr>
                <w:color w:val="000000"/>
                <w:sz w:val="20"/>
                <w:szCs w:val="20"/>
              </w:rPr>
              <w:t>Health</w:t>
            </w:r>
          </w:p>
        </w:tc>
        <w:tc>
          <w:tcPr>
            <w:tcW w:w="2409" w:type="dxa"/>
            <w:noWrap/>
            <w:vAlign w:val="center"/>
            <w:hideMark/>
          </w:tcPr>
          <w:p w14:paraId="15094DAA" w14:textId="02E969E3" w:rsidR="001A61AD" w:rsidRPr="001A61AD" w:rsidRDefault="001A61AD" w:rsidP="001A61AD">
            <w:pPr>
              <w:spacing w:line="276" w:lineRule="auto"/>
              <w:jc w:val="right"/>
              <w:rPr>
                <w:color w:val="000000"/>
                <w:sz w:val="20"/>
                <w:szCs w:val="20"/>
              </w:rPr>
            </w:pPr>
            <w:r w:rsidRPr="00BB3C33">
              <w:rPr>
                <w:color w:val="000000"/>
                <w:sz w:val="20"/>
                <w:szCs w:val="20"/>
              </w:rPr>
              <w:t>$2,043,344,805</w:t>
            </w:r>
          </w:p>
        </w:tc>
        <w:tc>
          <w:tcPr>
            <w:tcW w:w="2127" w:type="dxa"/>
            <w:noWrap/>
            <w:vAlign w:val="center"/>
            <w:hideMark/>
          </w:tcPr>
          <w:p w14:paraId="20F5288F" w14:textId="4F8FDE5D" w:rsidR="001A61AD" w:rsidRPr="001A61AD" w:rsidRDefault="001A61AD" w:rsidP="001A61AD">
            <w:pPr>
              <w:spacing w:line="276" w:lineRule="auto"/>
              <w:jc w:val="right"/>
              <w:rPr>
                <w:color w:val="000000"/>
                <w:sz w:val="20"/>
                <w:szCs w:val="20"/>
              </w:rPr>
            </w:pPr>
            <w:r w:rsidRPr="00BB3C33">
              <w:rPr>
                <w:color w:val="000000"/>
                <w:sz w:val="20"/>
                <w:szCs w:val="20"/>
              </w:rPr>
              <w:t>48.43%</w:t>
            </w:r>
          </w:p>
        </w:tc>
      </w:tr>
      <w:tr w:rsidR="001A61AD" w:rsidRPr="00DD0432" w14:paraId="658E84A6" w14:textId="77777777">
        <w:trPr>
          <w:trHeight w:val="397"/>
        </w:trPr>
        <w:tc>
          <w:tcPr>
            <w:tcW w:w="4390" w:type="dxa"/>
            <w:noWrap/>
            <w:vAlign w:val="center"/>
            <w:hideMark/>
          </w:tcPr>
          <w:p w14:paraId="40D4B098" w14:textId="77777777" w:rsidR="001A61AD" w:rsidRPr="00DD0432" w:rsidRDefault="001A61AD" w:rsidP="001A61AD">
            <w:pPr>
              <w:spacing w:line="276" w:lineRule="auto"/>
              <w:rPr>
                <w:color w:val="000000"/>
                <w:sz w:val="20"/>
                <w:szCs w:val="20"/>
              </w:rPr>
            </w:pPr>
            <w:r w:rsidRPr="00DD0432">
              <w:rPr>
                <w:color w:val="000000"/>
                <w:sz w:val="20"/>
                <w:szCs w:val="20"/>
              </w:rPr>
              <w:t>Work or study impacts</w:t>
            </w:r>
          </w:p>
        </w:tc>
        <w:tc>
          <w:tcPr>
            <w:tcW w:w="2409" w:type="dxa"/>
            <w:noWrap/>
            <w:vAlign w:val="center"/>
            <w:hideMark/>
          </w:tcPr>
          <w:p w14:paraId="3A87910F" w14:textId="5D5278C4" w:rsidR="001A61AD" w:rsidRPr="001A61AD" w:rsidRDefault="001A61AD" w:rsidP="001A61AD">
            <w:pPr>
              <w:spacing w:line="276" w:lineRule="auto"/>
              <w:jc w:val="right"/>
              <w:rPr>
                <w:color w:val="000000"/>
                <w:sz w:val="20"/>
                <w:szCs w:val="20"/>
              </w:rPr>
            </w:pPr>
            <w:r w:rsidRPr="00BB3C33">
              <w:rPr>
                <w:color w:val="000000"/>
                <w:sz w:val="20"/>
                <w:szCs w:val="20"/>
              </w:rPr>
              <w:t>$678,829,001</w:t>
            </w:r>
          </w:p>
        </w:tc>
        <w:tc>
          <w:tcPr>
            <w:tcW w:w="2127" w:type="dxa"/>
            <w:noWrap/>
            <w:vAlign w:val="center"/>
            <w:hideMark/>
          </w:tcPr>
          <w:p w14:paraId="7DD4BE1E" w14:textId="3FEFE606" w:rsidR="001A61AD" w:rsidRPr="001A61AD" w:rsidRDefault="001A61AD" w:rsidP="001A61AD">
            <w:pPr>
              <w:spacing w:line="276" w:lineRule="auto"/>
              <w:jc w:val="right"/>
              <w:rPr>
                <w:color w:val="000000"/>
                <w:sz w:val="20"/>
                <w:szCs w:val="20"/>
              </w:rPr>
            </w:pPr>
            <w:r w:rsidRPr="00BB3C33">
              <w:rPr>
                <w:color w:val="000000"/>
                <w:sz w:val="20"/>
                <w:szCs w:val="20"/>
              </w:rPr>
              <w:t>16.09%</w:t>
            </w:r>
          </w:p>
        </w:tc>
      </w:tr>
      <w:tr w:rsidR="001A61AD" w:rsidRPr="00DD0432" w14:paraId="5D03B2E9" w14:textId="77777777">
        <w:trPr>
          <w:trHeight w:val="397"/>
        </w:trPr>
        <w:tc>
          <w:tcPr>
            <w:tcW w:w="4390" w:type="dxa"/>
            <w:noWrap/>
            <w:vAlign w:val="center"/>
            <w:hideMark/>
          </w:tcPr>
          <w:p w14:paraId="2783C8F8" w14:textId="77777777" w:rsidR="001A61AD" w:rsidRPr="00DD0432" w:rsidRDefault="001A61AD" w:rsidP="001A61AD">
            <w:pPr>
              <w:spacing w:line="276" w:lineRule="auto"/>
              <w:rPr>
                <w:color w:val="000000"/>
                <w:sz w:val="20"/>
                <w:szCs w:val="20"/>
              </w:rPr>
            </w:pPr>
            <w:r w:rsidRPr="00DD0432">
              <w:rPr>
                <w:color w:val="000000"/>
                <w:sz w:val="20"/>
                <w:szCs w:val="20"/>
              </w:rPr>
              <w:t>Criminal activity</w:t>
            </w:r>
          </w:p>
        </w:tc>
        <w:tc>
          <w:tcPr>
            <w:tcW w:w="2409" w:type="dxa"/>
            <w:noWrap/>
            <w:vAlign w:val="center"/>
            <w:hideMark/>
          </w:tcPr>
          <w:p w14:paraId="05C1A4D2" w14:textId="71584074" w:rsidR="001A61AD" w:rsidRPr="001A61AD" w:rsidRDefault="001A61AD" w:rsidP="001A61AD">
            <w:pPr>
              <w:spacing w:line="276" w:lineRule="auto"/>
              <w:jc w:val="right"/>
              <w:rPr>
                <w:color w:val="000000"/>
                <w:sz w:val="20"/>
                <w:szCs w:val="20"/>
              </w:rPr>
            </w:pPr>
            <w:r w:rsidRPr="00BB3C33">
              <w:rPr>
                <w:color w:val="000000"/>
                <w:sz w:val="20"/>
                <w:szCs w:val="20"/>
              </w:rPr>
              <w:t>$54,347,468</w:t>
            </w:r>
          </w:p>
        </w:tc>
        <w:tc>
          <w:tcPr>
            <w:tcW w:w="2127" w:type="dxa"/>
            <w:noWrap/>
            <w:vAlign w:val="center"/>
            <w:hideMark/>
          </w:tcPr>
          <w:p w14:paraId="70DCADC8" w14:textId="61AD9EE5" w:rsidR="001A61AD" w:rsidRPr="001A61AD" w:rsidRDefault="001A61AD" w:rsidP="001A61AD">
            <w:pPr>
              <w:spacing w:line="276" w:lineRule="auto"/>
              <w:jc w:val="right"/>
              <w:rPr>
                <w:color w:val="000000"/>
                <w:sz w:val="20"/>
                <w:szCs w:val="20"/>
              </w:rPr>
            </w:pPr>
            <w:r w:rsidRPr="00BB3C33">
              <w:rPr>
                <w:color w:val="000000"/>
                <w:sz w:val="20"/>
                <w:szCs w:val="20"/>
              </w:rPr>
              <w:t>1.29%</w:t>
            </w:r>
          </w:p>
        </w:tc>
      </w:tr>
      <w:tr w:rsidR="001A61AD" w:rsidRPr="00DD0432" w14:paraId="31E6B3EA" w14:textId="77777777">
        <w:trPr>
          <w:trHeight w:val="397"/>
        </w:trPr>
        <w:tc>
          <w:tcPr>
            <w:tcW w:w="4390" w:type="dxa"/>
            <w:vAlign w:val="center"/>
            <w:hideMark/>
          </w:tcPr>
          <w:p w14:paraId="71F38C01" w14:textId="77777777" w:rsidR="001A61AD" w:rsidRPr="00DD0432" w:rsidRDefault="001A61AD" w:rsidP="001A61AD">
            <w:pPr>
              <w:spacing w:line="276" w:lineRule="auto"/>
              <w:rPr>
                <w:color w:val="000000"/>
                <w:sz w:val="20"/>
                <w:szCs w:val="20"/>
              </w:rPr>
            </w:pPr>
            <w:r w:rsidRPr="00DD0432">
              <w:rPr>
                <w:color w:val="000000"/>
                <w:sz w:val="20"/>
                <w:szCs w:val="20"/>
              </w:rPr>
              <w:t>Life course harm (homelessness)</w:t>
            </w:r>
          </w:p>
        </w:tc>
        <w:tc>
          <w:tcPr>
            <w:tcW w:w="2409" w:type="dxa"/>
            <w:noWrap/>
            <w:vAlign w:val="center"/>
            <w:hideMark/>
          </w:tcPr>
          <w:p w14:paraId="274EE9C4" w14:textId="5CB5A1AA" w:rsidR="001A61AD" w:rsidRPr="001A61AD" w:rsidRDefault="001A61AD" w:rsidP="001A61AD">
            <w:pPr>
              <w:spacing w:line="276" w:lineRule="auto"/>
              <w:jc w:val="right"/>
              <w:rPr>
                <w:color w:val="000000"/>
                <w:sz w:val="20"/>
                <w:szCs w:val="20"/>
              </w:rPr>
            </w:pPr>
            <w:r w:rsidRPr="00BB3C33">
              <w:rPr>
                <w:color w:val="000000"/>
                <w:sz w:val="20"/>
                <w:szCs w:val="20"/>
              </w:rPr>
              <w:t>$5,203,623</w:t>
            </w:r>
          </w:p>
        </w:tc>
        <w:tc>
          <w:tcPr>
            <w:tcW w:w="2127" w:type="dxa"/>
            <w:noWrap/>
            <w:vAlign w:val="center"/>
            <w:hideMark/>
          </w:tcPr>
          <w:p w14:paraId="196AD128" w14:textId="3F07D4DE" w:rsidR="001A61AD" w:rsidRPr="001A61AD" w:rsidRDefault="001A61AD" w:rsidP="001A61AD">
            <w:pPr>
              <w:spacing w:line="276" w:lineRule="auto"/>
              <w:jc w:val="right"/>
              <w:rPr>
                <w:color w:val="000000"/>
                <w:sz w:val="20"/>
                <w:szCs w:val="20"/>
              </w:rPr>
            </w:pPr>
            <w:r w:rsidRPr="00BB3C33">
              <w:rPr>
                <w:color w:val="000000"/>
                <w:sz w:val="20"/>
                <w:szCs w:val="20"/>
              </w:rPr>
              <w:t>0.12%</w:t>
            </w:r>
          </w:p>
        </w:tc>
      </w:tr>
      <w:tr w:rsidR="001A61AD" w:rsidRPr="00DD0432" w14:paraId="7220A547" w14:textId="77777777">
        <w:trPr>
          <w:trHeight w:val="397"/>
        </w:trPr>
        <w:tc>
          <w:tcPr>
            <w:tcW w:w="4390" w:type="dxa"/>
            <w:noWrap/>
            <w:vAlign w:val="center"/>
            <w:hideMark/>
          </w:tcPr>
          <w:p w14:paraId="7A90DD50" w14:textId="77777777" w:rsidR="001A61AD" w:rsidRPr="00DD0432" w:rsidRDefault="001A61AD" w:rsidP="001A61AD">
            <w:pPr>
              <w:spacing w:line="276" w:lineRule="auto"/>
              <w:rPr>
                <w:color w:val="000000"/>
                <w:sz w:val="20"/>
                <w:szCs w:val="20"/>
              </w:rPr>
            </w:pPr>
            <w:r w:rsidRPr="00DD0432">
              <w:rPr>
                <w:color w:val="000000"/>
                <w:sz w:val="20"/>
                <w:szCs w:val="20"/>
              </w:rPr>
              <w:t>Other government or community costs</w:t>
            </w:r>
          </w:p>
        </w:tc>
        <w:tc>
          <w:tcPr>
            <w:tcW w:w="2409" w:type="dxa"/>
            <w:noWrap/>
            <w:vAlign w:val="center"/>
            <w:hideMark/>
          </w:tcPr>
          <w:p w14:paraId="228746F1" w14:textId="44CCDDC5" w:rsidR="001A61AD" w:rsidRPr="001A61AD" w:rsidRDefault="001A61AD" w:rsidP="001A61AD">
            <w:pPr>
              <w:spacing w:line="276" w:lineRule="auto"/>
              <w:jc w:val="right"/>
              <w:rPr>
                <w:color w:val="000000"/>
                <w:sz w:val="20"/>
                <w:szCs w:val="20"/>
              </w:rPr>
            </w:pPr>
            <w:r w:rsidRPr="00BB3C33">
              <w:rPr>
                <w:color w:val="000000"/>
                <w:sz w:val="20"/>
                <w:szCs w:val="20"/>
              </w:rPr>
              <w:t>$58,768,750</w:t>
            </w:r>
          </w:p>
        </w:tc>
        <w:tc>
          <w:tcPr>
            <w:tcW w:w="2127" w:type="dxa"/>
            <w:noWrap/>
            <w:vAlign w:val="center"/>
            <w:hideMark/>
          </w:tcPr>
          <w:p w14:paraId="3AB94F36" w14:textId="0264B226" w:rsidR="001A61AD" w:rsidRPr="001A61AD" w:rsidRDefault="001A61AD" w:rsidP="001A61AD">
            <w:pPr>
              <w:spacing w:line="276" w:lineRule="auto"/>
              <w:jc w:val="right"/>
              <w:rPr>
                <w:color w:val="000000"/>
                <w:sz w:val="20"/>
                <w:szCs w:val="20"/>
              </w:rPr>
            </w:pPr>
            <w:r w:rsidRPr="00BB3C33">
              <w:rPr>
                <w:color w:val="000000"/>
                <w:sz w:val="20"/>
                <w:szCs w:val="20"/>
              </w:rPr>
              <w:t>1.39%</w:t>
            </w:r>
          </w:p>
        </w:tc>
      </w:tr>
      <w:tr w:rsidR="001A61AD" w:rsidRPr="00DD0432" w14:paraId="6775502A" w14:textId="77777777">
        <w:trPr>
          <w:trHeight w:val="397"/>
        </w:trPr>
        <w:tc>
          <w:tcPr>
            <w:tcW w:w="4390" w:type="dxa"/>
            <w:noWrap/>
            <w:vAlign w:val="center"/>
            <w:hideMark/>
          </w:tcPr>
          <w:p w14:paraId="69718CC0" w14:textId="77777777" w:rsidR="001A61AD" w:rsidRPr="00DD0432" w:rsidRDefault="001A61AD" w:rsidP="001A61AD">
            <w:pPr>
              <w:spacing w:line="276" w:lineRule="auto"/>
              <w:rPr>
                <w:color w:val="000000"/>
                <w:sz w:val="20"/>
                <w:szCs w:val="20"/>
              </w:rPr>
            </w:pPr>
            <w:r w:rsidRPr="00DD0432">
              <w:rPr>
                <w:color w:val="000000"/>
                <w:sz w:val="20"/>
                <w:szCs w:val="20"/>
              </w:rPr>
              <w:t> </w:t>
            </w:r>
          </w:p>
        </w:tc>
        <w:tc>
          <w:tcPr>
            <w:tcW w:w="2409" w:type="dxa"/>
            <w:noWrap/>
            <w:vAlign w:val="center"/>
            <w:hideMark/>
          </w:tcPr>
          <w:p w14:paraId="44319A9C" w14:textId="348B5452" w:rsidR="001A61AD" w:rsidRPr="001A61AD" w:rsidRDefault="001A61AD" w:rsidP="001A61AD">
            <w:pPr>
              <w:spacing w:line="276" w:lineRule="auto"/>
              <w:jc w:val="right"/>
              <w:rPr>
                <w:b/>
                <w:bCs/>
                <w:color w:val="000000"/>
                <w:sz w:val="20"/>
                <w:szCs w:val="20"/>
              </w:rPr>
            </w:pPr>
            <w:r w:rsidRPr="00BB3C33">
              <w:rPr>
                <w:b/>
                <w:bCs/>
                <w:color w:val="000000"/>
                <w:sz w:val="20"/>
                <w:szCs w:val="20"/>
              </w:rPr>
              <w:t>$4,218,927,498</w:t>
            </w:r>
          </w:p>
        </w:tc>
        <w:tc>
          <w:tcPr>
            <w:tcW w:w="2127" w:type="dxa"/>
            <w:noWrap/>
            <w:vAlign w:val="center"/>
            <w:hideMark/>
          </w:tcPr>
          <w:p w14:paraId="3E052BFD" w14:textId="602E96FE" w:rsidR="001A61AD" w:rsidRPr="001A61AD" w:rsidRDefault="001A61AD" w:rsidP="001A61AD">
            <w:pPr>
              <w:spacing w:line="276" w:lineRule="auto"/>
              <w:jc w:val="right"/>
              <w:rPr>
                <w:b/>
                <w:bCs/>
                <w:color w:val="000000"/>
                <w:sz w:val="20"/>
                <w:szCs w:val="20"/>
              </w:rPr>
            </w:pPr>
            <w:r w:rsidRPr="00BB3C33">
              <w:rPr>
                <w:b/>
                <w:bCs/>
                <w:color w:val="000000"/>
                <w:sz w:val="20"/>
                <w:szCs w:val="20"/>
              </w:rPr>
              <w:t> </w:t>
            </w:r>
          </w:p>
        </w:tc>
      </w:tr>
    </w:tbl>
    <w:p w14:paraId="1A91517F" w14:textId="77777777" w:rsidR="00CF48ED" w:rsidRPr="00DD0432" w:rsidRDefault="00CF48ED" w:rsidP="00CF48ED">
      <w:pPr>
        <w:spacing w:line="276" w:lineRule="auto"/>
      </w:pPr>
    </w:p>
    <w:p w14:paraId="11D3FAF6" w14:textId="77777777" w:rsidR="00DB689D" w:rsidRDefault="00310A10" w:rsidP="00C30E1A">
      <w:pPr>
        <w:pStyle w:val="Heading3"/>
      </w:pPr>
      <w:bookmarkStart w:id="369" w:name="_xvggwvnqlicm" w:colFirst="0" w:colLast="0"/>
      <w:bookmarkStart w:id="370" w:name="_Toc201572445"/>
      <w:bookmarkStart w:id="371" w:name="_Toc207195964"/>
      <w:bookmarkEnd w:id="369"/>
      <w:r>
        <w:t>Summary of cost items</w:t>
      </w:r>
      <w:bookmarkEnd w:id="370"/>
      <w:bookmarkEnd w:id="371"/>
    </w:p>
    <w:p w14:paraId="5EA39237" w14:textId="08449FB8" w:rsidR="00DB689D" w:rsidRDefault="00310A10" w:rsidP="00367A8D">
      <w:pPr>
        <w:spacing w:before="240" w:after="240" w:line="360" w:lineRule="auto"/>
      </w:pPr>
      <w:r>
        <w:t>Within the major cost categories, the distribution of costs among more specific items reveals several patterns, as shown in</w:t>
      </w:r>
      <w:r w:rsidR="00CF48ED">
        <w:t xml:space="preserve"> Table </w:t>
      </w:r>
      <w:r w:rsidR="00757932">
        <w:t>6</w:t>
      </w:r>
      <w:r>
        <w:t>.</w:t>
      </w:r>
      <w:r w:rsidR="00DB094D">
        <w:t xml:space="preserve"> </w:t>
      </w:r>
      <w:r>
        <w:t xml:space="preserve">For </w:t>
      </w:r>
      <w:r>
        <w:rPr>
          <w:b/>
        </w:rPr>
        <w:t>Financial impacts</w:t>
      </w:r>
      <w:r>
        <w:t xml:space="preserve">, the estimated $1.19 billion attributed to the total opportunity cost of excess gambling spend represents the predominant share. </w:t>
      </w:r>
      <w:r w:rsidR="00BF5F3D">
        <w:t>W</w:t>
      </w:r>
      <w:r>
        <w:t>hile costs related to bankruptcy or insolvency, including administration and unpaid debts, are comparatively smaller at $1.1 million.</w:t>
      </w:r>
    </w:p>
    <w:p w14:paraId="442D263E" w14:textId="77777777" w:rsidR="00DB689D" w:rsidRDefault="00310A10" w:rsidP="00367A8D">
      <w:pPr>
        <w:spacing w:before="240" w:after="240" w:line="360" w:lineRule="auto"/>
      </w:pPr>
      <w:r>
        <w:t xml:space="preserve">In the category of </w:t>
      </w:r>
      <w:r>
        <w:rPr>
          <w:b/>
        </w:rPr>
        <w:t>Relationship disruption, conflict or breakdown</w:t>
      </w:r>
      <w:r>
        <w:t>, costs are divided between divorce and separation ($105.3 million) and experiences of violence ($79.9 million). For both sub-categories, the emotional distress experienced by affected others ($63.9 million for divorce/separation; $50.3 million for violence) constitutes a larger cost than that assigned to the person who gambles. This is because each person experiencing gambling problems typically affects multiple others, resulting in a larger population of affected others overall. The direct financial costs of divorce and separation ($3.8 million) are notably less than the emotional distress components.</w:t>
      </w:r>
    </w:p>
    <w:p w14:paraId="1320DF55" w14:textId="77777777" w:rsidR="00DB689D" w:rsidRDefault="00310A10" w:rsidP="00367A8D">
      <w:pPr>
        <w:spacing w:before="240" w:after="240" w:line="360" w:lineRule="auto"/>
      </w:pPr>
      <w:r>
        <w:t xml:space="preserve">Under </w:t>
      </w:r>
      <w:r>
        <w:rPr>
          <w:b/>
        </w:rPr>
        <w:t>Health</w:t>
      </w:r>
      <w:r>
        <w:t xml:space="preserve"> costs, the estimated HRQoL impact of gambling harm is the most significant component, totalling $1.68 billion, with similar values for the impact on the person who gambles ($830.6 million) and on affected others ($852.2 million). Costs to health systems are the next largest at $130.1 million. Suicide attempts contribute $104.2 million, where emotional distress to affected others ($82.1 million) is the largest part. Impacts of fatality by suicide amount to $65.2 million, primarily driven by costs to business/government ($59.1 million), and depression accounts for $61.0 million.</w:t>
      </w:r>
    </w:p>
    <w:p w14:paraId="6F248C4E" w14:textId="77777777" w:rsidR="00DB689D" w:rsidRDefault="00310A10" w:rsidP="00367A8D">
      <w:pPr>
        <w:spacing w:before="240" w:after="240" w:line="360" w:lineRule="auto"/>
      </w:pPr>
      <w:r>
        <w:t xml:space="preserve">Regarding </w:t>
      </w:r>
      <w:r>
        <w:rPr>
          <w:b/>
        </w:rPr>
        <w:t>work or study impacts</w:t>
      </w:r>
      <w:r>
        <w:t>, the estimated cost of productivity loss to business is the largest single item at $588.1 million. The cost of job loss amounts to $70.9 million, within which loss of income ($32.9 million) and employer staff replacement costs ($27.8 million) are the primary elements. The cost of absenteeism to business is lower at $19.8 million.</w:t>
      </w:r>
    </w:p>
    <w:p w14:paraId="682770AA" w14:textId="09050C19" w:rsidR="00DB689D" w:rsidRDefault="00310A10" w:rsidP="00367A8D">
      <w:pPr>
        <w:spacing w:before="240" w:after="240" w:line="360" w:lineRule="auto"/>
      </w:pPr>
      <w:r>
        <w:t xml:space="preserve">For </w:t>
      </w:r>
      <w:r>
        <w:rPr>
          <w:b/>
        </w:rPr>
        <w:t>Criminal activity</w:t>
      </w:r>
      <w:r>
        <w:t>, the costs are distributed between the New Zealand justice system ($</w:t>
      </w:r>
      <w:r w:rsidR="00B06FAA">
        <w:t>22.4</w:t>
      </w:r>
      <w:r>
        <w:t xml:space="preserve"> million) and crime to business ($32.0 million). Within the justice system, corrections system costs ($</w:t>
      </w:r>
      <w:r w:rsidR="00C121D0">
        <w:t>19.2</w:t>
      </w:r>
      <w:r>
        <w:t xml:space="preserve"> million) are the most substantial. For crime impacting businesses, petty theft or dishonesty ($28.4 million) accounts for a greater cost than major fraud ($3.6 million).</w:t>
      </w:r>
    </w:p>
    <w:p w14:paraId="1E4AC7C6" w14:textId="6B5C0CB8" w:rsidR="00DB689D" w:rsidRDefault="00310A10" w:rsidP="00367A8D">
      <w:pPr>
        <w:spacing w:before="240" w:after="240" w:line="360" w:lineRule="auto"/>
      </w:pPr>
      <w:r>
        <w:t xml:space="preserve">The </w:t>
      </w:r>
      <w:r>
        <w:rPr>
          <w:b/>
        </w:rPr>
        <w:t>Life course harm</w:t>
      </w:r>
      <w:r>
        <w:t xml:space="preserve"> category, as detailed, currently encompasses $5.2 million solely for homelessness services, with broader harms not able to be included due to limited data.</w:t>
      </w:r>
      <w:r w:rsidR="00DB094D">
        <w:t xml:space="preserve"> </w:t>
      </w:r>
      <w:r>
        <w:t xml:space="preserve">Finally, within </w:t>
      </w:r>
      <w:r w:rsidR="006A1508">
        <w:rPr>
          <w:b/>
        </w:rPr>
        <w:t>other</w:t>
      </w:r>
      <w:r>
        <w:rPr>
          <w:b/>
        </w:rPr>
        <w:t xml:space="preserve"> government or community costs</w:t>
      </w:r>
      <w:r>
        <w:t>, New Zealand Government expenditure on policy, regulation, and research (including treatment funding) is $</w:t>
      </w:r>
      <w:r w:rsidR="00056AB7">
        <w:t>48.8</w:t>
      </w:r>
      <w:r>
        <w:t xml:space="preserve"> million, while an estimated $10.</w:t>
      </w:r>
      <w:r w:rsidR="00645D6B">
        <w:t>0</w:t>
      </w:r>
      <w:r>
        <w:t xml:space="preserve"> million is spent by non-profit organisations for the provision of services related to gambling addiction.</w:t>
      </w:r>
    </w:p>
    <w:p w14:paraId="6B6E5C63" w14:textId="046F8FFC" w:rsidR="00CF48ED" w:rsidRPr="00DD0432" w:rsidRDefault="00CF48ED" w:rsidP="00DB094D">
      <w:pPr>
        <w:pStyle w:val="Caption"/>
      </w:pPr>
      <w:bookmarkStart w:id="372" w:name="_pe246y5klh5j" w:colFirst="0" w:colLast="0"/>
      <w:bookmarkStart w:id="373" w:name="_Toc207619048"/>
      <w:bookmarkEnd w:id="372"/>
      <w:r w:rsidRPr="00DD0432">
        <w:t xml:space="preserve">Table </w:t>
      </w:r>
      <w:r w:rsidRPr="00DD0432">
        <w:fldChar w:fldCharType="begin"/>
      </w:r>
      <w:r w:rsidRPr="00DD0432">
        <w:instrText xml:space="preserve"> SEQ Table \* ARABIC </w:instrText>
      </w:r>
      <w:r w:rsidRPr="00DD0432">
        <w:fldChar w:fldCharType="separate"/>
      </w:r>
      <w:r w:rsidR="00986A0D">
        <w:rPr>
          <w:noProof/>
        </w:rPr>
        <w:t>6</w:t>
      </w:r>
      <w:r w:rsidRPr="00DD0432">
        <w:fldChar w:fldCharType="end"/>
      </w:r>
      <w:r w:rsidRPr="00DD0432">
        <w:t>. Cost of gambling problems to New Zealand (2023-24) by cost item</w:t>
      </w:r>
      <w:r>
        <w:t>s</w:t>
      </w:r>
      <w:bookmarkEnd w:id="373"/>
    </w:p>
    <w:tbl>
      <w:tblPr>
        <w:tblStyle w:val="TableGridLight"/>
        <w:tblW w:w="9375" w:type="dxa"/>
        <w:tblLook w:val="04A0" w:firstRow="1" w:lastRow="0" w:firstColumn="1" w:lastColumn="0" w:noHBand="0" w:noVBand="1"/>
      </w:tblPr>
      <w:tblGrid>
        <w:gridCol w:w="2122"/>
        <w:gridCol w:w="61"/>
        <w:gridCol w:w="4475"/>
        <w:gridCol w:w="2717"/>
      </w:tblGrid>
      <w:tr w:rsidR="00CF48ED" w:rsidRPr="00DD0432" w14:paraId="1175DCBA" w14:textId="77777777" w:rsidTr="00BB3C33">
        <w:trPr>
          <w:trHeight w:val="170"/>
        </w:trPr>
        <w:tc>
          <w:tcPr>
            <w:tcW w:w="2122" w:type="dxa"/>
            <w:shd w:val="clear" w:color="auto" w:fill="F2F2F2" w:themeFill="background1" w:themeFillShade="F2"/>
            <w:vAlign w:val="center"/>
            <w:hideMark/>
          </w:tcPr>
          <w:p w14:paraId="03DB23FA" w14:textId="77777777" w:rsidR="00CF48ED" w:rsidRPr="00DD0432" w:rsidRDefault="00CF48ED">
            <w:pPr>
              <w:spacing w:line="276" w:lineRule="auto"/>
              <w:jc w:val="center"/>
              <w:rPr>
                <w:b/>
                <w:bCs/>
                <w:color w:val="000000"/>
                <w:sz w:val="20"/>
                <w:szCs w:val="20"/>
              </w:rPr>
            </w:pPr>
            <w:r w:rsidRPr="00DD0432">
              <w:rPr>
                <w:b/>
                <w:bCs/>
                <w:color w:val="000000"/>
                <w:sz w:val="20"/>
                <w:szCs w:val="20"/>
              </w:rPr>
              <w:t>Cost Category</w:t>
            </w:r>
          </w:p>
        </w:tc>
        <w:tc>
          <w:tcPr>
            <w:tcW w:w="4536" w:type="dxa"/>
            <w:gridSpan w:val="2"/>
            <w:shd w:val="clear" w:color="auto" w:fill="F2F2F2" w:themeFill="background1" w:themeFillShade="F2"/>
            <w:vAlign w:val="center"/>
            <w:hideMark/>
          </w:tcPr>
          <w:p w14:paraId="08FFD16A" w14:textId="77777777" w:rsidR="00CF48ED" w:rsidRPr="00DD0432" w:rsidRDefault="00CF48ED">
            <w:pPr>
              <w:spacing w:line="276" w:lineRule="auto"/>
              <w:jc w:val="center"/>
              <w:rPr>
                <w:b/>
                <w:bCs/>
                <w:color w:val="000000"/>
                <w:sz w:val="20"/>
                <w:szCs w:val="20"/>
              </w:rPr>
            </w:pPr>
            <w:r w:rsidRPr="00DD0432">
              <w:rPr>
                <w:b/>
                <w:bCs/>
                <w:color w:val="000000"/>
                <w:sz w:val="20"/>
                <w:szCs w:val="20"/>
              </w:rPr>
              <w:t>Cost Item</w:t>
            </w:r>
          </w:p>
        </w:tc>
        <w:tc>
          <w:tcPr>
            <w:tcW w:w="2716" w:type="dxa"/>
            <w:shd w:val="clear" w:color="auto" w:fill="F2F2F2" w:themeFill="background1" w:themeFillShade="F2"/>
            <w:vAlign w:val="center"/>
            <w:hideMark/>
          </w:tcPr>
          <w:p w14:paraId="59118DB2" w14:textId="77777777" w:rsidR="00CF48ED" w:rsidRPr="00DD0432" w:rsidRDefault="00CF48ED">
            <w:pPr>
              <w:spacing w:line="276" w:lineRule="auto"/>
              <w:jc w:val="center"/>
              <w:rPr>
                <w:b/>
                <w:bCs/>
                <w:color w:val="000000"/>
                <w:sz w:val="20"/>
                <w:szCs w:val="20"/>
              </w:rPr>
            </w:pPr>
            <w:r w:rsidRPr="00DD0432">
              <w:rPr>
                <w:b/>
                <w:bCs/>
                <w:color w:val="000000"/>
                <w:sz w:val="20"/>
                <w:szCs w:val="20"/>
              </w:rPr>
              <w:t>Detailed costs</w:t>
            </w:r>
          </w:p>
        </w:tc>
      </w:tr>
      <w:tr w:rsidR="00C121D0" w:rsidRPr="00DD0432" w14:paraId="232D87CC" w14:textId="77777777" w:rsidTr="00BB3C33">
        <w:trPr>
          <w:trHeight w:val="170"/>
        </w:trPr>
        <w:tc>
          <w:tcPr>
            <w:tcW w:w="2183" w:type="dxa"/>
            <w:gridSpan w:val="2"/>
            <w:vMerge w:val="restart"/>
            <w:vAlign w:val="center"/>
            <w:hideMark/>
          </w:tcPr>
          <w:p w14:paraId="71A19718" w14:textId="77777777" w:rsidR="00C121D0" w:rsidRPr="00DD0432" w:rsidRDefault="00C121D0" w:rsidP="00C121D0">
            <w:pPr>
              <w:spacing w:line="276" w:lineRule="auto"/>
              <w:rPr>
                <w:color w:val="000000"/>
                <w:sz w:val="20"/>
                <w:szCs w:val="20"/>
              </w:rPr>
            </w:pPr>
            <w:r w:rsidRPr="00DD0432">
              <w:rPr>
                <w:color w:val="000000"/>
                <w:sz w:val="20"/>
                <w:szCs w:val="20"/>
              </w:rPr>
              <w:t>Financial impacts</w:t>
            </w:r>
          </w:p>
        </w:tc>
        <w:tc>
          <w:tcPr>
            <w:tcW w:w="4475" w:type="dxa"/>
            <w:noWrap/>
            <w:vAlign w:val="center"/>
            <w:hideMark/>
          </w:tcPr>
          <w:p w14:paraId="5F2E7784" w14:textId="185756D5" w:rsidR="00C121D0" w:rsidRPr="00DD0432" w:rsidRDefault="00C121D0" w:rsidP="00C121D0">
            <w:pPr>
              <w:spacing w:line="276" w:lineRule="auto"/>
              <w:rPr>
                <w:color w:val="000000"/>
                <w:sz w:val="20"/>
                <w:szCs w:val="20"/>
              </w:rPr>
            </w:pPr>
            <w:r>
              <w:rPr>
                <w:color w:val="000000"/>
                <w:sz w:val="20"/>
                <w:szCs w:val="20"/>
              </w:rPr>
              <w:t>Total opportunity cost of excess gambling spend</w:t>
            </w:r>
          </w:p>
        </w:tc>
        <w:tc>
          <w:tcPr>
            <w:tcW w:w="2716" w:type="dxa"/>
            <w:noWrap/>
            <w:vAlign w:val="center"/>
            <w:hideMark/>
          </w:tcPr>
          <w:p w14:paraId="14ABF047" w14:textId="69AAE924" w:rsidR="00C121D0" w:rsidRPr="00DD0432" w:rsidRDefault="00C121D0" w:rsidP="00C121D0">
            <w:pPr>
              <w:spacing w:line="276" w:lineRule="auto"/>
              <w:jc w:val="right"/>
              <w:rPr>
                <w:color w:val="000000"/>
                <w:sz w:val="20"/>
                <w:szCs w:val="20"/>
              </w:rPr>
            </w:pPr>
            <w:r>
              <w:rPr>
                <w:color w:val="000000"/>
                <w:sz w:val="20"/>
                <w:szCs w:val="20"/>
              </w:rPr>
              <w:t>$1,192,140,860</w:t>
            </w:r>
          </w:p>
        </w:tc>
      </w:tr>
      <w:tr w:rsidR="00C121D0" w:rsidRPr="00DD0432" w14:paraId="5B72649D" w14:textId="77777777" w:rsidTr="00BB3C33">
        <w:trPr>
          <w:trHeight w:val="170"/>
        </w:trPr>
        <w:tc>
          <w:tcPr>
            <w:tcW w:w="2183" w:type="dxa"/>
            <w:gridSpan w:val="2"/>
            <w:vMerge/>
            <w:vAlign w:val="center"/>
            <w:hideMark/>
          </w:tcPr>
          <w:p w14:paraId="24BF52D6" w14:textId="77777777" w:rsidR="00C121D0" w:rsidRPr="00DD0432" w:rsidRDefault="00C121D0" w:rsidP="00C121D0">
            <w:pPr>
              <w:spacing w:line="276" w:lineRule="auto"/>
              <w:rPr>
                <w:color w:val="000000"/>
                <w:sz w:val="20"/>
                <w:szCs w:val="20"/>
              </w:rPr>
            </w:pPr>
          </w:p>
        </w:tc>
        <w:tc>
          <w:tcPr>
            <w:tcW w:w="4475" w:type="dxa"/>
            <w:noWrap/>
            <w:vAlign w:val="center"/>
            <w:hideMark/>
          </w:tcPr>
          <w:p w14:paraId="5AD99848" w14:textId="5CBEFA05" w:rsidR="00C121D0" w:rsidRPr="00DD0432" w:rsidRDefault="00C121D0" w:rsidP="00C121D0">
            <w:pPr>
              <w:spacing w:line="276" w:lineRule="auto"/>
              <w:rPr>
                <w:color w:val="000000"/>
                <w:sz w:val="20"/>
                <w:szCs w:val="20"/>
              </w:rPr>
            </w:pPr>
            <w:r>
              <w:rPr>
                <w:color w:val="000000"/>
                <w:sz w:val="20"/>
                <w:szCs w:val="20"/>
              </w:rPr>
              <w:t>Bankruptcy and insolvency</w:t>
            </w:r>
          </w:p>
        </w:tc>
        <w:tc>
          <w:tcPr>
            <w:tcW w:w="2716" w:type="dxa"/>
            <w:noWrap/>
            <w:vAlign w:val="center"/>
            <w:hideMark/>
          </w:tcPr>
          <w:p w14:paraId="68B3F95D" w14:textId="258A79E5" w:rsidR="00C121D0" w:rsidRPr="00DD0432" w:rsidRDefault="00C121D0" w:rsidP="00C121D0">
            <w:pPr>
              <w:spacing w:line="276" w:lineRule="auto"/>
              <w:jc w:val="right"/>
              <w:rPr>
                <w:color w:val="000000"/>
                <w:sz w:val="20"/>
                <w:szCs w:val="20"/>
              </w:rPr>
            </w:pPr>
            <w:r>
              <w:rPr>
                <w:color w:val="000000"/>
                <w:sz w:val="20"/>
                <w:szCs w:val="20"/>
              </w:rPr>
              <w:t> </w:t>
            </w:r>
          </w:p>
        </w:tc>
      </w:tr>
      <w:tr w:rsidR="00C121D0" w:rsidRPr="00DD0432" w14:paraId="04565768" w14:textId="77777777" w:rsidTr="00BB3C33">
        <w:trPr>
          <w:trHeight w:val="170"/>
        </w:trPr>
        <w:tc>
          <w:tcPr>
            <w:tcW w:w="2183" w:type="dxa"/>
            <w:gridSpan w:val="2"/>
            <w:vMerge/>
            <w:vAlign w:val="center"/>
            <w:hideMark/>
          </w:tcPr>
          <w:p w14:paraId="4E8AB03A" w14:textId="77777777" w:rsidR="00C121D0" w:rsidRPr="00DD0432" w:rsidRDefault="00C121D0" w:rsidP="00C121D0">
            <w:pPr>
              <w:spacing w:line="276" w:lineRule="auto"/>
              <w:rPr>
                <w:color w:val="000000"/>
                <w:sz w:val="20"/>
                <w:szCs w:val="20"/>
              </w:rPr>
            </w:pPr>
          </w:p>
        </w:tc>
        <w:tc>
          <w:tcPr>
            <w:tcW w:w="4475" w:type="dxa"/>
            <w:noWrap/>
            <w:vAlign w:val="center"/>
            <w:hideMark/>
          </w:tcPr>
          <w:p w14:paraId="39978F11" w14:textId="4C730521" w:rsidR="00C121D0" w:rsidRPr="00DD0432" w:rsidRDefault="00C121D0" w:rsidP="00C121D0">
            <w:pPr>
              <w:spacing w:line="276" w:lineRule="auto"/>
              <w:rPr>
                <w:i/>
                <w:iCs/>
                <w:color w:val="000000"/>
                <w:sz w:val="20"/>
                <w:szCs w:val="20"/>
              </w:rPr>
            </w:pPr>
            <w:r>
              <w:rPr>
                <w:i/>
                <w:iCs/>
                <w:color w:val="000000"/>
                <w:sz w:val="20"/>
                <w:szCs w:val="20"/>
              </w:rPr>
              <w:t xml:space="preserve">   Cost of administration</w:t>
            </w:r>
          </w:p>
        </w:tc>
        <w:tc>
          <w:tcPr>
            <w:tcW w:w="2716" w:type="dxa"/>
            <w:noWrap/>
            <w:vAlign w:val="center"/>
            <w:hideMark/>
          </w:tcPr>
          <w:p w14:paraId="06584B88" w14:textId="7398B301" w:rsidR="00C121D0" w:rsidRPr="00DD0432" w:rsidRDefault="00C121D0" w:rsidP="00C121D0">
            <w:pPr>
              <w:spacing w:line="276" w:lineRule="auto"/>
              <w:jc w:val="right"/>
              <w:rPr>
                <w:i/>
                <w:iCs/>
                <w:color w:val="000000"/>
                <w:sz w:val="20"/>
                <w:szCs w:val="20"/>
              </w:rPr>
            </w:pPr>
            <w:r>
              <w:rPr>
                <w:i/>
                <w:iCs/>
                <w:color w:val="000000"/>
                <w:sz w:val="20"/>
                <w:szCs w:val="20"/>
              </w:rPr>
              <w:t>$266,240</w:t>
            </w:r>
          </w:p>
        </w:tc>
      </w:tr>
      <w:tr w:rsidR="00C121D0" w:rsidRPr="00DD0432" w14:paraId="7FBC660D" w14:textId="77777777" w:rsidTr="00BB3C33">
        <w:trPr>
          <w:trHeight w:val="170"/>
        </w:trPr>
        <w:tc>
          <w:tcPr>
            <w:tcW w:w="2183" w:type="dxa"/>
            <w:gridSpan w:val="2"/>
            <w:vMerge/>
            <w:vAlign w:val="center"/>
            <w:hideMark/>
          </w:tcPr>
          <w:p w14:paraId="7743DDD5" w14:textId="77777777" w:rsidR="00C121D0" w:rsidRPr="00DD0432" w:rsidRDefault="00C121D0" w:rsidP="00C121D0">
            <w:pPr>
              <w:spacing w:line="276" w:lineRule="auto"/>
              <w:rPr>
                <w:color w:val="000000"/>
                <w:sz w:val="20"/>
                <w:szCs w:val="20"/>
              </w:rPr>
            </w:pPr>
          </w:p>
        </w:tc>
        <w:tc>
          <w:tcPr>
            <w:tcW w:w="4475" w:type="dxa"/>
            <w:noWrap/>
            <w:vAlign w:val="center"/>
            <w:hideMark/>
          </w:tcPr>
          <w:p w14:paraId="01A22094" w14:textId="44181C68" w:rsidR="00C121D0" w:rsidRPr="00DD0432" w:rsidRDefault="00C121D0" w:rsidP="00C121D0">
            <w:pPr>
              <w:spacing w:line="276" w:lineRule="auto"/>
              <w:rPr>
                <w:color w:val="000000"/>
                <w:sz w:val="20"/>
                <w:szCs w:val="20"/>
              </w:rPr>
            </w:pPr>
            <w:r>
              <w:rPr>
                <w:i/>
                <w:iCs/>
                <w:color w:val="000000"/>
                <w:sz w:val="20"/>
                <w:szCs w:val="20"/>
              </w:rPr>
              <w:t xml:space="preserve">   Unpaid debts</w:t>
            </w:r>
          </w:p>
        </w:tc>
        <w:tc>
          <w:tcPr>
            <w:tcW w:w="2716" w:type="dxa"/>
            <w:noWrap/>
            <w:vAlign w:val="center"/>
            <w:hideMark/>
          </w:tcPr>
          <w:p w14:paraId="43C88C55" w14:textId="6C06A2F6" w:rsidR="00C121D0" w:rsidRPr="00DD0432" w:rsidRDefault="00C121D0" w:rsidP="00C121D0">
            <w:pPr>
              <w:spacing w:line="276" w:lineRule="auto"/>
              <w:jc w:val="right"/>
              <w:rPr>
                <w:color w:val="000000"/>
                <w:sz w:val="20"/>
                <w:szCs w:val="20"/>
              </w:rPr>
            </w:pPr>
            <w:r>
              <w:rPr>
                <w:i/>
                <w:iCs/>
                <w:color w:val="000000"/>
                <w:sz w:val="20"/>
                <w:szCs w:val="20"/>
              </w:rPr>
              <w:t>$801,554</w:t>
            </w:r>
          </w:p>
        </w:tc>
      </w:tr>
      <w:tr w:rsidR="00C121D0" w:rsidRPr="00DD0432" w14:paraId="46C6A073" w14:textId="77777777" w:rsidTr="00C121D0">
        <w:trPr>
          <w:trHeight w:val="170"/>
        </w:trPr>
        <w:tc>
          <w:tcPr>
            <w:tcW w:w="2183" w:type="dxa"/>
            <w:gridSpan w:val="2"/>
            <w:vMerge w:val="restart"/>
            <w:vAlign w:val="center"/>
            <w:hideMark/>
          </w:tcPr>
          <w:p w14:paraId="79A40FD5" w14:textId="77777777" w:rsidR="00C121D0" w:rsidRPr="00DD0432" w:rsidRDefault="00C121D0" w:rsidP="00C121D0">
            <w:pPr>
              <w:spacing w:line="276" w:lineRule="auto"/>
              <w:rPr>
                <w:color w:val="000000"/>
                <w:sz w:val="20"/>
                <w:szCs w:val="20"/>
              </w:rPr>
            </w:pPr>
            <w:r w:rsidRPr="00DD0432">
              <w:rPr>
                <w:color w:val="000000"/>
                <w:sz w:val="20"/>
                <w:szCs w:val="20"/>
              </w:rPr>
              <w:t>Relationship disruption, conflict or breakdown</w:t>
            </w:r>
          </w:p>
        </w:tc>
        <w:tc>
          <w:tcPr>
            <w:tcW w:w="4475" w:type="dxa"/>
            <w:noWrap/>
            <w:vAlign w:val="center"/>
            <w:hideMark/>
          </w:tcPr>
          <w:p w14:paraId="26005C09" w14:textId="55A6A7C2" w:rsidR="00C121D0" w:rsidRPr="00DD0432" w:rsidRDefault="00C121D0" w:rsidP="00C121D0">
            <w:pPr>
              <w:spacing w:line="276" w:lineRule="auto"/>
              <w:rPr>
                <w:color w:val="000000"/>
                <w:sz w:val="20"/>
                <w:szCs w:val="20"/>
              </w:rPr>
            </w:pPr>
            <w:r>
              <w:rPr>
                <w:color w:val="000000"/>
                <w:sz w:val="20"/>
                <w:szCs w:val="20"/>
              </w:rPr>
              <w:t xml:space="preserve">Divorce and separation </w:t>
            </w:r>
          </w:p>
        </w:tc>
        <w:tc>
          <w:tcPr>
            <w:tcW w:w="2716" w:type="dxa"/>
            <w:noWrap/>
            <w:vAlign w:val="bottom"/>
            <w:hideMark/>
          </w:tcPr>
          <w:p w14:paraId="76D79045" w14:textId="757EA8FF" w:rsidR="00C121D0" w:rsidRPr="00DD0432" w:rsidRDefault="00C121D0" w:rsidP="00C121D0">
            <w:pPr>
              <w:spacing w:line="276" w:lineRule="auto"/>
              <w:jc w:val="right"/>
              <w:rPr>
                <w:color w:val="000000"/>
                <w:sz w:val="20"/>
                <w:szCs w:val="20"/>
              </w:rPr>
            </w:pPr>
            <w:r>
              <w:rPr>
                <w:color w:val="000000"/>
                <w:sz w:val="20"/>
                <w:szCs w:val="20"/>
              </w:rPr>
              <w:t> </w:t>
            </w:r>
          </w:p>
        </w:tc>
      </w:tr>
      <w:tr w:rsidR="00C121D0" w:rsidRPr="00DD0432" w14:paraId="7DC31273" w14:textId="77777777" w:rsidTr="00BB3C33">
        <w:trPr>
          <w:trHeight w:val="170"/>
        </w:trPr>
        <w:tc>
          <w:tcPr>
            <w:tcW w:w="2183" w:type="dxa"/>
            <w:gridSpan w:val="2"/>
            <w:vMerge/>
            <w:vAlign w:val="center"/>
            <w:hideMark/>
          </w:tcPr>
          <w:p w14:paraId="4D063F82" w14:textId="77777777" w:rsidR="00C121D0" w:rsidRPr="00DD0432" w:rsidRDefault="00C121D0" w:rsidP="00C121D0">
            <w:pPr>
              <w:spacing w:line="276" w:lineRule="auto"/>
              <w:rPr>
                <w:color w:val="000000"/>
                <w:sz w:val="20"/>
                <w:szCs w:val="20"/>
              </w:rPr>
            </w:pPr>
          </w:p>
        </w:tc>
        <w:tc>
          <w:tcPr>
            <w:tcW w:w="4475" w:type="dxa"/>
            <w:noWrap/>
            <w:vAlign w:val="center"/>
            <w:hideMark/>
          </w:tcPr>
          <w:p w14:paraId="03BF2F01" w14:textId="17263194" w:rsidR="00C121D0" w:rsidRPr="00DD0432" w:rsidRDefault="00C121D0" w:rsidP="00C121D0">
            <w:pPr>
              <w:spacing w:line="276" w:lineRule="auto"/>
              <w:rPr>
                <w:i/>
                <w:iCs/>
                <w:color w:val="000000"/>
                <w:sz w:val="20"/>
                <w:szCs w:val="20"/>
              </w:rPr>
            </w:pPr>
            <w:r>
              <w:rPr>
                <w:i/>
                <w:iCs/>
                <w:color w:val="000000"/>
                <w:sz w:val="20"/>
                <w:szCs w:val="20"/>
              </w:rPr>
              <w:t xml:space="preserve">   Financial cost </w:t>
            </w:r>
          </w:p>
        </w:tc>
        <w:tc>
          <w:tcPr>
            <w:tcW w:w="2716" w:type="dxa"/>
            <w:noWrap/>
            <w:vAlign w:val="center"/>
            <w:hideMark/>
          </w:tcPr>
          <w:p w14:paraId="587AE57F" w14:textId="2F48C6AB" w:rsidR="00C121D0" w:rsidRPr="00DD0432" w:rsidRDefault="00C121D0" w:rsidP="00C121D0">
            <w:pPr>
              <w:spacing w:line="276" w:lineRule="auto"/>
              <w:jc w:val="right"/>
              <w:rPr>
                <w:i/>
                <w:iCs/>
                <w:color w:val="000000"/>
                <w:sz w:val="20"/>
                <w:szCs w:val="20"/>
              </w:rPr>
            </w:pPr>
            <w:r>
              <w:rPr>
                <w:i/>
                <w:iCs/>
                <w:color w:val="000000"/>
                <w:sz w:val="20"/>
                <w:szCs w:val="20"/>
              </w:rPr>
              <w:t>$3,767,571</w:t>
            </w:r>
          </w:p>
        </w:tc>
      </w:tr>
      <w:tr w:rsidR="00C121D0" w:rsidRPr="00DD0432" w14:paraId="5559E91B" w14:textId="77777777" w:rsidTr="00BB3C33">
        <w:trPr>
          <w:trHeight w:val="170"/>
        </w:trPr>
        <w:tc>
          <w:tcPr>
            <w:tcW w:w="2183" w:type="dxa"/>
            <w:gridSpan w:val="2"/>
            <w:vMerge/>
            <w:vAlign w:val="center"/>
            <w:hideMark/>
          </w:tcPr>
          <w:p w14:paraId="3FA7B366" w14:textId="77777777" w:rsidR="00C121D0" w:rsidRPr="00DD0432" w:rsidRDefault="00C121D0" w:rsidP="00C121D0">
            <w:pPr>
              <w:spacing w:line="276" w:lineRule="auto"/>
              <w:rPr>
                <w:color w:val="000000"/>
                <w:sz w:val="20"/>
                <w:szCs w:val="20"/>
              </w:rPr>
            </w:pPr>
          </w:p>
        </w:tc>
        <w:tc>
          <w:tcPr>
            <w:tcW w:w="4475" w:type="dxa"/>
            <w:noWrap/>
            <w:vAlign w:val="center"/>
            <w:hideMark/>
          </w:tcPr>
          <w:p w14:paraId="1F9A2001" w14:textId="15FA680A" w:rsidR="00C121D0" w:rsidRPr="00DD0432" w:rsidRDefault="00C121D0" w:rsidP="00C121D0">
            <w:pPr>
              <w:spacing w:line="276" w:lineRule="auto"/>
              <w:rPr>
                <w:i/>
                <w:iCs/>
                <w:color w:val="000000"/>
                <w:sz w:val="20"/>
                <w:szCs w:val="20"/>
              </w:rPr>
            </w:pPr>
            <w:r>
              <w:rPr>
                <w:i/>
                <w:iCs/>
                <w:color w:val="000000"/>
                <w:sz w:val="20"/>
                <w:szCs w:val="20"/>
              </w:rPr>
              <w:t xml:space="preserve">   Emotional distress to the person who gambles</w:t>
            </w:r>
          </w:p>
        </w:tc>
        <w:tc>
          <w:tcPr>
            <w:tcW w:w="2716" w:type="dxa"/>
            <w:noWrap/>
            <w:vAlign w:val="center"/>
            <w:hideMark/>
          </w:tcPr>
          <w:p w14:paraId="76CA98EE" w14:textId="4275F9E9" w:rsidR="00C121D0" w:rsidRPr="00DD0432" w:rsidRDefault="00C121D0" w:rsidP="00C121D0">
            <w:pPr>
              <w:spacing w:line="276" w:lineRule="auto"/>
              <w:jc w:val="right"/>
              <w:rPr>
                <w:i/>
                <w:iCs/>
                <w:color w:val="000000"/>
                <w:sz w:val="20"/>
                <w:szCs w:val="20"/>
              </w:rPr>
            </w:pPr>
            <w:r>
              <w:rPr>
                <w:i/>
                <w:iCs/>
                <w:color w:val="000000"/>
                <w:sz w:val="20"/>
                <w:szCs w:val="20"/>
              </w:rPr>
              <w:t>$37,610,880</w:t>
            </w:r>
          </w:p>
        </w:tc>
      </w:tr>
      <w:tr w:rsidR="00C121D0" w:rsidRPr="00DD0432" w14:paraId="507D6B6C" w14:textId="77777777" w:rsidTr="00BB3C33">
        <w:trPr>
          <w:trHeight w:val="170"/>
        </w:trPr>
        <w:tc>
          <w:tcPr>
            <w:tcW w:w="2183" w:type="dxa"/>
            <w:gridSpan w:val="2"/>
            <w:vMerge/>
            <w:vAlign w:val="center"/>
            <w:hideMark/>
          </w:tcPr>
          <w:p w14:paraId="75509A61" w14:textId="77777777" w:rsidR="00C121D0" w:rsidRPr="00DD0432" w:rsidRDefault="00C121D0" w:rsidP="00C121D0">
            <w:pPr>
              <w:spacing w:line="276" w:lineRule="auto"/>
              <w:rPr>
                <w:color w:val="000000"/>
                <w:sz w:val="20"/>
                <w:szCs w:val="20"/>
              </w:rPr>
            </w:pPr>
          </w:p>
        </w:tc>
        <w:tc>
          <w:tcPr>
            <w:tcW w:w="4475" w:type="dxa"/>
            <w:noWrap/>
            <w:vAlign w:val="center"/>
            <w:hideMark/>
          </w:tcPr>
          <w:p w14:paraId="303F78D2" w14:textId="430134EA" w:rsidR="00C121D0" w:rsidRPr="00DD0432" w:rsidRDefault="00C121D0" w:rsidP="00C121D0">
            <w:pPr>
              <w:spacing w:line="276" w:lineRule="auto"/>
              <w:rPr>
                <w:i/>
                <w:iCs/>
                <w:color w:val="000000"/>
                <w:sz w:val="20"/>
                <w:szCs w:val="20"/>
              </w:rPr>
            </w:pPr>
            <w:r>
              <w:rPr>
                <w:i/>
                <w:iCs/>
                <w:color w:val="000000"/>
                <w:sz w:val="20"/>
                <w:szCs w:val="20"/>
              </w:rPr>
              <w:t xml:space="preserve">   Emotional distress to affected others</w:t>
            </w:r>
          </w:p>
        </w:tc>
        <w:tc>
          <w:tcPr>
            <w:tcW w:w="2716" w:type="dxa"/>
            <w:noWrap/>
            <w:vAlign w:val="center"/>
            <w:hideMark/>
          </w:tcPr>
          <w:p w14:paraId="0E0AD441" w14:textId="2057C39C" w:rsidR="00C121D0" w:rsidRPr="00DD0432" w:rsidRDefault="00C121D0" w:rsidP="00C121D0">
            <w:pPr>
              <w:spacing w:line="276" w:lineRule="auto"/>
              <w:jc w:val="right"/>
              <w:rPr>
                <w:i/>
                <w:iCs/>
                <w:color w:val="000000"/>
                <w:sz w:val="20"/>
                <w:szCs w:val="20"/>
              </w:rPr>
            </w:pPr>
            <w:r>
              <w:rPr>
                <w:i/>
                <w:iCs/>
                <w:color w:val="000000"/>
                <w:sz w:val="20"/>
                <w:szCs w:val="20"/>
              </w:rPr>
              <w:t>$63,938,496</w:t>
            </w:r>
          </w:p>
        </w:tc>
      </w:tr>
      <w:tr w:rsidR="00C121D0" w:rsidRPr="00DD0432" w14:paraId="5030A0E0" w14:textId="77777777" w:rsidTr="00C121D0">
        <w:trPr>
          <w:trHeight w:val="170"/>
        </w:trPr>
        <w:tc>
          <w:tcPr>
            <w:tcW w:w="2183" w:type="dxa"/>
            <w:gridSpan w:val="2"/>
            <w:vMerge/>
            <w:vAlign w:val="center"/>
            <w:hideMark/>
          </w:tcPr>
          <w:p w14:paraId="768EF5B5" w14:textId="77777777" w:rsidR="00C121D0" w:rsidRPr="00DD0432" w:rsidRDefault="00C121D0" w:rsidP="00C121D0">
            <w:pPr>
              <w:spacing w:line="276" w:lineRule="auto"/>
              <w:rPr>
                <w:color w:val="000000"/>
                <w:sz w:val="20"/>
                <w:szCs w:val="20"/>
              </w:rPr>
            </w:pPr>
          </w:p>
        </w:tc>
        <w:tc>
          <w:tcPr>
            <w:tcW w:w="4475" w:type="dxa"/>
            <w:noWrap/>
            <w:vAlign w:val="center"/>
            <w:hideMark/>
          </w:tcPr>
          <w:p w14:paraId="65751B09" w14:textId="61F7FFE7" w:rsidR="00C121D0" w:rsidRPr="00DD0432" w:rsidRDefault="00C121D0" w:rsidP="00C121D0">
            <w:pPr>
              <w:spacing w:line="276" w:lineRule="auto"/>
              <w:rPr>
                <w:color w:val="000000"/>
                <w:sz w:val="20"/>
                <w:szCs w:val="20"/>
              </w:rPr>
            </w:pPr>
            <w:r>
              <w:rPr>
                <w:color w:val="000000"/>
                <w:sz w:val="20"/>
                <w:szCs w:val="20"/>
              </w:rPr>
              <w:t>Experiences of violence</w:t>
            </w:r>
          </w:p>
        </w:tc>
        <w:tc>
          <w:tcPr>
            <w:tcW w:w="2716" w:type="dxa"/>
            <w:noWrap/>
            <w:vAlign w:val="bottom"/>
            <w:hideMark/>
          </w:tcPr>
          <w:p w14:paraId="589B12E4" w14:textId="02211EA8" w:rsidR="00C121D0" w:rsidRPr="00DD0432" w:rsidRDefault="00C121D0" w:rsidP="00C121D0">
            <w:pPr>
              <w:spacing w:line="276" w:lineRule="auto"/>
              <w:jc w:val="right"/>
              <w:rPr>
                <w:color w:val="000000"/>
                <w:sz w:val="20"/>
                <w:szCs w:val="20"/>
              </w:rPr>
            </w:pPr>
            <w:r>
              <w:rPr>
                <w:color w:val="000000"/>
                <w:sz w:val="20"/>
                <w:szCs w:val="20"/>
              </w:rPr>
              <w:t> </w:t>
            </w:r>
          </w:p>
        </w:tc>
      </w:tr>
      <w:tr w:rsidR="00C121D0" w:rsidRPr="00DD0432" w14:paraId="1EEC03F9" w14:textId="77777777" w:rsidTr="00BB3C33">
        <w:trPr>
          <w:trHeight w:val="170"/>
        </w:trPr>
        <w:tc>
          <w:tcPr>
            <w:tcW w:w="2183" w:type="dxa"/>
            <w:gridSpan w:val="2"/>
            <w:vMerge/>
            <w:vAlign w:val="center"/>
            <w:hideMark/>
          </w:tcPr>
          <w:p w14:paraId="7498885D" w14:textId="77777777" w:rsidR="00C121D0" w:rsidRPr="00DD0432" w:rsidRDefault="00C121D0" w:rsidP="00C121D0">
            <w:pPr>
              <w:spacing w:line="276" w:lineRule="auto"/>
              <w:rPr>
                <w:color w:val="000000"/>
                <w:sz w:val="20"/>
                <w:szCs w:val="20"/>
              </w:rPr>
            </w:pPr>
          </w:p>
        </w:tc>
        <w:tc>
          <w:tcPr>
            <w:tcW w:w="4475" w:type="dxa"/>
            <w:noWrap/>
            <w:vAlign w:val="center"/>
            <w:hideMark/>
          </w:tcPr>
          <w:p w14:paraId="1AB45392" w14:textId="4BA1CF6C" w:rsidR="00C121D0" w:rsidRPr="00DD0432" w:rsidRDefault="00C121D0" w:rsidP="00C121D0">
            <w:pPr>
              <w:spacing w:line="276" w:lineRule="auto"/>
              <w:rPr>
                <w:i/>
                <w:iCs/>
                <w:color w:val="000000"/>
                <w:sz w:val="20"/>
                <w:szCs w:val="20"/>
              </w:rPr>
            </w:pPr>
            <w:r>
              <w:rPr>
                <w:i/>
                <w:iCs/>
                <w:color w:val="000000"/>
                <w:sz w:val="20"/>
                <w:szCs w:val="20"/>
              </w:rPr>
              <w:t xml:space="preserve">   Emotional distress to the person who gambles</w:t>
            </w:r>
          </w:p>
        </w:tc>
        <w:tc>
          <w:tcPr>
            <w:tcW w:w="2716" w:type="dxa"/>
            <w:noWrap/>
            <w:vAlign w:val="center"/>
            <w:hideMark/>
          </w:tcPr>
          <w:p w14:paraId="12F6BE37" w14:textId="199F4B83" w:rsidR="00C121D0" w:rsidRPr="00DD0432" w:rsidRDefault="00C121D0" w:rsidP="00C121D0">
            <w:pPr>
              <w:spacing w:line="276" w:lineRule="auto"/>
              <w:jc w:val="right"/>
              <w:rPr>
                <w:i/>
                <w:iCs/>
                <w:color w:val="000000"/>
                <w:sz w:val="20"/>
                <w:szCs w:val="20"/>
              </w:rPr>
            </w:pPr>
            <w:r>
              <w:rPr>
                <w:i/>
                <w:iCs/>
                <w:color w:val="000000"/>
                <w:sz w:val="20"/>
                <w:szCs w:val="20"/>
              </w:rPr>
              <w:t>$29,595,648</w:t>
            </w:r>
          </w:p>
        </w:tc>
      </w:tr>
      <w:tr w:rsidR="00C121D0" w:rsidRPr="00DD0432" w14:paraId="4395E6D7" w14:textId="77777777" w:rsidTr="00BB3C33">
        <w:trPr>
          <w:trHeight w:val="170"/>
        </w:trPr>
        <w:tc>
          <w:tcPr>
            <w:tcW w:w="2183" w:type="dxa"/>
            <w:gridSpan w:val="2"/>
            <w:vMerge/>
            <w:vAlign w:val="center"/>
            <w:hideMark/>
          </w:tcPr>
          <w:p w14:paraId="5F611F94" w14:textId="77777777" w:rsidR="00C121D0" w:rsidRPr="00DD0432" w:rsidRDefault="00C121D0" w:rsidP="00C121D0">
            <w:pPr>
              <w:spacing w:line="276" w:lineRule="auto"/>
              <w:rPr>
                <w:color w:val="000000"/>
                <w:sz w:val="20"/>
                <w:szCs w:val="20"/>
              </w:rPr>
            </w:pPr>
          </w:p>
        </w:tc>
        <w:tc>
          <w:tcPr>
            <w:tcW w:w="4475" w:type="dxa"/>
            <w:noWrap/>
            <w:vAlign w:val="center"/>
            <w:hideMark/>
          </w:tcPr>
          <w:p w14:paraId="2C054C7B" w14:textId="0F20B2F0" w:rsidR="00C121D0" w:rsidRPr="00DD0432" w:rsidRDefault="00C121D0" w:rsidP="00C121D0">
            <w:pPr>
              <w:spacing w:line="276" w:lineRule="auto"/>
              <w:rPr>
                <w:i/>
                <w:iCs/>
                <w:color w:val="000000"/>
                <w:sz w:val="20"/>
                <w:szCs w:val="20"/>
              </w:rPr>
            </w:pPr>
            <w:r>
              <w:rPr>
                <w:i/>
                <w:iCs/>
                <w:color w:val="000000"/>
                <w:sz w:val="20"/>
                <w:szCs w:val="20"/>
              </w:rPr>
              <w:t xml:space="preserve">   Emotional distress to affected others</w:t>
            </w:r>
          </w:p>
        </w:tc>
        <w:tc>
          <w:tcPr>
            <w:tcW w:w="2716" w:type="dxa"/>
            <w:noWrap/>
            <w:vAlign w:val="center"/>
            <w:hideMark/>
          </w:tcPr>
          <w:p w14:paraId="6253CABF" w14:textId="747D6C90" w:rsidR="00C121D0" w:rsidRPr="00DD0432" w:rsidRDefault="00C121D0" w:rsidP="00C121D0">
            <w:pPr>
              <w:spacing w:line="276" w:lineRule="auto"/>
              <w:jc w:val="right"/>
              <w:rPr>
                <w:i/>
                <w:iCs/>
                <w:color w:val="000000"/>
                <w:sz w:val="20"/>
                <w:szCs w:val="20"/>
              </w:rPr>
            </w:pPr>
            <w:r>
              <w:rPr>
                <w:i/>
                <w:iCs/>
                <w:color w:val="000000"/>
                <w:sz w:val="20"/>
                <w:szCs w:val="20"/>
              </w:rPr>
              <w:t>$50,312,602</w:t>
            </w:r>
          </w:p>
        </w:tc>
      </w:tr>
      <w:tr w:rsidR="00C121D0" w:rsidRPr="00DD0432" w14:paraId="10830540" w14:textId="77777777" w:rsidTr="00BB3C33">
        <w:trPr>
          <w:trHeight w:val="170"/>
        </w:trPr>
        <w:tc>
          <w:tcPr>
            <w:tcW w:w="2183" w:type="dxa"/>
            <w:gridSpan w:val="2"/>
            <w:vMerge w:val="restart"/>
            <w:vAlign w:val="center"/>
            <w:hideMark/>
          </w:tcPr>
          <w:p w14:paraId="68C59DB2" w14:textId="77777777" w:rsidR="00C121D0" w:rsidRPr="00DD0432" w:rsidRDefault="00C121D0" w:rsidP="00C121D0">
            <w:pPr>
              <w:spacing w:line="276" w:lineRule="auto"/>
              <w:rPr>
                <w:color w:val="000000"/>
                <w:sz w:val="20"/>
                <w:szCs w:val="20"/>
              </w:rPr>
            </w:pPr>
            <w:r w:rsidRPr="00DD0432">
              <w:rPr>
                <w:color w:val="000000"/>
                <w:sz w:val="20"/>
                <w:szCs w:val="20"/>
              </w:rPr>
              <w:t>Health</w:t>
            </w:r>
          </w:p>
        </w:tc>
        <w:tc>
          <w:tcPr>
            <w:tcW w:w="4475" w:type="dxa"/>
            <w:noWrap/>
            <w:vAlign w:val="center"/>
            <w:hideMark/>
          </w:tcPr>
          <w:p w14:paraId="003F9C78" w14:textId="0ABAC62E" w:rsidR="00C121D0" w:rsidRPr="00DD0432" w:rsidRDefault="00C121D0" w:rsidP="00C121D0">
            <w:pPr>
              <w:spacing w:line="276" w:lineRule="auto"/>
              <w:rPr>
                <w:color w:val="000000"/>
                <w:sz w:val="20"/>
                <w:szCs w:val="20"/>
              </w:rPr>
            </w:pPr>
            <w:r>
              <w:rPr>
                <w:color w:val="000000"/>
                <w:sz w:val="20"/>
                <w:szCs w:val="20"/>
              </w:rPr>
              <w:t>Depression</w:t>
            </w:r>
          </w:p>
        </w:tc>
        <w:tc>
          <w:tcPr>
            <w:tcW w:w="2716" w:type="dxa"/>
            <w:noWrap/>
            <w:vAlign w:val="center"/>
            <w:hideMark/>
          </w:tcPr>
          <w:p w14:paraId="2362632A" w14:textId="3A517B8C" w:rsidR="00C121D0" w:rsidRPr="00DD0432" w:rsidRDefault="00C121D0" w:rsidP="00C121D0">
            <w:pPr>
              <w:spacing w:line="276" w:lineRule="auto"/>
              <w:jc w:val="right"/>
              <w:rPr>
                <w:color w:val="000000"/>
                <w:sz w:val="20"/>
                <w:szCs w:val="20"/>
              </w:rPr>
            </w:pPr>
            <w:r>
              <w:rPr>
                <w:color w:val="000000"/>
                <w:sz w:val="20"/>
                <w:szCs w:val="20"/>
              </w:rPr>
              <w:t>$60,961,882</w:t>
            </w:r>
          </w:p>
        </w:tc>
      </w:tr>
      <w:tr w:rsidR="00C121D0" w:rsidRPr="00DD0432" w14:paraId="56E7DD7F" w14:textId="77777777" w:rsidTr="00BB3C33">
        <w:trPr>
          <w:trHeight w:val="170"/>
        </w:trPr>
        <w:tc>
          <w:tcPr>
            <w:tcW w:w="2183" w:type="dxa"/>
            <w:gridSpan w:val="2"/>
            <w:vMerge/>
            <w:vAlign w:val="center"/>
            <w:hideMark/>
          </w:tcPr>
          <w:p w14:paraId="0D6D1297" w14:textId="77777777" w:rsidR="00C121D0" w:rsidRPr="00DD0432" w:rsidRDefault="00C121D0" w:rsidP="00C121D0">
            <w:pPr>
              <w:spacing w:line="276" w:lineRule="auto"/>
              <w:rPr>
                <w:color w:val="000000"/>
                <w:sz w:val="20"/>
                <w:szCs w:val="20"/>
              </w:rPr>
            </w:pPr>
          </w:p>
        </w:tc>
        <w:tc>
          <w:tcPr>
            <w:tcW w:w="4475" w:type="dxa"/>
            <w:noWrap/>
            <w:vAlign w:val="center"/>
            <w:hideMark/>
          </w:tcPr>
          <w:p w14:paraId="2C6ED005" w14:textId="62FD8379" w:rsidR="00C121D0" w:rsidRPr="00DD0432" w:rsidRDefault="00C121D0" w:rsidP="00C121D0">
            <w:pPr>
              <w:spacing w:line="276" w:lineRule="auto"/>
              <w:rPr>
                <w:color w:val="000000"/>
                <w:sz w:val="20"/>
                <w:szCs w:val="20"/>
              </w:rPr>
            </w:pPr>
            <w:r>
              <w:rPr>
                <w:color w:val="000000"/>
                <w:sz w:val="20"/>
                <w:szCs w:val="20"/>
              </w:rPr>
              <w:t>Suicide attempts</w:t>
            </w:r>
          </w:p>
        </w:tc>
        <w:tc>
          <w:tcPr>
            <w:tcW w:w="2716" w:type="dxa"/>
            <w:noWrap/>
            <w:vAlign w:val="center"/>
            <w:hideMark/>
          </w:tcPr>
          <w:p w14:paraId="322F2D41" w14:textId="32A99C17" w:rsidR="00C121D0" w:rsidRPr="00DD0432" w:rsidRDefault="00C121D0" w:rsidP="00C121D0">
            <w:pPr>
              <w:spacing w:line="276" w:lineRule="auto"/>
              <w:jc w:val="right"/>
              <w:rPr>
                <w:color w:val="000000"/>
                <w:sz w:val="20"/>
                <w:szCs w:val="20"/>
              </w:rPr>
            </w:pPr>
            <w:r>
              <w:rPr>
                <w:color w:val="000000"/>
                <w:sz w:val="20"/>
                <w:szCs w:val="20"/>
              </w:rPr>
              <w:t> </w:t>
            </w:r>
          </w:p>
        </w:tc>
      </w:tr>
      <w:tr w:rsidR="00C121D0" w:rsidRPr="00DD0432" w14:paraId="00F97120" w14:textId="77777777" w:rsidTr="00BB3C33">
        <w:trPr>
          <w:trHeight w:val="170"/>
        </w:trPr>
        <w:tc>
          <w:tcPr>
            <w:tcW w:w="2183" w:type="dxa"/>
            <w:gridSpan w:val="2"/>
            <w:vMerge/>
            <w:vAlign w:val="center"/>
            <w:hideMark/>
          </w:tcPr>
          <w:p w14:paraId="18292489" w14:textId="77777777" w:rsidR="00C121D0" w:rsidRPr="00DD0432" w:rsidRDefault="00C121D0" w:rsidP="00C121D0">
            <w:pPr>
              <w:spacing w:line="276" w:lineRule="auto"/>
              <w:rPr>
                <w:color w:val="000000"/>
                <w:sz w:val="20"/>
                <w:szCs w:val="20"/>
              </w:rPr>
            </w:pPr>
          </w:p>
        </w:tc>
        <w:tc>
          <w:tcPr>
            <w:tcW w:w="4475" w:type="dxa"/>
            <w:noWrap/>
            <w:vAlign w:val="center"/>
            <w:hideMark/>
          </w:tcPr>
          <w:p w14:paraId="7D6B559C" w14:textId="2FD5DDBF" w:rsidR="00C121D0" w:rsidRPr="00DD0432" w:rsidRDefault="00C121D0" w:rsidP="00C121D0">
            <w:pPr>
              <w:spacing w:line="276" w:lineRule="auto"/>
              <w:rPr>
                <w:i/>
                <w:iCs/>
                <w:color w:val="000000"/>
                <w:sz w:val="20"/>
                <w:szCs w:val="20"/>
              </w:rPr>
            </w:pPr>
            <w:r>
              <w:rPr>
                <w:i/>
                <w:iCs/>
                <w:color w:val="000000"/>
                <w:sz w:val="20"/>
                <w:szCs w:val="20"/>
              </w:rPr>
              <w:t xml:space="preserve">   Cost of services</w:t>
            </w:r>
          </w:p>
        </w:tc>
        <w:tc>
          <w:tcPr>
            <w:tcW w:w="2716" w:type="dxa"/>
            <w:noWrap/>
            <w:vAlign w:val="center"/>
            <w:hideMark/>
          </w:tcPr>
          <w:p w14:paraId="19C04A92" w14:textId="3AA8B57D" w:rsidR="00C121D0" w:rsidRPr="00DD0432" w:rsidRDefault="00C121D0" w:rsidP="00C121D0">
            <w:pPr>
              <w:spacing w:line="276" w:lineRule="auto"/>
              <w:jc w:val="right"/>
              <w:rPr>
                <w:color w:val="000000"/>
                <w:sz w:val="20"/>
                <w:szCs w:val="20"/>
              </w:rPr>
            </w:pPr>
            <w:r>
              <w:rPr>
                <w:color w:val="000000"/>
                <w:sz w:val="20"/>
                <w:szCs w:val="20"/>
              </w:rPr>
              <w:t>$8,424,968</w:t>
            </w:r>
          </w:p>
        </w:tc>
      </w:tr>
      <w:tr w:rsidR="00C121D0" w:rsidRPr="00DD0432" w14:paraId="61A8661B" w14:textId="77777777" w:rsidTr="00BB3C33">
        <w:trPr>
          <w:trHeight w:val="170"/>
        </w:trPr>
        <w:tc>
          <w:tcPr>
            <w:tcW w:w="2183" w:type="dxa"/>
            <w:gridSpan w:val="2"/>
            <w:vMerge/>
            <w:vAlign w:val="center"/>
            <w:hideMark/>
          </w:tcPr>
          <w:p w14:paraId="7C7580EF" w14:textId="77777777" w:rsidR="00C121D0" w:rsidRPr="00DD0432" w:rsidRDefault="00C121D0" w:rsidP="00C121D0">
            <w:pPr>
              <w:spacing w:line="276" w:lineRule="auto"/>
              <w:rPr>
                <w:color w:val="000000"/>
                <w:sz w:val="20"/>
                <w:szCs w:val="20"/>
              </w:rPr>
            </w:pPr>
          </w:p>
        </w:tc>
        <w:tc>
          <w:tcPr>
            <w:tcW w:w="4475" w:type="dxa"/>
            <w:noWrap/>
            <w:vAlign w:val="center"/>
            <w:hideMark/>
          </w:tcPr>
          <w:p w14:paraId="42E04663" w14:textId="754752BA" w:rsidR="00C121D0" w:rsidRPr="00DD0432" w:rsidRDefault="00C121D0" w:rsidP="00C121D0">
            <w:pPr>
              <w:spacing w:line="276" w:lineRule="auto"/>
              <w:rPr>
                <w:i/>
                <w:iCs/>
                <w:color w:val="000000"/>
                <w:sz w:val="20"/>
                <w:szCs w:val="20"/>
              </w:rPr>
            </w:pPr>
            <w:r>
              <w:rPr>
                <w:i/>
                <w:iCs/>
                <w:color w:val="000000"/>
                <w:sz w:val="20"/>
                <w:szCs w:val="20"/>
              </w:rPr>
              <w:t xml:space="preserve">   Emotional distress to the person who gambles</w:t>
            </w:r>
          </w:p>
        </w:tc>
        <w:tc>
          <w:tcPr>
            <w:tcW w:w="2716" w:type="dxa"/>
            <w:noWrap/>
            <w:vAlign w:val="center"/>
            <w:hideMark/>
          </w:tcPr>
          <w:p w14:paraId="30F9290B" w14:textId="4C3D8D00" w:rsidR="00C121D0" w:rsidRPr="00DD0432" w:rsidRDefault="00C121D0" w:rsidP="00C121D0">
            <w:pPr>
              <w:spacing w:line="276" w:lineRule="auto"/>
              <w:jc w:val="right"/>
              <w:rPr>
                <w:color w:val="000000"/>
                <w:sz w:val="20"/>
                <w:szCs w:val="20"/>
              </w:rPr>
            </w:pPr>
            <w:r>
              <w:rPr>
                <w:color w:val="000000"/>
                <w:sz w:val="20"/>
                <w:szCs w:val="20"/>
              </w:rPr>
              <w:t>$13,685,783</w:t>
            </w:r>
          </w:p>
        </w:tc>
      </w:tr>
      <w:tr w:rsidR="00C121D0" w:rsidRPr="00DD0432" w14:paraId="21CF08AF" w14:textId="77777777" w:rsidTr="00BB3C33">
        <w:trPr>
          <w:trHeight w:val="170"/>
        </w:trPr>
        <w:tc>
          <w:tcPr>
            <w:tcW w:w="2183" w:type="dxa"/>
            <w:gridSpan w:val="2"/>
            <w:vMerge/>
            <w:vAlign w:val="center"/>
            <w:hideMark/>
          </w:tcPr>
          <w:p w14:paraId="14621538" w14:textId="77777777" w:rsidR="00C121D0" w:rsidRPr="00DD0432" w:rsidRDefault="00C121D0" w:rsidP="00C121D0">
            <w:pPr>
              <w:spacing w:line="276" w:lineRule="auto"/>
              <w:rPr>
                <w:color w:val="000000"/>
                <w:sz w:val="20"/>
                <w:szCs w:val="20"/>
              </w:rPr>
            </w:pPr>
          </w:p>
        </w:tc>
        <w:tc>
          <w:tcPr>
            <w:tcW w:w="4475" w:type="dxa"/>
            <w:noWrap/>
            <w:vAlign w:val="center"/>
            <w:hideMark/>
          </w:tcPr>
          <w:p w14:paraId="11D4BF0B" w14:textId="70571456" w:rsidR="00C121D0" w:rsidRPr="00DD0432" w:rsidRDefault="00C121D0" w:rsidP="00C121D0">
            <w:pPr>
              <w:spacing w:line="276" w:lineRule="auto"/>
              <w:rPr>
                <w:i/>
                <w:iCs/>
                <w:color w:val="000000"/>
                <w:sz w:val="20"/>
                <w:szCs w:val="20"/>
              </w:rPr>
            </w:pPr>
            <w:r>
              <w:rPr>
                <w:i/>
                <w:iCs/>
                <w:color w:val="000000"/>
                <w:sz w:val="20"/>
                <w:szCs w:val="20"/>
              </w:rPr>
              <w:t xml:space="preserve">   Emotional distress to affected others</w:t>
            </w:r>
          </w:p>
        </w:tc>
        <w:tc>
          <w:tcPr>
            <w:tcW w:w="2716" w:type="dxa"/>
            <w:noWrap/>
            <w:vAlign w:val="center"/>
            <w:hideMark/>
          </w:tcPr>
          <w:p w14:paraId="29B1B73B" w14:textId="57B41131" w:rsidR="00C121D0" w:rsidRPr="00DD0432" w:rsidRDefault="00C121D0" w:rsidP="00C121D0">
            <w:pPr>
              <w:spacing w:line="276" w:lineRule="auto"/>
              <w:jc w:val="right"/>
              <w:rPr>
                <w:color w:val="000000"/>
                <w:sz w:val="20"/>
                <w:szCs w:val="20"/>
              </w:rPr>
            </w:pPr>
            <w:r>
              <w:rPr>
                <w:color w:val="000000"/>
                <w:sz w:val="20"/>
                <w:szCs w:val="20"/>
              </w:rPr>
              <w:t>$82,114,699</w:t>
            </w:r>
          </w:p>
        </w:tc>
      </w:tr>
      <w:tr w:rsidR="00C121D0" w:rsidRPr="00DD0432" w14:paraId="04980194" w14:textId="77777777" w:rsidTr="00BB3C33">
        <w:trPr>
          <w:trHeight w:val="170"/>
        </w:trPr>
        <w:tc>
          <w:tcPr>
            <w:tcW w:w="2183" w:type="dxa"/>
            <w:gridSpan w:val="2"/>
            <w:vMerge/>
            <w:vAlign w:val="center"/>
            <w:hideMark/>
          </w:tcPr>
          <w:p w14:paraId="1E8CE889" w14:textId="77777777" w:rsidR="00C121D0" w:rsidRPr="00DD0432" w:rsidRDefault="00C121D0" w:rsidP="00C121D0">
            <w:pPr>
              <w:spacing w:line="276" w:lineRule="auto"/>
              <w:rPr>
                <w:color w:val="000000"/>
                <w:sz w:val="20"/>
                <w:szCs w:val="20"/>
              </w:rPr>
            </w:pPr>
          </w:p>
        </w:tc>
        <w:tc>
          <w:tcPr>
            <w:tcW w:w="4475" w:type="dxa"/>
            <w:noWrap/>
            <w:vAlign w:val="center"/>
            <w:hideMark/>
          </w:tcPr>
          <w:p w14:paraId="1EC183C6" w14:textId="3204587F" w:rsidR="00C121D0" w:rsidRPr="00DD0432" w:rsidRDefault="00C121D0" w:rsidP="00C121D0">
            <w:pPr>
              <w:spacing w:line="276" w:lineRule="auto"/>
              <w:rPr>
                <w:color w:val="000000"/>
                <w:sz w:val="20"/>
                <w:szCs w:val="20"/>
              </w:rPr>
            </w:pPr>
            <w:r>
              <w:rPr>
                <w:color w:val="000000"/>
                <w:sz w:val="20"/>
                <w:szCs w:val="20"/>
              </w:rPr>
              <w:t>Impacts of fatality by suicide</w:t>
            </w:r>
          </w:p>
        </w:tc>
        <w:tc>
          <w:tcPr>
            <w:tcW w:w="2716" w:type="dxa"/>
            <w:noWrap/>
            <w:vAlign w:val="center"/>
            <w:hideMark/>
          </w:tcPr>
          <w:p w14:paraId="00E8F8A8" w14:textId="6BC3D5DA" w:rsidR="00C121D0" w:rsidRPr="00DD0432" w:rsidRDefault="00C121D0" w:rsidP="00C121D0">
            <w:pPr>
              <w:spacing w:line="276" w:lineRule="auto"/>
              <w:jc w:val="right"/>
              <w:rPr>
                <w:color w:val="000000"/>
                <w:sz w:val="20"/>
                <w:szCs w:val="20"/>
              </w:rPr>
            </w:pPr>
            <w:r>
              <w:rPr>
                <w:color w:val="000000"/>
                <w:sz w:val="20"/>
                <w:szCs w:val="20"/>
              </w:rPr>
              <w:t> </w:t>
            </w:r>
          </w:p>
        </w:tc>
      </w:tr>
      <w:tr w:rsidR="00C121D0" w:rsidRPr="00DD0432" w14:paraId="47E238A2" w14:textId="77777777" w:rsidTr="00BB3C33">
        <w:trPr>
          <w:trHeight w:val="170"/>
        </w:trPr>
        <w:tc>
          <w:tcPr>
            <w:tcW w:w="2183" w:type="dxa"/>
            <w:gridSpan w:val="2"/>
            <w:vMerge/>
            <w:vAlign w:val="center"/>
            <w:hideMark/>
          </w:tcPr>
          <w:p w14:paraId="56813540" w14:textId="77777777" w:rsidR="00C121D0" w:rsidRPr="00DD0432" w:rsidRDefault="00C121D0" w:rsidP="00C121D0">
            <w:pPr>
              <w:spacing w:line="276" w:lineRule="auto"/>
              <w:rPr>
                <w:color w:val="000000"/>
                <w:sz w:val="20"/>
                <w:szCs w:val="20"/>
              </w:rPr>
            </w:pPr>
          </w:p>
        </w:tc>
        <w:tc>
          <w:tcPr>
            <w:tcW w:w="4475" w:type="dxa"/>
            <w:noWrap/>
            <w:vAlign w:val="center"/>
            <w:hideMark/>
          </w:tcPr>
          <w:p w14:paraId="35E4BD38" w14:textId="52F0049B" w:rsidR="00C121D0" w:rsidRPr="00DD0432" w:rsidRDefault="00C121D0" w:rsidP="00C121D0">
            <w:pPr>
              <w:spacing w:line="276" w:lineRule="auto"/>
              <w:rPr>
                <w:i/>
                <w:iCs/>
                <w:color w:val="000000"/>
                <w:sz w:val="20"/>
                <w:szCs w:val="20"/>
              </w:rPr>
            </w:pPr>
            <w:r>
              <w:rPr>
                <w:i/>
                <w:iCs/>
                <w:color w:val="000000"/>
                <w:sz w:val="20"/>
                <w:szCs w:val="20"/>
              </w:rPr>
              <w:t xml:space="preserve">   Impact on affected others</w:t>
            </w:r>
          </w:p>
        </w:tc>
        <w:tc>
          <w:tcPr>
            <w:tcW w:w="2716" w:type="dxa"/>
            <w:noWrap/>
            <w:vAlign w:val="center"/>
            <w:hideMark/>
          </w:tcPr>
          <w:p w14:paraId="233BCADD" w14:textId="5CED8440" w:rsidR="00C121D0" w:rsidRPr="00DD0432" w:rsidRDefault="00C121D0" w:rsidP="00C121D0">
            <w:pPr>
              <w:spacing w:line="276" w:lineRule="auto"/>
              <w:jc w:val="right"/>
              <w:rPr>
                <w:color w:val="000000"/>
                <w:sz w:val="20"/>
                <w:szCs w:val="20"/>
              </w:rPr>
            </w:pPr>
            <w:r>
              <w:rPr>
                <w:color w:val="000000"/>
                <w:sz w:val="20"/>
                <w:szCs w:val="20"/>
              </w:rPr>
              <w:t>$6,119,229</w:t>
            </w:r>
          </w:p>
        </w:tc>
      </w:tr>
      <w:tr w:rsidR="00C121D0" w:rsidRPr="00DD0432" w14:paraId="238AB4E2" w14:textId="77777777" w:rsidTr="00BB3C33">
        <w:trPr>
          <w:trHeight w:val="170"/>
        </w:trPr>
        <w:tc>
          <w:tcPr>
            <w:tcW w:w="2183" w:type="dxa"/>
            <w:gridSpan w:val="2"/>
            <w:vMerge/>
            <w:vAlign w:val="center"/>
            <w:hideMark/>
          </w:tcPr>
          <w:p w14:paraId="4CA3691B" w14:textId="77777777" w:rsidR="00C121D0" w:rsidRPr="00DD0432" w:rsidRDefault="00C121D0" w:rsidP="00C121D0">
            <w:pPr>
              <w:spacing w:line="276" w:lineRule="auto"/>
              <w:rPr>
                <w:color w:val="000000"/>
                <w:sz w:val="20"/>
                <w:szCs w:val="20"/>
              </w:rPr>
            </w:pPr>
          </w:p>
        </w:tc>
        <w:tc>
          <w:tcPr>
            <w:tcW w:w="4475" w:type="dxa"/>
            <w:noWrap/>
            <w:vAlign w:val="center"/>
            <w:hideMark/>
          </w:tcPr>
          <w:p w14:paraId="34040AE0" w14:textId="1EF77234" w:rsidR="00C121D0" w:rsidRPr="00DD0432" w:rsidRDefault="00C121D0" w:rsidP="00C121D0">
            <w:pPr>
              <w:spacing w:line="276" w:lineRule="auto"/>
              <w:rPr>
                <w:i/>
                <w:iCs/>
                <w:color w:val="000000"/>
                <w:sz w:val="20"/>
                <w:szCs w:val="20"/>
              </w:rPr>
            </w:pPr>
            <w:r>
              <w:rPr>
                <w:i/>
                <w:iCs/>
                <w:color w:val="000000"/>
                <w:sz w:val="20"/>
                <w:szCs w:val="20"/>
              </w:rPr>
              <w:t xml:space="preserve">   Cost to business/government</w:t>
            </w:r>
          </w:p>
        </w:tc>
        <w:tc>
          <w:tcPr>
            <w:tcW w:w="2716" w:type="dxa"/>
            <w:noWrap/>
            <w:vAlign w:val="center"/>
            <w:hideMark/>
          </w:tcPr>
          <w:p w14:paraId="1A21F397" w14:textId="15E4FE66" w:rsidR="00C121D0" w:rsidRPr="00DD0432" w:rsidRDefault="00C121D0" w:rsidP="00C121D0">
            <w:pPr>
              <w:spacing w:line="276" w:lineRule="auto"/>
              <w:jc w:val="right"/>
              <w:rPr>
                <w:color w:val="000000"/>
                <w:sz w:val="20"/>
                <w:szCs w:val="20"/>
              </w:rPr>
            </w:pPr>
            <w:r>
              <w:rPr>
                <w:color w:val="000000"/>
                <w:sz w:val="20"/>
                <w:szCs w:val="20"/>
              </w:rPr>
              <w:t>$59,109,272</w:t>
            </w:r>
          </w:p>
        </w:tc>
      </w:tr>
      <w:tr w:rsidR="00C121D0" w:rsidRPr="00DD0432" w14:paraId="4A5B32EB" w14:textId="77777777" w:rsidTr="00C121D0">
        <w:trPr>
          <w:trHeight w:val="170"/>
        </w:trPr>
        <w:tc>
          <w:tcPr>
            <w:tcW w:w="2183" w:type="dxa"/>
            <w:gridSpan w:val="2"/>
            <w:vMerge/>
            <w:vAlign w:val="center"/>
            <w:hideMark/>
          </w:tcPr>
          <w:p w14:paraId="1B4A1174" w14:textId="77777777" w:rsidR="00C121D0" w:rsidRPr="00DD0432" w:rsidRDefault="00C121D0" w:rsidP="00C121D0">
            <w:pPr>
              <w:spacing w:line="276" w:lineRule="auto"/>
              <w:rPr>
                <w:color w:val="000000"/>
                <w:sz w:val="20"/>
                <w:szCs w:val="20"/>
              </w:rPr>
            </w:pPr>
          </w:p>
        </w:tc>
        <w:tc>
          <w:tcPr>
            <w:tcW w:w="4475" w:type="dxa"/>
            <w:noWrap/>
            <w:vAlign w:val="bottom"/>
            <w:hideMark/>
          </w:tcPr>
          <w:p w14:paraId="038C5055" w14:textId="0D0049CD" w:rsidR="00C121D0" w:rsidRPr="00DD0432" w:rsidRDefault="00C121D0" w:rsidP="00C121D0">
            <w:pPr>
              <w:spacing w:line="276" w:lineRule="auto"/>
              <w:rPr>
                <w:color w:val="000000"/>
                <w:sz w:val="20"/>
                <w:szCs w:val="20"/>
              </w:rPr>
            </w:pPr>
            <w:r>
              <w:rPr>
                <w:color w:val="000000"/>
                <w:sz w:val="20"/>
                <w:szCs w:val="20"/>
              </w:rPr>
              <w:t>HRQoL impact of gambling harm</w:t>
            </w:r>
          </w:p>
        </w:tc>
        <w:tc>
          <w:tcPr>
            <w:tcW w:w="2716" w:type="dxa"/>
            <w:noWrap/>
            <w:vAlign w:val="center"/>
            <w:hideMark/>
          </w:tcPr>
          <w:p w14:paraId="38F28168" w14:textId="5F1C0088" w:rsidR="00C121D0" w:rsidRPr="00DD0432" w:rsidRDefault="00C121D0" w:rsidP="00C121D0">
            <w:pPr>
              <w:spacing w:line="276" w:lineRule="auto"/>
              <w:jc w:val="right"/>
              <w:rPr>
                <w:color w:val="000000"/>
                <w:sz w:val="20"/>
                <w:szCs w:val="20"/>
              </w:rPr>
            </w:pPr>
            <w:r>
              <w:rPr>
                <w:color w:val="000000"/>
                <w:sz w:val="20"/>
                <w:szCs w:val="20"/>
              </w:rPr>
              <w:t> </w:t>
            </w:r>
          </w:p>
        </w:tc>
      </w:tr>
      <w:tr w:rsidR="00C121D0" w:rsidRPr="00DD0432" w14:paraId="7A9145F0" w14:textId="77777777" w:rsidTr="00BB3C33">
        <w:trPr>
          <w:trHeight w:val="170"/>
        </w:trPr>
        <w:tc>
          <w:tcPr>
            <w:tcW w:w="2183" w:type="dxa"/>
            <w:gridSpan w:val="2"/>
            <w:vMerge/>
            <w:vAlign w:val="center"/>
            <w:hideMark/>
          </w:tcPr>
          <w:p w14:paraId="27BD4DCB" w14:textId="77777777" w:rsidR="00C121D0" w:rsidRPr="00DD0432" w:rsidRDefault="00C121D0" w:rsidP="00C121D0">
            <w:pPr>
              <w:spacing w:line="276" w:lineRule="auto"/>
              <w:rPr>
                <w:color w:val="000000"/>
                <w:sz w:val="20"/>
                <w:szCs w:val="20"/>
              </w:rPr>
            </w:pPr>
          </w:p>
        </w:tc>
        <w:tc>
          <w:tcPr>
            <w:tcW w:w="4475" w:type="dxa"/>
            <w:noWrap/>
            <w:vAlign w:val="center"/>
            <w:hideMark/>
          </w:tcPr>
          <w:p w14:paraId="245E3838" w14:textId="504D510C" w:rsidR="00C121D0" w:rsidRPr="00DD0432" w:rsidRDefault="00C121D0" w:rsidP="00C121D0">
            <w:pPr>
              <w:spacing w:line="276" w:lineRule="auto"/>
              <w:rPr>
                <w:i/>
                <w:iCs/>
                <w:color w:val="000000"/>
                <w:sz w:val="20"/>
                <w:szCs w:val="20"/>
              </w:rPr>
            </w:pPr>
            <w:r>
              <w:rPr>
                <w:i/>
                <w:iCs/>
                <w:color w:val="000000"/>
                <w:sz w:val="20"/>
                <w:szCs w:val="20"/>
              </w:rPr>
              <w:t xml:space="preserve">   Impact on the person who gambles</w:t>
            </w:r>
          </w:p>
        </w:tc>
        <w:tc>
          <w:tcPr>
            <w:tcW w:w="2716" w:type="dxa"/>
            <w:noWrap/>
            <w:vAlign w:val="center"/>
            <w:hideMark/>
          </w:tcPr>
          <w:p w14:paraId="4D9F7D28" w14:textId="412B2BED" w:rsidR="00C121D0" w:rsidRPr="00DD0432" w:rsidRDefault="00C121D0" w:rsidP="00C121D0">
            <w:pPr>
              <w:spacing w:line="276" w:lineRule="auto"/>
              <w:jc w:val="right"/>
              <w:rPr>
                <w:color w:val="000000"/>
                <w:sz w:val="20"/>
                <w:szCs w:val="20"/>
              </w:rPr>
            </w:pPr>
            <w:r>
              <w:rPr>
                <w:color w:val="000000"/>
                <w:sz w:val="20"/>
                <w:szCs w:val="20"/>
              </w:rPr>
              <w:t>$830,639,483</w:t>
            </w:r>
          </w:p>
        </w:tc>
      </w:tr>
      <w:tr w:rsidR="00C121D0" w:rsidRPr="00DD0432" w14:paraId="6831A1A7" w14:textId="77777777" w:rsidTr="00BB3C33">
        <w:trPr>
          <w:trHeight w:val="170"/>
        </w:trPr>
        <w:tc>
          <w:tcPr>
            <w:tcW w:w="2183" w:type="dxa"/>
            <w:gridSpan w:val="2"/>
            <w:vMerge/>
            <w:vAlign w:val="center"/>
            <w:hideMark/>
          </w:tcPr>
          <w:p w14:paraId="3235034C" w14:textId="77777777" w:rsidR="00C121D0" w:rsidRPr="00DD0432" w:rsidRDefault="00C121D0" w:rsidP="00C121D0">
            <w:pPr>
              <w:spacing w:line="276" w:lineRule="auto"/>
              <w:rPr>
                <w:color w:val="000000"/>
                <w:sz w:val="20"/>
                <w:szCs w:val="20"/>
              </w:rPr>
            </w:pPr>
          </w:p>
        </w:tc>
        <w:tc>
          <w:tcPr>
            <w:tcW w:w="4475" w:type="dxa"/>
            <w:noWrap/>
            <w:vAlign w:val="center"/>
            <w:hideMark/>
          </w:tcPr>
          <w:p w14:paraId="36CC3EDF" w14:textId="3040F286" w:rsidR="00C121D0" w:rsidRPr="00DD0432" w:rsidRDefault="00C121D0" w:rsidP="00C121D0">
            <w:pPr>
              <w:spacing w:line="276" w:lineRule="auto"/>
              <w:rPr>
                <w:i/>
                <w:iCs/>
                <w:color w:val="000000"/>
                <w:sz w:val="20"/>
                <w:szCs w:val="20"/>
              </w:rPr>
            </w:pPr>
            <w:r>
              <w:rPr>
                <w:i/>
                <w:iCs/>
                <w:color w:val="000000"/>
                <w:sz w:val="20"/>
                <w:szCs w:val="20"/>
              </w:rPr>
              <w:t xml:space="preserve">   Impact on affected others</w:t>
            </w:r>
          </w:p>
        </w:tc>
        <w:tc>
          <w:tcPr>
            <w:tcW w:w="2716" w:type="dxa"/>
            <w:noWrap/>
            <w:vAlign w:val="center"/>
            <w:hideMark/>
          </w:tcPr>
          <w:p w14:paraId="5494B6B2" w14:textId="46A4C6D6" w:rsidR="00C121D0" w:rsidRPr="00DD0432" w:rsidRDefault="00C121D0" w:rsidP="00C121D0">
            <w:pPr>
              <w:spacing w:line="276" w:lineRule="auto"/>
              <w:jc w:val="right"/>
              <w:rPr>
                <w:color w:val="000000"/>
                <w:sz w:val="20"/>
                <w:szCs w:val="20"/>
              </w:rPr>
            </w:pPr>
            <w:r>
              <w:rPr>
                <w:color w:val="000000"/>
                <w:sz w:val="20"/>
                <w:szCs w:val="20"/>
              </w:rPr>
              <w:t>$852,186,063</w:t>
            </w:r>
          </w:p>
        </w:tc>
      </w:tr>
      <w:tr w:rsidR="00C121D0" w:rsidRPr="00DD0432" w14:paraId="16CB8AFF" w14:textId="77777777" w:rsidTr="00BB3C33">
        <w:trPr>
          <w:trHeight w:val="170"/>
        </w:trPr>
        <w:tc>
          <w:tcPr>
            <w:tcW w:w="2183" w:type="dxa"/>
            <w:gridSpan w:val="2"/>
            <w:vMerge/>
            <w:vAlign w:val="center"/>
            <w:hideMark/>
          </w:tcPr>
          <w:p w14:paraId="53137F73" w14:textId="77777777" w:rsidR="00C121D0" w:rsidRPr="00DD0432" w:rsidRDefault="00C121D0" w:rsidP="00C121D0">
            <w:pPr>
              <w:spacing w:line="276" w:lineRule="auto"/>
              <w:rPr>
                <w:color w:val="000000"/>
                <w:sz w:val="20"/>
                <w:szCs w:val="20"/>
              </w:rPr>
            </w:pPr>
          </w:p>
        </w:tc>
        <w:tc>
          <w:tcPr>
            <w:tcW w:w="4475" w:type="dxa"/>
            <w:noWrap/>
            <w:vAlign w:val="center"/>
            <w:hideMark/>
          </w:tcPr>
          <w:p w14:paraId="2E0D3B51" w14:textId="3A6CD683" w:rsidR="00C121D0" w:rsidRPr="00DD0432" w:rsidRDefault="00C121D0" w:rsidP="00C121D0">
            <w:pPr>
              <w:spacing w:line="276" w:lineRule="auto"/>
              <w:rPr>
                <w:color w:val="000000"/>
                <w:sz w:val="20"/>
                <w:szCs w:val="20"/>
              </w:rPr>
            </w:pPr>
            <w:r>
              <w:rPr>
                <w:color w:val="000000"/>
                <w:sz w:val="20"/>
                <w:szCs w:val="20"/>
              </w:rPr>
              <w:t>Health systems</w:t>
            </w:r>
          </w:p>
        </w:tc>
        <w:tc>
          <w:tcPr>
            <w:tcW w:w="2716" w:type="dxa"/>
            <w:noWrap/>
            <w:vAlign w:val="center"/>
            <w:hideMark/>
          </w:tcPr>
          <w:p w14:paraId="4CA9526A" w14:textId="7C6E201A" w:rsidR="00C121D0" w:rsidRPr="00DD0432" w:rsidRDefault="00C121D0" w:rsidP="00C121D0">
            <w:pPr>
              <w:spacing w:line="276" w:lineRule="auto"/>
              <w:jc w:val="right"/>
              <w:rPr>
                <w:color w:val="000000"/>
                <w:sz w:val="20"/>
                <w:szCs w:val="20"/>
              </w:rPr>
            </w:pPr>
            <w:r>
              <w:rPr>
                <w:color w:val="000000"/>
                <w:sz w:val="20"/>
                <w:szCs w:val="20"/>
              </w:rPr>
              <w:t>$130,103,425</w:t>
            </w:r>
          </w:p>
        </w:tc>
      </w:tr>
      <w:tr w:rsidR="00C121D0" w:rsidRPr="00DD0432" w14:paraId="0A1EF53D" w14:textId="77777777" w:rsidTr="00BB3C33">
        <w:trPr>
          <w:trHeight w:val="170"/>
        </w:trPr>
        <w:tc>
          <w:tcPr>
            <w:tcW w:w="2183" w:type="dxa"/>
            <w:gridSpan w:val="2"/>
            <w:vMerge w:val="restart"/>
            <w:vAlign w:val="center"/>
            <w:hideMark/>
          </w:tcPr>
          <w:p w14:paraId="19A00DFD" w14:textId="77777777" w:rsidR="00C121D0" w:rsidRPr="00DD0432" w:rsidRDefault="00C121D0" w:rsidP="00C121D0">
            <w:pPr>
              <w:spacing w:line="276" w:lineRule="auto"/>
              <w:rPr>
                <w:color w:val="000000"/>
                <w:sz w:val="20"/>
                <w:szCs w:val="20"/>
              </w:rPr>
            </w:pPr>
            <w:r w:rsidRPr="00DD0432">
              <w:rPr>
                <w:color w:val="000000"/>
                <w:sz w:val="20"/>
                <w:szCs w:val="20"/>
              </w:rPr>
              <w:t>Work or study impacts</w:t>
            </w:r>
          </w:p>
        </w:tc>
        <w:tc>
          <w:tcPr>
            <w:tcW w:w="4475" w:type="dxa"/>
            <w:noWrap/>
            <w:vAlign w:val="center"/>
            <w:hideMark/>
          </w:tcPr>
          <w:p w14:paraId="2C4562FA" w14:textId="27D26E59" w:rsidR="00C121D0" w:rsidRPr="00DD0432" w:rsidRDefault="00C121D0" w:rsidP="00C121D0">
            <w:pPr>
              <w:spacing w:line="276" w:lineRule="auto"/>
              <w:rPr>
                <w:color w:val="000000"/>
                <w:sz w:val="20"/>
                <w:szCs w:val="20"/>
              </w:rPr>
            </w:pPr>
            <w:r>
              <w:rPr>
                <w:color w:val="000000"/>
                <w:sz w:val="20"/>
                <w:szCs w:val="20"/>
              </w:rPr>
              <w:t>Productivity loss to business</w:t>
            </w:r>
          </w:p>
        </w:tc>
        <w:tc>
          <w:tcPr>
            <w:tcW w:w="2716" w:type="dxa"/>
            <w:noWrap/>
            <w:vAlign w:val="center"/>
            <w:hideMark/>
          </w:tcPr>
          <w:p w14:paraId="7CF2CFE8" w14:textId="4EE00B32" w:rsidR="00C121D0" w:rsidRPr="00DD0432" w:rsidRDefault="00C121D0" w:rsidP="00C121D0">
            <w:pPr>
              <w:spacing w:line="276" w:lineRule="auto"/>
              <w:jc w:val="right"/>
              <w:rPr>
                <w:color w:val="000000"/>
                <w:sz w:val="20"/>
                <w:szCs w:val="20"/>
              </w:rPr>
            </w:pPr>
            <w:r>
              <w:rPr>
                <w:color w:val="000000"/>
                <w:sz w:val="20"/>
                <w:szCs w:val="20"/>
              </w:rPr>
              <w:t>$588,141,444</w:t>
            </w:r>
          </w:p>
        </w:tc>
      </w:tr>
      <w:tr w:rsidR="00C121D0" w:rsidRPr="00DD0432" w14:paraId="63225210" w14:textId="77777777" w:rsidTr="00C121D0">
        <w:trPr>
          <w:trHeight w:val="170"/>
        </w:trPr>
        <w:tc>
          <w:tcPr>
            <w:tcW w:w="2183" w:type="dxa"/>
            <w:gridSpan w:val="2"/>
            <w:vMerge/>
            <w:vAlign w:val="center"/>
            <w:hideMark/>
          </w:tcPr>
          <w:p w14:paraId="60B2E5AC" w14:textId="77777777" w:rsidR="00C121D0" w:rsidRPr="00DD0432" w:rsidRDefault="00C121D0" w:rsidP="00C121D0">
            <w:pPr>
              <w:spacing w:line="276" w:lineRule="auto"/>
              <w:rPr>
                <w:color w:val="000000"/>
                <w:sz w:val="20"/>
                <w:szCs w:val="20"/>
              </w:rPr>
            </w:pPr>
          </w:p>
        </w:tc>
        <w:tc>
          <w:tcPr>
            <w:tcW w:w="4475" w:type="dxa"/>
            <w:noWrap/>
            <w:vAlign w:val="center"/>
            <w:hideMark/>
          </w:tcPr>
          <w:p w14:paraId="4A21E062" w14:textId="041A6638" w:rsidR="00C121D0" w:rsidRPr="00DD0432" w:rsidRDefault="00C121D0" w:rsidP="00C121D0">
            <w:pPr>
              <w:spacing w:line="276" w:lineRule="auto"/>
              <w:rPr>
                <w:color w:val="000000"/>
                <w:sz w:val="20"/>
                <w:szCs w:val="20"/>
              </w:rPr>
            </w:pPr>
            <w:r>
              <w:rPr>
                <w:color w:val="000000"/>
                <w:sz w:val="20"/>
                <w:szCs w:val="20"/>
              </w:rPr>
              <w:t>Cost of job loss</w:t>
            </w:r>
          </w:p>
        </w:tc>
        <w:tc>
          <w:tcPr>
            <w:tcW w:w="2716" w:type="dxa"/>
            <w:noWrap/>
            <w:vAlign w:val="bottom"/>
            <w:hideMark/>
          </w:tcPr>
          <w:p w14:paraId="10A9F4D5" w14:textId="03D018C9" w:rsidR="00C121D0" w:rsidRPr="00DD0432" w:rsidRDefault="00C121D0" w:rsidP="00C121D0">
            <w:pPr>
              <w:spacing w:line="276" w:lineRule="auto"/>
              <w:jc w:val="right"/>
              <w:rPr>
                <w:color w:val="000000"/>
                <w:sz w:val="20"/>
                <w:szCs w:val="20"/>
              </w:rPr>
            </w:pPr>
            <w:r>
              <w:rPr>
                <w:color w:val="000000"/>
                <w:sz w:val="20"/>
                <w:szCs w:val="20"/>
              </w:rPr>
              <w:t> </w:t>
            </w:r>
          </w:p>
        </w:tc>
      </w:tr>
      <w:tr w:rsidR="00C121D0" w:rsidRPr="00DD0432" w14:paraId="6A9DC865" w14:textId="77777777" w:rsidTr="00BB3C33">
        <w:trPr>
          <w:trHeight w:val="170"/>
        </w:trPr>
        <w:tc>
          <w:tcPr>
            <w:tcW w:w="2183" w:type="dxa"/>
            <w:gridSpan w:val="2"/>
            <w:vMerge/>
            <w:vAlign w:val="center"/>
            <w:hideMark/>
          </w:tcPr>
          <w:p w14:paraId="36B322FA" w14:textId="77777777" w:rsidR="00C121D0" w:rsidRPr="00DD0432" w:rsidRDefault="00C121D0" w:rsidP="00C121D0">
            <w:pPr>
              <w:spacing w:line="276" w:lineRule="auto"/>
              <w:rPr>
                <w:color w:val="000000"/>
                <w:sz w:val="20"/>
                <w:szCs w:val="20"/>
              </w:rPr>
            </w:pPr>
          </w:p>
        </w:tc>
        <w:tc>
          <w:tcPr>
            <w:tcW w:w="4475" w:type="dxa"/>
            <w:noWrap/>
            <w:vAlign w:val="center"/>
            <w:hideMark/>
          </w:tcPr>
          <w:p w14:paraId="1151B1A1" w14:textId="61539176" w:rsidR="00C121D0" w:rsidRPr="00DD0432" w:rsidRDefault="00C121D0" w:rsidP="00C121D0">
            <w:pPr>
              <w:spacing w:line="276" w:lineRule="auto"/>
              <w:rPr>
                <w:i/>
                <w:iCs/>
                <w:color w:val="000000"/>
                <w:sz w:val="20"/>
                <w:szCs w:val="20"/>
              </w:rPr>
            </w:pPr>
            <w:r>
              <w:rPr>
                <w:i/>
                <w:iCs/>
                <w:color w:val="000000"/>
                <w:sz w:val="20"/>
                <w:szCs w:val="20"/>
              </w:rPr>
              <w:t xml:space="preserve">   Loss of income</w:t>
            </w:r>
          </w:p>
        </w:tc>
        <w:tc>
          <w:tcPr>
            <w:tcW w:w="2716" w:type="dxa"/>
            <w:noWrap/>
            <w:vAlign w:val="center"/>
            <w:hideMark/>
          </w:tcPr>
          <w:p w14:paraId="06183B0B" w14:textId="5E004FC8" w:rsidR="00C121D0" w:rsidRPr="00DD0432" w:rsidRDefault="00C121D0" w:rsidP="00C121D0">
            <w:pPr>
              <w:spacing w:line="276" w:lineRule="auto"/>
              <w:jc w:val="right"/>
              <w:rPr>
                <w:i/>
                <w:iCs/>
                <w:color w:val="000000"/>
                <w:sz w:val="20"/>
                <w:szCs w:val="20"/>
              </w:rPr>
            </w:pPr>
            <w:r>
              <w:rPr>
                <w:i/>
                <w:iCs/>
                <w:color w:val="000000"/>
                <w:sz w:val="20"/>
                <w:szCs w:val="20"/>
              </w:rPr>
              <w:t>$32,873,214</w:t>
            </w:r>
          </w:p>
        </w:tc>
      </w:tr>
      <w:tr w:rsidR="00C121D0" w:rsidRPr="00DD0432" w14:paraId="43CCD11D" w14:textId="77777777" w:rsidTr="00BB3C33">
        <w:trPr>
          <w:trHeight w:val="170"/>
        </w:trPr>
        <w:tc>
          <w:tcPr>
            <w:tcW w:w="2183" w:type="dxa"/>
            <w:gridSpan w:val="2"/>
            <w:vMerge/>
            <w:vAlign w:val="center"/>
            <w:hideMark/>
          </w:tcPr>
          <w:p w14:paraId="421DBBC2" w14:textId="77777777" w:rsidR="00C121D0" w:rsidRPr="00DD0432" w:rsidRDefault="00C121D0" w:rsidP="00C121D0">
            <w:pPr>
              <w:spacing w:line="276" w:lineRule="auto"/>
              <w:rPr>
                <w:color w:val="000000"/>
                <w:sz w:val="20"/>
                <w:szCs w:val="20"/>
              </w:rPr>
            </w:pPr>
          </w:p>
        </w:tc>
        <w:tc>
          <w:tcPr>
            <w:tcW w:w="4475" w:type="dxa"/>
            <w:noWrap/>
            <w:vAlign w:val="center"/>
            <w:hideMark/>
          </w:tcPr>
          <w:p w14:paraId="09B8DEFE" w14:textId="4D01856B" w:rsidR="00C121D0" w:rsidRPr="00DD0432" w:rsidRDefault="00C121D0" w:rsidP="00C121D0">
            <w:pPr>
              <w:spacing w:line="276" w:lineRule="auto"/>
              <w:rPr>
                <w:i/>
                <w:iCs/>
                <w:color w:val="000000"/>
                <w:sz w:val="20"/>
                <w:szCs w:val="20"/>
              </w:rPr>
            </w:pPr>
            <w:r>
              <w:rPr>
                <w:i/>
                <w:iCs/>
                <w:color w:val="000000"/>
                <w:sz w:val="20"/>
                <w:szCs w:val="20"/>
              </w:rPr>
              <w:t xml:space="preserve">   Job search to the person who gambles</w:t>
            </w:r>
          </w:p>
        </w:tc>
        <w:tc>
          <w:tcPr>
            <w:tcW w:w="2716" w:type="dxa"/>
            <w:noWrap/>
            <w:vAlign w:val="center"/>
            <w:hideMark/>
          </w:tcPr>
          <w:p w14:paraId="144F5DC3" w14:textId="4E684AF0" w:rsidR="00C121D0" w:rsidRPr="00DD0432" w:rsidRDefault="00C121D0" w:rsidP="00C121D0">
            <w:pPr>
              <w:spacing w:line="276" w:lineRule="auto"/>
              <w:jc w:val="right"/>
              <w:rPr>
                <w:i/>
                <w:iCs/>
                <w:color w:val="000000"/>
                <w:sz w:val="20"/>
                <w:szCs w:val="20"/>
              </w:rPr>
            </w:pPr>
            <w:r>
              <w:rPr>
                <w:i/>
                <w:iCs/>
                <w:color w:val="000000"/>
                <w:sz w:val="20"/>
                <w:szCs w:val="20"/>
              </w:rPr>
              <w:t>$7,026,060</w:t>
            </w:r>
          </w:p>
        </w:tc>
      </w:tr>
      <w:tr w:rsidR="00C121D0" w:rsidRPr="00DD0432" w14:paraId="5D200AB9" w14:textId="77777777" w:rsidTr="00BB3C33">
        <w:trPr>
          <w:trHeight w:val="170"/>
        </w:trPr>
        <w:tc>
          <w:tcPr>
            <w:tcW w:w="2183" w:type="dxa"/>
            <w:gridSpan w:val="2"/>
            <w:vMerge/>
            <w:vAlign w:val="center"/>
            <w:hideMark/>
          </w:tcPr>
          <w:p w14:paraId="237F261F" w14:textId="77777777" w:rsidR="00C121D0" w:rsidRPr="00DD0432" w:rsidRDefault="00C121D0" w:rsidP="00C121D0">
            <w:pPr>
              <w:spacing w:line="276" w:lineRule="auto"/>
              <w:rPr>
                <w:color w:val="000000"/>
                <w:sz w:val="20"/>
                <w:szCs w:val="20"/>
              </w:rPr>
            </w:pPr>
          </w:p>
        </w:tc>
        <w:tc>
          <w:tcPr>
            <w:tcW w:w="4475" w:type="dxa"/>
            <w:noWrap/>
            <w:vAlign w:val="center"/>
            <w:hideMark/>
          </w:tcPr>
          <w:p w14:paraId="5FE62BE8" w14:textId="120FB6B3" w:rsidR="00C121D0" w:rsidRPr="00DD0432" w:rsidRDefault="00C121D0" w:rsidP="00C121D0">
            <w:pPr>
              <w:spacing w:line="276" w:lineRule="auto"/>
              <w:rPr>
                <w:i/>
                <w:iCs/>
                <w:color w:val="000000"/>
                <w:sz w:val="20"/>
                <w:szCs w:val="20"/>
              </w:rPr>
            </w:pPr>
            <w:r>
              <w:rPr>
                <w:i/>
                <w:iCs/>
                <w:color w:val="000000"/>
                <w:sz w:val="20"/>
                <w:szCs w:val="20"/>
              </w:rPr>
              <w:t xml:space="preserve">   Employer staff replacement costs</w:t>
            </w:r>
          </w:p>
        </w:tc>
        <w:tc>
          <w:tcPr>
            <w:tcW w:w="2716" w:type="dxa"/>
            <w:noWrap/>
            <w:vAlign w:val="center"/>
            <w:hideMark/>
          </w:tcPr>
          <w:p w14:paraId="1C2F4969" w14:textId="7FE0BEE0" w:rsidR="00C121D0" w:rsidRPr="00DD0432" w:rsidRDefault="00C121D0" w:rsidP="00C121D0">
            <w:pPr>
              <w:spacing w:line="276" w:lineRule="auto"/>
              <w:jc w:val="right"/>
              <w:rPr>
                <w:i/>
                <w:iCs/>
                <w:color w:val="000000"/>
                <w:sz w:val="20"/>
                <w:szCs w:val="20"/>
              </w:rPr>
            </w:pPr>
            <w:r>
              <w:rPr>
                <w:i/>
                <w:iCs/>
                <w:color w:val="000000"/>
                <w:sz w:val="20"/>
                <w:szCs w:val="20"/>
              </w:rPr>
              <w:t>$27,792,960</w:t>
            </w:r>
          </w:p>
        </w:tc>
      </w:tr>
      <w:tr w:rsidR="00C121D0" w:rsidRPr="00DD0432" w14:paraId="718F2B5C" w14:textId="77777777" w:rsidTr="00BB3C33">
        <w:trPr>
          <w:trHeight w:val="170"/>
        </w:trPr>
        <w:tc>
          <w:tcPr>
            <w:tcW w:w="2183" w:type="dxa"/>
            <w:gridSpan w:val="2"/>
            <w:vMerge/>
            <w:vAlign w:val="center"/>
            <w:hideMark/>
          </w:tcPr>
          <w:p w14:paraId="31484349" w14:textId="77777777" w:rsidR="00C121D0" w:rsidRPr="00DD0432" w:rsidRDefault="00C121D0" w:rsidP="00C121D0">
            <w:pPr>
              <w:spacing w:line="276" w:lineRule="auto"/>
              <w:rPr>
                <w:color w:val="000000"/>
                <w:sz w:val="20"/>
                <w:szCs w:val="20"/>
              </w:rPr>
            </w:pPr>
          </w:p>
        </w:tc>
        <w:tc>
          <w:tcPr>
            <w:tcW w:w="4475" w:type="dxa"/>
            <w:noWrap/>
            <w:vAlign w:val="center"/>
            <w:hideMark/>
          </w:tcPr>
          <w:p w14:paraId="3C4A0676" w14:textId="6C078D03" w:rsidR="00C121D0" w:rsidRPr="00DD0432" w:rsidRDefault="00C121D0" w:rsidP="00C121D0">
            <w:pPr>
              <w:spacing w:line="276" w:lineRule="auto"/>
              <w:rPr>
                <w:i/>
                <w:iCs/>
                <w:color w:val="000000"/>
                <w:sz w:val="20"/>
                <w:szCs w:val="20"/>
              </w:rPr>
            </w:pPr>
            <w:r>
              <w:rPr>
                <w:i/>
                <w:iCs/>
                <w:color w:val="000000"/>
                <w:sz w:val="20"/>
                <w:szCs w:val="20"/>
              </w:rPr>
              <w:t xml:space="preserve">   Unemployment benefits</w:t>
            </w:r>
          </w:p>
        </w:tc>
        <w:tc>
          <w:tcPr>
            <w:tcW w:w="2716" w:type="dxa"/>
            <w:noWrap/>
            <w:vAlign w:val="center"/>
            <w:hideMark/>
          </w:tcPr>
          <w:p w14:paraId="7EE6A685" w14:textId="78B98CAB" w:rsidR="00C121D0" w:rsidRPr="00DD0432" w:rsidRDefault="00C121D0" w:rsidP="00C121D0">
            <w:pPr>
              <w:spacing w:line="276" w:lineRule="auto"/>
              <w:jc w:val="right"/>
              <w:rPr>
                <w:i/>
                <w:iCs/>
                <w:color w:val="000000"/>
                <w:sz w:val="20"/>
                <w:szCs w:val="20"/>
              </w:rPr>
            </w:pPr>
            <w:r>
              <w:rPr>
                <w:i/>
                <w:iCs/>
                <w:color w:val="000000"/>
                <w:sz w:val="20"/>
                <w:szCs w:val="20"/>
              </w:rPr>
              <w:t>$3,172,512</w:t>
            </w:r>
          </w:p>
        </w:tc>
      </w:tr>
      <w:tr w:rsidR="00C121D0" w:rsidRPr="00DD0432" w14:paraId="4323FCAC" w14:textId="77777777" w:rsidTr="00BB3C33">
        <w:trPr>
          <w:trHeight w:val="170"/>
        </w:trPr>
        <w:tc>
          <w:tcPr>
            <w:tcW w:w="2183" w:type="dxa"/>
            <w:gridSpan w:val="2"/>
            <w:vMerge/>
            <w:vAlign w:val="center"/>
            <w:hideMark/>
          </w:tcPr>
          <w:p w14:paraId="1C7F499B" w14:textId="77777777" w:rsidR="00C121D0" w:rsidRPr="00DD0432" w:rsidRDefault="00C121D0" w:rsidP="00C121D0">
            <w:pPr>
              <w:spacing w:line="276" w:lineRule="auto"/>
              <w:rPr>
                <w:color w:val="000000"/>
                <w:sz w:val="20"/>
                <w:szCs w:val="20"/>
              </w:rPr>
            </w:pPr>
          </w:p>
        </w:tc>
        <w:tc>
          <w:tcPr>
            <w:tcW w:w="4475" w:type="dxa"/>
            <w:noWrap/>
            <w:vAlign w:val="center"/>
            <w:hideMark/>
          </w:tcPr>
          <w:p w14:paraId="5A378969" w14:textId="01568193" w:rsidR="00C121D0" w:rsidRPr="00DD0432" w:rsidRDefault="00C121D0" w:rsidP="00C121D0">
            <w:pPr>
              <w:spacing w:line="276" w:lineRule="auto"/>
              <w:rPr>
                <w:color w:val="000000"/>
                <w:sz w:val="20"/>
                <w:szCs w:val="20"/>
              </w:rPr>
            </w:pPr>
            <w:r>
              <w:rPr>
                <w:color w:val="000000"/>
                <w:sz w:val="20"/>
                <w:szCs w:val="20"/>
              </w:rPr>
              <w:t>Cost of absenteeism to business</w:t>
            </w:r>
          </w:p>
        </w:tc>
        <w:tc>
          <w:tcPr>
            <w:tcW w:w="2716" w:type="dxa"/>
            <w:noWrap/>
            <w:vAlign w:val="center"/>
            <w:hideMark/>
          </w:tcPr>
          <w:p w14:paraId="1F9F73A3" w14:textId="6EB584D8" w:rsidR="00C121D0" w:rsidRPr="00DD0432" w:rsidRDefault="00C121D0" w:rsidP="00C121D0">
            <w:pPr>
              <w:spacing w:line="276" w:lineRule="auto"/>
              <w:jc w:val="right"/>
              <w:rPr>
                <w:color w:val="000000"/>
                <w:sz w:val="20"/>
                <w:szCs w:val="20"/>
              </w:rPr>
            </w:pPr>
            <w:r>
              <w:rPr>
                <w:color w:val="000000"/>
                <w:sz w:val="20"/>
                <w:szCs w:val="20"/>
              </w:rPr>
              <w:t>$19,822,811</w:t>
            </w:r>
          </w:p>
        </w:tc>
      </w:tr>
      <w:tr w:rsidR="00C121D0" w:rsidRPr="00DD0432" w14:paraId="09683C86" w14:textId="77777777" w:rsidTr="00C121D0">
        <w:trPr>
          <w:trHeight w:val="170"/>
        </w:trPr>
        <w:tc>
          <w:tcPr>
            <w:tcW w:w="2183" w:type="dxa"/>
            <w:gridSpan w:val="2"/>
            <w:vMerge w:val="restart"/>
            <w:vAlign w:val="center"/>
            <w:hideMark/>
          </w:tcPr>
          <w:p w14:paraId="56A11EC3" w14:textId="77777777" w:rsidR="00C121D0" w:rsidRPr="00DD0432" w:rsidRDefault="00C121D0" w:rsidP="00C121D0">
            <w:pPr>
              <w:spacing w:line="276" w:lineRule="auto"/>
              <w:rPr>
                <w:color w:val="000000"/>
                <w:sz w:val="20"/>
                <w:szCs w:val="20"/>
              </w:rPr>
            </w:pPr>
            <w:r w:rsidRPr="00DD0432">
              <w:rPr>
                <w:color w:val="000000"/>
                <w:sz w:val="20"/>
                <w:szCs w:val="20"/>
              </w:rPr>
              <w:t>Criminal activity</w:t>
            </w:r>
          </w:p>
        </w:tc>
        <w:tc>
          <w:tcPr>
            <w:tcW w:w="4475" w:type="dxa"/>
            <w:noWrap/>
            <w:vAlign w:val="center"/>
            <w:hideMark/>
          </w:tcPr>
          <w:p w14:paraId="7E25F53B" w14:textId="44B64543" w:rsidR="00C121D0" w:rsidRPr="00DD0432" w:rsidRDefault="00C121D0" w:rsidP="00C121D0">
            <w:pPr>
              <w:spacing w:line="276" w:lineRule="auto"/>
              <w:rPr>
                <w:color w:val="000000"/>
                <w:sz w:val="20"/>
                <w:szCs w:val="20"/>
              </w:rPr>
            </w:pPr>
            <w:r>
              <w:rPr>
                <w:color w:val="000000"/>
                <w:sz w:val="20"/>
                <w:szCs w:val="20"/>
              </w:rPr>
              <w:t xml:space="preserve">Cost to New Zealand justice system </w:t>
            </w:r>
          </w:p>
        </w:tc>
        <w:tc>
          <w:tcPr>
            <w:tcW w:w="2716" w:type="dxa"/>
            <w:noWrap/>
            <w:vAlign w:val="bottom"/>
            <w:hideMark/>
          </w:tcPr>
          <w:p w14:paraId="113DC2D6" w14:textId="1F8BE4D9" w:rsidR="00C121D0" w:rsidRPr="00DD0432" w:rsidRDefault="00C121D0" w:rsidP="00C121D0">
            <w:pPr>
              <w:spacing w:line="276" w:lineRule="auto"/>
              <w:jc w:val="right"/>
              <w:rPr>
                <w:color w:val="000000"/>
                <w:sz w:val="20"/>
                <w:szCs w:val="20"/>
              </w:rPr>
            </w:pPr>
            <w:r>
              <w:rPr>
                <w:color w:val="000000"/>
                <w:sz w:val="20"/>
                <w:szCs w:val="20"/>
              </w:rPr>
              <w:t> </w:t>
            </w:r>
          </w:p>
        </w:tc>
      </w:tr>
      <w:tr w:rsidR="00C121D0" w:rsidRPr="00DD0432" w14:paraId="14440A15" w14:textId="77777777" w:rsidTr="00BB3C33">
        <w:trPr>
          <w:trHeight w:val="170"/>
        </w:trPr>
        <w:tc>
          <w:tcPr>
            <w:tcW w:w="2183" w:type="dxa"/>
            <w:gridSpan w:val="2"/>
            <w:vMerge/>
            <w:vAlign w:val="center"/>
            <w:hideMark/>
          </w:tcPr>
          <w:p w14:paraId="7EE69DAB" w14:textId="77777777" w:rsidR="00C121D0" w:rsidRPr="00DD0432" w:rsidRDefault="00C121D0" w:rsidP="00C121D0">
            <w:pPr>
              <w:spacing w:line="276" w:lineRule="auto"/>
              <w:rPr>
                <w:color w:val="000000"/>
                <w:sz w:val="20"/>
                <w:szCs w:val="20"/>
              </w:rPr>
            </w:pPr>
          </w:p>
        </w:tc>
        <w:tc>
          <w:tcPr>
            <w:tcW w:w="4475" w:type="dxa"/>
            <w:noWrap/>
            <w:vAlign w:val="center"/>
            <w:hideMark/>
          </w:tcPr>
          <w:p w14:paraId="703BA3C7" w14:textId="54D71393" w:rsidR="00C121D0" w:rsidRPr="00DD0432" w:rsidRDefault="00C121D0" w:rsidP="00C121D0">
            <w:pPr>
              <w:spacing w:line="276" w:lineRule="auto"/>
              <w:rPr>
                <w:i/>
                <w:iCs/>
                <w:color w:val="000000"/>
                <w:sz w:val="20"/>
                <w:szCs w:val="20"/>
              </w:rPr>
            </w:pPr>
            <w:r>
              <w:rPr>
                <w:i/>
                <w:iCs/>
                <w:color w:val="000000"/>
                <w:sz w:val="20"/>
                <w:szCs w:val="20"/>
              </w:rPr>
              <w:t xml:space="preserve">   Police system cost</w:t>
            </w:r>
          </w:p>
        </w:tc>
        <w:tc>
          <w:tcPr>
            <w:tcW w:w="2716" w:type="dxa"/>
            <w:noWrap/>
            <w:vAlign w:val="center"/>
            <w:hideMark/>
          </w:tcPr>
          <w:p w14:paraId="3B06F078" w14:textId="5A16D7D3" w:rsidR="00C121D0" w:rsidRPr="00DD0432" w:rsidRDefault="00C121D0" w:rsidP="00C121D0">
            <w:pPr>
              <w:spacing w:line="276" w:lineRule="auto"/>
              <w:jc w:val="right"/>
              <w:rPr>
                <w:i/>
                <w:iCs/>
                <w:color w:val="000000"/>
                <w:sz w:val="20"/>
                <w:szCs w:val="20"/>
              </w:rPr>
            </w:pPr>
            <w:r>
              <w:rPr>
                <w:i/>
                <w:iCs/>
                <w:color w:val="000000"/>
                <w:sz w:val="20"/>
                <w:szCs w:val="20"/>
              </w:rPr>
              <w:t>$560,891</w:t>
            </w:r>
          </w:p>
        </w:tc>
      </w:tr>
      <w:tr w:rsidR="00C121D0" w:rsidRPr="00DD0432" w14:paraId="72609032" w14:textId="77777777" w:rsidTr="00BB3C33">
        <w:trPr>
          <w:trHeight w:val="170"/>
        </w:trPr>
        <w:tc>
          <w:tcPr>
            <w:tcW w:w="2183" w:type="dxa"/>
            <w:gridSpan w:val="2"/>
            <w:vMerge/>
            <w:vAlign w:val="center"/>
            <w:hideMark/>
          </w:tcPr>
          <w:p w14:paraId="11437CFB" w14:textId="77777777" w:rsidR="00C121D0" w:rsidRPr="00DD0432" w:rsidRDefault="00C121D0" w:rsidP="00C121D0">
            <w:pPr>
              <w:spacing w:line="276" w:lineRule="auto"/>
              <w:rPr>
                <w:color w:val="000000"/>
                <w:sz w:val="20"/>
                <w:szCs w:val="20"/>
              </w:rPr>
            </w:pPr>
          </w:p>
        </w:tc>
        <w:tc>
          <w:tcPr>
            <w:tcW w:w="4475" w:type="dxa"/>
            <w:noWrap/>
            <w:vAlign w:val="center"/>
            <w:hideMark/>
          </w:tcPr>
          <w:p w14:paraId="651E693F" w14:textId="3962A94C" w:rsidR="00C121D0" w:rsidRPr="00DD0432" w:rsidRDefault="00C121D0" w:rsidP="00C121D0">
            <w:pPr>
              <w:spacing w:line="276" w:lineRule="auto"/>
              <w:rPr>
                <w:i/>
                <w:iCs/>
                <w:color w:val="000000"/>
                <w:sz w:val="20"/>
                <w:szCs w:val="20"/>
              </w:rPr>
            </w:pPr>
            <w:r>
              <w:rPr>
                <w:i/>
                <w:iCs/>
                <w:color w:val="000000"/>
                <w:sz w:val="20"/>
                <w:szCs w:val="20"/>
              </w:rPr>
              <w:t xml:space="preserve">   Court system cost</w:t>
            </w:r>
          </w:p>
        </w:tc>
        <w:tc>
          <w:tcPr>
            <w:tcW w:w="2716" w:type="dxa"/>
            <w:noWrap/>
            <w:vAlign w:val="center"/>
            <w:hideMark/>
          </w:tcPr>
          <w:p w14:paraId="5AB87B57" w14:textId="190594D0" w:rsidR="00C121D0" w:rsidRPr="00DD0432" w:rsidRDefault="00C121D0" w:rsidP="00C121D0">
            <w:pPr>
              <w:spacing w:line="276" w:lineRule="auto"/>
              <w:jc w:val="right"/>
              <w:rPr>
                <w:i/>
                <w:iCs/>
                <w:color w:val="000000"/>
                <w:sz w:val="20"/>
                <w:szCs w:val="20"/>
              </w:rPr>
            </w:pPr>
            <w:r>
              <w:rPr>
                <w:i/>
                <w:iCs/>
                <w:color w:val="000000"/>
                <w:sz w:val="20"/>
                <w:szCs w:val="20"/>
              </w:rPr>
              <w:t>$2,630,745</w:t>
            </w:r>
          </w:p>
        </w:tc>
      </w:tr>
      <w:tr w:rsidR="00C121D0" w:rsidRPr="00DD0432" w14:paraId="4C815E92" w14:textId="77777777" w:rsidTr="00BB3C33">
        <w:trPr>
          <w:trHeight w:val="170"/>
        </w:trPr>
        <w:tc>
          <w:tcPr>
            <w:tcW w:w="2183" w:type="dxa"/>
            <w:gridSpan w:val="2"/>
            <w:vMerge/>
            <w:vAlign w:val="center"/>
            <w:hideMark/>
          </w:tcPr>
          <w:p w14:paraId="7D88B4F6" w14:textId="77777777" w:rsidR="00C121D0" w:rsidRPr="00DD0432" w:rsidRDefault="00C121D0" w:rsidP="00C121D0">
            <w:pPr>
              <w:spacing w:line="276" w:lineRule="auto"/>
              <w:rPr>
                <w:color w:val="000000"/>
                <w:sz w:val="20"/>
                <w:szCs w:val="20"/>
              </w:rPr>
            </w:pPr>
          </w:p>
        </w:tc>
        <w:tc>
          <w:tcPr>
            <w:tcW w:w="4475" w:type="dxa"/>
            <w:noWrap/>
            <w:vAlign w:val="center"/>
            <w:hideMark/>
          </w:tcPr>
          <w:p w14:paraId="009349AA" w14:textId="062ABEFE" w:rsidR="00C121D0" w:rsidRPr="00DD0432" w:rsidRDefault="00C121D0" w:rsidP="00C121D0">
            <w:pPr>
              <w:spacing w:line="276" w:lineRule="auto"/>
              <w:rPr>
                <w:i/>
                <w:iCs/>
                <w:color w:val="000000"/>
                <w:sz w:val="20"/>
                <w:szCs w:val="20"/>
              </w:rPr>
            </w:pPr>
            <w:r>
              <w:rPr>
                <w:i/>
                <w:iCs/>
                <w:color w:val="000000"/>
                <w:sz w:val="20"/>
                <w:szCs w:val="20"/>
              </w:rPr>
              <w:t xml:space="preserve">   Corrections system cost (general)</w:t>
            </w:r>
          </w:p>
        </w:tc>
        <w:tc>
          <w:tcPr>
            <w:tcW w:w="2716" w:type="dxa"/>
            <w:noWrap/>
            <w:vAlign w:val="center"/>
            <w:hideMark/>
          </w:tcPr>
          <w:p w14:paraId="2D7DC1D2" w14:textId="30EDB811" w:rsidR="00C121D0" w:rsidRPr="00DD0432" w:rsidRDefault="00C121D0" w:rsidP="00C121D0">
            <w:pPr>
              <w:spacing w:line="276" w:lineRule="auto"/>
              <w:jc w:val="right"/>
              <w:rPr>
                <w:i/>
                <w:iCs/>
                <w:color w:val="000000"/>
                <w:sz w:val="20"/>
                <w:szCs w:val="20"/>
              </w:rPr>
            </w:pPr>
            <w:r>
              <w:rPr>
                <w:i/>
                <w:iCs/>
                <w:color w:val="000000"/>
                <w:sz w:val="20"/>
                <w:szCs w:val="20"/>
              </w:rPr>
              <w:t>$19,165,464</w:t>
            </w:r>
          </w:p>
        </w:tc>
      </w:tr>
      <w:tr w:rsidR="00C121D0" w:rsidRPr="00DD0432" w14:paraId="6EE1AF29" w14:textId="77777777" w:rsidTr="00C121D0">
        <w:trPr>
          <w:trHeight w:val="170"/>
        </w:trPr>
        <w:tc>
          <w:tcPr>
            <w:tcW w:w="2183" w:type="dxa"/>
            <w:gridSpan w:val="2"/>
            <w:vMerge/>
            <w:vAlign w:val="center"/>
            <w:hideMark/>
          </w:tcPr>
          <w:p w14:paraId="1A15DEBF" w14:textId="77777777" w:rsidR="00C121D0" w:rsidRPr="00DD0432" w:rsidRDefault="00C121D0" w:rsidP="00C121D0">
            <w:pPr>
              <w:spacing w:line="276" w:lineRule="auto"/>
              <w:rPr>
                <w:color w:val="000000"/>
                <w:sz w:val="20"/>
                <w:szCs w:val="20"/>
              </w:rPr>
            </w:pPr>
          </w:p>
        </w:tc>
        <w:tc>
          <w:tcPr>
            <w:tcW w:w="4475" w:type="dxa"/>
            <w:noWrap/>
            <w:vAlign w:val="center"/>
            <w:hideMark/>
          </w:tcPr>
          <w:p w14:paraId="540EFD22" w14:textId="2ABB3AF2" w:rsidR="00C121D0" w:rsidRPr="00DD0432" w:rsidRDefault="00C121D0" w:rsidP="00C121D0">
            <w:pPr>
              <w:spacing w:line="276" w:lineRule="auto"/>
              <w:rPr>
                <w:color w:val="000000"/>
                <w:sz w:val="20"/>
                <w:szCs w:val="20"/>
              </w:rPr>
            </w:pPr>
            <w:r>
              <w:rPr>
                <w:color w:val="000000"/>
                <w:sz w:val="20"/>
                <w:szCs w:val="20"/>
              </w:rPr>
              <w:t xml:space="preserve">Crime to business </w:t>
            </w:r>
          </w:p>
        </w:tc>
        <w:tc>
          <w:tcPr>
            <w:tcW w:w="2716" w:type="dxa"/>
            <w:noWrap/>
            <w:vAlign w:val="bottom"/>
            <w:hideMark/>
          </w:tcPr>
          <w:p w14:paraId="5E11E095" w14:textId="6BD1166D" w:rsidR="00C121D0" w:rsidRPr="00DD0432" w:rsidRDefault="00C121D0" w:rsidP="00C121D0">
            <w:pPr>
              <w:spacing w:line="276" w:lineRule="auto"/>
              <w:jc w:val="right"/>
              <w:rPr>
                <w:color w:val="000000"/>
                <w:sz w:val="20"/>
                <w:szCs w:val="20"/>
              </w:rPr>
            </w:pPr>
            <w:r>
              <w:rPr>
                <w:color w:val="000000"/>
                <w:sz w:val="20"/>
                <w:szCs w:val="20"/>
              </w:rPr>
              <w:t> </w:t>
            </w:r>
          </w:p>
        </w:tc>
      </w:tr>
      <w:tr w:rsidR="00C121D0" w:rsidRPr="00DD0432" w14:paraId="48331886" w14:textId="77777777" w:rsidTr="00BB3C33">
        <w:trPr>
          <w:trHeight w:val="170"/>
        </w:trPr>
        <w:tc>
          <w:tcPr>
            <w:tcW w:w="2183" w:type="dxa"/>
            <w:gridSpan w:val="2"/>
            <w:vMerge/>
            <w:vAlign w:val="center"/>
            <w:hideMark/>
          </w:tcPr>
          <w:p w14:paraId="63099B79" w14:textId="77777777" w:rsidR="00C121D0" w:rsidRPr="00DD0432" w:rsidRDefault="00C121D0" w:rsidP="00C121D0">
            <w:pPr>
              <w:spacing w:line="276" w:lineRule="auto"/>
              <w:rPr>
                <w:color w:val="000000"/>
                <w:sz w:val="20"/>
                <w:szCs w:val="20"/>
              </w:rPr>
            </w:pPr>
          </w:p>
        </w:tc>
        <w:tc>
          <w:tcPr>
            <w:tcW w:w="4475" w:type="dxa"/>
            <w:noWrap/>
            <w:vAlign w:val="center"/>
            <w:hideMark/>
          </w:tcPr>
          <w:p w14:paraId="029E5A3C" w14:textId="4F563C7F" w:rsidR="00C121D0" w:rsidRPr="00DD0432" w:rsidRDefault="00C121D0" w:rsidP="00C121D0">
            <w:pPr>
              <w:spacing w:line="276" w:lineRule="auto"/>
              <w:rPr>
                <w:i/>
                <w:iCs/>
                <w:color w:val="000000"/>
                <w:sz w:val="20"/>
                <w:szCs w:val="20"/>
              </w:rPr>
            </w:pPr>
            <w:r>
              <w:rPr>
                <w:i/>
                <w:iCs/>
                <w:color w:val="000000"/>
                <w:sz w:val="20"/>
                <w:szCs w:val="20"/>
              </w:rPr>
              <w:t xml:space="preserve">   Petty theft or dishonesty</w:t>
            </w:r>
          </w:p>
        </w:tc>
        <w:tc>
          <w:tcPr>
            <w:tcW w:w="2716" w:type="dxa"/>
            <w:noWrap/>
            <w:vAlign w:val="center"/>
            <w:hideMark/>
          </w:tcPr>
          <w:p w14:paraId="0FF86B25" w14:textId="3A5BB95E" w:rsidR="00C121D0" w:rsidRPr="00DD0432" w:rsidRDefault="00C121D0" w:rsidP="00C121D0">
            <w:pPr>
              <w:spacing w:line="276" w:lineRule="auto"/>
              <w:jc w:val="right"/>
              <w:rPr>
                <w:i/>
                <w:iCs/>
                <w:color w:val="000000"/>
                <w:sz w:val="20"/>
                <w:szCs w:val="20"/>
              </w:rPr>
            </w:pPr>
            <w:r>
              <w:rPr>
                <w:i/>
                <w:iCs/>
                <w:color w:val="000000"/>
                <w:sz w:val="20"/>
                <w:szCs w:val="20"/>
              </w:rPr>
              <w:t>$28,401,020</w:t>
            </w:r>
          </w:p>
        </w:tc>
      </w:tr>
      <w:tr w:rsidR="00C121D0" w:rsidRPr="00DD0432" w14:paraId="7540E43B" w14:textId="77777777" w:rsidTr="00BB3C33">
        <w:trPr>
          <w:trHeight w:val="170"/>
        </w:trPr>
        <w:tc>
          <w:tcPr>
            <w:tcW w:w="2183" w:type="dxa"/>
            <w:gridSpan w:val="2"/>
            <w:vMerge/>
            <w:vAlign w:val="center"/>
            <w:hideMark/>
          </w:tcPr>
          <w:p w14:paraId="6B40B25B" w14:textId="77777777" w:rsidR="00C121D0" w:rsidRPr="00DD0432" w:rsidRDefault="00C121D0" w:rsidP="00C121D0">
            <w:pPr>
              <w:spacing w:line="276" w:lineRule="auto"/>
              <w:rPr>
                <w:color w:val="000000"/>
                <w:sz w:val="20"/>
                <w:szCs w:val="20"/>
              </w:rPr>
            </w:pPr>
          </w:p>
        </w:tc>
        <w:tc>
          <w:tcPr>
            <w:tcW w:w="4475" w:type="dxa"/>
            <w:noWrap/>
            <w:vAlign w:val="center"/>
            <w:hideMark/>
          </w:tcPr>
          <w:p w14:paraId="2C07398E" w14:textId="6BE30DD5" w:rsidR="00C121D0" w:rsidRPr="00DD0432" w:rsidRDefault="00C121D0" w:rsidP="00C121D0">
            <w:pPr>
              <w:spacing w:line="276" w:lineRule="auto"/>
              <w:rPr>
                <w:i/>
                <w:iCs/>
                <w:color w:val="000000"/>
                <w:sz w:val="20"/>
                <w:szCs w:val="20"/>
              </w:rPr>
            </w:pPr>
            <w:r>
              <w:rPr>
                <w:i/>
                <w:iCs/>
                <w:color w:val="000000"/>
                <w:sz w:val="20"/>
                <w:szCs w:val="20"/>
              </w:rPr>
              <w:t xml:space="preserve">   Major fraud</w:t>
            </w:r>
          </w:p>
        </w:tc>
        <w:tc>
          <w:tcPr>
            <w:tcW w:w="2716" w:type="dxa"/>
            <w:noWrap/>
            <w:vAlign w:val="center"/>
            <w:hideMark/>
          </w:tcPr>
          <w:p w14:paraId="2C37D707" w14:textId="0096978C" w:rsidR="00C121D0" w:rsidRPr="00DD0432" w:rsidRDefault="00C121D0" w:rsidP="00C121D0">
            <w:pPr>
              <w:spacing w:line="276" w:lineRule="auto"/>
              <w:jc w:val="right"/>
              <w:rPr>
                <w:i/>
                <w:iCs/>
                <w:color w:val="000000"/>
                <w:sz w:val="20"/>
                <w:szCs w:val="20"/>
              </w:rPr>
            </w:pPr>
            <w:r>
              <w:rPr>
                <w:i/>
                <w:iCs/>
                <w:color w:val="000000"/>
                <w:sz w:val="20"/>
                <w:szCs w:val="20"/>
              </w:rPr>
              <w:t>$3,589,348</w:t>
            </w:r>
          </w:p>
        </w:tc>
      </w:tr>
      <w:tr w:rsidR="00C121D0" w:rsidRPr="00DD0432" w14:paraId="6B14050E" w14:textId="77777777" w:rsidTr="00BB3C33">
        <w:trPr>
          <w:trHeight w:val="170"/>
        </w:trPr>
        <w:tc>
          <w:tcPr>
            <w:tcW w:w="2183" w:type="dxa"/>
            <w:gridSpan w:val="2"/>
            <w:vAlign w:val="center"/>
            <w:hideMark/>
          </w:tcPr>
          <w:p w14:paraId="5580B095" w14:textId="77777777" w:rsidR="00C121D0" w:rsidRPr="00DD0432" w:rsidRDefault="00C121D0" w:rsidP="00C121D0">
            <w:pPr>
              <w:spacing w:line="276" w:lineRule="auto"/>
              <w:rPr>
                <w:color w:val="000000"/>
                <w:sz w:val="20"/>
                <w:szCs w:val="20"/>
              </w:rPr>
            </w:pPr>
            <w:r w:rsidRPr="00DD0432">
              <w:rPr>
                <w:color w:val="000000"/>
                <w:sz w:val="20"/>
                <w:szCs w:val="20"/>
              </w:rPr>
              <w:t>Life course harm*</w:t>
            </w:r>
          </w:p>
        </w:tc>
        <w:tc>
          <w:tcPr>
            <w:tcW w:w="4475" w:type="dxa"/>
            <w:noWrap/>
            <w:vAlign w:val="center"/>
            <w:hideMark/>
          </w:tcPr>
          <w:p w14:paraId="4503156D" w14:textId="2C409061" w:rsidR="00C121D0" w:rsidRPr="00DD0432" w:rsidRDefault="00C121D0" w:rsidP="00C121D0">
            <w:pPr>
              <w:spacing w:line="276" w:lineRule="auto"/>
              <w:rPr>
                <w:color w:val="000000"/>
                <w:sz w:val="20"/>
                <w:szCs w:val="20"/>
              </w:rPr>
            </w:pPr>
            <w:r>
              <w:rPr>
                <w:color w:val="000000"/>
                <w:sz w:val="20"/>
                <w:szCs w:val="20"/>
              </w:rPr>
              <w:t>Homelessness services</w:t>
            </w:r>
          </w:p>
        </w:tc>
        <w:tc>
          <w:tcPr>
            <w:tcW w:w="2716" w:type="dxa"/>
            <w:noWrap/>
            <w:vAlign w:val="center"/>
            <w:hideMark/>
          </w:tcPr>
          <w:p w14:paraId="2259D383" w14:textId="43EFADC2" w:rsidR="00C121D0" w:rsidRPr="00DD0432" w:rsidRDefault="00C121D0" w:rsidP="00C121D0">
            <w:pPr>
              <w:spacing w:line="276" w:lineRule="auto"/>
              <w:jc w:val="right"/>
              <w:rPr>
                <w:color w:val="000000"/>
                <w:sz w:val="20"/>
                <w:szCs w:val="20"/>
              </w:rPr>
            </w:pPr>
            <w:r>
              <w:rPr>
                <w:color w:val="000000"/>
                <w:sz w:val="20"/>
                <w:szCs w:val="20"/>
              </w:rPr>
              <w:t>$5,203,623</w:t>
            </w:r>
          </w:p>
        </w:tc>
      </w:tr>
      <w:tr w:rsidR="00C121D0" w:rsidRPr="00DD0432" w14:paraId="5417C3BA" w14:textId="77777777" w:rsidTr="00C121D0">
        <w:trPr>
          <w:trHeight w:val="170"/>
        </w:trPr>
        <w:tc>
          <w:tcPr>
            <w:tcW w:w="2183" w:type="dxa"/>
            <w:gridSpan w:val="2"/>
            <w:vMerge w:val="restart"/>
            <w:vAlign w:val="center"/>
            <w:hideMark/>
          </w:tcPr>
          <w:p w14:paraId="7A12DA53" w14:textId="77777777" w:rsidR="00C121D0" w:rsidRPr="00DD0432" w:rsidRDefault="00C121D0" w:rsidP="00C121D0">
            <w:pPr>
              <w:spacing w:line="276" w:lineRule="auto"/>
              <w:rPr>
                <w:color w:val="000000"/>
                <w:sz w:val="20"/>
                <w:szCs w:val="20"/>
              </w:rPr>
            </w:pPr>
            <w:r w:rsidRPr="00DD0432">
              <w:rPr>
                <w:color w:val="000000"/>
                <w:sz w:val="20"/>
                <w:szCs w:val="20"/>
              </w:rPr>
              <w:t>Other government or community costs</w:t>
            </w:r>
          </w:p>
        </w:tc>
        <w:tc>
          <w:tcPr>
            <w:tcW w:w="4475" w:type="dxa"/>
            <w:noWrap/>
            <w:vAlign w:val="center"/>
            <w:hideMark/>
          </w:tcPr>
          <w:p w14:paraId="404EA61A" w14:textId="5CE9CC9F" w:rsidR="00C121D0" w:rsidRPr="00DD0432" w:rsidRDefault="00C121D0" w:rsidP="00C121D0">
            <w:pPr>
              <w:spacing w:line="276" w:lineRule="auto"/>
              <w:rPr>
                <w:color w:val="000000"/>
                <w:sz w:val="20"/>
                <w:szCs w:val="20"/>
              </w:rPr>
            </w:pPr>
            <w:r>
              <w:rPr>
                <w:color w:val="000000"/>
                <w:sz w:val="20"/>
                <w:szCs w:val="20"/>
              </w:rPr>
              <w:t>Policy, regulation, research (including treatment funding)</w:t>
            </w:r>
          </w:p>
        </w:tc>
        <w:tc>
          <w:tcPr>
            <w:tcW w:w="2716" w:type="dxa"/>
            <w:noWrap/>
            <w:vAlign w:val="center"/>
            <w:hideMark/>
          </w:tcPr>
          <w:p w14:paraId="24470857" w14:textId="105BC987" w:rsidR="00C121D0" w:rsidRPr="00DD0432" w:rsidRDefault="00C121D0" w:rsidP="00C121D0">
            <w:pPr>
              <w:spacing w:line="276" w:lineRule="auto"/>
              <w:jc w:val="right"/>
              <w:rPr>
                <w:color w:val="000000"/>
                <w:sz w:val="20"/>
                <w:szCs w:val="20"/>
              </w:rPr>
            </w:pPr>
            <w:r>
              <w:rPr>
                <w:color w:val="000000"/>
                <w:sz w:val="20"/>
                <w:szCs w:val="20"/>
              </w:rPr>
              <w:t>$48,841,000</w:t>
            </w:r>
          </w:p>
        </w:tc>
      </w:tr>
      <w:tr w:rsidR="00C121D0" w:rsidRPr="00DD0432" w14:paraId="07259DC4" w14:textId="77777777" w:rsidTr="00C121D0">
        <w:trPr>
          <w:trHeight w:val="170"/>
        </w:trPr>
        <w:tc>
          <w:tcPr>
            <w:tcW w:w="2183" w:type="dxa"/>
            <w:gridSpan w:val="2"/>
            <w:vMerge/>
            <w:hideMark/>
          </w:tcPr>
          <w:p w14:paraId="2EBC9368" w14:textId="77777777" w:rsidR="00C121D0" w:rsidRPr="00DD0432" w:rsidRDefault="00C121D0" w:rsidP="00C121D0">
            <w:pPr>
              <w:spacing w:line="276" w:lineRule="auto"/>
              <w:rPr>
                <w:color w:val="000000"/>
                <w:sz w:val="20"/>
                <w:szCs w:val="20"/>
              </w:rPr>
            </w:pPr>
          </w:p>
        </w:tc>
        <w:tc>
          <w:tcPr>
            <w:tcW w:w="4475" w:type="dxa"/>
            <w:noWrap/>
            <w:vAlign w:val="center"/>
            <w:hideMark/>
          </w:tcPr>
          <w:p w14:paraId="136FD8A5" w14:textId="2C4F0ABF" w:rsidR="00C121D0" w:rsidRPr="00DD0432" w:rsidRDefault="00C121D0" w:rsidP="00C121D0">
            <w:pPr>
              <w:spacing w:line="276" w:lineRule="auto"/>
              <w:rPr>
                <w:color w:val="000000"/>
                <w:sz w:val="20"/>
                <w:szCs w:val="20"/>
              </w:rPr>
            </w:pPr>
            <w:r>
              <w:rPr>
                <w:color w:val="000000"/>
                <w:sz w:val="20"/>
                <w:szCs w:val="20"/>
              </w:rPr>
              <w:t>Provision of services related to gambling addiction</w:t>
            </w:r>
          </w:p>
        </w:tc>
        <w:tc>
          <w:tcPr>
            <w:tcW w:w="2716" w:type="dxa"/>
            <w:noWrap/>
            <w:vAlign w:val="center"/>
            <w:hideMark/>
          </w:tcPr>
          <w:p w14:paraId="44D6FFF1" w14:textId="3C1A2B68" w:rsidR="00C121D0" w:rsidRPr="00DD0432" w:rsidRDefault="00C121D0" w:rsidP="00C121D0">
            <w:pPr>
              <w:spacing w:line="276" w:lineRule="auto"/>
              <w:jc w:val="right"/>
              <w:rPr>
                <w:color w:val="000000"/>
                <w:sz w:val="20"/>
                <w:szCs w:val="20"/>
              </w:rPr>
            </w:pPr>
            <w:r>
              <w:rPr>
                <w:color w:val="000000"/>
                <w:sz w:val="20"/>
                <w:szCs w:val="20"/>
              </w:rPr>
              <w:t>$9,927,750</w:t>
            </w:r>
          </w:p>
        </w:tc>
      </w:tr>
      <w:tr w:rsidR="00CF48ED" w:rsidRPr="00DD0432" w14:paraId="3C533678" w14:textId="77777777" w:rsidTr="00BB3C33">
        <w:trPr>
          <w:trHeight w:val="170"/>
        </w:trPr>
        <w:tc>
          <w:tcPr>
            <w:tcW w:w="9375" w:type="dxa"/>
            <w:gridSpan w:val="4"/>
            <w:noWrap/>
            <w:vAlign w:val="center"/>
            <w:hideMark/>
          </w:tcPr>
          <w:p w14:paraId="49221A2E" w14:textId="42AB4D8A" w:rsidR="00CF48ED" w:rsidRPr="00DD0432" w:rsidRDefault="00CF48ED">
            <w:pPr>
              <w:spacing w:line="276" w:lineRule="auto"/>
              <w:jc w:val="right"/>
              <w:rPr>
                <w:b/>
                <w:bCs/>
                <w:color w:val="000000"/>
                <w:sz w:val="20"/>
                <w:szCs w:val="20"/>
              </w:rPr>
            </w:pPr>
            <w:r w:rsidRPr="00DD0432">
              <w:rPr>
                <w:b/>
                <w:bCs/>
                <w:color w:val="000000"/>
                <w:sz w:val="20"/>
                <w:szCs w:val="20"/>
              </w:rPr>
              <w:t>$4,</w:t>
            </w:r>
            <w:r w:rsidR="00C121D0">
              <w:rPr>
                <w:b/>
                <w:bCs/>
                <w:color w:val="000000"/>
                <w:sz w:val="20"/>
                <w:szCs w:val="20"/>
              </w:rPr>
              <w:t>218,927,498</w:t>
            </w:r>
          </w:p>
        </w:tc>
      </w:tr>
      <w:tr w:rsidR="00CF48ED" w:rsidRPr="00DD0432" w14:paraId="1FEB71F2" w14:textId="77777777" w:rsidTr="00BB3C33">
        <w:trPr>
          <w:trHeight w:val="170"/>
        </w:trPr>
        <w:tc>
          <w:tcPr>
            <w:tcW w:w="9375" w:type="dxa"/>
            <w:gridSpan w:val="4"/>
            <w:noWrap/>
          </w:tcPr>
          <w:p w14:paraId="5F5D78AD" w14:textId="77777777" w:rsidR="00CF48ED" w:rsidRPr="00DD0432" w:rsidRDefault="00CF48ED">
            <w:pPr>
              <w:spacing w:line="276" w:lineRule="auto"/>
              <w:rPr>
                <w:b/>
                <w:bCs/>
                <w:color w:val="000000"/>
                <w:sz w:val="20"/>
                <w:szCs w:val="20"/>
              </w:rPr>
            </w:pPr>
            <w:r w:rsidRPr="00DD0432">
              <w:rPr>
                <w:sz w:val="20"/>
                <w:szCs w:val="20"/>
              </w:rPr>
              <w:t>Note: * Broader life course and intergenerational harms are not included in this costing due to limited available evidence. Homelessness service costs are the only component included here, as they can be directly quantified from existing New Zealand data.</w:t>
            </w:r>
          </w:p>
        </w:tc>
      </w:tr>
    </w:tbl>
    <w:p w14:paraId="267F1660" w14:textId="77777777" w:rsidR="00CF48ED" w:rsidRPr="00DD0432" w:rsidRDefault="00CF48ED" w:rsidP="00CF48ED">
      <w:pPr>
        <w:spacing w:line="276" w:lineRule="auto"/>
        <w:sectPr w:rsidR="00CF48ED" w:rsidRPr="00DD0432" w:rsidSect="00B135FD">
          <w:pgSz w:w="11901" w:h="16817"/>
          <w:pgMar w:top="1440" w:right="1134" w:bottom="1440" w:left="1440" w:header="720" w:footer="720" w:gutter="0"/>
          <w:cols w:space="720"/>
          <w:titlePg/>
        </w:sectPr>
      </w:pPr>
      <w:bookmarkStart w:id="374" w:name="_Toc199420862"/>
      <w:bookmarkStart w:id="375" w:name="_Toc199420863"/>
      <w:bookmarkEnd w:id="374"/>
      <w:bookmarkEnd w:id="375"/>
    </w:p>
    <w:p w14:paraId="438A5758" w14:textId="77777777" w:rsidR="00DB689D" w:rsidRDefault="00310A10" w:rsidP="00C30E1A">
      <w:pPr>
        <w:pStyle w:val="Heading3"/>
      </w:pPr>
      <w:bookmarkStart w:id="376" w:name="_Toc201572446"/>
      <w:bookmarkStart w:id="377" w:name="_Toc207195965"/>
      <w:r>
        <w:t>Upper and lower bounds for cost categories and parametric bootstrapping</w:t>
      </w:r>
      <w:bookmarkEnd w:id="376"/>
      <w:bookmarkEnd w:id="377"/>
    </w:p>
    <w:p w14:paraId="2D45A901" w14:textId="77777777" w:rsidR="00DB689D" w:rsidRDefault="00310A10" w:rsidP="00367A8D">
      <w:pPr>
        <w:spacing w:before="240" w:after="240" w:line="360" w:lineRule="auto"/>
      </w:pPr>
      <w:r>
        <w:t>To quantify uncertainty around the total annual cost of gambling problems in New Zealand, a parametric bootstrap method was used. This method aggregated costs and their uncertainties from multiple cost categories.</w:t>
      </w:r>
    </w:p>
    <w:p w14:paraId="647163A0" w14:textId="40CA8205" w:rsidR="00DB689D" w:rsidRDefault="00310A10" w:rsidP="00367A8D">
      <w:pPr>
        <w:spacing w:before="240" w:after="240" w:line="360" w:lineRule="auto"/>
      </w:pPr>
      <w:r>
        <w:t>Input data for each cost category included a lower bound (minimum cost), an upper bound (maximum cost), and a central estimate (most likely cost, or mode). Each category's uncertainty was modelled using a PERT distribution, defined by its minimum, maximum, and mode values, applying a standard shape parameter. Rationales for determining the maximum and minimum parameters (summarised in</w:t>
      </w:r>
      <w:r w:rsidR="00CF48ED">
        <w:t xml:space="preserve"> Table </w:t>
      </w:r>
      <w:r w:rsidR="00757932">
        <w:t>7</w:t>
      </w:r>
      <w:r>
        <w:t>) are provided in the individual item costing details in the next section.</w:t>
      </w:r>
    </w:p>
    <w:p w14:paraId="6D07F047" w14:textId="77777777" w:rsidR="00DB689D" w:rsidRDefault="00310A10" w:rsidP="00367A8D">
      <w:pPr>
        <w:spacing w:before="240" w:after="240" w:line="360" w:lineRule="auto"/>
      </w:pPr>
      <w:r>
        <w:t>A Monte Carlo simulation involving 1,000 iterations was performed. In each iteration, a value was randomly sampled from each category's PERT distribution. These sampled values were then summed to produce a single estimate of the total annual cost for that iteration.</w:t>
      </w:r>
    </w:p>
    <w:p w14:paraId="6499B6FF" w14:textId="77777777" w:rsidR="00DB689D" w:rsidRDefault="00310A10" w:rsidP="00367A8D">
      <w:pPr>
        <w:spacing w:before="240" w:after="240" w:line="360" w:lineRule="auto"/>
      </w:pPr>
      <w:r>
        <w:t>Repeating this process generated a distribution of potential total annual costs, reflecting the combined uncertainties from all included categories. Confidence intervals were derived from this distribution.</w:t>
      </w:r>
    </w:p>
    <w:p w14:paraId="780E415B" w14:textId="77777777" w:rsidR="00DB689D" w:rsidRDefault="00310A10" w:rsidP="00367A8D">
      <w:pPr>
        <w:spacing w:before="240" w:after="240" w:line="360" w:lineRule="auto"/>
      </w:pPr>
      <w:r>
        <w:t>The simulation resulted in the following confidence intervals for the total estimated annual cost of gambling problems in New Zealand:</w:t>
      </w:r>
    </w:p>
    <w:p w14:paraId="55EE2F67" w14:textId="77AC26B4" w:rsidR="00DB689D" w:rsidRDefault="00310A10" w:rsidP="00367A8D">
      <w:pPr>
        <w:numPr>
          <w:ilvl w:val="0"/>
          <w:numId w:val="17"/>
        </w:numPr>
        <w:spacing w:before="240" w:line="360" w:lineRule="auto"/>
      </w:pPr>
      <w:r>
        <w:rPr>
          <w:b/>
        </w:rPr>
        <w:t>90% Confidence Interval: $3</w:t>
      </w:r>
      <w:r w:rsidR="00A75A1E">
        <w:rPr>
          <w:b/>
        </w:rPr>
        <w:t>.</w:t>
      </w:r>
      <w:r w:rsidR="00A20B5A">
        <w:rPr>
          <w:b/>
        </w:rPr>
        <w:t>7</w:t>
      </w:r>
      <w:r w:rsidR="00173251">
        <w:rPr>
          <w:b/>
        </w:rPr>
        <w:t>19</w:t>
      </w:r>
      <w:r>
        <w:rPr>
          <w:b/>
        </w:rPr>
        <w:t xml:space="preserve"> </w:t>
      </w:r>
      <w:r w:rsidR="00A20B5A">
        <w:rPr>
          <w:b/>
        </w:rPr>
        <w:t xml:space="preserve">billion </w:t>
      </w:r>
      <w:r>
        <w:rPr>
          <w:b/>
        </w:rPr>
        <w:t>to $4</w:t>
      </w:r>
      <w:r w:rsidR="00A75A1E">
        <w:rPr>
          <w:b/>
        </w:rPr>
        <w:t>.</w:t>
      </w:r>
      <w:r w:rsidR="00A20B5A">
        <w:rPr>
          <w:b/>
        </w:rPr>
        <w:t>7</w:t>
      </w:r>
      <w:r w:rsidR="00173251">
        <w:rPr>
          <w:b/>
        </w:rPr>
        <w:t>29</w:t>
      </w:r>
      <w:r>
        <w:rPr>
          <w:b/>
        </w:rPr>
        <w:t xml:space="preserve"> </w:t>
      </w:r>
      <w:r w:rsidR="00A20B5A">
        <w:rPr>
          <w:b/>
        </w:rPr>
        <w:t>billion</w:t>
      </w:r>
      <w:r>
        <w:rPr>
          <w:b/>
        </w:rPr>
        <w:t>.</w:t>
      </w:r>
    </w:p>
    <w:p w14:paraId="2D9D591D" w14:textId="000C8A9E" w:rsidR="00DB689D" w:rsidRDefault="00310A10" w:rsidP="00367A8D">
      <w:pPr>
        <w:numPr>
          <w:ilvl w:val="0"/>
          <w:numId w:val="17"/>
        </w:numPr>
        <w:spacing w:after="240" w:line="360" w:lineRule="auto"/>
      </w:pPr>
      <w:r>
        <w:rPr>
          <w:b/>
        </w:rPr>
        <w:t>95% Confidence Interval: $3</w:t>
      </w:r>
      <w:r w:rsidR="00A75A1E">
        <w:rPr>
          <w:b/>
        </w:rPr>
        <w:t>.</w:t>
      </w:r>
      <w:r w:rsidR="00A20B5A">
        <w:rPr>
          <w:b/>
        </w:rPr>
        <w:t>6</w:t>
      </w:r>
      <w:r w:rsidR="00173251">
        <w:rPr>
          <w:b/>
        </w:rPr>
        <w:t>57</w:t>
      </w:r>
      <w:r>
        <w:rPr>
          <w:b/>
        </w:rPr>
        <w:t xml:space="preserve"> </w:t>
      </w:r>
      <w:r w:rsidR="00A20B5A">
        <w:rPr>
          <w:b/>
        </w:rPr>
        <w:t xml:space="preserve">billion </w:t>
      </w:r>
      <w:r>
        <w:rPr>
          <w:b/>
        </w:rPr>
        <w:t>to $4</w:t>
      </w:r>
      <w:r w:rsidR="00A75A1E">
        <w:rPr>
          <w:b/>
        </w:rPr>
        <w:t>.</w:t>
      </w:r>
      <w:r w:rsidR="00A20B5A">
        <w:rPr>
          <w:b/>
        </w:rPr>
        <w:t>80</w:t>
      </w:r>
      <w:r w:rsidR="00173251">
        <w:rPr>
          <w:b/>
        </w:rPr>
        <w:t>3</w:t>
      </w:r>
      <w:r>
        <w:rPr>
          <w:b/>
        </w:rPr>
        <w:t xml:space="preserve"> </w:t>
      </w:r>
      <w:r w:rsidR="00A20B5A">
        <w:rPr>
          <w:b/>
        </w:rPr>
        <w:t>billion</w:t>
      </w:r>
      <w:r>
        <w:rPr>
          <w:b/>
        </w:rPr>
        <w:t>.</w:t>
      </w:r>
    </w:p>
    <w:p w14:paraId="08706715" w14:textId="750AFE2C" w:rsidR="00DB689D" w:rsidRDefault="00310A10" w:rsidP="00367A8D">
      <w:pPr>
        <w:spacing w:before="240" w:after="240" w:line="360" w:lineRule="auto"/>
      </w:pPr>
      <w:r>
        <w:t>These confidence intervals define the estimated range of the total economic burden around the most-likely or mean estimate of $4.</w:t>
      </w:r>
      <w:r w:rsidR="009C0E58">
        <w:t xml:space="preserve">219 </w:t>
      </w:r>
      <w:r>
        <w:t>billion, accounting for the modelled uncertainty across the various cost categories.</w:t>
      </w:r>
    </w:p>
    <w:p w14:paraId="5B2F5749" w14:textId="77777777" w:rsidR="00DB689D" w:rsidRDefault="00DB689D" w:rsidP="00367A8D">
      <w:pPr>
        <w:spacing w:line="360" w:lineRule="auto"/>
        <w:sectPr w:rsidR="00DB689D" w:rsidSect="00B135FD">
          <w:headerReference w:type="default" r:id="rId23"/>
          <w:pgSz w:w="11906" w:h="16838"/>
          <w:pgMar w:top="1440" w:right="1440" w:bottom="1440" w:left="1440" w:header="720" w:footer="720" w:gutter="0"/>
          <w:cols w:space="720"/>
        </w:sectPr>
      </w:pPr>
    </w:p>
    <w:p w14:paraId="063140A9" w14:textId="52E25AD3" w:rsidR="00CF48ED" w:rsidRPr="00DD0432" w:rsidRDefault="00CF48ED" w:rsidP="00DB094D">
      <w:pPr>
        <w:pStyle w:val="Caption"/>
      </w:pPr>
      <w:bookmarkStart w:id="378" w:name="_Toc207619049"/>
      <w:r w:rsidRPr="00DD0432">
        <w:t xml:space="preserve">Table </w:t>
      </w:r>
      <w:r w:rsidRPr="00DD0432">
        <w:fldChar w:fldCharType="begin"/>
      </w:r>
      <w:r w:rsidRPr="00DD0432">
        <w:instrText xml:space="preserve"> SEQ Table \* ARABIC </w:instrText>
      </w:r>
      <w:r w:rsidRPr="00DD0432">
        <w:fldChar w:fldCharType="separate"/>
      </w:r>
      <w:r w:rsidR="00986A0D">
        <w:rPr>
          <w:noProof/>
        </w:rPr>
        <w:t>7</w:t>
      </w:r>
      <w:r w:rsidRPr="00DD0432">
        <w:fldChar w:fldCharType="end"/>
      </w:r>
      <w:r w:rsidRPr="00DD0432">
        <w:t xml:space="preserve">. Summary of cost categories with upper and lower </w:t>
      </w:r>
      <w:r w:rsidR="006806DD">
        <w:t>estimation bounds</w:t>
      </w:r>
      <w:bookmarkEnd w:id="378"/>
    </w:p>
    <w:tbl>
      <w:tblPr>
        <w:tblStyle w:val="TableGridLight"/>
        <w:tblW w:w="5000" w:type="pct"/>
        <w:tblLayout w:type="fixed"/>
        <w:tblLook w:val="04A0" w:firstRow="1" w:lastRow="0" w:firstColumn="1" w:lastColumn="0" w:noHBand="0" w:noVBand="1"/>
      </w:tblPr>
      <w:tblGrid>
        <w:gridCol w:w="2670"/>
        <w:gridCol w:w="4528"/>
        <w:gridCol w:w="11"/>
        <w:gridCol w:w="2254"/>
        <w:gridCol w:w="11"/>
        <w:gridCol w:w="2257"/>
        <w:gridCol w:w="11"/>
        <w:gridCol w:w="2195"/>
        <w:gridCol w:w="11"/>
      </w:tblGrid>
      <w:tr w:rsidR="00CF48ED" w:rsidRPr="00436F6E" w14:paraId="176F8732" w14:textId="77777777" w:rsidTr="00CF48ED">
        <w:trPr>
          <w:gridAfter w:val="1"/>
          <w:wAfter w:w="4" w:type="pct"/>
          <w:trHeight w:val="227"/>
        </w:trPr>
        <w:tc>
          <w:tcPr>
            <w:tcW w:w="957" w:type="pct"/>
            <w:shd w:val="clear" w:color="auto" w:fill="F2F2F2" w:themeFill="background1" w:themeFillShade="F2"/>
            <w:vAlign w:val="center"/>
            <w:hideMark/>
          </w:tcPr>
          <w:p w14:paraId="5695D0CF" w14:textId="77777777" w:rsidR="00CF48ED" w:rsidRPr="00436F6E" w:rsidRDefault="00CF48ED" w:rsidP="00CF48ED">
            <w:pPr>
              <w:spacing w:line="276" w:lineRule="auto"/>
              <w:jc w:val="center"/>
              <w:rPr>
                <w:b/>
                <w:bCs/>
                <w:color w:val="000000"/>
                <w:sz w:val="18"/>
                <w:szCs w:val="18"/>
              </w:rPr>
            </w:pPr>
            <w:r w:rsidRPr="00436F6E">
              <w:rPr>
                <w:b/>
                <w:bCs/>
                <w:color w:val="000000"/>
                <w:sz w:val="18"/>
                <w:szCs w:val="18"/>
              </w:rPr>
              <w:t>Cost Category</w:t>
            </w:r>
          </w:p>
        </w:tc>
        <w:tc>
          <w:tcPr>
            <w:tcW w:w="1623" w:type="pct"/>
            <w:shd w:val="clear" w:color="auto" w:fill="F2F2F2" w:themeFill="background1" w:themeFillShade="F2"/>
            <w:vAlign w:val="center"/>
            <w:hideMark/>
          </w:tcPr>
          <w:p w14:paraId="4C788571" w14:textId="77777777" w:rsidR="00CF48ED" w:rsidRPr="00436F6E" w:rsidRDefault="00CF48ED" w:rsidP="00CF48ED">
            <w:pPr>
              <w:spacing w:line="276" w:lineRule="auto"/>
              <w:jc w:val="center"/>
              <w:rPr>
                <w:b/>
                <w:bCs/>
                <w:color w:val="000000"/>
                <w:sz w:val="18"/>
                <w:szCs w:val="18"/>
              </w:rPr>
            </w:pPr>
            <w:r w:rsidRPr="00436F6E">
              <w:rPr>
                <w:b/>
                <w:bCs/>
                <w:color w:val="000000"/>
                <w:sz w:val="18"/>
                <w:szCs w:val="18"/>
              </w:rPr>
              <w:t>Cost Item</w:t>
            </w:r>
          </w:p>
        </w:tc>
        <w:tc>
          <w:tcPr>
            <w:tcW w:w="812" w:type="pct"/>
            <w:gridSpan w:val="2"/>
            <w:shd w:val="clear" w:color="auto" w:fill="F2F2F2" w:themeFill="background1" w:themeFillShade="F2"/>
            <w:vAlign w:val="center"/>
            <w:hideMark/>
          </w:tcPr>
          <w:p w14:paraId="46A41DA3" w14:textId="77777777" w:rsidR="00CF48ED" w:rsidRPr="00436F6E" w:rsidRDefault="00CF48ED" w:rsidP="00CF48ED">
            <w:pPr>
              <w:spacing w:line="276" w:lineRule="auto"/>
              <w:jc w:val="center"/>
              <w:rPr>
                <w:b/>
                <w:bCs/>
                <w:color w:val="000000"/>
                <w:sz w:val="18"/>
                <w:szCs w:val="18"/>
              </w:rPr>
            </w:pPr>
            <w:r w:rsidRPr="00436F6E">
              <w:rPr>
                <w:b/>
                <w:bCs/>
                <w:color w:val="000000"/>
                <w:sz w:val="18"/>
                <w:szCs w:val="18"/>
              </w:rPr>
              <w:t>Cost</w:t>
            </w:r>
          </w:p>
        </w:tc>
        <w:tc>
          <w:tcPr>
            <w:tcW w:w="813" w:type="pct"/>
            <w:gridSpan w:val="2"/>
            <w:shd w:val="clear" w:color="auto" w:fill="F2F2F2" w:themeFill="background1" w:themeFillShade="F2"/>
            <w:vAlign w:val="center"/>
            <w:hideMark/>
          </w:tcPr>
          <w:p w14:paraId="2111CB09" w14:textId="77777777" w:rsidR="00CF48ED" w:rsidRPr="00436F6E" w:rsidRDefault="00CF48ED" w:rsidP="00CF48ED">
            <w:pPr>
              <w:spacing w:line="276" w:lineRule="auto"/>
              <w:jc w:val="center"/>
              <w:rPr>
                <w:b/>
                <w:bCs/>
                <w:color w:val="000000"/>
                <w:sz w:val="18"/>
                <w:szCs w:val="18"/>
              </w:rPr>
            </w:pPr>
            <w:r w:rsidRPr="00436F6E">
              <w:rPr>
                <w:b/>
                <w:bCs/>
                <w:color w:val="000000"/>
                <w:sz w:val="18"/>
                <w:szCs w:val="18"/>
              </w:rPr>
              <w:t>Lower Bound</w:t>
            </w:r>
          </w:p>
        </w:tc>
        <w:tc>
          <w:tcPr>
            <w:tcW w:w="791" w:type="pct"/>
            <w:gridSpan w:val="2"/>
            <w:shd w:val="clear" w:color="auto" w:fill="F2F2F2" w:themeFill="background1" w:themeFillShade="F2"/>
            <w:vAlign w:val="center"/>
            <w:hideMark/>
          </w:tcPr>
          <w:p w14:paraId="42A6E36C" w14:textId="77777777" w:rsidR="00CF48ED" w:rsidRPr="00436F6E" w:rsidRDefault="00CF48ED" w:rsidP="00CF48ED">
            <w:pPr>
              <w:spacing w:line="276" w:lineRule="auto"/>
              <w:jc w:val="center"/>
              <w:rPr>
                <w:b/>
                <w:bCs/>
                <w:color w:val="000000"/>
                <w:sz w:val="18"/>
                <w:szCs w:val="18"/>
              </w:rPr>
            </w:pPr>
            <w:r w:rsidRPr="00436F6E">
              <w:rPr>
                <w:b/>
                <w:bCs/>
                <w:color w:val="000000"/>
                <w:sz w:val="18"/>
                <w:szCs w:val="18"/>
              </w:rPr>
              <w:t>Upper Bound</w:t>
            </w:r>
          </w:p>
        </w:tc>
      </w:tr>
      <w:tr w:rsidR="00A4059A" w:rsidRPr="00436F6E" w14:paraId="685848C6" w14:textId="77777777" w:rsidTr="00154915">
        <w:trPr>
          <w:gridAfter w:val="1"/>
          <w:wAfter w:w="4" w:type="pct"/>
          <w:trHeight w:val="227"/>
        </w:trPr>
        <w:tc>
          <w:tcPr>
            <w:tcW w:w="957" w:type="pct"/>
            <w:vMerge w:val="restart"/>
            <w:vAlign w:val="center"/>
            <w:hideMark/>
          </w:tcPr>
          <w:p w14:paraId="2CA23E4A" w14:textId="77777777" w:rsidR="00A4059A" w:rsidRPr="00436F6E" w:rsidRDefault="00A4059A" w:rsidP="00154915">
            <w:pPr>
              <w:spacing w:line="360" w:lineRule="auto"/>
              <w:rPr>
                <w:color w:val="000000"/>
                <w:sz w:val="18"/>
                <w:szCs w:val="18"/>
              </w:rPr>
            </w:pPr>
            <w:r w:rsidRPr="00436F6E">
              <w:rPr>
                <w:color w:val="000000"/>
                <w:sz w:val="18"/>
                <w:szCs w:val="18"/>
              </w:rPr>
              <w:t>Financial impacts</w:t>
            </w:r>
          </w:p>
        </w:tc>
        <w:tc>
          <w:tcPr>
            <w:tcW w:w="1623" w:type="pct"/>
            <w:noWrap/>
            <w:vAlign w:val="center"/>
            <w:hideMark/>
          </w:tcPr>
          <w:p w14:paraId="673C6E67" w14:textId="77777777" w:rsidR="00A4059A" w:rsidRPr="00436F6E" w:rsidRDefault="00A4059A" w:rsidP="00154915">
            <w:pPr>
              <w:spacing w:line="360" w:lineRule="auto"/>
              <w:rPr>
                <w:color w:val="000000"/>
                <w:sz w:val="18"/>
                <w:szCs w:val="18"/>
              </w:rPr>
            </w:pPr>
            <w:r w:rsidRPr="00436F6E">
              <w:rPr>
                <w:color w:val="000000"/>
                <w:sz w:val="18"/>
                <w:szCs w:val="18"/>
              </w:rPr>
              <w:t>Total opportunity cost of excess gambling spend</w:t>
            </w:r>
          </w:p>
        </w:tc>
        <w:tc>
          <w:tcPr>
            <w:tcW w:w="812" w:type="pct"/>
            <w:gridSpan w:val="2"/>
            <w:noWrap/>
            <w:vAlign w:val="center"/>
            <w:hideMark/>
          </w:tcPr>
          <w:p w14:paraId="1464573D" w14:textId="77C21975" w:rsidR="00A4059A" w:rsidRPr="00436F6E" w:rsidRDefault="00A4059A" w:rsidP="00BB3C33">
            <w:pPr>
              <w:spacing w:line="276" w:lineRule="auto"/>
              <w:jc w:val="right"/>
              <w:rPr>
                <w:color w:val="000000"/>
                <w:sz w:val="18"/>
                <w:szCs w:val="18"/>
              </w:rPr>
            </w:pPr>
            <w:r>
              <w:rPr>
                <w:color w:val="000000"/>
                <w:sz w:val="20"/>
                <w:szCs w:val="20"/>
              </w:rPr>
              <w:t>$1,192,140,860</w:t>
            </w:r>
          </w:p>
        </w:tc>
        <w:tc>
          <w:tcPr>
            <w:tcW w:w="813" w:type="pct"/>
            <w:gridSpan w:val="2"/>
            <w:noWrap/>
            <w:vAlign w:val="center"/>
            <w:hideMark/>
          </w:tcPr>
          <w:p w14:paraId="68736F43" w14:textId="6C57A20D" w:rsidR="00A4059A" w:rsidRPr="00436F6E" w:rsidRDefault="00A4059A" w:rsidP="00A4059A">
            <w:pPr>
              <w:spacing w:line="276" w:lineRule="auto"/>
              <w:jc w:val="right"/>
              <w:rPr>
                <w:color w:val="000000"/>
                <w:sz w:val="18"/>
                <w:szCs w:val="18"/>
              </w:rPr>
            </w:pPr>
            <w:r>
              <w:rPr>
                <w:color w:val="000000"/>
                <w:sz w:val="20"/>
                <w:szCs w:val="20"/>
              </w:rPr>
              <w:t>$752,178,179</w:t>
            </w:r>
          </w:p>
        </w:tc>
        <w:tc>
          <w:tcPr>
            <w:tcW w:w="791" w:type="pct"/>
            <w:gridSpan w:val="2"/>
            <w:noWrap/>
            <w:vAlign w:val="center"/>
            <w:hideMark/>
          </w:tcPr>
          <w:p w14:paraId="2F804EB5" w14:textId="78F0B2FF" w:rsidR="00A4059A" w:rsidRPr="00436F6E" w:rsidRDefault="00A4059A" w:rsidP="00A4059A">
            <w:pPr>
              <w:spacing w:line="276" w:lineRule="auto"/>
              <w:jc w:val="right"/>
              <w:rPr>
                <w:color w:val="000000"/>
                <w:sz w:val="18"/>
                <w:szCs w:val="18"/>
              </w:rPr>
            </w:pPr>
            <w:r>
              <w:rPr>
                <w:color w:val="000000"/>
                <w:sz w:val="20"/>
                <w:szCs w:val="20"/>
              </w:rPr>
              <w:t>$1,558,892,222</w:t>
            </w:r>
          </w:p>
        </w:tc>
      </w:tr>
      <w:tr w:rsidR="00A4059A" w:rsidRPr="00436F6E" w14:paraId="56B6001C" w14:textId="77777777" w:rsidTr="00154915">
        <w:trPr>
          <w:gridAfter w:val="1"/>
          <w:wAfter w:w="4" w:type="pct"/>
          <w:trHeight w:val="227"/>
        </w:trPr>
        <w:tc>
          <w:tcPr>
            <w:tcW w:w="957" w:type="pct"/>
            <w:vMerge/>
            <w:vAlign w:val="center"/>
            <w:hideMark/>
          </w:tcPr>
          <w:p w14:paraId="1DECB7A9" w14:textId="77777777" w:rsidR="00A4059A" w:rsidRPr="00436F6E" w:rsidRDefault="00A4059A" w:rsidP="00154915">
            <w:pPr>
              <w:spacing w:line="360" w:lineRule="auto"/>
              <w:rPr>
                <w:color w:val="000000"/>
                <w:sz w:val="18"/>
                <w:szCs w:val="18"/>
              </w:rPr>
            </w:pPr>
          </w:p>
        </w:tc>
        <w:tc>
          <w:tcPr>
            <w:tcW w:w="1623" w:type="pct"/>
            <w:noWrap/>
            <w:vAlign w:val="center"/>
            <w:hideMark/>
          </w:tcPr>
          <w:p w14:paraId="1D4E9F2B" w14:textId="77777777" w:rsidR="00A4059A" w:rsidRPr="00436F6E" w:rsidRDefault="00A4059A" w:rsidP="00154915">
            <w:pPr>
              <w:spacing w:line="360" w:lineRule="auto"/>
              <w:rPr>
                <w:color w:val="000000"/>
                <w:sz w:val="18"/>
                <w:szCs w:val="18"/>
              </w:rPr>
            </w:pPr>
            <w:r w:rsidRPr="00436F6E">
              <w:rPr>
                <w:color w:val="000000"/>
                <w:sz w:val="18"/>
                <w:szCs w:val="18"/>
              </w:rPr>
              <w:t>Bankruptcy and insolvency</w:t>
            </w:r>
          </w:p>
        </w:tc>
        <w:tc>
          <w:tcPr>
            <w:tcW w:w="812" w:type="pct"/>
            <w:gridSpan w:val="2"/>
            <w:noWrap/>
            <w:vAlign w:val="center"/>
            <w:hideMark/>
          </w:tcPr>
          <w:p w14:paraId="6C3D071D" w14:textId="450FDE97" w:rsidR="00A4059A" w:rsidRPr="00436F6E" w:rsidRDefault="00A4059A" w:rsidP="00BB3C33">
            <w:pPr>
              <w:spacing w:line="276" w:lineRule="auto"/>
              <w:jc w:val="right"/>
              <w:rPr>
                <w:color w:val="000000"/>
                <w:sz w:val="18"/>
                <w:szCs w:val="18"/>
              </w:rPr>
            </w:pPr>
            <w:r>
              <w:rPr>
                <w:color w:val="000000"/>
                <w:sz w:val="20"/>
                <w:szCs w:val="20"/>
              </w:rPr>
              <w:t>$1,067,794</w:t>
            </w:r>
          </w:p>
        </w:tc>
        <w:tc>
          <w:tcPr>
            <w:tcW w:w="813" w:type="pct"/>
            <w:gridSpan w:val="2"/>
            <w:noWrap/>
            <w:vAlign w:val="center"/>
            <w:hideMark/>
          </w:tcPr>
          <w:p w14:paraId="7C46E336" w14:textId="0CDB2DBC" w:rsidR="00A4059A" w:rsidRPr="00436F6E" w:rsidRDefault="00A4059A" w:rsidP="00A4059A">
            <w:pPr>
              <w:spacing w:line="276" w:lineRule="auto"/>
              <w:jc w:val="right"/>
              <w:rPr>
                <w:color w:val="000000"/>
                <w:sz w:val="18"/>
                <w:szCs w:val="18"/>
              </w:rPr>
            </w:pPr>
            <w:r>
              <w:rPr>
                <w:color w:val="000000"/>
                <w:sz w:val="20"/>
                <w:szCs w:val="20"/>
              </w:rPr>
              <w:t>$1,014,404</w:t>
            </w:r>
          </w:p>
        </w:tc>
        <w:tc>
          <w:tcPr>
            <w:tcW w:w="791" w:type="pct"/>
            <w:gridSpan w:val="2"/>
            <w:noWrap/>
            <w:vAlign w:val="center"/>
            <w:hideMark/>
          </w:tcPr>
          <w:p w14:paraId="46877C3D" w14:textId="4F7647D5" w:rsidR="00A4059A" w:rsidRPr="00436F6E" w:rsidRDefault="00A4059A" w:rsidP="00A4059A">
            <w:pPr>
              <w:spacing w:line="276" w:lineRule="auto"/>
              <w:jc w:val="right"/>
              <w:rPr>
                <w:color w:val="000000"/>
                <w:sz w:val="18"/>
                <w:szCs w:val="18"/>
              </w:rPr>
            </w:pPr>
            <w:r>
              <w:rPr>
                <w:color w:val="000000"/>
                <w:sz w:val="20"/>
                <w:szCs w:val="20"/>
              </w:rPr>
              <w:t>$1,121,184</w:t>
            </w:r>
          </w:p>
        </w:tc>
      </w:tr>
      <w:tr w:rsidR="00A4059A" w:rsidRPr="00436F6E" w14:paraId="5C20431A" w14:textId="77777777" w:rsidTr="00154915">
        <w:trPr>
          <w:gridAfter w:val="1"/>
          <w:wAfter w:w="4" w:type="pct"/>
          <w:trHeight w:val="227"/>
        </w:trPr>
        <w:tc>
          <w:tcPr>
            <w:tcW w:w="957" w:type="pct"/>
            <w:vMerge w:val="restart"/>
            <w:vAlign w:val="center"/>
            <w:hideMark/>
          </w:tcPr>
          <w:p w14:paraId="6FDFD58E" w14:textId="77777777" w:rsidR="00A4059A" w:rsidRPr="00436F6E" w:rsidRDefault="00A4059A" w:rsidP="00154915">
            <w:pPr>
              <w:spacing w:line="360" w:lineRule="auto"/>
              <w:rPr>
                <w:color w:val="000000"/>
                <w:sz w:val="18"/>
                <w:szCs w:val="18"/>
              </w:rPr>
            </w:pPr>
            <w:r w:rsidRPr="00436F6E">
              <w:rPr>
                <w:color w:val="000000"/>
                <w:sz w:val="18"/>
                <w:szCs w:val="18"/>
              </w:rPr>
              <w:t>Relationship disruption, conflict or breakdown</w:t>
            </w:r>
          </w:p>
        </w:tc>
        <w:tc>
          <w:tcPr>
            <w:tcW w:w="1623" w:type="pct"/>
            <w:noWrap/>
            <w:vAlign w:val="center"/>
            <w:hideMark/>
          </w:tcPr>
          <w:p w14:paraId="7910911C" w14:textId="77777777" w:rsidR="00A4059A" w:rsidRPr="00436F6E" w:rsidRDefault="00A4059A" w:rsidP="00154915">
            <w:pPr>
              <w:spacing w:line="360" w:lineRule="auto"/>
              <w:rPr>
                <w:color w:val="000000"/>
                <w:sz w:val="18"/>
                <w:szCs w:val="18"/>
              </w:rPr>
            </w:pPr>
            <w:r w:rsidRPr="00436F6E">
              <w:rPr>
                <w:color w:val="000000"/>
                <w:sz w:val="18"/>
                <w:szCs w:val="18"/>
              </w:rPr>
              <w:t>Divorce and separation</w:t>
            </w:r>
          </w:p>
        </w:tc>
        <w:tc>
          <w:tcPr>
            <w:tcW w:w="812" w:type="pct"/>
            <w:gridSpan w:val="2"/>
            <w:noWrap/>
            <w:vAlign w:val="center"/>
            <w:hideMark/>
          </w:tcPr>
          <w:p w14:paraId="0B9BC800" w14:textId="07AE9B9C" w:rsidR="00A4059A" w:rsidRPr="00436F6E" w:rsidRDefault="00A4059A" w:rsidP="00BB3C33">
            <w:pPr>
              <w:spacing w:line="276" w:lineRule="auto"/>
              <w:jc w:val="right"/>
              <w:rPr>
                <w:color w:val="000000"/>
                <w:sz w:val="18"/>
                <w:szCs w:val="18"/>
              </w:rPr>
            </w:pPr>
            <w:r>
              <w:rPr>
                <w:color w:val="000000"/>
                <w:sz w:val="20"/>
                <w:szCs w:val="20"/>
              </w:rPr>
              <w:t>$105,316,947</w:t>
            </w:r>
          </w:p>
        </w:tc>
        <w:tc>
          <w:tcPr>
            <w:tcW w:w="813" w:type="pct"/>
            <w:gridSpan w:val="2"/>
            <w:noWrap/>
            <w:vAlign w:val="center"/>
            <w:hideMark/>
          </w:tcPr>
          <w:p w14:paraId="72545FF8" w14:textId="5094725B" w:rsidR="00A4059A" w:rsidRPr="00436F6E" w:rsidRDefault="00A4059A" w:rsidP="00A4059A">
            <w:pPr>
              <w:spacing w:line="276" w:lineRule="auto"/>
              <w:jc w:val="right"/>
              <w:rPr>
                <w:color w:val="000000"/>
                <w:sz w:val="18"/>
                <w:szCs w:val="18"/>
              </w:rPr>
            </w:pPr>
            <w:r>
              <w:rPr>
                <w:color w:val="000000"/>
                <w:sz w:val="20"/>
                <w:szCs w:val="20"/>
              </w:rPr>
              <w:t>$100,051,100</w:t>
            </w:r>
          </w:p>
        </w:tc>
        <w:tc>
          <w:tcPr>
            <w:tcW w:w="791" w:type="pct"/>
            <w:gridSpan w:val="2"/>
            <w:noWrap/>
            <w:vAlign w:val="center"/>
            <w:hideMark/>
          </w:tcPr>
          <w:p w14:paraId="29F2A13C" w14:textId="69F40039" w:rsidR="00A4059A" w:rsidRPr="00436F6E" w:rsidRDefault="00A4059A" w:rsidP="00A4059A">
            <w:pPr>
              <w:spacing w:line="276" w:lineRule="auto"/>
              <w:jc w:val="right"/>
              <w:rPr>
                <w:color w:val="000000"/>
                <w:sz w:val="18"/>
                <w:szCs w:val="18"/>
              </w:rPr>
            </w:pPr>
            <w:r>
              <w:rPr>
                <w:color w:val="000000"/>
                <w:sz w:val="20"/>
                <w:szCs w:val="20"/>
              </w:rPr>
              <w:t>$210,633,895</w:t>
            </w:r>
          </w:p>
        </w:tc>
      </w:tr>
      <w:tr w:rsidR="00A4059A" w:rsidRPr="00436F6E" w14:paraId="4B771805" w14:textId="77777777" w:rsidTr="00154915">
        <w:trPr>
          <w:gridAfter w:val="1"/>
          <w:wAfter w:w="4" w:type="pct"/>
          <w:trHeight w:val="227"/>
        </w:trPr>
        <w:tc>
          <w:tcPr>
            <w:tcW w:w="957" w:type="pct"/>
            <w:vMerge/>
            <w:vAlign w:val="center"/>
            <w:hideMark/>
          </w:tcPr>
          <w:p w14:paraId="5CBB2126" w14:textId="77777777" w:rsidR="00A4059A" w:rsidRPr="00436F6E" w:rsidRDefault="00A4059A" w:rsidP="00154915">
            <w:pPr>
              <w:spacing w:line="360" w:lineRule="auto"/>
              <w:rPr>
                <w:color w:val="000000"/>
                <w:sz w:val="18"/>
                <w:szCs w:val="18"/>
              </w:rPr>
            </w:pPr>
          </w:p>
        </w:tc>
        <w:tc>
          <w:tcPr>
            <w:tcW w:w="1623" w:type="pct"/>
            <w:noWrap/>
            <w:vAlign w:val="center"/>
            <w:hideMark/>
          </w:tcPr>
          <w:p w14:paraId="11F38D71" w14:textId="77777777" w:rsidR="00A4059A" w:rsidRPr="00436F6E" w:rsidRDefault="00A4059A" w:rsidP="00154915">
            <w:pPr>
              <w:spacing w:line="360" w:lineRule="auto"/>
              <w:rPr>
                <w:color w:val="000000"/>
                <w:sz w:val="18"/>
                <w:szCs w:val="18"/>
              </w:rPr>
            </w:pPr>
            <w:r w:rsidRPr="00436F6E">
              <w:rPr>
                <w:color w:val="000000"/>
                <w:sz w:val="18"/>
                <w:szCs w:val="18"/>
              </w:rPr>
              <w:t>Experiences of violence</w:t>
            </w:r>
          </w:p>
        </w:tc>
        <w:tc>
          <w:tcPr>
            <w:tcW w:w="812" w:type="pct"/>
            <w:gridSpan w:val="2"/>
            <w:noWrap/>
            <w:vAlign w:val="center"/>
            <w:hideMark/>
          </w:tcPr>
          <w:p w14:paraId="4785EB56" w14:textId="50B96B84" w:rsidR="00A4059A" w:rsidRPr="00436F6E" w:rsidRDefault="00A4059A" w:rsidP="00BB3C33">
            <w:pPr>
              <w:spacing w:line="276" w:lineRule="auto"/>
              <w:jc w:val="right"/>
              <w:rPr>
                <w:color w:val="000000"/>
                <w:sz w:val="18"/>
                <w:szCs w:val="18"/>
              </w:rPr>
            </w:pPr>
            <w:r>
              <w:rPr>
                <w:color w:val="000000"/>
                <w:sz w:val="20"/>
                <w:szCs w:val="20"/>
              </w:rPr>
              <w:t>$79,908,250</w:t>
            </w:r>
          </w:p>
        </w:tc>
        <w:tc>
          <w:tcPr>
            <w:tcW w:w="813" w:type="pct"/>
            <w:gridSpan w:val="2"/>
            <w:noWrap/>
            <w:vAlign w:val="center"/>
            <w:hideMark/>
          </w:tcPr>
          <w:p w14:paraId="77A2206D" w14:textId="745E7480" w:rsidR="00A4059A" w:rsidRPr="00436F6E" w:rsidRDefault="00A4059A" w:rsidP="00A4059A">
            <w:pPr>
              <w:spacing w:line="276" w:lineRule="auto"/>
              <w:jc w:val="right"/>
              <w:rPr>
                <w:color w:val="000000"/>
                <w:sz w:val="18"/>
                <w:szCs w:val="18"/>
              </w:rPr>
            </w:pPr>
            <w:r>
              <w:rPr>
                <w:color w:val="000000"/>
                <w:sz w:val="20"/>
                <w:szCs w:val="20"/>
              </w:rPr>
              <w:t>$75,912,837</w:t>
            </w:r>
          </w:p>
        </w:tc>
        <w:tc>
          <w:tcPr>
            <w:tcW w:w="791" w:type="pct"/>
            <w:gridSpan w:val="2"/>
            <w:noWrap/>
            <w:vAlign w:val="center"/>
            <w:hideMark/>
          </w:tcPr>
          <w:p w14:paraId="21C2DBCD" w14:textId="66A852A0" w:rsidR="00A4059A" w:rsidRPr="00436F6E" w:rsidRDefault="00A4059A" w:rsidP="00A4059A">
            <w:pPr>
              <w:spacing w:line="276" w:lineRule="auto"/>
              <w:jc w:val="right"/>
              <w:rPr>
                <w:color w:val="000000"/>
                <w:sz w:val="18"/>
                <w:szCs w:val="18"/>
              </w:rPr>
            </w:pPr>
            <w:r>
              <w:rPr>
                <w:color w:val="000000"/>
                <w:sz w:val="20"/>
                <w:szCs w:val="20"/>
              </w:rPr>
              <w:t>$159,816,499</w:t>
            </w:r>
          </w:p>
        </w:tc>
      </w:tr>
      <w:tr w:rsidR="00A4059A" w:rsidRPr="00436F6E" w14:paraId="460C15C7" w14:textId="77777777" w:rsidTr="00154915">
        <w:trPr>
          <w:gridAfter w:val="1"/>
          <w:wAfter w:w="4" w:type="pct"/>
          <w:trHeight w:val="227"/>
        </w:trPr>
        <w:tc>
          <w:tcPr>
            <w:tcW w:w="957" w:type="pct"/>
            <w:vMerge w:val="restart"/>
            <w:vAlign w:val="center"/>
            <w:hideMark/>
          </w:tcPr>
          <w:p w14:paraId="32E15BC6" w14:textId="77777777" w:rsidR="00A4059A" w:rsidRPr="00436F6E" w:rsidRDefault="00A4059A" w:rsidP="00154915">
            <w:pPr>
              <w:spacing w:line="360" w:lineRule="auto"/>
              <w:rPr>
                <w:color w:val="000000"/>
                <w:sz w:val="18"/>
                <w:szCs w:val="18"/>
              </w:rPr>
            </w:pPr>
            <w:r w:rsidRPr="00436F6E">
              <w:rPr>
                <w:color w:val="000000"/>
                <w:sz w:val="18"/>
                <w:szCs w:val="18"/>
              </w:rPr>
              <w:t>Health</w:t>
            </w:r>
          </w:p>
        </w:tc>
        <w:tc>
          <w:tcPr>
            <w:tcW w:w="1623" w:type="pct"/>
            <w:noWrap/>
            <w:vAlign w:val="center"/>
            <w:hideMark/>
          </w:tcPr>
          <w:p w14:paraId="0A8A7A3F" w14:textId="77777777" w:rsidR="00A4059A" w:rsidRPr="00436F6E" w:rsidRDefault="00A4059A" w:rsidP="00154915">
            <w:pPr>
              <w:spacing w:line="360" w:lineRule="auto"/>
              <w:rPr>
                <w:color w:val="000000"/>
                <w:sz w:val="18"/>
                <w:szCs w:val="18"/>
              </w:rPr>
            </w:pPr>
            <w:r w:rsidRPr="00436F6E">
              <w:rPr>
                <w:color w:val="000000"/>
                <w:sz w:val="18"/>
                <w:szCs w:val="18"/>
              </w:rPr>
              <w:t>Depression</w:t>
            </w:r>
          </w:p>
        </w:tc>
        <w:tc>
          <w:tcPr>
            <w:tcW w:w="812" w:type="pct"/>
            <w:gridSpan w:val="2"/>
            <w:noWrap/>
            <w:vAlign w:val="center"/>
            <w:hideMark/>
          </w:tcPr>
          <w:p w14:paraId="7D808904" w14:textId="6276B531" w:rsidR="00A4059A" w:rsidRPr="00436F6E" w:rsidRDefault="00A4059A" w:rsidP="00BB3C33">
            <w:pPr>
              <w:spacing w:line="276" w:lineRule="auto"/>
              <w:jc w:val="right"/>
              <w:rPr>
                <w:color w:val="000000"/>
                <w:sz w:val="18"/>
                <w:szCs w:val="18"/>
              </w:rPr>
            </w:pPr>
            <w:r>
              <w:rPr>
                <w:color w:val="000000"/>
                <w:sz w:val="20"/>
                <w:szCs w:val="20"/>
              </w:rPr>
              <w:t>$60,961,882</w:t>
            </w:r>
          </w:p>
        </w:tc>
        <w:tc>
          <w:tcPr>
            <w:tcW w:w="813" w:type="pct"/>
            <w:gridSpan w:val="2"/>
            <w:noWrap/>
            <w:vAlign w:val="center"/>
            <w:hideMark/>
          </w:tcPr>
          <w:p w14:paraId="47155F41" w14:textId="7F11F64F" w:rsidR="00A4059A" w:rsidRPr="00436F6E" w:rsidRDefault="00A4059A" w:rsidP="00A4059A">
            <w:pPr>
              <w:spacing w:line="276" w:lineRule="auto"/>
              <w:jc w:val="right"/>
              <w:rPr>
                <w:color w:val="000000"/>
                <w:sz w:val="18"/>
                <w:szCs w:val="18"/>
              </w:rPr>
            </w:pPr>
            <w:r>
              <w:rPr>
                <w:color w:val="000000"/>
                <w:sz w:val="20"/>
                <w:szCs w:val="20"/>
              </w:rPr>
              <w:t>$57,913,788</w:t>
            </w:r>
          </w:p>
        </w:tc>
        <w:tc>
          <w:tcPr>
            <w:tcW w:w="791" w:type="pct"/>
            <w:gridSpan w:val="2"/>
            <w:noWrap/>
            <w:vAlign w:val="center"/>
            <w:hideMark/>
          </w:tcPr>
          <w:p w14:paraId="19F423BF" w14:textId="6F2328E9" w:rsidR="00A4059A" w:rsidRPr="00436F6E" w:rsidRDefault="00A4059A" w:rsidP="00A4059A">
            <w:pPr>
              <w:spacing w:line="276" w:lineRule="auto"/>
              <w:jc w:val="right"/>
              <w:rPr>
                <w:color w:val="000000"/>
                <w:sz w:val="18"/>
                <w:szCs w:val="18"/>
              </w:rPr>
            </w:pPr>
            <w:r>
              <w:rPr>
                <w:color w:val="000000"/>
                <w:sz w:val="20"/>
                <w:szCs w:val="20"/>
              </w:rPr>
              <w:t>$178,770,837</w:t>
            </w:r>
          </w:p>
        </w:tc>
      </w:tr>
      <w:tr w:rsidR="00A4059A" w:rsidRPr="00436F6E" w14:paraId="78B7E762" w14:textId="77777777" w:rsidTr="00154915">
        <w:trPr>
          <w:gridAfter w:val="1"/>
          <w:wAfter w:w="4" w:type="pct"/>
          <w:trHeight w:val="227"/>
        </w:trPr>
        <w:tc>
          <w:tcPr>
            <w:tcW w:w="957" w:type="pct"/>
            <w:vMerge/>
            <w:vAlign w:val="center"/>
            <w:hideMark/>
          </w:tcPr>
          <w:p w14:paraId="58AC4065" w14:textId="77777777" w:rsidR="00A4059A" w:rsidRPr="00436F6E" w:rsidRDefault="00A4059A" w:rsidP="00154915">
            <w:pPr>
              <w:spacing w:line="360" w:lineRule="auto"/>
              <w:rPr>
                <w:color w:val="000000"/>
                <w:sz w:val="18"/>
                <w:szCs w:val="18"/>
              </w:rPr>
            </w:pPr>
          </w:p>
        </w:tc>
        <w:tc>
          <w:tcPr>
            <w:tcW w:w="1623" w:type="pct"/>
            <w:noWrap/>
            <w:vAlign w:val="center"/>
            <w:hideMark/>
          </w:tcPr>
          <w:p w14:paraId="632F3902" w14:textId="77777777" w:rsidR="00A4059A" w:rsidRPr="00436F6E" w:rsidRDefault="00A4059A" w:rsidP="00154915">
            <w:pPr>
              <w:spacing w:line="360" w:lineRule="auto"/>
              <w:rPr>
                <w:color w:val="000000"/>
                <w:sz w:val="18"/>
                <w:szCs w:val="18"/>
              </w:rPr>
            </w:pPr>
            <w:r w:rsidRPr="00436F6E">
              <w:rPr>
                <w:color w:val="000000"/>
                <w:sz w:val="18"/>
                <w:szCs w:val="18"/>
              </w:rPr>
              <w:t xml:space="preserve">Suicide attempts </w:t>
            </w:r>
          </w:p>
        </w:tc>
        <w:tc>
          <w:tcPr>
            <w:tcW w:w="812" w:type="pct"/>
            <w:gridSpan w:val="2"/>
            <w:noWrap/>
            <w:vAlign w:val="center"/>
            <w:hideMark/>
          </w:tcPr>
          <w:p w14:paraId="25AAE529" w14:textId="32E5685C" w:rsidR="00A4059A" w:rsidRPr="00436F6E" w:rsidRDefault="00A4059A" w:rsidP="00BB3C33">
            <w:pPr>
              <w:spacing w:line="276" w:lineRule="auto"/>
              <w:jc w:val="right"/>
              <w:rPr>
                <w:color w:val="000000"/>
                <w:sz w:val="18"/>
                <w:szCs w:val="18"/>
              </w:rPr>
            </w:pPr>
            <w:r>
              <w:rPr>
                <w:color w:val="000000"/>
                <w:sz w:val="20"/>
                <w:szCs w:val="20"/>
              </w:rPr>
              <w:t>$104,225,450</w:t>
            </w:r>
          </w:p>
        </w:tc>
        <w:tc>
          <w:tcPr>
            <w:tcW w:w="813" w:type="pct"/>
            <w:gridSpan w:val="2"/>
            <w:noWrap/>
            <w:vAlign w:val="center"/>
            <w:hideMark/>
          </w:tcPr>
          <w:p w14:paraId="28260ACC" w14:textId="25E152B0" w:rsidR="00A4059A" w:rsidRPr="00436F6E" w:rsidRDefault="00A4059A" w:rsidP="00A4059A">
            <w:pPr>
              <w:spacing w:line="276" w:lineRule="auto"/>
              <w:jc w:val="right"/>
              <w:rPr>
                <w:color w:val="000000"/>
                <w:sz w:val="18"/>
                <w:szCs w:val="18"/>
              </w:rPr>
            </w:pPr>
            <w:r>
              <w:rPr>
                <w:color w:val="000000"/>
                <w:sz w:val="20"/>
                <w:szCs w:val="20"/>
              </w:rPr>
              <w:t>$45,376,583</w:t>
            </w:r>
          </w:p>
        </w:tc>
        <w:tc>
          <w:tcPr>
            <w:tcW w:w="791" w:type="pct"/>
            <w:gridSpan w:val="2"/>
            <w:noWrap/>
            <w:vAlign w:val="center"/>
            <w:hideMark/>
          </w:tcPr>
          <w:p w14:paraId="5678F0BA" w14:textId="502DE56E" w:rsidR="00A4059A" w:rsidRPr="00436F6E" w:rsidRDefault="00A4059A" w:rsidP="00A4059A">
            <w:pPr>
              <w:spacing w:line="276" w:lineRule="auto"/>
              <w:jc w:val="right"/>
              <w:rPr>
                <w:color w:val="000000"/>
                <w:sz w:val="18"/>
                <w:szCs w:val="18"/>
              </w:rPr>
            </w:pPr>
            <w:r>
              <w:rPr>
                <w:color w:val="000000"/>
                <w:sz w:val="20"/>
                <w:szCs w:val="20"/>
              </w:rPr>
              <w:t>$161,547,399</w:t>
            </w:r>
          </w:p>
        </w:tc>
      </w:tr>
      <w:tr w:rsidR="00A4059A" w:rsidRPr="00436F6E" w14:paraId="5E6BB6B2" w14:textId="77777777" w:rsidTr="00154915">
        <w:trPr>
          <w:gridAfter w:val="1"/>
          <w:wAfter w:w="4" w:type="pct"/>
          <w:trHeight w:val="227"/>
        </w:trPr>
        <w:tc>
          <w:tcPr>
            <w:tcW w:w="957" w:type="pct"/>
            <w:vMerge/>
            <w:vAlign w:val="center"/>
            <w:hideMark/>
          </w:tcPr>
          <w:p w14:paraId="4234964F" w14:textId="77777777" w:rsidR="00A4059A" w:rsidRPr="00436F6E" w:rsidRDefault="00A4059A" w:rsidP="00154915">
            <w:pPr>
              <w:spacing w:line="360" w:lineRule="auto"/>
              <w:rPr>
                <w:color w:val="000000"/>
                <w:sz w:val="18"/>
                <w:szCs w:val="18"/>
              </w:rPr>
            </w:pPr>
          </w:p>
        </w:tc>
        <w:tc>
          <w:tcPr>
            <w:tcW w:w="1623" w:type="pct"/>
            <w:noWrap/>
            <w:vAlign w:val="center"/>
            <w:hideMark/>
          </w:tcPr>
          <w:p w14:paraId="76772A57" w14:textId="77777777" w:rsidR="00A4059A" w:rsidRPr="00436F6E" w:rsidRDefault="00A4059A" w:rsidP="00154915">
            <w:pPr>
              <w:spacing w:line="360" w:lineRule="auto"/>
              <w:rPr>
                <w:color w:val="000000"/>
                <w:sz w:val="18"/>
                <w:szCs w:val="18"/>
              </w:rPr>
            </w:pPr>
            <w:r w:rsidRPr="00436F6E">
              <w:rPr>
                <w:color w:val="000000"/>
                <w:sz w:val="18"/>
                <w:szCs w:val="18"/>
              </w:rPr>
              <w:t>Impacts of fatality by suicide on affected other</w:t>
            </w:r>
          </w:p>
        </w:tc>
        <w:tc>
          <w:tcPr>
            <w:tcW w:w="812" w:type="pct"/>
            <w:gridSpan w:val="2"/>
            <w:noWrap/>
            <w:vAlign w:val="center"/>
            <w:hideMark/>
          </w:tcPr>
          <w:p w14:paraId="54A03D0C" w14:textId="0BC78F58" w:rsidR="00A4059A" w:rsidRPr="00436F6E" w:rsidRDefault="00A4059A" w:rsidP="00BB3C33">
            <w:pPr>
              <w:spacing w:line="276" w:lineRule="auto"/>
              <w:jc w:val="right"/>
              <w:rPr>
                <w:color w:val="000000"/>
                <w:sz w:val="18"/>
                <w:szCs w:val="18"/>
              </w:rPr>
            </w:pPr>
            <w:r>
              <w:rPr>
                <w:color w:val="000000"/>
                <w:sz w:val="20"/>
                <w:szCs w:val="20"/>
              </w:rPr>
              <w:t>$6,119,229</w:t>
            </w:r>
          </w:p>
        </w:tc>
        <w:tc>
          <w:tcPr>
            <w:tcW w:w="813" w:type="pct"/>
            <w:gridSpan w:val="2"/>
            <w:noWrap/>
            <w:vAlign w:val="center"/>
            <w:hideMark/>
          </w:tcPr>
          <w:p w14:paraId="2252CF5A" w14:textId="01D2E968" w:rsidR="00A4059A" w:rsidRPr="00436F6E" w:rsidRDefault="00A4059A" w:rsidP="00A4059A">
            <w:pPr>
              <w:spacing w:line="276" w:lineRule="auto"/>
              <w:jc w:val="right"/>
              <w:rPr>
                <w:color w:val="000000"/>
                <w:sz w:val="18"/>
                <w:szCs w:val="18"/>
              </w:rPr>
            </w:pPr>
            <w:r>
              <w:rPr>
                <w:color w:val="000000"/>
                <w:sz w:val="20"/>
                <w:szCs w:val="20"/>
              </w:rPr>
              <w:t>$5,813,268</w:t>
            </w:r>
          </w:p>
        </w:tc>
        <w:tc>
          <w:tcPr>
            <w:tcW w:w="791" w:type="pct"/>
            <w:gridSpan w:val="2"/>
            <w:noWrap/>
            <w:vAlign w:val="center"/>
            <w:hideMark/>
          </w:tcPr>
          <w:p w14:paraId="5DE968F0" w14:textId="1350E45F" w:rsidR="00A4059A" w:rsidRPr="00436F6E" w:rsidRDefault="00A4059A" w:rsidP="00A4059A">
            <w:pPr>
              <w:spacing w:line="276" w:lineRule="auto"/>
              <w:jc w:val="right"/>
              <w:rPr>
                <w:color w:val="000000"/>
                <w:sz w:val="18"/>
                <w:szCs w:val="18"/>
              </w:rPr>
            </w:pPr>
            <w:r>
              <w:rPr>
                <w:color w:val="000000"/>
                <w:sz w:val="20"/>
                <w:szCs w:val="20"/>
              </w:rPr>
              <w:t>$6,425,191</w:t>
            </w:r>
          </w:p>
        </w:tc>
      </w:tr>
      <w:tr w:rsidR="00A4059A" w:rsidRPr="00436F6E" w14:paraId="4966E718" w14:textId="77777777" w:rsidTr="00154915">
        <w:trPr>
          <w:gridAfter w:val="1"/>
          <w:wAfter w:w="4" w:type="pct"/>
          <w:trHeight w:val="227"/>
        </w:trPr>
        <w:tc>
          <w:tcPr>
            <w:tcW w:w="957" w:type="pct"/>
            <w:vMerge/>
            <w:vAlign w:val="center"/>
            <w:hideMark/>
          </w:tcPr>
          <w:p w14:paraId="654CC000" w14:textId="77777777" w:rsidR="00A4059A" w:rsidRPr="00436F6E" w:rsidRDefault="00A4059A" w:rsidP="00154915">
            <w:pPr>
              <w:spacing w:line="360" w:lineRule="auto"/>
              <w:rPr>
                <w:color w:val="000000"/>
                <w:sz w:val="18"/>
                <w:szCs w:val="18"/>
              </w:rPr>
            </w:pPr>
          </w:p>
        </w:tc>
        <w:tc>
          <w:tcPr>
            <w:tcW w:w="1623" w:type="pct"/>
            <w:noWrap/>
            <w:vAlign w:val="center"/>
            <w:hideMark/>
          </w:tcPr>
          <w:p w14:paraId="4C6EAB12" w14:textId="77777777" w:rsidR="00A4059A" w:rsidRPr="00436F6E" w:rsidRDefault="00A4059A" w:rsidP="00154915">
            <w:pPr>
              <w:spacing w:line="360" w:lineRule="auto"/>
              <w:rPr>
                <w:color w:val="000000"/>
                <w:sz w:val="18"/>
                <w:szCs w:val="18"/>
              </w:rPr>
            </w:pPr>
            <w:r w:rsidRPr="00436F6E">
              <w:rPr>
                <w:color w:val="000000"/>
                <w:sz w:val="18"/>
                <w:szCs w:val="18"/>
              </w:rPr>
              <w:t>Impacts of fatality by suicide on business/government</w:t>
            </w:r>
          </w:p>
        </w:tc>
        <w:tc>
          <w:tcPr>
            <w:tcW w:w="812" w:type="pct"/>
            <w:gridSpan w:val="2"/>
            <w:noWrap/>
            <w:vAlign w:val="center"/>
            <w:hideMark/>
          </w:tcPr>
          <w:p w14:paraId="4CA5C108" w14:textId="2155BCB9" w:rsidR="00A4059A" w:rsidRPr="00436F6E" w:rsidRDefault="00A4059A" w:rsidP="00BB3C33">
            <w:pPr>
              <w:spacing w:line="276" w:lineRule="auto"/>
              <w:jc w:val="right"/>
              <w:rPr>
                <w:color w:val="000000"/>
                <w:sz w:val="18"/>
                <w:szCs w:val="18"/>
              </w:rPr>
            </w:pPr>
            <w:r>
              <w:rPr>
                <w:color w:val="000000"/>
                <w:sz w:val="20"/>
                <w:szCs w:val="20"/>
              </w:rPr>
              <w:t>$59,109,272</w:t>
            </w:r>
          </w:p>
        </w:tc>
        <w:tc>
          <w:tcPr>
            <w:tcW w:w="813" w:type="pct"/>
            <w:gridSpan w:val="2"/>
            <w:noWrap/>
            <w:vAlign w:val="center"/>
            <w:hideMark/>
          </w:tcPr>
          <w:p w14:paraId="0DEB348A" w14:textId="7135D620" w:rsidR="00A4059A" w:rsidRPr="00436F6E" w:rsidRDefault="00A4059A" w:rsidP="00A4059A">
            <w:pPr>
              <w:spacing w:line="276" w:lineRule="auto"/>
              <w:jc w:val="right"/>
              <w:rPr>
                <w:color w:val="000000"/>
                <w:sz w:val="18"/>
                <w:szCs w:val="18"/>
              </w:rPr>
            </w:pPr>
            <w:r>
              <w:rPr>
                <w:color w:val="000000"/>
                <w:sz w:val="20"/>
                <w:szCs w:val="20"/>
              </w:rPr>
              <w:t>$56,153,809</w:t>
            </w:r>
          </w:p>
        </w:tc>
        <w:tc>
          <w:tcPr>
            <w:tcW w:w="791" w:type="pct"/>
            <w:gridSpan w:val="2"/>
            <w:noWrap/>
            <w:vAlign w:val="center"/>
            <w:hideMark/>
          </w:tcPr>
          <w:p w14:paraId="134B4370" w14:textId="3964906C" w:rsidR="00A4059A" w:rsidRPr="00436F6E" w:rsidRDefault="00A4059A" w:rsidP="00A4059A">
            <w:pPr>
              <w:spacing w:line="276" w:lineRule="auto"/>
              <w:jc w:val="right"/>
              <w:rPr>
                <w:color w:val="000000"/>
                <w:sz w:val="18"/>
                <w:szCs w:val="18"/>
              </w:rPr>
            </w:pPr>
            <w:r>
              <w:rPr>
                <w:color w:val="000000"/>
                <w:sz w:val="20"/>
                <w:szCs w:val="20"/>
              </w:rPr>
              <w:t>$62,064,736</w:t>
            </w:r>
          </w:p>
        </w:tc>
      </w:tr>
      <w:tr w:rsidR="00A4059A" w:rsidRPr="00436F6E" w14:paraId="72D1706E" w14:textId="77777777" w:rsidTr="00154915">
        <w:trPr>
          <w:gridAfter w:val="1"/>
          <w:wAfter w:w="4" w:type="pct"/>
          <w:trHeight w:val="227"/>
        </w:trPr>
        <w:tc>
          <w:tcPr>
            <w:tcW w:w="957" w:type="pct"/>
            <w:vMerge/>
            <w:vAlign w:val="center"/>
            <w:hideMark/>
          </w:tcPr>
          <w:p w14:paraId="0BBC6188" w14:textId="77777777" w:rsidR="00A4059A" w:rsidRPr="00436F6E" w:rsidRDefault="00A4059A" w:rsidP="00154915">
            <w:pPr>
              <w:spacing w:line="360" w:lineRule="auto"/>
              <w:rPr>
                <w:color w:val="000000"/>
                <w:sz w:val="18"/>
                <w:szCs w:val="18"/>
              </w:rPr>
            </w:pPr>
          </w:p>
        </w:tc>
        <w:tc>
          <w:tcPr>
            <w:tcW w:w="1623" w:type="pct"/>
            <w:noWrap/>
            <w:vAlign w:val="center"/>
            <w:hideMark/>
          </w:tcPr>
          <w:p w14:paraId="54F661C4" w14:textId="77777777" w:rsidR="00A4059A" w:rsidRPr="00436F6E" w:rsidRDefault="00A4059A" w:rsidP="00154915">
            <w:pPr>
              <w:spacing w:line="360" w:lineRule="auto"/>
              <w:rPr>
                <w:color w:val="000000"/>
                <w:sz w:val="18"/>
                <w:szCs w:val="18"/>
              </w:rPr>
            </w:pPr>
            <w:r w:rsidRPr="00436F6E">
              <w:rPr>
                <w:color w:val="000000"/>
                <w:sz w:val="18"/>
                <w:szCs w:val="18"/>
              </w:rPr>
              <w:t>HRQoL impact of gambling harm on gambler</w:t>
            </w:r>
          </w:p>
        </w:tc>
        <w:tc>
          <w:tcPr>
            <w:tcW w:w="812" w:type="pct"/>
            <w:gridSpan w:val="2"/>
            <w:noWrap/>
            <w:vAlign w:val="center"/>
            <w:hideMark/>
          </w:tcPr>
          <w:p w14:paraId="0B11815C" w14:textId="62055061" w:rsidR="00A4059A" w:rsidRPr="00436F6E" w:rsidRDefault="00A4059A" w:rsidP="00BB3C33">
            <w:pPr>
              <w:spacing w:line="276" w:lineRule="auto"/>
              <w:jc w:val="right"/>
              <w:rPr>
                <w:color w:val="000000"/>
                <w:sz w:val="18"/>
                <w:szCs w:val="18"/>
              </w:rPr>
            </w:pPr>
            <w:r>
              <w:rPr>
                <w:color w:val="000000"/>
                <w:sz w:val="20"/>
                <w:szCs w:val="20"/>
              </w:rPr>
              <w:t>$830,639,483</w:t>
            </w:r>
          </w:p>
        </w:tc>
        <w:tc>
          <w:tcPr>
            <w:tcW w:w="813" w:type="pct"/>
            <w:gridSpan w:val="2"/>
            <w:noWrap/>
            <w:vAlign w:val="center"/>
            <w:hideMark/>
          </w:tcPr>
          <w:p w14:paraId="399C6224" w14:textId="00E98E95" w:rsidR="00A4059A" w:rsidRPr="00436F6E" w:rsidRDefault="00A4059A" w:rsidP="00A4059A">
            <w:pPr>
              <w:spacing w:line="276" w:lineRule="auto"/>
              <w:jc w:val="right"/>
              <w:rPr>
                <w:color w:val="000000"/>
                <w:sz w:val="18"/>
                <w:szCs w:val="18"/>
              </w:rPr>
            </w:pPr>
            <w:r>
              <w:rPr>
                <w:color w:val="000000"/>
                <w:sz w:val="20"/>
                <w:szCs w:val="20"/>
              </w:rPr>
              <w:t>$384,838,800</w:t>
            </w:r>
          </w:p>
        </w:tc>
        <w:tc>
          <w:tcPr>
            <w:tcW w:w="791" w:type="pct"/>
            <w:gridSpan w:val="2"/>
            <w:noWrap/>
            <w:vAlign w:val="center"/>
            <w:hideMark/>
          </w:tcPr>
          <w:p w14:paraId="3F6DD000" w14:textId="1B0F887A" w:rsidR="00A4059A" w:rsidRPr="00436F6E" w:rsidRDefault="00A4059A" w:rsidP="00A4059A">
            <w:pPr>
              <w:spacing w:line="276" w:lineRule="auto"/>
              <w:jc w:val="right"/>
              <w:rPr>
                <w:color w:val="000000"/>
                <w:sz w:val="18"/>
                <w:szCs w:val="18"/>
              </w:rPr>
            </w:pPr>
            <w:r>
              <w:rPr>
                <w:color w:val="000000"/>
                <w:sz w:val="20"/>
                <w:szCs w:val="20"/>
              </w:rPr>
              <w:t>$1,276,440,165</w:t>
            </w:r>
          </w:p>
        </w:tc>
      </w:tr>
      <w:tr w:rsidR="00A4059A" w:rsidRPr="00436F6E" w14:paraId="281A1BD6" w14:textId="77777777" w:rsidTr="00154915">
        <w:trPr>
          <w:gridAfter w:val="1"/>
          <w:wAfter w:w="4" w:type="pct"/>
          <w:trHeight w:val="227"/>
        </w:trPr>
        <w:tc>
          <w:tcPr>
            <w:tcW w:w="957" w:type="pct"/>
            <w:vMerge/>
            <w:vAlign w:val="center"/>
            <w:hideMark/>
          </w:tcPr>
          <w:p w14:paraId="67D32365" w14:textId="77777777" w:rsidR="00A4059A" w:rsidRPr="00436F6E" w:rsidRDefault="00A4059A" w:rsidP="00154915">
            <w:pPr>
              <w:spacing w:line="360" w:lineRule="auto"/>
              <w:rPr>
                <w:color w:val="000000"/>
                <w:sz w:val="18"/>
                <w:szCs w:val="18"/>
              </w:rPr>
            </w:pPr>
          </w:p>
        </w:tc>
        <w:tc>
          <w:tcPr>
            <w:tcW w:w="1623" w:type="pct"/>
            <w:noWrap/>
            <w:vAlign w:val="center"/>
            <w:hideMark/>
          </w:tcPr>
          <w:p w14:paraId="2A01C810" w14:textId="77777777" w:rsidR="00A4059A" w:rsidRPr="00436F6E" w:rsidRDefault="00A4059A" w:rsidP="00154915">
            <w:pPr>
              <w:spacing w:line="360" w:lineRule="auto"/>
              <w:rPr>
                <w:color w:val="000000"/>
                <w:sz w:val="18"/>
                <w:szCs w:val="18"/>
              </w:rPr>
            </w:pPr>
            <w:r w:rsidRPr="00436F6E">
              <w:rPr>
                <w:color w:val="000000"/>
                <w:sz w:val="18"/>
                <w:szCs w:val="18"/>
              </w:rPr>
              <w:t>HRQoL impact of gambling harm on affected others</w:t>
            </w:r>
          </w:p>
        </w:tc>
        <w:tc>
          <w:tcPr>
            <w:tcW w:w="812" w:type="pct"/>
            <w:gridSpan w:val="2"/>
            <w:noWrap/>
            <w:vAlign w:val="center"/>
            <w:hideMark/>
          </w:tcPr>
          <w:p w14:paraId="2164D6A5" w14:textId="3DF37974" w:rsidR="00A4059A" w:rsidRPr="00436F6E" w:rsidRDefault="00A4059A" w:rsidP="00BB3C33">
            <w:pPr>
              <w:spacing w:line="276" w:lineRule="auto"/>
              <w:jc w:val="right"/>
              <w:rPr>
                <w:color w:val="000000"/>
                <w:sz w:val="18"/>
                <w:szCs w:val="18"/>
              </w:rPr>
            </w:pPr>
            <w:r>
              <w:rPr>
                <w:color w:val="000000"/>
                <w:sz w:val="20"/>
                <w:szCs w:val="20"/>
              </w:rPr>
              <w:t>$852,186,063</w:t>
            </w:r>
          </w:p>
        </w:tc>
        <w:tc>
          <w:tcPr>
            <w:tcW w:w="813" w:type="pct"/>
            <w:gridSpan w:val="2"/>
            <w:noWrap/>
            <w:vAlign w:val="center"/>
            <w:hideMark/>
          </w:tcPr>
          <w:p w14:paraId="348B40B3" w14:textId="408720E8" w:rsidR="00A4059A" w:rsidRPr="00436F6E" w:rsidRDefault="00A4059A" w:rsidP="00A4059A">
            <w:pPr>
              <w:spacing w:line="276" w:lineRule="auto"/>
              <w:jc w:val="right"/>
              <w:rPr>
                <w:color w:val="000000"/>
                <w:sz w:val="18"/>
                <w:szCs w:val="18"/>
              </w:rPr>
            </w:pPr>
            <w:r>
              <w:rPr>
                <w:color w:val="000000"/>
                <w:sz w:val="20"/>
                <w:szCs w:val="20"/>
              </w:rPr>
              <w:t>$385,035,682</w:t>
            </w:r>
          </w:p>
        </w:tc>
        <w:tc>
          <w:tcPr>
            <w:tcW w:w="791" w:type="pct"/>
            <w:gridSpan w:val="2"/>
            <w:noWrap/>
            <w:vAlign w:val="center"/>
            <w:hideMark/>
          </w:tcPr>
          <w:p w14:paraId="5D3DD4D0" w14:textId="1B064AA3" w:rsidR="00A4059A" w:rsidRPr="00436F6E" w:rsidRDefault="00A4059A" w:rsidP="00A4059A">
            <w:pPr>
              <w:spacing w:line="276" w:lineRule="auto"/>
              <w:jc w:val="right"/>
              <w:rPr>
                <w:color w:val="000000"/>
                <w:sz w:val="18"/>
                <w:szCs w:val="18"/>
              </w:rPr>
            </w:pPr>
            <w:r>
              <w:rPr>
                <w:color w:val="000000"/>
                <w:sz w:val="20"/>
                <w:szCs w:val="20"/>
              </w:rPr>
              <w:t>$1,319,336,444</w:t>
            </w:r>
          </w:p>
        </w:tc>
      </w:tr>
      <w:tr w:rsidR="00A4059A" w:rsidRPr="00436F6E" w14:paraId="7A75494C" w14:textId="77777777" w:rsidTr="00154915">
        <w:trPr>
          <w:gridAfter w:val="1"/>
          <w:wAfter w:w="4" w:type="pct"/>
          <w:trHeight w:val="227"/>
        </w:trPr>
        <w:tc>
          <w:tcPr>
            <w:tcW w:w="957" w:type="pct"/>
            <w:vMerge/>
            <w:vAlign w:val="center"/>
            <w:hideMark/>
          </w:tcPr>
          <w:p w14:paraId="0CAAA647" w14:textId="77777777" w:rsidR="00A4059A" w:rsidRPr="00436F6E" w:rsidRDefault="00A4059A" w:rsidP="00154915">
            <w:pPr>
              <w:spacing w:line="360" w:lineRule="auto"/>
              <w:rPr>
                <w:color w:val="000000"/>
                <w:sz w:val="18"/>
                <w:szCs w:val="18"/>
              </w:rPr>
            </w:pPr>
          </w:p>
        </w:tc>
        <w:tc>
          <w:tcPr>
            <w:tcW w:w="1623" w:type="pct"/>
            <w:noWrap/>
            <w:vAlign w:val="center"/>
            <w:hideMark/>
          </w:tcPr>
          <w:p w14:paraId="09B9BADA" w14:textId="77777777" w:rsidR="00A4059A" w:rsidRPr="00436F6E" w:rsidRDefault="00A4059A" w:rsidP="00154915">
            <w:pPr>
              <w:spacing w:line="360" w:lineRule="auto"/>
              <w:rPr>
                <w:color w:val="000000"/>
                <w:sz w:val="18"/>
                <w:szCs w:val="18"/>
              </w:rPr>
            </w:pPr>
            <w:r w:rsidRPr="00436F6E">
              <w:rPr>
                <w:color w:val="000000"/>
                <w:sz w:val="18"/>
                <w:szCs w:val="18"/>
              </w:rPr>
              <w:t>Health and Human Services systems</w:t>
            </w:r>
          </w:p>
        </w:tc>
        <w:tc>
          <w:tcPr>
            <w:tcW w:w="812" w:type="pct"/>
            <w:gridSpan w:val="2"/>
            <w:noWrap/>
            <w:vAlign w:val="center"/>
            <w:hideMark/>
          </w:tcPr>
          <w:p w14:paraId="3541F47E" w14:textId="5B6A0756" w:rsidR="00A4059A" w:rsidRPr="00436F6E" w:rsidRDefault="00A4059A" w:rsidP="00BB3C33">
            <w:pPr>
              <w:spacing w:line="276" w:lineRule="auto"/>
              <w:jc w:val="right"/>
              <w:rPr>
                <w:color w:val="000000"/>
                <w:sz w:val="18"/>
                <w:szCs w:val="18"/>
              </w:rPr>
            </w:pPr>
            <w:r>
              <w:rPr>
                <w:color w:val="000000"/>
                <w:sz w:val="20"/>
                <w:szCs w:val="20"/>
              </w:rPr>
              <w:t>$130,103,425</w:t>
            </w:r>
          </w:p>
        </w:tc>
        <w:tc>
          <w:tcPr>
            <w:tcW w:w="813" w:type="pct"/>
            <w:gridSpan w:val="2"/>
            <w:noWrap/>
            <w:vAlign w:val="center"/>
            <w:hideMark/>
          </w:tcPr>
          <w:p w14:paraId="3E4D6190" w14:textId="0DA849F5" w:rsidR="00A4059A" w:rsidRPr="00436F6E" w:rsidRDefault="00A4059A" w:rsidP="00A4059A">
            <w:pPr>
              <w:spacing w:line="276" w:lineRule="auto"/>
              <w:jc w:val="right"/>
              <w:rPr>
                <w:color w:val="000000"/>
                <w:sz w:val="18"/>
                <w:szCs w:val="18"/>
              </w:rPr>
            </w:pPr>
            <w:r>
              <w:rPr>
                <w:color w:val="000000"/>
                <w:sz w:val="20"/>
                <w:szCs w:val="20"/>
              </w:rPr>
              <w:t>$123,598,254</w:t>
            </w:r>
          </w:p>
        </w:tc>
        <w:tc>
          <w:tcPr>
            <w:tcW w:w="791" w:type="pct"/>
            <w:gridSpan w:val="2"/>
            <w:noWrap/>
            <w:vAlign w:val="center"/>
            <w:hideMark/>
          </w:tcPr>
          <w:p w14:paraId="39A49858" w14:textId="0C29FC12" w:rsidR="00A4059A" w:rsidRPr="00436F6E" w:rsidRDefault="00A4059A" w:rsidP="00A4059A">
            <w:pPr>
              <w:spacing w:line="276" w:lineRule="auto"/>
              <w:jc w:val="right"/>
              <w:rPr>
                <w:color w:val="000000"/>
                <w:sz w:val="18"/>
                <w:szCs w:val="18"/>
              </w:rPr>
            </w:pPr>
            <w:r>
              <w:rPr>
                <w:color w:val="000000"/>
                <w:sz w:val="20"/>
                <w:szCs w:val="20"/>
              </w:rPr>
              <w:t>$136,608,597</w:t>
            </w:r>
          </w:p>
        </w:tc>
      </w:tr>
      <w:tr w:rsidR="00A4059A" w:rsidRPr="00436F6E" w14:paraId="0779FE2E" w14:textId="77777777" w:rsidTr="00154915">
        <w:trPr>
          <w:gridAfter w:val="1"/>
          <w:wAfter w:w="4" w:type="pct"/>
          <w:trHeight w:val="227"/>
        </w:trPr>
        <w:tc>
          <w:tcPr>
            <w:tcW w:w="957" w:type="pct"/>
            <w:vMerge w:val="restart"/>
            <w:vAlign w:val="center"/>
            <w:hideMark/>
          </w:tcPr>
          <w:p w14:paraId="0089E6F1" w14:textId="77777777" w:rsidR="00A4059A" w:rsidRPr="00436F6E" w:rsidRDefault="00A4059A" w:rsidP="00154915">
            <w:pPr>
              <w:spacing w:line="360" w:lineRule="auto"/>
              <w:rPr>
                <w:color w:val="000000"/>
                <w:sz w:val="18"/>
                <w:szCs w:val="18"/>
              </w:rPr>
            </w:pPr>
            <w:r w:rsidRPr="00436F6E">
              <w:rPr>
                <w:color w:val="000000"/>
                <w:sz w:val="18"/>
                <w:szCs w:val="18"/>
              </w:rPr>
              <w:t>Work or study impacts</w:t>
            </w:r>
          </w:p>
        </w:tc>
        <w:tc>
          <w:tcPr>
            <w:tcW w:w="1623" w:type="pct"/>
            <w:noWrap/>
            <w:vAlign w:val="center"/>
            <w:hideMark/>
          </w:tcPr>
          <w:p w14:paraId="456D6878" w14:textId="77777777" w:rsidR="00A4059A" w:rsidRPr="00436F6E" w:rsidRDefault="00A4059A" w:rsidP="00154915">
            <w:pPr>
              <w:spacing w:line="360" w:lineRule="auto"/>
              <w:rPr>
                <w:color w:val="000000"/>
                <w:sz w:val="18"/>
                <w:szCs w:val="18"/>
              </w:rPr>
            </w:pPr>
            <w:r w:rsidRPr="00436F6E">
              <w:rPr>
                <w:color w:val="000000"/>
                <w:sz w:val="18"/>
                <w:szCs w:val="18"/>
              </w:rPr>
              <w:t>Productivity loss to business</w:t>
            </w:r>
          </w:p>
        </w:tc>
        <w:tc>
          <w:tcPr>
            <w:tcW w:w="812" w:type="pct"/>
            <w:gridSpan w:val="2"/>
            <w:noWrap/>
            <w:vAlign w:val="center"/>
            <w:hideMark/>
          </w:tcPr>
          <w:p w14:paraId="114D90ED" w14:textId="41B7FDA1" w:rsidR="00A4059A" w:rsidRPr="00436F6E" w:rsidRDefault="00A4059A" w:rsidP="00BB3C33">
            <w:pPr>
              <w:spacing w:line="276" w:lineRule="auto"/>
              <w:jc w:val="right"/>
              <w:rPr>
                <w:color w:val="000000"/>
                <w:sz w:val="18"/>
                <w:szCs w:val="18"/>
              </w:rPr>
            </w:pPr>
            <w:r>
              <w:rPr>
                <w:color w:val="000000"/>
                <w:sz w:val="20"/>
                <w:szCs w:val="20"/>
              </w:rPr>
              <w:t>$588,141,444</w:t>
            </w:r>
          </w:p>
        </w:tc>
        <w:tc>
          <w:tcPr>
            <w:tcW w:w="813" w:type="pct"/>
            <w:gridSpan w:val="2"/>
            <w:noWrap/>
            <w:vAlign w:val="center"/>
            <w:hideMark/>
          </w:tcPr>
          <w:p w14:paraId="67BD7E0E" w14:textId="4A89E114" w:rsidR="00A4059A" w:rsidRPr="00436F6E" w:rsidRDefault="00A4059A" w:rsidP="00A4059A">
            <w:pPr>
              <w:spacing w:line="276" w:lineRule="auto"/>
              <w:jc w:val="right"/>
              <w:rPr>
                <w:color w:val="000000"/>
                <w:sz w:val="18"/>
                <w:szCs w:val="18"/>
              </w:rPr>
            </w:pPr>
            <w:r>
              <w:rPr>
                <w:color w:val="000000"/>
                <w:sz w:val="20"/>
                <w:szCs w:val="20"/>
              </w:rPr>
              <w:t>$356,894,230</w:t>
            </w:r>
          </w:p>
        </w:tc>
        <w:tc>
          <w:tcPr>
            <w:tcW w:w="791" w:type="pct"/>
            <w:gridSpan w:val="2"/>
            <w:noWrap/>
            <w:vAlign w:val="center"/>
            <w:hideMark/>
          </w:tcPr>
          <w:p w14:paraId="6B99D47F" w14:textId="268CA312" w:rsidR="00A4059A" w:rsidRPr="00436F6E" w:rsidRDefault="00A4059A" w:rsidP="00A4059A">
            <w:pPr>
              <w:spacing w:line="276" w:lineRule="auto"/>
              <w:jc w:val="right"/>
              <w:rPr>
                <w:color w:val="000000"/>
                <w:sz w:val="18"/>
                <w:szCs w:val="18"/>
              </w:rPr>
            </w:pPr>
            <w:r>
              <w:rPr>
                <w:color w:val="000000"/>
                <w:sz w:val="20"/>
                <w:szCs w:val="20"/>
              </w:rPr>
              <w:t>$690,486,551</w:t>
            </w:r>
          </w:p>
        </w:tc>
      </w:tr>
      <w:tr w:rsidR="00A4059A" w:rsidRPr="00436F6E" w14:paraId="6FA60F8C" w14:textId="77777777" w:rsidTr="00154915">
        <w:trPr>
          <w:gridAfter w:val="1"/>
          <w:wAfter w:w="4" w:type="pct"/>
          <w:trHeight w:val="227"/>
        </w:trPr>
        <w:tc>
          <w:tcPr>
            <w:tcW w:w="957" w:type="pct"/>
            <w:vMerge/>
            <w:vAlign w:val="center"/>
            <w:hideMark/>
          </w:tcPr>
          <w:p w14:paraId="6E18EFB8" w14:textId="77777777" w:rsidR="00A4059A" w:rsidRPr="00436F6E" w:rsidRDefault="00A4059A" w:rsidP="00154915">
            <w:pPr>
              <w:spacing w:line="360" w:lineRule="auto"/>
              <w:rPr>
                <w:color w:val="000000"/>
                <w:sz w:val="18"/>
                <w:szCs w:val="18"/>
              </w:rPr>
            </w:pPr>
          </w:p>
        </w:tc>
        <w:tc>
          <w:tcPr>
            <w:tcW w:w="1623" w:type="pct"/>
            <w:noWrap/>
            <w:vAlign w:val="center"/>
            <w:hideMark/>
          </w:tcPr>
          <w:p w14:paraId="4DB14AD9" w14:textId="77777777" w:rsidR="00A4059A" w:rsidRPr="00436F6E" w:rsidRDefault="00A4059A" w:rsidP="00154915">
            <w:pPr>
              <w:spacing w:line="360" w:lineRule="auto"/>
              <w:rPr>
                <w:color w:val="000000"/>
                <w:sz w:val="18"/>
                <w:szCs w:val="18"/>
              </w:rPr>
            </w:pPr>
            <w:r w:rsidRPr="00436F6E">
              <w:rPr>
                <w:color w:val="000000"/>
                <w:sz w:val="18"/>
                <w:szCs w:val="18"/>
              </w:rPr>
              <w:t xml:space="preserve">Cost of job loss </w:t>
            </w:r>
          </w:p>
        </w:tc>
        <w:tc>
          <w:tcPr>
            <w:tcW w:w="812" w:type="pct"/>
            <w:gridSpan w:val="2"/>
            <w:noWrap/>
            <w:vAlign w:val="center"/>
            <w:hideMark/>
          </w:tcPr>
          <w:p w14:paraId="25913AFA" w14:textId="7C58A51B" w:rsidR="00A4059A" w:rsidRPr="00436F6E" w:rsidRDefault="00A4059A" w:rsidP="00BB3C33">
            <w:pPr>
              <w:spacing w:line="276" w:lineRule="auto"/>
              <w:jc w:val="right"/>
              <w:rPr>
                <w:color w:val="000000"/>
                <w:sz w:val="18"/>
                <w:szCs w:val="18"/>
              </w:rPr>
            </w:pPr>
            <w:r>
              <w:rPr>
                <w:color w:val="000000"/>
                <w:sz w:val="20"/>
                <w:szCs w:val="20"/>
              </w:rPr>
              <w:t>$70,864,746</w:t>
            </w:r>
          </w:p>
        </w:tc>
        <w:tc>
          <w:tcPr>
            <w:tcW w:w="813" w:type="pct"/>
            <w:gridSpan w:val="2"/>
            <w:noWrap/>
            <w:vAlign w:val="center"/>
            <w:hideMark/>
          </w:tcPr>
          <w:p w14:paraId="4F9061FC" w14:textId="6FC2E628" w:rsidR="00A4059A" w:rsidRPr="00436F6E" w:rsidRDefault="00A4059A" w:rsidP="00A4059A">
            <w:pPr>
              <w:spacing w:line="276" w:lineRule="auto"/>
              <w:jc w:val="right"/>
              <w:rPr>
                <w:color w:val="000000"/>
                <w:sz w:val="18"/>
                <w:szCs w:val="18"/>
              </w:rPr>
            </w:pPr>
            <w:r>
              <w:rPr>
                <w:color w:val="000000"/>
                <w:sz w:val="20"/>
                <w:szCs w:val="20"/>
              </w:rPr>
              <w:t>$61,061,469</w:t>
            </w:r>
          </w:p>
        </w:tc>
        <w:tc>
          <w:tcPr>
            <w:tcW w:w="791" w:type="pct"/>
            <w:gridSpan w:val="2"/>
            <w:noWrap/>
            <w:vAlign w:val="center"/>
            <w:hideMark/>
          </w:tcPr>
          <w:p w14:paraId="710BE03A" w14:textId="23047535" w:rsidR="00A4059A" w:rsidRPr="00436F6E" w:rsidRDefault="00A4059A" w:rsidP="00A4059A">
            <w:pPr>
              <w:spacing w:line="276" w:lineRule="auto"/>
              <w:jc w:val="right"/>
              <w:rPr>
                <w:color w:val="000000"/>
                <w:sz w:val="18"/>
                <w:szCs w:val="18"/>
              </w:rPr>
            </w:pPr>
            <w:r>
              <w:rPr>
                <w:color w:val="000000"/>
                <w:sz w:val="20"/>
                <w:szCs w:val="20"/>
              </w:rPr>
              <w:t>$90,659,788</w:t>
            </w:r>
          </w:p>
        </w:tc>
      </w:tr>
      <w:tr w:rsidR="00A4059A" w:rsidRPr="00436F6E" w14:paraId="3A380BC5" w14:textId="77777777" w:rsidTr="00154915">
        <w:trPr>
          <w:gridAfter w:val="1"/>
          <w:wAfter w:w="4" w:type="pct"/>
          <w:trHeight w:val="227"/>
        </w:trPr>
        <w:tc>
          <w:tcPr>
            <w:tcW w:w="957" w:type="pct"/>
            <w:vMerge/>
            <w:vAlign w:val="center"/>
            <w:hideMark/>
          </w:tcPr>
          <w:p w14:paraId="50AF5F13" w14:textId="77777777" w:rsidR="00A4059A" w:rsidRPr="00436F6E" w:rsidRDefault="00A4059A" w:rsidP="00154915">
            <w:pPr>
              <w:spacing w:line="360" w:lineRule="auto"/>
              <w:rPr>
                <w:color w:val="000000"/>
                <w:sz w:val="18"/>
                <w:szCs w:val="18"/>
              </w:rPr>
            </w:pPr>
          </w:p>
        </w:tc>
        <w:tc>
          <w:tcPr>
            <w:tcW w:w="1623" w:type="pct"/>
            <w:noWrap/>
            <w:vAlign w:val="center"/>
            <w:hideMark/>
          </w:tcPr>
          <w:p w14:paraId="72DF476C" w14:textId="77777777" w:rsidR="00A4059A" w:rsidRPr="00436F6E" w:rsidRDefault="00A4059A" w:rsidP="00154915">
            <w:pPr>
              <w:spacing w:line="360" w:lineRule="auto"/>
              <w:rPr>
                <w:color w:val="000000"/>
                <w:sz w:val="18"/>
                <w:szCs w:val="18"/>
              </w:rPr>
            </w:pPr>
            <w:r w:rsidRPr="00436F6E">
              <w:rPr>
                <w:color w:val="000000"/>
                <w:sz w:val="18"/>
                <w:szCs w:val="18"/>
              </w:rPr>
              <w:t>Cost of absenteeism to business</w:t>
            </w:r>
          </w:p>
        </w:tc>
        <w:tc>
          <w:tcPr>
            <w:tcW w:w="812" w:type="pct"/>
            <w:gridSpan w:val="2"/>
            <w:noWrap/>
            <w:vAlign w:val="center"/>
            <w:hideMark/>
          </w:tcPr>
          <w:p w14:paraId="7AC3ED2C" w14:textId="7D1142A6" w:rsidR="00A4059A" w:rsidRPr="00436F6E" w:rsidRDefault="00A4059A" w:rsidP="00BB3C33">
            <w:pPr>
              <w:spacing w:line="276" w:lineRule="auto"/>
              <w:jc w:val="right"/>
              <w:rPr>
                <w:color w:val="000000"/>
                <w:sz w:val="18"/>
                <w:szCs w:val="18"/>
              </w:rPr>
            </w:pPr>
            <w:r>
              <w:rPr>
                <w:color w:val="000000"/>
                <w:sz w:val="20"/>
                <w:szCs w:val="20"/>
              </w:rPr>
              <w:t>$19,822,811</w:t>
            </w:r>
          </w:p>
        </w:tc>
        <w:tc>
          <w:tcPr>
            <w:tcW w:w="813" w:type="pct"/>
            <w:gridSpan w:val="2"/>
            <w:noWrap/>
            <w:vAlign w:val="center"/>
            <w:hideMark/>
          </w:tcPr>
          <w:p w14:paraId="496EA340" w14:textId="1A36D6B0" w:rsidR="00A4059A" w:rsidRPr="00436F6E" w:rsidRDefault="00A4059A" w:rsidP="00A4059A">
            <w:pPr>
              <w:spacing w:line="276" w:lineRule="auto"/>
              <w:jc w:val="right"/>
              <w:rPr>
                <w:color w:val="000000"/>
                <w:sz w:val="18"/>
                <w:szCs w:val="18"/>
              </w:rPr>
            </w:pPr>
            <w:r>
              <w:rPr>
                <w:color w:val="000000"/>
                <w:sz w:val="20"/>
                <w:szCs w:val="20"/>
              </w:rPr>
              <w:t>$16,050,859</w:t>
            </w:r>
          </w:p>
        </w:tc>
        <w:tc>
          <w:tcPr>
            <w:tcW w:w="791" w:type="pct"/>
            <w:gridSpan w:val="2"/>
            <w:noWrap/>
            <w:vAlign w:val="center"/>
            <w:hideMark/>
          </w:tcPr>
          <w:p w14:paraId="3479A83D" w14:textId="44D6E57E" w:rsidR="00A4059A" w:rsidRPr="00436F6E" w:rsidRDefault="00A4059A" w:rsidP="00A4059A">
            <w:pPr>
              <w:spacing w:line="276" w:lineRule="auto"/>
              <w:jc w:val="right"/>
              <w:rPr>
                <w:color w:val="000000"/>
                <w:sz w:val="18"/>
                <w:szCs w:val="18"/>
              </w:rPr>
            </w:pPr>
            <w:r>
              <w:rPr>
                <w:color w:val="000000"/>
                <w:sz w:val="20"/>
                <w:szCs w:val="20"/>
              </w:rPr>
              <w:t>$23,867,628</w:t>
            </w:r>
          </w:p>
        </w:tc>
      </w:tr>
      <w:tr w:rsidR="00A4059A" w:rsidRPr="00436F6E" w14:paraId="03696A38" w14:textId="77777777" w:rsidTr="00154915">
        <w:trPr>
          <w:gridAfter w:val="1"/>
          <w:wAfter w:w="4" w:type="pct"/>
          <w:trHeight w:val="227"/>
        </w:trPr>
        <w:tc>
          <w:tcPr>
            <w:tcW w:w="957" w:type="pct"/>
            <w:vMerge w:val="restart"/>
            <w:vAlign w:val="center"/>
            <w:hideMark/>
          </w:tcPr>
          <w:p w14:paraId="132855B8" w14:textId="77777777" w:rsidR="00A4059A" w:rsidRPr="00436F6E" w:rsidRDefault="00A4059A" w:rsidP="00154915">
            <w:pPr>
              <w:spacing w:line="360" w:lineRule="auto"/>
              <w:rPr>
                <w:color w:val="000000"/>
                <w:sz w:val="18"/>
                <w:szCs w:val="18"/>
              </w:rPr>
            </w:pPr>
            <w:r w:rsidRPr="00436F6E">
              <w:rPr>
                <w:color w:val="000000"/>
                <w:sz w:val="18"/>
                <w:szCs w:val="18"/>
              </w:rPr>
              <w:t>Criminal activity</w:t>
            </w:r>
          </w:p>
        </w:tc>
        <w:tc>
          <w:tcPr>
            <w:tcW w:w="1623" w:type="pct"/>
            <w:noWrap/>
            <w:vAlign w:val="center"/>
            <w:hideMark/>
          </w:tcPr>
          <w:p w14:paraId="0D6D1C75" w14:textId="77777777" w:rsidR="00A4059A" w:rsidRPr="00436F6E" w:rsidRDefault="00A4059A" w:rsidP="00154915">
            <w:pPr>
              <w:spacing w:line="360" w:lineRule="auto"/>
              <w:rPr>
                <w:color w:val="000000"/>
                <w:sz w:val="18"/>
                <w:szCs w:val="18"/>
              </w:rPr>
            </w:pPr>
            <w:r w:rsidRPr="00436F6E">
              <w:rPr>
                <w:color w:val="000000"/>
                <w:sz w:val="18"/>
                <w:szCs w:val="18"/>
              </w:rPr>
              <w:t xml:space="preserve">Cost to New Zealand justice system </w:t>
            </w:r>
          </w:p>
        </w:tc>
        <w:tc>
          <w:tcPr>
            <w:tcW w:w="812" w:type="pct"/>
            <w:gridSpan w:val="2"/>
            <w:noWrap/>
            <w:vAlign w:val="center"/>
            <w:hideMark/>
          </w:tcPr>
          <w:p w14:paraId="2DE97937" w14:textId="032EFE86" w:rsidR="00A4059A" w:rsidRPr="00436F6E" w:rsidRDefault="00A4059A" w:rsidP="00BB3C33">
            <w:pPr>
              <w:spacing w:line="276" w:lineRule="auto"/>
              <w:jc w:val="right"/>
              <w:rPr>
                <w:color w:val="000000"/>
                <w:sz w:val="18"/>
                <w:szCs w:val="18"/>
              </w:rPr>
            </w:pPr>
            <w:r>
              <w:rPr>
                <w:color w:val="000000"/>
                <w:sz w:val="20"/>
                <w:szCs w:val="20"/>
              </w:rPr>
              <w:t>$22,357,101</w:t>
            </w:r>
          </w:p>
        </w:tc>
        <w:tc>
          <w:tcPr>
            <w:tcW w:w="813" w:type="pct"/>
            <w:gridSpan w:val="2"/>
            <w:noWrap/>
            <w:vAlign w:val="center"/>
            <w:hideMark/>
          </w:tcPr>
          <w:p w14:paraId="70DBFC1C" w14:textId="3CE715CC" w:rsidR="00A4059A" w:rsidRPr="00436F6E" w:rsidRDefault="00A4059A" w:rsidP="00A4059A">
            <w:pPr>
              <w:spacing w:line="276" w:lineRule="auto"/>
              <w:jc w:val="right"/>
              <w:rPr>
                <w:color w:val="000000"/>
                <w:sz w:val="18"/>
                <w:szCs w:val="18"/>
              </w:rPr>
            </w:pPr>
            <w:r>
              <w:rPr>
                <w:color w:val="000000"/>
                <w:sz w:val="20"/>
                <w:szCs w:val="20"/>
              </w:rPr>
              <w:t>$22,357,101</w:t>
            </w:r>
          </w:p>
        </w:tc>
        <w:tc>
          <w:tcPr>
            <w:tcW w:w="791" w:type="pct"/>
            <w:gridSpan w:val="2"/>
            <w:noWrap/>
            <w:vAlign w:val="center"/>
            <w:hideMark/>
          </w:tcPr>
          <w:p w14:paraId="4263A2CD" w14:textId="083C1905" w:rsidR="00A4059A" w:rsidRPr="00436F6E" w:rsidRDefault="00A4059A" w:rsidP="00A4059A">
            <w:pPr>
              <w:spacing w:line="276" w:lineRule="auto"/>
              <w:jc w:val="right"/>
              <w:rPr>
                <w:color w:val="000000"/>
                <w:sz w:val="18"/>
                <w:szCs w:val="18"/>
              </w:rPr>
            </w:pPr>
            <w:r>
              <w:rPr>
                <w:color w:val="000000"/>
                <w:sz w:val="20"/>
                <w:szCs w:val="20"/>
              </w:rPr>
              <w:t>$31,310,190</w:t>
            </w:r>
          </w:p>
        </w:tc>
      </w:tr>
      <w:tr w:rsidR="00A4059A" w:rsidRPr="00436F6E" w14:paraId="3BB6E7F0" w14:textId="77777777" w:rsidTr="00154915">
        <w:trPr>
          <w:gridAfter w:val="1"/>
          <w:wAfter w:w="4" w:type="pct"/>
          <w:trHeight w:val="227"/>
        </w:trPr>
        <w:tc>
          <w:tcPr>
            <w:tcW w:w="957" w:type="pct"/>
            <w:vMerge/>
            <w:vAlign w:val="center"/>
            <w:hideMark/>
          </w:tcPr>
          <w:p w14:paraId="7E1C8E5A" w14:textId="77777777" w:rsidR="00A4059A" w:rsidRPr="00436F6E" w:rsidRDefault="00A4059A" w:rsidP="00154915">
            <w:pPr>
              <w:spacing w:line="360" w:lineRule="auto"/>
              <w:rPr>
                <w:color w:val="000000"/>
                <w:sz w:val="18"/>
                <w:szCs w:val="18"/>
              </w:rPr>
            </w:pPr>
          </w:p>
        </w:tc>
        <w:tc>
          <w:tcPr>
            <w:tcW w:w="1623" w:type="pct"/>
            <w:noWrap/>
            <w:vAlign w:val="center"/>
            <w:hideMark/>
          </w:tcPr>
          <w:p w14:paraId="288E12C0" w14:textId="77777777" w:rsidR="00A4059A" w:rsidRPr="00436F6E" w:rsidRDefault="00A4059A" w:rsidP="00154915">
            <w:pPr>
              <w:spacing w:line="360" w:lineRule="auto"/>
              <w:rPr>
                <w:color w:val="000000"/>
                <w:sz w:val="18"/>
                <w:szCs w:val="18"/>
              </w:rPr>
            </w:pPr>
            <w:r w:rsidRPr="00436F6E">
              <w:rPr>
                <w:color w:val="000000"/>
                <w:sz w:val="18"/>
                <w:szCs w:val="18"/>
              </w:rPr>
              <w:t xml:space="preserve">Crime to business </w:t>
            </w:r>
          </w:p>
        </w:tc>
        <w:tc>
          <w:tcPr>
            <w:tcW w:w="812" w:type="pct"/>
            <w:gridSpan w:val="2"/>
            <w:noWrap/>
            <w:vAlign w:val="center"/>
            <w:hideMark/>
          </w:tcPr>
          <w:p w14:paraId="6D72138F" w14:textId="04987A22" w:rsidR="00A4059A" w:rsidRPr="00436F6E" w:rsidRDefault="00A4059A" w:rsidP="00BB3C33">
            <w:pPr>
              <w:spacing w:line="276" w:lineRule="auto"/>
              <w:jc w:val="right"/>
              <w:rPr>
                <w:color w:val="000000"/>
                <w:sz w:val="18"/>
                <w:szCs w:val="18"/>
              </w:rPr>
            </w:pPr>
            <w:r>
              <w:rPr>
                <w:color w:val="000000"/>
                <w:sz w:val="20"/>
                <w:szCs w:val="20"/>
              </w:rPr>
              <w:t>$31,990,368</w:t>
            </w:r>
          </w:p>
        </w:tc>
        <w:tc>
          <w:tcPr>
            <w:tcW w:w="813" w:type="pct"/>
            <w:gridSpan w:val="2"/>
            <w:noWrap/>
            <w:vAlign w:val="center"/>
            <w:hideMark/>
          </w:tcPr>
          <w:p w14:paraId="4C653D8C" w14:textId="68922F5C" w:rsidR="00A4059A" w:rsidRPr="00436F6E" w:rsidRDefault="00A4059A" w:rsidP="00A4059A">
            <w:pPr>
              <w:spacing w:line="276" w:lineRule="auto"/>
              <w:jc w:val="right"/>
              <w:rPr>
                <w:color w:val="000000"/>
                <w:sz w:val="18"/>
                <w:szCs w:val="18"/>
              </w:rPr>
            </w:pPr>
            <w:r>
              <w:rPr>
                <w:color w:val="000000"/>
                <w:sz w:val="20"/>
                <w:szCs w:val="20"/>
              </w:rPr>
              <w:t>$13,654,434</w:t>
            </w:r>
          </w:p>
        </w:tc>
        <w:tc>
          <w:tcPr>
            <w:tcW w:w="791" w:type="pct"/>
            <w:gridSpan w:val="2"/>
            <w:noWrap/>
            <w:vAlign w:val="center"/>
            <w:hideMark/>
          </w:tcPr>
          <w:p w14:paraId="62F71393" w14:textId="4B2FC16D" w:rsidR="00A4059A" w:rsidRPr="00436F6E" w:rsidRDefault="00A4059A" w:rsidP="00A4059A">
            <w:pPr>
              <w:spacing w:line="276" w:lineRule="auto"/>
              <w:jc w:val="right"/>
              <w:rPr>
                <w:color w:val="000000"/>
                <w:sz w:val="18"/>
                <w:szCs w:val="18"/>
              </w:rPr>
            </w:pPr>
            <w:r>
              <w:rPr>
                <w:color w:val="000000"/>
                <w:sz w:val="20"/>
                <w:szCs w:val="20"/>
              </w:rPr>
              <w:t>$33,589,886</w:t>
            </w:r>
          </w:p>
        </w:tc>
      </w:tr>
      <w:tr w:rsidR="00A4059A" w:rsidRPr="00436F6E" w14:paraId="4124E187" w14:textId="77777777" w:rsidTr="00154915">
        <w:trPr>
          <w:gridAfter w:val="1"/>
          <w:wAfter w:w="4" w:type="pct"/>
          <w:trHeight w:val="227"/>
        </w:trPr>
        <w:tc>
          <w:tcPr>
            <w:tcW w:w="957" w:type="pct"/>
            <w:vAlign w:val="center"/>
            <w:hideMark/>
          </w:tcPr>
          <w:p w14:paraId="72ECAD7D" w14:textId="77777777" w:rsidR="00A4059A" w:rsidRPr="00436F6E" w:rsidRDefault="00A4059A" w:rsidP="00154915">
            <w:pPr>
              <w:spacing w:line="360" w:lineRule="auto"/>
              <w:rPr>
                <w:color w:val="000000"/>
                <w:sz w:val="18"/>
                <w:szCs w:val="18"/>
              </w:rPr>
            </w:pPr>
            <w:r w:rsidRPr="00436F6E">
              <w:rPr>
                <w:color w:val="000000"/>
                <w:sz w:val="18"/>
                <w:szCs w:val="18"/>
              </w:rPr>
              <w:t>Life course harm (homelessness services)</w:t>
            </w:r>
          </w:p>
        </w:tc>
        <w:tc>
          <w:tcPr>
            <w:tcW w:w="1623" w:type="pct"/>
            <w:noWrap/>
            <w:vAlign w:val="center"/>
            <w:hideMark/>
          </w:tcPr>
          <w:p w14:paraId="7CC8834D" w14:textId="77777777" w:rsidR="00A4059A" w:rsidRPr="00436F6E" w:rsidRDefault="00A4059A" w:rsidP="00154915">
            <w:pPr>
              <w:spacing w:line="360" w:lineRule="auto"/>
              <w:rPr>
                <w:color w:val="000000"/>
                <w:sz w:val="18"/>
                <w:szCs w:val="18"/>
              </w:rPr>
            </w:pPr>
            <w:r w:rsidRPr="00436F6E">
              <w:rPr>
                <w:color w:val="000000"/>
                <w:sz w:val="18"/>
                <w:szCs w:val="18"/>
              </w:rPr>
              <w:t>Homelessness services</w:t>
            </w:r>
          </w:p>
        </w:tc>
        <w:tc>
          <w:tcPr>
            <w:tcW w:w="812" w:type="pct"/>
            <w:gridSpan w:val="2"/>
            <w:noWrap/>
            <w:vAlign w:val="center"/>
            <w:hideMark/>
          </w:tcPr>
          <w:p w14:paraId="33621A95" w14:textId="021C46BF" w:rsidR="00A4059A" w:rsidRPr="00436F6E" w:rsidRDefault="00A4059A" w:rsidP="00BB3C33">
            <w:pPr>
              <w:spacing w:line="276" w:lineRule="auto"/>
              <w:jc w:val="right"/>
              <w:rPr>
                <w:color w:val="000000"/>
                <w:sz w:val="18"/>
                <w:szCs w:val="18"/>
              </w:rPr>
            </w:pPr>
            <w:r>
              <w:rPr>
                <w:color w:val="000000"/>
                <w:sz w:val="20"/>
                <w:szCs w:val="20"/>
              </w:rPr>
              <w:t>$5,203,623</w:t>
            </w:r>
          </w:p>
        </w:tc>
        <w:tc>
          <w:tcPr>
            <w:tcW w:w="813" w:type="pct"/>
            <w:gridSpan w:val="2"/>
            <w:noWrap/>
            <w:vAlign w:val="center"/>
            <w:hideMark/>
          </w:tcPr>
          <w:p w14:paraId="55A29879" w14:textId="11D2C031" w:rsidR="00A4059A" w:rsidRPr="00436F6E" w:rsidRDefault="00A4059A" w:rsidP="00A4059A">
            <w:pPr>
              <w:spacing w:line="276" w:lineRule="auto"/>
              <w:jc w:val="right"/>
              <w:rPr>
                <w:color w:val="000000"/>
                <w:sz w:val="18"/>
                <w:szCs w:val="18"/>
              </w:rPr>
            </w:pPr>
            <w:r>
              <w:rPr>
                <w:color w:val="000000"/>
                <w:sz w:val="20"/>
                <w:szCs w:val="20"/>
              </w:rPr>
              <w:t>$4,943,442</w:t>
            </w:r>
          </w:p>
        </w:tc>
        <w:tc>
          <w:tcPr>
            <w:tcW w:w="791" w:type="pct"/>
            <w:gridSpan w:val="2"/>
            <w:noWrap/>
            <w:vAlign w:val="center"/>
            <w:hideMark/>
          </w:tcPr>
          <w:p w14:paraId="59C04BB2" w14:textId="5D23D11F" w:rsidR="00A4059A" w:rsidRPr="00436F6E" w:rsidRDefault="00A4059A" w:rsidP="00A4059A">
            <w:pPr>
              <w:spacing w:line="276" w:lineRule="auto"/>
              <w:jc w:val="right"/>
              <w:rPr>
                <w:color w:val="000000"/>
                <w:sz w:val="18"/>
                <w:szCs w:val="18"/>
              </w:rPr>
            </w:pPr>
            <w:r>
              <w:rPr>
                <w:color w:val="000000"/>
                <w:sz w:val="20"/>
                <w:szCs w:val="20"/>
              </w:rPr>
              <w:t>$93,510,043</w:t>
            </w:r>
          </w:p>
        </w:tc>
      </w:tr>
      <w:tr w:rsidR="00A4059A" w:rsidRPr="00436F6E" w14:paraId="213BBB7C" w14:textId="77777777" w:rsidTr="00154915">
        <w:trPr>
          <w:gridAfter w:val="1"/>
          <w:wAfter w:w="4" w:type="pct"/>
          <w:trHeight w:val="227"/>
        </w:trPr>
        <w:tc>
          <w:tcPr>
            <w:tcW w:w="957" w:type="pct"/>
            <w:vMerge w:val="restart"/>
            <w:vAlign w:val="center"/>
            <w:hideMark/>
          </w:tcPr>
          <w:p w14:paraId="3EECC72B" w14:textId="77777777" w:rsidR="00A4059A" w:rsidRPr="00436F6E" w:rsidRDefault="00A4059A" w:rsidP="00154915">
            <w:pPr>
              <w:spacing w:line="360" w:lineRule="auto"/>
              <w:rPr>
                <w:color w:val="000000"/>
                <w:sz w:val="18"/>
                <w:szCs w:val="18"/>
              </w:rPr>
            </w:pPr>
            <w:r w:rsidRPr="00436F6E">
              <w:rPr>
                <w:color w:val="000000"/>
                <w:sz w:val="18"/>
                <w:szCs w:val="18"/>
              </w:rPr>
              <w:t>Other government or community costs</w:t>
            </w:r>
          </w:p>
        </w:tc>
        <w:tc>
          <w:tcPr>
            <w:tcW w:w="1623" w:type="pct"/>
            <w:noWrap/>
            <w:vAlign w:val="center"/>
            <w:hideMark/>
          </w:tcPr>
          <w:p w14:paraId="1CA18F45" w14:textId="77777777" w:rsidR="00A4059A" w:rsidRPr="00436F6E" w:rsidRDefault="00A4059A" w:rsidP="00154915">
            <w:pPr>
              <w:spacing w:line="360" w:lineRule="auto"/>
              <w:rPr>
                <w:color w:val="000000"/>
                <w:sz w:val="18"/>
                <w:szCs w:val="18"/>
              </w:rPr>
            </w:pPr>
            <w:r w:rsidRPr="00436F6E">
              <w:rPr>
                <w:color w:val="000000"/>
                <w:sz w:val="18"/>
                <w:szCs w:val="18"/>
              </w:rPr>
              <w:t>Policy, regulation, research (including treatment funding)</w:t>
            </w:r>
          </w:p>
        </w:tc>
        <w:tc>
          <w:tcPr>
            <w:tcW w:w="812" w:type="pct"/>
            <w:gridSpan w:val="2"/>
            <w:noWrap/>
            <w:vAlign w:val="center"/>
            <w:hideMark/>
          </w:tcPr>
          <w:p w14:paraId="7D020AF3" w14:textId="421A8161" w:rsidR="00A4059A" w:rsidRPr="00436F6E" w:rsidRDefault="00A4059A" w:rsidP="00BB3C33">
            <w:pPr>
              <w:spacing w:line="276" w:lineRule="auto"/>
              <w:jc w:val="right"/>
              <w:rPr>
                <w:color w:val="000000"/>
                <w:sz w:val="18"/>
                <w:szCs w:val="18"/>
              </w:rPr>
            </w:pPr>
            <w:r>
              <w:rPr>
                <w:color w:val="000000"/>
                <w:sz w:val="20"/>
                <w:szCs w:val="20"/>
              </w:rPr>
              <w:t>$48,841,000</w:t>
            </w:r>
          </w:p>
        </w:tc>
        <w:tc>
          <w:tcPr>
            <w:tcW w:w="813" w:type="pct"/>
            <w:gridSpan w:val="2"/>
            <w:noWrap/>
            <w:vAlign w:val="center"/>
            <w:hideMark/>
          </w:tcPr>
          <w:p w14:paraId="526B1805" w14:textId="0DE24E64" w:rsidR="00A4059A" w:rsidRPr="00436F6E" w:rsidRDefault="00A4059A" w:rsidP="00A4059A">
            <w:pPr>
              <w:spacing w:line="276" w:lineRule="auto"/>
              <w:jc w:val="right"/>
              <w:rPr>
                <w:color w:val="000000"/>
                <w:sz w:val="18"/>
                <w:szCs w:val="18"/>
              </w:rPr>
            </w:pPr>
            <w:r>
              <w:rPr>
                <w:color w:val="000000"/>
                <w:sz w:val="20"/>
                <w:szCs w:val="20"/>
              </w:rPr>
              <w:t>$48,841,000</w:t>
            </w:r>
          </w:p>
        </w:tc>
        <w:tc>
          <w:tcPr>
            <w:tcW w:w="791" w:type="pct"/>
            <w:gridSpan w:val="2"/>
            <w:noWrap/>
            <w:vAlign w:val="center"/>
            <w:hideMark/>
          </w:tcPr>
          <w:p w14:paraId="71854883" w14:textId="3DE6183D" w:rsidR="00A4059A" w:rsidRPr="00436F6E" w:rsidRDefault="00A4059A" w:rsidP="00A4059A">
            <w:pPr>
              <w:spacing w:line="276" w:lineRule="auto"/>
              <w:jc w:val="right"/>
              <w:rPr>
                <w:color w:val="000000"/>
                <w:sz w:val="18"/>
                <w:szCs w:val="18"/>
              </w:rPr>
            </w:pPr>
            <w:r>
              <w:rPr>
                <w:color w:val="000000"/>
                <w:sz w:val="20"/>
                <w:szCs w:val="20"/>
              </w:rPr>
              <w:t>$48,841,000</w:t>
            </w:r>
          </w:p>
        </w:tc>
      </w:tr>
      <w:tr w:rsidR="00A4059A" w:rsidRPr="00436F6E" w14:paraId="449A4F92" w14:textId="77777777" w:rsidTr="00154915">
        <w:trPr>
          <w:gridAfter w:val="1"/>
          <w:wAfter w:w="4" w:type="pct"/>
          <w:trHeight w:val="227"/>
        </w:trPr>
        <w:tc>
          <w:tcPr>
            <w:tcW w:w="957" w:type="pct"/>
            <w:vMerge/>
            <w:vAlign w:val="center"/>
            <w:hideMark/>
          </w:tcPr>
          <w:p w14:paraId="0B943B1F" w14:textId="77777777" w:rsidR="00A4059A" w:rsidRPr="00436F6E" w:rsidRDefault="00A4059A" w:rsidP="00154915">
            <w:pPr>
              <w:spacing w:line="360" w:lineRule="auto"/>
              <w:rPr>
                <w:color w:val="000000"/>
                <w:sz w:val="18"/>
                <w:szCs w:val="18"/>
              </w:rPr>
            </w:pPr>
          </w:p>
        </w:tc>
        <w:tc>
          <w:tcPr>
            <w:tcW w:w="1623" w:type="pct"/>
            <w:noWrap/>
            <w:vAlign w:val="center"/>
            <w:hideMark/>
          </w:tcPr>
          <w:p w14:paraId="50ACDB25" w14:textId="77777777" w:rsidR="00A4059A" w:rsidRPr="00436F6E" w:rsidRDefault="00A4059A" w:rsidP="00154915">
            <w:pPr>
              <w:spacing w:line="360" w:lineRule="auto"/>
              <w:rPr>
                <w:color w:val="000000"/>
                <w:sz w:val="18"/>
                <w:szCs w:val="18"/>
              </w:rPr>
            </w:pPr>
            <w:r w:rsidRPr="00436F6E">
              <w:rPr>
                <w:color w:val="000000"/>
                <w:sz w:val="18"/>
                <w:szCs w:val="18"/>
              </w:rPr>
              <w:t>Provision of services related to gambling addiction</w:t>
            </w:r>
          </w:p>
        </w:tc>
        <w:tc>
          <w:tcPr>
            <w:tcW w:w="812" w:type="pct"/>
            <w:gridSpan w:val="2"/>
            <w:noWrap/>
            <w:vAlign w:val="center"/>
            <w:hideMark/>
          </w:tcPr>
          <w:p w14:paraId="125FEDD7" w14:textId="1413F2B9" w:rsidR="00A4059A" w:rsidRPr="00436F6E" w:rsidRDefault="00A4059A" w:rsidP="00BB3C33">
            <w:pPr>
              <w:spacing w:line="276" w:lineRule="auto"/>
              <w:jc w:val="right"/>
              <w:rPr>
                <w:color w:val="000000"/>
                <w:sz w:val="18"/>
                <w:szCs w:val="18"/>
              </w:rPr>
            </w:pPr>
            <w:r>
              <w:rPr>
                <w:color w:val="000000"/>
                <w:sz w:val="20"/>
                <w:szCs w:val="20"/>
              </w:rPr>
              <w:t>$9,927,750</w:t>
            </w:r>
          </w:p>
        </w:tc>
        <w:tc>
          <w:tcPr>
            <w:tcW w:w="813" w:type="pct"/>
            <w:gridSpan w:val="2"/>
            <w:noWrap/>
            <w:vAlign w:val="center"/>
            <w:hideMark/>
          </w:tcPr>
          <w:p w14:paraId="05340AF4" w14:textId="04C3E2A8" w:rsidR="00A4059A" w:rsidRPr="00436F6E" w:rsidRDefault="00A4059A" w:rsidP="00A4059A">
            <w:pPr>
              <w:spacing w:line="276" w:lineRule="auto"/>
              <w:jc w:val="right"/>
              <w:rPr>
                <w:color w:val="000000"/>
                <w:sz w:val="18"/>
                <w:szCs w:val="18"/>
              </w:rPr>
            </w:pPr>
            <w:r>
              <w:rPr>
                <w:color w:val="000000"/>
                <w:sz w:val="20"/>
                <w:szCs w:val="20"/>
              </w:rPr>
              <w:t>$9,431,362</w:t>
            </w:r>
          </w:p>
        </w:tc>
        <w:tc>
          <w:tcPr>
            <w:tcW w:w="791" w:type="pct"/>
            <w:gridSpan w:val="2"/>
            <w:noWrap/>
            <w:vAlign w:val="center"/>
            <w:hideMark/>
          </w:tcPr>
          <w:p w14:paraId="3894EECF" w14:textId="69DAE7B3" w:rsidR="00A4059A" w:rsidRPr="00436F6E" w:rsidRDefault="00A4059A" w:rsidP="00A4059A">
            <w:pPr>
              <w:spacing w:line="276" w:lineRule="auto"/>
              <w:jc w:val="right"/>
              <w:rPr>
                <w:color w:val="000000"/>
                <w:sz w:val="18"/>
                <w:szCs w:val="18"/>
              </w:rPr>
            </w:pPr>
            <w:r>
              <w:rPr>
                <w:color w:val="000000"/>
                <w:sz w:val="20"/>
                <w:szCs w:val="20"/>
              </w:rPr>
              <w:t>$16,632,743</w:t>
            </w:r>
          </w:p>
        </w:tc>
      </w:tr>
      <w:tr w:rsidR="00A4059A" w:rsidRPr="00436F6E" w14:paraId="7D3F5494" w14:textId="77777777" w:rsidTr="00154915">
        <w:trPr>
          <w:trHeight w:val="227"/>
        </w:trPr>
        <w:tc>
          <w:tcPr>
            <w:tcW w:w="2584" w:type="pct"/>
            <w:gridSpan w:val="3"/>
            <w:noWrap/>
            <w:vAlign w:val="center"/>
          </w:tcPr>
          <w:p w14:paraId="14717723" w14:textId="6BFF1E0F" w:rsidR="00A4059A" w:rsidRPr="00436F6E" w:rsidRDefault="00A4059A" w:rsidP="00154915">
            <w:pPr>
              <w:spacing w:line="360" w:lineRule="auto"/>
              <w:rPr>
                <w:b/>
                <w:bCs/>
                <w:color w:val="000000"/>
                <w:sz w:val="18"/>
                <w:szCs w:val="18"/>
              </w:rPr>
            </w:pPr>
            <w:r w:rsidRPr="00436F6E">
              <w:rPr>
                <w:b/>
                <w:bCs/>
                <w:color w:val="000000"/>
                <w:sz w:val="18"/>
                <w:szCs w:val="18"/>
              </w:rPr>
              <w:t>TOTAL</w:t>
            </w:r>
          </w:p>
        </w:tc>
        <w:tc>
          <w:tcPr>
            <w:tcW w:w="812" w:type="pct"/>
            <w:gridSpan w:val="2"/>
            <w:noWrap/>
            <w:vAlign w:val="center"/>
          </w:tcPr>
          <w:p w14:paraId="5FF438A7" w14:textId="7218C9F3" w:rsidR="00A4059A" w:rsidRPr="00436F6E" w:rsidRDefault="00A4059A" w:rsidP="00CF48ED">
            <w:pPr>
              <w:spacing w:line="276" w:lineRule="auto"/>
              <w:jc w:val="right"/>
              <w:rPr>
                <w:b/>
                <w:bCs/>
                <w:color w:val="000000"/>
                <w:sz w:val="18"/>
                <w:szCs w:val="18"/>
              </w:rPr>
            </w:pPr>
            <w:r>
              <w:rPr>
                <w:b/>
                <w:bCs/>
                <w:color w:val="000000"/>
                <w:sz w:val="18"/>
                <w:szCs w:val="18"/>
              </w:rPr>
              <w:t>$4,218,927,498</w:t>
            </w:r>
          </w:p>
        </w:tc>
        <w:tc>
          <w:tcPr>
            <w:tcW w:w="813" w:type="pct"/>
            <w:gridSpan w:val="2"/>
            <w:noWrap/>
            <w:vAlign w:val="center"/>
          </w:tcPr>
          <w:p w14:paraId="372E4EB0" w14:textId="77777777" w:rsidR="00A4059A" w:rsidRPr="00436F6E" w:rsidRDefault="00A4059A" w:rsidP="00CF48ED">
            <w:pPr>
              <w:spacing w:line="276" w:lineRule="auto"/>
              <w:jc w:val="right"/>
              <w:rPr>
                <w:b/>
                <w:bCs/>
                <w:color w:val="000000"/>
                <w:sz w:val="18"/>
                <w:szCs w:val="18"/>
              </w:rPr>
            </w:pPr>
          </w:p>
        </w:tc>
        <w:tc>
          <w:tcPr>
            <w:tcW w:w="791" w:type="pct"/>
            <w:gridSpan w:val="2"/>
            <w:noWrap/>
            <w:vAlign w:val="center"/>
          </w:tcPr>
          <w:p w14:paraId="068D7E9F" w14:textId="77777777" w:rsidR="00A4059A" w:rsidRPr="00436F6E" w:rsidRDefault="00A4059A" w:rsidP="00CF48ED">
            <w:pPr>
              <w:spacing w:line="276" w:lineRule="auto"/>
              <w:jc w:val="right"/>
              <w:rPr>
                <w:b/>
                <w:bCs/>
                <w:color w:val="000000"/>
                <w:sz w:val="18"/>
                <w:szCs w:val="18"/>
              </w:rPr>
            </w:pPr>
          </w:p>
        </w:tc>
      </w:tr>
      <w:tr w:rsidR="00154915" w:rsidRPr="00436F6E" w14:paraId="7B951FDB" w14:textId="77777777" w:rsidTr="00154915">
        <w:trPr>
          <w:trHeight w:val="227"/>
        </w:trPr>
        <w:tc>
          <w:tcPr>
            <w:tcW w:w="2584" w:type="pct"/>
            <w:gridSpan w:val="3"/>
            <w:noWrap/>
            <w:vAlign w:val="center"/>
            <w:hideMark/>
          </w:tcPr>
          <w:p w14:paraId="5144AB05" w14:textId="77777777" w:rsidR="00154915" w:rsidRPr="00436F6E" w:rsidRDefault="00154915" w:rsidP="00154915">
            <w:pPr>
              <w:spacing w:line="360" w:lineRule="auto"/>
              <w:rPr>
                <w:b/>
                <w:bCs/>
                <w:color w:val="000000"/>
                <w:sz w:val="18"/>
                <w:szCs w:val="18"/>
              </w:rPr>
            </w:pPr>
            <w:r w:rsidRPr="00436F6E">
              <w:rPr>
                <w:b/>
                <w:bCs/>
                <w:color w:val="000000"/>
                <w:sz w:val="18"/>
                <w:szCs w:val="18"/>
              </w:rPr>
              <w:t>TOTAL (Lower and Upper Bounds are 90% CI via parametric bootstrapping)</w:t>
            </w:r>
          </w:p>
        </w:tc>
        <w:tc>
          <w:tcPr>
            <w:tcW w:w="812" w:type="pct"/>
            <w:gridSpan w:val="2"/>
            <w:noWrap/>
            <w:vAlign w:val="center"/>
            <w:hideMark/>
          </w:tcPr>
          <w:p w14:paraId="5261CDB6" w14:textId="6FA96463" w:rsidR="00154915" w:rsidRPr="00436F6E" w:rsidRDefault="00154915" w:rsidP="00154915">
            <w:pPr>
              <w:spacing w:line="276" w:lineRule="auto"/>
              <w:jc w:val="right"/>
              <w:rPr>
                <w:color w:val="000000"/>
                <w:sz w:val="18"/>
                <w:szCs w:val="18"/>
              </w:rPr>
            </w:pPr>
          </w:p>
        </w:tc>
        <w:tc>
          <w:tcPr>
            <w:tcW w:w="813" w:type="pct"/>
            <w:gridSpan w:val="2"/>
            <w:noWrap/>
            <w:vAlign w:val="center"/>
            <w:hideMark/>
          </w:tcPr>
          <w:p w14:paraId="0D1D925E" w14:textId="5515AE08" w:rsidR="00154915" w:rsidRPr="00154915" w:rsidRDefault="00154915" w:rsidP="00154915">
            <w:pPr>
              <w:spacing w:line="276" w:lineRule="auto"/>
              <w:jc w:val="right"/>
              <w:rPr>
                <w:b/>
                <w:bCs/>
                <w:color w:val="000000"/>
                <w:sz w:val="18"/>
                <w:szCs w:val="18"/>
              </w:rPr>
            </w:pPr>
            <w:r w:rsidRPr="00154915">
              <w:rPr>
                <w:b/>
                <w:bCs/>
                <w:color w:val="000000"/>
                <w:sz w:val="18"/>
                <w:szCs w:val="18"/>
              </w:rPr>
              <w:t>$3,718,598,000</w:t>
            </w:r>
          </w:p>
        </w:tc>
        <w:tc>
          <w:tcPr>
            <w:tcW w:w="791" w:type="pct"/>
            <w:gridSpan w:val="2"/>
            <w:noWrap/>
            <w:vAlign w:val="center"/>
            <w:hideMark/>
          </w:tcPr>
          <w:p w14:paraId="4284CC0E" w14:textId="263F8E4B" w:rsidR="00154915" w:rsidRPr="00154915" w:rsidRDefault="00154915" w:rsidP="00154915">
            <w:pPr>
              <w:spacing w:line="276" w:lineRule="auto"/>
              <w:jc w:val="right"/>
              <w:rPr>
                <w:b/>
                <w:bCs/>
                <w:color w:val="000000"/>
                <w:sz w:val="18"/>
                <w:szCs w:val="18"/>
              </w:rPr>
            </w:pPr>
            <w:r w:rsidRPr="00154915">
              <w:rPr>
                <w:b/>
                <w:bCs/>
                <w:color w:val="000000"/>
                <w:sz w:val="18"/>
                <w:szCs w:val="18"/>
              </w:rPr>
              <w:t>$4,728,984,000</w:t>
            </w:r>
          </w:p>
        </w:tc>
      </w:tr>
      <w:tr w:rsidR="00154915" w:rsidRPr="00436F6E" w14:paraId="79ADE344" w14:textId="77777777" w:rsidTr="00154915">
        <w:trPr>
          <w:trHeight w:val="227"/>
        </w:trPr>
        <w:tc>
          <w:tcPr>
            <w:tcW w:w="2584" w:type="pct"/>
            <w:gridSpan w:val="3"/>
            <w:noWrap/>
            <w:vAlign w:val="center"/>
            <w:hideMark/>
          </w:tcPr>
          <w:p w14:paraId="22F40E8B" w14:textId="77777777" w:rsidR="00154915" w:rsidRPr="00436F6E" w:rsidRDefault="00154915" w:rsidP="00154915">
            <w:pPr>
              <w:spacing w:line="360" w:lineRule="auto"/>
              <w:rPr>
                <w:b/>
                <w:bCs/>
                <w:color w:val="000000"/>
                <w:sz w:val="18"/>
                <w:szCs w:val="18"/>
              </w:rPr>
            </w:pPr>
            <w:r w:rsidRPr="00436F6E">
              <w:rPr>
                <w:b/>
                <w:bCs/>
                <w:color w:val="000000"/>
                <w:sz w:val="18"/>
                <w:szCs w:val="18"/>
              </w:rPr>
              <w:t>TOTAL (Lower and Upper Bounds are 95% CI via parametric bootstrapping)</w:t>
            </w:r>
          </w:p>
        </w:tc>
        <w:tc>
          <w:tcPr>
            <w:tcW w:w="812" w:type="pct"/>
            <w:gridSpan w:val="2"/>
            <w:noWrap/>
            <w:vAlign w:val="center"/>
            <w:hideMark/>
          </w:tcPr>
          <w:p w14:paraId="07DEB940" w14:textId="6871F749" w:rsidR="00154915" w:rsidRPr="00436F6E" w:rsidRDefault="00154915" w:rsidP="00154915">
            <w:pPr>
              <w:spacing w:line="276" w:lineRule="auto"/>
              <w:jc w:val="right"/>
              <w:rPr>
                <w:b/>
                <w:bCs/>
                <w:color w:val="000000"/>
                <w:sz w:val="18"/>
                <w:szCs w:val="18"/>
              </w:rPr>
            </w:pPr>
          </w:p>
        </w:tc>
        <w:tc>
          <w:tcPr>
            <w:tcW w:w="813" w:type="pct"/>
            <w:gridSpan w:val="2"/>
            <w:noWrap/>
            <w:vAlign w:val="center"/>
            <w:hideMark/>
          </w:tcPr>
          <w:p w14:paraId="06757C0F" w14:textId="6A16EC42" w:rsidR="00154915" w:rsidRPr="00154915" w:rsidRDefault="00154915" w:rsidP="00154915">
            <w:pPr>
              <w:spacing w:line="276" w:lineRule="auto"/>
              <w:jc w:val="right"/>
              <w:rPr>
                <w:b/>
                <w:bCs/>
                <w:color w:val="000000"/>
                <w:sz w:val="18"/>
                <w:szCs w:val="18"/>
              </w:rPr>
            </w:pPr>
            <w:r w:rsidRPr="00154915">
              <w:rPr>
                <w:b/>
                <w:bCs/>
                <w:color w:val="000000"/>
                <w:sz w:val="18"/>
                <w:szCs w:val="18"/>
              </w:rPr>
              <w:t>$3,656,907,000</w:t>
            </w:r>
          </w:p>
        </w:tc>
        <w:tc>
          <w:tcPr>
            <w:tcW w:w="791" w:type="pct"/>
            <w:gridSpan w:val="2"/>
            <w:noWrap/>
            <w:vAlign w:val="center"/>
            <w:hideMark/>
          </w:tcPr>
          <w:p w14:paraId="6424FA94" w14:textId="24105B0A" w:rsidR="00154915" w:rsidRPr="00154915" w:rsidRDefault="00154915" w:rsidP="00154915">
            <w:pPr>
              <w:spacing w:line="276" w:lineRule="auto"/>
              <w:jc w:val="right"/>
              <w:rPr>
                <w:b/>
                <w:bCs/>
                <w:color w:val="000000"/>
                <w:sz w:val="18"/>
                <w:szCs w:val="18"/>
              </w:rPr>
            </w:pPr>
            <w:r w:rsidRPr="00154915">
              <w:rPr>
                <w:b/>
                <w:bCs/>
                <w:color w:val="000000"/>
                <w:sz w:val="18"/>
                <w:szCs w:val="18"/>
              </w:rPr>
              <w:t>$4,803,654,000</w:t>
            </w:r>
          </w:p>
        </w:tc>
      </w:tr>
      <w:tr w:rsidR="006806DD" w:rsidRPr="00436F6E" w14:paraId="4AC74C21" w14:textId="77777777" w:rsidTr="006806DD">
        <w:trPr>
          <w:trHeight w:val="227"/>
        </w:trPr>
        <w:tc>
          <w:tcPr>
            <w:tcW w:w="5000" w:type="pct"/>
            <w:gridSpan w:val="9"/>
            <w:noWrap/>
            <w:vAlign w:val="center"/>
          </w:tcPr>
          <w:p w14:paraId="00835E5A" w14:textId="374715E4" w:rsidR="006806DD" w:rsidRPr="006806DD" w:rsidRDefault="006806DD" w:rsidP="006806DD">
            <w:pPr>
              <w:spacing w:line="276" w:lineRule="auto"/>
              <w:rPr>
                <w:i/>
                <w:iCs/>
                <w:color w:val="000000"/>
                <w:sz w:val="18"/>
                <w:szCs w:val="18"/>
              </w:rPr>
            </w:pPr>
            <w:r w:rsidRPr="006806DD">
              <w:rPr>
                <w:i/>
                <w:iCs/>
                <w:color w:val="000000"/>
                <w:sz w:val="18"/>
                <w:szCs w:val="18"/>
              </w:rPr>
              <w:t>Note: The Lower and Upper Bounds for individual items are based on alternative calculation methods</w:t>
            </w:r>
            <w:r>
              <w:rPr>
                <w:i/>
                <w:iCs/>
                <w:color w:val="000000"/>
                <w:sz w:val="18"/>
                <w:szCs w:val="18"/>
              </w:rPr>
              <w:t xml:space="preserve"> and assumptions</w:t>
            </w:r>
            <w:r w:rsidRPr="006806DD">
              <w:rPr>
                <w:i/>
                <w:iCs/>
                <w:color w:val="000000"/>
                <w:sz w:val="18"/>
                <w:szCs w:val="18"/>
              </w:rPr>
              <w:t xml:space="preserve"> as detailed in Chapter 6</w:t>
            </w:r>
            <w:r>
              <w:rPr>
                <w:i/>
                <w:iCs/>
                <w:color w:val="000000"/>
                <w:sz w:val="18"/>
                <w:szCs w:val="18"/>
              </w:rPr>
              <w:t xml:space="preserve"> onwards</w:t>
            </w:r>
            <w:r w:rsidRPr="006806DD">
              <w:rPr>
                <w:i/>
                <w:iCs/>
                <w:color w:val="000000"/>
                <w:sz w:val="18"/>
                <w:szCs w:val="18"/>
              </w:rPr>
              <w:t>. The bounds for the TOTAL lines</w:t>
            </w:r>
            <w:r>
              <w:rPr>
                <w:i/>
                <w:iCs/>
                <w:color w:val="000000"/>
                <w:sz w:val="18"/>
                <w:szCs w:val="18"/>
              </w:rPr>
              <w:t xml:space="preserve"> </w:t>
            </w:r>
            <w:r w:rsidRPr="006806DD">
              <w:rPr>
                <w:i/>
                <w:iCs/>
                <w:color w:val="000000"/>
                <w:sz w:val="18"/>
                <w:szCs w:val="18"/>
              </w:rPr>
              <w:t>are 90% and 95% confidence intervals derived from parametric bootstrapping.</w:t>
            </w:r>
          </w:p>
        </w:tc>
      </w:tr>
    </w:tbl>
    <w:p w14:paraId="3DDFDC09" w14:textId="1C951FD1" w:rsidR="00DB689D" w:rsidRDefault="00DB689D" w:rsidP="00C30E1A">
      <w:pPr>
        <w:pStyle w:val="Heading3"/>
        <w:numPr>
          <w:ilvl w:val="0"/>
          <w:numId w:val="0"/>
        </w:numPr>
        <w:ind w:left="720"/>
        <w:sectPr w:rsidR="00DB689D">
          <w:pgSz w:w="16838" w:h="11906" w:orient="landscape"/>
          <w:pgMar w:top="1440" w:right="1440" w:bottom="1440" w:left="1440" w:header="720" w:footer="720" w:gutter="0"/>
          <w:cols w:space="720"/>
        </w:sectPr>
      </w:pPr>
    </w:p>
    <w:p w14:paraId="50092434" w14:textId="3CE0683E" w:rsidR="00DB689D" w:rsidRDefault="00310A10" w:rsidP="00C30E1A">
      <w:pPr>
        <w:pStyle w:val="Heading3"/>
      </w:pPr>
      <w:bookmarkStart w:id="379" w:name="_f1puw1prik0t" w:colFirst="0" w:colLast="0"/>
      <w:bookmarkStart w:id="380" w:name="_Toc201572447"/>
      <w:bookmarkStart w:id="381" w:name="_Toc207195966"/>
      <w:bookmarkEnd w:id="379"/>
      <w:r>
        <w:t>Cost categories by bearer of cost (</w:t>
      </w:r>
      <w:r w:rsidR="006F1A3E">
        <w:t>p</w:t>
      </w:r>
      <w:r>
        <w:t xml:space="preserve">eople who gamble, </w:t>
      </w:r>
      <w:r w:rsidR="006F1A3E">
        <w:t>a</w:t>
      </w:r>
      <w:r>
        <w:t xml:space="preserve">ffected </w:t>
      </w:r>
      <w:r w:rsidR="006F1A3E">
        <w:t>o</w:t>
      </w:r>
      <w:r>
        <w:t xml:space="preserve">thers, </w:t>
      </w:r>
      <w:r w:rsidR="006F1A3E">
        <w:t>c</w:t>
      </w:r>
      <w:r>
        <w:t>ommunity)</w:t>
      </w:r>
      <w:bookmarkEnd w:id="380"/>
      <w:bookmarkEnd w:id="381"/>
    </w:p>
    <w:p w14:paraId="09BEBE0E" w14:textId="081934F6" w:rsidR="00DB689D" w:rsidRDefault="00310A10" w:rsidP="00367A8D">
      <w:pPr>
        <w:spacing w:before="240" w:after="240" w:line="360" w:lineRule="auto"/>
      </w:pPr>
      <w:r>
        <w:t>When examining the distribution of gambling harm costs, distinct patterns emerge regarding who bears the financial burden</w:t>
      </w:r>
      <w:r w:rsidR="003A7A08">
        <w:t xml:space="preserve"> (Table </w:t>
      </w:r>
      <w:r w:rsidR="00757932">
        <w:t>8</w:t>
      </w:r>
      <w:r w:rsidR="003A7A08">
        <w:t>)</w:t>
      </w:r>
      <w:r>
        <w:t xml:space="preserve">. Overall, individuals who gamble account for the largest portion of the total cost, representing </w:t>
      </w:r>
      <w:r w:rsidR="00C15A16">
        <w:t>43.5</w:t>
      </w:r>
      <w:r>
        <w:t>%. Affected others, such as family and friends, bear a significant, though slightly smaller, proportion at 33.</w:t>
      </w:r>
      <w:r w:rsidR="00C15A16">
        <w:t>8</w:t>
      </w:r>
      <w:r>
        <w:t xml:space="preserve">%. Note that costs associated with the impacts to affected others are likely underestimated due to lack of data. The remaining </w:t>
      </w:r>
      <w:r w:rsidR="00C15A16">
        <w:t>22.7</w:t>
      </w:r>
      <w:r>
        <w:t xml:space="preserve">% of costs are borne by the wider community, businesses, and government entities. </w:t>
      </w:r>
    </w:p>
    <w:p w14:paraId="758DC66C" w14:textId="77777777" w:rsidR="00DB689D" w:rsidRDefault="00310A10" w:rsidP="00367A8D">
      <w:pPr>
        <w:spacing w:before="240" w:after="240" w:line="360" w:lineRule="auto"/>
      </w:pPr>
      <w:r>
        <w:t>A closer look at the specific harm categories reveals further differentiation:</w:t>
      </w:r>
    </w:p>
    <w:p w14:paraId="5B0204EF" w14:textId="4A1170F2" w:rsidR="00DB689D" w:rsidRDefault="00310A10" w:rsidP="00367A8D">
      <w:pPr>
        <w:numPr>
          <w:ilvl w:val="0"/>
          <w:numId w:val="9"/>
        </w:numPr>
        <w:spacing w:before="240" w:line="360" w:lineRule="auto"/>
      </w:pPr>
      <w:r w:rsidRPr="00E95101">
        <w:rPr>
          <w:bCs/>
        </w:rPr>
        <w:t>Financial impacts</w:t>
      </w:r>
      <w:r>
        <w:t xml:space="preserve"> are predominantly shouldered by the person who gambles, who bears approximately $823.0 million in costs, compared to $369.2 million for affected others</w:t>
      </w:r>
      <w:r>
        <w:rPr>
          <w:vertAlign w:val="superscript"/>
        </w:rPr>
        <w:footnoteReference w:id="3"/>
      </w:r>
      <w:r>
        <w:t xml:space="preserve"> and $</w:t>
      </w:r>
      <w:r w:rsidR="00946BFF">
        <w:t>1.1</w:t>
      </w:r>
      <w:r>
        <w:t xml:space="preserve"> million for Community, Business, and Government. </w:t>
      </w:r>
    </w:p>
    <w:p w14:paraId="77842DA5" w14:textId="0433D777" w:rsidR="00DB689D" w:rsidRDefault="00310A10" w:rsidP="00367A8D">
      <w:pPr>
        <w:numPr>
          <w:ilvl w:val="0"/>
          <w:numId w:val="9"/>
        </w:numPr>
        <w:spacing w:line="360" w:lineRule="auto"/>
      </w:pPr>
      <w:r>
        <w:t xml:space="preserve">Conversely, costs arising from </w:t>
      </w:r>
      <w:r w:rsidRPr="00E95101">
        <w:rPr>
          <w:bCs/>
        </w:rPr>
        <w:t>relationship disruption, conflict, or breakdown</w:t>
      </w:r>
      <w:r>
        <w:t xml:space="preserve"> fall more heavily on </w:t>
      </w:r>
      <w:r w:rsidR="00134B05">
        <w:t>a</w:t>
      </w:r>
      <w:r>
        <w:t xml:space="preserve">ffected </w:t>
      </w:r>
      <w:r w:rsidR="00134B05">
        <w:t>o</w:t>
      </w:r>
      <w:r>
        <w:t xml:space="preserve">thers, who account for $116.1 million, while people who gamble bear $69.1 million of these costs. </w:t>
      </w:r>
    </w:p>
    <w:p w14:paraId="24D81791" w14:textId="77777777" w:rsidR="00DB689D" w:rsidRDefault="00310A10" w:rsidP="00367A8D">
      <w:pPr>
        <w:numPr>
          <w:ilvl w:val="0"/>
          <w:numId w:val="9"/>
        </w:numPr>
        <w:spacing w:line="360" w:lineRule="auto"/>
      </w:pPr>
      <w:r w:rsidRPr="00E95101">
        <w:rPr>
          <w:bCs/>
        </w:rPr>
        <w:t>Health-related costs</w:t>
      </w:r>
      <w:r>
        <w:t xml:space="preserve"> show a relatively even distribution between people who gamble ($905.3 million) and affected others ($940.4 million). Community, Business, and Government also carry a notable portion of health costs, amounting to $197.6 million. </w:t>
      </w:r>
    </w:p>
    <w:p w14:paraId="110CDC7C" w14:textId="77777777" w:rsidR="00DB689D" w:rsidRDefault="00310A10" w:rsidP="00367A8D">
      <w:pPr>
        <w:numPr>
          <w:ilvl w:val="0"/>
          <w:numId w:val="9"/>
        </w:numPr>
        <w:spacing w:line="360" w:lineRule="auto"/>
      </w:pPr>
      <w:r>
        <w:t xml:space="preserve">The costs associated with </w:t>
      </w:r>
      <w:r w:rsidRPr="00E95101">
        <w:rPr>
          <w:bCs/>
        </w:rPr>
        <w:t>work or study impacts</w:t>
      </w:r>
      <w:r>
        <w:t xml:space="preserve"> are overwhelmingly borne by Community, Business, and Government, totalling $638.9 million. In comparison, the cost to the person who gambles in this category is substantially lower at $39.9 million. </w:t>
      </w:r>
    </w:p>
    <w:p w14:paraId="35734D7A" w14:textId="77777777" w:rsidR="00DB689D" w:rsidRDefault="00310A10" w:rsidP="00367A8D">
      <w:pPr>
        <w:numPr>
          <w:ilvl w:val="0"/>
          <w:numId w:val="9"/>
        </w:numPr>
        <w:spacing w:after="240" w:line="360" w:lineRule="auto"/>
      </w:pPr>
      <w:r>
        <w:t xml:space="preserve">Costs related to </w:t>
      </w:r>
      <w:r w:rsidRPr="00E95101">
        <w:rPr>
          <w:bCs/>
        </w:rPr>
        <w:t>criminal activity, life course harm</w:t>
      </w:r>
      <w:r>
        <w:t xml:space="preserve"> (specifically homelessness services in this analysis), and </w:t>
      </w:r>
      <w:r w:rsidRPr="00E95101">
        <w:rPr>
          <w:bCs/>
        </w:rPr>
        <w:t>other government or community costs</w:t>
      </w:r>
      <w:r>
        <w:t xml:space="preserve"> are entirely attributed to Community, Business, and Government.</w:t>
      </w:r>
    </w:p>
    <w:p w14:paraId="236FFF4A" w14:textId="77777777" w:rsidR="00DB689D" w:rsidRDefault="00DB689D" w:rsidP="00367A8D">
      <w:pPr>
        <w:spacing w:line="360" w:lineRule="auto"/>
      </w:pPr>
    </w:p>
    <w:p w14:paraId="24D23061" w14:textId="237D5522" w:rsidR="003A7A08" w:rsidRPr="00DD0432" w:rsidRDefault="003A7A08" w:rsidP="00DB094D">
      <w:pPr>
        <w:pStyle w:val="Caption"/>
      </w:pPr>
      <w:bookmarkStart w:id="382" w:name="_y5hd1nnijwmf" w:colFirst="0" w:colLast="0"/>
      <w:bookmarkStart w:id="383" w:name="_Toc207619050"/>
      <w:bookmarkEnd w:id="382"/>
      <w:r w:rsidRPr="00DD0432">
        <w:t xml:space="preserve">Table </w:t>
      </w:r>
      <w:r w:rsidRPr="00DD0432">
        <w:fldChar w:fldCharType="begin"/>
      </w:r>
      <w:r w:rsidRPr="00DD0432">
        <w:instrText xml:space="preserve"> SEQ Table \* ARABIC </w:instrText>
      </w:r>
      <w:r w:rsidRPr="00DD0432">
        <w:fldChar w:fldCharType="separate"/>
      </w:r>
      <w:r w:rsidR="00986A0D">
        <w:rPr>
          <w:noProof/>
        </w:rPr>
        <w:t>8</w:t>
      </w:r>
      <w:r w:rsidRPr="00DD0432">
        <w:fldChar w:fldCharType="end"/>
      </w:r>
      <w:r w:rsidRPr="00DD0432">
        <w:t>. Cost of gambling problems to New Zealand (2023-24) by bearer of cost</w:t>
      </w:r>
      <w:bookmarkEnd w:id="383"/>
    </w:p>
    <w:tbl>
      <w:tblPr>
        <w:tblStyle w:val="TableGridLight"/>
        <w:tblW w:w="9493" w:type="dxa"/>
        <w:tblLook w:val="04A0" w:firstRow="1" w:lastRow="0" w:firstColumn="1" w:lastColumn="0" w:noHBand="0" w:noVBand="1"/>
      </w:tblPr>
      <w:tblGrid>
        <w:gridCol w:w="3823"/>
        <w:gridCol w:w="1842"/>
        <w:gridCol w:w="1701"/>
        <w:gridCol w:w="2127"/>
      </w:tblGrid>
      <w:tr w:rsidR="00946BFF" w:rsidRPr="00DD0432" w14:paraId="1D613FDB" w14:textId="77777777" w:rsidTr="00BB3C33">
        <w:trPr>
          <w:trHeight w:val="397"/>
        </w:trPr>
        <w:tc>
          <w:tcPr>
            <w:tcW w:w="3823" w:type="dxa"/>
            <w:shd w:val="clear" w:color="auto" w:fill="F2F2F2" w:themeFill="background1" w:themeFillShade="F2"/>
            <w:noWrap/>
            <w:hideMark/>
          </w:tcPr>
          <w:p w14:paraId="2E96CA50" w14:textId="77777777" w:rsidR="003A7A08" w:rsidRPr="00F96B68" w:rsidRDefault="003A7A08">
            <w:pPr>
              <w:spacing w:line="276" w:lineRule="auto"/>
              <w:rPr>
                <w:sz w:val="20"/>
                <w:szCs w:val="20"/>
              </w:rPr>
            </w:pPr>
          </w:p>
        </w:tc>
        <w:tc>
          <w:tcPr>
            <w:tcW w:w="1842" w:type="dxa"/>
            <w:shd w:val="clear" w:color="auto" w:fill="F2F2F2" w:themeFill="background1" w:themeFillShade="F2"/>
            <w:vAlign w:val="center"/>
            <w:hideMark/>
          </w:tcPr>
          <w:p w14:paraId="69DC2711" w14:textId="77777777" w:rsidR="003A7A08" w:rsidRPr="00F96B68" w:rsidRDefault="003A7A08">
            <w:pPr>
              <w:spacing w:line="276" w:lineRule="auto"/>
              <w:jc w:val="center"/>
              <w:rPr>
                <w:b/>
                <w:bCs/>
                <w:color w:val="000000"/>
                <w:sz w:val="20"/>
                <w:szCs w:val="20"/>
              </w:rPr>
            </w:pPr>
            <w:r w:rsidRPr="00F96B68">
              <w:rPr>
                <w:b/>
                <w:bCs/>
                <w:color w:val="000000"/>
                <w:sz w:val="20"/>
                <w:szCs w:val="20"/>
              </w:rPr>
              <w:t>Person who gambles</w:t>
            </w:r>
          </w:p>
        </w:tc>
        <w:tc>
          <w:tcPr>
            <w:tcW w:w="1701" w:type="dxa"/>
            <w:shd w:val="clear" w:color="auto" w:fill="F2F2F2" w:themeFill="background1" w:themeFillShade="F2"/>
            <w:vAlign w:val="center"/>
            <w:hideMark/>
          </w:tcPr>
          <w:p w14:paraId="3DD3A65F" w14:textId="05385C6F" w:rsidR="003A7A08" w:rsidRPr="00F96B68" w:rsidRDefault="003A7A08">
            <w:pPr>
              <w:spacing w:line="276" w:lineRule="auto"/>
              <w:jc w:val="center"/>
              <w:rPr>
                <w:b/>
                <w:bCs/>
                <w:color w:val="000000"/>
                <w:sz w:val="20"/>
                <w:szCs w:val="20"/>
              </w:rPr>
            </w:pPr>
            <w:r w:rsidRPr="00F96B68">
              <w:rPr>
                <w:b/>
                <w:bCs/>
                <w:color w:val="000000"/>
                <w:sz w:val="20"/>
                <w:szCs w:val="20"/>
              </w:rPr>
              <w:t>Affected Others</w:t>
            </w:r>
          </w:p>
        </w:tc>
        <w:tc>
          <w:tcPr>
            <w:tcW w:w="2127" w:type="dxa"/>
            <w:shd w:val="clear" w:color="auto" w:fill="F2F2F2" w:themeFill="background1" w:themeFillShade="F2"/>
            <w:vAlign w:val="center"/>
            <w:hideMark/>
          </w:tcPr>
          <w:p w14:paraId="7BA25344" w14:textId="77777777" w:rsidR="003A7A08" w:rsidRPr="00F96B68" w:rsidRDefault="003A7A08">
            <w:pPr>
              <w:spacing w:line="276" w:lineRule="auto"/>
              <w:jc w:val="center"/>
              <w:rPr>
                <w:b/>
                <w:bCs/>
                <w:color w:val="000000"/>
                <w:sz w:val="20"/>
                <w:szCs w:val="20"/>
              </w:rPr>
            </w:pPr>
            <w:r w:rsidRPr="00F96B68">
              <w:rPr>
                <w:b/>
                <w:bCs/>
                <w:color w:val="000000"/>
                <w:sz w:val="20"/>
                <w:szCs w:val="20"/>
              </w:rPr>
              <w:t>Community, Business, Government</w:t>
            </w:r>
          </w:p>
        </w:tc>
      </w:tr>
      <w:tr w:rsidR="00946BFF" w:rsidRPr="00DD0432" w14:paraId="6C7ED1D1" w14:textId="77777777" w:rsidTr="00BB3C33">
        <w:trPr>
          <w:trHeight w:val="397"/>
        </w:trPr>
        <w:tc>
          <w:tcPr>
            <w:tcW w:w="3823" w:type="dxa"/>
            <w:vAlign w:val="center"/>
            <w:hideMark/>
          </w:tcPr>
          <w:p w14:paraId="36DB7A78" w14:textId="77777777" w:rsidR="003A7A08" w:rsidRPr="00F96B68" w:rsidRDefault="003A7A08">
            <w:pPr>
              <w:spacing w:line="276" w:lineRule="auto"/>
              <w:rPr>
                <w:b/>
                <w:bCs/>
                <w:color w:val="000000"/>
                <w:sz w:val="20"/>
                <w:szCs w:val="20"/>
              </w:rPr>
            </w:pPr>
            <w:r w:rsidRPr="00F96B68">
              <w:rPr>
                <w:b/>
                <w:bCs/>
                <w:color w:val="000000"/>
                <w:sz w:val="20"/>
                <w:szCs w:val="20"/>
              </w:rPr>
              <w:t>Harm Category</w:t>
            </w:r>
          </w:p>
        </w:tc>
        <w:tc>
          <w:tcPr>
            <w:tcW w:w="1842" w:type="dxa"/>
            <w:vAlign w:val="center"/>
            <w:hideMark/>
          </w:tcPr>
          <w:p w14:paraId="1CF61321" w14:textId="77777777" w:rsidR="003A7A08" w:rsidRPr="00F96B68" w:rsidRDefault="003A7A08">
            <w:pPr>
              <w:spacing w:line="276" w:lineRule="auto"/>
              <w:jc w:val="center"/>
              <w:rPr>
                <w:b/>
                <w:bCs/>
                <w:color w:val="000000"/>
                <w:sz w:val="20"/>
                <w:szCs w:val="20"/>
              </w:rPr>
            </w:pPr>
          </w:p>
        </w:tc>
        <w:tc>
          <w:tcPr>
            <w:tcW w:w="1701" w:type="dxa"/>
            <w:vAlign w:val="center"/>
            <w:hideMark/>
          </w:tcPr>
          <w:p w14:paraId="2748A20C" w14:textId="77777777" w:rsidR="003A7A08" w:rsidRPr="00F96B68" w:rsidRDefault="003A7A08">
            <w:pPr>
              <w:spacing w:line="276" w:lineRule="auto"/>
              <w:jc w:val="center"/>
              <w:rPr>
                <w:b/>
                <w:bCs/>
                <w:color w:val="000000"/>
                <w:sz w:val="20"/>
                <w:szCs w:val="20"/>
              </w:rPr>
            </w:pPr>
          </w:p>
        </w:tc>
        <w:tc>
          <w:tcPr>
            <w:tcW w:w="2127" w:type="dxa"/>
            <w:vAlign w:val="center"/>
            <w:hideMark/>
          </w:tcPr>
          <w:p w14:paraId="287D5DA9" w14:textId="77777777" w:rsidR="003A7A08" w:rsidRPr="00F96B68" w:rsidRDefault="003A7A08">
            <w:pPr>
              <w:spacing w:line="276" w:lineRule="auto"/>
              <w:jc w:val="center"/>
              <w:rPr>
                <w:b/>
                <w:bCs/>
                <w:color w:val="000000"/>
                <w:sz w:val="20"/>
                <w:szCs w:val="20"/>
              </w:rPr>
            </w:pPr>
          </w:p>
        </w:tc>
      </w:tr>
      <w:tr w:rsidR="00946BFF" w:rsidRPr="00DD0432" w14:paraId="325EF606" w14:textId="77777777" w:rsidTr="00BB3C33">
        <w:trPr>
          <w:trHeight w:val="397"/>
        </w:trPr>
        <w:tc>
          <w:tcPr>
            <w:tcW w:w="3823" w:type="dxa"/>
            <w:noWrap/>
            <w:vAlign w:val="center"/>
            <w:hideMark/>
          </w:tcPr>
          <w:p w14:paraId="58442C52" w14:textId="77777777" w:rsidR="00946BFF" w:rsidRPr="00F96B68" w:rsidRDefault="00946BFF" w:rsidP="00946BFF">
            <w:pPr>
              <w:spacing w:line="276" w:lineRule="auto"/>
              <w:rPr>
                <w:color w:val="000000"/>
                <w:sz w:val="20"/>
                <w:szCs w:val="20"/>
              </w:rPr>
            </w:pPr>
            <w:r w:rsidRPr="00F96B68">
              <w:rPr>
                <w:color w:val="000000"/>
                <w:sz w:val="20"/>
                <w:szCs w:val="20"/>
              </w:rPr>
              <w:t>Financial impacts</w:t>
            </w:r>
          </w:p>
        </w:tc>
        <w:tc>
          <w:tcPr>
            <w:tcW w:w="1842" w:type="dxa"/>
            <w:noWrap/>
            <w:vAlign w:val="center"/>
            <w:hideMark/>
          </w:tcPr>
          <w:p w14:paraId="4A65271F" w14:textId="77777777" w:rsidR="00946BFF" w:rsidRPr="00F96B68" w:rsidRDefault="00946BFF" w:rsidP="00946BFF">
            <w:pPr>
              <w:spacing w:line="276" w:lineRule="auto"/>
              <w:jc w:val="right"/>
              <w:rPr>
                <w:color w:val="000000"/>
                <w:sz w:val="20"/>
                <w:szCs w:val="20"/>
              </w:rPr>
            </w:pPr>
            <w:r w:rsidRPr="00F96B68">
              <w:rPr>
                <w:color w:val="000000"/>
                <w:sz w:val="20"/>
                <w:szCs w:val="20"/>
              </w:rPr>
              <w:t>$822,960,693</w:t>
            </w:r>
          </w:p>
        </w:tc>
        <w:tc>
          <w:tcPr>
            <w:tcW w:w="1701" w:type="dxa"/>
            <w:noWrap/>
            <w:vAlign w:val="center"/>
            <w:hideMark/>
          </w:tcPr>
          <w:p w14:paraId="259AA83B" w14:textId="77777777" w:rsidR="00946BFF" w:rsidRPr="00F96B68" w:rsidRDefault="00946BFF" w:rsidP="00946BFF">
            <w:pPr>
              <w:spacing w:line="276" w:lineRule="auto"/>
              <w:jc w:val="right"/>
              <w:rPr>
                <w:color w:val="000000"/>
                <w:sz w:val="20"/>
                <w:szCs w:val="20"/>
              </w:rPr>
            </w:pPr>
            <w:r w:rsidRPr="00F96B68">
              <w:rPr>
                <w:color w:val="000000"/>
                <w:sz w:val="20"/>
                <w:szCs w:val="20"/>
              </w:rPr>
              <w:t>$369,180,167</w:t>
            </w:r>
          </w:p>
        </w:tc>
        <w:tc>
          <w:tcPr>
            <w:tcW w:w="2127" w:type="dxa"/>
            <w:noWrap/>
            <w:vAlign w:val="center"/>
            <w:hideMark/>
          </w:tcPr>
          <w:p w14:paraId="39349C5A" w14:textId="0BD5265C" w:rsidR="00946BFF" w:rsidRPr="00F96B68" w:rsidRDefault="00946BFF" w:rsidP="00946BFF">
            <w:pPr>
              <w:spacing w:line="276" w:lineRule="auto"/>
              <w:jc w:val="right"/>
              <w:rPr>
                <w:color w:val="000000"/>
                <w:sz w:val="20"/>
                <w:szCs w:val="20"/>
              </w:rPr>
            </w:pPr>
            <w:r w:rsidRPr="00F96B68">
              <w:rPr>
                <w:color w:val="000000"/>
                <w:sz w:val="20"/>
                <w:szCs w:val="20"/>
              </w:rPr>
              <w:t>$1,067,794</w:t>
            </w:r>
          </w:p>
        </w:tc>
      </w:tr>
      <w:tr w:rsidR="00946BFF" w:rsidRPr="00DD0432" w14:paraId="0EA16CED" w14:textId="77777777" w:rsidTr="00BB3C33">
        <w:trPr>
          <w:trHeight w:val="397"/>
        </w:trPr>
        <w:tc>
          <w:tcPr>
            <w:tcW w:w="3823" w:type="dxa"/>
            <w:noWrap/>
            <w:vAlign w:val="center"/>
            <w:hideMark/>
          </w:tcPr>
          <w:p w14:paraId="0011090B" w14:textId="77777777" w:rsidR="00946BFF" w:rsidRPr="00F96B68" w:rsidRDefault="00946BFF" w:rsidP="00946BFF">
            <w:pPr>
              <w:spacing w:line="276" w:lineRule="auto"/>
              <w:rPr>
                <w:color w:val="000000"/>
                <w:sz w:val="20"/>
                <w:szCs w:val="20"/>
              </w:rPr>
            </w:pPr>
            <w:r w:rsidRPr="00F96B68">
              <w:rPr>
                <w:color w:val="000000"/>
                <w:sz w:val="20"/>
                <w:szCs w:val="20"/>
              </w:rPr>
              <w:t>Relationship disruption, conflict or breakdown</w:t>
            </w:r>
          </w:p>
        </w:tc>
        <w:tc>
          <w:tcPr>
            <w:tcW w:w="1842" w:type="dxa"/>
            <w:noWrap/>
            <w:vAlign w:val="center"/>
            <w:hideMark/>
          </w:tcPr>
          <w:p w14:paraId="28949BB4" w14:textId="77777777" w:rsidR="00946BFF" w:rsidRPr="00F96B68" w:rsidRDefault="00946BFF" w:rsidP="00946BFF">
            <w:pPr>
              <w:spacing w:line="276" w:lineRule="auto"/>
              <w:jc w:val="right"/>
              <w:rPr>
                <w:color w:val="000000"/>
                <w:sz w:val="20"/>
                <w:szCs w:val="20"/>
              </w:rPr>
            </w:pPr>
            <w:r w:rsidRPr="00F96B68">
              <w:rPr>
                <w:color w:val="000000"/>
                <w:sz w:val="20"/>
                <w:szCs w:val="20"/>
              </w:rPr>
              <w:t>$69,090,314</w:t>
            </w:r>
          </w:p>
        </w:tc>
        <w:tc>
          <w:tcPr>
            <w:tcW w:w="1701" w:type="dxa"/>
            <w:noWrap/>
            <w:vAlign w:val="center"/>
            <w:hideMark/>
          </w:tcPr>
          <w:p w14:paraId="6825FE6A" w14:textId="77777777" w:rsidR="00946BFF" w:rsidRPr="00F96B68" w:rsidRDefault="00946BFF" w:rsidP="00946BFF">
            <w:pPr>
              <w:spacing w:line="276" w:lineRule="auto"/>
              <w:jc w:val="right"/>
              <w:rPr>
                <w:color w:val="000000"/>
                <w:sz w:val="20"/>
                <w:szCs w:val="20"/>
              </w:rPr>
            </w:pPr>
            <w:r w:rsidRPr="00F96B68">
              <w:rPr>
                <w:color w:val="000000"/>
                <w:sz w:val="20"/>
                <w:szCs w:val="20"/>
              </w:rPr>
              <w:t>$116,134,883</w:t>
            </w:r>
          </w:p>
        </w:tc>
        <w:tc>
          <w:tcPr>
            <w:tcW w:w="2127" w:type="dxa"/>
            <w:noWrap/>
            <w:vAlign w:val="center"/>
            <w:hideMark/>
          </w:tcPr>
          <w:p w14:paraId="149E0E90" w14:textId="0B2D5757" w:rsidR="00946BFF" w:rsidRPr="00F96B68" w:rsidRDefault="00946BFF" w:rsidP="00946BFF">
            <w:pPr>
              <w:spacing w:line="276" w:lineRule="auto"/>
              <w:jc w:val="right"/>
              <w:rPr>
                <w:color w:val="000000"/>
                <w:sz w:val="20"/>
                <w:szCs w:val="20"/>
              </w:rPr>
            </w:pPr>
            <w:r w:rsidRPr="00F96B68">
              <w:rPr>
                <w:color w:val="000000"/>
                <w:sz w:val="20"/>
                <w:szCs w:val="20"/>
              </w:rPr>
              <w:t>- </w:t>
            </w:r>
          </w:p>
        </w:tc>
      </w:tr>
      <w:tr w:rsidR="00946BFF" w:rsidRPr="00DD0432" w14:paraId="139CEC1E" w14:textId="77777777" w:rsidTr="00BB3C33">
        <w:trPr>
          <w:trHeight w:val="397"/>
        </w:trPr>
        <w:tc>
          <w:tcPr>
            <w:tcW w:w="3823" w:type="dxa"/>
            <w:noWrap/>
            <w:vAlign w:val="center"/>
            <w:hideMark/>
          </w:tcPr>
          <w:p w14:paraId="61DC85EE" w14:textId="77777777" w:rsidR="00946BFF" w:rsidRPr="00F96B68" w:rsidRDefault="00946BFF" w:rsidP="00946BFF">
            <w:pPr>
              <w:spacing w:line="276" w:lineRule="auto"/>
              <w:rPr>
                <w:color w:val="000000"/>
                <w:sz w:val="20"/>
                <w:szCs w:val="20"/>
              </w:rPr>
            </w:pPr>
            <w:r w:rsidRPr="00F96B68">
              <w:rPr>
                <w:color w:val="000000"/>
                <w:sz w:val="20"/>
                <w:szCs w:val="20"/>
              </w:rPr>
              <w:t>Health</w:t>
            </w:r>
          </w:p>
        </w:tc>
        <w:tc>
          <w:tcPr>
            <w:tcW w:w="1842" w:type="dxa"/>
            <w:noWrap/>
            <w:vAlign w:val="center"/>
            <w:hideMark/>
          </w:tcPr>
          <w:p w14:paraId="640AE063" w14:textId="77777777" w:rsidR="00946BFF" w:rsidRPr="00F96B68" w:rsidRDefault="00946BFF" w:rsidP="00946BFF">
            <w:pPr>
              <w:spacing w:line="276" w:lineRule="auto"/>
              <w:jc w:val="right"/>
              <w:rPr>
                <w:color w:val="000000"/>
                <w:sz w:val="20"/>
                <w:szCs w:val="20"/>
              </w:rPr>
            </w:pPr>
            <w:r w:rsidRPr="00F96B68">
              <w:rPr>
                <w:color w:val="000000"/>
                <w:sz w:val="20"/>
                <w:szCs w:val="20"/>
              </w:rPr>
              <w:t>$905,287,148</w:t>
            </w:r>
          </w:p>
        </w:tc>
        <w:tc>
          <w:tcPr>
            <w:tcW w:w="1701" w:type="dxa"/>
            <w:noWrap/>
            <w:vAlign w:val="center"/>
            <w:hideMark/>
          </w:tcPr>
          <w:p w14:paraId="104F2982" w14:textId="77777777" w:rsidR="00946BFF" w:rsidRPr="00F96B68" w:rsidRDefault="00946BFF" w:rsidP="00946BFF">
            <w:pPr>
              <w:spacing w:line="276" w:lineRule="auto"/>
              <w:jc w:val="right"/>
              <w:rPr>
                <w:color w:val="000000"/>
                <w:sz w:val="20"/>
                <w:szCs w:val="20"/>
              </w:rPr>
            </w:pPr>
            <w:r w:rsidRPr="00F96B68">
              <w:rPr>
                <w:color w:val="000000"/>
                <w:sz w:val="20"/>
                <w:szCs w:val="20"/>
              </w:rPr>
              <w:t>$940,419,992</w:t>
            </w:r>
          </w:p>
        </w:tc>
        <w:tc>
          <w:tcPr>
            <w:tcW w:w="2127" w:type="dxa"/>
            <w:noWrap/>
            <w:vAlign w:val="center"/>
            <w:hideMark/>
          </w:tcPr>
          <w:p w14:paraId="47F81726" w14:textId="657C55C2" w:rsidR="00946BFF" w:rsidRPr="00F96B68" w:rsidRDefault="00946BFF" w:rsidP="00946BFF">
            <w:pPr>
              <w:spacing w:line="276" w:lineRule="auto"/>
              <w:jc w:val="right"/>
              <w:rPr>
                <w:color w:val="000000"/>
                <w:sz w:val="20"/>
                <w:szCs w:val="20"/>
              </w:rPr>
            </w:pPr>
            <w:r w:rsidRPr="00F96B68">
              <w:rPr>
                <w:color w:val="000000"/>
                <w:sz w:val="20"/>
                <w:szCs w:val="20"/>
              </w:rPr>
              <w:t>$197,637,666</w:t>
            </w:r>
          </w:p>
        </w:tc>
      </w:tr>
      <w:tr w:rsidR="00946BFF" w:rsidRPr="00DD0432" w14:paraId="0D4DBBEF" w14:textId="77777777" w:rsidTr="00BB3C33">
        <w:trPr>
          <w:trHeight w:val="397"/>
        </w:trPr>
        <w:tc>
          <w:tcPr>
            <w:tcW w:w="3823" w:type="dxa"/>
            <w:noWrap/>
            <w:vAlign w:val="center"/>
            <w:hideMark/>
          </w:tcPr>
          <w:p w14:paraId="061AF02D" w14:textId="77777777" w:rsidR="00946BFF" w:rsidRPr="00F96B68" w:rsidRDefault="00946BFF" w:rsidP="00946BFF">
            <w:pPr>
              <w:spacing w:line="276" w:lineRule="auto"/>
              <w:rPr>
                <w:color w:val="000000"/>
                <w:sz w:val="20"/>
                <w:szCs w:val="20"/>
              </w:rPr>
            </w:pPr>
            <w:r w:rsidRPr="00F96B68">
              <w:rPr>
                <w:color w:val="000000"/>
                <w:sz w:val="20"/>
                <w:szCs w:val="20"/>
              </w:rPr>
              <w:t>Work or study impacts</w:t>
            </w:r>
          </w:p>
        </w:tc>
        <w:tc>
          <w:tcPr>
            <w:tcW w:w="1842" w:type="dxa"/>
            <w:noWrap/>
            <w:vAlign w:val="center"/>
            <w:hideMark/>
          </w:tcPr>
          <w:p w14:paraId="527CA771" w14:textId="77777777" w:rsidR="00946BFF" w:rsidRPr="00F96B68" w:rsidRDefault="00946BFF" w:rsidP="00946BFF">
            <w:pPr>
              <w:spacing w:line="276" w:lineRule="auto"/>
              <w:jc w:val="right"/>
              <w:rPr>
                <w:color w:val="000000"/>
                <w:sz w:val="20"/>
                <w:szCs w:val="20"/>
              </w:rPr>
            </w:pPr>
            <w:r w:rsidRPr="00F96B68">
              <w:rPr>
                <w:color w:val="000000"/>
                <w:sz w:val="20"/>
                <w:szCs w:val="20"/>
              </w:rPr>
              <w:t>$39,899,274</w:t>
            </w:r>
          </w:p>
        </w:tc>
        <w:tc>
          <w:tcPr>
            <w:tcW w:w="1701" w:type="dxa"/>
            <w:noWrap/>
            <w:vAlign w:val="center"/>
            <w:hideMark/>
          </w:tcPr>
          <w:p w14:paraId="133083A1" w14:textId="77777777" w:rsidR="00946BFF" w:rsidRPr="00F96B68" w:rsidRDefault="00946BFF" w:rsidP="00946BFF">
            <w:pPr>
              <w:spacing w:line="276" w:lineRule="auto"/>
              <w:jc w:val="right"/>
              <w:rPr>
                <w:color w:val="000000"/>
                <w:sz w:val="20"/>
                <w:szCs w:val="20"/>
              </w:rPr>
            </w:pPr>
            <w:r w:rsidRPr="00F96B68">
              <w:rPr>
                <w:color w:val="000000"/>
                <w:sz w:val="20"/>
                <w:szCs w:val="20"/>
              </w:rPr>
              <w:t>-</w:t>
            </w:r>
          </w:p>
        </w:tc>
        <w:tc>
          <w:tcPr>
            <w:tcW w:w="2127" w:type="dxa"/>
            <w:noWrap/>
            <w:vAlign w:val="center"/>
            <w:hideMark/>
          </w:tcPr>
          <w:p w14:paraId="47366857" w14:textId="6DF2D34F" w:rsidR="00946BFF" w:rsidRPr="00F96B68" w:rsidRDefault="00946BFF" w:rsidP="00946BFF">
            <w:pPr>
              <w:spacing w:line="276" w:lineRule="auto"/>
              <w:jc w:val="right"/>
              <w:rPr>
                <w:color w:val="000000"/>
                <w:sz w:val="20"/>
                <w:szCs w:val="20"/>
              </w:rPr>
            </w:pPr>
            <w:r w:rsidRPr="00F96B68">
              <w:rPr>
                <w:color w:val="000000"/>
                <w:sz w:val="20"/>
                <w:szCs w:val="20"/>
              </w:rPr>
              <w:t>$638,929,727</w:t>
            </w:r>
          </w:p>
        </w:tc>
      </w:tr>
      <w:tr w:rsidR="00946BFF" w:rsidRPr="00DD0432" w14:paraId="57CF4EDA" w14:textId="77777777" w:rsidTr="00BB3C33">
        <w:trPr>
          <w:trHeight w:val="397"/>
        </w:trPr>
        <w:tc>
          <w:tcPr>
            <w:tcW w:w="3823" w:type="dxa"/>
            <w:noWrap/>
            <w:vAlign w:val="center"/>
            <w:hideMark/>
          </w:tcPr>
          <w:p w14:paraId="7A2F69A2" w14:textId="77777777" w:rsidR="00946BFF" w:rsidRPr="00F96B68" w:rsidRDefault="00946BFF" w:rsidP="00946BFF">
            <w:pPr>
              <w:spacing w:line="276" w:lineRule="auto"/>
              <w:rPr>
                <w:color w:val="000000"/>
                <w:sz w:val="20"/>
                <w:szCs w:val="20"/>
              </w:rPr>
            </w:pPr>
            <w:r w:rsidRPr="00F96B68">
              <w:rPr>
                <w:color w:val="000000"/>
                <w:sz w:val="20"/>
                <w:szCs w:val="20"/>
              </w:rPr>
              <w:t>Criminal Activity</w:t>
            </w:r>
          </w:p>
        </w:tc>
        <w:tc>
          <w:tcPr>
            <w:tcW w:w="1842" w:type="dxa"/>
            <w:noWrap/>
            <w:vAlign w:val="center"/>
            <w:hideMark/>
          </w:tcPr>
          <w:p w14:paraId="07F45355" w14:textId="77777777" w:rsidR="00946BFF" w:rsidRPr="00F96B68" w:rsidRDefault="00946BFF" w:rsidP="00946BFF">
            <w:pPr>
              <w:spacing w:line="276" w:lineRule="auto"/>
              <w:jc w:val="right"/>
              <w:rPr>
                <w:color w:val="000000"/>
                <w:sz w:val="20"/>
                <w:szCs w:val="20"/>
              </w:rPr>
            </w:pPr>
            <w:r w:rsidRPr="00F96B68">
              <w:rPr>
                <w:color w:val="000000"/>
                <w:sz w:val="20"/>
                <w:szCs w:val="20"/>
              </w:rPr>
              <w:t>-</w:t>
            </w:r>
          </w:p>
        </w:tc>
        <w:tc>
          <w:tcPr>
            <w:tcW w:w="1701" w:type="dxa"/>
            <w:noWrap/>
            <w:vAlign w:val="center"/>
            <w:hideMark/>
          </w:tcPr>
          <w:p w14:paraId="432D9183" w14:textId="77777777" w:rsidR="00946BFF" w:rsidRPr="00F96B68" w:rsidRDefault="00946BFF" w:rsidP="00946BFF">
            <w:pPr>
              <w:spacing w:line="276" w:lineRule="auto"/>
              <w:jc w:val="right"/>
              <w:rPr>
                <w:color w:val="000000"/>
                <w:sz w:val="20"/>
                <w:szCs w:val="20"/>
              </w:rPr>
            </w:pPr>
            <w:r w:rsidRPr="00F96B68">
              <w:rPr>
                <w:color w:val="000000"/>
                <w:sz w:val="20"/>
                <w:szCs w:val="20"/>
              </w:rPr>
              <w:t>-</w:t>
            </w:r>
          </w:p>
        </w:tc>
        <w:tc>
          <w:tcPr>
            <w:tcW w:w="2127" w:type="dxa"/>
            <w:noWrap/>
            <w:vAlign w:val="center"/>
            <w:hideMark/>
          </w:tcPr>
          <w:p w14:paraId="463419D1" w14:textId="17A163C1" w:rsidR="00946BFF" w:rsidRPr="00F96B68" w:rsidRDefault="00946BFF" w:rsidP="00946BFF">
            <w:pPr>
              <w:spacing w:line="276" w:lineRule="auto"/>
              <w:jc w:val="right"/>
              <w:rPr>
                <w:color w:val="000000"/>
                <w:sz w:val="20"/>
                <w:szCs w:val="20"/>
              </w:rPr>
            </w:pPr>
            <w:r w:rsidRPr="00F96B68">
              <w:rPr>
                <w:color w:val="000000"/>
                <w:sz w:val="20"/>
                <w:szCs w:val="20"/>
              </w:rPr>
              <w:t>$54,347,468</w:t>
            </w:r>
          </w:p>
        </w:tc>
      </w:tr>
      <w:tr w:rsidR="00946BFF" w:rsidRPr="00DD0432" w14:paraId="501BFCF1" w14:textId="77777777" w:rsidTr="00BB3C33">
        <w:trPr>
          <w:trHeight w:val="397"/>
        </w:trPr>
        <w:tc>
          <w:tcPr>
            <w:tcW w:w="3823" w:type="dxa"/>
            <w:vAlign w:val="center"/>
            <w:hideMark/>
          </w:tcPr>
          <w:p w14:paraId="4710D890" w14:textId="77777777" w:rsidR="00946BFF" w:rsidRPr="00F96B68" w:rsidRDefault="00946BFF" w:rsidP="00946BFF">
            <w:pPr>
              <w:spacing w:line="276" w:lineRule="auto"/>
              <w:rPr>
                <w:color w:val="000000"/>
                <w:sz w:val="20"/>
                <w:szCs w:val="20"/>
              </w:rPr>
            </w:pPr>
            <w:r w:rsidRPr="00F96B68">
              <w:rPr>
                <w:color w:val="000000"/>
                <w:sz w:val="20"/>
                <w:szCs w:val="20"/>
              </w:rPr>
              <w:t>Life course harm (homelessness services)</w:t>
            </w:r>
          </w:p>
        </w:tc>
        <w:tc>
          <w:tcPr>
            <w:tcW w:w="1842" w:type="dxa"/>
            <w:noWrap/>
            <w:vAlign w:val="center"/>
            <w:hideMark/>
          </w:tcPr>
          <w:p w14:paraId="6C50DE35" w14:textId="77777777" w:rsidR="00946BFF" w:rsidRPr="00F96B68" w:rsidRDefault="00946BFF" w:rsidP="00946BFF">
            <w:pPr>
              <w:spacing w:line="276" w:lineRule="auto"/>
              <w:jc w:val="right"/>
              <w:rPr>
                <w:color w:val="000000"/>
                <w:sz w:val="20"/>
                <w:szCs w:val="20"/>
              </w:rPr>
            </w:pPr>
            <w:r w:rsidRPr="00F96B68">
              <w:rPr>
                <w:color w:val="000000"/>
                <w:sz w:val="20"/>
                <w:szCs w:val="20"/>
              </w:rPr>
              <w:t>-</w:t>
            </w:r>
          </w:p>
        </w:tc>
        <w:tc>
          <w:tcPr>
            <w:tcW w:w="1701" w:type="dxa"/>
            <w:noWrap/>
            <w:vAlign w:val="center"/>
            <w:hideMark/>
          </w:tcPr>
          <w:p w14:paraId="7569858C" w14:textId="77777777" w:rsidR="00946BFF" w:rsidRPr="00F96B68" w:rsidRDefault="00946BFF" w:rsidP="00946BFF">
            <w:pPr>
              <w:spacing w:line="276" w:lineRule="auto"/>
              <w:jc w:val="right"/>
              <w:rPr>
                <w:color w:val="000000"/>
                <w:sz w:val="20"/>
                <w:szCs w:val="20"/>
              </w:rPr>
            </w:pPr>
            <w:r w:rsidRPr="00F96B68">
              <w:rPr>
                <w:color w:val="000000"/>
                <w:sz w:val="20"/>
                <w:szCs w:val="20"/>
              </w:rPr>
              <w:t>-</w:t>
            </w:r>
          </w:p>
        </w:tc>
        <w:tc>
          <w:tcPr>
            <w:tcW w:w="2127" w:type="dxa"/>
            <w:noWrap/>
            <w:vAlign w:val="center"/>
            <w:hideMark/>
          </w:tcPr>
          <w:p w14:paraId="6C353415" w14:textId="257CA5BA" w:rsidR="00946BFF" w:rsidRPr="00F96B68" w:rsidRDefault="00946BFF" w:rsidP="00946BFF">
            <w:pPr>
              <w:spacing w:line="276" w:lineRule="auto"/>
              <w:jc w:val="right"/>
              <w:rPr>
                <w:color w:val="000000"/>
                <w:sz w:val="20"/>
                <w:szCs w:val="20"/>
              </w:rPr>
            </w:pPr>
            <w:r w:rsidRPr="00F96B68">
              <w:rPr>
                <w:color w:val="000000"/>
                <w:sz w:val="20"/>
                <w:szCs w:val="20"/>
              </w:rPr>
              <w:t>$5,203,623</w:t>
            </w:r>
          </w:p>
        </w:tc>
      </w:tr>
      <w:tr w:rsidR="00946BFF" w:rsidRPr="00DD0432" w14:paraId="443B5EA8" w14:textId="77777777" w:rsidTr="00BB3C33">
        <w:trPr>
          <w:trHeight w:val="397"/>
        </w:trPr>
        <w:tc>
          <w:tcPr>
            <w:tcW w:w="3823" w:type="dxa"/>
            <w:noWrap/>
            <w:vAlign w:val="center"/>
            <w:hideMark/>
          </w:tcPr>
          <w:p w14:paraId="5CC3985E" w14:textId="77777777" w:rsidR="00946BFF" w:rsidRPr="00F96B68" w:rsidRDefault="00946BFF" w:rsidP="00946BFF">
            <w:pPr>
              <w:spacing w:line="276" w:lineRule="auto"/>
              <w:rPr>
                <w:color w:val="000000"/>
                <w:sz w:val="20"/>
                <w:szCs w:val="20"/>
              </w:rPr>
            </w:pPr>
            <w:r w:rsidRPr="00F96B68">
              <w:rPr>
                <w:color w:val="000000"/>
                <w:sz w:val="20"/>
                <w:szCs w:val="20"/>
              </w:rPr>
              <w:t>Other government or community costs</w:t>
            </w:r>
          </w:p>
        </w:tc>
        <w:tc>
          <w:tcPr>
            <w:tcW w:w="1842" w:type="dxa"/>
            <w:noWrap/>
            <w:vAlign w:val="center"/>
            <w:hideMark/>
          </w:tcPr>
          <w:p w14:paraId="56B940CA" w14:textId="77777777" w:rsidR="00946BFF" w:rsidRPr="00F96B68" w:rsidRDefault="00946BFF" w:rsidP="00946BFF">
            <w:pPr>
              <w:spacing w:line="276" w:lineRule="auto"/>
              <w:jc w:val="right"/>
              <w:rPr>
                <w:color w:val="000000"/>
                <w:sz w:val="20"/>
                <w:szCs w:val="20"/>
              </w:rPr>
            </w:pPr>
            <w:r w:rsidRPr="00F96B68">
              <w:rPr>
                <w:color w:val="000000"/>
                <w:sz w:val="20"/>
                <w:szCs w:val="20"/>
              </w:rPr>
              <w:t>-</w:t>
            </w:r>
          </w:p>
        </w:tc>
        <w:tc>
          <w:tcPr>
            <w:tcW w:w="1701" w:type="dxa"/>
            <w:noWrap/>
            <w:vAlign w:val="center"/>
            <w:hideMark/>
          </w:tcPr>
          <w:p w14:paraId="1BF75BC7" w14:textId="77777777" w:rsidR="00946BFF" w:rsidRPr="00F96B68" w:rsidRDefault="00946BFF" w:rsidP="00946BFF">
            <w:pPr>
              <w:spacing w:line="276" w:lineRule="auto"/>
              <w:jc w:val="right"/>
              <w:rPr>
                <w:color w:val="000000"/>
                <w:sz w:val="20"/>
                <w:szCs w:val="20"/>
              </w:rPr>
            </w:pPr>
            <w:r w:rsidRPr="00F96B68">
              <w:rPr>
                <w:color w:val="000000"/>
                <w:sz w:val="20"/>
                <w:szCs w:val="20"/>
              </w:rPr>
              <w:t>-</w:t>
            </w:r>
          </w:p>
        </w:tc>
        <w:tc>
          <w:tcPr>
            <w:tcW w:w="2127" w:type="dxa"/>
            <w:noWrap/>
            <w:vAlign w:val="center"/>
            <w:hideMark/>
          </w:tcPr>
          <w:p w14:paraId="7B88A553" w14:textId="110CD259" w:rsidR="00946BFF" w:rsidRPr="00F96B68" w:rsidRDefault="00946BFF" w:rsidP="00946BFF">
            <w:pPr>
              <w:spacing w:line="276" w:lineRule="auto"/>
              <w:jc w:val="right"/>
              <w:rPr>
                <w:color w:val="000000"/>
                <w:sz w:val="20"/>
                <w:szCs w:val="20"/>
              </w:rPr>
            </w:pPr>
            <w:r w:rsidRPr="00F96B68">
              <w:rPr>
                <w:color w:val="000000"/>
                <w:sz w:val="20"/>
                <w:szCs w:val="20"/>
              </w:rPr>
              <w:t>$58,768,750</w:t>
            </w:r>
          </w:p>
        </w:tc>
      </w:tr>
      <w:tr w:rsidR="00946BFF" w:rsidRPr="00DD0432" w14:paraId="42ED58FD" w14:textId="77777777" w:rsidTr="00BB3C33">
        <w:trPr>
          <w:trHeight w:val="397"/>
        </w:trPr>
        <w:tc>
          <w:tcPr>
            <w:tcW w:w="3823" w:type="dxa"/>
            <w:noWrap/>
            <w:vAlign w:val="center"/>
            <w:hideMark/>
          </w:tcPr>
          <w:p w14:paraId="34AB3676" w14:textId="77777777" w:rsidR="00946BFF" w:rsidRPr="00F96B68" w:rsidRDefault="00946BFF" w:rsidP="00946BFF">
            <w:pPr>
              <w:spacing w:line="276" w:lineRule="auto"/>
              <w:rPr>
                <w:color w:val="000000"/>
                <w:sz w:val="20"/>
                <w:szCs w:val="20"/>
              </w:rPr>
            </w:pPr>
            <w:r w:rsidRPr="00F96B68">
              <w:rPr>
                <w:color w:val="000000"/>
                <w:sz w:val="20"/>
                <w:szCs w:val="20"/>
              </w:rPr>
              <w:t> </w:t>
            </w:r>
          </w:p>
        </w:tc>
        <w:tc>
          <w:tcPr>
            <w:tcW w:w="1842" w:type="dxa"/>
            <w:noWrap/>
            <w:vAlign w:val="center"/>
            <w:hideMark/>
          </w:tcPr>
          <w:p w14:paraId="27552822" w14:textId="77777777" w:rsidR="00946BFF" w:rsidRPr="00F96B68" w:rsidRDefault="00946BFF" w:rsidP="00946BFF">
            <w:pPr>
              <w:spacing w:line="276" w:lineRule="auto"/>
              <w:jc w:val="right"/>
              <w:rPr>
                <w:b/>
                <w:bCs/>
                <w:color w:val="000000"/>
                <w:sz w:val="20"/>
                <w:szCs w:val="20"/>
              </w:rPr>
            </w:pPr>
            <w:r w:rsidRPr="00F96B68">
              <w:rPr>
                <w:b/>
                <w:bCs/>
                <w:color w:val="000000"/>
                <w:sz w:val="20"/>
                <w:szCs w:val="20"/>
              </w:rPr>
              <w:t>$1,837,237,428</w:t>
            </w:r>
          </w:p>
        </w:tc>
        <w:tc>
          <w:tcPr>
            <w:tcW w:w="1701" w:type="dxa"/>
            <w:noWrap/>
            <w:vAlign w:val="center"/>
            <w:hideMark/>
          </w:tcPr>
          <w:p w14:paraId="08F15CF9" w14:textId="77777777" w:rsidR="00946BFF" w:rsidRPr="00F96B68" w:rsidRDefault="00946BFF" w:rsidP="00946BFF">
            <w:pPr>
              <w:spacing w:line="276" w:lineRule="auto"/>
              <w:jc w:val="right"/>
              <w:rPr>
                <w:b/>
                <w:bCs/>
                <w:color w:val="000000"/>
                <w:sz w:val="20"/>
                <w:szCs w:val="20"/>
              </w:rPr>
            </w:pPr>
            <w:r w:rsidRPr="00F96B68">
              <w:rPr>
                <w:b/>
                <w:bCs/>
                <w:color w:val="000000"/>
                <w:sz w:val="20"/>
                <w:szCs w:val="20"/>
              </w:rPr>
              <w:t>$1,425,735,042</w:t>
            </w:r>
          </w:p>
        </w:tc>
        <w:tc>
          <w:tcPr>
            <w:tcW w:w="2127" w:type="dxa"/>
            <w:noWrap/>
            <w:vAlign w:val="center"/>
            <w:hideMark/>
          </w:tcPr>
          <w:p w14:paraId="2E886DE9" w14:textId="5CEBF183" w:rsidR="00946BFF" w:rsidRPr="00F96B68" w:rsidRDefault="00946BFF" w:rsidP="00946BFF">
            <w:pPr>
              <w:spacing w:line="276" w:lineRule="auto"/>
              <w:jc w:val="right"/>
              <w:rPr>
                <w:b/>
                <w:bCs/>
                <w:color w:val="000000"/>
                <w:sz w:val="20"/>
                <w:szCs w:val="20"/>
              </w:rPr>
            </w:pPr>
            <w:r w:rsidRPr="00F96B68">
              <w:rPr>
                <w:b/>
                <w:bCs/>
                <w:color w:val="000000"/>
                <w:sz w:val="20"/>
                <w:szCs w:val="20"/>
              </w:rPr>
              <w:t>$955,955,028</w:t>
            </w:r>
          </w:p>
        </w:tc>
      </w:tr>
      <w:tr w:rsidR="00946BFF" w:rsidRPr="00DD0432" w14:paraId="3212E26B" w14:textId="77777777" w:rsidTr="00BB3C33">
        <w:trPr>
          <w:trHeight w:val="397"/>
        </w:trPr>
        <w:tc>
          <w:tcPr>
            <w:tcW w:w="3823" w:type="dxa"/>
            <w:noWrap/>
            <w:vAlign w:val="center"/>
            <w:hideMark/>
          </w:tcPr>
          <w:p w14:paraId="267BB77B" w14:textId="77777777" w:rsidR="003A7A08" w:rsidRPr="00F96B68" w:rsidRDefault="003A7A08">
            <w:pPr>
              <w:spacing w:line="276" w:lineRule="auto"/>
              <w:rPr>
                <w:color w:val="000000"/>
                <w:sz w:val="20"/>
                <w:szCs w:val="20"/>
              </w:rPr>
            </w:pPr>
            <w:r w:rsidRPr="00F96B68">
              <w:rPr>
                <w:color w:val="000000"/>
                <w:sz w:val="20"/>
                <w:szCs w:val="20"/>
              </w:rPr>
              <w:t>Proportion of total cost</w:t>
            </w:r>
          </w:p>
        </w:tc>
        <w:tc>
          <w:tcPr>
            <w:tcW w:w="1842" w:type="dxa"/>
            <w:noWrap/>
            <w:vAlign w:val="center"/>
            <w:hideMark/>
          </w:tcPr>
          <w:p w14:paraId="733AADCA" w14:textId="629D0DE6" w:rsidR="003A7A08" w:rsidRPr="00F96B68" w:rsidRDefault="00946BFF">
            <w:pPr>
              <w:spacing w:line="276" w:lineRule="auto"/>
              <w:jc w:val="right"/>
              <w:rPr>
                <w:color w:val="000000"/>
                <w:sz w:val="20"/>
                <w:szCs w:val="20"/>
              </w:rPr>
            </w:pPr>
            <w:r w:rsidRPr="00F96B68">
              <w:rPr>
                <w:color w:val="000000"/>
                <w:sz w:val="20"/>
                <w:szCs w:val="20"/>
              </w:rPr>
              <w:t>43.5</w:t>
            </w:r>
            <w:r w:rsidR="003A7A08" w:rsidRPr="00F96B68">
              <w:rPr>
                <w:color w:val="000000"/>
                <w:sz w:val="20"/>
                <w:szCs w:val="20"/>
              </w:rPr>
              <w:t>%</w:t>
            </w:r>
          </w:p>
        </w:tc>
        <w:tc>
          <w:tcPr>
            <w:tcW w:w="1701" w:type="dxa"/>
            <w:noWrap/>
            <w:vAlign w:val="center"/>
            <w:hideMark/>
          </w:tcPr>
          <w:p w14:paraId="2D2A22DC" w14:textId="3E2B0C31" w:rsidR="003A7A08" w:rsidRPr="00F96B68" w:rsidRDefault="00946BFF">
            <w:pPr>
              <w:spacing w:line="276" w:lineRule="auto"/>
              <w:jc w:val="right"/>
              <w:rPr>
                <w:color w:val="000000"/>
                <w:sz w:val="20"/>
                <w:szCs w:val="20"/>
              </w:rPr>
            </w:pPr>
            <w:r w:rsidRPr="00F96B68">
              <w:rPr>
                <w:color w:val="000000"/>
                <w:sz w:val="20"/>
                <w:szCs w:val="20"/>
              </w:rPr>
              <w:t>33.8</w:t>
            </w:r>
            <w:r w:rsidR="003A7A08" w:rsidRPr="00F96B68">
              <w:rPr>
                <w:color w:val="000000"/>
                <w:sz w:val="20"/>
                <w:szCs w:val="20"/>
              </w:rPr>
              <w:t>%</w:t>
            </w:r>
          </w:p>
        </w:tc>
        <w:tc>
          <w:tcPr>
            <w:tcW w:w="2127" w:type="dxa"/>
            <w:noWrap/>
            <w:vAlign w:val="center"/>
            <w:hideMark/>
          </w:tcPr>
          <w:p w14:paraId="44880ACB" w14:textId="147F9343" w:rsidR="003A7A08" w:rsidRPr="00F96B68" w:rsidRDefault="00946BFF">
            <w:pPr>
              <w:spacing w:line="276" w:lineRule="auto"/>
              <w:jc w:val="right"/>
              <w:rPr>
                <w:color w:val="000000"/>
                <w:sz w:val="20"/>
                <w:szCs w:val="20"/>
              </w:rPr>
            </w:pPr>
            <w:r w:rsidRPr="00F96B68">
              <w:rPr>
                <w:color w:val="000000"/>
                <w:sz w:val="20"/>
                <w:szCs w:val="20"/>
              </w:rPr>
              <w:t>22.7</w:t>
            </w:r>
            <w:r w:rsidR="003A7A08" w:rsidRPr="00F96B68">
              <w:rPr>
                <w:color w:val="000000"/>
                <w:sz w:val="20"/>
                <w:szCs w:val="20"/>
              </w:rPr>
              <w:t>%</w:t>
            </w:r>
          </w:p>
        </w:tc>
      </w:tr>
    </w:tbl>
    <w:p w14:paraId="1984E017" w14:textId="77777777" w:rsidR="003A7A08" w:rsidRPr="00DD0432" w:rsidRDefault="003A7A08" w:rsidP="003A7A08">
      <w:pPr>
        <w:spacing w:line="276" w:lineRule="auto"/>
      </w:pPr>
      <w:r w:rsidRPr="00DD0432">
        <w:rPr>
          <w:b/>
          <w:noProof/>
          <w:color w:val="242424"/>
        </w:rPr>
        <w:t xml:space="preserve"> </w:t>
      </w:r>
    </w:p>
    <w:p w14:paraId="3F2C45BD" w14:textId="77777777" w:rsidR="00DB689D" w:rsidRDefault="00310A10" w:rsidP="00C30E1A">
      <w:pPr>
        <w:pStyle w:val="Heading3"/>
      </w:pPr>
      <w:bookmarkStart w:id="384" w:name="_Toc201572448"/>
      <w:bookmarkStart w:id="385" w:name="_Toc207195967"/>
      <w:r>
        <w:t>Cost of gambling problems to New Zealand, by attribution to form</w:t>
      </w:r>
      <w:bookmarkEnd w:id="384"/>
      <w:bookmarkEnd w:id="385"/>
    </w:p>
    <w:p w14:paraId="207C3FF9" w14:textId="58996986" w:rsidR="00DB689D" w:rsidRDefault="00310A10" w:rsidP="00367A8D">
      <w:pPr>
        <w:spacing w:before="240" w:after="240" w:line="360" w:lineRule="auto"/>
      </w:pPr>
      <w:r>
        <w:t>The total cost of gambling problems, when attributed to specific gambling forms based on their relative contribution to gambling problems</w:t>
      </w:r>
      <w:r w:rsidR="003A7A08">
        <w:t xml:space="preserve"> (</w:t>
      </w:r>
      <w:hyperlink w:anchor="_Impact_attributable_to" w:history="1">
        <w:r w:rsidR="003A7A08">
          <w:rPr>
            <w:rStyle w:val="Hyperlink"/>
          </w:rPr>
          <w:t>s</w:t>
        </w:r>
        <w:r w:rsidR="003A7A08" w:rsidRPr="003A7A08">
          <w:rPr>
            <w:rStyle w:val="Hyperlink"/>
          </w:rPr>
          <w:t xml:space="preserve">ee </w:t>
        </w:r>
        <w:r w:rsidR="003A7A08">
          <w:rPr>
            <w:rStyle w:val="Hyperlink"/>
          </w:rPr>
          <w:t>m</w:t>
        </w:r>
        <w:r w:rsidR="003A7A08" w:rsidRPr="003A7A08">
          <w:rPr>
            <w:rStyle w:val="Hyperlink"/>
          </w:rPr>
          <w:t>ethods</w:t>
        </w:r>
      </w:hyperlink>
      <w:r w:rsidR="003A7A08">
        <w:t xml:space="preserve">), </w:t>
      </w:r>
      <w:r>
        <w:t>is estimated at $4</w:t>
      </w:r>
      <w:r w:rsidR="00502394">
        <w:t>.</w:t>
      </w:r>
      <w:r w:rsidR="00BE5A0D">
        <w:t xml:space="preserve">02 </w:t>
      </w:r>
      <w:r>
        <w:t xml:space="preserve">billion (this excludes non-form-attributable costs). The costs attributed to each form depends on each form’s participation prevalence, and risk of gambling problems conditional on participation. </w:t>
      </w:r>
      <w:r w:rsidR="00F96B68">
        <w:t>A</w:t>
      </w:r>
      <w:r>
        <w:t>nalysis of this attribution reveals that a few forms account for the majority of these costs</w:t>
      </w:r>
      <w:r w:rsidR="00F96B68">
        <w:t xml:space="preserve"> (Table 9)</w:t>
      </w:r>
      <w:r>
        <w:t>. However, the confidence intervals should be kept in mind when interpreting these numbers. This is because the limited number of people classified as at-risk gambling in the prevalence survey means that there are relatively imprecise estimates due to sampling variability. Even so, some forms stand out as being the major source of gambling problems and downstream costs.</w:t>
      </w:r>
    </w:p>
    <w:p w14:paraId="5238BFA5" w14:textId="1BD6F236" w:rsidR="00F96B68" w:rsidRDefault="00310A10" w:rsidP="00367A8D">
      <w:pPr>
        <w:spacing w:before="240" w:after="240" w:line="360" w:lineRule="auto"/>
      </w:pPr>
      <w:r>
        <w:t xml:space="preserve">EGMs are the most significant contributors to gambling harm costs. </w:t>
      </w:r>
      <w:r w:rsidRPr="00AC0D62">
        <w:rPr>
          <w:bCs/>
        </w:rPr>
        <w:t>Offshore online EGMs</w:t>
      </w:r>
      <w:r>
        <w:t xml:space="preserve"> account for the largest share, with 39.0% of the total cost, equating to approximately $1.</w:t>
      </w:r>
      <w:r w:rsidR="00BE5A0D">
        <w:t xml:space="preserve">57 </w:t>
      </w:r>
      <w:r>
        <w:t xml:space="preserve">billion. Following this, </w:t>
      </w:r>
      <w:r w:rsidR="00D35699">
        <w:rPr>
          <w:bCs/>
        </w:rPr>
        <w:t>Class 4 pokies</w:t>
      </w:r>
      <w:r>
        <w:t xml:space="preserve"> contribute 24.5% of the costs, amounting to $98</w:t>
      </w:r>
      <w:r w:rsidR="00BE5A0D">
        <w:t>4.0</w:t>
      </w:r>
      <w:r>
        <w:t xml:space="preserve"> million. Combined, these two EGM categories are responsible for nearly two-thirds (63.5%) of all gambling harm costs attributable to specific forms. Other notable contributors include </w:t>
      </w:r>
      <w:r w:rsidRPr="00AC0D62">
        <w:rPr>
          <w:bCs/>
        </w:rPr>
        <w:t>Offshore online casino games</w:t>
      </w:r>
      <w:r>
        <w:t>, which account for 6.1% of the costs ($</w:t>
      </w:r>
      <w:r w:rsidR="00BE5A0D">
        <w:t>246</w:t>
      </w:r>
      <w:r>
        <w:t>.</w:t>
      </w:r>
      <w:r w:rsidR="00BE5A0D">
        <w:t>9</w:t>
      </w:r>
      <w:r>
        <w:t xml:space="preserve"> million), and </w:t>
      </w:r>
      <w:r w:rsidRPr="00AC0D62">
        <w:rPr>
          <w:bCs/>
        </w:rPr>
        <w:t>Lotteries (online/venues)</w:t>
      </w:r>
      <w:r>
        <w:t xml:space="preserve"> at 5.7% ($22</w:t>
      </w:r>
      <w:r w:rsidR="00BE5A0D">
        <w:t>8</w:t>
      </w:r>
      <w:r>
        <w:t>.</w:t>
      </w:r>
      <w:r w:rsidR="00BE5A0D">
        <w:t>6</w:t>
      </w:r>
      <w:r>
        <w:t xml:space="preserve"> million). Betting forms also contribute significantly, with </w:t>
      </w:r>
      <w:r w:rsidRPr="00AC0D62">
        <w:rPr>
          <w:bCs/>
        </w:rPr>
        <w:t>Race betting via TAB</w:t>
      </w:r>
      <w:r>
        <w:t xml:space="preserve"> responsible for 4.0% ($159.</w:t>
      </w:r>
      <w:r w:rsidR="00BE5A0D">
        <w:t>1</w:t>
      </w:r>
      <w:r>
        <w:t xml:space="preserve"> million) and </w:t>
      </w:r>
      <w:r w:rsidR="002B4EA6">
        <w:rPr>
          <w:bCs/>
        </w:rPr>
        <w:t>o</w:t>
      </w:r>
      <w:r w:rsidRPr="00AC0D62">
        <w:rPr>
          <w:bCs/>
        </w:rPr>
        <w:t>ffshore online sports betting</w:t>
      </w:r>
      <w:r>
        <w:t xml:space="preserve"> for 3.8% ($15</w:t>
      </w:r>
      <w:r w:rsidR="00BE5A0D">
        <w:t>1.8</w:t>
      </w:r>
      <w:r>
        <w:t xml:space="preserve"> million). </w:t>
      </w:r>
      <w:r w:rsidRPr="00AC0D62">
        <w:rPr>
          <w:bCs/>
        </w:rPr>
        <w:t>EGMs in casinos</w:t>
      </w:r>
      <w:r>
        <w:t xml:space="preserve"> contribute a further 3.5% ($14</w:t>
      </w:r>
      <w:r w:rsidR="00BE5A0D">
        <w:t>0.8</w:t>
      </w:r>
      <w:r>
        <w:t xml:space="preserve"> million) to the total harm costs. </w:t>
      </w:r>
    </w:p>
    <w:p w14:paraId="25FCC5CB" w14:textId="16D05AD1" w:rsidR="00DB689D" w:rsidRDefault="00310A10" w:rsidP="00367A8D">
      <w:pPr>
        <w:spacing w:before="240" w:after="240" w:line="360" w:lineRule="auto"/>
      </w:pPr>
      <w:r>
        <w:t>The remaining gambling forms each account for smaller proportions of the total cost, generally less than 3.2% each. These include Instant</w:t>
      </w:r>
      <w:r w:rsidR="007C1B5E">
        <w:t xml:space="preserve"> K</w:t>
      </w:r>
      <w:r>
        <w:t>iwi (in venues and online), Sports betting via TAB (distinct from race betting), Bingo (social), Table games in casinos, and various forms of esports betting and other online gambling activities.</w:t>
      </w:r>
    </w:p>
    <w:p w14:paraId="6D3CC75F" w14:textId="00A3D7A4" w:rsidR="00DB689D" w:rsidRDefault="00310A10" w:rsidP="00367A8D">
      <w:pPr>
        <w:spacing w:line="360" w:lineRule="auto"/>
      </w:pPr>
      <w:r>
        <w:t xml:space="preserve">As discussed above </w:t>
      </w:r>
      <w:r w:rsidR="007C1B5E">
        <w:t>(See Section 5.2.7</w:t>
      </w:r>
      <w:r w:rsidR="003A7A08">
        <w:t xml:space="preserve">), </w:t>
      </w:r>
      <w:r>
        <w:t xml:space="preserve">form-attributable costs are derived by each form’s relative contribution to gambling problems, with these effects estimated from the most recent prevalence survey (NZGS, 2023). These results appear to reflect a notable development in the gambling profile of New Zealanders, with people who gamble, and those categorised as at-risk </w:t>
      </w:r>
      <w:r w:rsidR="007C1B5E">
        <w:t>gambling, moving</w:t>
      </w:r>
      <w:r>
        <w:t xml:space="preserve"> towards offshore online EGM play.</w:t>
      </w:r>
    </w:p>
    <w:p w14:paraId="4FB9846B" w14:textId="77777777" w:rsidR="00DB689D" w:rsidRDefault="00DB689D" w:rsidP="00367A8D">
      <w:pPr>
        <w:spacing w:line="360" w:lineRule="auto"/>
        <w:rPr>
          <w:b/>
        </w:rPr>
      </w:pPr>
    </w:p>
    <w:p w14:paraId="009247DE" w14:textId="75976ED1" w:rsidR="003A7A08" w:rsidRDefault="003A7A08" w:rsidP="00DB094D">
      <w:pPr>
        <w:pStyle w:val="Caption"/>
      </w:pPr>
      <w:bookmarkStart w:id="386" w:name="_ica584suwkt0" w:colFirst="0" w:colLast="0"/>
      <w:bookmarkStart w:id="387" w:name="_Toc207619051"/>
      <w:bookmarkEnd w:id="386"/>
      <w:r>
        <w:t xml:space="preserve">Table </w:t>
      </w:r>
      <w:r>
        <w:fldChar w:fldCharType="begin"/>
      </w:r>
      <w:r>
        <w:instrText xml:space="preserve"> SEQ Table \* ARABIC </w:instrText>
      </w:r>
      <w:r>
        <w:fldChar w:fldCharType="separate"/>
      </w:r>
      <w:r w:rsidR="00986A0D">
        <w:rPr>
          <w:noProof/>
        </w:rPr>
        <w:t>9</w:t>
      </w:r>
      <w:r>
        <w:fldChar w:fldCharType="end"/>
      </w:r>
      <w:r>
        <w:t xml:space="preserve">. </w:t>
      </w:r>
      <w:r w:rsidRPr="00FF2B5F">
        <w:t>Cost of gambling attributable to each form</w:t>
      </w:r>
      <w:bookmarkEnd w:id="387"/>
    </w:p>
    <w:tbl>
      <w:tblPr>
        <w:tblStyle w:val="TableGridLight"/>
        <w:tblW w:w="9493" w:type="dxa"/>
        <w:tblLayout w:type="fixed"/>
        <w:tblLook w:val="04A0" w:firstRow="1" w:lastRow="0" w:firstColumn="1" w:lastColumn="0" w:noHBand="0" w:noVBand="1"/>
      </w:tblPr>
      <w:tblGrid>
        <w:gridCol w:w="3823"/>
        <w:gridCol w:w="1134"/>
        <w:gridCol w:w="1134"/>
        <w:gridCol w:w="1134"/>
        <w:gridCol w:w="2268"/>
      </w:tblGrid>
      <w:tr w:rsidR="003A7A08" w:rsidRPr="00DD0432" w14:paraId="3FD6D15E" w14:textId="77777777" w:rsidTr="00F96B68">
        <w:trPr>
          <w:trHeight w:val="369"/>
        </w:trPr>
        <w:tc>
          <w:tcPr>
            <w:tcW w:w="3823" w:type="dxa"/>
            <w:shd w:val="clear" w:color="auto" w:fill="F2F2F2" w:themeFill="background1" w:themeFillShade="F2"/>
            <w:vAlign w:val="center"/>
            <w:hideMark/>
          </w:tcPr>
          <w:p w14:paraId="06DBB1D2" w14:textId="77777777" w:rsidR="003A7A08" w:rsidRPr="00F96B68" w:rsidRDefault="003A7A08">
            <w:pPr>
              <w:spacing w:line="276" w:lineRule="auto"/>
              <w:jc w:val="center"/>
              <w:rPr>
                <w:b/>
                <w:bCs/>
                <w:color w:val="000000"/>
                <w:sz w:val="20"/>
                <w:szCs w:val="20"/>
              </w:rPr>
            </w:pPr>
            <w:r w:rsidRPr="00F96B68">
              <w:rPr>
                <w:b/>
                <w:bCs/>
                <w:color w:val="000000"/>
                <w:sz w:val="20"/>
                <w:szCs w:val="20"/>
              </w:rPr>
              <w:t>Form</w:t>
            </w:r>
          </w:p>
        </w:tc>
        <w:tc>
          <w:tcPr>
            <w:tcW w:w="1134" w:type="dxa"/>
            <w:shd w:val="clear" w:color="auto" w:fill="F2F2F2" w:themeFill="background1" w:themeFillShade="F2"/>
            <w:vAlign w:val="center"/>
            <w:hideMark/>
          </w:tcPr>
          <w:p w14:paraId="3541722C" w14:textId="77777777" w:rsidR="003A7A08" w:rsidRPr="00F96B68" w:rsidRDefault="003A7A08">
            <w:pPr>
              <w:spacing w:line="276" w:lineRule="auto"/>
              <w:jc w:val="center"/>
              <w:rPr>
                <w:b/>
                <w:bCs/>
                <w:color w:val="000000"/>
                <w:sz w:val="20"/>
                <w:szCs w:val="20"/>
              </w:rPr>
            </w:pPr>
            <w:r w:rsidRPr="00F96B68">
              <w:rPr>
                <w:b/>
                <w:bCs/>
                <w:color w:val="000000"/>
                <w:sz w:val="20"/>
                <w:szCs w:val="20"/>
              </w:rPr>
              <w:t>Estimate</w:t>
            </w:r>
          </w:p>
        </w:tc>
        <w:tc>
          <w:tcPr>
            <w:tcW w:w="1134" w:type="dxa"/>
            <w:shd w:val="clear" w:color="auto" w:fill="F2F2F2" w:themeFill="background1" w:themeFillShade="F2"/>
            <w:vAlign w:val="center"/>
            <w:hideMark/>
          </w:tcPr>
          <w:p w14:paraId="2AC5DFC2" w14:textId="77777777" w:rsidR="003A7A08" w:rsidRPr="00F96B68" w:rsidRDefault="003A7A08">
            <w:pPr>
              <w:spacing w:line="276" w:lineRule="auto"/>
              <w:jc w:val="center"/>
              <w:rPr>
                <w:b/>
                <w:bCs/>
                <w:color w:val="000000"/>
                <w:sz w:val="20"/>
                <w:szCs w:val="20"/>
              </w:rPr>
            </w:pPr>
            <w:r w:rsidRPr="00F96B68">
              <w:rPr>
                <w:b/>
                <w:bCs/>
                <w:color w:val="000000"/>
                <w:sz w:val="20"/>
                <w:szCs w:val="20"/>
              </w:rPr>
              <w:t>Lower CI</w:t>
            </w:r>
          </w:p>
        </w:tc>
        <w:tc>
          <w:tcPr>
            <w:tcW w:w="1134" w:type="dxa"/>
            <w:shd w:val="clear" w:color="auto" w:fill="F2F2F2" w:themeFill="background1" w:themeFillShade="F2"/>
            <w:vAlign w:val="center"/>
            <w:hideMark/>
          </w:tcPr>
          <w:p w14:paraId="0425E88A" w14:textId="77777777" w:rsidR="003A7A08" w:rsidRPr="00F96B68" w:rsidRDefault="003A7A08">
            <w:pPr>
              <w:spacing w:line="276" w:lineRule="auto"/>
              <w:jc w:val="center"/>
              <w:rPr>
                <w:b/>
                <w:bCs/>
                <w:color w:val="000000"/>
                <w:sz w:val="20"/>
                <w:szCs w:val="20"/>
              </w:rPr>
            </w:pPr>
            <w:r w:rsidRPr="00F96B68">
              <w:rPr>
                <w:b/>
                <w:bCs/>
                <w:color w:val="000000"/>
                <w:sz w:val="20"/>
                <w:szCs w:val="20"/>
              </w:rPr>
              <w:t>Upper CI</w:t>
            </w:r>
          </w:p>
        </w:tc>
        <w:tc>
          <w:tcPr>
            <w:tcW w:w="2268" w:type="dxa"/>
            <w:shd w:val="clear" w:color="auto" w:fill="F2F2F2" w:themeFill="background1" w:themeFillShade="F2"/>
            <w:vAlign w:val="center"/>
            <w:hideMark/>
          </w:tcPr>
          <w:p w14:paraId="3D56A3CD" w14:textId="77777777" w:rsidR="003A7A08" w:rsidRPr="00F96B68" w:rsidRDefault="003A7A08">
            <w:pPr>
              <w:spacing w:line="276" w:lineRule="auto"/>
              <w:jc w:val="center"/>
              <w:rPr>
                <w:b/>
                <w:bCs/>
                <w:color w:val="000000"/>
                <w:sz w:val="20"/>
                <w:szCs w:val="20"/>
              </w:rPr>
            </w:pPr>
            <w:r w:rsidRPr="00F96B68">
              <w:rPr>
                <w:b/>
                <w:bCs/>
                <w:color w:val="000000"/>
                <w:sz w:val="20"/>
                <w:szCs w:val="20"/>
              </w:rPr>
              <w:t>Cost attributed by form based on relative harm</w:t>
            </w:r>
          </w:p>
        </w:tc>
      </w:tr>
      <w:tr w:rsidR="00BE5A0D" w:rsidRPr="00DD0432" w14:paraId="1557831E" w14:textId="77777777" w:rsidTr="00F96B68">
        <w:trPr>
          <w:trHeight w:val="369"/>
        </w:trPr>
        <w:tc>
          <w:tcPr>
            <w:tcW w:w="3823" w:type="dxa"/>
            <w:noWrap/>
            <w:vAlign w:val="center"/>
            <w:hideMark/>
          </w:tcPr>
          <w:p w14:paraId="2F2AD5DF" w14:textId="77777777" w:rsidR="00BE5A0D" w:rsidRPr="00F96B68" w:rsidRDefault="00BE5A0D" w:rsidP="00BE5A0D">
            <w:pPr>
              <w:spacing w:line="276" w:lineRule="auto"/>
              <w:rPr>
                <w:color w:val="000000"/>
                <w:sz w:val="20"/>
                <w:szCs w:val="20"/>
              </w:rPr>
            </w:pPr>
            <w:r w:rsidRPr="00F96B68">
              <w:rPr>
                <w:color w:val="000000"/>
                <w:sz w:val="20"/>
                <w:szCs w:val="20"/>
              </w:rPr>
              <w:t>Offshore online EGMs</w:t>
            </w:r>
          </w:p>
        </w:tc>
        <w:tc>
          <w:tcPr>
            <w:tcW w:w="1134" w:type="dxa"/>
            <w:noWrap/>
            <w:vAlign w:val="center"/>
            <w:hideMark/>
          </w:tcPr>
          <w:p w14:paraId="195B93DF" w14:textId="77777777" w:rsidR="00BE5A0D" w:rsidRPr="00F96B68" w:rsidRDefault="00BE5A0D" w:rsidP="00BE5A0D">
            <w:pPr>
              <w:spacing w:line="276" w:lineRule="auto"/>
              <w:jc w:val="right"/>
              <w:rPr>
                <w:color w:val="000000"/>
                <w:sz w:val="20"/>
                <w:szCs w:val="20"/>
              </w:rPr>
            </w:pPr>
            <w:r w:rsidRPr="00F96B68">
              <w:rPr>
                <w:color w:val="000000"/>
                <w:sz w:val="20"/>
                <w:szCs w:val="20"/>
              </w:rPr>
              <w:t>39.0%</w:t>
            </w:r>
          </w:p>
        </w:tc>
        <w:tc>
          <w:tcPr>
            <w:tcW w:w="1134" w:type="dxa"/>
            <w:noWrap/>
            <w:vAlign w:val="center"/>
            <w:hideMark/>
          </w:tcPr>
          <w:p w14:paraId="69448CE7" w14:textId="77777777" w:rsidR="00BE5A0D" w:rsidRPr="00F96B68" w:rsidRDefault="00BE5A0D" w:rsidP="00BE5A0D">
            <w:pPr>
              <w:spacing w:line="276" w:lineRule="auto"/>
              <w:jc w:val="right"/>
              <w:rPr>
                <w:color w:val="000000"/>
                <w:sz w:val="20"/>
                <w:szCs w:val="20"/>
              </w:rPr>
            </w:pPr>
            <w:r w:rsidRPr="00F96B68">
              <w:rPr>
                <w:color w:val="000000"/>
                <w:sz w:val="20"/>
                <w:szCs w:val="20"/>
              </w:rPr>
              <w:t>22.5%</w:t>
            </w:r>
          </w:p>
        </w:tc>
        <w:tc>
          <w:tcPr>
            <w:tcW w:w="1134" w:type="dxa"/>
            <w:noWrap/>
            <w:vAlign w:val="center"/>
            <w:hideMark/>
          </w:tcPr>
          <w:p w14:paraId="05DE7148" w14:textId="77777777" w:rsidR="00BE5A0D" w:rsidRPr="00F96B68" w:rsidRDefault="00BE5A0D" w:rsidP="00BE5A0D">
            <w:pPr>
              <w:spacing w:line="276" w:lineRule="auto"/>
              <w:jc w:val="right"/>
              <w:rPr>
                <w:color w:val="000000"/>
                <w:sz w:val="20"/>
                <w:szCs w:val="20"/>
              </w:rPr>
            </w:pPr>
            <w:r w:rsidRPr="00F96B68">
              <w:rPr>
                <w:color w:val="000000"/>
                <w:sz w:val="20"/>
                <w:szCs w:val="20"/>
              </w:rPr>
              <w:t>57.0%</w:t>
            </w:r>
          </w:p>
        </w:tc>
        <w:tc>
          <w:tcPr>
            <w:tcW w:w="2268" w:type="dxa"/>
            <w:noWrap/>
            <w:vAlign w:val="bottom"/>
            <w:hideMark/>
          </w:tcPr>
          <w:p w14:paraId="41AC9832" w14:textId="529ED702" w:rsidR="00BE5A0D" w:rsidRPr="00F96B68" w:rsidRDefault="00BE5A0D" w:rsidP="00BE5A0D">
            <w:pPr>
              <w:spacing w:line="276" w:lineRule="auto"/>
              <w:jc w:val="right"/>
              <w:rPr>
                <w:color w:val="000000"/>
                <w:sz w:val="20"/>
                <w:szCs w:val="20"/>
              </w:rPr>
            </w:pPr>
            <w:r w:rsidRPr="00F96B68">
              <w:rPr>
                <w:color w:val="000000"/>
                <w:sz w:val="20"/>
                <w:szCs w:val="20"/>
              </w:rPr>
              <w:t>$1,571,104,716</w:t>
            </w:r>
          </w:p>
        </w:tc>
      </w:tr>
      <w:tr w:rsidR="00BE5A0D" w:rsidRPr="00DD0432" w14:paraId="50F4CDC7" w14:textId="77777777" w:rsidTr="00F96B68">
        <w:trPr>
          <w:trHeight w:val="369"/>
        </w:trPr>
        <w:tc>
          <w:tcPr>
            <w:tcW w:w="3823" w:type="dxa"/>
            <w:noWrap/>
            <w:vAlign w:val="center"/>
            <w:hideMark/>
          </w:tcPr>
          <w:p w14:paraId="594DDE47" w14:textId="05FD2793" w:rsidR="00BE5A0D" w:rsidRPr="00F96B68" w:rsidRDefault="00D35699" w:rsidP="00BE5A0D">
            <w:pPr>
              <w:spacing w:line="276" w:lineRule="auto"/>
              <w:rPr>
                <w:color w:val="000000"/>
                <w:sz w:val="20"/>
                <w:szCs w:val="20"/>
              </w:rPr>
            </w:pPr>
            <w:r>
              <w:rPr>
                <w:color w:val="000000"/>
                <w:sz w:val="20"/>
                <w:szCs w:val="20"/>
              </w:rPr>
              <w:t>Class 4 pokies</w:t>
            </w:r>
            <w:r w:rsidR="00FC27A6">
              <w:rPr>
                <w:color w:val="000000"/>
                <w:sz w:val="20"/>
                <w:szCs w:val="20"/>
              </w:rPr>
              <w:t xml:space="preserve"> (EGMs in venues)</w:t>
            </w:r>
          </w:p>
        </w:tc>
        <w:tc>
          <w:tcPr>
            <w:tcW w:w="1134" w:type="dxa"/>
            <w:noWrap/>
            <w:vAlign w:val="center"/>
            <w:hideMark/>
          </w:tcPr>
          <w:p w14:paraId="1B553578" w14:textId="77777777" w:rsidR="00BE5A0D" w:rsidRPr="00F96B68" w:rsidRDefault="00BE5A0D" w:rsidP="00BE5A0D">
            <w:pPr>
              <w:spacing w:line="276" w:lineRule="auto"/>
              <w:jc w:val="right"/>
              <w:rPr>
                <w:color w:val="000000"/>
                <w:sz w:val="20"/>
                <w:szCs w:val="20"/>
              </w:rPr>
            </w:pPr>
            <w:r w:rsidRPr="00F96B68">
              <w:rPr>
                <w:color w:val="000000"/>
                <w:sz w:val="20"/>
                <w:szCs w:val="20"/>
              </w:rPr>
              <w:t>24.5%</w:t>
            </w:r>
          </w:p>
        </w:tc>
        <w:tc>
          <w:tcPr>
            <w:tcW w:w="1134" w:type="dxa"/>
            <w:noWrap/>
            <w:vAlign w:val="center"/>
            <w:hideMark/>
          </w:tcPr>
          <w:p w14:paraId="2EF0F0BF" w14:textId="77777777" w:rsidR="00BE5A0D" w:rsidRPr="00F96B68" w:rsidRDefault="00BE5A0D" w:rsidP="00BE5A0D">
            <w:pPr>
              <w:spacing w:line="276" w:lineRule="auto"/>
              <w:jc w:val="right"/>
              <w:rPr>
                <w:color w:val="000000"/>
                <w:sz w:val="20"/>
                <w:szCs w:val="20"/>
              </w:rPr>
            </w:pPr>
            <w:r w:rsidRPr="00F96B68">
              <w:rPr>
                <w:color w:val="000000"/>
                <w:sz w:val="20"/>
                <w:szCs w:val="20"/>
              </w:rPr>
              <w:t>16.1%</w:t>
            </w:r>
          </w:p>
        </w:tc>
        <w:tc>
          <w:tcPr>
            <w:tcW w:w="1134" w:type="dxa"/>
            <w:noWrap/>
            <w:vAlign w:val="center"/>
            <w:hideMark/>
          </w:tcPr>
          <w:p w14:paraId="6C50930B" w14:textId="77777777" w:rsidR="00BE5A0D" w:rsidRPr="00F96B68" w:rsidRDefault="00BE5A0D" w:rsidP="00BE5A0D">
            <w:pPr>
              <w:spacing w:line="276" w:lineRule="auto"/>
              <w:jc w:val="right"/>
              <w:rPr>
                <w:color w:val="000000"/>
                <w:sz w:val="20"/>
                <w:szCs w:val="20"/>
              </w:rPr>
            </w:pPr>
            <w:r w:rsidRPr="00F96B68">
              <w:rPr>
                <w:color w:val="000000"/>
                <w:sz w:val="20"/>
                <w:szCs w:val="20"/>
              </w:rPr>
              <w:t>34.9%</w:t>
            </w:r>
          </w:p>
        </w:tc>
        <w:tc>
          <w:tcPr>
            <w:tcW w:w="2268" w:type="dxa"/>
            <w:noWrap/>
            <w:vAlign w:val="bottom"/>
            <w:hideMark/>
          </w:tcPr>
          <w:p w14:paraId="6A260E05" w14:textId="32AB4CA8" w:rsidR="00BE5A0D" w:rsidRPr="00F96B68" w:rsidRDefault="00BE5A0D" w:rsidP="00BE5A0D">
            <w:pPr>
              <w:spacing w:line="276" w:lineRule="auto"/>
              <w:jc w:val="right"/>
              <w:rPr>
                <w:color w:val="000000"/>
                <w:sz w:val="20"/>
                <w:szCs w:val="20"/>
              </w:rPr>
            </w:pPr>
            <w:r w:rsidRPr="00F96B68">
              <w:rPr>
                <w:color w:val="000000"/>
                <w:sz w:val="20"/>
                <w:szCs w:val="20"/>
              </w:rPr>
              <w:t>$983,998,064</w:t>
            </w:r>
          </w:p>
        </w:tc>
      </w:tr>
      <w:tr w:rsidR="00BE5A0D" w:rsidRPr="00DD0432" w14:paraId="4B4E6DBE" w14:textId="77777777" w:rsidTr="00F96B68">
        <w:trPr>
          <w:trHeight w:val="369"/>
        </w:trPr>
        <w:tc>
          <w:tcPr>
            <w:tcW w:w="3823" w:type="dxa"/>
            <w:noWrap/>
            <w:vAlign w:val="center"/>
            <w:hideMark/>
          </w:tcPr>
          <w:p w14:paraId="5A871DB6" w14:textId="77777777" w:rsidR="00BE5A0D" w:rsidRPr="00F96B68" w:rsidRDefault="00BE5A0D" w:rsidP="00BE5A0D">
            <w:pPr>
              <w:spacing w:line="276" w:lineRule="auto"/>
              <w:rPr>
                <w:color w:val="000000"/>
                <w:sz w:val="20"/>
                <w:szCs w:val="20"/>
              </w:rPr>
            </w:pPr>
            <w:r w:rsidRPr="00F96B68">
              <w:rPr>
                <w:color w:val="000000"/>
                <w:sz w:val="20"/>
                <w:szCs w:val="20"/>
              </w:rPr>
              <w:t>Offshore online casino games</w:t>
            </w:r>
          </w:p>
        </w:tc>
        <w:tc>
          <w:tcPr>
            <w:tcW w:w="1134" w:type="dxa"/>
            <w:noWrap/>
            <w:vAlign w:val="center"/>
            <w:hideMark/>
          </w:tcPr>
          <w:p w14:paraId="0C8BC7D5" w14:textId="77777777" w:rsidR="00BE5A0D" w:rsidRPr="00F96B68" w:rsidRDefault="00BE5A0D" w:rsidP="00BE5A0D">
            <w:pPr>
              <w:spacing w:line="276" w:lineRule="auto"/>
              <w:jc w:val="right"/>
              <w:rPr>
                <w:color w:val="000000"/>
                <w:sz w:val="20"/>
                <w:szCs w:val="20"/>
              </w:rPr>
            </w:pPr>
            <w:r w:rsidRPr="00F96B68">
              <w:rPr>
                <w:color w:val="000000"/>
                <w:sz w:val="20"/>
                <w:szCs w:val="20"/>
              </w:rPr>
              <w:t>6.1%</w:t>
            </w:r>
          </w:p>
        </w:tc>
        <w:tc>
          <w:tcPr>
            <w:tcW w:w="1134" w:type="dxa"/>
            <w:noWrap/>
            <w:vAlign w:val="center"/>
            <w:hideMark/>
          </w:tcPr>
          <w:p w14:paraId="697DDB64" w14:textId="77777777" w:rsidR="00BE5A0D" w:rsidRPr="00F96B68" w:rsidRDefault="00BE5A0D" w:rsidP="00BE5A0D">
            <w:pPr>
              <w:spacing w:line="276" w:lineRule="auto"/>
              <w:jc w:val="right"/>
              <w:rPr>
                <w:color w:val="000000"/>
                <w:sz w:val="20"/>
                <w:szCs w:val="20"/>
              </w:rPr>
            </w:pPr>
            <w:r w:rsidRPr="00F96B68">
              <w:rPr>
                <w:color w:val="000000"/>
                <w:sz w:val="20"/>
                <w:szCs w:val="20"/>
              </w:rPr>
              <w:t>2.1%</w:t>
            </w:r>
          </w:p>
        </w:tc>
        <w:tc>
          <w:tcPr>
            <w:tcW w:w="1134" w:type="dxa"/>
            <w:noWrap/>
            <w:vAlign w:val="center"/>
            <w:hideMark/>
          </w:tcPr>
          <w:p w14:paraId="1C568131" w14:textId="77777777" w:rsidR="00BE5A0D" w:rsidRPr="00F96B68" w:rsidRDefault="00BE5A0D" w:rsidP="00BE5A0D">
            <w:pPr>
              <w:spacing w:line="276" w:lineRule="auto"/>
              <w:jc w:val="right"/>
              <w:rPr>
                <w:color w:val="000000"/>
                <w:sz w:val="20"/>
                <w:szCs w:val="20"/>
              </w:rPr>
            </w:pPr>
            <w:r w:rsidRPr="00F96B68">
              <w:rPr>
                <w:color w:val="000000"/>
                <w:sz w:val="20"/>
                <w:szCs w:val="20"/>
              </w:rPr>
              <w:t>14.1%</w:t>
            </w:r>
          </w:p>
        </w:tc>
        <w:tc>
          <w:tcPr>
            <w:tcW w:w="2268" w:type="dxa"/>
            <w:noWrap/>
            <w:vAlign w:val="bottom"/>
            <w:hideMark/>
          </w:tcPr>
          <w:p w14:paraId="3DA703ED" w14:textId="70A89634" w:rsidR="00BE5A0D" w:rsidRPr="00F96B68" w:rsidRDefault="00BE5A0D" w:rsidP="00BE5A0D">
            <w:pPr>
              <w:spacing w:line="276" w:lineRule="auto"/>
              <w:jc w:val="right"/>
              <w:rPr>
                <w:color w:val="000000"/>
                <w:sz w:val="20"/>
                <w:szCs w:val="20"/>
              </w:rPr>
            </w:pPr>
            <w:r w:rsidRPr="00F96B68">
              <w:rPr>
                <w:color w:val="000000"/>
                <w:sz w:val="20"/>
                <w:szCs w:val="20"/>
              </w:rPr>
              <w:t>$246,914,012</w:t>
            </w:r>
          </w:p>
        </w:tc>
      </w:tr>
      <w:tr w:rsidR="00BE5A0D" w:rsidRPr="00DD0432" w14:paraId="1E6A44BA" w14:textId="77777777" w:rsidTr="00F96B68">
        <w:trPr>
          <w:trHeight w:val="369"/>
        </w:trPr>
        <w:tc>
          <w:tcPr>
            <w:tcW w:w="3823" w:type="dxa"/>
            <w:noWrap/>
            <w:vAlign w:val="center"/>
            <w:hideMark/>
          </w:tcPr>
          <w:p w14:paraId="1AD4F947" w14:textId="77777777" w:rsidR="00BE5A0D" w:rsidRPr="00F96B68" w:rsidRDefault="00BE5A0D" w:rsidP="00BE5A0D">
            <w:pPr>
              <w:spacing w:line="276" w:lineRule="auto"/>
              <w:rPr>
                <w:color w:val="000000"/>
                <w:sz w:val="20"/>
                <w:szCs w:val="20"/>
              </w:rPr>
            </w:pPr>
            <w:r w:rsidRPr="00F96B68">
              <w:rPr>
                <w:color w:val="000000"/>
                <w:sz w:val="20"/>
                <w:szCs w:val="20"/>
              </w:rPr>
              <w:t>Lotteries (online/venues)</w:t>
            </w:r>
          </w:p>
        </w:tc>
        <w:tc>
          <w:tcPr>
            <w:tcW w:w="1134" w:type="dxa"/>
            <w:noWrap/>
            <w:vAlign w:val="center"/>
            <w:hideMark/>
          </w:tcPr>
          <w:p w14:paraId="776BD7CE" w14:textId="77777777" w:rsidR="00BE5A0D" w:rsidRPr="00F96B68" w:rsidRDefault="00BE5A0D" w:rsidP="00BE5A0D">
            <w:pPr>
              <w:spacing w:line="276" w:lineRule="auto"/>
              <w:jc w:val="right"/>
              <w:rPr>
                <w:color w:val="000000"/>
                <w:sz w:val="20"/>
                <w:szCs w:val="20"/>
              </w:rPr>
            </w:pPr>
            <w:r w:rsidRPr="00F96B68">
              <w:rPr>
                <w:color w:val="000000"/>
                <w:sz w:val="20"/>
                <w:szCs w:val="20"/>
              </w:rPr>
              <w:t>5.7%</w:t>
            </w:r>
          </w:p>
        </w:tc>
        <w:tc>
          <w:tcPr>
            <w:tcW w:w="1134" w:type="dxa"/>
            <w:noWrap/>
            <w:vAlign w:val="center"/>
            <w:hideMark/>
          </w:tcPr>
          <w:p w14:paraId="7F42F0D2" w14:textId="77777777" w:rsidR="00BE5A0D" w:rsidRPr="00F96B68" w:rsidRDefault="00BE5A0D" w:rsidP="00BE5A0D">
            <w:pPr>
              <w:spacing w:line="276" w:lineRule="auto"/>
              <w:jc w:val="right"/>
              <w:rPr>
                <w:color w:val="000000"/>
                <w:sz w:val="20"/>
                <w:szCs w:val="20"/>
              </w:rPr>
            </w:pPr>
            <w:r w:rsidRPr="00F96B68">
              <w:rPr>
                <w:color w:val="000000"/>
                <w:sz w:val="20"/>
                <w:szCs w:val="20"/>
              </w:rPr>
              <w:t>3.9%</w:t>
            </w:r>
          </w:p>
        </w:tc>
        <w:tc>
          <w:tcPr>
            <w:tcW w:w="1134" w:type="dxa"/>
            <w:noWrap/>
            <w:vAlign w:val="center"/>
            <w:hideMark/>
          </w:tcPr>
          <w:p w14:paraId="461D9336" w14:textId="77777777" w:rsidR="00BE5A0D" w:rsidRPr="00F96B68" w:rsidRDefault="00BE5A0D" w:rsidP="00BE5A0D">
            <w:pPr>
              <w:spacing w:line="276" w:lineRule="auto"/>
              <w:jc w:val="right"/>
              <w:rPr>
                <w:color w:val="000000"/>
                <w:sz w:val="20"/>
                <w:szCs w:val="20"/>
              </w:rPr>
            </w:pPr>
            <w:r w:rsidRPr="00F96B68">
              <w:rPr>
                <w:color w:val="000000"/>
                <w:sz w:val="20"/>
                <w:szCs w:val="20"/>
              </w:rPr>
              <w:t>7.9%</w:t>
            </w:r>
          </w:p>
        </w:tc>
        <w:tc>
          <w:tcPr>
            <w:tcW w:w="2268" w:type="dxa"/>
            <w:noWrap/>
            <w:vAlign w:val="bottom"/>
            <w:hideMark/>
          </w:tcPr>
          <w:p w14:paraId="77A5603F" w14:textId="0E974C8B" w:rsidR="00BE5A0D" w:rsidRPr="00F96B68" w:rsidRDefault="00BE5A0D" w:rsidP="00BE5A0D">
            <w:pPr>
              <w:spacing w:line="276" w:lineRule="auto"/>
              <w:jc w:val="right"/>
              <w:rPr>
                <w:color w:val="000000"/>
                <w:sz w:val="20"/>
                <w:szCs w:val="20"/>
              </w:rPr>
            </w:pPr>
            <w:r w:rsidRPr="00F96B68">
              <w:rPr>
                <w:color w:val="000000"/>
                <w:sz w:val="20"/>
                <w:szCs w:val="20"/>
              </w:rPr>
              <w:t>$228,624,086</w:t>
            </w:r>
          </w:p>
        </w:tc>
      </w:tr>
      <w:tr w:rsidR="00BE5A0D" w:rsidRPr="00DD0432" w14:paraId="26AACA02" w14:textId="77777777" w:rsidTr="00F96B68">
        <w:trPr>
          <w:trHeight w:val="369"/>
        </w:trPr>
        <w:tc>
          <w:tcPr>
            <w:tcW w:w="3823" w:type="dxa"/>
            <w:noWrap/>
            <w:vAlign w:val="center"/>
            <w:hideMark/>
          </w:tcPr>
          <w:p w14:paraId="6DDB665D" w14:textId="77777777" w:rsidR="00BE5A0D" w:rsidRPr="00F96B68" w:rsidRDefault="00BE5A0D" w:rsidP="00BE5A0D">
            <w:pPr>
              <w:spacing w:line="276" w:lineRule="auto"/>
              <w:rPr>
                <w:color w:val="000000"/>
                <w:sz w:val="20"/>
                <w:szCs w:val="20"/>
              </w:rPr>
            </w:pPr>
            <w:r w:rsidRPr="00F96B68">
              <w:rPr>
                <w:color w:val="000000"/>
                <w:sz w:val="20"/>
                <w:szCs w:val="20"/>
              </w:rPr>
              <w:t>Race betting via TAB</w:t>
            </w:r>
          </w:p>
        </w:tc>
        <w:tc>
          <w:tcPr>
            <w:tcW w:w="1134" w:type="dxa"/>
            <w:noWrap/>
            <w:vAlign w:val="center"/>
            <w:hideMark/>
          </w:tcPr>
          <w:p w14:paraId="14F2F2FA" w14:textId="77777777" w:rsidR="00BE5A0D" w:rsidRPr="00F96B68" w:rsidRDefault="00BE5A0D" w:rsidP="00BE5A0D">
            <w:pPr>
              <w:spacing w:line="276" w:lineRule="auto"/>
              <w:jc w:val="right"/>
              <w:rPr>
                <w:color w:val="000000"/>
                <w:sz w:val="20"/>
                <w:szCs w:val="20"/>
              </w:rPr>
            </w:pPr>
            <w:r w:rsidRPr="00F96B68">
              <w:rPr>
                <w:color w:val="000000"/>
                <w:sz w:val="20"/>
                <w:szCs w:val="20"/>
              </w:rPr>
              <w:t>4.0%</w:t>
            </w:r>
          </w:p>
        </w:tc>
        <w:tc>
          <w:tcPr>
            <w:tcW w:w="1134" w:type="dxa"/>
            <w:noWrap/>
            <w:vAlign w:val="center"/>
            <w:hideMark/>
          </w:tcPr>
          <w:p w14:paraId="47601798" w14:textId="77777777" w:rsidR="00BE5A0D" w:rsidRPr="00F96B68" w:rsidRDefault="00BE5A0D" w:rsidP="00BE5A0D">
            <w:pPr>
              <w:spacing w:line="276" w:lineRule="auto"/>
              <w:jc w:val="right"/>
              <w:rPr>
                <w:color w:val="000000"/>
                <w:sz w:val="20"/>
                <w:szCs w:val="20"/>
              </w:rPr>
            </w:pPr>
            <w:r w:rsidRPr="00F96B68">
              <w:rPr>
                <w:color w:val="000000"/>
                <w:sz w:val="20"/>
                <w:szCs w:val="20"/>
              </w:rPr>
              <w:t>1.9%</w:t>
            </w:r>
          </w:p>
        </w:tc>
        <w:tc>
          <w:tcPr>
            <w:tcW w:w="1134" w:type="dxa"/>
            <w:noWrap/>
            <w:vAlign w:val="center"/>
            <w:hideMark/>
          </w:tcPr>
          <w:p w14:paraId="4C75F397" w14:textId="77777777" w:rsidR="00BE5A0D" w:rsidRPr="00F96B68" w:rsidRDefault="00BE5A0D" w:rsidP="00BE5A0D">
            <w:pPr>
              <w:spacing w:line="276" w:lineRule="auto"/>
              <w:jc w:val="right"/>
              <w:rPr>
                <w:color w:val="000000"/>
                <w:sz w:val="20"/>
                <w:szCs w:val="20"/>
              </w:rPr>
            </w:pPr>
            <w:r w:rsidRPr="00F96B68">
              <w:rPr>
                <w:color w:val="000000"/>
                <w:sz w:val="20"/>
                <w:szCs w:val="20"/>
              </w:rPr>
              <w:t>7.2%</w:t>
            </w:r>
          </w:p>
        </w:tc>
        <w:tc>
          <w:tcPr>
            <w:tcW w:w="2268" w:type="dxa"/>
            <w:noWrap/>
            <w:vAlign w:val="bottom"/>
            <w:hideMark/>
          </w:tcPr>
          <w:p w14:paraId="640ECBBC" w14:textId="5D602984" w:rsidR="00BE5A0D" w:rsidRPr="00F96B68" w:rsidRDefault="00BE5A0D" w:rsidP="00BE5A0D">
            <w:pPr>
              <w:spacing w:line="276" w:lineRule="auto"/>
              <w:jc w:val="right"/>
              <w:rPr>
                <w:color w:val="000000"/>
                <w:sz w:val="20"/>
                <w:szCs w:val="20"/>
              </w:rPr>
            </w:pPr>
            <w:r w:rsidRPr="00F96B68">
              <w:rPr>
                <w:color w:val="000000"/>
                <w:sz w:val="20"/>
                <w:szCs w:val="20"/>
              </w:rPr>
              <w:t>$159,122,364</w:t>
            </w:r>
          </w:p>
        </w:tc>
      </w:tr>
      <w:tr w:rsidR="00BE5A0D" w:rsidRPr="00DD0432" w14:paraId="615A70DB" w14:textId="77777777" w:rsidTr="00F96B68">
        <w:trPr>
          <w:trHeight w:val="369"/>
        </w:trPr>
        <w:tc>
          <w:tcPr>
            <w:tcW w:w="3823" w:type="dxa"/>
            <w:noWrap/>
            <w:vAlign w:val="center"/>
            <w:hideMark/>
          </w:tcPr>
          <w:p w14:paraId="011478FC" w14:textId="77777777" w:rsidR="00BE5A0D" w:rsidRPr="00F96B68" w:rsidRDefault="00BE5A0D" w:rsidP="00BE5A0D">
            <w:pPr>
              <w:spacing w:line="276" w:lineRule="auto"/>
              <w:rPr>
                <w:color w:val="000000"/>
                <w:sz w:val="20"/>
                <w:szCs w:val="20"/>
              </w:rPr>
            </w:pPr>
            <w:r w:rsidRPr="00F96B68">
              <w:rPr>
                <w:color w:val="000000"/>
                <w:sz w:val="20"/>
                <w:szCs w:val="20"/>
              </w:rPr>
              <w:t>Offshore online sports betting</w:t>
            </w:r>
          </w:p>
        </w:tc>
        <w:tc>
          <w:tcPr>
            <w:tcW w:w="1134" w:type="dxa"/>
            <w:noWrap/>
            <w:vAlign w:val="center"/>
            <w:hideMark/>
          </w:tcPr>
          <w:p w14:paraId="09720F40" w14:textId="77777777" w:rsidR="00BE5A0D" w:rsidRPr="00F96B68" w:rsidRDefault="00BE5A0D" w:rsidP="00BE5A0D">
            <w:pPr>
              <w:spacing w:line="276" w:lineRule="auto"/>
              <w:jc w:val="right"/>
              <w:rPr>
                <w:color w:val="000000"/>
                <w:sz w:val="20"/>
                <w:szCs w:val="20"/>
              </w:rPr>
            </w:pPr>
            <w:r w:rsidRPr="00F96B68">
              <w:rPr>
                <w:color w:val="000000"/>
                <w:sz w:val="20"/>
                <w:szCs w:val="20"/>
              </w:rPr>
              <w:t>3.8%</w:t>
            </w:r>
          </w:p>
        </w:tc>
        <w:tc>
          <w:tcPr>
            <w:tcW w:w="1134" w:type="dxa"/>
            <w:noWrap/>
            <w:vAlign w:val="center"/>
            <w:hideMark/>
          </w:tcPr>
          <w:p w14:paraId="77BFCA76" w14:textId="77777777" w:rsidR="00BE5A0D" w:rsidRPr="00F96B68" w:rsidRDefault="00BE5A0D" w:rsidP="00BE5A0D">
            <w:pPr>
              <w:spacing w:line="276" w:lineRule="auto"/>
              <w:jc w:val="right"/>
              <w:rPr>
                <w:color w:val="000000"/>
                <w:sz w:val="20"/>
                <w:szCs w:val="20"/>
              </w:rPr>
            </w:pPr>
            <w:r w:rsidRPr="00F96B68">
              <w:rPr>
                <w:color w:val="000000"/>
                <w:sz w:val="20"/>
                <w:szCs w:val="20"/>
              </w:rPr>
              <w:t>0.7%</w:t>
            </w:r>
          </w:p>
        </w:tc>
        <w:tc>
          <w:tcPr>
            <w:tcW w:w="1134" w:type="dxa"/>
            <w:noWrap/>
            <w:vAlign w:val="center"/>
            <w:hideMark/>
          </w:tcPr>
          <w:p w14:paraId="13C70FC3" w14:textId="77777777" w:rsidR="00BE5A0D" w:rsidRPr="00F96B68" w:rsidRDefault="00BE5A0D" w:rsidP="00BE5A0D">
            <w:pPr>
              <w:spacing w:line="276" w:lineRule="auto"/>
              <w:jc w:val="right"/>
              <w:rPr>
                <w:color w:val="000000"/>
                <w:sz w:val="20"/>
                <w:szCs w:val="20"/>
              </w:rPr>
            </w:pPr>
            <w:r w:rsidRPr="00F96B68">
              <w:rPr>
                <w:color w:val="000000"/>
                <w:sz w:val="20"/>
                <w:szCs w:val="20"/>
              </w:rPr>
              <w:t>8.8%</w:t>
            </w:r>
          </w:p>
        </w:tc>
        <w:tc>
          <w:tcPr>
            <w:tcW w:w="2268" w:type="dxa"/>
            <w:noWrap/>
            <w:vAlign w:val="bottom"/>
            <w:hideMark/>
          </w:tcPr>
          <w:p w14:paraId="56B46383" w14:textId="4D258F8F" w:rsidR="00BE5A0D" w:rsidRPr="00F96B68" w:rsidRDefault="00BE5A0D" w:rsidP="00BE5A0D">
            <w:pPr>
              <w:spacing w:line="276" w:lineRule="auto"/>
              <w:jc w:val="right"/>
              <w:rPr>
                <w:color w:val="000000"/>
                <w:sz w:val="20"/>
                <w:szCs w:val="20"/>
              </w:rPr>
            </w:pPr>
            <w:r w:rsidRPr="00F96B68">
              <w:rPr>
                <w:color w:val="000000"/>
                <w:sz w:val="20"/>
                <w:szCs w:val="20"/>
              </w:rPr>
              <w:t>$151,806,393</w:t>
            </w:r>
          </w:p>
        </w:tc>
      </w:tr>
      <w:tr w:rsidR="00BE5A0D" w:rsidRPr="00DD0432" w14:paraId="2D13D1BF" w14:textId="77777777" w:rsidTr="00F96B68">
        <w:trPr>
          <w:trHeight w:val="369"/>
        </w:trPr>
        <w:tc>
          <w:tcPr>
            <w:tcW w:w="3823" w:type="dxa"/>
            <w:noWrap/>
            <w:vAlign w:val="center"/>
            <w:hideMark/>
          </w:tcPr>
          <w:p w14:paraId="65A85A59" w14:textId="77777777" w:rsidR="00BE5A0D" w:rsidRPr="00F96B68" w:rsidRDefault="00BE5A0D" w:rsidP="00BE5A0D">
            <w:pPr>
              <w:spacing w:line="276" w:lineRule="auto"/>
              <w:rPr>
                <w:color w:val="000000"/>
                <w:sz w:val="20"/>
                <w:szCs w:val="20"/>
              </w:rPr>
            </w:pPr>
            <w:r w:rsidRPr="00F96B68">
              <w:rPr>
                <w:color w:val="000000"/>
                <w:sz w:val="20"/>
                <w:szCs w:val="20"/>
              </w:rPr>
              <w:t>EGMs in casinos</w:t>
            </w:r>
          </w:p>
        </w:tc>
        <w:tc>
          <w:tcPr>
            <w:tcW w:w="1134" w:type="dxa"/>
            <w:noWrap/>
            <w:vAlign w:val="center"/>
            <w:hideMark/>
          </w:tcPr>
          <w:p w14:paraId="069EEB8A" w14:textId="77777777" w:rsidR="00BE5A0D" w:rsidRPr="00F96B68" w:rsidRDefault="00BE5A0D" w:rsidP="00BE5A0D">
            <w:pPr>
              <w:spacing w:line="276" w:lineRule="auto"/>
              <w:jc w:val="right"/>
              <w:rPr>
                <w:color w:val="000000"/>
                <w:sz w:val="20"/>
                <w:szCs w:val="20"/>
              </w:rPr>
            </w:pPr>
            <w:r w:rsidRPr="00F96B68">
              <w:rPr>
                <w:color w:val="000000"/>
                <w:sz w:val="20"/>
                <w:szCs w:val="20"/>
              </w:rPr>
              <w:t>3.5%</w:t>
            </w:r>
          </w:p>
        </w:tc>
        <w:tc>
          <w:tcPr>
            <w:tcW w:w="1134" w:type="dxa"/>
            <w:noWrap/>
            <w:vAlign w:val="center"/>
            <w:hideMark/>
          </w:tcPr>
          <w:p w14:paraId="19BED37E" w14:textId="77777777" w:rsidR="00BE5A0D" w:rsidRPr="00F96B68" w:rsidRDefault="00BE5A0D" w:rsidP="00BE5A0D">
            <w:pPr>
              <w:spacing w:line="276" w:lineRule="auto"/>
              <w:jc w:val="right"/>
              <w:rPr>
                <w:color w:val="000000"/>
                <w:sz w:val="20"/>
                <w:szCs w:val="20"/>
              </w:rPr>
            </w:pPr>
            <w:r w:rsidRPr="00F96B68">
              <w:rPr>
                <w:color w:val="000000"/>
                <w:sz w:val="20"/>
                <w:szCs w:val="20"/>
              </w:rPr>
              <w:t>1.7%</w:t>
            </w:r>
          </w:p>
        </w:tc>
        <w:tc>
          <w:tcPr>
            <w:tcW w:w="1134" w:type="dxa"/>
            <w:noWrap/>
            <w:vAlign w:val="center"/>
            <w:hideMark/>
          </w:tcPr>
          <w:p w14:paraId="48C451C1" w14:textId="77777777" w:rsidR="00BE5A0D" w:rsidRPr="00F96B68" w:rsidRDefault="00BE5A0D" w:rsidP="00BE5A0D">
            <w:pPr>
              <w:spacing w:line="276" w:lineRule="auto"/>
              <w:jc w:val="right"/>
              <w:rPr>
                <w:color w:val="000000"/>
                <w:sz w:val="20"/>
                <w:szCs w:val="20"/>
              </w:rPr>
            </w:pPr>
            <w:r w:rsidRPr="00F96B68">
              <w:rPr>
                <w:color w:val="000000"/>
                <w:sz w:val="20"/>
                <w:szCs w:val="20"/>
              </w:rPr>
              <w:t>6.9%</w:t>
            </w:r>
          </w:p>
        </w:tc>
        <w:tc>
          <w:tcPr>
            <w:tcW w:w="2268" w:type="dxa"/>
            <w:noWrap/>
            <w:vAlign w:val="bottom"/>
            <w:hideMark/>
          </w:tcPr>
          <w:p w14:paraId="2E812FCF" w14:textId="35013C4A" w:rsidR="00BE5A0D" w:rsidRPr="00F96B68" w:rsidRDefault="00BE5A0D" w:rsidP="00BE5A0D">
            <w:pPr>
              <w:spacing w:line="276" w:lineRule="auto"/>
              <w:jc w:val="right"/>
              <w:rPr>
                <w:color w:val="000000"/>
                <w:sz w:val="20"/>
                <w:szCs w:val="20"/>
              </w:rPr>
            </w:pPr>
            <w:r w:rsidRPr="00F96B68">
              <w:rPr>
                <w:color w:val="000000"/>
                <w:sz w:val="20"/>
                <w:szCs w:val="20"/>
              </w:rPr>
              <w:t>$140,832,437</w:t>
            </w:r>
          </w:p>
        </w:tc>
      </w:tr>
      <w:tr w:rsidR="00BE5A0D" w:rsidRPr="00DD0432" w14:paraId="46B048A7" w14:textId="77777777" w:rsidTr="00F96B68">
        <w:trPr>
          <w:trHeight w:val="369"/>
        </w:trPr>
        <w:tc>
          <w:tcPr>
            <w:tcW w:w="3823" w:type="dxa"/>
            <w:noWrap/>
            <w:vAlign w:val="center"/>
            <w:hideMark/>
          </w:tcPr>
          <w:p w14:paraId="6C62530B" w14:textId="2F355FB1" w:rsidR="00BE5A0D" w:rsidRPr="00F96B68" w:rsidRDefault="00BE5A0D" w:rsidP="00BE5A0D">
            <w:pPr>
              <w:spacing w:line="276" w:lineRule="auto"/>
              <w:rPr>
                <w:color w:val="000000"/>
                <w:sz w:val="20"/>
                <w:szCs w:val="20"/>
              </w:rPr>
            </w:pPr>
            <w:r w:rsidRPr="00F96B68">
              <w:rPr>
                <w:color w:val="000000"/>
                <w:sz w:val="20"/>
                <w:szCs w:val="20"/>
              </w:rPr>
              <w:t>Instant Kiwi in venues</w:t>
            </w:r>
          </w:p>
        </w:tc>
        <w:tc>
          <w:tcPr>
            <w:tcW w:w="1134" w:type="dxa"/>
            <w:noWrap/>
            <w:vAlign w:val="center"/>
            <w:hideMark/>
          </w:tcPr>
          <w:p w14:paraId="1318B1DA" w14:textId="77777777" w:rsidR="00BE5A0D" w:rsidRPr="00F96B68" w:rsidRDefault="00BE5A0D" w:rsidP="00BE5A0D">
            <w:pPr>
              <w:spacing w:line="276" w:lineRule="auto"/>
              <w:jc w:val="right"/>
              <w:rPr>
                <w:color w:val="000000"/>
                <w:sz w:val="20"/>
                <w:szCs w:val="20"/>
              </w:rPr>
            </w:pPr>
            <w:r w:rsidRPr="00F96B68">
              <w:rPr>
                <w:color w:val="000000"/>
                <w:sz w:val="20"/>
                <w:szCs w:val="20"/>
              </w:rPr>
              <w:t>3.2%</w:t>
            </w:r>
          </w:p>
        </w:tc>
        <w:tc>
          <w:tcPr>
            <w:tcW w:w="1134" w:type="dxa"/>
            <w:noWrap/>
            <w:vAlign w:val="center"/>
            <w:hideMark/>
          </w:tcPr>
          <w:p w14:paraId="356BBE67" w14:textId="77777777" w:rsidR="00BE5A0D" w:rsidRPr="00F96B68" w:rsidRDefault="00BE5A0D" w:rsidP="00BE5A0D">
            <w:pPr>
              <w:spacing w:line="276" w:lineRule="auto"/>
              <w:jc w:val="right"/>
              <w:rPr>
                <w:color w:val="000000"/>
                <w:sz w:val="20"/>
                <w:szCs w:val="20"/>
              </w:rPr>
            </w:pPr>
            <w:r w:rsidRPr="00F96B68">
              <w:rPr>
                <w:color w:val="000000"/>
                <w:sz w:val="20"/>
                <w:szCs w:val="20"/>
              </w:rPr>
              <w:t>1.6%</w:t>
            </w:r>
          </w:p>
        </w:tc>
        <w:tc>
          <w:tcPr>
            <w:tcW w:w="1134" w:type="dxa"/>
            <w:noWrap/>
            <w:vAlign w:val="center"/>
            <w:hideMark/>
          </w:tcPr>
          <w:p w14:paraId="017456D4" w14:textId="77777777" w:rsidR="00BE5A0D" w:rsidRPr="00F96B68" w:rsidRDefault="00BE5A0D" w:rsidP="00BE5A0D">
            <w:pPr>
              <w:spacing w:line="276" w:lineRule="auto"/>
              <w:jc w:val="right"/>
              <w:rPr>
                <w:color w:val="000000"/>
                <w:sz w:val="20"/>
                <w:szCs w:val="20"/>
              </w:rPr>
            </w:pPr>
            <w:r w:rsidRPr="00F96B68">
              <w:rPr>
                <w:color w:val="000000"/>
                <w:sz w:val="20"/>
                <w:szCs w:val="20"/>
              </w:rPr>
              <w:t>5.5%</w:t>
            </w:r>
          </w:p>
        </w:tc>
        <w:tc>
          <w:tcPr>
            <w:tcW w:w="2268" w:type="dxa"/>
            <w:noWrap/>
            <w:vAlign w:val="bottom"/>
            <w:hideMark/>
          </w:tcPr>
          <w:p w14:paraId="6733BB96" w14:textId="0B72A679" w:rsidR="00BE5A0D" w:rsidRPr="00F96B68" w:rsidRDefault="00BE5A0D" w:rsidP="00BE5A0D">
            <w:pPr>
              <w:spacing w:line="276" w:lineRule="auto"/>
              <w:jc w:val="right"/>
              <w:rPr>
                <w:color w:val="000000"/>
                <w:sz w:val="20"/>
                <w:szCs w:val="20"/>
              </w:rPr>
            </w:pPr>
            <w:r w:rsidRPr="00F96B68">
              <w:rPr>
                <w:color w:val="000000"/>
                <w:sz w:val="20"/>
                <w:szCs w:val="20"/>
              </w:rPr>
              <w:t>$128,029,488</w:t>
            </w:r>
          </w:p>
        </w:tc>
      </w:tr>
      <w:tr w:rsidR="00BE5A0D" w:rsidRPr="00DD0432" w14:paraId="5A59AD4A" w14:textId="77777777" w:rsidTr="00F96B68">
        <w:trPr>
          <w:trHeight w:val="369"/>
        </w:trPr>
        <w:tc>
          <w:tcPr>
            <w:tcW w:w="3823" w:type="dxa"/>
            <w:noWrap/>
            <w:vAlign w:val="center"/>
            <w:hideMark/>
          </w:tcPr>
          <w:p w14:paraId="73E007D4" w14:textId="276607E0" w:rsidR="00BE5A0D" w:rsidRPr="00F96B68" w:rsidRDefault="00BE5A0D" w:rsidP="00BE5A0D">
            <w:pPr>
              <w:spacing w:line="276" w:lineRule="auto"/>
              <w:rPr>
                <w:color w:val="000000"/>
                <w:sz w:val="20"/>
                <w:szCs w:val="20"/>
              </w:rPr>
            </w:pPr>
            <w:r w:rsidRPr="00F96B68">
              <w:rPr>
                <w:color w:val="000000"/>
                <w:sz w:val="20"/>
                <w:szCs w:val="20"/>
              </w:rPr>
              <w:t>Instant Kiwi online</w:t>
            </w:r>
          </w:p>
        </w:tc>
        <w:tc>
          <w:tcPr>
            <w:tcW w:w="1134" w:type="dxa"/>
            <w:noWrap/>
            <w:vAlign w:val="center"/>
            <w:hideMark/>
          </w:tcPr>
          <w:p w14:paraId="7499560F" w14:textId="77777777" w:rsidR="00BE5A0D" w:rsidRPr="00F96B68" w:rsidRDefault="00BE5A0D" w:rsidP="00BE5A0D">
            <w:pPr>
              <w:spacing w:line="276" w:lineRule="auto"/>
              <w:jc w:val="right"/>
              <w:rPr>
                <w:color w:val="000000"/>
                <w:sz w:val="20"/>
                <w:szCs w:val="20"/>
              </w:rPr>
            </w:pPr>
            <w:r w:rsidRPr="00F96B68">
              <w:rPr>
                <w:color w:val="000000"/>
                <w:sz w:val="20"/>
                <w:szCs w:val="20"/>
              </w:rPr>
              <w:t>3.0%</w:t>
            </w:r>
          </w:p>
        </w:tc>
        <w:tc>
          <w:tcPr>
            <w:tcW w:w="1134" w:type="dxa"/>
            <w:noWrap/>
            <w:vAlign w:val="center"/>
            <w:hideMark/>
          </w:tcPr>
          <w:p w14:paraId="39877C01" w14:textId="77777777" w:rsidR="00BE5A0D" w:rsidRPr="00F96B68" w:rsidRDefault="00BE5A0D" w:rsidP="00BE5A0D">
            <w:pPr>
              <w:spacing w:line="276" w:lineRule="auto"/>
              <w:jc w:val="right"/>
              <w:rPr>
                <w:color w:val="000000"/>
                <w:sz w:val="20"/>
                <w:szCs w:val="20"/>
              </w:rPr>
            </w:pPr>
            <w:r w:rsidRPr="00F96B68">
              <w:rPr>
                <w:color w:val="000000"/>
                <w:sz w:val="20"/>
                <w:szCs w:val="20"/>
              </w:rPr>
              <w:t>1.3%</w:t>
            </w:r>
          </w:p>
        </w:tc>
        <w:tc>
          <w:tcPr>
            <w:tcW w:w="1134" w:type="dxa"/>
            <w:noWrap/>
            <w:vAlign w:val="center"/>
            <w:hideMark/>
          </w:tcPr>
          <w:p w14:paraId="1DAD0443" w14:textId="77777777" w:rsidR="00BE5A0D" w:rsidRPr="00F96B68" w:rsidRDefault="00BE5A0D" w:rsidP="00BE5A0D">
            <w:pPr>
              <w:spacing w:line="276" w:lineRule="auto"/>
              <w:jc w:val="right"/>
              <w:rPr>
                <w:color w:val="000000"/>
                <w:sz w:val="20"/>
                <w:szCs w:val="20"/>
              </w:rPr>
            </w:pPr>
            <w:r w:rsidRPr="00F96B68">
              <w:rPr>
                <w:color w:val="000000"/>
                <w:sz w:val="20"/>
                <w:szCs w:val="20"/>
              </w:rPr>
              <w:t>6.2%</w:t>
            </w:r>
          </w:p>
        </w:tc>
        <w:tc>
          <w:tcPr>
            <w:tcW w:w="2268" w:type="dxa"/>
            <w:noWrap/>
            <w:vAlign w:val="bottom"/>
            <w:hideMark/>
          </w:tcPr>
          <w:p w14:paraId="11894646" w14:textId="48691D4A" w:rsidR="00BE5A0D" w:rsidRPr="00F96B68" w:rsidRDefault="00BE5A0D" w:rsidP="00BE5A0D">
            <w:pPr>
              <w:spacing w:line="276" w:lineRule="auto"/>
              <w:jc w:val="right"/>
              <w:rPr>
                <w:color w:val="000000"/>
                <w:sz w:val="20"/>
                <w:szCs w:val="20"/>
              </w:rPr>
            </w:pPr>
            <w:r w:rsidRPr="00F96B68">
              <w:rPr>
                <w:color w:val="000000"/>
                <w:sz w:val="20"/>
                <w:szCs w:val="20"/>
              </w:rPr>
              <w:t>$120,713,517</w:t>
            </w:r>
          </w:p>
        </w:tc>
      </w:tr>
      <w:tr w:rsidR="00BE5A0D" w:rsidRPr="00DD0432" w14:paraId="0DCB0A82" w14:textId="77777777" w:rsidTr="00F96B68">
        <w:trPr>
          <w:trHeight w:val="369"/>
        </w:trPr>
        <w:tc>
          <w:tcPr>
            <w:tcW w:w="3823" w:type="dxa"/>
            <w:noWrap/>
            <w:vAlign w:val="center"/>
            <w:hideMark/>
          </w:tcPr>
          <w:p w14:paraId="3D59E31F" w14:textId="77777777" w:rsidR="00BE5A0D" w:rsidRPr="00F96B68" w:rsidRDefault="00BE5A0D" w:rsidP="00BE5A0D">
            <w:pPr>
              <w:spacing w:line="276" w:lineRule="auto"/>
              <w:rPr>
                <w:color w:val="000000"/>
                <w:sz w:val="20"/>
                <w:szCs w:val="20"/>
              </w:rPr>
            </w:pPr>
            <w:r w:rsidRPr="00F96B68">
              <w:rPr>
                <w:color w:val="000000"/>
                <w:sz w:val="20"/>
                <w:szCs w:val="20"/>
              </w:rPr>
              <w:t>Sports betting via TAB</w:t>
            </w:r>
          </w:p>
        </w:tc>
        <w:tc>
          <w:tcPr>
            <w:tcW w:w="1134" w:type="dxa"/>
            <w:noWrap/>
            <w:vAlign w:val="center"/>
            <w:hideMark/>
          </w:tcPr>
          <w:p w14:paraId="3C6B040A" w14:textId="77777777" w:rsidR="00BE5A0D" w:rsidRPr="00F96B68" w:rsidRDefault="00BE5A0D" w:rsidP="00BE5A0D">
            <w:pPr>
              <w:spacing w:line="276" w:lineRule="auto"/>
              <w:jc w:val="right"/>
              <w:rPr>
                <w:color w:val="000000"/>
                <w:sz w:val="20"/>
                <w:szCs w:val="20"/>
              </w:rPr>
            </w:pPr>
            <w:r w:rsidRPr="00F96B68">
              <w:rPr>
                <w:color w:val="000000"/>
                <w:sz w:val="20"/>
                <w:szCs w:val="20"/>
              </w:rPr>
              <w:t>2.8%</w:t>
            </w:r>
          </w:p>
        </w:tc>
        <w:tc>
          <w:tcPr>
            <w:tcW w:w="1134" w:type="dxa"/>
            <w:noWrap/>
            <w:vAlign w:val="center"/>
            <w:hideMark/>
          </w:tcPr>
          <w:p w14:paraId="7086BD0F" w14:textId="77777777" w:rsidR="00BE5A0D" w:rsidRPr="00F96B68" w:rsidRDefault="00BE5A0D" w:rsidP="00BE5A0D">
            <w:pPr>
              <w:spacing w:line="276" w:lineRule="auto"/>
              <w:jc w:val="right"/>
              <w:rPr>
                <w:color w:val="000000"/>
                <w:sz w:val="20"/>
                <w:szCs w:val="20"/>
              </w:rPr>
            </w:pPr>
            <w:r w:rsidRPr="00F96B68">
              <w:rPr>
                <w:color w:val="000000"/>
                <w:sz w:val="20"/>
                <w:szCs w:val="20"/>
              </w:rPr>
              <w:t>1.0%</w:t>
            </w:r>
          </w:p>
        </w:tc>
        <w:tc>
          <w:tcPr>
            <w:tcW w:w="1134" w:type="dxa"/>
            <w:noWrap/>
            <w:vAlign w:val="center"/>
            <w:hideMark/>
          </w:tcPr>
          <w:p w14:paraId="7C0FE8F3" w14:textId="77777777" w:rsidR="00BE5A0D" w:rsidRPr="00F96B68" w:rsidRDefault="00BE5A0D" w:rsidP="00BE5A0D">
            <w:pPr>
              <w:spacing w:line="276" w:lineRule="auto"/>
              <w:jc w:val="right"/>
              <w:rPr>
                <w:color w:val="000000"/>
                <w:sz w:val="20"/>
                <w:szCs w:val="20"/>
              </w:rPr>
            </w:pPr>
            <w:r w:rsidRPr="00F96B68">
              <w:rPr>
                <w:color w:val="000000"/>
                <w:sz w:val="20"/>
                <w:szCs w:val="20"/>
              </w:rPr>
              <w:t>6.1%</w:t>
            </w:r>
          </w:p>
        </w:tc>
        <w:tc>
          <w:tcPr>
            <w:tcW w:w="2268" w:type="dxa"/>
            <w:noWrap/>
            <w:vAlign w:val="bottom"/>
            <w:hideMark/>
          </w:tcPr>
          <w:p w14:paraId="09689FE7" w14:textId="0395759B" w:rsidR="00BE5A0D" w:rsidRPr="00F96B68" w:rsidRDefault="00BE5A0D" w:rsidP="00BE5A0D">
            <w:pPr>
              <w:spacing w:line="276" w:lineRule="auto"/>
              <w:jc w:val="right"/>
              <w:rPr>
                <w:color w:val="000000"/>
                <w:sz w:val="20"/>
                <w:szCs w:val="20"/>
              </w:rPr>
            </w:pPr>
            <w:r w:rsidRPr="00F96B68">
              <w:rPr>
                <w:color w:val="000000"/>
                <w:sz w:val="20"/>
                <w:szCs w:val="20"/>
              </w:rPr>
              <w:t>$113,397,546</w:t>
            </w:r>
          </w:p>
        </w:tc>
      </w:tr>
      <w:tr w:rsidR="00BE5A0D" w:rsidRPr="00DD0432" w14:paraId="230001B9" w14:textId="77777777" w:rsidTr="00F96B68">
        <w:trPr>
          <w:trHeight w:val="369"/>
        </w:trPr>
        <w:tc>
          <w:tcPr>
            <w:tcW w:w="3823" w:type="dxa"/>
            <w:noWrap/>
            <w:vAlign w:val="center"/>
            <w:hideMark/>
          </w:tcPr>
          <w:p w14:paraId="415EC96F" w14:textId="77777777" w:rsidR="00BE5A0D" w:rsidRPr="00F96B68" w:rsidRDefault="00BE5A0D" w:rsidP="00BE5A0D">
            <w:pPr>
              <w:spacing w:line="276" w:lineRule="auto"/>
              <w:rPr>
                <w:color w:val="000000"/>
                <w:sz w:val="20"/>
                <w:szCs w:val="20"/>
              </w:rPr>
            </w:pPr>
            <w:r w:rsidRPr="00F96B68">
              <w:rPr>
                <w:color w:val="000000"/>
                <w:sz w:val="20"/>
                <w:szCs w:val="20"/>
              </w:rPr>
              <w:t>Bingo (social)</w:t>
            </w:r>
          </w:p>
        </w:tc>
        <w:tc>
          <w:tcPr>
            <w:tcW w:w="1134" w:type="dxa"/>
            <w:noWrap/>
            <w:vAlign w:val="center"/>
            <w:hideMark/>
          </w:tcPr>
          <w:p w14:paraId="6C62879B" w14:textId="77777777" w:rsidR="00BE5A0D" w:rsidRPr="00F96B68" w:rsidRDefault="00BE5A0D" w:rsidP="00BE5A0D">
            <w:pPr>
              <w:spacing w:line="276" w:lineRule="auto"/>
              <w:jc w:val="right"/>
              <w:rPr>
                <w:color w:val="000000"/>
                <w:sz w:val="20"/>
                <w:szCs w:val="20"/>
              </w:rPr>
            </w:pPr>
            <w:r w:rsidRPr="00F96B68">
              <w:rPr>
                <w:color w:val="000000"/>
                <w:sz w:val="20"/>
                <w:szCs w:val="20"/>
              </w:rPr>
              <w:t>2.3%</w:t>
            </w:r>
          </w:p>
        </w:tc>
        <w:tc>
          <w:tcPr>
            <w:tcW w:w="1134" w:type="dxa"/>
            <w:noWrap/>
            <w:vAlign w:val="center"/>
            <w:hideMark/>
          </w:tcPr>
          <w:p w14:paraId="1AF92ECF" w14:textId="77777777" w:rsidR="00BE5A0D" w:rsidRPr="00F96B68" w:rsidRDefault="00BE5A0D" w:rsidP="00BE5A0D">
            <w:pPr>
              <w:spacing w:line="276" w:lineRule="auto"/>
              <w:jc w:val="right"/>
              <w:rPr>
                <w:color w:val="000000"/>
                <w:sz w:val="20"/>
                <w:szCs w:val="20"/>
              </w:rPr>
            </w:pPr>
            <w:r w:rsidRPr="00F96B68">
              <w:rPr>
                <w:color w:val="000000"/>
                <w:sz w:val="20"/>
                <w:szCs w:val="20"/>
              </w:rPr>
              <w:t>0.6%</w:t>
            </w:r>
          </w:p>
        </w:tc>
        <w:tc>
          <w:tcPr>
            <w:tcW w:w="1134" w:type="dxa"/>
            <w:noWrap/>
            <w:vAlign w:val="center"/>
            <w:hideMark/>
          </w:tcPr>
          <w:p w14:paraId="64858B72" w14:textId="77777777" w:rsidR="00BE5A0D" w:rsidRPr="00F96B68" w:rsidRDefault="00BE5A0D" w:rsidP="00BE5A0D">
            <w:pPr>
              <w:spacing w:line="276" w:lineRule="auto"/>
              <w:jc w:val="right"/>
              <w:rPr>
                <w:color w:val="000000"/>
                <w:sz w:val="20"/>
                <w:szCs w:val="20"/>
              </w:rPr>
            </w:pPr>
            <w:r w:rsidRPr="00F96B68">
              <w:rPr>
                <w:color w:val="000000"/>
                <w:sz w:val="20"/>
                <w:szCs w:val="20"/>
              </w:rPr>
              <w:t>5.8%</w:t>
            </w:r>
          </w:p>
        </w:tc>
        <w:tc>
          <w:tcPr>
            <w:tcW w:w="2268" w:type="dxa"/>
            <w:noWrap/>
            <w:vAlign w:val="bottom"/>
            <w:hideMark/>
          </w:tcPr>
          <w:p w14:paraId="724382DB" w14:textId="17CD66FF" w:rsidR="00BE5A0D" w:rsidRPr="00F96B68" w:rsidRDefault="00BE5A0D" w:rsidP="00BE5A0D">
            <w:pPr>
              <w:spacing w:line="276" w:lineRule="auto"/>
              <w:jc w:val="right"/>
              <w:rPr>
                <w:color w:val="000000"/>
                <w:sz w:val="20"/>
                <w:szCs w:val="20"/>
              </w:rPr>
            </w:pPr>
            <w:r w:rsidRPr="00F96B68">
              <w:rPr>
                <w:color w:val="000000"/>
                <w:sz w:val="20"/>
                <w:szCs w:val="20"/>
              </w:rPr>
              <w:t>$91,449,634</w:t>
            </w:r>
          </w:p>
        </w:tc>
      </w:tr>
      <w:tr w:rsidR="00BE5A0D" w:rsidRPr="00DD0432" w14:paraId="7C3B4C7F" w14:textId="77777777" w:rsidTr="00F96B68">
        <w:trPr>
          <w:trHeight w:val="369"/>
        </w:trPr>
        <w:tc>
          <w:tcPr>
            <w:tcW w:w="3823" w:type="dxa"/>
            <w:noWrap/>
            <w:vAlign w:val="center"/>
            <w:hideMark/>
          </w:tcPr>
          <w:p w14:paraId="524EDAEA" w14:textId="77777777" w:rsidR="00BE5A0D" w:rsidRPr="00F96B68" w:rsidRDefault="00BE5A0D" w:rsidP="00BE5A0D">
            <w:pPr>
              <w:spacing w:line="276" w:lineRule="auto"/>
              <w:rPr>
                <w:color w:val="000000"/>
                <w:sz w:val="20"/>
                <w:szCs w:val="20"/>
              </w:rPr>
            </w:pPr>
            <w:r w:rsidRPr="00F96B68">
              <w:rPr>
                <w:color w:val="000000"/>
                <w:sz w:val="20"/>
                <w:szCs w:val="20"/>
              </w:rPr>
              <w:t>Table games in casinos</w:t>
            </w:r>
          </w:p>
        </w:tc>
        <w:tc>
          <w:tcPr>
            <w:tcW w:w="1134" w:type="dxa"/>
            <w:noWrap/>
            <w:vAlign w:val="center"/>
            <w:hideMark/>
          </w:tcPr>
          <w:p w14:paraId="36313281" w14:textId="77777777" w:rsidR="00BE5A0D" w:rsidRPr="00F96B68" w:rsidRDefault="00BE5A0D" w:rsidP="00BE5A0D">
            <w:pPr>
              <w:spacing w:line="276" w:lineRule="auto"/>
              <w:jc w:val="right"/>
              <w:rPr>
                <w:color w:val="000000"/>
                <w:sz w:val="20"/>
                <w:szCs w:val="20"/>
              </w:rPr>
            </w:pPr>
            <w:r w:rsidRPr="00F96B68">
              <w:rPr>
                <w:color w:val="000000"/>
                <w:sz w:val="20"/>
                <w:szCs w:val="20"/>
              </w:rPr>
              <w:t>1.1%</w:t>
            </w:r>
          </w:p>
        </w:tc>
        <w:tc>
          <w:tcPr>
            <w:tcW w:w="1134" w:type="dxa"/>
            <w:noWrap/>
            <w:vAlign w:val="center"/>
            <w:hideMark/>
          </w:tcPr>
          <w:p w14:paraId="186B3D22" w14:textId="77777777" w:rsidR="00BE5A0D" w:rsidRPr="00F96B68" w:rsidRDefault="00BE5A0D" w:rsidP="00BE5A0D">
            <w:pPr>
              <w:spacing w:line="276" w:lineRule="auto"/>
              <w:jc w:val="right"/>
              <w:rPr>
                <w:color w:val="000000"/>
                <w:sz w:val="20"/>
                <w:szCs w:val="20"/>
              </w:rPr>
            </w:pPr>
            <w:r w:rsidRPr="00F96B68">
              <w:rPr>
                <w:color w:val="000000"/>
                <w:sz w:val="20"/>
                <w:szCs w:val="20"/>
              </w:rPr>
              <w:t>0.3%</w:t>
            </w:r>
          </w:p>
        </w:tc>
        <w:tc>
          <w:tcPr>
            <w:tcW w:w="1134" w:type="dxa"/>
            <w:noWrap/>
            <w:vAlign w:val="center"/>
            <w:hideMark/>
          </w:tcPr>
          <w:p w14:paraId="6514F2A7" w14:textId="77777777" w:rsidR="00BE5A0D" w:rsidRPr="00F96B68" w:rsidRDefault="00BE5A0D" w:rsidP="00BE5A0D">
            <w:pPr>
              <w:spacing w:line="276" w:lineRule="auto"/>
              <w:jc w:val="right"/>
              <w:rPr>
                <w:color w:val="000000"/>
                <w:sz w:val="20"/>
                <w:szCs w:val="20"/>
              </w:rPr>
            </w:pPr>
            <w:r w:rsidRPr="00F96B68">
              <w:rPr>
                <w:color w:val="000000"/>
                <w:sz w:val="20"/>
                <w:szCs w:val="20"/>
              </w:rPr>
              <w:t>2.9%</w:t>
            </w:r>
          </w:p>
        </w:tc>
        <w:tc>
          <w:tcPr>
            <w:tcW w:w="2268" w:type="dxa"/>
            <w:noWrap/>
            <w:vAlign w:val="bottom"/>
            <w:hideMark/>
          </w:tcPr>
          <w:p w14:paraId="6FADDE6F" w14:textId="3DF4F424" w:rsidR="00BE5A0D" w:rsidRPr="00F96B68" w:rsidRDefault="00BE5A0D" w:rsidP="00BE5A0D">
            <w:pPr>
              <w:spacing w:line="276" w:lineRule="auto"/>
              <w:jc w:val="right"/>
              <w:rPr>
                <w:color w:val="000000"/>
                <w:sz w:val="20"/>
                <w:szCs w:val="20"/>
              </w:rPr>
            </w:pPr>
            <w:r w:rsidRPr="00F96B68">
              <w:rPr>
                <w:color w:val="000000"/>
                <w:sz w:val="20"/>
                <w:szCs w:val="20"/>
              </w:rPr>
              <w:t>$43,895,824</w:t>
            </w:r>
          </w:p>
        </w:tc>
      </w:tr>
      <w:tr w:rsidR="00BE5A0D" w:rsidRPr="00DD0432" w14:paraId="3C9A6CFC" w14:textId="77777777" w:rsidTr="00F96B68">
        <w:trPr>
          <w:trHeight w:val="369"/>
        </w:trPr>
        <w:tc>
          <w:tcPr>
            <w:tcW w:w="3823" w:type="dxa"/>
            <w:noWrap/>
            <w:vAlign w:val="center"/>
            <w:hideMark/>
          </w:tcPr>
          <w:p w14:paraId="09F28DDD" w14:textId="77777777" w:rsidR="00BE5A0D" w:rsidRPr="00F96B68" w:rsidRDefault="00BE5A0D" w:rsidP="00BE5A0D">
            <w:pPr>
              <w:spacing w:line="276" w:lineRule="auto"/>
              <w:rPr>
                <w:color w:val="000000"/>
                <w:sz w:val="20"/>
                <w:szCs w:val="20"/>
              </w:rPr>
            </w:pPr>
            <w:r w:rsidRPr="00F96B68">
              <w:rPr>
                <w:color w:val="000000"/>
                <w:sz w:val="20"/>
                <w:szCs w:val="20"/>
              </w:rPr>
              <w:t>Offshore online esports betting</w:t>
            </w:r>
          </w:p>
        </w:tc>
        <w:tc>
          <w:tcPr>
            <w:tcW w:w="1134" w:type="dxa"/>
            <w:noWrap/>
            <w:vAlign w:val="center"/>
            <w:hideMark/>
          </w:tcPr>
          <w:p w14:paraId="39391627" w14:textId="77777777" w:rsidR="00BE5A0D" w:rsidRPr="00F96B68" w:rsidRDefault="00BE5A0D" w:rsidP="00BE5A0D">
            <w:pPr>
              <w:spacing w:line="276" w:lineRule="auto"/>
              <w:jc w:val="right"/>
              <w:rPr>
                <w:color w:val="000000"/>
                <w:sz w:val="20"/>
                <w:szCs w:val="20"/>
              </w:rPr>
            </w:pPr>
            <w:r w:rsidRPr="00F96B68">
              <w:rPr>
                <w:color w:val="000000"/>
                <w:sz w:val="20"/>
                <w:szCs w:val="20"/>
              </w:rPr>
              <w:t>0.4%</w:t>
            </w:r>
          </w:p>
        </w:tc>
        <w:tc>
          <w:tcPr>
            <w:tcW w:w="1134" w:type="dxa"/>
            <w:noWrap/>
            <w:vAlign w:val="center"/>
            <w:hideMark/>
          </w:tcPr>
          <w:p w14:paraId="5E1398DA" w14:textId="77777777" w:rsidR="00BE5A0D" w:rsidRPr="00F96B68" w:rsidRDefault="00BE5A0D" w:rsidP="00BE5A0D">
            <w:pPr>
              <w:spacing w:line="276" w:lineRule="auto"/>
              <w:jc w:val="right"/>
              <w:rPr>
                <w:color w:val="000000"/>
                <w:sz w:val="20"/>
                <w:szCs w:val="20"/>
              </w:rPr>
            </w:pPr>
            <w:r w:rsidRPr="00F96B68">
              <w:rPr>
                <w:color w:val="000000"/>
                <w:sz w:val="20"/>
                <w:szCs w:val="20"/>
              </w:rPr>
              <w:t>0.1%</w:t>
            </w:r>
          </w:p>
        </w:tc>
        <w:tc>
          <w:tcPr>
            <w:tcW w:w="1134" w:type="dxa"/>
            <w:noWrap/>
            <w:vAlign w:val="center"/>
            <w:hideMark/>
          </w:tcPr>
          <w:p w14:paraId="30DBD65D" w14:textId="77777777" w:rsidR="00BE5A0D" w:rsidRPr="00F96B68" w:rsidRDefault="00BE5A0D" w:rsidP="00BE5A0D">
            <w:pPr>
              <w:spacing w:line="276" w:lineRule="auto"/>
              <w:jc w:val="right"/>
              <w:rPr>
                <w:color w:val="000000"/>
                <w:sz w:val="20"/>
                <w:szCs w:val="20"/>
              </w:rPr>
            </w:pPr>
            <w:r w:rsidRPr="00F96B68">
              <w:rPr>
                <w:color w:val="000000"/>
                <w:sz w:val="20"/>
                <w:szCs w:val="20"/>
              </w:rPr>
              <w:t>2.9%</w:t>
            </w:r>
          </w:p>
        </w:tc>
        <w:tc>
          <w:tcPr>
            <w:tcW w:w="2268" w:type="dxa"/>
            <w:noWrap/>
            <w:vAlign w:val="bottom"/>
            <w:hideMark/>
          </w:tcPr>
          <w:p w14:paraId="7CBB683A" w14:textId="7946E90F" w:rsidR="00BE5A0D" w:rsidRPr="00F96B68" w:rsidRDefault="00BE5A0D" w:rsidP="00BE5A0D">
            <w:pPr>
              <w:spacing w:line="276" w:lineRule="auto"/>
              <w:jc w:val="right"/>
              <w:rPr>
                <w:color w:val="000000"/>
                <w:sz w:val="20"/>
                <w:szCs w:val="20"/>
              </w:rPr>
            </w:pPr>
            <w:r w:rsidRPr="00F96B68">
              <w:rPr>
                <w:color w:val="000000"/>
                <w:sz w:val="20"/>
                <w:szCs w:val="20"/>
              </w:rPr>
              <w:t>$14,631,941</w:t>
            </w:r>
          </w:p>
        </w:tc>
      </w:tr>
      <w:tr w:rsidR="00BE5A0D" w:rsidRPr="00DD0432" w14:paraId="51EAE9A8" w14:textId="77777777" w:rsidTr="00F96B68">
        <w:trPr>
          <w:trHeight w:val="369"/>
        </w:trPr>
        <w:tc>
          <w:tcPr>
            <w:tcW w:w="3823" w:type="dxa"/>
            <w:noWrap/>
            <w:vAlign w:val="center"/>
            <w:hideMark/>
          </w:tcPr>
          <w:p w14:paraId="0B53D964" w14:textId="77777777" w:rsidR="00BE5A0D" w:rsidRPr="00F96B68" w:rsidRDefault="00BE5A0D" w:rsidP="00BE5A0D">
            <w:pPr>
              <w:spacing w:line="276" w:lineRule="auto"/>
              <w:rPr>
                <w:color w:val="000000"/>
                <w:sz w:val="20"/>
                <w:szCs w:val="20"/>
              </w:rPr>
            </w:pPr>
            <w:r w:rsidRPr="00F96B68">
              <w:rPr>
                <w:color w:val="000000"/>
                <w:sz w:val="20"/>
                <w:szCs w:val="20"/>
              </w:rPr>
              <w:t>Other information (e.g. mahjong, social)</w:t>
            </w:r>
          </w:p>
        </w:tc>
        <w:tc>
          <w:tcPr>
            <w:tcW w:w="1134" w:type="dxa"/>
            <w:noWrap/>
            <w:vAlign w:val="center"/>
            <w:hideMark/>
          </w:tcPr>
          <w:p w14:paraId="2AC77CA3" w14:textId="77777777" w:rsidR="00BE5A0D" w:rsidRPr="00F96B68" w:rsidRDefault="00BE5A0D" w:rsidP="00BE5A0D">
            <w:pPr>
              <w:spacing w:line="276" w:lineRule="auto"/>
              <w:jc w:val="right"/>
              <w:rPr>
                <w:color w:val="000000"/>
                <w:sz w:val="20"/>
                <w:szCs w:val="20"/>
              </w:rPr>
            </w:pPr>
            <w:r w:rsidRPr="00F96B68">
              <w:rPr>
                <w:color w:val="000000"/>
                <w:sz w:val="20"/>
                <w:szCs w:val="20"/>
              </w:rPr>
              <w:t>0.3%</w:t>
            </w:r>
          </w:p>
        </w:tc>
        <w:tc>
          <w:tcPr>
            <w:tcW w:w="1134" w:type="dxa"/>
            <w:noWrap/>
            <w:vAlign w:val="center"/>
            <w:hideMark/>
          </w:tcPr>
          <w:p w14:paraId="4205529B" w14:textId="77777777" w:rsidR="00BE5A0D" w:rsidRPr="00F96B68" w:rsidRDefault="00BE5A0D" w:rsidP="00BE5A0D">
            <w:pPr>
              <w:spacing w:line="276" w:lineRule="auto"/>
              <w:jc w:val="right"/>
              <w:rPr>
                <w:color w:val="000000"/>
                <w:sz w:val="20"/>
                <w:szCs w:val="20"/>
              </w:rPr>
            </w:pPr>
            <w:r w:rsidRPr="00F96B68">
              <w:rPr>
                <w:color w:val="000000"/>
                <w:sz w:val="20"/>
                <w:szCs w:val="20"/>
              </w:rPr>
              <w:t>0.1%</w:t>
            </w:r>
          </w:p>
        </w:tc>
        <w:tc>
          <w:tcPr>
            <w:tcW w:w="1134" w:type="dxa"/>
            <w:noWrap/>
            <w:vAlign w:val="center"/>
            <w:hideMark/>
          </w:tcPr>
          <w:p w14:paraId="613ED288" w14:textId="77777777" w:rsidR="00BE5A0D" w:rsidRPr="00F96B68" w:rsidRDefault="00BE5A0D" w:rsidP="00BE5A0D">
            <w:pPr>
              <w:spacing w:line="276" w:lineRule="auto"/>
              <w:jc w:val="right"/>
              <w:rPr>
                <w:color w:val="000000"/>
                <w:sz w:val="20"/>
                <w:szCs w:val="20"/>
              </w:rPr>
            </w:pPr>
            <w:r w:rsidRPr="00F96B68">
              <w:rPr>
                <w:color w:val="000000"/>
                <w:sz w:val="20"/>
                <w:szCs w:val="20"/>
              </w:rPr>
              <w:t>1.1%</w:t>
            </w:r>
          </w:p>
        </w:tc>
        <w:tc>
          <w:tcPr>
            <w:tcW w:w="2268" w:type="dxa"/>
            <w:noWrap/>
            <w:vAlign w:val="bottom"/>
            <w:hideMark/>
          </w:tcPr>
          <w:p w14:paraId="421F9D86" w14:textId="3067D871" w:rsidR="00BE5A0D" w:rsidRPr="00F96B68" w:rsidRDefault="00BE5A0D" w:rsidP="00BE5A0D">
            <w:pPr>
              <w:spacing w:line="276" w:lineRule="auto"/>
              <w:jc w:val="right"/>
              <w:rPr>
                <w:color w:val="000000"/>
                <w:sz w:val="20"/>
                <w:szCs w:val="20"/>
              </w:rPr>
            </w:pPr>
            <w:r w:rsidRPr="00F96B68">
              <w:rPr>
                <w:color w:val="000000"/>
                <w:sz w:val="20"/>
                <w:szCs w:val="20"/>
              </w:rPr>
              <w:t>$12,802,949</w:t>
            </w:r>
          </w:p>
        </w:tc>
      </w:tr>
      <w:tr w:rsidR="00BE5A0D" w:rsidRPr="00DD0432" w14:paraId="36FB67BC" w14:textId="77777777" w:rsidTr="00F96B68">
        <w:trPr>
          <w:trHeight w:val="369"/>
        </w:trPr>
        <w:tc>
          <w:tcPr>
            <w:tcW w:w="3823" w:type="dxa"/>
            <w:noWrap/>
            <w:vAlign w:val="center"/>
            <w:hideMark/>
          </w:tcPr>
          <w:p w14:paraId="3C12B2EA" w14:textId="77777777" w:rsidR="00BE5A0D" w:rsidRPr="00F96B68" w:rsidRDefault="00BE5A0D" w:rsidP="00BE5A0D">
            <w:pPr>
              <w:spacing w:line="276" w:lineRule="auto"/>
              <w:rPr>
                <w:color w:val="000000"/>
                <w:sz w:val="20"/>
                <w:szCs w:val="20"/>
              </w:rPr>
            </w:pPr>
            <w:r w:rsidRPr="00F96B68">
              <w:rPr>
                <w:color w:val="000000"/>
                <w:sz w:val="20"/>
                <w:szCs w:val="20"/>
              </w:rPr>
              <w:t>Offshore online other (incl. lotteries)</w:t>
            </w:r>
          </w:p>
        </w:tc>
        <w:tc>
          <w:tcPr>
            <w:tcW w:w="1134" w:type="dxa"/>
            <w:noWrap/>
            <w:vAlign w:val="center"/>
            <w:hideMark/>
          </w:tcPr>
          <w:p w14:paraId="34668F87" w14:textId="77777777" w:rsidR="00BE5A0D" w:rsidRPr="00F96B68" w:rsidRDefault="00BE5A0D" w:rsidP="00BE5A0D">
            <w:pPr>
              <w:spacing w:line="276" w:lineRule="auto"/>
              <w:jc w:val="right"/>
              <w:rPr>
                <w:color w:val="000000"/>
                <w:sz w:val="20"/>
                <w:szCs w:val="20"/>
              </w:rPr>
            </w:pPr>
            <w:r w:rsidRPr="00F96B68">
              <w:rPr>
                <w:color w:val="000000"/>
                <w:sz w:val="20"/>
                <w:szCs w:val="20"/>
              </w:rPr>
              <w:t>0.3%</w:t>
            </w:r>
          </w:p>
        </w:tc>
        <w:tc>
          <w:tcPr>
            <w:tcW w:w="1134" w:type="dxa"/>
            <w:noWrap/>
            <w:vAlign w:val="center"/>
            <w:hideMark/>
          </w:tcPr>
          <w:p w14:paraId="5D9D03AF" w14:textId="77777777" w:rsidR="00BE5A0D" w:rsidRPr="00F96B68" w:rsidRDefault="00BE5A0D" w:rsidP="00BE5A0D">
            <w:pPr>
              <w:spacing w:line="276" w:lineRule="auto"/>
              <w:jc w:val="right"/>
              <w:rPr>
                <w:color w:val="000000"/>
                <w:sz w:val="20"/>
                <w:szCs w:val="20"/>
              </w:rPr>
            </w:pPr>
            <w:r w:rsidRPr="00F96B68">
              <w:rPr>
                <w:color w:val="000000"/>
                <w:sz w:val="20"/>
                <w:szCs w:val="20"/>
              </w:rPr>
              <w:t>0.0%</w:t>
            </w:r>
          </w:p>
        </w:tc>
        <w:tc>
          <w:tcPr>
            <w:tcW w:w="1134" w:type="dxa"/>
            <w:noWrap/>
            <w:vAlign w:val="center"/>
            <w:hideMark/>
          </w:tcPr>
          <w:p w14:paraId="6BA34203" w14:textId="77777777" w:rsidR="00BE5A0D" w:rsidRPr="00F96B68" w:rsidRDefault="00BE5A0D" w:rsidP="00BE5A0D">
            <w:pPr>
              <w:spacing w:line="276" w:lineRule="auto"/>
              <w:jc w:val="right"/>
              <w:rPr>
                <w:color w:val="000000"/>
                <w:sz w:val="20"/>
                <w:szCs w:val="20"/>
              </w:rPr>
            </w:pPr>
            <w:r w:rsidRPr="00F96B68">
              <w:rPr>
                <w:color w:val="000000"/>
                <w:sz w:val="20"/>
                <w:szCs w:val="20"/>
              </w:rPr>
              <w:t>1.7%</w:t>
            </w:r>
          </w:p>
        </w:tc>
        <w:tc>
          <w:tcPr>
            <w:tcW w:w="2268" w:type="dxa"/>
            <w:noWrap/>
            <w:vAlign w:val="bottom"/>
            <w:hideMark/>
          </w:tcPr>
          <w:p w14:paraId="71286D70" w14:textId="1AE7216C" w:rsidR="00BE5A0D" w:rsidRPr="00F96B68" w:rsidRDefault="00BE5A0D" w:rsidP="00BE5A0D">
            <w:pPr>
              <w:spacing w:line="276" w:lineRule="auto"/>
              <w:jc w:val="right"/>
              <w:rPr>
                <w:color w:val="000000"/>
                <w:sz w:val="20"/>
                <w:szCs w:val="20"/>
              </w:rPr>
            </w:pPr>
            <w:r w:rsidRPr="00F96B68">
              <w:rPr>
                <w:color w:val="000000"/>
                <w:sz w:val="20"/>
                <w:szCs w:val="20"/>
              </w:rPr>
              <w:t>$10,973,956</w:t>
            </w:r>
          </w:p>
        </w:tc>
      </w:tr>
      <w:tr w:rsidR="00BE5A0D" w:rsidRPr="00DD0432" w14:paraId="1E15A678" w14:textId="77777777" w:rsidTr="00F96B68">
        <w:trPr>
          <w:trHeight w:val="369"/>
        </w:trPr>
        <w:tc>
          <w:tcPr>
            <w:tcW w:w="3823" w:type="dxa"/>
            <w:noWrap/>
            <w:vAlign w:val="center"/>
            <w:hideMark/>
          </w:tcPr>
          <w:p w14:paraId="65C76F7C" w14:textId="77777777" w:rsidR="00BE5A0D" w:rsidRPr="00F96B68" w:rsidRDefault="00BE5A0D" w:rsidP="00BE5A0D">
            <w:pPr>
              <w:spacing w:line="276" w:lineRule="auto"/>
              <w:rPr>
                <w:color w:val="000000"/>
                <w:sz w:val="20"/>
                <w:szCs w:val="20"/>
              </w:rPr>
            </w:pPr>
            <w:r w:rsidRPr="00F96B68">
              <w:rPr>
                <w:color w:val="000000"/>
                <w:sz w:val="20"/>
                <w:szCs w:val="20"/>
              </w:rPr>
              <w:t>Esports betting via TAB</w:t>
            </w:r>
          </w:p>
        </w:tc>
        <w:tc>
          <w:tcPr>
            <w:tcW w:w="1134" w:type="dxa"/>
            <w:noWrap/>
            <w:vAlign w:val="center"/>
            <w:hideMark/>
          </w:tcPr>
          <w:p w14:paraId="2F0CE03C" w14:textId="77777777" w:rsidR="00BE5A0D" w:rsidRPr="00F96B68" w:rsidRDefault="00BE5A0D" w:rsidP="00BE5A0D">
            <w:pPr>
              <w:spacing w:line="276" w:lineRule="auto"/>
              <w:jc w:val="right"/>
              <w:rPr>
                <w:color w:val="000000"/>
                <w:sz w:val="20"/>
                <w:szCs w:val="20"/>
              </w:rPr>
            </w:pPr>
            <w:r w:rsidRPr="00F96B68">
              <w:rPr>
                <w:color w:val="000000"/>
                <w:sz w:val="20"/>
                <w:szCs w:val="20"/>
              </w:rPr>
              <w:t>0.1%</w:t>
            </w:r>
          </w:p>
        </w:tc>
        <w:tc>
          <w:tcPr>
            <w:tcW w:w="1134" w:type="dxa"/>
            <w:noWrap/>
            <w:vAlign w:val="center"/>
            <w:hideMark/>
          </w:tcPr>
          <w:p w14:paraId="1C031EC3" w14:textId="77777777" w:rsidR="00BE5A0D" w:rsidRPr="00F96B68" w:rsidRDefault="00BE5A0D" w:rsidP="00BE5A0D">
            <w:pPr>
              <w:spacing w:line="276" w:lineRule="auto"/>
              <w:jc w:val="right"/>
              <w:rPr>
                <w:color w:val="000000"/>
                <w:sz w:val="20"/>
                <w:szCs w:val="20"/>
              </w:rPr>
            </w:pPr>
            <w:r w:rsidRPr="00F96B68">
              <w:rPr>
                <w:color w:val="000000"/>
                <w:sz w:val="20"/>
                <w:szCs w:val="20"/>
              </w:rPr>
              <w:t>0.1%</w:t>
            </w:r>
          </w:p>
        </w:tc>
        <w:tc>
          <w:tcPr>
            <w:tcW w:w="1134" w:type="dxa"/>
            <w:noWrap/>
            <w:vAlign w:val="center"/>
            <w:hideMark/>
          </w:tcPr>
          <w:p w14:paraId="3EBFE4D3" w14:textId="77777777" w:rsidR="00BE5A0D" w:rsidRPr="00F96B68" w:rsidRDefault="00BE5A0D" w:rsidP="00BE5A0D">
            <w:pPr>
              <w:spacing w:line="276" w:lineRule="auto"/>
              <w:jc w:val="right"/>
              <w:rPr>
                <w:color w:val="000000"/>
                <w:sz w:val="20"/>
                <w:szCs w:val="20"/>
              </w:rPr>
            </w:pPr>
            <w:r w:rsidRPr="00F96B68">
              <w:rPr>
                <w:color w:val="000000"/>
                <w:sz w:val="20"/>
                <w:szCs w:val="20"/>
              </w:rPr>
              <w:t>0.9%</w:t>
            </w:r>
          </w:p>
        </w:tc>
        <w:tc>
          <w:tcPr>
            <w:tcW w:w="2268" w:type="dxa"/>
            <w:noWrap/>
            <w:vAlign w:val="bottom"/>
            <w:hideMark/>
          </w:tcPr>
          <w:p w14:paraId="62BA3F27" w14:textId="2FF9F2D1" w:rsidR="00BE5A0D" w:rsidRPr="00F96B68" w:rsidRDefault="00BE5A0D" w:rsidP="00BE5A0D">
            <w:pPr>
              <w:spacing w:line="276" w:lineRule="auto"/>
              <w:jc w:val="right"/>
              <w:rPr>
                <w:color w:val="000000"/>
                <w:sz w:val="20"/>
                <w:szCs w:val="20"/>
              </w:rPr>
            </w:pPr>
            <w:r w:rsidRPr="00F96B68">
              <w:rPr>
                <w:color w:val="000000"/>
                <w:sz w:val="20"/>
                <w:szCs w:val="20"/>
              </w:rPr>
              <w:t>$5,486,978</w:t>
            </w:r>
          </w:p>
        </w:tc>
      </w:tr>
    </w:tbl>
    <w:p w14:paraId="3FA00144" w14:textId="5D0C7F93" w:rsidR="003A7A08" w:rsidRPr="00EC19EE" w:rsidRDefault="00EC19EE" w:rsidP="003A7A08">
      <w:pPr>
        <w:spacing w:line="276" w:lineRule="auto"/>
        <w:rPr>
          <w:bCs/>
          <w:i/>
          <w:iCs/>
          <w:color w:val="242424"/>
          <w:sz w:val="18"/>
          <w:szCs w:val="18"/>
        </w:rPr>
      </w:pPr>
      <w:r w:rsidRPr="00EC19EE">
        <w:rPr>
          <w:bCs/>
          <w:i/>
          <w:iCs/>
          <w:color w:val="242424"/>
          <w:sz w:val="18"/>
          <w:szCs w:val="18"/>
        </w:rPr>
        <w:t>Note: Cost attribution is based on the relative contribution of each gambling form to overall gambling problems. This was determined by a statistical analysis (multiple regression</w:t>
      </w:r>
      <w:r>
        <w:rPr>
          <w:bCs/>
          <w:i/>
          <w:iCs/>
          <w:color w:val="242424"/>
          <w:sz w:val="18"/>
          <w:szCs w:val="18"/>
        </w:rPr>
        <w:t xml:space="preserve"> and variance decomposition</w:t>
      </w:r>
      <w:r w:rsidRPr="00EC19EE">
        <w:rPr>
          <w:bCs/>
          <w:i/>
          <w:iCs/>
          <w:color w:val="242424"/>
          <w:sz w:val="18"/>
          <w:szCs w:val="18"/>
        </w:rPr>
        <w:t>) of the</w:t>
      </w:r>
      <w:r w:rsidR="00F96B68">
        <w:rPr>
          <w:bCs/>
          <w:i/>
          <w:iCs/>
          <w:color w:val="242424"/>
          <w:sz w:val="18"/>
          <w:szCs w:val="18"/>
        </w:rPr>
        <w:t xml:space="preserve"> </w:t>
      </w:r>
      <w:r w:rsidRPr="00EC19EE">
        <w:rPr>
          <w:bCs/>
          <w:i/>
          <w:iCs/>
          <w:color w:val="242424"/>
          <w:sz w:val="18"/>
          <w:szCs w:val="18"/>
        </w:rPr>
        <w:t>NZGS 2023/24 data. Confidence Intervals reflect the statistical uncertainty arising from sampling variability in that survey data.</w:t>
      </w:r>
    </w:p>
    <w:p w14:paraId="2A1E353B" w14:textId="77777777" w:rsidR="00DB689D" w:rsidRDefault="00310A10" w:rsidP="00C30E1A">
      <w:pPr>
        <w:pStyle w:val="Heading3"/>
      </w:pPr>
      <w:bookmarkStart w:id="388" w:name="_Toc201572449"/>
      <w:bookmarkStart w:id="389" w:name="_Toc207195968"/>
      <w:r>
        <w:t>Cost categories by cultural background</w:t>
      </w:r>
      <w:bookmarkEnd w:id="388"/>
      <w:bookmarkEnd w:id="389"/>
    </w:p>
    <w:p w14:paraId="63ECCFF4" w14:textId="5C50F689" w:rsidR="00DB689D" w:rsidRDefault="00310A10" w:rsidP="00367A8D">
      <w:pPr>
        <w:spacing w:before="240" w:after="240" w:line="360" w:lineRule="auto"/>
      </w:pPr>
      <w:r>
        <w:t xml:space="preserve">This section outlines the estimated distribution of gambling harm costs across different cultural groups in New Zealand. As detailed in </w:t>
      </w:r>
      <w:r w:rsidR="007C1B5E">
        <w:t>Section 5.2.8</w:t>
      </w:r>
      <w:r w:rsidR="003A7A08">
        <w:t xml:space="preserve">, </w:t>
      </w:r>
      <w:r>
        <w:t>these costs are apportioned based on the prevalence and severity of self-reported gambling problems within each group, using a weighted (1</w:t>
      </w:r>
      <w:r w:rsidR="007C1B5E">
        <w:t>/</w:t>
      </w:r>
      <w:r>
        <w:t>2</w:t>
      </w:r>
      <w:r w:rsidR="007C1B5E">
        <w:t>/</w:t>
      </w:r>
      <w:r>
        <w:t>3 for low-risk</w:t>
      </w:r>
      <w:r w:rsidR="007C1B5E">
        <w:t>/</w:t>
      </w:r>
      <w:r>
        <w:t>moderate-risk</w:t>
      </w:r>
      <w:r w:rsidR="007C1B5E">
        <w:t>/</w:t>
      </w:r>
      <w:r>
        <w:t>problem gambling) approach to create a proportional harm score</w:t>
      </w:r>
      <w:r w:rsidR="007C1B5E">
        <w:t>, reflecting the confidence in the information provided by the PGSI within each band)</w:t>
      </w:r>
      <w:r>
        <w:t>. It is important to recall the limitations of this attribution method, particularly that it provides a relative distribution and does not quantify potential differential impacts or cultural nuances not captured by prevalence data alone.</w:t>
      </w:r>
    </w:p>
    <w:p w14:paraId="67090C07" w14:textId="77777777" w:rsidR="00F624E0" w:rsidRDefault="00310A10" w:rsidP="00367A8D">
      <w:pPr>
        <w:spacing w:before="240" w:after="240" w:line="360" w:lineRule="auto"/>
      </w:pPr>
      <w:r>
        <w:t>In 2023, European/Other individuals make up 61.0% of the New Zealand population, followed by Māori (15.0%), Asian (17.6%), and Pacific peoples (6.4%) NZGS (2023/24).</w:t>
      </w:r>
      <w:r w:rsidR="003A7A08">
        <w:t xml:space="preserve"> Table </w:t>
      </w:r>
      <w:r w:rsidR="00757932">
        <w:t xml:space="preserve">10 </w:t>
      </w:r>
      <w:r>
        <w:t xml:space="preserve">presents the distribution of gambling participation levels across each of these cultural groups. </w:t>
      </w:r>
    </w:p>
    <w:p w14:paraId="0EF2B456" w14:textId="6A840D8F" w:rsidR="00DB689D" w:rsidRDefault="00310A10" w:rsidP="00367A8D">
      <w:pPr>
        <w:spacing w:before="240" w:after="240" w:line="360" w:lineRule="auto"/>
      </w:pPr>
      <w:r>
        <w:t xml:space="preserve">A key observation is the variation in the proportion of people classified as non-gambling, with the Asian cultural group showing the highest percentage of non-gambling (49.1%), followed by Pacific peoples (35.7%), European/Other (33.5%), and Māori (30.0%). Conversely, Māori report the highest engagement in low-risk (9.5%) and moderate-risk gambling (2.9%), and also problem gambling (2.0%) relative to their population size within the survey sample. Pacific peoples also show a notable proportion in moderate-risk gambling (5.2%). </w:t>
      </w:r>
    </w:p>
    <w:p w14:paraId="4AC5E88A" w14:textId="466EA27E" w:rsidR="003A7A08" w:rsidRDefault="003A7A08" w:rsidP="00DB094D">
      <w:pPr>
        <w:pStyle w:val="Caption"/>
      </w:pPr>
      <w:bookmarkStart w:id="390" w:name="_Toc207619052"/>
      <w:r>
        <w:t xml:space="preserve">Table </w:t>
      </w:r>
      <w:r>
        <w:fldChar w:fldCharType="begin"/>
      </w:r>
      <w:r>
        <w:instrText xml:space="preserve"> SEQ Table \* ARABIC </w:instrText>
      </w:r>
      <w:r>
        <w:fldChar w:fldCharType="separate"/>
      </w:r>
      <w:r w:rsidR="00986A0D">
        <w:rPr>
          <w:noProof/>
        </w:rPr>
        <w:t>10</w:t>
      </w:r>
      <w:r>
        <w:fldChar w:fldCharType="end"/>
      </w:r>
      <w:r>
        <w:t xml:space="preserve">. </w:t>
      </w:r>
      <w:r w:rsidRPr="00DE505F">
        <w:t>Distribution of gambling problems in New Zealand (2023-24), by cultural group</w:t>
      </w:r>
      <w:bookmarkEnd w:id="390"/>
    </w:p>
    <w:tbl>
      <w:tblPr>
        <w:tblStyle w:val="TableGridLight"/>
        <w:tblW w:w="9067" w:type="dxa"/>
        <w:tblLook w:val="04A0" w:firstRow="1" w:lastRow="0" w:firstColumn="1" w:lastColumn="0" w:noHBand="0" w:noVBand="1"/>
      </w:tblPr>
      <w:tblGrid>
        <w:gridCol w:w="2547"/>
        <w:gridCol w:w="1843"/>
        <w:gridCol w:w="1559"/>
        <w:gridCol w:w="1559"/>
        <w:gridCol w:w="1559"/>
      </w:tblGrid>
      <w:tr w:rsidR="003A7A08" w:rsidRPr="00DD0432" w14:paraId="0E84C050" w14:textId="77777777" w:rsidTr="00843927">
        <w:trPr>
          <w:trHeight w:val="397"/>
        </w:trPr>
        <w:tc>
          <w:tcPr>
            <w:tcW w:w="2547" w:type="dxa"/>
            <w:shd w:val="clear" w:color="auto" w:fill="F2F2F2" w:themeFill="background1" w:themeFillShade="F2"/>
            <w:vAlign w:val="center"/>
            <w:hideMark/>
          </w:tcPr>
          <w:p w14:paraId="2576D0F3" w14:textId="77777777" w:rsidR="003A7A08" w:rsidRPr="00F624E0" w:rsidRDefault="003A7A08">
            <w:pPr>
              <w:spacing w:line="276" w:lineRule="auto"/>
              <w:jc w:val="center"/>
              <w:rPr>
                <w:b/>
                <w:bCs/>
                <w:color w:val="000000"/>
                <w:sz w:val="20"/>
                <w:szCs w:val="20"/>
              </w:rPr>
            </w:pPr>
            <w:r w:rsidRPr="00F624E0">
              <w:rPr>
                <w:b/>
                <w:bCs/>
                <w:color w:val="000000"/>
                <w:sz w:val="20"/>
                <w:szCs w:val="20"/>
              </w:rPr>
              <w:t>Cultural Groups</w:t>
            </w:r>
          </w:p>
        </w:tc>
        <w:tc>
          <w:tcPr>
            <w:tcW w:w="1843" w:type="dxa"/>
            <w:shd w:val="clear" w:color="auto" w:fill="F2F2F2" w:themeFill="background1" w:themeFillShade="F2"/>
            <w:vAlign w:val="center"/>
            <w:hideMark/>
          </w:tcPr>
          <w:p w14:paraId="5A3AB372" w14:textId="77777777" w:rsidR="003A7A08" w:rsidRPr="00F624E0" w:rsidRDefault="003A7A08">
            <w:pPr>
              <w:spacing w:line="276" w:lineRule="auto"/>
              <w:jc w:val="center"/>
              <w:rPr>
                <w:b/>
                <w:bCs/>
                <w:color w:val="000000"/>
                <w:sz w:val="20"/>
                <w:szCs w:val="20"/>
              </w:rPr>
            </w:pPr>
            <w:r w:rsidRPr="00F624E0">
              <w:rPr>
                <w:b/>
                <w:bCs/>
                <w:color w:val="000000"/>
                <w:sz w:val="20"/>
                <w:szCs w:val="20"/>
              </w:rPr>
              <w:t>European/Other</w:t>
            </w:r>
          </w:p>
        </w:tc>
        <w:tc>
          <w:tcPr>
            <w:tcW w:w="1559" w:type="dxa"/>
            <w:shd w:val="clear" w:color="auto" w:fill="F2F2F2" w:themeFill="background1" w:themeFillShade="F2"/>
            <w:vAlign w:val="center"/>
            <w:hideMark/>
          </w:tcPr>
          <w:p w14:paraId="19030CF6" w14:textId="77777777" w:rsidR="003A7A08" w:rsidRPr="00F624E0" w:rsidRDefault="003A7A08">
            <w:pPr>
              <w:spacing w:line="276" w:lineRule="auto"/>
              <w:jc w:val="center"/>
              <w:rPr>
                <w:b/>
                <w:bCs/>
                <w:color w:val="000000"/>
                <w:sz w:val="20"/>
                <w:szCs w:val="20"/>
              </w:rPr>
            </w:pPr>
            <w:r w:rsidRPr="00F624E0">
              <w:rPr>
                <w:b/>
                <w:bCs/>
                <w:color w:val="000000"/>
                <w:sz w:val="20"/>
                <w:szCs w:val="20"/>
              </w:rPr>
              <w:t>Māori</w:t>
            </w:r>
          </w:p>
        </w:tc>
        <w:tc>
          <w:tcPr>
            <w:tcW w:w="1559" w:type="dxa"/>
            <w:shd w:val="clear" w:color="auto" w:fill="F2F2F2" w:themeFill="background1" w:themeFillShade="F2"/>
            <w:vAlign w:val="center"/>
            <w:hideMark/>
          </w:tcPr>
          <w:p w14:paraId="2514E61A" w14:textId="77777777" w:rsidR="003A7A08" w:rsidRPr="00F624E0" w:rsidRDefault="003A7A08">
            <w:pPr>
              <w:spacing w:line="276" w:lineRule="auto"/>
              <w:jc w:val="center"/>
              <w:rPr>
                <w:b/>
                <w:bCs/>
                <w:color w:val="000000"/>
                <w:sz w:val="20"/>
                <w:szCs w:val="20"/>
              </w:rPr>
            </w:pPr>
            <w:r w:rsidRPr="00F624E0">
              <w:rPr>
                <w:b/>
                <w:bCs/>
                <w:color w:val="000000"/>
                <w:sz w:val="20"/>
                <w:szCs w:val="20"/>
              </w:rPr>
              <w:t>Pacific</w:t>
            </w:r>
          </w:p>
        </w:tc>
        <w:tc>
          <w:tcPr>
            <w:tcW w:w="1559" w:type="dxa"/>
            <w:shd w:val="clear" w:color="auto" w:fill="F2F2F2" w:themeFill="background1" w:themeFillShade="F2"/>
            <w:vAlign w:val="center"/>
            <w:hideMark/>
          </w:tcPr>
          <w:p w14:paraId="2DCC37C8" w14:textId="77777777" w:rsidR="003A7A08" w:rsidRPr="00F624E0" w:rsidRDefault="003A7A08">
            <w:pPr>
              <w:spacing w:line="276" w:lineRule="auto"/>
              <w:jc w:val="center"/>
              <w:rPr>
                <w:b/>
                <w:bCs/>
                <w:color w:val="000000"/>
                <w:sz w:val="20"/>
                <w:szCs w:val="20"/>
              </w:rPr>
            </w:pPr>
            <w:r w:rsidRPr="00F624E0">
              <w:rPr>
                <w:b/>
                <w:bCs/>
                <w:color w:val="000000"/>
                <w:sz w:val="20"/>
                <w:szCs w:val="20"/>
              </w:rPr>
              <w:t>Asian</w:t>
            </w:r>
          </w:p>
        </w:tc>
      </w:tr>
      <w:tr w:rsidR="003A7A08" w:rsidRPr="00DD0432" w14:paraId="567C0E55" w14:textId="77777777" w:rsidTr="00843927">
        <w:trPr>
          <w:trHeight w:val="397"/>
        </w:trPr>
        <w:tc>
          <w:tcPr>
            <w:tcW w:w="2547" w:type="dxa"/>
            <w:noWrap/>
            <w:vAlign w:val="center"/>
            <w:hideMark/>
          </w:tcPr>
          <w:p w14:paraId="15D26993" w14:textId="77777777" w:rsidR="003A7A08" w:rsidRPr="00F624E0" w:rsidRDefault="003A7A08">
            <w:pPr>
              <w:spacing w:line="276" w:lineRule="auto"/>
              <w:rPr>
                <w:color w:val="000000"/>
                <w:sz w:val="20"/>
                <w:szCs w:val="20"/>
              </w:rPr>
            </w:pPr>
            <w:r w:rsidRPr="00F624E0">
              <w:rPr>
                <w:color w:val="000000"/>
                <w:sz w:val="20"/>
                <w:szCs w:val="20"/>
              </w:rPr>
              <w:t>Non-gamblers</w:t>
            </w:r>
          </w:p>
        </w:tc>
        <w:tc>
          <w:tcPr>
            <w:tcW w:w="1843" w:type="dxa"/>
            <w:noWrap/>
            <w:vAlign w:val="center"/>
            <w:hideMark/>
          </w:tcPr>
          <w:p w14:paraId="4428DBD5" w14:textId="77777777" w:rsidR="003A7A08" w:rsidRPr="00F624E0" w:rsidRDefault="003A7A08">
            <w:pPr>
              <w:spacing w:line="276" w:lineRule="auto"/>
              <w:jc w:val="right"/>
              <w:rPr>
                <w:color w:val="000000"/>
                <w:sz w:val="20"/>
                <w:szCs w:val="20"/>
              </w:rPr>
            </w:pPr>
            <w:r w:rsidRPr="00F624E0">
              <w:rPr>
                <w:color w:val="000000"/>
                <w:sz w:val="20"/>
                <w:szCs w:val="20"/>
              </w:rPr>
              <w:t>33.5%</w:t>
            </w:r>
          </w:p>
        </w:tc>
        <w:tc>
          <w:tcPr>
            <w:tcW w:w="1559" w:type="dxa"/>
            <w:noWrap/>
            <w:vAlign w:val="center"/>
            <w:hideMark/>
          </w:tcPr>
          <w:p w14:paraId="6E865364" w14:textId="77777777" w:rsidR="003A7A08" w:rsidRPr="00F624E0" w:rsidRDefault="003A7A08">
            <w:pPr>
              <w:spacing w:line="276" w:lineRule="auto"/>
              <w:jc w:val="right"/>
              <w:rPr>
                <w:color w:val="000000"/>
                <w:sz w:val="20"/>
                <w:szCs w:val="20"/>
              </w:rPr>
            </w:pPr>
            <w:r w:rsidRPr="00F624E0">
              <w:rPr>
                <w:color w:val="000000"/>
                <w:sz w:val="20"/>
                <w:szCs w:val="20"/>
              </w:rPr>
              <w:t>30.0%</w:t>
            </w:r>
          </w:p>
        </w:tc>
        <w:tc>
          <w:tcPr>
            <w:tcW w:w="1559" w:type="dxa"/>
            <w:noWrap/>
            <w:vAlign w:val="center"/>
            <w:hideMark/>
          </w:tcPr>
          <w:p w14:paraId="323A1B70" w14:textId="77777777" w:rsidR="003A7A08" w:rsidRPr="00F624E0" w:rsidRDefault="003A7A08">
            <w:pPr>
              <w:spacing w:line="276" w:lineRule="auto"/>
              <w:jc w:val="right"/>
              <w:rPr>
                <w:color w:val="000000"/>
                <w:sz w:val="20"/>
                <w:szCs w:val="20"/>
              </w:rPr>
            </w:pPr>
            <w:r w:rsidRPr="00F624E0">
              <w:rPr>
                <w:color w:val="000000"/>
                <w:sz w:val="20"/>
                <w:szCs w:val="20"/>
              </w:rPr>
              <w:t>35.7%</w:t>
            </w:r>
          </w:p>
        </w:tc>
        <w:tc>
          <w:tcPr>
            <w:tcW w:w="1559" w:type="dxa"/>
            <w:noWrap/>
            <w:vAlign w:val="center"/>
            <w:hideMark/>
          </w:tcPr>
          <w:p w14:paraId="7A3B781E" w14:textId="77777777" w:rsidR="003A7A08" w:rsidRPr="00F624E0" w:rsidRDefault="003A7A08">
            <w:pPr>
              <w:spacing w:line="276" w:lineRule="auto"/>
              <w:jc w:val="right"/>
              <w:rPr>
                <w:color w:val="000000"/>
                <w:sz w:val="20"/>
                <w:szCs w:val="20"/>
              </w:rPr>
            </w:pPr>
            <w:r w:rsidRPr="00F624E0">
              <w:rPr>
                <w:color w:val="000000"/>
                <w:sz w:val="20"/>
                <w:szCs w:val="20"/>
              </w:rPr>
              <w:t>49.1%</w:t>
            </w:r>
          </w:p>
        </w:tc>
      </w:tr>
      <w:tr w:rsidR="003A7A08" w:rsidRPr="00DD0432" w14:paraId="68BC97B7" w14:textId="77777777" w:rsidTr="00843927">
        <w:trPr>
          <w:trHeight w:val="397"/>
        </w:trPr>
        <w:tc>
          <w:tcPr>
            <w:tcW w:w="2547" w:type="dxa"/>
            <w:noWrap/>
            <w:vAlign w:val="center"/>
            <w:hideMark/>
          </w:tcPr>
          <w:p w14:paraId="703EC13F" w14:textId="77777777" w:rsidR="003A7A08" w:rsidRPr="00F624E0" w:rsidRDefault="003A7A08">
            <w:pPr>
              <w:spacing w:line="276" w:lineRule="auto"/>
              <w:rPr>
                <w:color w:val="000000"/>
                <w:sz w:val="20"/>
                <w:szCs w:val="20"/>
              </w:rPr>
            </w:pPr>
            <w:r w:rsidRPr="00F624E0">
              <w:rPr>
                <w:color w:val="000000"/>
                <w:sz w:val="20"/>
                <w:szCs w:val="20"/>
              </w:rPr>
              <w:t>Non-problem gambling</w:t>
            </w:r>
          </w:p>
        </w:tc>
        <w:tc>
          <w:tcPr>
            <w:tcW w:w="1843" w:type="dxa"/>
            <w:noWrap/>
            <w:vAlign w:val="center"/>
            <w:hideMark/>
          </w:tcPr>
          <w:p w14:paraId="32887D15" w14:textId="77777777" w:rsidR="003A7A08" w:rsidRPr="00F624E0" w:rsidRDefault="003A7A08">
            <w:pPr>
              <w:spacing w:line="276" w:lineRule="auto"/>
              <w:jc w:val="right"/>
              <w:rPr>
                <w:color w:val="000000"/>
                <w:sz w:val="20"/>
                <w:szCs w:val="20"/>
              </w:rPr>
            </w:pPr>
            <w:r w:rsidRPr="00F624E0">
              <w:rPr>
                <w:color w:val="000000"/>
                <w:sz w:val="20"/>
                <w:szCs w:val="20"/>
              </w:rPr>
              <w:t>57.7%</w:t>
            </w:r>
          </w:p>
        </w:tc>
        <w:tc>
          <w:tcPr>
            <w:tcW w:w="1559" w:type="dxa"/>
            <w:noWrap/>
            <w:vAlign w:val="center"/>
            <w:hideMark/>
          </w:tcPr>
          <w:p w14:paraId="39335763" w14:textId="77777777" w:rsidR="003A7A08" w:rsidRPr="00F624E0" w:rsidRDefault="003A7A08">
            <w:pPr>
              <w:spacing w:line="276" w:lineRule="auto"/>
              <w:jc w:val="right"/>
              <w:rPr>
                <w:color w:val="000000"/>
                <w:sz w:val="20"/>
                <w:szCs w:val="20"/>
              </w:rPr>
            </w:pPr>
            <w:r w:rsidRPr="00F624E0">
              <w:rPr>
                <w:color w:val="000000"/>
                <w:sz w:val="20"/>
                <w:szCs w:val="20"/>
              </w:rPr>
              <w:t>52.8%</w:t>
            </w:r>
          </w:p>
        </w:tc>
        <w:tc>
          <w:tcPr>
            <w:tcW w:w="1559" w:type="dxa"/>
            <w:noWrap/>
            <w:vAlign w:val="center"/>
            <w:hideMark/>
          </w:tcPr>
          <w:p w14:paraId="01AC32C2" w14:textId="77777777" w:rsidR="003A7A08" w:rsidRPr="00F624E0" w:rsidRDefault="003A7A08">
            <w:pPr>
              <w:spacing w:line="276" w:lineRule="auto"/>
              <w:jc w:val="right"/>
              <w:rPr>
                <w:color w:val="000000"/>
                <w:sz w:val="20"/>
                <w:szCs w:val="20"/>
              </w:rPr>
            </w:pPr>
            <w:r w:rsidRPr="00F624E0">
              <w:rPr>
                <w:color w:val="000000"/>
                <w:sz w:val="20"/>
                <w:szCs w:val="20"/>
              </w:rPr>
              <w:t>43.5%</w:t>
            </w:r>
          </w:p>
        </w:tc>
        <w:tc>
          <w:tcPr>
            <w:tcW w:w="1559" w:type="dxa"/>
            <w:noWrap/>
            <w:vAlign w:val="center"/>
            <w:hideMark/>
          </w:tcPr>
          <w:p w14:paraId="4623DC05" w14:textId="77777777" w:rsidR="003A7A08" w:rsidRPr="00F624E0" w:rsidRDefault="003A7A08">
            <w:pPr>
              <w:spacing w:line="276" w:lineRule="auto"/>
              <w:jc w:val="right"/>
              <w:rPr>
                <w:color w:val="000000"/>
                <w:sz w:val="20"/>
                <w:szCs w:val="20"/>
              </w:rPr>
            </w:pPr>
            <w:r w:rsidRPr="00F624E0">
              <w:rPr>
                <w:color w:val="000000"/>
                <w:sz w:val="20"/>
                <w:szCs w:val="20"/>
              </w:rPr>
              <w:t>37.0%</w:t>
            </w:r>
          </w:p>
        </w:tc>
      </w:tr>
      <w:tr w:rsidR="003A7A08" w:rsidRPr="00DD0432" w14:paraId="1447B728" w14:textId="77777777" w:rsidTr="00843927">
        <w:trPr>
          <w:trHeight w:val="397"/>
        </w:trPr>
        <w:tc>
          <w:tcPr>
            <w:tcW w:w="2547" w:type="dxa"/>
            <w:noWrap/>
            <w:vAlign w:val="center"/>
            <w:hideMark/>
          </w:tcPr>
          <w:p w14:paraId="2615278A" w14:textId="77777777" w:rsidR="003A7A08" w:rsidRPr="00F624E0" w:rsidRDefault="003A7A08">
            <w:pPr>
              <w:spacing w:line="276" w:lineRule="auto"/>
              <w:rPr>
                <w:color w:val="000000"/>
                <w:sz w:val="20"/>
                <w:szCs w:val="20"/>
              </w:rPr>
            </w:pPr>
            <w:r w:rsidRPr="00F624E0">
              <w:rPr>
                <w:color w:val="000000"/>
                <w:sz w:val="20"/>
                <w:szCs w:val="20"/>
              </w:rPr>
              <w:t>Low-risk gambling</w:t>
            </w:r>
          </w:p>
        </w:tc>
        <w:tc>
          <w:tcPr>
            <w:tcW w:w="1843" w:type="dxa"/>
            <w:noWrap/>
            <w:vAlign w:val="center"/>
            <w:hideMark/>
          </w:tcPr>
          <w:p w14:paraId="149AADBB" w14:textId="77777777" w:rsidR="003A7A08" w:rsidRPr="00F624E0" w:rsidRDefault="003A7A08">
            <w:pPr>
              <w:spacing w:line="276" w:lineRule="auto"/>
              <w:jc w:val="right"/>
              <w:rPr>
                <w:color w:val="000000"/>
                <w:sz w:val="20"/>
                <w:szCs w:val="20"/>
              </w:rPr>
            </w:pPr>
            <w:r w:rsidRPr="00F624E0">
              <w:rPr>
                <w:color w:val="000000"/>
                <w:sz w:val="20"/>
                <w:szCs w:val="20"/>
              </w:rPr>
              <w:t>4.1%</w:t>
            </w:r>
          </w:p>
        </w:tc>
        <w:tc>
          <w:tcPr>
            <w:tcW w:w="1559" w:type="dxa"/>
            <w:noWrap/>
            <w:vAlign w:val="center"/>
            <w:hideMark/>
          </w:tcPr>
          <w:p w14:paraId="0D07952F" w14:textId="77777777" w:rsidR="003A7A08" w:rsidRPr="00F624E0" w:rsidRDefault="003A7A08">
            <w:pPr>
              <w:spacing w:line="276" w:lineRule="auto"/>
              <w:jc w:val="right"/>
              <w:rPr>
                <w:color w:val="000000"/>
                <w:sz w:val="20"/>
                <w:szCs w:val="20"/>
              </w:rPr>
            </w:pPr>
            <w:r w:rsidRPr="00F624E0">
              <w:rPr>
                <w:color w:val="000000"/>
                <w:sz w:val="20"/>
                <w:szCs w:val="20"/>
              </w:rPr>
              <w:t>9.5%</w:t>
            </w:r>
          </w:p>
        </w:tc>
        <w:tc>
          <w:tcPr>
            <w:tcW w:w="1559" w:type="dxa"/>
            <w:noWrap/>
            <w:vAlign w:val="center"/>
            <w:hideMark/>
          </w:tcPr>
          <w:p w14:paraId="76F2F307" w14:textId="77777777" w:rsidR="003A7A08" w:rsidRPr="00F624E0" w:rsidRDefault="003A7A08">
            <w:pPr>
              <w:spacing w:line="276" w:lineRule="auto"/>
              <w:jc w:val="right"/>
              <w:rPr>
                <w:color w:val="000000"/>
                <w:sz w:val="20"/>
                <w:szCs w:val="20"/>
              </w:rPr>
            </w:pPr>
            <w:r w:rsidRPr="00F624E0">
              <w:rPr>
                <w:color w:val="000000"/>
                <w:sz w:val="20"/>
                <w:szCs w:val="20"/>
              </w:rPr>
              <w:t>8.8%</w:t>
            </w:r>
          </w:p>
        </w:tc>
        <w:tc>
          <w:tcPr>
            <w:tcW w:w="1559" w:type="dxa"/>
            <w:noWrap/>
            <w:vAlign w:val="center"/>
            <w:hideMark/>
          </w:tcPr>
          <w:p w14:paraId="61625445" w14:textId="77777777" w:rsidR="003A7A08" w:rsidRPr="00F624E0" w:rsidRDefault="003A7A08">
            <w:pPr>
              <w:spacing w:line="276" w:lineRule="auto"/>
              <w:jc w:val="right"/>
              <w:rPr>
                <w:color w:val="000000"/>
                <w:sz w:val="20"/>
                <w:szCs w:val="20"/>
              </w:rPr>
            </w:pPr>
            <w:r w:rsidRPr="00F624E0">
              <w:rPr>
                <w:color w:val="000000"/>
                <w:sz w:val="20"/>
                <w:szCs w:val="20"/>
              </w:rPr>
              <w:t>8.3%</w:t>
            </w:r>
          </w:p>
        </w:tc>
      </w:tr>
      <w:tr w:rsidR="003A7A08" w:rsidRPr="00DD0432" w14:paraId="32C6B789" w14:textId="77777777" w:rsidTr="00843927">
        <w:trPr>
          <w:trHeight w:val="397"/>
        </w:trPr>
        <w:tc>
          <w:tcPr>
            <w:tcW w:w="2547" w:type="dxa"/>
            <w:noWrap/>
            <w:vAlign w:val="center"/>
            <w:hideMark/>
          </w:tcPr>
          <w:p w14:paraId="1E4A3613" w14:textId="77777777" w:rsidR="003A7A08" w:rsidRPr="00F624E0" w:rsidRDefault="003A7A08">
            <w:pPr>
              <w:spacing w:line="276" w:lineRule="auto"/>
              <w:rPr>
                <w:color w:val="000000"/>
                <w:sz w:val="20"/>
                <w:szCs w:val="20"/>
              </w:rPr>
            </w:pPr>
            <w:r w:rsidRPr="00F624E0">
              <w:rPr>
                <w:color w:val="000000"/>
                <w:sz w:val="20"/>
                <w:szCs w:val="20"/>
              </w:rPr>
              <w:t>Moderate-risk gambling</w:t>
            </w:r>
          </w:p>
        </w:tc>
        <w:tc>
          <w:tcPr>
            <w:tcW w:w="1843" w:type="dxa"/>
            <w:noWrap/>
            <w:vAlign w:val="center"/>
            <w:hideMark/>
          </w:tcPr>
          <w:p w14:paraId="200947C1" w14:textId="77777777" w:rsidR="003A7A08" w:rsidRPr="00F624E0" w:rsidRDefault="003A7A08">
            <w:pPr>
              <w:spacing w:line="276" w:lineRule="auto"/>
              <w:jc w:val="right"/>
              <w:rPr>
                <w:color w:val="000000"/>
                <w:sz w:val="20"/>
                <w:szCs w:val="20"/>
              </w:rPr>
            </w:pPr>
            <w:r w:rsidRPr="00F624E0">
              <w:rPr>
                <w:color w:val="000000"/>
                <w:sz w:val="20"/>
                <w:szCs w:val="20"/>
              </w:rPr>
              <w:t>1.4%</w:t>
            </w:r>
          </w:p>
        </w:tc>
        <w:tc>
          <w:tcPr>
            <w:tcW w:w="1559" w:type="dxa"/>
            <w:noWrap/>
            <w:vAlign w:val="center"/>
            <w:hideMark/>
          </w:tcPr>
          <w:p w14:paraId="1F126A37" w14:textId="77777777" w:rsidR="003A7A08" w:rsidRPr="00F624E0" w:rsidRDefault="003A7A08">
            <w:pPr>
              <w:spacing w:line="276" w:lineRule="auto"/>
              <w:jc w:val="right"/>
              <w:rPr>
                <w:color w:val="000000"/>
                <w:sz w:val="20"/>
                <w:szCs w:val="20"/>
              </w:rPr>
            </w:pPr>
            <w:r w:rsidRPr="00F624E0">
              <w:rPr>
                <w:color w:val="000000"/>
                <w:sz w:val="20"/>
                <w:szCs w:val="20"/>
              </w:rPr>
              <w:t>2.9%</w:t>
            </w:r>
          </w:p>
        </w:tc>
        <w:tc>
          <w:tcPr>
            <w:tcW w:w="1559" w:type="dxa"/>
            <w:noWrap/>
            <w:vAlign w:val="center"/>
            <w:hideMark/>
          </w:tcPr>
          <w:p w14:paraId="2081952D" w14:textId="77777777" w:rsidR="003A7A08" w:rsidRPr="00F624E0" w:rsidRDefault="003A7A08">
            <w:pPr>
              <w:spacing w:line="276" w:lineRule="auto"/>
              <w:jc w:val="right"/>
              <w:rPr>
                <w:color w:val="000000"/>
                <w:sz w:val="20"/>
                <w:szCs w:val="20"/>
              </w:rPr>
            </w:pPr>
            <w:r w:rsidRPr="00F624E0">
              <w:rPr>
                <w:color w:val="000000"/>
                <w:sz w:val="20"/>
                <w:szCs w:val="20"/>
              </w:rPr>
              <w:t>5.2%</w:t>
            </w:r>
          </w:p>
        </w:tc>
        <w:tc>
          <w:tcPr>
            <w:tcW w:w="1559" w:type="dxa"/>
            <w:noWrap/>
            <w:vAlign w:val="center"/>
            <w:hideMark/>
          </w:tcPr>
          <w:p w14:paraId="2644A6FB" w14:textId="77777777" w:rsidR="003A7A08" w:rsidRPr="00F624E0" w:rsidRDefault="003A7A08">
            <w:pPr>
              <w:spacing w:line="276" w:lineRule="auto"/>
              <w:jc w:val="right"/>
              <w:rPr>
                <w:color w:val="000000"/>
                <w:sz w:val="20"/>
                <w:szCs w:val="20"/>
              </w:rPr>
            </w:pPr>
            <w:r w:rsidRPr="00F624E0">
              <w:rPr>
                <w:color w:val="000000"/>
                <w:sz w:val="20"/>
                <w:szCs w:val="20"/>
              </w:rPr>
              <w:t>2.0%</w:t>
            </w:r>
          </w:p>
        </w:tc>
      </w:tr>
      <w:tr w:rsidR="003A7A08" w:rsidRPr="00DD0432" w14:paraId="3ADAE9E7" w14:textId="77777777" w:rsidTr="00843927">
        <w:trPr>
          <w:trHeight w:val="397"/>
        </w:trPr>
        <w:tc>
          <w:tcPr>
            <w:tcW w:w="2547" w:type="dxa"/>
            <w:noWrap/>
            <w:vAlign w:val="center"/>
            <w:hideMark/>
          </w:tcPr>
          <w:p w14:paraId="0C7BE022" w14:textId="77777777" w:rsidR="003A7A08" w:rsidRPr="00F624E0" w:rsidRDefault="003A7A08">
            <w:pPr>
              <w:spacing w:line="276" w:lineRule="auto"/>
              <w:rPr>
                <w:color w:val="000000"/>
                <w:sz w:val="20"/>
                <w:szCs w:val="20"/>
              </w:rPr>
            </w:pPr>
            <w:r w:rsidRPr="00F624E0">
              <w:rPr>
                <w:color w:val="000000"/>
                <w:sz w:val="20"/>
                <w:szCs w:val="20"/>
              </w:rPr>
              <w:t>Problem gambling</w:t>
            </w:r>
          </w:p>
        </w:tc>
        <w:tc>
          <w:tcPr>
            <w:tcW w:w="1843" w:type="dxa"/>
            <w:noWrap/>
            <w:vAlign w:val="center"/>
            <w:hideMark/>
          </w:tcPr>
          <w:p w14:paraId="07523845" w14:textId="77777777" w:rsidR="003A7A08" w:rsidRPr="00F624E0" w:rsidRDefault="003A7A08">
            <w:pPr>
              <w:spacing w:line="276" w:lineRule="auto"/>
              <w:jc w:val="right"/>
              <w:rPr>
                <w:color w:val="000000"/>
                <w:sz w:val="20"/>
                <w:szCs w:val="20"/>
              </w:rPr>
            </w:pPr>
            <w:r w:rsidRPr="00F624E0">
              <w:rPr>
                <w:color w:val="000000"/>
                <w:sz w:val="20"/>
                <w:szCs w:val="20"/>
              </w:rPr>
              <w:t>0.3%</w:t>
            </w:r>
          </w:p>
        </w:tc>
        <w:tc>
          <w:tcPr>
            <w:tcW w:w="1559" w:type="dxa"/>
            <w:noWrap/>
            <w:vAlign w:val="center"/>
            <w:hideMark/>
          </w:tcPr>
          <w:p w14:paraId="78456037" w14:textId="77777777" w:rsidR="003A7A08" w:rsidRPr="00F624E0" w:rsidRDefault="003A7A08">
            <w:pPr>
              <w:spacing w:line="276" w:lineRule="auto"/>
              <w:jc w:val="right"/>
              <w:rPr>
                <w:color w:val="000000"/>
                <w:sz w:val="20"/>
                <w:szCs w:val="20"/>
              </w:rPr>
            </w:pPr>
            <w:r w:rsidRPr="00F624E0">
              <w:rPr>
                <w:color w:val="000000"/>
                <w:sz w:val="20"/>
                <w:szCs w:val="20"/>
              </w:rPr>
              <w:t>2.0%</w:t>
            </w:r>
          </w:p>
        </w:tc>
        <w:tc>
          <w:tcPr>
            <w:tcW w:w="1559" w:type="dxa"/>
            <w:noWrap/>
            <w:vAlign w:val="center"/>
            <w:hideMark/>
          </w:tcPr>
          <w:p w14:paraId="1889242E" w14:textId="77777777" w:rsidR="003A7A08" w:rsidRPr="00F624E0" w:rsidRDefault="003A7A08">
            <w:pPr>
              <w:spacing w:line="276" w:lineRule="auto"/>
              <w:jc w:val="right"/>
              <w:rPr>
                <w:color w:val="000000"/>
                <w:sz w:val="20"/>
                <w:szCs w:val="20"/>
              </w:rPr>
            </w:pPr>
            <w:r w:rsidRPr="00F624E0">
              <w:rPr>
                <w:color w:val="000000"/>
                <w:sz w:val="20"/>
                <w:szCs w:val="20"/>
              </w:rPr>
              <w:t>0.3%</w:t>
            </w:r>
          </w:p>
        </w:tc>
        <w:tc>
          <w:tcPr>
            <w:tcW w:w="1559" w:type="dxa"/>
            <w:noWrap/>
            <w:vAlign w:val="center"/>
            <w:hideMark/>
          </w:tcPr>
          <w:p w14:paraId="603DB879" w14:textId="77777777" w:rsidR="003A7A08" w:rsidRPr="00F624E0" w:rsidRDefault="003A7A08">
            <w:pPr>
              <w:spacing w:line="276" w:lineRule="auto"/>
              <w:jc w:val="right"/>
              <w:rPr>
                <w:color w:val="000000"/>
                <w:sz w:val="20"/>
                <w:szCs w:val="20"/>
              </w:rPr>
            </w:pPr>
            <w:r w:rsidRPr="00F624E0">
              <w:rPr>
                <w:color w:val="000000"/>
                <w:sz w:val="20"/>
                <w:szCs w:val="20"/>
              </w:rPr>
              <w:t>0.0%</w:t>
            </w:r>
          </w:p>
        </w:tc>
      </w:tr>
      <w:tr w:rsidR="003A7A08" w:rsidRPr="00DD0432" w14:paraId="2E5A79CB" w14:textId="77777777" w:rsidTr="00843927">
        <w:trPr>
          <w:trHeight w:val="397"/>
        </w:trPr>
        <w:tc>
          <w:tcPr>
            <w:tcW w:w="9067" w:type="dxa"/>
            <w:gridSpan w:val="5"/>
            <w:noWrap/>
            <w:vAlign w:val="center"/>
          </w:tcPr>
          <w:p w14:paraId="7B4C04A0" w14:textId="77777777" w:rsidR="003A7A08" w:rsidRPr="00F624E0" w:rsidRDefault="003A7A08">
            <w:pPr>
              <w:spacing w:line="276" w:lineRule="auto"/>
              <w:rPr>
                <w:sz w:val="20"/>
                <w:szCs w:val="20"/>
              </w:rPr>
            </w:pPr>
            <w:r w:rsidRPr="00F624E0">
              <w:rPr>
                <w:sz w:val="20"/>
                <w:szCs w:val="20"/>
              </w:rPr>
              <w:t>Note: Column totals add to slightly less than 100% due to missing and ‘Don’t know’ responses.</w:t>
            </w:r>
          </w:p>
        </w:tc>
      </w:tr>
    </w:tbl>
    <w:p w14:paraId="07735914" w14:textId="77777777" w:rsidR="00F624E0" w:rsidRDefault="00F624E0" w:rsidP="00367A8D">
      <w:pPr>
        <w:spacing w:before="240" w:after="240" w:line="360" w:lineRule="auto"/>
      </w:pPr>
    </w:p>
    <w:p w14:paraId="2E7D6AF6" w14:textId="77777777" w:rsidR="00F624E0" w:rsidRDefault="003A7A08" w:rsidP="00367A8D">
      <w:pPr>
        <w:spacing w:before="240" w:after="240" w:line="360" w:lineRule="auto"/>
      </w:pPr>
      <w:r>
        <w:t xml:space="preserve">Table </w:t>
      </w:r>
      <w:r w:rsidR="00757932">
        <w:t xml:space="preserve">11 </w:t>
      </w:r>
      <w:r>
        <w:t xml:space="preserve">compares each cultural group's representation within the general New Zealand population, among those who gamble, and their proportion of total gambling problems. This table highlights that while the European/Other group constitutes the largest proportion of New Zealanders (61.0%) and people who gamble (63.6%), their share of gambling problems (42.8%) is lower than their representation among people who gamble. </w:t>
      </w:r>
    </w:p>
    <w:p w14:paraId="4C43F4BC" w14:textId="6F2D0DF5" w:rsidR="00DB689D" w:rsidRDefault="003A7A08" w:rsidP="00367A8D">
      <w:pPr>
        <w:spacing w:before="240" w:after="240" w:line="360" w:lineRule="auto"/>
      </w:pPr>
      <w:r>
        <w:t xml:space="preserve">In contrast, Māori, who represent 15.0% of New Zealanders and 16.6% of those who gamble, account for a significantly higher proportion of gambling problems (31.5%). Pacific peoples (6.4% of New Zealanders, 6.1% of people who gamble) account for 10.9% of gambling problems, and the Asian cultural group (17.6% of New Zealanders, 13.7% of people who gamble) accounts for 14.9% of gambling problems. This indicates a disproportionate burden of gambling problems experienced by Māori and Pacific peoples relative to their population size and participation in gambling. </w:t>
      </w:r>
    </w:p>
    <w:p w14:paraId="3DC9CFA0" w14:textId="55B07DE1" w:rsidR="003A7A08" w:rsidRDefault="003A7A08" w:rsidP="00DB094D">
      <w:pPr>
        <w:pStyle w:val="Caption"/>
      </w:pPr>
      <w:bookmarkStart w:id="391" w:name="_Toc207619053"/>
      <w:r>
        <w:t xml:space="preserve">Table </w:t>
      </w:r>
      <w:r>
        <w:fldChar w:fldCharType="begin"/>
      </w:r>
      <w:r>
        <w:instrText xml:space="preserve"> SEQ Table \* ARABIC </w:instrText>
      </w:r>
      <w:r>
        <w:fldChar w:fldCharType="separate"/>
      </w:r>
      <w:r w:rsidR="00986A0D">
        <w:rPr>
          <w:noProof/>
        </w:rPr>
        <w:t>11</w:t>
      </w:r>
      <w:r>
        <w:fldChar w:fldCharType="end"/>
      </w:r>
      <w:r>
        <w:t xml:space="preserve">. </w:t>
      </w:r>
      <w:r w:rsidRPr="00401E8A">
        <w:t>Distribution of gambling behaviours and harm in New Zealand (2023-24), by cultural group</w:t>
      </w:r>
      <w:bookmarkEnd w:id="391"/>
    </w:p>
    <w:tbl>
      <w:tblPr>
        <w:tblStyle w:val="TableGridLight"/>
        <w:tblW w:w="9209" w:type="dxa"/>
        <w:tblLook w:val="04A0" w:firstRow="1" w:lastRow="0" w:firstColumn="1" w:lastColumn="0" w:noHBand="0" w:noVBand="1"/>
      </w:tblPr>
      <w:tblGrid>
        <w:gridCol w:w="2972"/>
        <w:gridCol w:w="1701"/>
        <w:gridCol w:w="1559"/>
        <w:gridCol w:w="1418"/>
        <w:gridCol w:w="1559"/>
      </w:tblGrid>
      <w:tr w:rsidR="003A7A08" w:rsidRPr="00DD0432" w14:paraId="33567993" w14:textId="77777777" w:rsidTr="00843927">
        <w:trPr>
          <w:trHeight w:val="397"/>
        </w:trPr>
        <w:tc>
          <w:tcPr>
            <w:tcW w:w="2972" w:type="dxa"/>
            <w:shd w:val="clear" w:color="auto" w:fill="F2F2F2" w:themeFill="background1" w:themeFillShade="F2"/>
            <w:vAlign w:val="center"/>
            <w:hideMark/>
          </w:tcPr>
          <w:p w14:paraId="022F0698" w14:textId="77777777" w:rsidR="003A7A08" w:rsidRPr="00F624E0" w:rsidRDefault="003A7A08">
            <w:pPr>
              <w:spacing w:line="276" w:lineRule="auto"/>
              <w:jc w:val="center"/>
              <w:rPr>
                <w:b/>
                <w:bCs/>
                <w:color w:val="000000"/>
                <w:sz w:val="20"/>
                <w:szCs w:val="20"/>
              </w:rPr>
            </w:pPr>
            <w:r w:rsidRPr="00F624E0">
              <w:rPr>
                <w:b/>
                <w:bCs/>
                <w:color w:val="000000"/>
                <w:sz w:val="20"/>
                <w:szCs w:val="20"/>
              </w:rPr>
              <w:t>Cultural Groups</w:t>
            </w:r>
          </w:p>
        </w:tc>
        <w:tc>
          <w:tcPr>
            <w:tcW w:w="1701" w:type="dxa"/>
            <w:shd w:val="clear" w:color="auto" w:fill="F2F2F2" w:themeFill="background1" w:themeFillShade="F2"/>
            <w:vAlign w:val="center"/>
            <w:hideMark/>
          </w:tcPr>
          <w:p w14:paraId="611CA40C" w14:textId="77777777" w:rsidR="003A7A08" w:rsidRPr="00F624E0" w:rsidRDefault="003A7A08">
            <w:pPr>
              <w:spacing w:line="276" w:lineRule="auto"/>
              <w:jc w:val="center"/>
              <w:rPr>
                <w:b/>
                <w:bCs/>
                <w:color w:val="000000"/>
                <w:sz w:val="20"/>
                <w:szCs w:val="20"/>
              </w:rPr>
            </w:pPr>
            <w:r w:rsidRPr="00F624E0">
              <w:rPr>
                <w:b/>
                <w:bCs/>
                <w:color w:val="000000"/>
                <w:sz w:val="20"/>
                <w:szCs w:val="20"/>
              </w:rPr>
              <w:t>European/Other</w:t>
            </w:r>
          </w:p>
        </w:tc>
        <w:tc>
          <w:tcPr>
            <w:tcW w:w="1559" w:type="dxa"/>
            <w:shd w:val="clear" w:color="auto" w:fill="F2F2F2" w:themeFill="background1" w:themeFillShade="F2"/>
            <w:vAlign w:val="center"/>
            <w:hideMark/>
          </w:tcPr>
          <w:p w14:paraId="22CE4E5C" w14:textId="77777777" w:rsidR="003A7A08" w:rsidRPr="00F624E0" w:rsidRDefault="003A7A08">
            <w:pPr>
              <w:spacing w:line="276" w:lineRule="auto"/>
              <w:jc w:val="center"/>
              <w:rPr>
                <w:b/>
                <w:bCs/>
                <w:color w:val="000000"/>
                <w:sz w:val="20"/>
                <w:szCs w:val="20"/>
              </w:rPr>
            </w:pPr>
            <w:r w:rsidRPr="00F624E0">
              <w:rPr>
                <w:b/>
                <w:bCs/>
                <w:color w:val="000000"/>
                <w:sz w:val="20"/>
                <w:szCs w:val="20"/>
              </w:rPr>
              <w:t>Māori</w:t>
            </w:r>
          </w:p>
        </w:tc>
        <w:tc>
          <w:tcPr>
            <w:tcW w:w="1418" w:type="dxa"/>
            <w:shd w:val="clear" w:color="auto" w:fill="F2F2F2" w:themeFill="background1" w:themeFillShade="F2"/>
            <w:vAlign w:val="center"/>
            <w:hideMark/>
          </w:tcPr>
          <w:p w14:paraId="5FA0DC69" w14:textId="77777777" w:rsidR="003A7A08" w:rsidRPr="00F624E0" w:rsidRDefault="003A7A08">
            <w:pPr>
              <w:spacing w:line="276" w:lineRule="auto"/>
              <w:jc w:val="center"/>
              <w:rPr>
                <w:b/>
                <w:bCs/>
                <w:color w:val="000000"/>
                <w:sz w:val="20"/>
                <w:szCs w:val="20"/>
              </w:rPr>
            </w:pPr>
            <w:r w:rsidRPr="00F624E0">
              <w:rPr>
                <w:b/>
                <w:bCs/>
                <w:color w:val="000000"/>
                <w:sz w:val="20"/>
                <w:szCs w:val="20"/>
              </w:rPr>
              <w:t>Pacific</w:t>
            </w:r>
          </w:p>
        </w:tc>
        <w:tc>
          <w:tcPr>
            <w:tcW w:w="1559" w:type="dxa"/>
            <w:shd w:val="clear" w:color="auto" w:fill="F2F2F2" w:themeFill="background1" w:themeFillShade="F2"/>
            <w:vAlign w:val="center"/>
            <w:hideMark/>
          </w:tcPr>
          <w:p w14:paraId="3934A2CE" w14:textId="77777777" w:rsidR="003A7A08" w:rsidRPr="00F624E0" w:rsidRDefault="003A7A08">
            <w:pPr>
              <w:spacing w:line="276" w:lineRule="auto"/>
              <w:jc w:val="center"/>
              <w:rPr>
                <w:b/>
                <w:bCs/>
                <w:color w:val="000000"/>
                <w:sz w:val="20"/>
                <w:szCs w:val="20"/>
              </w:rPr>
            </w:pPr>
            <w:r w:rsidRPr="00F624E0">
              <w:rPr>
                <w:b/>
                <w:bCs/>
                <w:color w:val="000000"/>
                <w:sz w:val="20"/>
                <w:szCs w:val="20"/>
              </w:rPr>
              <w:t>Asian</w:t>
            </w:r>
          </w:p>
        </w:tc>
      </w:tr>
      <w:tr w:rsidR="003A7A08" w:rsidRPr="00DD0432" w14:paraId="062D7767" w14:textId="77777777" w:rsidTr="00843927">
        <w:trPr>
          <w:trHeight w:val="397"/>
        </w:trPr>
        <w:tc>
          <w:tcPr>
            <w:tcW w:w="2972" w:type="dxa"/>
            <w:noWrap/>
            <w:vAlign w:val="center"/>
            <w:hideMark/>
          </w:tcPr>
          <w:p w14:paraId="1782D3D9" w14:textId="77777777" w:rsidR="003A7A08" w:rsidRPr="00F624E0" w:rsidRDefault="003A7A08">
            <w:pPr>
              <w:spacing w:line="276" w:lineRule="auto"/>
              <w:rPr>
                <w:color w:val="000000"/>
                <w:sz w:val="20"/>
                <w:szCs w:val="20"/>
              </w:rPr>
            </w:pPr>
            <w:r w:rsidRPr="00F624E0">
              <w:rPr>
                <w:color w:val="000000"/>
                <w:sz w:val="20"/>
                <w:szCs w:val="20"/>
              </w:rPr>
              <w:t>Proportion of New Zealanders</w:t>
            </w:r>
          </w:p>
        </w:tc>
        <w:tc>
          <w:tcPr>
            <w:tcW w:w="1701" w:type="dxa"/>
            <w:noWrap/>
            <w:vAlign w:val="center"/>
            <w:hideMark/>
          </w:tcPr>
          <w:p w14:paraId="1105DE56" w14:textId="77777777" w:rsidR="003A7A08" w:rsidRPr="00F624E0" w:rsidRDefault="003A7A08">
            <w:pPr>
              <w:spacing w:line="276" w:lineRule="auto"/>
              <w:jc w:val="right"/>
              <w:rPr>
                <w:color w:val="000000"/>
                <w:sz w:val="20"/>
                <w:szCs w:val="20"/>
              </w:rPr>
            </w:pPr>
            <w:r w:rsidRPr="00F624E0">
              <w:rPr>
                <w:color w:val="000000"/>
                <w:sz w:val="20"/>
                <w:szCs w:val="20"/>
              </w:rPr>
              <w:t>61.0%</w:t>
            </w:r>
          </w:p>
        </w:tc>
        <w:tc>
          <w:tcPr>
            <w:tcW w:w="1559" w:type="dxa"/>
            <w:noWrap/>
            <w:vAlign w:val="center"/>
            <w:hideMark/>
          </w:tcPr>
          <w:p w14:paraId="292F4D0E" w14:textId="77777777" w:rsidR="003A7A08" w:rsidRPr="00F624E0" w:rsidRDefault="003A7A08">
            <w:pPr>
              <w:spacing w:line="276" w:lineRule="auto"/>
              <w:jc w:val="right"/>
              <w:rPr>
                <w:color w:val="000000"/>
                <w:sz w:val="20"/>
                <w:szCs w:val="20"/>
              </w:rPr>
            </w:pPr>
            <w:r w:rsidRPr="00F624E0">
              <w:rPr>
                <w:color w:val="000000"/>
                <w:sz w:val="20"/>
                <w:szCs w:val="20"/>
              </w:rPr>
              <w:t>15.0%</w:t>
            </w:r>
          </w:p>
        </w:tc>
        <w:tc>
          <w:tcPr>
            <w:tcW w:w="1418" w:type="dxa"/>
            <w:noWrap/>
            <w:vAlign w:val="center"/>
            <w:hideMark/>
          </w:tcPr>
          <w:p w14:paraId="16ABD453" w14:textId="77777777" w:rsidR="003A7A08" w:rsidRPr="00F624E0" w:rsidRDefault="003A7A08">
            <w:pPr>
              <w:spacing w:line="276" w:lineRule="auto"/>
              <w:jc w:val="right"/>
              <w:rPr>
                <w:color w:val="000000"/>
                <w:sz w:val="20"/>
                <w:szCs w:val="20"/>
              </w:rPr>
            </w:pPr>
            <w:r w:rsidRPr="00F624E0">
              <w:rPr>
                <w:color w:val="000000"/>
                <w:sz w:val="20"/>
                <w:szCs w:val="20"/>
              </w:rPr>
              <w:t>6.4%</w:t>
            </w:r>
          </w:p>
        </w:tc>
        <w:tc>
          <w:tcPr>
            <w:tcW w:w="1559" w:type="dxa"/>
            <w:noWrap/>
            <w:vAlign w:val="center"/>
            <w:hideMark/>
          </w:tcPr>
          <w:p w14:paraId="58FD3D82" w14:textId="77777777" w:rsidR="003A7A08" w:rsidRPr="00F624E0" w:rsidRDefault="003A7A08">
            <w:pPr>
              <w:spacing w:line="276" w:lineRule="auto"/>
              <w:jc w:val="right"/>
              <w:rPr>
                <w:color w:val="000000"/>
                <w:sz w:val="20"/>
                <w:szCs w:val="20"/>
              </w:rPr>
            </w:pPr>
            <w:r w:rsidRPr="00F624E0">
              <w:rPr>
                <w:color w:val="000000"/>
                <w:sz w:val="20"/>
                <w:szCs w:val="20"/>
              </w:rPr>
              <w:t>17.6%</w:t>
            </w:r>
          </w:p>
        </w:tc>
      </w:tr>
      <w:tr w:rsidR="003A7A08" w:rsidRPr="00DD0432" w14:paraId="7D505A28" w14:textId="77777777" w:rsidTr="00843927">
        <w:trPr>
          <w:trHeight w:val="397"/>
        </w:trPr>
        <w:tc>
          <w:tcPr>
            <w:tcW w:w="2972" w:type="dxa"/>
            <w:noWrap/>
            <w:vAlign w:val="center"/>
            <w:hideMark/>
          </w:tcPr>
          <w:p w14:paraId="194A4F5C" w14:textId="77777777" w:rsidR="003A7A08" w:rsidRPr="00F624E0" w:rsidRDefault="003A7A08">
            <w:pPr>
              <w:spacing w:line="276" w:lineRule="auto"/>
              <w:rPr>
                <w:color w:val="000000"/>
                <w:sz w:val="20"/>
                <w:szCs w:val="20"/>
              </w:rPr>
            </w:pPr>
            <w:r w:rsidRPr="00F624E0">
              <w:rPr>
                <w:color w:val="000000"/>
                <w:sz w:val="20"/>
                <w:szCs w:val="20"/>
              </w:rPr>
              <w:t>Proportion of people who gamble</w:t>
            </w:r>
          </w:p>
        </w:tc>
        <w:tc>
          <w:tcPr>
            <w:tcW w:w="1701" w:type="dxa"/>
            <w:noWrap/>
            <w:vAlign w:val="center"/>
            <w:hideMark/>
          </w:tcPr>
          <w:p w14:paraId="52D344F4" w14:textId="77777777" w:rsidR="003A7A08" w:rsidRPr="00F624E0" w:rsidRDefault="003A7A08">
            <w:pPr>
              <w:spacing w:line="276" w:lineRule="auto"/>
              <w:jc w:val="right"/>
              <w:rPr>
                <w:color w:val="000000"/>
                <w:sz w:val="20"/>
                <w:szCs w:val="20"/>
              </w:rPr>
            </w:pPr>
            <w:r w:rsidRPr="00F624E0">
              <w:rPr>
                <w:color w:val="000000"/>
                <w:sz w:val="20"/>
                <w:szCs w:val="20"/>
              </w:rPr>
              <w:t>63.6%</w:t>
            </w:r>
          </w:p>
        </w:tc>
        <w:tc>
          <w:tcPr>
            <w:tcW w:w="1559" w:type="dxa"/>
            <w:noWrap/>
            <w:vAlign w:val="center"/>
            <w:hideMark/>
          </w:tcPr>
          <w:p w14:paraId="0E0917E4" w14:textId="77777777" w:rsidR="003A7A08" w:rsidRPr="00F624E0" w:rsidRDefault="003A7A08">
            <w:pPr>
              <w:spacing w:line="276" w:lineRule="auto"/>
              <w:jc w:val="right"/>
              <w:rPr>
                <w:color w:val="000000"/>
                <w:sz w:val="20"/>
                <w:szCs w:val="20"/>
              </w:rPr>
            </w:pPr>
            <w:r w:rsidRPr="00F624E0">
              <w:rPr>
                <w:color w:val="000000"/>
                <w:sz w:val="20"/>
                <w:szCs w:val="20"/>
              </w:rPr>
              <w:t>16.6%</w:t>
            </w:r>
          </w:p>
        </w:tc>
        <w:tc>
          <w:tcPr>
            <w:tcW w:w="1418" w:type="dxa"/>
            <w:noWrap/>
            <w:vAlign w:val="center"/>
            <w:hideMark/>
          </w:tcPr>
          <w:p w14:paraId="0DE631BD" w14:textId="77777777" w:rsidR="003A7A08" w:rsidRPr="00F624E0" w:rsidRDefault="003A7A08">
            <w:pPr>
              <w:spacing w:line="276" w:lineRule="auto"/>
              <w:jc w:val="right"/>
              <w:rPr>
                <w:color w:val="000000"/>
                <w:sz w:val="20"/>
                <w:szCs w:val="20"/>
              </w:rPr>
            </w:pPr>
            <w:r w:rsidRPr="00F624E0">
              <w:rPr>
                <w:color w:val="000000"/>
                <w:sz w:val="20"/>
                <w:szCs w:val="20"/>
              </w:rPr>
              <w:t>6.1%</w:t>
            </w:r>
          </w:p>
        </w:tc>
        <w:tc>
          <w:tcPr>
            <w:tcW w:w="1559" w:type="dxa"/>
            <w:noWrap/>
            <w:vAlign w:val="center"/>
            <w:hideMark/>
          </w:tcPr>
          <w:p w14:paraId="530EE412" w14:textId="77777777" w:rsidR="003A7A08" w:rsidRPr="00F624E0" w:rsidRDefault="003A7A08">
            <w:pPr>
              <w:spacing w:line="276" w:lineRule="auto"/>
              <w:jc w:val="right"/>
              <w:rPr>
                <w:color w:val="000000"/>
                <w:sz w:val="20"/>
                <w:szCs w:val="20"/>
              </w:rPr>
            </w:pPr>
            <w:r w:rsidRPr="00F624E0">
              <w:rPr>
                <w:color w:val="000000"/>
                <w:sz w:val="20"/>
                <w:szCs w:val="20"/>
              </w:rPr>
              <w:t>13.7%</w:t>
            </w:r>
          </w:p>
        </w:tc>
      </w:tr>
      <w:tr w:rsidR="003A7A08" w:rsidRPr="00DD0432" w14:paraId="3449AC24" w14:textId="77777777" w:rsidTr="00843927">
        <w:trPr>
          <w:trHeight w:val="397"/>
        </w:trPr>
        <w:tc>
          <w:tcPr>
            <w:tcW w:w="2972" w:type="dxa"/>
            <w:noWrap/>
            <w:vAlign w:val="center"/>
            <w:hideMark/>
          </w:tcPr>
          <w:p w14:paraId="0E9FA5A6" w14:textId="77777777" w:rsidR="003A7A08" w:rsidRPr="00F624E0" w:rsidRDefault="003A7A08">
            <w:pPr>
              <w:spacing w:line="276" w:lineRule="auto"/>
              <w:rPr>
                <w:color w:val="000000"/>
                <w:sz w:val="20"/>
                <w:szCs w:val="20"/>
              </w:rPr>
            </w:pPr>
            <w:r w:rsidRPr="00F624E0">
              <w:rPr>
                <w:color w:val="000000"/>
                <w:sz w:val="20"/>
                <w:szCs w:val="20"/>
              </w:rPr>
              <w:t>Proportion of gambling problems</w:t>
            </w:r>
          </w:p>
        </w:tc>
        <w:tc>
          <w:tcPr>
            <w:tcW w:w="1701" w:type="dxa"/>
            <w:noWrap/>
            <w:vAlign w:val="center"/>
            <w:hideMark/>
          </w:tcPr>
          <w:p w14:paraId="1DA28130" w14:textId="77777777" w:rsidR="003A7A08" w:rsidRPr="00F624E0" w:rsidRDefault="003A7A08">
            <w:pPr>
              <w:spacing w:line="276" w:lineRule="auto"/>
              <w:jc w:val="right"/>
              <w:rPr>
                <w:color w:val="000000"/>
                <w:sz w:val="20"/>
                <w:szCs w:val="20"/>
              </w:rPr>
            </w:pPr>
            <w:r w:rsidRPr="00F624E0">
              <w:rPr>
                <w:color w:val="000000"/>
                <w:sz w:val="20"/>
                <w:szCs w:val="20"/>
              </w:rPr>
              <w:t>42.8%</w:t>
            </w:r>
          </w:p>
        </w:tc>
        <w:tc>
          <w:tcPr>
            <w:tcW w:w="1559" w:type="dxa"/>
            <w:noWrap/>
            <w:vAlign w:val="center"/>
            <w:hideMark/>
          </w:tcPr>
          <w:p w14:paraId="7E42C488" w14:textId="77777777" w:rsidR="003A7A08" w:rsidRPr="00F624E0" w:rsidRDefault="003A7A08">
            <w:pPr>
              <w:spacing w:line="276" w:lineRule="auto"/>
              <w:jc w:val="right"/>
              <w:rPr>
                <w:color w:val="000000"/>
                <w:sz w:val="20"/>
                <w:szCs w:val="20"/>
              </w:rPr>
            </w:pPr>
            <w:r w:rsidRPr="00F624E0">
              <w:rPr>
                <w:color w:val="000000"/>
                <w:sz w:val="20"/>
                <w:szCs w:val="20"/>
              </w:rPr>
              <w:t>31.5%</w:t>
            </w:r>
          </w:p>
        </w:tc>
        <w:tc>
          <w:tcPr>
            <w:tcW w:w="1418" w:type="dxa"/>
            <w:noWrap/>
            <w:vAlign w:val="center"/>
            <w:hideMark/>
          </w:tcPr>
          <w:p w14:paraId="627A9B27" w14:textId="77777777" w:rsidR="003A7A08" w:rsidRPr="00F624E0" w:rsidRDefault="003A7A08">
            <w:pPr>
              <w:spacing w:line="276" w:lineRule="auto"/>
              <w:jc w:val="right"/>
              <w:rPr>
                <w:color w:val="000000"/>
                <w:sz w:val="20"/>
                <w:szCs w:val="20"/>
              </w:rPr>
            </w:pPr>
            <w:r w:rsidRPr="00F624E0">
              <w:rPr>
                <w:color w:val="000000"/>
                <w:sz w:val="20"/>
                <w:szCs w:val="20"/>
              </w:rPr>
              <w:t>10.9%</w:t>
            </w:r>
          </w:p>
        </w:tc>
        <w:tc>
          <w:tcPr>
            <w:tcW w:w="1559" w:type="dxa"/>
            <w:noWrap/>
            <w:vAlign w:val="center"/>
            <w:hideMark/>
          </w:tcPr>
          <w:p w14:paraId="149F09DA" w14:textId="77777777" w:rsidR="003A7A08" w:rsidRPr="00F624E0" w:rsidRDefault="003A7A08">
            <w:pPr>
              <w:spacing w:line="276" w:lineRule="auto"/>
              <w:jc w:val="right"/>
              <w:rPr>
                <w:color w:val="000000"/>
                <w:sz w:val="20"/>
                <w:szCs w:val="20"/>
              </w:rPr>
            </w:pPr>
            <w:r w:rsidRPr="00F624E0">
              <w:rPr>
                <w:color w:val="000000"/>
                <w:sz w:val="20"/>
                <w:szCs w:val="20"/>
              </w:rPr>
              <w:t>14.9%</w:t>
            </w:r>
          </w:p>
        </w:tc>
      </w:tr>
    </w:tbl>
    <w:p w14:paraId="53E9633E" w14:textId="77777777" w:rsidR="00DB689D" w:rsidRDefault="00DB689D" w:rsidP="00367A8D">
      <w:pPr>
        <w:spacing w:line="360" w:lineRule="auto"/>
      </w:pPr>
    </w:p>
    <w:p w14:paraId="0B75B304" w14:textId="77777777" w:rsidR="00F624E0" w:rsidRDefault="00310A10" w:rsidP="006B5094">
      <w:pPr>
        <w:spacing w:before="240" w:after="240" w:line="360" w:lineRule="auto"/>
      </w:pPr>
      <w:r>
        <w:t xml:space="preserve">Building on this, </w:t>
      </w:r>
      <w:r w:rsidR="003A7A08">
        <w:t xml:space="preserve">Table </w:t>
      </w:r>
      <w:r w:rsidR="00757932">
        <w:t xml:space="preserve">12 </w:t>
      </w:r>
      <w:r>
        <w:t>illustrates the estimated distribution of the total financial cost of gambling problems across these cultural groups, contextualised by their population prevalence. Of the total estimated cost of gambling harm in New Zealand, approximately $1.</w:t>
      </w:r>
      <w:r w:rsidR="00BE5A0D">
        <w:t xml:space="preserve">804 </w:t>
      </w:r>
      <w:r>
        <w:t>billion is attributed to the European/Other group, which represents 61.0% of the population. The Māori community, representing 15.0% of the population, is estimated to bear $1.</w:t>
      </w:r>
      <w:r w:rsidR="00BE5A0D">
        <w:t xml:space="preserve">328 </w:t>
      </w:r>
      <w:r>
        <w:t>billion of the costs. For Pacific peoples (6.4% of the population), the estimated cost is $46</w:t>
      </w:r>
      <w:r w:rsidR="00BE5A0D">
        <w:t>0</w:t>
      </w:r>
      <w:r>
        <w:t xml:space="preserve"> million, and for Asian communities (17.6% of the population), it is $</w:t>
      </w:r>
      <w:r w:rsidR="00BE5A0D">
        <w:t xml:space="preserve">628 </w:t>
      </w:r>
      <w:r>
        <w:t xml:space="preserve">million. </w:t>
      </w:r>
    </w:p>
    <w:p w14:paraId="4CE421A4" w14:textId="1C7D3C0E" w:rsidR="00DB689D" w:rsidRDefault="00310A10" w:rsidP="006B5094">
      <w:pPr>
        <w:spacing w:before="240" w:after="240" w:line="360" w:lineRule="auto"/>
      </w:pPr>
      <w:r>
        <w:t xml:space="preserve">These figures suggest that the economic burden of gambling harm is not distributed proportionally to population size across all cultural groups, with Māori, in particular, bearing a share of the cost that is notably higher than their proportion of the general population. </w:t>
      </w:r>
    </w:p>
    <w:p w14:paraId="5953A957" w14:textId="77777777" w:rsidR="00F624E0" w:rsidRDefault="00F624E0" w:rsidP="006B5094">
      <w:pPr>
        <w:spacing w:before="240" w:after="240" w:line="360" w:lineRule="auto"/>
      </w:pPr>
    </w:p>
    <w:p w14:paraId="56F754B1" w14:textId="78566BB2" w:rsidR="003A7A08" w:rsidRDefault="003A7A08" w:rsidP="00DB094D">
      <w:pPr>
        <w:pStyle w:val="Caption"/>
      </w:pPr>
      <w:bookmarkStart w:id="392" w:name="_Toc207619054"/>
      <w:r>
        <w:t xml:space="preserve">Table </w:t>
      </w:r>
      <w:r>
        <w:fldChar w:fldCharType="begin"/>
      </w:r>
      <w:r>
        <w:instrText xml:space="preserve"> SEQ Table \* ARABIC </w:instrText>
      </w:r>
      <w:r>
        <w:fldChar w:fldCharType="separate"/>
      </w:r>
      <w:r w:rsidR="00986A0D">
        <w:rPr>
          <w:noProof/>
        </w:rPr>
        <w:t>12</w:t>
      </w:r>
      <w:r>
        <w:fldChar w:fldCharType="end"/>
      </w:r>
      <w:r>
        <w:t xml:space="preserve">. </w:t>
      </w:r>
      <w:r w:rsidRPr="00895944">
        <w:t>Cost of gambling problems in New Zealand (2023-24), by cultural group</w:t>
      </w:r>
      <w:bookmarkEnd w:id="392"/>
    </w:p>
    <w:tbl>
      <w:tblPr>
        <w:tblStyle w:val="TableGridLight"/>
        <w:tblW w:w="9493" w:type="dxa"/>
        <w:tblLayout w:type="fixed"/>
        <w:tblLook w:val="04A0" w:firstRow="1" w:lastRow="0" w:firstColumn="1" w:lastColumn="0" w:noHBand="0" w:noVBand="1"/>
      </w:tblPr>
      <w:tblGrid>
        <w:gridCol w:w="2830"/>
        <w:gridCol w:w="1843"/>
        <w:gridCol w:w="1701"/>
        <w:gridCol w:w="1559"/>
        <w:gridCol w:w="1560"/>
      </w:tblGrid>
      <w:tr w:rsidR="003A7A08" w:rsidRPr="00DD0432" w14:paraId="58A6D92C" w14:textId="77777777">
        <w:trPr>
          <w:trHeight w:val="397"/>
        </w:trPr>
        <w:tc>
          <w:tcPr>
            <w:tcW w:w="2830" w:type="dxa"/>
            <w:shd w:val="clear" w:color="auto" w:fill="F2F2F2" w:themeFill="background1" w:themeFillShade="F2"/>
            <w:vAlign w:val="center"/>
            <w:hideMark/>
          </w:tcPr>
          <w:p w14:paraId="6978DD35" w14:textId="77777777" w:rsidR="003A7A08" w:rsidRPr="00F624E0" w:rsidRDefault="003A7A08">
            <w:pPr>
              <w:spacing w:line="276" w:lineRule="auto"/>
              <w:jc w:val="center"/>
              <w:rPr>
                <w:b/>
                <w:bCs/>
                <w:color w:val="000000"/>
                <w:sz w:val="20"/>
                <w:szCs w:val="20"/>
              </w:rPr>
            </w:pPr>
            <w:r w:rsidRPr="00F624E0">
              <w:rPr>
                <w:b/>
                <w:bCs/>
                <w:color w:val="000000"/>
                <w:sz w:val="20"/>
                <w:szCs w:val="20"/>
              </w:rPr>
              <w:t>Harm Category</w:t>
            </w:r>
          </w:p>
        </w:tc>
        <w:tc>
          <w:tcPr>
            <w:tcW w:w="1843" w:type="dxa"/>
            <w:shd w:val="clear" w:color="auto" w:fill="F2F2F2" w:themeFill="background1" w:themeFillShade="F2"/>
            <w:vAlign w:val="center"/>
            <w:hideMark/>
          </w:tcPr>
          <w:p w14:paraId="5CCB26C0" w14:textId="77777777" w:rsidR="003A7A08" w:rsidRPr="00F624E0" w:rsidRDefault="003A7A08">
            <w:pPr>
              <w:spacing w:line="276" w:lineRule="auto"/>
              <w:jc w:val="center"/>
              <w:rPr>
                <w:b/>
                <w:bCs/>
                <w:color w:val="000000"/>
                <w:sz w:val="20"/>
                <w:szCs w:val="20"/>
              </w:rPr>
            </w:pPr>
            <w:r w:rsidRPr="00F624E0">
              <w:rPr>
                <w:b/>
                <w:bCs/>
                <w:color w:val="000000"/>
                <w:sz w:val="20"/>
                <w:szCs w:val="20"/>
              </w:rPr>
              <w:t>European/Other</w:t>
            </w:r>
          </w:p>
        </w:tc>
        <w:tc>
          <w:tcPr>
            <w:tcW w:w="1701" w:type="dxa"/>
            <w:shd w:val="clear" w:color="auto" w:fill="F2F2F2" w:themeFill="background1" w:themeFillShade="F2"/>
            <w:vAlign w:val="center"/>
            <w:hideMark/>
          </w:tcPr>
          <w:p w14:paraId="789A6E2F" w14:textId="77777777" w:rsidR="003A7A08" w:rsidRPr="00F624E0" w:rsidRDefault="003A7A08">
            <w:pPr>
              <w:spacing w:line="276" w:lineRule="auto"/>
              <w:jc w:val="center"/>
              <w:rPr>
                <w:b/>
                <w:bCs/>
                <w:color w:val="000000"/>
                <w:sz w:val="20"/>
                <w:szCs w:val="20"/>
              </w:rPr>
            </w:pPr>
            <w:r w:rsidRPr="00F624E0">
              <w:rPr>
                <w:b/>
                <w:bCs/>
                <w:color w:val="000000"/>
                <w:sz w:val="20"/>
                <w:szCs w:val="20"/>
              </w:rPr>
              <w:t>Māori</w:t>
            </w:r>
          </w:p>
        </w:tc>
        <w:tc>
          <w:tcPr>
            <w:tcW w:w="1559" w:type="dxa"/>
            <w:shd w:val="clear" w:color="auto" w:fill="F2F2F2" w:themeFill="background1" w:themeFillShade="F2"/>
            <w:vAlign w:val="center"/>
            <w:hideMark/>
          </w:tcPr>
          <w:p w14:paraId="57820A7E" w14:textId="77777777" w:rsidR="003A7A08" w:rsidRPr="00F624E0" w:rsidRDefault="003A7A08">
            <w:pPr>
              <w:spacing w:line="276" w:lineRule="auto"/>
              <w:jc w:val="center"/>
              <w:rPr>
                <w:b/>
                <w:bCs/>
                <w:color w:val="000000"/>
                <w:sz w:val="20"/>
                <w:szCs w:val="20"/>
              </w:rPr>
            </w:pPr>
            <w:r w:rsidRPr="00F624E0">
              <w:rPr>
                <w:b/>
                <w:bCs/>
                <w:color w:val="000000"/>
                <w:sz w:val="20"/>
                <w:szCs w:val="20"/>
              </w:rPr>
              <w:t>Pacific</w:t>
            </w:r>
          </w:p>
        </w:tc>
        <w:tc>
          <w:tcPr>
            <w:tcW w:w="1560" w:type="dxa"/>
            <w:shd w:val="clear" w:color="auto" w:fill="F2F2F2" w:themeFill="background1" w:themeFillShade="F2"/>
            <w:vAlign w:val="center"/>
            <w:hideMark/>
          </w:tcPr>
          <w:p w14:paraId="32D9628F" w14:textId="77777777" w:rsidR="003A7A08" w:rsidRPr="00F624E0" w:rsidRDefault="003A7A08">
            <w:pPr>
              <w:spacing w:line="276" w:lineRule="auto"/>
              <w:jc w:val="center"/>
              <w:rPr>
                <w:b/>
                <w:bCs/>
                <w:color w:val="000000"/>
                <w:sz w:val="20"/>
                <w:szCs w:val="20"/>
              </w:rPr>
            </w:pPr>
            <w:r w:rsidRPr="00F624E0">
              <w:rPr>
                <w:b/>
                <w:bCs/>
                <w:color w:val="000000"/>
                <w:sz w:val="20"/>
                <w:szCs w:val="20"/>
              </w:rPr>
              <w:t>Asian</w:t>
            </w:r>
          </w:p>
        </w:tc>
      </w:tr>
      <w:tr w:rsidR="00BE5A0D" w:rsidRPr="00DD0432" w14:paraId="6732E335" w14:textId="77777777">
        <w:trPr>
          <w:trHeight w:val="397"/>
        </w:trPr>
        <w:tc>
          <w:tcPr>
            <w:tcW w:w="2830" w:type="dxa"/>
            <w:noWrap/>
            <w:vAlign w:val="center"/>
            <w:hideMark/>
          </w:tcPr>
          <w:p w14:paraId="13E642EE" w14:textId="77777777" w:rsidR="00BE5A0D" w:rsidRPr="00F624E0" w:rsidRDefault="00BE5A0D" w:rsidP="00BE5A0D">
            <w:pPr>
              <w:spacing w:line="276" w:lineRule="auto"/>
              <w:rPr>
                <w:color w:val="000000"/>
                <w:sz w:val="20"/>
                <w:szCs w:val="20"/>
              </w:rPr>
            </w:pPr>
            <w:r w:rsidRPr="00F624E0">
              <w:rPr>
                <w:color w:val="000000"/>
                <w:sz w:val="20"/>
                <w:szCs w:val="20"/>
              </w:rPr>
              <w:t>Financial impacts</w:t>
            </w:r>
          </w:p>
        </w:tc>
        <w:tc>
          <w:tcPr>
            <w:tcW w:w="1843" w:type="dxa"/>
            <w:noWrap/>
            <w:vAlign w:val="center"/>
            <w:hideMark/>
          </w:tcPr>
          <w:p w14:paraId="03A2650E" w14:textId="6F20FCD3" w:rsidR="00BE5A0D" w:rsidRPr="00F624E0" w:rsidRDefault="00BE5A0D" w:rsidP="00BE5A0D">
            <w:pPr>
              <w:spacing w:line="276" w:lineRule="auto"/>
              <w:jc w:val="right"/>
              <w:rPr>
                <w:color w:val="000000"/>
                <w:sz w:val="20"/>
                <w:szCs w:val="20"/>
              </w:rPr>
            </w:pPr>
            <w:r w:rsidRPr="00F624E0">
              <w:rPr>
                <w:color w:val="000000"/>
                <w:sz w:val="20"/>
                <w:szCs w:val="20"/>
              </w:rPr>
              <w:t>$510,120,562</w:t>
            </w:r>
          </w:p>
        </w:tc>
        <w:tc>
          <w:tcPr>
            <w:tcW w:w="1701" w:type="dxa"/>
            <w:noWrap/>
            <w:vAlign w:val="center"/>
            <w:hideMark/>
          </w:tcPr>
          <w:p w14:paraId="080B6D3B" w14:textId="5F901220" w:rsidR="00BE5A0D" w:rsidRPr="00F624E0" w:rsidRDefault="00BE5A0D" w:rsidP="00BE5A0D">
            <w:pPr>
              <w:spacing w:line="276" w:lineRule="auto"/>
              <w:jc w:val="right"/>
              <w:rPr>
                <w:color w:val="000000"/>
                <w:sz w:val="20"/>
                <w:szCs w:val="20"/>
              </w:rPr>
            </w:pPr>
            <w:r w:rsidRPr="00F624E0">
              <w:rPr>
                <w:color w:val="000000"/>
                <w:sz w:val="20"/>
                <w:szCs w:val="20"/>
              </w:rPr>
              <w:t>$375,567,351</w:t>
            </w:r>
          </w:p>
        </w:tc>
        <w:tc>
          <w:tcPr>
            <w:tcW w:w="1559" w:type="dxa"/>
            <w:noWrap/>
            <w:vAlign w:val="center"/>
            <w:hideMark/>
          </w:tcPr>
          <w:p w14:paraId="396A2B2E" w14:textId="35144FFC" w:rsidR="00BE5A0D" w:rsidRPr="00F624E0" w:rsidRDefault="00BE5A0D" w:rsidP="00BE5A0D">
            <w:pPr>
              <w:spacing w:line="276" w:lineRule="auto"/>
              <w:jc w:val="right"/>
              <w:rPr>
                <w:color w:val="000000"/>
                <w:sz w:val="20"/>
                <w:szCs w:val="20"/>
              </w:rPr>
            </w:pPr>
            <w:r w:rsidRPr="00F624E0">
              <w:rPr>
                <w:color w:val="000000"/>
                <w:sz w:val="20"/>
                <w:szCs w:val="20"/>
              </w:rPr>
              <w:t>$130,041,458</w:t>
            </w:r>
          </w:p>
        </w:tc>
        <w:tc>
          <w:tcPr>
            <w:tcW w:w="1560" w:type="dxa"/>
            <w:noWrap/>
            <w:vAlign w:val="center"/>
            <w:hideMark/>
          </w:tcPr>
          <w:p w14:paraId="390746C6" w14:textId="674D41C6" w:rsidR="00BE5A0D" w:rsidRPr="00F624E0" w:rsidRDefault="00BE5A0D" w:rsidP="00BE5A0D">
            <w:pPr>
              <w:spacing w:line="276" w:lineRule="auto"/>
              <w:jc w:val="right"/>
              <w:rPr>
                <w:color w:val="000000"/>
                <w:sz w:val="20"/>
                <w:szCs w:val="20"/>
              </w:rPr>
            </w:pPr>
            <w:r w:rsidRPr="00F624E0">
              <w:rPr>
                <w:color w:val="000000"/>
                <w:sz w:val="20"/>
                <w:szCs w:val="20"/>
              </w:rPr>
              <w:t>$177,479,283</w:t>
            </w:r>
          </w:p>
        </w:tc>
      </w:tr>
      <w:tr w:rsidR="00BE5A0D" w:rsidRPr="00DD0432" w14:paraId="0806B083" w14:textId="77777777">
        <w:trPr>
          <w:trHeight w:val="397"/>
        </w:trPr>
        <w:tc>
          <w:tcPr>
            <w:tcW w:w="2830" w:type="dxa"/>
            <w:noWrap/>
            <w:vAlign w:val="center"/>
            <w:hideMark/>
          </w:tcPr>
          <w:p w14:paraId="26435AD2" w14:textId="77777777" w:rsidR="00BE5A0D" w:rsidRPr="00F624E0" w:rsidRDefault="00BE5A0D" w:rsidP="00BE5A0D">
            <w:pPr>
              <w:spacing w:line="276" w:lineRule="auto"/>
              <w:rPr>
                <w:color w:val="000000"/>
                <w:sz w:val="20"/>
                <w:szCs w:val="20"/>
              </w:rPr>
            </w:pPr>
            <w:r w:rsidRPr="00F624E0">
              <w:rPr>
                <w:color w:val="000000"/>
                <w:sz w:val="20"/>
                <w:szCs w:val="20"/>
              </w:rPr>
              <w:t>Relationship disruption, conflict or breakdown</w:t>
            </w:r>
          </w:p>
        </w:tc>
        <w:tc>
          <w:tcPr>
            <w:tcW w:w="1843" w:type="dxa"/>
            <w:noWrap/>
            <w:vAlign w:val="center"/>
            <w:hideMark/>
          </w:tcPr>
          <w:p w14:paraId="00FFF9B8" w14:textId="19E130DC" w:rsidR="00BE5A0D" w:rsidRPr="00F624E0" w:rsidRDefault="00BE5A0D" w:rsidP="00BE5A0D">
            <w:pPr>
              <w:spacing w:line="276" w:lineRule="auto"/>
              <w:jc w:val="right"/>
              <w:rPr>
                <w:color w:val="000000"/>
                <w:sz w:val="20"/>
                <w:szCs w:val="20"/>
              </w:rPr>
            </w:pPr>
            <w:r w:rsidRPr="00F624E0">
              <w:rPr>
                <w:color w:val="000000"/>
                <w:sz w:val="20"/>
                <w:szCs w:val="20"/>
              </w:rPr>
              <w:t>$79,187,476</w:t>
            </w:r>
          </w:p>
        </w:tc>
        <w:tc>
          <w:tcPr>
            <w:tcW w:w="1701" w:type="dxa"/>
            <w:noWrap/>
            <w:vAlign w:val="center"/>
            <w:hideMark/>
          </w:tcPr>
          <w:p w14:paraId="771BA9A2" w14:textId="6F1C18EC" w:rsidR="00BE5A0D" w:rsidRPr="00F624E0" w:rsidRDefault="00BE5A0D" w:rsidP="00BE5A0D">
            <w:pPr>
              <w:spacing w:line="276" w:lineRule="auto"/>
              <w:jc w:val="right"/>
              <w:rPr>
                <w:color w:val="000000"/>
                <w:sz w:val="20"/>
                <w:szCs w:val="20"/>
              </w:rPr>
            </w:pPr>
            <w:r w:rsidRPr="00F624E0">
              <w:rPr>
                <w:color w:val="000000"/>
                <w:sz w:val="20"/>
                <w:szCs w:val="20"/>
              </w:rPr>
              <w:t>$58,300,396</w:t>
            </w:r>
          </w:p>
        </w:tc>
        <w:tc>
          <w:tcPr>
            <w:tcW w:w="1559" w:type="dxa"/>
            <w:noWrap/>
            <w:vAlign w:val="center"/>
            <w:hideMark/>
          </w:tcPr>
          <w:p w14:paraId="7B47A8FB" w14:textId="23F50DFF" w:rsidR="00BE5A0D" w:rsidRPr="00F624E0" w:rsidRDefault="00BE5A0D" w:rsidP="00BE5A0D">
            <w:pPr>
              <w:spacing w:line="276" w:lineRule="auto"/>
              <w:jc w:val="right"/>
              <w:rPr>
                <w:color w:val="000000"/>
                <w:sz w:val="20"/>
                <w:szCs w:val="20"/>
              </w:rPr>
            </w:pPr>
            <w:r w:rsidRPr="00F624E0">
              <w:rPr>
                <w:color w:val="000000"/>
                <w:sz w:val="20"/>
                <w:szCs w:val="20"/>
              </w:rPr>
              <w:t>$20,186,708</w:t>
            </w:r>
          </w:p>
        </w:tc>
        <w:tc>
          <w:tcPr>
            <w:tcW w:w="1560" w:type="dxa"/>
            <w:noWrap/>
            <w:vAlign w:val="center"/>
            <w:hideMark/>
          </w:tcPr>
          <w:p w14:paraId="072A979A" w14:textId="0B26B7A5" w:rsidR="00BE5A0D" w:rsidRPr="00F624E0" w:rsidRDefault="00BE5A0D" w:rsidP="00BE5A0D">
            <w:pPr>
              <w:spacing w:line="276" w:lineRule="auto"/>
              <w:jc w:val="right"/>
              <w:rPr>
                <w:color w:val="000000"/>
                <w:sz w:val="20"/>
                <w:szCs w:val="20"/>
              </w:rPr>
            </w:pPr>
            <w:r w:rsidRPr="00F624E0">
              <w:rPr>
                <w:color w:val="000000"/>
                <w:sz w:val="20"/>
                <w:szCs w:val="20"/>
              </w:rPr>
              <w:t>$27,550,618</w:t>
            </w:r>
          </w:p>
        </w:tc>
      </w:tr>
      <w:tr w:rsidR="00BE5A0D" w:rsidRPr="00DD0432" w14:paraId="2DC9C1D5" w14:textId="77777777">
        <w:trPr>
          <w:trHeight w:val="397"/>
        </w:trPr>
        <w:tc>
          <w:tcPr>
            <w:tcW w:w="2830" w:type="dxa"/>
            <w:noWrap/>
            <w:vAlign w:val="center"/>
            <w:hideMark/>
          </w:tcPr>
          <w:p w14:paraId="03AE4299" w14:textId="77777777" w:rsidR="00BE5A0D" w:rsidRPr="00F624E0" w:rsidRDefault="00BE5A0D" w:rsidP="00BE5A0D">
            <w:pPr>
              <w:spacing w:line="276" w:lineRule="auto"/>
              <w:rPr>
                <w:color w:val="000000"/>
                <w:sz w:val="20"/>
                <w:szCs w:val="20"/>
              </w:rPr>
            </w:pPr>
            <w:r w:rsidRPr="00F624E0">
              <w:rPr>
                <w:color w:val="000000"/>
                <w:sz w:val="20"/>
                <w:szCs w:val="20"/>
              </w:rPr>
              <w:t>Health</w:t>
            </w:r>
          </w:p>
        </w:tc>
        <w:tc>
          <w:tcPr>
            <w:tcW w:w="1843" w:type="dxa"/>
            <w:noWrap/>
            <w:vAlign w:val="center"/>
            <w:hideMark/>
          </w:tcPr>
          <w:p w14:paraId="4F3D931D" w14:textId="675FFDC5" w:rsidR="00BE5A0D" w:rsidRPr="00F624E0" w:rsidRDefault="00BE5A0D" w:rsidP="00BE5A0D">
            <w:pPr>
              <w:spacing w:line="276" w:lineRule="auto"/>
              <w:jc w:val="right"/>
              <w:rPr>
                <w:color w:val="000000"/>
                <w:sz w:val="20"/>
                <w:szCs w:val="20"/>
              </w:rPr>
            </w:pPr>
            <w:r w:rsidRPr="00F624E0">
              <w:rPr>
                <w:color w:val="000000"/>
                <w:sz w:val="20"/>
                <w:szCs w:val="20"/>
              </w:rPr>
              <w:t>$873,570,768</w:t>
            </w:r>
          </w:p>
        </w:tc>
        <w:tc>
          <w:tcPr>
            <w:tcW w:w="1701" w:type="dxa"/>
            <w:noWrap/>
            <w:vAlign w:val="center"/>
            <w:hideMark/>
          </w:tcPr>
          <w:p w14:paraId="0841ADD5" w14:textId="68975DAF" w:rsidR="00BE5A0D" w:rsidRPr="00F624E0" w:rsidRDefault="00BE5A0D" w:rsidP="00BE5A0D">
            <w:pPr>
              <w:spacing w:line="276" w:lineRule="auto"/>
              <w:jc w:val="right"/>
              <w:rPr>
                <w:color w:val="000000"/>
                <w:sz w:val="20"/>
                <w:szCs w:val="20"/>
              </w:rPr>
            </w:pPr>
            <w:r w:rsidRPr="00F624E0">
              <w:rPr>
                <w:color w:val="000000"/>
                <w:sz w:val="20"/>
                <w:szCs w:val="20"/>
              </w:rPr>
              <w:t>$643,151,215</w:t>
            </w:r>
          </w:p>
        </w:tc>
        <w:tc>
          <w:tcPr>
            <w:tcW w:w="1559" w:type="dxa"/>
            <w:noWrap/>
            <w:vAlign w:val="center"/>
            <w:hideMark/>
          </w:tcPr>
          <w:p w14:paraId="5AB6863D" w14:textId="11F1EABA" w:rsidR="00BE5A0D" w:rsidRPr="00F624E0" w:rsidRDefault="00BE5A0D" w:rsidP="00BE5A0D">
            <w:pPr>
              <w:spacing w:line="276" w:lineRule="auto"/>
              <w:jc w:val="right"/>
              <w:rPr>
                <w:color w:val="000000"/>
                <w:sz w:val="20"/>
                <w:szCs w:val="20"/>
              </w:rPr>
            </w:pPr>
            <w:r w:rsidRPr="00F624E0">
              <w:rPr>
                <w:color w:val="000000"/>
                <w:sz w:val="20"/>
                <w:szCs w:val="20"/>
              </w:rPr>
              <w:t>$222,693,270</w:t>
            </w:r>
          </w:p>
        </w:tc>
        <w:tc>
          <w:tcPr>
            <w:tcW w:w="1560" w:type="dxa"/>
            <w:noWrap/>
            <w:vAlign w:val="center"/>
            <w:hideMark/>
          </w:tcPr>
          <w:p w14:paraId="2748C567" w14:textId="08C6A77B" w:rsidR="00BE5A0D" w:rsidRPr="00F624E0" w:rsidRDefault="00BE5A0D" w:rsidP="00BE5A0D">
            <w:pPr>
              <w:spacing w:line="276" w:lineRule="auto"/>
              <w:jc w:val="right"/>
              <w:rPr>
                <w:color w:val="000000"/>
                <w:sz w:val="20"/>
                <w:szCs w:val="20"/>
              </w:rPr>
            </w:pPr>
            <w:r w:rsidRPr="00F624E0">
              <w:rPr>
                <w:color w:val="000000"/>
                <w:sz w:val="20"/>
                <w:szCs w:val="20"/>
              </w:rPr>
              <w:t>$303,929,552</w:t>
            </w:r>
          </w:p>
        </w:tc>
      </w:tr>
      <w:tr w:rsidR="00BE5A0D" w:rsidRPr="00DD0432" w14:paraId="692EBEA2" w14:textId="77777777">
        <w:trPr>
          <w:trHeight w:val="397"/>
        </w:trPr>
        <w:tc>
          <w:tcPr>
            <w:tcW w:w="2830" w:type="dxa"/>
            <w:noWrap/>
            <w:vAlign w:val="center"/>
            <w:hideMark/>
          </w:tcPr>
          <w:p w14:paraId="301DD1CF" w14:textId="77777777" w:rsidR="00BE5A0D" w:rsidRPr="00F624E0" w:rsidRDefault="00BE5A0D" w:rsidP="00BE5A0D">
            <w:pPr>
              <w:spacing w:line="276" w:lineRule="auto"/>
              <w:rPr>
                <w:color w:val="000000"/>
                <w:sz w:val="20"/>
                <w:szCs w:val="20"/>
              </w:rPr>
            </w:pPr>
            <w:r w:rsidRPr="00F624E0">
              <w:rPr>
                <w:color w:val="000000"/>
                <w:sz w:val="20"/>
                <w:szCs w:val="20"/>
              </w:rPr>
              <w:t>Work or study impacts</w:t>
            </w:r>
          </w:p>
        </w:tc>
        <w:tc>
          <w:tcPr>
            <w:tcW w:w="1843" w:type="dxa"/>
            <w:noWrap/>
            <w:vAlign w:val="center"/>
            <w:hideMark/>
          </w:tcPr>
          <w:p w14:paraId="0306CC58" w14:textId="4813DF38" w:rsidR="00BE5A0D" w:rsidRPr="00F624E0" w:rsidRDefault="00BE5A0D" w:rsidP="00BE5A0D">
            <w:pPr>
              <w:spacing w:line="276" w:lineRule="auto"/>
              <w:jc w:val="right"/>
              <w:rPr>
                <w:color w:val="000000"/>
                <w:sz w:val="20"/>
                <w:szCs w:val="20"/>
              </w:rPr>
            </w:pPr>
            <w:r w:rsidRPr="00F624E0">
              <w:rPr>
                <w:color w:val="000000"/>
                <w:sz w:val="20"/>
                <w:szCs w:val="20"/>
              </w:rPr>
              <w:t>$290,212,973</w:t>
            </w:r>
          </w:p>
        </w:tc>
        <w:tc>
          <w:tcPr>
            <w:tcW w:w="1701" w:type="dxa"/>
            <w:noWrap/>
            <w:vAlign w:val="center"/>
            <w:hideMark/>
          </w:tcPr>
          <w:p w14:paraId="36D9ECCA" w14:textId="3D673066" w:rsidR="00BE5A0D" w:rsidRPr="00F624E0" w:rsidRDefault="00BE5A0D" w:rsidP="00BE5A0D">
            <w:pPr>
              <w:spacing w:line="276" w:lineRule="auto"/>
              <w:jc w:val="right"/>
              <w:rPr>
                <w:color w:val="000000"/>
                <w:sz w:val="20"/>
                <w:szCs w:val="20"/>
              </w:rPr>
            </w:pPr>
            <w:r w:rsidRPr="00F624E0">
              <w:rPr>
                <w:color w:val="000000"/>
                <w:sz w:val="20"/>
                <w:szCs w:val="20"/>
              </w:rPr>
              <w:t>$213,664,231</w:t>
            </w:r>
          </w:p>
        </w:tc>
        <w:tc>
          <w:tcPr>
            <w:tcW w:w="1559" w:type="dxa"/>
            <w:noWrap/>
            <w:vAlign w:val="center"/>
            <w:hideMark/>
          </w:tcPr>
          <w:p w14:paraId="615DCA4A" w14:textId="3AB896B7" w:rsidR="00BE5A0D" w:rsidRPr="00F624E0" w:rsidRDefault="00BE5A0D" w:rsidP="00BE5A0D">
            <w:pPr>
              <w:spacing w:line="276" w:lineRule="auto"/>
              <w:jc w:val="right"/>
              <w:rPr>
                <w:color w:val="000000"/>
                <w:sz w:val="20"/>
                <w:szCs w:val="20"/>
              </w:rPr>
            </w:pPr>
            <w:r w:rsidRPr="00F624E0">
              <w:rPr>
                <w:color w:val="000000"/>
                <w:sz w:val="20"/>
                <w:szCs w:val="20"/>
              </w:rPr>
              <w:t>$73,981,958</w:t>
            </w:r>
          </w:p>
        </w:tc>
        <w:tc>
          <w:tcPr>
            <w:tcW w:w="1560" w:type="dxa"/>
            <w:noWrap/>
            <w:vAlign w:val="center"/>
            <w:hideMark/>
          </w:tcPr>
          <w:p w14:paraId="66265F9C" w14:textId="567AC644" w:rsidR="00BE5A0D" w:rsidRPr="00F624E0" w:rsidRDefault="00BE5A0D" w:rsidP="00BE5A0D">
            <w:pPr>
              <w:spacing w:line="276" w:lineRule="auto"/>
              <w:jc w:val="right"/>
              <w:rPr>
                <w:color w:val="000000"/>
                <w:sz w:val="20"/>
                <w:szCs w:val="20"/>
              </w:rPr>
            </w:pPr>
            <w:r w:rsidRPr="00F624E0">
              <w:rPr>
                <w:color w:val="000000"/>
                <w:sz w:val="20"/>
                <w:szCs w:val="20"/>
              </w:rPr>
              <w:t>$100,969,838</w:t>
            </w:r>
          </w:p>
        </w:tc>
      </w:tr>
      <w:tr w:rsidR="00BE5A0D" w:rsidRPr="00DD0432" w14:paraId="7AA43C6D" w14:textId="77777777">
        <w:trPr>
          <w:trHeight w:val="397"/>
        </w:trPr>
        <w:tc>
          <w:tcPr>
            <w:tcW w:w="2830" w:type="dxa"/>
            <w:noWrap/>
            <w:vAlign w:val="center"/>
            <w:hideMark/>
          </w:tcPr>
          <w:p w14:paraId="41543A52" w14:textId="77777777" w:rsidR="00BE5A0D" w:rsidRPr="00F624E0" w:rsidRDefault="00BE5A0D" w:rsidP="00BE5A0D">
            <w:pPr>
              <w:spacing w:line="276" w:lineRule="auto"/>
              <w:rPr>
                <w:color w:val="000000"/>
                <w:sz w:val="20"/>
                <w:szCs w:val="20"/>
              </w:rPr>
            </w:pPr>
            <w:r w:rsidRPr="00F624E0">
              <w:rPr>
                <w:color w:val="000000"/>
                <w:sz w:val="20"/>
                <w:szCs w:val="20"/>
              </w:rPr>
              <w:t>Criminal activity</w:t>
            </w:r>
          </w:p>
        </w:tc>
        <w:tc>
          <w:tcPr>
            <w:tcW w:w="1843" w:type="dxa"/>
            <w:noWrap/>
            <w:vAlign w:val="center"/>
            <w:hideMark/>
          </w:tcPr>
          <w:p w14:paraId="574E4417" w14:textId="3F150C19" w:rsidR="00BE5A0D" w:rsidRPr="00F624E0" w:rsidRDefault="00BE5A0D" w:rsidP="00BE5A0D">
            <w:pPr>
              <w:spacing w:line="276" w:lineRule="auto"/>
              <w:jc w:val="right"/>
              <w:rPr>
                <w:color w:val="000000"/>
                <w:sz w:val="20"/>
                <w:szCs w:val="20"/>
              </w:rPr>
            </w:pPr>
            <w:r w:rsidRPr="00F624E0">
              <w:rPr>
                <w:color w:val="000000"/>
                <w:sz w:val="20"/>
                <w:szCs w:val="20"/>
              </w:rPr>
              <w:t>$23,234,630</w:t>
            </w:r>
          </w:p>
        </w:tc>
        <w:tc>
          <w:tcPr>
            <w:tcW w:w="1701" w:type="dxa"/>
            <w:noWrap/>
            <w:vAlign w:val="center"/>
            <w:hideMark/>
          </w:tcPr>
          <w:p w14:paraId="7096FA33" w14:textId="257DFC6A" w:rsidR="00BE5A0D" w:rsidRPr="00F624E0" w:rsidRDefault="00BE5A0D" w:rsidP="00BE5A0D">
            <w:pPr>
              <w:spacing w:line="276" w:lineRule="auto"/>
              <w:jc w:val="right"/>
              <w:rPr>
                <w:color w:val="000000"/>
                <w:sz w:val="20"/>
                <w:szCs w:val="20"/>
              </w:rPr>
            </w:pPr>
            <w:r w:rsidRPr="00F624E0">
              <w:rPr>
                <w:color w:val="000000"/>
                <w:sz w:val="20"/>
                <w:szCs w:val="20"/>
              </w:rPr>
              <w:t>$17,106,090</w:t>
            </w:r>
          </w:p>
        </w:tc>
        <w:tc>
          <w:tcPr>
            <w:tcW w:w="1559" w:type="dxa"/>
            <w:noWrap/>
            <w:vAlign w:val="center"/>
            <w:hideMark/>
          </w:tcPr>
          <w:p w14:paraId="6B095A2E" w14:textId="6D494679" w:rsidR="00BE5A0D" w:rsidRPr="00F624E0" w:rsidRDefault="00BE5A0D" w:rsidP="00BE5A0D">
            <w:pPr>
              <w:spacing w:line="276" w:lineRule="auto"/>
              <w:jc w:val="right"/>
              <w:rPr>
                <w:color w:val="000000"/>
                <w:sz w:val="20"/>
                <w:szCs w:val="20"/>
              </w:rPr>
            </w:pPr>
            <w:r w:rsidRPr="00F624E0">
              <w:rPr>
                <w:color w:val="000000"/>
                <w:sz w:val="20"/>
                <w:szCs w:val="20"/>
              </w:rPr>
              <w:t>$5,923,041</w:t>
            </w:r>
          </w:p>
        </w:tc>
        <w:tc>
          <w:tcPr>
            <w:tcW w:w="1560" w:type="dxa"/>
            <w:noWrap/>
            <w:vAlign w:val="center"/>
            <w:hideMark/>
          </w:tcPr>
          <w:p w14:paraId="60D586E0" w14:textId="2F21733D" w:rsidR="00BE5A0D" w:rsidRPr="00F624E0" w:rsidRDefault="00BE5A0D" w:rsidP="00BE5A0D">
            <w:pPr>
              <w:spacing w:line="276" w:lineRule="auto"/>
              <w:jc w:val="right"/>
              <w:rPr>
                <w:color w:val="000000"/>
                <w:sz w:val="20"/>
                <w:szCs w:val="20"/>
              </w:rPr>
            </w:pPr>
            <w:r w:rsidRPr="00F624E0">
              <w:rPr>
                <w:color w:val="000000"/>
                <w:sz w:val="20"/>
                <w:szCs w:val="20"/>
              </w:rPr>
              <w:t>$8,083,707</w:t>
            </w:r>
          </w:p>
        </w:tc>
      </w:tr>
      <w:tr w:rsidR="00BE5A0D" w:rsidRPr="00DD0432" w14:paraId="6001F736" w14:textId="77777777">
        <w:trPr>
          <w:trHeight w:val="397"/>
        </w:trPr>
        <w:tc>
          <w:tcPr>
            <w:tcW w:w="2830" w:type="dxa"/>
            <w:noWrap/>
            <w:vAlign w:val="center"/>
            <w:hideMark/>
          </w:tcPr>
          <w:p w14:paraId="09AF27DF" w14:textId="77777777" w:rsidR="00BE5A0D" w:rsidRPr="00F624E0" w:rsidRDefault="00BE5A0D" w:rsidP="00BE5A0D">
            <w:pPr>
              <w:spacing w:line="276" w:lineRule="auto"/>
              <w:rPr>
                <w:color w:val="000000"/>
                <w:sz w:val="20"/>
                <w:szCs w:val="20"/>
              </w:rPr>
            </w:pPr>
            <w:r w:rsidRPr="00F624E0">
              <w:rPr>
                <w:color w:val="000000"/>
                <w:sz w:val="20"/>
                <w:szCs w:val="20"/>
              </w:rPr>
              <w:t>Life course harm</w:t>
            </w:r>
          </w:p>
        </w:tc>
        <w:tc>
          <w:tcPr>
            <w:tcW w:w="1843" w:type="dxa"/>
            <w:noWrap/>
            <w:vAlign w:val="center"/>
            <w:hideMark/>
          </w:tcPr>
          <w:p w14:paraId="1F995CAC" w14:textId="314EB890" w:rsidR="00BE5A0D" w:rsidRPr="00F624E0" w:rsidRDefault="00BE5A0D" w:rsidP="00BE5A0D">
            <w:pPr>
              <w:spacing w:line="276" w:lineRule="auto"/>
              <w:jc w:val="right"/>
              <w:rPr>
                <w:color w:val="000000"/>
                <w:sz w:val="20"/>
                <w:szCs w:val="20"/>
              </w:rPr>
            </w:pPr>
            <w:r w:rsidRPr="00F624E0">
              <w:rPr>
                <w:color w:val="000000"/>
                <w:sz w:val="20"/>
                <w:szCs w:val="20"/>
              </w:rPr>
              <w:t>$2,224,653</w:t>
            </w:r>
          </w:p>
        </w:tc>
        <w:tc>
          <w:tcPr>
            <w:tcW w:w="1701" w:type="dxa"/>
            <w:noWrap/>
            <w:vAlign w:val="center"/>
            <w:hideMark/>
          </w:tcPr>
          <w:p w14:paraId="5984F0F9" w14:textId="340B3824" w:rsidR="00BE5A0D" w:rsidRPr="00F624E0" w:rsidRDefault="00BE5A0D" w:rsidP="00BE5A0D">
            <w:pPr>
              <w:spacing w:line="276" w:lineRule="auto"/>
              <w:jc w:val="right"/>
              <w:rPr>
                <w:color w:val="000000"/>
                <w:sz w:val="20"/>
                <w:szCs w:val="20"/>
              </w:rPr>
            </w:pPr>
            <w:r w:rsidRPr="00F624E0">
              <w:rPr>
                <w:color w:val="000000"/>
                <w:sz w:val="20"/>
                <w:szCs w:val="20"/>
              </w:rPr>
              <w:t>$1,637,862</w:t>
            </w:r>
          </w:p>
        </w:tc>
        <w:tc>
          <w:tcPr>
            <w:tcW w:w="1559" w:type="dxa"/>
            <w:noWrap/>
            <w:vAlign w:val="center"/>
            <w:hideMark/>
          </w:tcPr>
          <w:p w14:paraId="5C1D6D07" w14:textId="2D759006" w:rsidR="00BE5A0D" w:rsidRPr="00F624E0" w:rsidRDefault="00BE5A0D" w:rsidP="00BE5A0D">
            <w:pPr>
              <w:spacing w:line="276" w:lineRule="auto"/>
              <w:jc w:val="right"/>
              <w:rPr>
                <w:color w:val="000000"/>
                <w:sz w:val="20"/>
                <w:szCs w:val="20"/>
              </w:rPr>
            </w:pPr>
            <w:r w:rsidRPr="00F624E0">
              <w:rPr>
                <w:color w:val="000000"/>
                <w:sz w:val="20"/>
                <w:szCs w:val="20"/>
              </w:rPr>
              <w:t>$567,115</w:t>
            </w:r>
          </w:p>
        </w:tc>
        <w:tc>
          <w:tcPr>
            <w:tcW w:w="1560" w:type="dxa"/>
            <w:noWrap/>
            <w:vAlign w:val="center"/>
            <w:hideMark/>
          </w:tcPr>
          <w:p w14:paraId="6FEC86F2" w14:textId="122312F2" w:rsidR="00BE5A0D" w:rsidRPr="00F624E0" w:rsidRDefault="00BE5A0D" w:rsidP="00BE5A0D">
            <w:pPr>
              <w:spacing w:line="276" w:lineRule="auto"/>
              <w:jc w:val="right"/>
              <w:rPr>
                <w:color w:val="000000"/>
                <w:sz w:val="20"/>
                <w:szCs w:val="20"/>
              </w:rPr>
            </w:pPr>
            <w:r w:rsidRPr="00F624E0">
              <w:rPr>
                <w:color w:val="000000"/>
                <w:sz w:val="20"/>
                <w:szCs w:val="20"/>
              </w:rPr>
              <w:t>$773,993</w:t>
            </w:r>
          </w:p>
        </w:tc>
      </w:tr>
      <w:tr w:rsidR="00BE5A0D" w:rsidRPr="00DD0432" w14:paraId="4C3B6616" w14:textId="77777777" w:rsidTr="00BB3C33">
        <w:trPr>
          <w:trHeight w:val="397"/>
        </w:trPr>
        <w:tc>
          <w:tcPr>
            <w:tcW w:w="2830" w:type="dxa"/>
            <w:noWrap/>
            <w:hideMark/>
          </w:tcPr>
          <w:p w14:paraId="4675B1DA" w14:textId="77777777" w:rsidR="00BE5A0D" w:rsidRPr="00F624E0" w:rsidRDefault="00BE5A0D" w:rsidP="00BE5A0D">
            <w:pPr>
              <w:spacing w:line="276" w:lineRule="auto"/>
              <w:rPr>
                <w:color w:val="000000"/>
                <w:sz w:val="20"/>
                <w:szCs w:val="20"/>
              </w:rPr>
            </w:pPr>
            <w:r w:rsidRPr="00F624E0">
              <w:rPr>
                <w:color w:val="000000"/>
                <w:sz w:val="20"/>
                <w:szCs w:val="20"/>
              </w:rPr>
              <w:t>Other government or community costs</w:t>
            </w:r>
          </w:p>
        </w:tc>
        <w:tc>
          <w:tcPr>
            <w:tcW w:w="1843" w:type="dxa"/>
            <w:noWrap/>
            <w:vAlign w:val="center"/>
            <w:hideMark/>
          </w:tcPr>
          <w:p w14:paraId="2C34CCDE" w14:textId="4FA4F389" w:rsidR="00BE5A0D" w:rsidRPr="00F624E0" w:rsidRDefault="00BE5A0D" w:rsidP="00BE5A0D">
            <w:pPr>
              <w:spacing w:line="276" w:lineRule="auto"/>
              <w:jc w:val="right"/>
              <w:rPr>
                <w:color w:val="000000"/>
                <w:sz w:val="20"/>
                <w:szCs w:val="20"/>
              </w:rPr>
            </w:pPr>
            <w:r w:rsidRPr="00F624E0">
              <w:rPr>
                <w:color w:val="000000"/>
                <w:sz w:val="20"/>
                <w:szCs w:val="20"/>
              </w:rPr>
              <w:t>$25,124,816</w:t>
            </w:r>
          </w:p>
        </w:tc>
        <w:tc>
          <w:tcPr>
            <w:tcW w:w="1701" w:type="dxa"/>
            <w:noWrap/>
            <w:vAlign w:val="center"/>
            <w:hideMark/>
          </w:tcPr>
          <w:p w14:paraId="00A41DDE" w14:textId="0807352D" w:rsidR="00BE5A0D" w:rsidRPr="00F624E0" w:rsidRDefault="00BE5A0D" w:rsidP="00BE5A0D">
            <w:pPr>
              <w:spacing w:line="276" w:lineRule="auto"/>
              <w:jc w:val="right"/>
              <w:rPr>
                <w:color w:val="000000"/>
                <w:sz w:val="20"/>
                <w:szCs w:val="20"/>
              </w:rPr>
            </w:pPr>
            <w:r w:rsidRPr="00F624E0">
              <w:rPr>
                <w:color w:val="000000"/>
                <w:sz w:val="20"/>
                <w:szCs w:val="20"/>
              </w:rPr>
              <w:t>$18,497,707</w:t>
            </w:r>
          </w:p>
        </w:tc>
        <w:tc>
          <w:tcPr>
            <w:tcW w:w="1559" w:type="dxa"/>
            <w:noWrap/>
            <w:vAlign w:val="center"/>
            <w:hideMark/>
          </w:tcPr>
          <w:p w14:paraId="331A907C" w14:textId="7D05EEC1" w:rsidR="00BE5A0D" w:rsidRPr="00F624E0" w:rsidRDefault="00BE5A0D" w:rsidP="00BE5A0D">
            <w:pPr>
              <w:spacing w:line="276" w:lineRule="auto"/>
              <w:jc w:val="right"/>
              <w:rPr>
                <w:color w:val="000000"/>
                <w:sz w:val="20"/>
                <w:szCs w:val="20"/>
              </w:rPr>
            </w:pPr>
            <w:r w:rsidRPr="00F624E0">
              <w:rPr>
                <w:color w:val="000000"/>
                <w:sz w:val="20"/>
                <w:szCs w:val="20"/>
              </w:rPr>
              <w:t>$6,404,893</w:t>
            </w:r>
          </w:p>
        </w:tc>
        <w:tc>
          <w:tcPr>
            <w:tcW w:w="1560" w:type="dxa"/>
            <w:noWrap/>
            <w:vAlign w:val="center"/>
            <w:hideMark/>
          </w:tcPr>
          <w:p w14:paraId="1D25BFCA" w14:textId="4E8011C2" w:rsidR="00BE5A0D" w:rsidRPr="00F624E0" w:rsidRDefault="00BE5A0D" w:rsidP="00BE5A0D">
            <w:pPr>
              <w:spacing w:line="276" w:lineRule="auto"/>
              <w:jc w:val="right"/>
              <w:rPr>
                <w:color w:val="000000"/>
                <w:sz w:val="20"/>
                <w:szCs w:val="20"/>
              </w:rPr>
            </w:pPr>
            <w:r w:rsidRPr="00F624E0">
              <w:rPr>
                <w:color w:val="000000"/>
                <w:sz w:val="20"/>
                <w:szCs w:val="20"/>
              </w:rPr>
              <w:t>$8,741,334</w:t>
            </w:r>
          </w:p>
        </w:tc>
      </w:tr>
      <w:tr w:rsidR="00BE5A0D" w:rsidRPr="00DD0432" w14:paraId="056EA180" w14:textId="77777777" w:rsidTr="00BB3C33">
        <w:trPr>
          <w:trHeight w:val="397"/>
        </w:trPr>
        <w:tc>
          <w:tcPr>
            <w:tcW w:w="2830" w:type="dxa"/>
            <w:noWrap/>
            <w:vAlign w:val="center"/>
            <w:hideMark/>
          </w:tcPr>
          <w:p w14:paraId="1DC836F1" w14:textId="77777777" w:rsidR="00BE5A0D" w:rsidRPr="00F624E0" w:rsidRDefault="00BE5A0D" w:rsidP="00BE5A0D">
            <w:pPr>
              <w:spacing w:line="276" w:lineRule="auto"/>
              <w:rPr>
                <w:b/>
                <w:bCs/>
                <w:color w:val="000000"/>
                <w:sz w:val="20"/>
                <w:szCs w:val="20"/>
              </w:rPr>
            </w:pPr>
            <w:r w:rsidRPr="00F624E0">
              <w:rPr>
                <w:b/>
                <w:bCs/>
                <w:color w:val="000000"/>
                <w:sz w:val="20"/>
                <w:szCs w:val="20"/>
              </w:rPr>
              <w:t> Total</w:t>
            </w:r>
          </w:p>
        </w:tc>
        <w:tc>
          <w:tcPr>
            <w:tcW w:w="1843" w:type="dxa"/>
            <w:noWrap/>
            <w:vAlign w:val="center"/>
            <w:hideMark/>
          </w:tcPr>
          <w:p w14:paraId="24F08EB9" w14:textId="124A9505" w:rsidR="00BE5A0D" w:rsidRPr="00F624E0" w:rsidRDefault="00BE5A0D" w:rsidP="00BE5A0D">
            <w:pPr>
              <w:spacing w:line="276" w:lineRule="auto"/>
              <w:jc w:val="right"/>
              <w:rPr>
                <w:b/>
                <w:bCs/>
                <w:color w:val="000000"/>
                <w:sz w:val="20"/>
                <w:szCs w:val="20"/>
              </w:rPr>
            </w:pPr>
            <w:r w:rsidRPr="00F624E0">
              <w:rPr>
                <w:b/>
                <w:bCs/>
                <w:color w:val="000000"/>
                <w:sz w:val="20"/>
                <w:szCs w:val="20"/>
              </w:rPr>
              <w:t>$1,803,675,877</w:t>
            </w:r>
          </w:p>
        </w:tc>
        <w:tc>
          <w:tcPr>
            <w:tcW w:w="1701" w:type="dxa"/>
            <w:noWrap/>
            <w:vAlign w:val="center"/>
            <w:hideMark/>
          </w:tcPr>
          <w:p w14:paraId="3BA01A83" w14:textId="085D133D" w:rsidR="00BE5A0D" w:rsidRPr="00F624E0" w:rsidRDefault="00BE5A0D" w:rsidP="00BE5A0D">
            <w:pPr>
              <w:spacing w:line="276" w:lineRule="auto"/>
              <w:jc w:val="right"/>
              <w:rPr>
                <w:b/>
                <w:bCs/>
                <w:color w:val="000000"/>
                <w:sz w:val="20"/>
                <w:szCs w:val="20"/>
              </w:rPr>
            </w:pPr>
            <w:r w:rsidRPr="00F624E0">
              <w:rPr>
                <w:b/>
                <w:bCs/>
                <w:color w:val="000000"/>
                <w:sz w:val="20"/>
                <w:szCs w:val="20"/>
              </w:rPr>
              <w:t>$1,327,924,852</w:t>
            </w:r>
          </w:p>
        </w:tc>
        <w:tc>
          <w:tcPr>
            <w:tcW w:w="1559" w:type="dxa"/>
            <w:noWrap/>
            <w:vAlign w:val="center"/>
            <w:hideMark/>
          </w:tcPr>
          <w:p w14:paraId="0825DC20" w14:textId="23337ABF" w:rsidR="00BE5A0D" w:rsidRPr="00F624E0" w:rsidRDefault="00BE5A0D" w:rsidP="00BE5A0D">
            <w:pPr>
              <w:spacing w:line="276" w:lineRule="auto"/>
              <w:jc w:val="right"/>
              <w:rPr>
                <w:b/>
                <w:bCs/>
                <w:color w:val="000000"/>
                <w:sz w:val="20"/>
                <w:szCs w:val="20"/>
              </w:rPr>
            </w:pPr>
            <w:r w:rsidRPr="00F624E0">
              <w:rPr>
                <w:b/>
                <w:bCs/>
                <w:color w:val="000000"/>
                <w:sz w:val="20"/>
                <w:szCs w:val="20"/>
              </w:rPr>
              <w:t>$459,798,443</w:t>
            </w:r>
          </w:p>
        </w:tc>
        <w:tc>
          <w:tcPr>
            <w:tcW w:w="1560" w:type="dxa"/>
            <w:noWrap/>
            <w:vAlign w:val="center"/>
            <w:hideMark/>
          </w:tcPr>
          <w:p w14:paraId="2F7A6482" w14:textId="46AE3A63" w:rsidR="00BE5A0D" w:rsidRPr="00F624E0" w:rsidRDefault="00BE5A0D" w:rsidP="00BE5A0D">
            <w:pPr>
              <w:spacing w:line="276" w:lineRule="auto"/>
              <w:jc w:val="right"/>
              <w:rPr>
                <w:b/>
                <w:bCs/>
                <w:color w:val="000000"/>
                <w:sz w:val="20"/>
                <w:szCs w:val="20"/>
              </w:rPr>
            </w:pPr>
            <w:r w:rsidRPr="00F624E0">
              <w:rPr>
                <w:b/>
                <w:bCs/>
                <w:color w:val="000000"/>
                <w:sz w:val="20"/>
                <w:szCs w:val="20"/>
              </w:rPr>
              <w:t>$627,528,326</w:t>
            </w:r>
          </w:p>
        </w:tc>
      </w:tr>
      <w:tr w:rsidR="00BE5A0D" w:rsidRPr="00DD0432" w14:paraId="2473F651" w14:textId="77777777" w:rsidTr="00BB3C33">
        <w:trPr>
          <w:trHeight w:val="397"/>
        </w:trPr>
        <w:tc>
          <w:tcPr>
            <w:tcW w:w="2830" w:type="dxa"/>
            <w:noWrap/>
            <w:vAlign w:val="center"/>
            <w:hideMark/>
          </w:tcPr>
          <w:p w14:paraId="00366FEA" w14:textId="77777777" w:rsidR="00BE5A0D" w:rsidRPr="00F624E0" w:rsidRDefault="00BE5A0D" w:rsidP="00BE5A0D">
            <w:pPr>
              <w:spacing w:line="276" w:lineRule="auto"/>
              <w:rPr>
                <w:color w:val="000000"/>
                <w:sz w:val="20"/>
                <w:szCs w:val="20"/>
              </w:rPr>
            </w:pPr>
            <w:r w:rsidRPr="00F624E0">
              <w:rPr>
                <w:color w:val="000000"/>
                <w:sz w:val="20"/>
                <w:szCs w:val="20"/>
              </w:rPr>
              <w:t>Proportion</w:t>
            </w:r>
          </w:p>
        </w:tc>
        <w:tc>
          <w:tcPr>
            <w:tcW w:w="1843" w:type="dxa"/>
            <w:noWrap/>
            <w:vAlign w:val="bottom"/>
            <w:hideMark/>
          </w:tcPr>
          <w:p w14:paraId="43701144" w14:textId="2502C34E" w:rsidR="00BE5A0D" w:rsidRPr="00F624E0" w:rsidRDefault="00BE5A0D" w:rsidP="00BE5A0D">
            <w:pPr>
              <w:spacing w:line="276" w:lineRule="auto"/>
              <w:jc w:val="right"/>
              <w:rPr>
                <w:color w:val="000000"/>
                <w:sz w:val="20"/>
                <w:szCs w:val="20"/>
              </w:rPr>
            </w:pPr>
            <w:r w:rsidRPr="00F624E0">
              <w:rPr>
                <w:color w:val="000000"/>
                <w:sz w:val="20"/>
                <w:szCs w:val="20"/>
              </w:rPr>
              <w:t>42.75%</w:t>
            </w:r>
          </w:p>
        </w:tc>
        <w:tc>
          <w:tcPr>
            <w:tcW w:w="1701" w:type="dxa"/>
            <w:noWrap/>
            <w:vAlign w:val="bottom"/>
            <w:hideMark/>
          </w:tcPr>
          <w:p w14:paraId="3D532C74" w14:textId="760B4AEB" w:rsidR="00BE5A0D" w:rsidRPr="00F624E0" w:rsidRDefault="00BE5A0D" w:rsidP="00BE5A0D">
            <w:pPr>
              <w:spacing w:line="276" w:lineRule="auto"/>
              <w:jc w:val="right"/>
              <w:rPr>
                <w:color w:val="000000"/>
                <w:sz w:val="20"/>
                <w:szCs w:val="20"/>
              </w:rPr>
            </w:pPr>
            <w:r w:rsidRPr="00F624E0">
              <w:rPr>
                <w:color w:val="000000"/>
                <w:sz w:val="20"/>
                <w:szCs w:val="20"/>
              </w:rPr>
              <w:t>31.48%</w:t>
            </w:r>
          </w:p>
        </w:tc>
        <w:tc>
          <w:tcPr>
            <w:tcW w:w="1559" w:type="dxa"/>
            <w:noWrap/>
            <w:vAlign w:val="bottom"/>
            <w:hideMark/>
          </w:tcPr>
          <w:p w14:paraId="3ADD42B2" w14:textId="2A46136E" w:rsidR="00BE5A0D" w:rsidRPr="00F624E0" w:rsidRDefault="00BE5A0D" w:rsidP="00BE5A0D">
            <w:pPr>
              <w:spacing w:line="276" w:lineRule="auto"/>
              <w:jc w:val="right"/>
              <w:rPr>
                <w:color w:val="000000"/>
                <w:sz w:val="20"/>
                <w:szCs w:val="20"/>
              </w:rPr>
            </w:pPr>
            <w:r w:rsidRPr="00F624E0">
              <w:rPr>
                <w:color w:val="000000"/>
                <w:sz w:val="20"/>
                <w:szCs w:val="20"/>
              </w:rPr>
              <w:t>10.90%</w:t>
            </w:r>
          </w:p>
        </w:tc>
        <w:tc>
          <w:tcPr>
            <w:tcW w:w="1560" w:type="dxa"/>
            <w:noWrap/>
            <w:vAlign w:val="bottom"/>
            <w:hideMark/>
          </w:tcPr>
          <w:p w14:paraId="5554775C" w14:textId="5D6438C1" w:rsidR="00BE5A0D" w:rsidRPr="00F624E0" w:rsidRDefault="00BE5A0D" w:rsidP="00BE5A0D">
            <w:pPr>
              <w:spacing w:line="276" w:lineRule="auto"/>
              <w:jc w:val="right"/>
              <w:rPr>
                <w:color w:val="000000"/>
                <w:sz w:val="20"/>
                <w:szCs w:val="20"/>
              </w:rPr>
            </w:pPr>
            <w:r w:rsidRPr="00F624E0">
              <w:rPr>
                <w:color w:val="000000"/>
                <w:sz w:val="20"/>
                <w:szCs w:val="20"/>
              </w:rPr>
              <w:t>14.87%</w:t>
            </w:r>
          </w:p>
        </w:tc>
      </w:tr>
    </w:tbl>
    <w:p w14:paraId="7BF497F2" w14:textId="77777777" w:rsidR="00F624E0" w:rsidRDefault="00F624E0" w:rsidP="00F624E0">
      <w:bookmarkStart w:id="393" w:name="_nzov1nnr8cyo" w:colFirst="0" w:colLast="0"/>
      <w:bookmarkStart w:id="394" w:name="_Toc201572450"/>
      <w:bookmarkEnd w:id="393"/>
    </w:p>
    <w:p w14:paraId="41E5DC1D" w14:textId="39AEA4C9" w:rsidR="00DB689D" w:rsidRDefault="00310A10" w:rsidP="00657824">
      <w:pPr>
        <w:pStyle w:val="Heading2"/>
      </w:pPr>
      <w:bookmarkStart w:id="395" w:name="_Toc207195969"/>
      <w:r w:rsidRPr="003A7A08">
        <w:t>Specific</w:t>
      </w:r>
      <w:r>
        <w:t xml:space="preserve"> cost items</w:t>
      </w:r>
      <w:bookmarkEnd w:id="394"/>
      <w:bookmarkEnd w:id="395"/>
    </w:p>
    <w:p w14:paraId="2A3A0F17" w14:textId="77777777" w:rsidR="00DB689D" w:rsidRDefault="00310A10" w:rsidP="00367A8D">
      <w:pPr>
        <w:spacing w:line="360" w:lineRule="auto"/>
      </w:pPr>
      <w:r>
        <w:t xml:space="preserve">The following section provides details of the individual cost items. This includes descriptions, methodologies and calculations, and the estimated cost incorporating upper and lower bounds. The results are organised by cost categories: financial impacts; relationship disruption, conflict or breakdown; health; work or study impacts; criminal activity; life course harm; other government or community costs. </w:t>
      </w:r>
    </w:p>
    <w:p w14:paraId="2FD41BCD" w14:textId="4CC5F0AF" w:rsidR="00DB689D" w:rsidRDefault="00310A10" w:rsidP="00657824">
      <w:pPr>
        <w:pStyle w:val="Heading2"/>
      </w:pPr>
      <w:bookmarkStart w:id="396" w:name="_Toc201572451"/>
      <w:bookmarkStart w:id="397" w:name="_Toc207195970"/>
      <w:r>
        <w:t>Financial impacts</w:t>
      </w:r>
      <w:bookmarkEnd w:id="396"/>
      <w:bookmarkEnd w:id="397"/>
    </w:p>
    <w:p w14:paraId="416AFAC0" w14:textId="3AB4EFA1" w:rsidR="002405FA" w:rsidRDefault="00310A10" w:rsidP="00367A8D">
      <w:pPr>
        <w:spacing w:line="360" w:lineRule="auto"/>
      </w:pPr>
      <w:r>
        <w:t>This section estimates the costs associated with opportunity costs and excessive gambling spend</w:t>
      </w:r>
      <w:r w:rsidR="00056AB7">
        <w:t xml:space="preserve"> and </w:t>
      </w:r>
      <w:r>
        <w:t xml:space="preserve">bankruptcy. As identified during the Community Consultation (Chapter 4), additional financial impacts are also possible - many with long-term legacy effects. For example, withdrawing money from KiwiSaver accounts reduces retirement savings, and the loss of a home due to gambling-related debt can have lasting financial consequences for the individual and their family. However, these impacts are difficult to cost accurately due to limited available data and are therefore not included in this estimate </w:t>
      </w:r>
    </w:p>
    <w:p w14:paraId="3787BFFC" w14:textId="77777777" w:rsidR="00DB689D" w:rsidRDefault="00310A10" w:rsidP="00C30E1A">
      <w:pPr>
        <w:pStyle w:val="Heading3"/>
      </w:pPr>
      <w:bookmarkStart w:id="398" w:name="_cc85we1fre43" w:colFirst="0" w:colLast="0"/>
      <w:bookmarkStart w:id="399" w:name="_Toc201572452"/>
      <w:bookmarkStart w:id="400" w:name="_Toc207195971"/>
      <w:bookmarkEnd w:id="398"/>
      <w:r>
        <w:t>Gambling expenditure in New Zealand</w:t>
      </w:r>
      <w:bookmarkEnd w:id="399"/>
      <w:bookmarkEnd w:id="400"/>
    </w:p>
    <w:p w14:paraId="6DDCE8DB" w14:textId="5DC56BDF" w:rsidR="00DB689D" w:rsidRDefault="00310A10" w:rsidP="00367A8D">
      <w:pPr>
        <w:spacing w:line="360" w:lineRule="auto"/>
      </w:pPr>
      <w:r>
        <w:t xml:space="preserve">New Zealand has four regulated gambling sectors: Lotto New Zealand, TAB NZ, casinos and </w:t>
      </w:r>
      <w:r w:rsidR="00494DC3">
        <w:t>Class 4 pokies</w:t>
      </w:r>
      <w:r>
        <w:t xml:space="preserve">. In 2023/24, the total amount lost by people who gamble across these sectors was $2.792 billion </w:t>
      </w:r>
      <w:r w:rsidR="0038398B">
        <w:rPr>
          <w:noProof/>
          <w:color w:val="000000"/>
        </w:rPr>
        <w:t>(</w:t>
      </w:r>
      <w:r w:rsidR="002A3095">
        <w:t>Department of Internal Affairs,</w:t>
      </w:r>
      <w:r w:rsidR="0038398B">
        <w:rPr>
          <w:noProof/>
          <w:color w:val="000000"/>
        </w:rPr>
        <w:t xml:space="preserve"> 2024)</w:t>
      </w:r>
      <w:r>
        <w:t xml:space="preserve">. Additionally, around $340 million of gross revenue was reported by GST registered offshore gambling providers in 2022/23 ($353.9m inflated) </w:t>
      </w:r>
      <w:r w:rsidR="0038398B">
        <w:rPr>
          <w:noProof/>
          <w:color w:val="000000"/>
        </w:rPr>
        <w:t>(</w:t>
      </w:r>
      <w:r w:rsidR="0038398B" w:rsidRPr="0038398B">
        <w:rPr>
          <w:i/>
          <w:noProof/>
          <w:color w:val="000000"/>
        </w:rPr>
        <w:t>Regulatory impact statement: Offshore online gambling</w:t>
      </w:r>
      <w:r w:rsidR="0038398B">
        <w:rPr>
          <w:noProof/>
          <w:color w:val="000000"/>
        </w:rPr>
        <w:t>, 2024)</w:t>
      </w:r>
      <w:r>
        <w:t>.</w:t>
      </w:r>
    </w:p>
    <w:p w14:paraId="4EDE103F" w14:textId="77777777" w:rsidR="00DB689D" w:rsidRDefault="00DB689D" w:rsidP="00367A8D">
      <w:pPr>
        <w:spacing w:line="360" w:lineRule="auto"/>
      </w:pPr>
    </w:p>
    <w:p w14:paraId="44947474" w14:textId="329CF2A9" w:rsidR="002405FA" w:rsidRDefault="00310A10" w:rsidP="00367A8D">
      <w:pPr>
        <w:spacing w:line="360" w:lineRule="auto"/>
      </w:pPr>
      <w:r>
        <w:t xml:space="preserve">Combining information on total industry revenue and population-weighted self-report data from the NZGS implies that average spend per capita in New Zealand is $579. This is similar to data reported in the latest Gambling Expenditure Statistic Report </w:t>
      </w:r>
      <w:r w:rsidR="0038398B">
        <w:rPr>
          <w:noProof/>
          <w:color w:val="000000"/>
        </w:rPr>
        <w:t>(</w:t>
      </w:r>
      <w:r w:rsidR="0038398B" w:rsidRPr="0038398B">
        <w:rPr>
          <w:i/>
          <w:noProof/>
          <w:color w:val="000000"/>
        </w:rPr>
        <w:t>Gambling expenditure statistics report</w:t>
      </w:r>
      <w:r w:rsidR="0038398B">
        <w:rPr>
          <w:noProof/>
          <w:color w:val="000000"/>
        </w:rPr>
        <w:t>, 2024)</w:t>
      </w:r>
      <w:r>
        <w:t xml:space="preserve">, which identifies a spend of $504 per capita on TAB New Zealand, NZ Lotteries Commission, </w:t>
      </w:r>
      <w:r w:rsidR="00494DC3">
        <w:t xml:space="preserve">Class 4 pokies </w:t>
      </w:r>
      <w:r>
        <w:t xml:space="preserve">and Casinos in 2023/24. Note this figure excludes overseas online spend. Based on the estimated $353.9m on offshore online gambling (as above), this equates to an additional $82 per person. This is relatively much less than per capita </w:t>
      </w:r>
      <w:r w:rsidR="006A1508">
        <w:t>spent</w:t>
      </w:r>
      <w:r>
        <w:t xml:space="preserve"> in Australia in 2023 (AUD $1,068), where per capita spend also varies markedly across states and territories: e.g. New South Wales (AUD $1,508), Victoria (AUD $882) and Queensland (AUD $977) </w:t>
      </w:r>
      <w:r w:rsidR="0038398B">
        <w:rPr>
          <w:noProof/>
          <w:color w:val="000000"/>
        </w:rPr>
        <w:t>(Australian Gambling Research Centre, 2023)</w:t>
      </w:r>
      <w:r>
        <w:t xml:space="preserve">. </w:t>
      </w:r>
    </w:p>
    <w:p w14:paraId="0DCA35DE" w14:textId="77777777" w:rsidR="00DB689D" w:rsidRDefault="00310A10" w:rsidP="00C30E1A">
      <w:pPr>
        <w:pStyle w:val="Heading3"/>
      </w:pPr>
      <w:bookmarkStart w:id="401" w:name="_p5aw1hesfw0b" w:colFirst="0" w:colLast="0"/>
      <w:bookmarkStart w:id="402" w:name="_Toc201572453"/>
      <w:bookmarkStart w:id="403" w:name="_Toc207195972"/>
      <w:bookmarkEnd w:id="401"/>
      <w:r>
        <w:t>Opportunity cost of excess gambling spend</w:t>
      </w:r>
      <w:bookmarkEnd w:id="402"/>
      <w:bookmarkEnd w:id="403"/>
    </w:p>
    <w:p w14:paraId="21814AA9" w14:textId="77777777" w:rsidR="00DB689D" w:rsidRDefault="00310A10" w:rsidP="00367A8D">
      <w:pPr>
        <w:spacing w:before="240" w:after="240" w:line="360" w:lineRule="auto"/>
      </w:pPr>
      <w:r>
        <w:t>The opportunity cost of excess gambling spend represents the estimated value of money expended on gambling by individuals experiencing at-risk gambling patterns, beyond what is considered typical recreational expenditure. This cost is calculated based on the methodology detailed in Chapter 5, which involves comparing the expenditure of people categorised as at-risk gambling (low-risk, moderate-risk, and problem gambling) to that of non-problem gambling. Due to the unavailability of specific self-reported expenditure data from the latest NZGS (2023/24), this calculation incorporates relative spend patterns derived from Australian jurisdictional data, combined with New Zealand's total gambling losses and gambling prevalence data. The resulting excess spend is then subject to differential discounting based on the severity of reported financial harms associated with each risk category.</w:t>
      </w:r>
    </w:p>
    <w:p w14:paraId="7819F408" w14:textId="2C908FA0" w:rsidR="00DB689D" w:rsidRDefault="003A7A08" w:rsidP="00367A8D">
      <w:pPr>
        <w:spacing w:before="240" w:after="240" w:line="360" w:lineRule="auto"/>
      </w:pPr>
      <w:r>
        <w:t xml:space="preserve">Table </w:t>
      </w:r>
      <w:r w:rsidR="00757932">
        <w:t xml:space="preserve">13 </w:t>
      </w:r>
      <w:r>
        <w:t>below outlines the step-by-step calculation of this opportunity cost. The table begins by identifying the different gambling segments according to the PGSI and lists the estimated number of individuals within each segment in New Zealand for the 2023-24 period (NZGS, 2023). It then shows the estimated total expenditure attributed to each of these segments.</w:t>
      </w:r>
    </w:p>
    <w:p w14:paraId="16B3D16B" w14:textId="77777777" w:rsidR="00DB689D" w:rsidRDefault="00310A10" w:rsidP="00367A8D">
      <w:pPr>
        <w:spacing w:before="240" w:after="240" w:line="360" w:lineRule="auto"/>
      </w:pPr>
      <w:r>
        <w:t>A crucial step in the calculation is establishing a baseline for 'normal' or recreational expenditure, which is derived from the average spend of people categorised as non-problem gambling. This 'normal expenditure' figure is then used as a benchmark against which the expenditure of the at-risk segments (low-risk, moderate-risk, and problem gambling) is compared. The difference is calculated as 'excess expenditure per person' for each at-risk category, which, when multiplied by the number of people in that segment, yields the 'total excess expenditure' for that group.</w:t>
      </w:r>
    </w:p>
    <w:p w14:paraId="0B75A8C0" w14:textId="77777777" w:rsidR="00DB689D" w:rsidRDefault="00310A10" w:rsidP="00367A8D">
      <w:pPr>
        <w:spacing w:before="240" w:after="240" w:line="360" w:lineRule="auto"/>
      </w:pPr>
      <w:r>
        <w:t>To arrive at the final costed figure, a 'discount factor' is applied to the total excess expenditure for each at-risk segment. These discount factors (40% for low-risk, 80% for moderate-risk, and 90% for problem gambling) are based on the methodology outlined in Chapter 5, reflecting the varying intensity of financial harms reported by each group and ensuring that only the proportion of excess spend strongly correlated with harm is costed. The application of these discounts results in the 'costed excess expenditure' for each segment.</w:t>
      </w:r>
    </w:p>
    <w:p w14:paraId="3BD78E0A" w14:textId="77777777" w:rsidR="00DB689D" w:rsidRDefault="00310A10" w:rsidP="00367A8D">
      <w:pPr>
        <w:spacing w:before="240" w:after="240" w:line="360" w:lineRule="auto"/>
      </w:pPr>
      <w:r>
        <w:t xml:space="preserve">Summing the costed excess expenditure across all at-risk categories provides the central estimate for the total opportunity cost of excess gambling spend in New Zealand for 2023-24. This central estimate is </w:t>
      </w:r>
      <w:r>
        <w:rPr>
          <w:b/>
        </w:rPr>
        <w:t>$1.19 billion</w:t>
      </w:r>
      <w:r>
        <w:t>. The calculation of these excess spend figures was also informed by Community Consultation (see Chapter 4), where participants generally agreed with the proposed average loss per person figures underpinning this estimate. It was, however, noted by some treatment providers that these average figures might be conservative, potentially underestimating losses for individuals experiencing the most severe gambling problems.</w:t>
      </w:r>
    </w:p>
    <w:p w14:paraId="21BF90B8" w14:textId="40E2B38F" w:rsidR="00DB689D" w:rsidRDefault="00310A10" w:rsidP="00367A8D">
      <w:pPr>
        <w:spacing w:before="240" w:after="240" w:line="360" w:lineRule="auto"/>
      </w:pPr>
      <w:r>
        <w:t xml:space="preserve">The analysis also produced a range for this cost component to reflect different methodological assumptions. The lower bound, which considers only the excessive spend by those classified as problem gambling, is estimated at </w:t>
      </w:r>
      <w:r>
        <w:rPr>
          <w:b/>
        </w:rPr>
        <w:t>$752.2 million</w:t>
      </w:r>
      <w:r>
        <w:t xml:space="preserve">. The upper bound, representing the scenario where all expenditure associated with at-risk gambling (low-risk, moderate-risk, and problem gambling) above the average spend of people categorised as non-problem gambling is considered an opportunity cost without any discounting, is estimated at </w:t>
      </w:r>
      <w:r>
        <w:rPr>
          <w:b/>
        </w:rPr>
        <w:t>$1.56 billion</w:t>
      </w:r>
      <w:r>
        <w:t>. These estimates suggest that a substantial portion of total gambling expenditure in New Zealand, ranging from approximately one-quarter to nearly one-half, can be considered an opportunity cost to consumers, arising from excessive spending patterns associated with at-risk gambling.</w:t>
      </w:r>
    </w:p>
    <w:p w14:paraId="4D1FA468" w14:textId="77777777" w:rsidR="00DB689D" w:rsidRDefault="00DB689D" w:rsidP="00367A8D">
      <w:pPr>
        <w:spacing w:line="360" w:lineRule="auto"/>
        <w:rPr>
          <w:highlight w:val="yellow"/>
        </w:rPr>
        <w:sectPr w:rsidR="00DB689D">
          <w:pgSz w:w="11906" w:h="16838"/>
          <w:pgMar w:top="1440" w:right="1440" w:bottom="1440" w:left="1440" w:header="720" w:footer="720" w:gutter="0"/>
          <w:cols w:space="720"/>
        </w:sectPr>
      </w:pPr>
    </w:p>
    <w:p w14:paraId="51F30126" w14:textId="77777777" w:rsidR="00DB689D" w:rsidRDefault="00DB689D" w:rsidP="00367A8D">
      <w:pPr>
        <w:spacing w:line="360" w:lineRule="auto"/>
        <w:rPr>
          <w:highlight w:val="yellow"/>
        </w:rPr>
      </w:pPr>
    </w:p>
    <w:p w14:paraId="6BF5A80E" w14:textId="2C698B1D" w:rsidR="003A7A08" w:rsidRDefault="003A7A08" w:rsidP="00DB094D">
      <w:pPr>
        <w:pStyle w:val="Caption"/>
      </w:pPr>
      <w:bookmarkStart w:id="404" w:name="_Toc207619055"/>
      <w:r>
        <w:t xml:space="preserve">Table </w:t>
      </w:r>
      <w:r>
        <w:fldChar w:fldCharType="begin"/>
      </w:r>
      <w:r>
        <w:instrText xml:space="preserve"> SEQ Table \* ARABIC </w:instrText>
      </w:r>
      <w:r>
        <w:fldChar w:fldCharType="separate"/>
      </w:r>
      <w:r w:rsidR="00986A0D">
        <w:rPr>
          <w:noProof/>
        </w:rPr>
        <w:t>13</w:t>
      </w:r>
      <w:r>
        <w:fldChar w:fldCharType="end"/>
      </w:r>
      <w:r>
        <w:t xml:space="preserve">. </w:t>
      </w:r>
      <w:r w:rsidRPr="007E45B8">
        <w:t>Cost of excess spend on gambling products due to gambling problems in New Zealand (2023-24)</w:t>
      </w:r>
      <w:bookmarkEnd w:id="404"/>
    </w:p>
    <w:tbl>
      <w:tblPr>
        <w:tblStyle w:val="TableGridLight"/>
        <w:tblW w:w="14502" w:type="dxa"/>
        <w:tblLayout w:type="fixed"/>
        <w:tblLook w:val="04A0" w:firstRow="1" w:lastRow="0" w:firstColumn="1" w:lastColumn="0" w:noHBand="0" w:noVBand="1"/>
      </w:tblPr>
      <w:tblGrid>
        <w:gridCol w:w="2405"/>
        <w:gridCol w:w="1701"/>
        <w:gridCol w:w="1701"/>
        <w:gridCol w:w="1559"/>
        <w:gridCol w:w="1418"/>
        <w:gridCol w:w="1417"/>
        <w:gridCol w:w="1701"/>
        <w:gridCol w:w="993"/>
        <w:gridCol w:w="1607"/>
      </w:tblGrid>
      <w:tr w:rsidR="003A7A08" w:rsidRPr="00DD0432" w14:paraId="74E3F983" w14:textId="77777777">
        <w:trPr>
          <w:trHeight w:val="397"/>
        </w:trPr>
        <w:tc>
          <w:tcPr>
            <w:tcW w:w="2405" w:type="dxa"/>
            <w:shd w:val="clear" w:color="auto" w:fill="F2F2F2" w:themeFill="background1" w:themeFillShade="F2"/>
            <w:vAlign w:val="center"/>
            <w:hideMark/>
          </w:tcPr>
          <w:p w14:paraId="1152F288" w14:textId="77777777" w:rsidR="003A7A08" w:rsidRPr="00F624E0" w:rsidRDefault="003A7A08">
            <w:pPr>
              <w:spacing w:line="276" w:lineRule="auto"/>
              <w:rPr>
                <w:b/>
                <w:bCs/>
                <w:color w:val="000000"/>
                <w:sz w:val="20"/>
                <w:szCs w:val="20"/>
              </w:rPr>
            </w:pPr>
            <w:r w:rsidRPr="00F624E0">
              <w:rPr>
                <w:b/>
                <w:bCs/>
                <w:color w:val="000000"/>
                <w:sz w:val="20"/>
                <w:szCs w:val="20"/>
              </w:rPr>
              <w:t>PGSI Category</w:t>
            </w:r>
          </w:p>
        </w:tc>
        <w:tc>
          <w:tcPr>
            <w:tcW w:w="1701" w:type="dxa"/>
            <w:shd w:val="clear" w:color="auto" w:fill="F2F2F2" w:themeFill="background1" w:themeFillShade="F2"/>
            <w:vAlign w:val="center"/>
            <w:hideMark/>
          </w:tcPr>
          <w:p w14:paraId="362F0E18" w14:textId="77777777" w:rsidR="003A7A08" w:rsidRPr="00F624E0" w:rsidRDefault="003A7A08">
            <w:pPr>
              <w:spacing w:line="276" w:lineRule="auto"/>
              <w:jc w:val="center"/>
              <w:rPr>
                <w:b/>
                <w:bCs/>
                <w:color w:val="000000"/>
                <w:sz w:val="20"/>
                <w:szCs w:val="20"/>
              </w:rPr>
            </w:pPr>
            <w:r w:rsidRPr="00F624E0">
              <w:rPr>
                <w:b/>
                <w:bCs/>
                <w:color w:val="000000"/>
                <w:sz w:val="20"/>
                <w:szCs w:val="20"/>
              </w:rPr>
              <w:t>Gambling population</w:t>
            </w:r>
          </w:p>
        </w:tc>
        <w:tc>
          <w:tcPr>
            <w:tcW w:w="1701" w:type="dxa"/>
            <w:shd w:val="clear" w:color="auto" w:fill="F2F2F2" w:themeFill="background1" w:themeFillShade="F2"/>
            <w:vAlign w:val="center"/>
            <w:hideMark/>
          </w:tcPr>
          <w:p w14:paraId="463C7B85" w14:textId="77777777" w:rsidR="003A7A08" w:rsidRPr="00F624E0" w:rsidRDefault="003A7A08">
            <w:pPr>
              <w:spacing w:line="276" w:lineRule="auto"/>
              <w:jc w:val="center"/>
              <w:rPr>
                <w:b/>
                <w:bCs/>
                <w:color w:val="000000"/>
                <w:sz w:val="20"/>
                <w:szCs w:val="20"/>
              </w:rPr>
            </w:pPr>
            <w:r w:rsidRPr="00F624E0">
              <w:rPr>
                <w:b/>
                <w:bCs/>
                <w:color w:val="000000"/>
                <w:sz w:val="20"/>
                <w:szCs w:val="20"/>
              </w:rPr>
              <w:t>Revenue share multiple</w:t>
            </w:r>
          </w:p>
        </w:tc>
        <w:tc>
          <w:tcPr>
            <w:tcW w:w="1559" w:type="dxa"/>
            <w:shd w:val="clear" w:color="auto" w:fill="F2F2F2" w:themeFill="background1" w:themeFillShade="F2"/>
            <w:vAlign w:val="center"/>
            <w:hideMark/>
          </w:tcPr>
          <w:p w14:paraId="195B7E20" w14:textId="77777777" w:rsidR="003A7A08" w:rsidRPr="00F624E0" w:rsidRDefault="003A7A08">
            <w:pPr>
              <w:spacing w:line="276" w:lineRule="auto"/>
              <w:jc w:val="center"/>
              <w:rPr>
                <w:b/>
                <w:bCs/>
                <w:color w:val="000000"/>
                <w:sz w:val="20"/>
                <w:szCs w:val="20"/>
              </w:rPr>
            </w:pPr>
            <w:r w:rsidRPr="00F624E0">
              <w:rPr>
                <w:b/>
                <w:bCs/>
                <w:color w:val="000000"/>
                <w:sz w:val="20"/>
                <w:szCs w:val="20"/>
              </w:rPr>
              <w:t>Total shares</w:t>
            </w:r>
          </w:p>
        </w:tc>
        <w:tc>
          <w:tcPr>
            <w:tcW w:w="1418" w:type="dxa"/>
            <w:shd w:val="clear" w:color="auto" w:fill="F2F2F2" w:themeFill="background1" w:themeFillShade="F2"/>
            <w:vAlign w:val="center"/>
            <w:hideMark/>
          </w:tcPr>
          <w:p w14:paraId="66025F2C" w14:textId="77777777" w:rsidR="003A7A08" w:rsidRPr="00F624E0" w:rsidRDefault="003A7A08">
            <w:pPr>
              <w:spacing w:line="276" w:lineRule="auto"/>
              <w:jc w:val="center"/>
              <w:rPr>
                <w:b/>
                <w:bCs/>
                <w:color w:val="000000"/>
                <w:sz w:val="20"/>
                <w:szCs w:val="20"/>
              </w:rPr>
            </w:pPr>
            <w:r w:rsidRPr="00F624E0">
              <w:rPr>
                <w:b/>
                <w:bCs/>
                <w:color w:val="000000"/>
                <w:sz w:val="20"/>
                <w:szCs w:val="20"/>
              </w:rPr>
              <w:t>Loss per gambler</w:t>
            </w:r>
          </w:p>
        </w:tc>
        <w:tc>
          <w:tcPr>
            <w:tcW w:w="1417" w:type="dxa"/>
            <w:shd w:val="clear" w:color="auto" w:fill="F2F2F2" w:themeFill="background1" w:themeFillShade="F2"/>
            <w:vAlign w:val="center"/>
            <w:hideMark/>
          </w:tcPr>
          <w:p w14:paraId="040A1B1E" w14:textId="77777777" w:rsidR="003A7A08" w:rsidRPr="00F624E0" w:rsidRDefault="003A7A08">
            <w:pPr>
              <w:spacing w:line="276" w:lineRule="auto"/>
              <w:jc w:val="center"/>
              <w:rPr>
                <w:b/>
                <w:bCs/>
                <w:color w:val="000000"/>
                <w:sz w:val="20"/>
                <w:szCs w:val="20"/>
              </w:rPr>
            </w:pPr>
            <w:r w:rsidRPr="00F624E0">
              <w:rPr>
                <w:b/>
                <w:bCs/>
                <w:color w:val="000000"/>
                <w:sz w:val="20"/>
                <w:szCs w:val="20"/>
              </w:rPr>
              <w:t>Excess loss per gambler</w:t>
            </w:r>
          </w:p>
        </w:tc>
        <w:tc>
          <w:tcPr>
            <w:tcW w:w="1701" w:type="dxa"/>
            <w:shd w:val="clear" w:color="auto" w:fill="F2F2F2" w:themeFill="background1" w:themeFillShade="F2"/>
            <w:vAlign w:val="center"/>
            <w:hideMark/>
          </w:tcPr>
          <w:p w14:paraId="12BEF23E" w14:textId="77777777" w:rsidR="003A7A08" w:rsidRPr="00F624E0" w:rsidRDefault="003A7A08">
            <w:pPr>
              <w:spacing w:line="276" w:lineRule="auto"/>
              <w:jc w:val="center"/>
              <w:rPr>
                <w:b/>
                <w:bCs/>
                <w:color w:val="000000"/>
                <w:sz w:val="20"/>
                <w:szCs w:val="20"/>
              </w:rPr>
            </w:pPr>
            <w:r w:rsidRPr="00F624E0">
              <w:rPr>
                <w:b/>
                <w:bCs/>
                <w:color w:val="000000"/>
                <w:sz w:val="20"/>
                <w:szCs w:val="20"/>
              </w:rPr>
              <w:t>Population excess</w:t>
            </w:r>
          </w:p>
        </w:tc>
        <w:tc>
          <w:tcPr>
            <w:tcW w:w="993" w:type="dxa"/>
            <w:shd w:val="clear" w:color="auto" w:fill="F2F2F2" w:themeFill="background1" w:themeFillShade="F2"/>
            <w:vAlign w:val="center"/>
            <w:hideMark/>
          </w:tcPr>
          <w:p w14:paraId="425FEBAC" w14:textId="77777777" w:rsidR="003A7A08" w:rsidRPr="00F624E0" w:rsidRDefault="003A7A08">
            <w:pPr>
              <w:spacing w:line="276" w:lineRule="auto"/>
              <w:jc w:val="center"/>
              <w:rPr>
                <w:b/>
                <w:bCs/>
                <w:color w:val="000000"/>
                <w:sz w:val="20"/>
                <w:szCs w:val="20"/>
              </w:rPr>
            </w:pPr>
            <w:r w:rsidRPr="00F624E0">
              <w:rPr>
                <w:b/>
                <w:bCs/>
                <w:color w:val="000000"/>
                <w:sz w:val="20"/>
                <w:szCs w:val="20"/>
              </w:rPr>
              <w:t>Weight</w:t>
            </w:r>
          </w:p>
        </w:tc>
        <w:tc>
          <w:tcPr>
            <w:tcW w:w="1607" w:type="dxa"/>
            <w:shd w:val="clear" w:color="auto" w:fill="F2F2F2" w:themeFill="background1" w:themeFillShade="F2"/>
            <w:vAlign w:val="center"/>
            <w:hideMark/>
          </w:tcPr>
          <w:p w14:paraId="74E0F355" w14:textId="77777777" w:rsidR="003A7A08" w:rsidRPr="00F624E0" w:rsidRDefault="003A7A08">
            <w:pPr>
              <w:spacing w:line="276" w:lineRule="auto"/>
              <w:jc w:val="center"/>
              <w:rPr>
                <w:b/>
                <w:bCs/>
                <w:color w:val="000000"/>
                <w:sz w:val="20"/>
                <w:szCs w:val="20"/>
              </w:rPr>
            </w:pPr>
            <w:r w:rsidRPr="00F624E0">
              <w:rPr>
                <w:b/>
                <w:bCs/>
                <w:color w:val="000000"/>
                <w:sz w:val="20"/>
                <w:szCs w:val="20"/>
              </w:rPr>
              <w:t>Discounted</w:t>
            </w:r>
          </w:p>
        </w:tc>
      </w:tr>
      <w:tr w:rsidR="003A7A08" w:rsidRPr="00DD0432" w14:paraId="2E95C662" w14:textId="77777777">
        <w:trPr>
          <w:trHeight w:val="397"/>
        </w:trPr>
        <w:tc>
          <w:tcPr>
            <w:tcW w:w="2405" w:type="dxa"/>
            <w:noWrap/>
            <w:vAlign w:val="center"/>
            <w:hideMark/>
          </w:tcPr>
          <w:p w14:paraId="68E81D89" w14:textId="77777777" w:rsidR="003A7A08" w:rsidRPr="00F624E0" w:rsidRDefault="003A7A08">
            <w:pPr>
              <w:spacing w:line="276" w:lineRule="auto"/>
              <w:rPr>
                <w:color w:val="000000"/>
                <w:sz w:val="20"/>
                <w:szCs w:val="20"/>
              </w:rPr>
            </w:pPr>
            <w:r w:rsidRPr="00F624E0">
              <w:rPr>
                <w:color w:val="000000"/>
                <w:sz w:val="20"/>
                <w:szCs w:val="20"/>
              </w:rPr>
              <w:t>Non problem gambling</w:t>
            </w:r>
          </w:p>
        </w:tc>
        <w:tc>
          <w:tcPr>
            <w:tcW w:w="1701" w:type="dxa"/>
            <w:noWrap/>
            <w:vAlign w:val="center"/>
            <w:hideMark/>
          </w:tcPr>
          <w:p w14:paraId="2BC1EFDB" w14:textId="77777777" w:rsidR="003A7A08" w:rsidRPr="00F624E0" w:rsidRDefault="003A7A08">
            <w:pPr>
              <w:spacing w:line="276" w:lineRule="auto"/>
              <w:jc w:val="right"/>
              <w:rPr>
                <w:color w:val="000000"/>
                <w:sz w:val="20"/>
                <w:szCs w:val="20"/>
              </w:rPr>
            </w:pPr>
            <w:r w:rsidRPr="00F624E0">
              <w:rPr>
                <w:color w:val="000000"/>
                <w:sz w:val="20"/>
                <w:szCs w:val="20"/>
              </w:rPr>
              <w:t>2,255,479</w:t>
            </w:r>
          </w:p>
        </w:tc>
        <w:tc>
          <w:tcPr>
            <w:tcW w:w="1701" w:type="dxa"/>
            <w:noWrap/>
            <w:vAlign w:val="center"/>
            <w:hideMark/>
          </w:tcPr>
          <w:p w14:paraId="4A1B6B4A" w14:textId="77777777" w:rsidR="003A7A08" w:rsidRPr="00F624E0" w:rsidRDefault="003A7A08">
            <w:pPr>
              <w:spacing w:line="276" w:lineRule="auto"/>
              <w:jc w:val="right"/>
              <w:rPr>
                <w:color w:val="000000"/>
                <w:sz w:val="20"/>
                <w:szCs w:val="20"/>
              </w:rPr>
            </w:pPr>
            <w:r w:rsidRPr="00F624E0">
              <w:rPr>
                <w:color w:val="000000"/>
                <w:sz w:val="20"/>
                <w:szCs w:val="20"/>
              </w:rPr>
              <w:t>1.00</w:t>
            </w:r>
          </w:p>
        </w:tc>
        <w:tc>
          <w:tcPr>
            <w:tcW w:w="1559" w:type="dxa"/>
            <w:noWrap/>
            <w:vAlign w:val="center"/>
            <w:hideMark/>
          </w:tcPr>
          <w:p w14:paraId="18EFE1B5" w14:textId="77777777" w:rsidR="003A7A08" w:rsidRPr="00F624E0" w:rsidRDefault="003A7A08">
            <w:pPr>
              <w:spacing w:line="276" w:lineRule="auto"/>
              <w:jc w:val="right"/>
              <w:rPr>
                <w:color w:val="000000"/>
                <w:sz w:val="20"/>
                <w:szCs w:val="20"/>
              </w:rPr>
            </w:pPr>
            <w:r w:rsidRPr="00F624E0">
              <w:rPr>
                <w:color w:val="000000"/>
                <w:sz w:val="20"/>
                <w:szCs w:val="20"/>
              </w:rPr>
              <w:t>2,255,479</w:t>
            </w:r>
          </w:p>
        </w:tc>
        <w:tc>
          <w:tcPr>
            <w:tcW w:w="1418" w:type="dxa"/>
            <w:noWrap/>
            <w:vAlign w:val="center"/>
            <w:hideMark/>
          </w:tcPr>
          <w:p w14:paraId="45B29ED7" w14:textId="77777777" w:rsidR="003A7A08" w:rsidRPr="00F624E0" w:rsidRDefault="003A7A08">
            <w:pPr>
              <w:spacing w:line="276" w:lineRule="auto"/>
              <w:jc w:val="right"/>
              <w:rPr>
                <w:color w:val="000000"/>
                <w:sz w:val="20"/>
                <w:szCs w:val="20"/>
              </w:rPr>
            </w:pPr>
            <w:r w:rsidRPr="00F624E0">
              <w:rPr>
                <w:color w:val="000000"/>
                <w:sz w:val="20"/>
                <w:szCs w:val="20"/>
              </w:rPr>
              <w:t xml:space="preserve">$607 </w:t>
            </w:r>
          </w:p>
        </w:tc>
        <w:tc>
          <w:tcPr>
            <w:tcW w:w="1417" w:type="dxa"/>
            <w:noWrap/>
            <w:vAlign w:val="center"/>
            <w:hideMark/>
          </w:tcPr>
          <w:p w14:paraId="70847FE2" w14:textId="77777777" w:rsidR="003A7A08" w:rsidRPr="00F624E0" w:rsidRDefault="003A7A08">
            <w:pPr>
              <w:spacing w:line="276" w:lineRule="auto"/>
              <w:jc w:val="right"/>
              <w:rPr>
                <w:color w:val="000000"/>
                <w:sz w:val="20"/>
                <w:szCs w:val="20"/>
              </w:rPr>
            </w:pPr>
            <w:r w:rsidRPr="00F624E0">
              <w:rPr>
                <w:color w:val="000000"/>
                <w:sz w:val="20"/>
                <w:szCs w:val="20"/>
              </w:rPr>
              <w:t xml:space="preserve">$0 </w:t>
            </w:r>
          </w:p>
        </w:tc>
        <w:tc>
          <w:tcPr>
            <w:tcW w:w="1701" w:type="dxa"/>
            <w:noWrap/>
            <w:vAlign w:val="center"/>
            <w:hideMark/>
          </w:tcPr>
          <w:p w14:paraId="262B02E1" w14:textId="77777777" w:rsidR="003A7A08" w:rsidRPr="00F624E0" w:rsidRDefault="003A7A08">
            <w:pPr>
              <w:spacing w:line="276" w:lineRule="auto"/>
              <w:jc w:val="right"/>
              <w:rPr>
                <w:color w:val="000000"/>
                <w:sz w:val="20"/>
                <w:szCs w:val="20"/>
              </w:rPr>
            </w:pPr>
            <w:r w:rsidRPr="00F624E0">
              <w:rPr>
                <w:color w:val="000000"/>
                <w:sz w:val="20"/>
                <w:szCs w:val="20"/>
              </w:rPr>
              <w:t xml:space="preserve">$0 </w:t>
            </w:r>
          </w:p>
        </w:tc>
        <w:tc>
          <w:tcPr>
            <w:tcW w:w="993" w:type="dxa"/>
            <w:noWrap/>
            <w:vAlign w:val="center"/>
            <w:hideMark/>
          </w:tcPr>
          <w:p w14:paraId="5B1A3C4A" w14:textId="77777777" w:rsidR="003A7A08" w:rsidRPr="00F624E0" w:rsidRDefault="003A7A08">
            <w:pPr>
              <w:spacing w:line="276" w:lineRule="auto"/>
              <w:jc w:val="right"/>
              <w:rPr>
                <w:color w:val="000000"/>
                <w:sz w:val="20"/>
                <w:szCs w:val="20"/>
              </w:rPr>
            </w:pPr>
            <w:r w:rsidRPr="00F624E0">
              <w:rPr>
                <w:color w:val="000000"/>
                <w:sz w:val="20"/>
                <w:szCs w:val="20"/>
              </w:rPr>
              <w:t> </w:t>
            </w:r>
          </w:p>
        </w:tc>
        <w:tc>
          <w:tcPr>
            <w:tcW w:w="1607" w:type="dxa"/>
            <w:noWrap/>
            <w:vAlign w:val="center"/>
            <w:hideMark/>
          </w:tcPr>
          <w:p w14:paraId="1887D8D3" w14:textId="77777777" w:rsidR="003A7A08" w:rsidRPr="00F624E0" w:rsidRDefault="003A7A08">
            <w:pPr>
              <w:spacing w:line="276" w:lineRule="auto"/>
              <w:jc w:val="right"/>
              <w:rPr>
                <w:color w:val="000000"/>
                <w:sz w:val="20"/>
                <w:szCs w:val="20"/>
              </w:rPr>
            </w:pPr>
            <w:r w:rsidRPr="00F624E0">
              <w:rPr>
                <w:color w:val="000000"/>
                <w:sz w:val="20"/>
                <w:szCs w:val="20"/>
              </w:rPr>
              <w:t> </w:t>
            </w:r>
          </w:p>
        </w:tc>
      </w:tr>
      <w:tr w:rsidR="003A7A08" w:rsidRPr="00DD0432" w14:paraId="19812311" w14:textId="77777777">
        <w:trPr>
          <w:trHeight w:val="397"/>
        </w:trPr>
        <w:tc>
          <w:tcPr>
            <w:tcW w:w="2405" w:type="dxa"/>
            <w:noWrap/>
            <w:vAlign w:val="center"/>
            <w:hideMark/>
          </w:tcPr>
          <w:p w14:paraId="42E86C20" w14:textId="77777777" w:rsidR="003A7A08" w:rsidRPr="00F624E0" w:rsidRDefault="003A7A08">
            <w:pPr>
              <w:spacing w:line="276" w:lineRule="auto"/>
              <w:rPr>
                <w:color w:val="000000"/>
                <w:sz w:val="20"/>
                <w:szCs w:val="20"/>
              </w:rPr>
            </w:pPr>
            <w:r w:rsidRPr="00F624E0">
              <w:rPr>
                <w:color w:val="000000"/>
                <w:sz w:val="20"/>
                <w:szCs w:val="20"/>
              </w:rPr>
              <w:t>Low-risk gambling</w:t>
            </w:r>
          </w:p>
        </w:tc>
        <w:tc>
          <w:tcPr>
            <w:tcW w:w="1701" w:type="dxa"/>
            <w:noWrap/>
            <w:vAlign w:val="center"/>
            <w:hideMark/>
          </w:tcPr>
          <w:p w14:paraId="6988EF40" w14:textId="77777777" w:rsidR="003A7A08" w:rsidRPr="00F624E0" w:rsidRDefault="003A7A08">
            <w:pPr>
              <w:spacing w:line="276" w:lineRule="auto"/>
              <w:jc w:val="right"/>
              <w:rPr>
                <w:color w:val="000000"/>
                <w:sz w:val="20"/>
                <w:szCs w:val="20"/>
              </w:rPr>
            </w:pPr>
            <w:r w:rsidRPr="00F624E0">
              <w:rPr>
                <w:color w:val="000000"/>
                <w:sz w:val="20"/>
                <w:szCs w:val="20"/>
              </w:rPr>
              <w:t>255,318</w:t>
            </w:r>
          </w:p>
        </w:tc>
        <w:tc>
          <w:tcPr>
            <w:tcW w:w="1701" w:type="dxa"/>
            <w:noWrap/>
            <w:vAlign w:val="center"/>
            <w:hideMark/>
          </w:tcPr>
          <w:p w14:paraId="454F4C1B" w14:textId="77777777" w:rsidR="003A7A08" w:rsidRPr="00F624E0" w:rsidRDefault="003A7A08">
            <w:pPr>
              <w:spacing w:line="276" w:lineRule="auto"/>
              <w:jc w:val="right"/>
              <w:rPr>
                <w:color w:val="000000"/>
                <w:sz w:val="20"/>
                <w:szCs w:val="20"/>
              </w:rPr>
            </w:pPr>
            <w:r w:rsidRPr="00F624E0">
              <w:rPr>
                <w:color w:val="000000"/>
                <w:sz w:val="20"/>
                <w:szCs w:val="20"/>
              </w:rPr>
              <w:t>3.10</w:t>
            </w:r>
          </w:p>
        </w:tc>
        <w:tc>
          <w:tcPr>
            <w:tcW w:w="1559" w:type="dxa"/>
            <w:noWrap/>
            <w:vAlign w:val="center"/>
            <w:hideMark/>
          </w:tcPr>
          <w:p w14:paraId="0E278A31" w14:textId="77777777" w:rsidR="003A7A08" w:rsidRPr="00F624E0" w:rsidRDefault="003A7A08">
            <w:pPr>
              <w:spacing w:line="276" w:lineRule="auto"/>
              <w:jc w:val="right"/>
              <w:rPr>
                <w:color w:val="000000"/>
                <w:sz w:val="20"/>
                <w:szCs w:val="20"/>
              </w:rPr>
            </w:pPr>
            <w:r w:rsidRPr="00F624E0">
              <w:rPr>
                <w:color w:val="000000"/>
                <w:sz w:val="20"/>
                <w:szCs w:val="20"/>
              </w:rPr>
              <w:t>791,486</w:t>
            </w:r>
          </w:p>
        </w:tc>
        <w:tc>
          <w:tcPr>
            <w:tcW w:w="1418" w:type="dxa"/>
            <w:noWrap/>
            <w:vAlign w:val="center"/>
            <w:hideMark/>
          </w:tcPr>
          <w:p w14:paraId="1DED403C" w14:textId="77777777" w:rsidR="003A7A08" w:rsidRPr="00F624E0" w:rsidRDefault="003A7A08">
            <w:pPr>
              <w:spacing w:line="276" w:lineRule="auto"/>
              <w:jc w:val="right"/>
              <w:rPr>
                <w:color w:val="000000"/>
                <w:sz w:val="20"/>
                <w:szCs w:val="20"/>
              </w:rPr>
            </w:pPr>
            <w:r w:rsidRPr="00F624E0">
              <w:rPr>
                <w:color w:val="000000"/>
                <w:sz w:val="20"/>
                <w:szCs w:val="20"/>
              </w:rPr>
              <w:t xml:space="preserve">$1,882 </w:t>
            </w:r>
          </w:p>
        </w:tc>
        <w:tc>
          <w:tcPr>
            <w:tcW w:w="1417" w:type="dxa"/>
            <w:noWrap/>
            <w:vAlign w:val="center"/>
            <w:hideMark/>
          </w:tcPr>
          <w:p w14:paraId="31C60DBF" w14:textId="77777777" w:rsidR="003A7A08" w:rsidRPr="00F624E0" w:rsidRDefault="003A7A08">
            <w:pPr>
              <w:spacing w:line="276" w:lineRule="auto"/>
              <w:jc w:val="right"/>
              <w:rPr>
                <w:color w:val="000000"/>
                <w:sz w:val="20"/>
                <w:szCs w:val="20"/>
              </w:rPr>
            </w:pPr>
            <w:r w:rsidRPr="00F624E0">
              <w:rPr>
                <w:color w:val="000000"/>
                <w:sz w:val="20"/>
                <w:szCs w:val="20"/>
              </w:rPr>
              <w:t xml:space="preserve">$1,275 </w:t>
            </w:r>
          </w:p>
        </w:tc>
        <w:tc>
          <w:tcPr>
            <w:tcW w:w="1701" w:type="dxa"/>
            <w:noWrap/>
            <w:vAlign w:val="center"/>
            <w:hideMark/>
          </w:tcPr>
          <w:p w14:paraId="160A2AF6" w14:textId="77777777" w:rsidR="003A7A08" w:rsidRPr="00F624E0" w:rsidRDefault="003A7A08">
            <w:pPr>
              <w:spacing w:line="276" w:lineRule="auto"/>
              <w:jc w:val="right"/>
              <w:rPr>
                <w:color w:val="000000"/>
                <w:sz w:val="20"/>
                <w:szCs w:val="20"/>
              </w:rPr>
            </w:pPr>
            <w:r w:rsidRPr="00F624E0">
              <w:rPr>
                <w:color w:val="000000"/>
                <w:sz w:val="20"/>
                <w:szCs w:val="20"/>
              </w:rPr>
              <w:t xml:space="preserve">$325,476,839 </w:t>
            </w:r>
          </w:p>
        </w:tc>
        <w:tc>
          <w:tcPr>
            <w:tcW w:w="993" w:type="dxa"/>
            <w:noWrap/>
            <w:vAlign w:val="center"/>
            <w:hideMark/>
          </w:tcPr>
          <w:p w14:paraId="1F1ED94A" w14:textId="77777777" w:rsidR="003A7A08" w:rsidRPr="00F624E0" w:rsidRDefault="003A7A08">
            <w:pPr>
              <w:spacing w:line="276" w:lineRule="auto"/>
              <w:jc w:val="right"/>
              <w:rPr>
                <w:color w:val="000000"/>
                <w:sz w:val="20"/>
                <w:szCs w:val="20"/>
              </w:rPr>
            </w:pPr>
            <w:r w:rsidRPr="00F624E0">
              <w:rPr>
                <w:color w:val="000000"/>
                <w:sz w:val="20"/>
                <w:szCs w:val="20"/>
              </w:rPr>
              <w:t>40%</w:t>
            </w:r>
          </w:p>
        </w:tc>
        <w:tc>
          <w:tcPr>
            <w:tcW w:w="1607" w:type="dxa"/>
            <w:noWrap/>
            <w:vAlign w:val="center"/>
            <w:hideMark/>
          </w:tcPr>
          <w:p w14:paraId="7D82AF04" w14:textId="77777777" w:rsidR="003A7A08" w:rsidRPr="00F624E0" w:rsidRDefault="003A7A08">
            <w:pPr>
              <w:spacing w:line="276" w:lineRule="auto"/>
              <w:jc w:val="right"/>
              <w:rPr>
                <w:color w:val="000000"/>
                <w:sz w:val="20"/>
                <w:szCs w:val="20"/>
              </w:rPr>
            </w:pPr>
            <w:r w:rsidRPr="00F624E0">
              <w:rPr>
                <w:color w:val="000000"/>
                <w:sz w:val="20"/>
                <w:szCs w:val="20"/>
              </w:rPr>
              <w:t xml:space="preserve">$130,190,736 </w:t>
            </w:r>
          </w:p>
        </w:tc>
      </w:tr>
      <w:tr w:rsidR="003A7A08" w:rsidRPr="00DD0432" w14:paraId="043AA946" w14:textId="77777777">
        <w:trPr>
          <w:trHeight w:val="397"/>
        </w:trPr>
        <w:tc>
          <w:tcPr>
            <w:tcW w:w="2405" w:type="dxa"/>
            <w:noWrap/>
            <w:vAlign w:val="center"/>
            <w:hideMark/>
          </w:tcPr>
          <w:p w14:paraId="0A2B0B56" w14:textId="77777777" w:rsidR="003A7A08" w:rsidRPr="00F624E0" w:rsidRDefault="003A7A08">
            <w:pPr>
              <w:spacing w:line="276" w:lineRule="auto"/>
              <w:rPr>
                <w:color w:val="000000"/>
                <w:sz w:val="20"/>
                <w:szCs w:val="20"/>
              </w:rPr>
            </w:pPr>
            <w:r w:rsidRPr="00F624E0">
              <w:rPr>
                <w:color w:val="000000"/>
                <w:sz w:val="20"/>
                <w:szCs w:val="20"/>
              </w:rPr>
              <w:t>Moderate-risk gambling</w:t>
            </w:r>
          </w:p>
        </w:tc>
        <w:tc>
          <w:tcPr>
            <w:tcW w:w="1701" w:type="dxa"/>
            <w:noWrap/>
            <w:vAlign w:val="center"/>
            <w:hideMark/>
          </w:tcPr>
          <w:p w14:paraId="305E92A6" w14:textId="77777777" w:rsidR="003A7A08" w:rsidRPr="00F624E0" w:rsidRDefault="003A7A08">
            <w:pPr>
              <w:spacing w:line="276" w:lineRule="auto"/>
              <w:jc w:val="right"/>
              <w:rPr>
                <w:color w:val="000000"/>
                <w:sz w:val="20"/>
                <w:szCs w:val="20"/>
              </w:rPr>
            </w:pPr>
            <w:r w:rsidRPr="00F624E0">
              <w:rPr>
                <w:color w:val="000000"/>
                <w:sz w:val="20"/>
                <w:szCs w:val="20"/>
              </w:rPr>
              <w:t>83,492</w:t>
            </w:r>
          </w:p>
        </w:tc>
        <w:tc>
          <w:tcPr>
            <w:tcW w:w="1701" w:type="dxa"/>
            <w:noWrap/>
            <w:vAlign w:val="center"/>
            <w:hideMark/>
          </w:tcPr>
          <w:p w14:paraId="372CAAD2" w14:textId="77777777" w:rsidR="003A7A08" w:rsidRPr="00F624E0" w:rsidRDefault="003A7A08">
            <w:pPr>
              <w:spacing w:line="276" w:lineRule="auto"/>
              <w:jc w:val="right"/>
              <w:rPr>
                <w:color w:val="000000"/>
                <w:sz w:val="20"/>
                <w:szCs w:val="20"/>
              </w:rPr>
            </w:pPr>
            <w:r w:rsidRPr="00F624E0">
              <w:rPr>
                <w:color w:val="000000"/>
                <w:sz w:val="20"/>
                <w:szCs w:val="20"/>
              </w:rPr>
              <w:t>10.50</w:t>
            </w:r>
          </w:p>
        </w:tc>
        <w:tc>
          <w:tcPr>
            <w:tcW w:w="1559" w:type="dxa"/>
            <w:noWrap/>
            <w:vAlign w:val="center"/>
            <w:hideMark/>
          </w:tcPr>
          <w:p w14:paraId="47A1FCD3" w14:textId="77777777" w:rsidR="003A7A08" w:rsidRPr="00F624E0" w:rsidRDefault="003A7A08">
            <w:pPr>
              <w:spacing w:line="276" w:lineRule="auto"/>
              <w:jc w:val="right"/>
              <w:rPr>
                <w:color w:val="000000"/>
                <w:sz w:val="20"/>
                <w:szCs w:val="20"/>
              </w:rPr>
            </w:pPr>
            <w:r w:rsidRPr="00F624E0">
              <w:rPr>
                <w:color w:val="000000"/>
                <w:sz w:val="20"/>
                <w:szCs w:val="20"/>
              </w:rPr>
              <w:t>876,249</w:t>
            </w:r>
          </w:p>
        </w:tc>
        <w:tc>
          <w:tcPr>
            <w:tcW w:w="1418" w:type="dxa"/>
            <w:noWrap/>
            <w:vAlign w:val="center"/>
            <w:hideMark/>
          </w:tcPr>
          <w:p w14:paraId="2C6D0FE2" w14:textId="77777777" w:rsidR="003A7A08" w:rsidRPr="00F624E0" w:rsidRDefault="003A7A08">
            <w:pPr>
              <w:spacing w:line="276" w:lineRule="auto"/>
              <w:jc w:val="right"/>
              <w:rPr>
                <w:color w:val="000000"/>
                <w:sz w:val="20"/>
                <w:szCs w:val="20"/>
              </w:rPr>
            </w:pPr>
            <w:r w:rsidRPr="00F624E0">
              <w:rPr>
                <w:color w:val="000000"/>
                <w:sz w:val="20"/>
                <w:szCs w:val="20"/>
              </w:rPr>
              <w:t xml:space="preserve">$6,371 </w:t>
            </w:r>
          </w:p>
        </w:tc>
        <w:tc>
          <w:tcPr>
            <w:tcW w:w="1417" w:type="dxa"/>
            <w:noWrap/>
            <w:vAlign w:val="center"/>
            <w:hideMark/>
          </w:tcPr>
          <w:p w14:paraId="6F0713C9" w14:textId="77777777" w:rsidR="003A7A08" w:rsidRPr="00F624E0" w:rsidRDefault="003A7A08">
            <w:pPr>
              <w:spacing w:line="276" w:lineRule="auto"/>
              <w:jc w:val="right"/>
              <w:rPr>
                <w:color w:val="000000"/>
                <w:sz w:val="20"/>
                <w:szCs w:val="20"/>
              </w:rPr>
            </w:pPr>
            <w:r w:rsidRPr="00F624E0">
              <w:rPr>
                <w:color w:val="000000"/>
                <w:sz w:val="20"/>
                <w:szCs w:val="20"/>
              </w:rPr>
              <w:t xml:space="preserve">$5,764 </w:t>
            </w:r>
          </w:p>
        </w:tc>
        <w:tc>
          <w:tcPr>
            <w:tcW w:w="1701" w:type="dxa"/>
            <w:noWrap/>
            <w:vAlign w:val="center"/>
            <w:hideMark/>
          </w:tcPr>
          <w:p w14:paraId="7D8EF92E" w14:textId="77777777" w:rsidR="003A7A08" w:rsidRPr="00F624E0" w:rsidRDefault="003A7A08">
            <w:pPr>
              <w:spacing w:line="276" w:lineRule="auto"/>
              <w:jc w:val="right"/>
              <w:rPr>
                <w:color w:val="000000"/>
                <w:sz w:val="20"/>
                <w:szCs w:val="20"/>
              </w:rPr>
            </w:pPr>
            <w:r w:rsidRPr="00F624E0">
              <w:rPr>
                <w:color w:val="000000"/>
                <w:sz w:val="20"/>
                <w:szCs w:val="20"/>
              </w:rPr>
              <w:t xml:space="preserve">$481,237,204 </w:t>
            </w:r>
          </w:p>
        </w:tc>
        <w:tc>
          <w:tcPr>
            <w:tcW w:w="993" w:type="dxa"/>
            <w:noWrap/>
            <w:vAlign w:val="center"/>
            <w:hideMark/>
          </w:tcPr>
          <w:p w14:paraId="70FA60F4" w14:textId="77777777" w:rsidR="003A7A08" w:rsidRPr="00F624E0" w:rsidRDefault="003A7A08">
            <w:pPr>
              <w:spacing w:line="276" w:lineRule="auto"/>
              <w:jc w:val="right"/>
              <w:rPr>
                <w:color w:val="000000"/>
                <w:sz w:val="20"/>
                <w:szCs w:val="20"/>
              </w:rPr>
            </w:pPr>
            <w:r w:rsidRPr="00F624E0">
              <w:rPr>
                <w:color w:val="000000"/>
                <w:sz w:val="20"/>
                <w:szCs w:val="20"/>
              </w:rPr>
              <w:t>80%</w:t>
            </w:r>
          </w:p>
        </w:tc>
        <w:tc>
          <w:tcPr>
            <w:tcW w:w="1607" w:type="dxa"/>
            <w:noWrap/>
            <w:vAlign w:val="center"/>
            <w:hideMark/>
          </w:tcPr>
          <w:p w14:paraId="50666B99" w14:textId="77777777" w:rsidR="003A7A08" w:rsidRPr="00F624E0" w:rsidRDefault="003A7A08">
            <w:pPr>
              <w:spacing w:line="276" w:lineRule="auto"/>
              <w:jc w:val="right"/>
              <w:rPr>
                <w:color w:val="000000"/>
                <w:sz w:val="20"/>
                <w:szCs w:val="20"/>
              </w:rPr>
            </w:pPr>
            <w:r w:rsidRPr="00F624E0">
              <w:rPr>
                <w:color w:val="000000"/>
                <w:sz w:val="20"/>
                <w:szCs w:val="20"/>
              </w:rPr>
              <w:t xml:space="preserve">$384,989,763 </w:t>
            </w:r>
          </w:p>
        </w:tc>
      </w:tr>
      <w:tr w:rsidR="003A7A08" w:rsidRPr="00DD0432" w14:paraId="62CF8A45" w14:textId="77777777">
        <w:trPr>
          <w:trHeight w:val="397"/>
        </w:trPr>
        <w:tc>
          <w:tcPr>
            <w:tcW w:w="2405" w:type="dxa"/>
            <w:noWrap/>
            <w:vAlign w:val="center"/>
            <w:hideMark/>
          </w:tcPr>
          <w:p w14:paraId="597C89FE" w14:textId="77777777" w:rsidR="003A7A08" w:rsidRPr="00F624E0" w:rsidRDefault="003A7A08">
            <w:pPr>
              <w:spacing w:line="276" w:lineRule="auto"/>
              <w:rPr>
                <w:color w:val="000000"/>
                <w:sz w:val="20"/>
                <w:szCs w:val="20"/>
              </w:rPr>
            </w:pPr>
            <w:r w:rsidRPr="00F624E0">
              <w:rPr>
                <w:color w:val="000000"/>
                <w:sz w:val="20"/>
                <w:szCs w:val="20"/>
              </w:rPr>
              <w:t>Problem gambling</w:t>
            </w:r>
          </w:p>
        </w:tc>
        <w:tc>
          <w:tcPr>
            <w:tcW w:w="1701" w:type="dxa"/>
            <w:noWrap/>
            <w:vAlign w:val="center"/>
            <w:hideMark/>
          </w:tcPr>
          <w:p w14:paraId="19C6AB85" w14:textId="77777777" w:rsidR="003A7A08" w:rsidRPr="00F624E0" w:rsidRDefault="003A7A08">
            <w:pPr>
              <w:spacing w:line="276" w:lineRule="auto"/>
              <w:jc w:val="right"/>
              <w:rPr>
                <w:color w:val="000000"/>
                <w:sz w:val="20"/>
                <w:szCs w:val="20"/>
              </w:rPr>
            </w:pPr>
            <w:r w:rsidRPr="00F624E0">
              <w:rPr>
                <w:color w:val="000000"/>
                <w:sz w:val="20"/>
                <w:szCs w:val="20"/>
              </w:rPr>
              <w:t>20,436</w:t>
            </w:r>
          </w:p>
        </w:tc>
        <w:tc>
          <w:tcPr>
            <w:tcW w:w="1701" w:type="dxa"/>
            <w:noWrap/>
            <w:vAlign w:val="center"/>
            <w:hideMark/>
          </w:tcPr>
          <w:p w14:paraId="75AEC369" w14:textId="77777777" w:rsidR="003A7A08" w:rsidRPr="00F624E0" w:rsidRDefault="003A7A08">
            <w:pPr>
              <w:spacing w:line="276" w:lineRule="auto"/>
              <w:jc w:val="right"/>
              <w:rPr>
                <w:color w:val="000000"/>
                <w:sz w:val="20"/>
                <w:szCs w:val="20"/>
              </w:rPr>
            </w:pPr>
            <w:r w:rsidRPr="00F624E0">
              <w:rPr>
                <w:color w:val="000000"/>
                <w:sz w:val="20"/>
                <w:szCs w:val="20"/>
              </w:rPr>
              <w:t>61.63</w:t>
            </w:r>
          </w:p>
        </w:tc>
        <w:tc>
          <w:tcPr>
            <w:tcW w:w="1559" w:type="dxa"/>
            <w:noWrap/>
            <w:vAlign w:val="center"/>
            <w:hideMark/>
          </w:tcPr>
          <w:p w14:paraId="4C8B98E4" w14:textId="77777777" w:rsidR="003A7A08" w:rsidRPr="00F624E0" w:rsidRDefault="003A7A08">
            <w:pPr>
              <w:spacing w:line="276" w:lineRule="auto"/>
              <w:jc w:val="right"/>
              <w:rPr>
                <w:color w:val="000000"/>
                <w:sz w:val="20"/>
                <w:szCs w:val="20"/>
              </w:rPr>
            </w:pPr>
            <w:r w:rsidRPr="00F624E0">
              <w:rPr>
                <w:color w:val="000000"/>
                <w:sz w:val="20"/>
                <w:szCs w:val="20"/>
              </w:rPr>
              <w:t>1,259,522</w:t>
            </w:r>
          </w:p>
        </w:tc>
        <w:tc>
          <w:tcPr>
            <w:tcW w:w="1418" w:type="dxa"/>
            <w:noWrap/>
            <w:vAlign w:val="center"/>
            <w:hideMark/>
          </w:tcPr>
          <w:p w14:paraId="22754583" w14:textId="77777777" w:rsidR="003A7A08" w:rsidRPr="00F624E0" w:rsidRDefault="003A7A08">
            <w:pPr>
              <w:spacing w:line="276" w:lineRule="auto"/>
              <w:jc w:val="right"/>
              <w:rPr>
                <w:color w:val="000000"/>
                <w:sz w:val="20"/>
                <w:szCs w:val="20"/>
              </w:rPr>
            </w:pPr>
            <w:r w:rsidRPr="00F624E0">
              <w:rPr>
                <w:color w:val="000000"/>
                <w:sz w:val="20"/>
                <w:szCs w:val="20"/>
              </w:rPr>
              <w:t xml:space="preserve">$37,414 </w:t>
            </w:r>
          </w:p>
        </w:tc>
        <w:tc>
          <w:tcPr>
            <w:tcW w:w="1417" w:type="dxa"/>
            <w:noWrap/>
            <w:vAlign w:val="center"/>
            <w:hideMark/>
          </w:tcPr>
          <w:p w14:paraId="07F86E89" w14:textId="77777777" w:rsidR="003A7A08" w:rsidRPr="00F624E0" w:rsidRDefault="003A7A08">
            <w:pPr>
              <w:spacing w:line="276" w:lineRule="auto"/>
              <w:jc w:val="right"/>
              <w:rPr>
                <w:color w:val="000000"/>
                <w:sz w:val="20"/>
                <w:szCs w:val="20"/>
              </w:rPr>
            </w:pPr>
            <w:r w:rsidRPr="00F624E0">
              <w:rPr>
                <w:color w:val="000000"/>
                <w:sz w:val="20"/>
                <w:szCs w:val="20"/>
              </w:rPr>
              <w:t xml:space="preserve">$36,807 </w:t>
            </w:r>
          </w:p>
        </w:tc>
        <w:tc>
          <w:tcPr>
            <w:tcW w:w="1701" w:type="dxa"/>
            <w:noWrap/>
            <w:vAlign w:val="center"/>
            <w:hideMark/>
          </w:tcPr>
          <w:p w14:paraId="60B53D3B" w14:textId="77777777" w:rsidR="003A7A08" w:rsidRPr="00F624E0" w:rsidRDefault="003A7A08">
            <w:pPr>
              <w:spacing w:line="276" w:lineRule="auto"/>
              <w:jc w:val="right"/>
              <w:rPr>
                <w:b/>
                <w:bCs/>
                <w:color w:val="000000"/>
                <w:sz w:val="20"/>
                <w:szCs w:val="20"/>
              </w:rPr>
            </w:pPr>
            <w:r w:rsidRPr="00F624E0">
              <w:rPr>
                <w:b/>
                <w:bCs/>
                <w:color w:val="000000"/>
                <w:sz w:val="20"/>
                <w:szCs w:val="20"/>
              </w:rPr>
              <w:t xml:space="preserve">$752,178,179 </w:t>
            </w:r>
          </w:p>
        </w:tc>
        <w:tc>
          <w:tcPr>
            <w:tcW w:w="993" w:type="dxa"/>
            <w:noWrap/>
            <w:vAlign w:val="center"/>
            <w:hideMark/>
          </w:tcPr>
          <w:p w14:paraId="23FAFADE" w14:textId="77777777" w:rsidR="003A7A08" w:rsidRPr="00F624E0" w:rsidRDefault="003A7A08">
            <w:pPr>
              <w:spacing w:line="276" w:lineRule="auto"/>
              <w:jc w:val="right"/>
              <w:rPr>
                <w:color w:val="000000"/>
                <w:sz w:val="20"/>
                <w:szCs w:val="20"/>
              </w:rPr>
            </w:pPr>
            <w:r w:rsidRPr="00F624E0">
              <w:rPr>
                <w:color w:val="000000"/>
                <w:sz w:val="20"/>
                <w:szCs w:val="20"/>
              </w:rPr>
              <w:t>90%</w:t>
            </w:r>
          </w:p>
        </w:tc>
        <w:tc>
          <w:tcPr>
            <w:tcW w:w="1607" w:type="dxa"/>
            <w:noWrap/>
            <w:vAlign w:val="center"/>
            <w:hideMark/>
          </w:tcPr>
          <w:p w14:paraId="6E76E8D8" w14:textId="77777777" w:rsidR="003A7A08" w:rsidRPr="00F624E0" w:rsidRDefault="003A7A08">
            <w:pPr>
              <w:spacing w:line="276" w:lineRule="auto"/>
              <w:jc w:val="right"/>
              <w:rPr>
                <w:color w:val="000000"/>
                <w:sz w:val="20"/>
                <w:szCs w:val="20"/>
              </w:rPr>
            </w:pPr>
            <w:r w:rsidRPr="00F624E0">
              <w:rPr>
                <w:color w:val="000000"/>
                <w:sz w:val="20"/>
                <w:szCs w:val="20"/>
              </w:rPr>
              <w:t xml:space="preserve">$676,960,361 </w:t>
            </w:r>
          </w:p>
        </w:tc>
      </w:tr>
      <w:tr w:rsidR="003A7A08" w:rsidRPr="00DD0432" w14:paraId="4E658FF2" w14:textId="77777777">
        <w:trPr>
          <w:trHeight w:val="397"/>
        </w:trPr>
        <w:tc>
          <w:tcPr>
            <w:tcW w:w="2405" w:type="dxa"/>
            <w:noWrap/>
            <w:vAlign w:val="center"/>
            <w:hideMark/>
          </w:tcPr>
          <w:p w14:paraId="4EF8772C" w14:textId="77777777" w:rsidR="003A7A08" w:rsidRPr="00F624E0" w:rsidRDefault="003A7A08">
            <w:pPr>
              <w:spacing w:line="276" w:lineRule="auto"/>
              <w:rPr>
                <w:b/>
                <w:bCs/>
                <w:color w:val="000000"/>
                <w:sz w:val="20"/>
                <w:szCs w:val="20"/>
              </w:rPr>
            </w:pPr>
            <w:r w:rsidRPr="00F624E0">
              <w:rPr>
                <w:b/>
                <w:bCs/>
                <w:color w:val="000000"/>
                <w:sz w:val="20"/>
                <w:szCs w:val="20"/>
              </w:rPr>
              <w:t>Total</w:t>
            </w:r>
          </w:p>
        </w:tc>
        <w:tc>
          <w:tcPr>
            <w:tcW w:w="1701" w:type="dxa"/>
            <w:noWrap/>
            <w:vAlign w:val="center"/>
            <w:hideMark/>
          </w:tcPr>
          <w:p w14:paraId="2D00A15C" w14:textId="77777777" w:rsidR="003A7A08" w:rsidRPr="00F624E0" w:rsidRDefault="003A7A08">
            <w:pPr>
              <w:spacing w:line="276" w:lineRule="auto"/>
              <w:jc w:val="right"/>
              <w:rPr>
                <w:b/>
                <w:bCs/>
                <w:color w:val="000000"/>
                <w:sz w:val="20"/>
                <w:szCs w:val="20"/>
              </w:rPr>
            </w:pPr>
            <w:r w:rsidRPr="00F624E0">
              <w:rPr>
                <w:b/>
                <w:bCs/>
                <w:color w:val="000000"/>
                <w:sz w:val="20"/>
                <w:szCs w:val="20"/>
              </w:rPr>
              <w:t>2,614,725</w:t>
            </w:r>
          </w:p>
        </w:tc>
        <w:tc>
          <w:tcPr>
            <w:tcW w:w="1701" w:type="dxa"/>
            <w:noWrap/>
            <w:vAlign w:val="center"/>
            <w:hideMark/>
          </w:tcPr>
          <w:p w14:paraId="0C3B201D" w14:textId="77777777" w:rsidR="003A7A08" w:rsidRPr="00F624E0" w:rsidRDefault="003A7A08">
            <w:pPr>
              <w:spacing w:line="276" w:lineRule="auto"/>
              <w:jc w:val="right"/>
              <w:rPr>
                <w:b/>
                <w:bCs/>
                <w:color w:val="000000"/>
                <w:sz w:val="20"/>
                <w:szCs w:val="20"/>
              </w:rPr>
            </w:pPr>
            <w:r w:rsidRPr="00F624E0">
              <w:rPr>
                <w:b/>
                <w:bCs/>
                <w:color w:val="000000"/>
                <w:sz w:val="20"/>
                <w:szCs w:val="20"/>
              </w:rPr>
              <w:t> </w:t>
            </w:r>
          </w:p>
        </w:tc>
        <w:tc>
          <w:tcPr>
            <w:tcW w:w="1559" w:type="dxa"/>
            <w:noWrap/>
            <w:vAlign w:val="center"/>
            <w:hideMark/>
          </w:tcPr>
          <w:p w14:paraId="534BBC45" w14:textId="77777777" w:rsidR="003A7A08" w:rsidRPr="00F624E0" w:rsidRDefault="003A7A08">
            <w:pPr>
              <w:spacing w:line="276" w:lineRule="auto"/>
              <w:jc w:val="right"/>
              <w:rPr>
                <w:b/>
                <w:bCs/>
                <w:color w:val="000000"/>
                <w:sz w:val="20"/>
                <w:szCs w:val="20"/>
              </w:rPr>
            </w:pPr>
            <w:r w:rsidRPr="00F624E0">
              <w:rPr>
                <w:b/>
                <w:bCs/>
                <w:color w:val="000000"/>
                <w:sz w:val="20"/>
                <w:szCs w:val="20"/>
              </w:rPr>
              <w:t>5,182,348</w:t>
            </w:r>
          </w:p>
        </w:tc>
        <w:tc>
          <w:tcPr>
            <w:tcW w:w="1418" w:type="dxa"/>
            <w:noWrap/>
            <w:vAlign w:val="center"/>
            <w:hideMark/>
          </w:tcPr>
          <w:p w14:paraId="1B8284B3" w14:textId="77777777" w:rsidR="003A7A08" w:rsidRPr="00F624E0" w:rsidRDefault="003A7A08">
            <w:pPr>
              <w:spacing w:line="276" w:lineRule="auto"/>
              <w:jc w:val="right"/>
              <w:rPr>
                <w:color w:val="000000"/>
                <w:sz w:val="20"/>
                <w:szCs w:val="20"/>
              </w:rPr>
            </w:pPr>
            <w:r w:rsidRPr="00F624E0">
              <w:rPr>
                <w:color w:val="000000"/>
                <w:sz w:val="20"/>
                <w:szCs w:val="20"/>
              </w:rPr>
              <w:t> </w:t>
            </w:r>
          </w:p>
        </w:tc>
        <w:tc>
          <w:tcPr>
            <w:tcW w:w="1417" w:type="dxa"/>
            <w:noWrap/>
            <w:vAlign w:val="center"/>
            <w:hideMark/>
          </w:tcPr>
          <w:p w14:paraId="79299480" w14:textId="77777777" w:rsidR="003A7A08" w:rsidRPr="00F624E0" w:rsidRDefault="003A7A08">
            <w:pPr>
              <w:spacing w:line="276" w:lineRule="auto"/>
              <w:jc w:val="right"/>
              <w:rPr>
                <w:color w:val="000000"/>
                <w:sz w:val="20"/>
                <w:szCs w:val="20"/>
              </w:rPr>
            </w:pPr>
            <w:r w:rsidRPr="00F624E0">
              <w:rPr>
                <w:color w:val="000000"/>
                <w:sz w:val="20"/>
                <w:szCs w:val="20"/>
              </w:rPr>
              <w:t> </w:t>
            </w:r>
          </w:p>
        </w:tc>
        <w:tc>
          <w:tcPr>
            <w:tcW w:w="1701" w:type="dxa"/>
            <w:noWrap/>
            <w:vAlign w:val="center"/>
            <w:hideMark/>
          </w:tcPr>
          <w:p w14:paraId="4B32EBA9" w14:textId="77777777" w:rsidR="003A7A08" w:rsidRPr="00F624E0" w:rsidRDefault="003A7A08">
            <w:pPr>
              <w:spacing w:line="276" w:lineRule="auto"/>
              <w:jc w:val="right"/>
              <w:rPr>
                <w:b/>
                <w:bCs/>
                <w:color w:val="000000"/>
                <w:sz w:val="20"/>
                <w:szCs w:val="20"/>
              </w:rPr>
            </w:pPr>
            <w:r w:rsidRPr="00F624E0">
              <w:rPr>
                <w:b/>
                <w:bCs/>
                <w:color w:val="000000"/>
                <w:sz w:val="20"/>
                <w:szCs w:val="20"/>
              </w:rPr>
              <w:t xml:space="preserve">$1,558,892,222 </w:t>
            </w:r>
          </w:p>
        </w:tc>
        <w:tc>
          <w:tcPr>
            <w:tcW w:w="993" w:type="dxa"/>
            <w:noWrap/>
            <w:vAlign w:val="center"/>
            <w:hideMark/>
          </w:tcPr>
          <w:p w14:paraId="7B87814A" w14:textId="77777777" w:rsidR="003A7A08" w:rsidRPr="00F624E0" w:rsidRDefault="003A7A08">
            <w:pPr>
              <w:spacing w:line="276" w:lineRule="auto"/>
              <w:jc w:val="right"/>
              <w:rPr>
                <w:color w:val="000000"/>
                <w:sz w:val="20"/>
                <w:szCs w:val="20"/>
              </w:rPr>
            </w:pPr>
            <w:r w:rsidRPr="00F624E0">
              <w:rPr>
                <w:color w:val="000000"/>
                <w:sz w:val="20"/>
                <w:szCs w:val="20"/>
              </w:rPr>
              <w:t> </w:t>
            </w:r>
          </w:p>
        </w:tc>
        <w:tc>
          <w:tcPr>
            <w:tcW w:w="1607" w:type="dxa"/>
            <w:noWrap/>
            <w:vAlign w:val="center"/>
            <w:hideMark/>
          </w:tcPr>
          <w:p w14:paraId="1877FE5A" w14:textId="77777777" w:rsidR="003A7A08" w:rsidRPr="00F624E0" w:rsidRDefault="003A7A08">
            <w:pPr>
              <w:spacing w:line="276" w:lineRule="auto"/>
              <w:jc w:val="right"/>
              <w:rPr>
                <w:b/>
                <w:bCs/>
                <w:color w:val="000000"/>
                <w:sz w:val="20"/>
                <w:szCs w:val="20"/>
              </w:rPr>
            </w:pPr>
            <w:r w:rsidRPr="00F624E0">
              <w:rPr>
                <w:b/>
                <w:bCs/>
                <w:color w:val="000000"/>
                <w:sz w:val="20"/>
                <w:szCs w:val="20"/>
              </w:rPr>
              <w:t xml:space="preserve">$1,192,140,860 </w:t>
            </w:r>
          </w:p>
        </w:tc>
      </w:tr>
      <w:tr w:rsidR="003A7A08" w:rsidRPr="00DD0432" w14:paraId="0B2DAAD3" w14:textId="77777777">
        <w:trPr>
          <w:trHeight w:val="397"/>
        </w:trPr>
        <w:tc>
          <w:tcPr>
            <w:tcW w:w="2405" w:type="dxa"/>
            <w:noWrap/>
            <w:vAlign w:val="center"/>
            <w:hideMark/>
          </w:tcPr>
          <w:p w14:paraId="29501B2B" w14:textId="77777777" w:rsidR="003A7A08" w:rsidRPr="00F624E0" w:rsidRDefault="003A7A08">
            <w:pPr>
              <w:spacing w:line="276" w:lineRule="auto"/>
              <w:rPr>
                <w:color w:val="000000"/>
                <w:sz w:val="20"/>
                <w:szCs w:val="20"/>
              </w:rPr>
            </w:pPr>
            <w:r w:rsidRPr="00F624E0">
              <w:rPr>
                <w:color w:val="000000"/>
                <w:sz w:val="20"/>
                <w:szCs w:val="20"/>
              </w:rPr>
              <w:t>Total losses:</w:t>
            </w:r>
          </w:p>
        </w:tc>
        <w:tc>
          <w:tcPr>
            <w:tcW w:w="1701" w:type="dxa"/>
            <w:noWrap/>
            <w:vAlign w:val="center"/>
            <w:hideMark/>
          </w:tcPr>
          <w:p w14:paraId="012F1BD0" w14:textId="77777777" w:rsidR="003A7A08" w:rsidRPr="00F624E0" w:rsidRDefault="003A7A08">
            <w:pPr>
              <w:spacing w:line="276" w:lineRule="auto"/>
              <w:jc w:val="right"/>
              <w:rPr>
                <w:color w:val="000000"/>
                <w:sz w:val="20"/>
                <w:szCs w:val="20"/>
              </w:rPr>
            </w:pPr>
            <w:r w:rsidRPr="00F624E0">
              <w:rPr>
                <w:color w:val="000000"/>
                <w:sz w:val="20"/>
                <w:szCs w:val="20"/>
              </w:rPr>
              <w:t xml:space="preserve">$3,145,907,392 </w:t>
            </w:r>
          </w:p>
        </w:tc>
        <w:tc>
          <w:tcPr>
            <w:tcW w:w="1701" w:type="dxa"/>
            <w:noWrap/>
            <w:vAlign w:val="center"/>
            <w:hideMark/>
          </w:tcPr>
          <w:p w14:paraId="074AB037" w14:textId="77777777" w:rsidR="003A7A08" w:rsidRPr="00F624E0" w:rsidRDefault="003A7A08">
            <w:pPr>
              <w:spacing w:line="276" w:lineRule="auto"/>
              <w:jc w:val="right"/>
              <w:rPr>
                <w:color w:val="000000"/>
                <w:sz w:val="20"/>
                <w:szCs w:val="20"/>
              </w:rPr>
            </w:pPr>
          </w:p>
        </w:tc>
        <w:tc>
          <w:tcPr>
            <w:tcW w:w="1559" w:type="dxa"/>
            <w:noWrap/>
            <w:vAlign w:val="center"/>
            <w:hideMark/>
          </w:tcPr>
          <w:p w14:paraId="5756E38E" w14:textId="77777777" w:rsidR="003A7A08" w:rsidRPr="00F624E0" w:rsidRDefault="003A7A08">
            <w:pPr>
              <w:spacing w:line="276" w:lineRule="auto"/>
              <w:jc w:val="right"/>
              <w:rPr>
                <w:color w:val="000000"/>
                <w:sz w:val="20"/>
                <w:szCs w:val="20"/>
              </w:rPr>
            </w:pPr>
          </w:p>
        </w:tc>
        <w:tc>
          <w:tcPr>
            <w:tcW w:w="1418" w:type="dxa"/>
            <w:noWrap/>
            <w:vAlign w:val="center"/>
            <w:hideMark/>
          </w:tcPr>
          <w:p w14:paraId="3B649F0F" w14:textId="77777777" w:rsidR="003A7A08" w:rsidRPr="00F624E0" w:rsidRDefault="003A7A08">
            <w:pPr>
              <w:spacing w:line="276" w:lineRule="auto"/>
              <w:jc w:val="right"/>
              <w:rPr>
                <w:color w:val="000000"/>
                <w:sz w:val="20"/>
                <w:szCs w:val="20"/>
              </w:rPr>
            </w:pPr>
            <w:r w:rsidRPr="00F624E0">
              <w:rPr>
                <w:color w:val="000000"/>
                <w:sz w:val="20"/>
                <w:szCs w:val="20"/>
              </w:rPr>
              <w:t> </w:t>
            </w:r>
          </w:p>
        </w:tc>
        <w:tc>
          <w:tcPr>
            <w:tcW w:w="1417" w:type="dxa"/>
            <w:noWrap/>
            <w:vAlign w:val="center"/>
            <w:hideMark/>
          </w:tcPr>
          <w:p w14:paraId="1E36C3DD" w14:textId="77777777" w:rsidR="003A7A08" w:rsidRPr="00F624E0" w:rsidRDefault="003A7A08">
            <w:pPr>
              <w:spacing w:line="276" w:lineRule="auto"/>
              <w:jc w:val="right"/>
              <w:rPr>
                <w:color w:val="000000"/>
                <w:sz w:val="20"/>
                <w:szCs w:val="20"/>
              </w:rPr>
            </w:pPr>
            <w:r w:rsidRPr="00F624E0">
              <w:rPr>
                <w:color w:val="000000"/>
                <w:sz w:val="20"/>
                <w:szCs w:val="20"/>
              </w:rPr>
              <w:t> </w:t>
            </w:r>
          </w:p>
        </w:tc>
        <w:tc>
          <w:tcPr>
            <w:tcW w:w="1701" w:type="dxa"/>
            <w:noWrap/>
            <w:vAlign w:val="center"/>
            <w:hideMark/>
          </w:tcPr>
          <w:p w14:paraId="3604BEB7" w14:textId="77777777" w:rsidR="003A7A08" w:rsidRPr="00F624E0" w:rsidRDefault="003A7A08">
            <w:pPr>
              <w:spacing w:line="276" w:lineRule="auto"/>
              <w:jc w:val="right"/>
              <w:rPr>
                <w:color w:val="000000"/>
                <w:sz w:val="20"/>
                <w:szCs w:val="20"/>
              </w:rPr>
            </w:pPr>
            <w:r w:rsidRPr="00F624E0">
              <w:rPr>
                <w:color w:val="000000"/>
                <w:sz w:val="20"/>
                <w:szCs w:val="20"/>
              </w:rPr>
              <w:t> </w:t>
            </w:r>
          </w:p>
        </w:tc>
        <w:tc>
          <w:tcPr>
            <w:tcW w:w="993" w:type="dxa"/>
            <w:noWrap/>
            <w:vAlign w:val="center"/>
            <w:hideMark/>
          </w:tcPr>
          <w:p w14:paraId="6F154C9E" w14:textId="77777777" w:rsidR="003A7A08" w:rsidRPr="00F624E0" w:rsidRDefault="003A7A08">
            <w:pPr>
              <w:spacing w:line="276" w:lineRule="auto"/>
              <w:jc w:val="right"/>
              <w:rPr>
                <w:color w:val="000000"/>
                <w:sz w:val="20"/>
                <w:szCs w:val="20"/>
              </w:rPr>
            </w:pPr>
            <w:r w:rsidRPr="00F624E0">
              <w:rPr>
                <w:color w:val="000000"/>
                <w:sz w:val="20"/>
                <w:szCs w:val="20"/>
              </w:rPr>
              <w:t> </w:t>
            </w:r>
          </w:p>
        </w:tc>
        <w:tc>
          <w:tcPr>
            <w:tcW w:w="1607" w:type="dxa"/>
            <w:noWrap/>
            <w:vAlign w:val="center"/>
            <w:hideMark/>
          </w:tcPr>
          <w:p w14:paraId="1F2936F2" w14:textId="77777777" w:rsidR="003A7A08" w:rsidRPr="00F624E0" w:rsidRDefault="003A7A08">
            <w:pPr>
              <w:spacing w:line="276" w:lineRule="auto"/>
              <w:jc w:val="right"/>
              <w:rPr>
                <w:color w:val="000000"/>
                <w:sz w:val="20"/>
                <w:szCs w:val="20"/>
              </w:rPr>
            </w:pPr>
            <w:r w:rsidRPr="00F624E0">
              <w:rPr>
                <w:color w:val="000000"/>
                <w:sz w:val="20"/>
                <w:szCs w:val="20"/>
              </w:rPr>
              <w:t> </w:t>
            </w:r>
          </w:p>
        </w:tc>
      </w:tr>
      <w:tr w:rsidR="003A7A08" w:rsidRPr="00DD0432" w14:paraId="7CF0999A" w14:textId="77777777">
        <w:trPr>
          <w:trHeight w:val="397"/>
        </w:trPr>
        <w:tc>
          <w:tcPr>
            <w:tcW w:w="2405" w:type="dxa"/>
            <w:noWrap/>
            <w:vAlign w:val="center"/>
          </w:tcPr>
          <w:p w14:paraId="71FF0A03" w14:textId="77777777" w:rsidR="003A7A08" w:rsidRPr="00F624E0" w:rsidRDefault="003A7A08">
            <w:pPr>
              <w:spacing w:line="276" w:lineRule="auto"/>
              <w:rPr>
                <w:color w:val="000000"/>
                <w:sz w:val="20"/>
                <w:szCs w:val="20"/>
              </w:rPr>
            </w:pPr>
            <w:r w:rsidRPr="00F624E0">
              <w:rPr>
                <w:color w:val="000000"/>
                <w:sz w:val="20"/>
                <w:szCs w:val="20"/>
              </w:rPr>
              <w:t>Loss per share:</w:t>
            </w:r>
          </w:p>
        </w:tc>
        <w:tc>
          <w:tcPr>
            <w:tcW w:w="1701" w:type="dxa"/>
            <w:noWrap/>
            <w:vAlign w:val="center"/>
          </w:tcPr>
          <w:p w14:paraId="602FF91E" w14:textId="77777777" w:rsidR="003A7A08" w:rsidRPr="00F624E0" w:rsidRDefault="003A7A08">
            <w:pPr>
              <w:spacing w:line="276" w:lineRule="auto"/>
              <w:jc w:val="right"/>
              <w:rPr>
                <w:color w:val="000000"/>
                <w:sz w:val="20"/>
                <w:szCs w:val="20"/>
              </w:rPr>
            </w:pPr>
          </w:p>
        </w:tc>
        <w:tc>
          <w:tcPr>
            <w:tcW w:w="1701" w:type="dxa"/>
            <w:noWrap/>
            <w:vAlign w:val="center"/>
          </w:tcPr>
          <w:p w14:paraId="2B74E09F" w14:textId="77777777" w:rsidR="003A7A08" w:rsidRPr="00F624E0" w:rsidRDefault="003A7A08">
            <w:pPr>
              <w:spacing w:line="276" w:lineRule="auto"/>
              <w:jc w:val="right"/>
              <w:rPr>
                <w:color w:val="000000"/>
                <w:sz w:val="20"/>
                <w:szCs w:val="20"/>
              </w:rPr>
            </w:pPr>
          </w:p>
        </w:tc>
        <w:tc>
          <w:tcPr>
            <w:tcW w:w="1559" w:type="dxa"/>
            <w:noWrap/>
            <w:vAlign w:val="center"/>
          </w:tcPr>
          <w:p w14:paraId="3DD9FCBE" w14:textId="77777777" w:rsidR="003A7A08" w:rsidRPr="00F624E0" w:rsidRDefault="003A7A08">
            <w:pPr>
              <w:spacing w:line="276" w:lineRule="auto"/>
              <w:jc w:val="right"/>
              <w:rPr>
                <w:color w:val="000000"/>
                <w:sz w:val="20"/>
                <w:szCs w:val="20"/>
              </w:rPr>
            </w:pPr>
            <w:r w:rsidRPr="00F624E0">
              <w:rPr>
                <w:color w:val="000000"/>
                <w:sz w:val="20"/>
                <w:szCs w:val="20"/>
              </w:rPr>
              <w:t>$607</w:t>
            </w:r>
          </w:p>
        </w:tc>
        <w:tc>
          <w:tcPr>
            <w:tcW w:w="1418" w:type="dxa"/>
            <w:noWrap/>
            <w:vAlign w:val="center"/>
          </w:tcPr>
          <w:p w14:paraId="6EC1DBB7" w14:textId="77777777" w:rsidR="003A7A08" w:rsidRPr="00F624E0" w:rsidRDefault="003A7A08">
            <w:pPr>
              <w:spacing w:line="276" w:lineRule="auto"/>
              <w:jc w:val="right"/>
              <w:rPr>
                <w:color w:val="000000"/>
                <w:sz w:val="20"/>
                <w:szCs w:val="20"/>
              </w:rPr>
            </w:pPr>
          </w:p>
        </w:tc>
        <w:tc>
          <w:tcPr>
            <w:tcW w:w="1417" w:type="dxa"/>
            <w:noWrap/>
            <w:vAlign w:val="center"/>
          </w:tcPr>
          <w:p w14:paraId="1E16DB64" w14:textId="77777777" w:rsidR="003A7A08" w:rsidRPr="00F624E0" w:rsidRDefault="003A7A08">
            <w:pPr>
              <w:spacing w:line="276" w:lineRule="auto"/>
              <w:jc w:val="right"/>
              <w:rPr>
                <w:sz w:val="20"/>
                <w:szCs w:val="20"/>
              </w:rPr>
            </w:pPr>
          </w:p>
        </w:tc>
        <w:tc>
          <w:tcPr>
            <w:tcW w:w="1701" w:type="dxa"/>
            <w:noWrap/>
            <w:vAlign w:val="center"/>
          </w:tcPr>
          <w:p w14:paraId="6DEB51FC" w14:textId="77777777" w:rsidR="003A7A08" w:rsidRPr="00F624E0" w:rsidRDefault="003A7A08">
            <w:pPr>
              <w:spacing w:line="276" w:lineRule="auto"/>
              <w:jc w:val="right"/>
              <w:rPr>
                <w:sz w:val="20"/>
                <w:szCs w:val="20"/>
              </w:rPr>
            </w:pPr>
          </w:p>
        </w:tc>
        <w:tc>
          <w:tcPr>
            <w:tcW w:w="993" w:type="dxa"/>
            <w:noWrap/>
            <w:vAlign w:val="center"/>
          </w:tcPr>
          <w:p w14:paraId="77B51566" w14:textId="77777777" w:rsidR="003A7A08" w:rsidRPr="00F624E0" w:rsidRDefault="003A7A08">
            <w:pPr>
              <w:spacing w:line="276" w:lineRule="auto"/>
              <w:jc w:val="right"/>
              <w:rPr>
                <w:sz w:val="20"/>
                <w:szCs w:val="20"/>
              </w:rPr>
            </w:pPr>
          </w:p>
        </w:tc>
        <w:tc>
          <w:tcPr>
            <w:tcW w:w="1607" w:type="dxa"/>
            <w:noWrap/>
            <w:vAlign w:val="center"/>
          </w:tcPr>
          <w:p w14:paraId="7902D69F" w14:textId="77777777" w:rsidR="003A7A08" w:rsidRPr="00F624E0" w:rsidRDefault="003A7A08">
            <w:pPr>
              <w:spacing w:line="276" w:lineRule="auto"/>
              <w:jc w:val="right"/>
              <w:rPr>
                <w:color w:val="000000"/>
                <w:sz w:val="20"/>
                <w:szCs w:val="20"/>
              </w:rPr>
            </w:pPr>
          </w:p>
        </w:tc>
      </w:tr>
      <w:tr w:rsidR="003A7A08" w:rsidRPr="00DD0432" w14:paraId="4AA3C37A" w14:textId="77777777">
        <w:trPr>
          <w:trHeight w:val="397"/>
        </w:trPr>
        <w:tc>
          <w:tcPr>
            <w:tcW w:w="2405" w:type="dxa"/>
            <w:noWrap/>
            <w:vAlign w:val="center"/>
            <w:hideMark/>
          </w:tcPr>
          <w:p w14:paraId="3541B549" w14:textId="77777777" w:rsidR="003A7A08" w:rsidRPr="00F624E0" w:rsidRDefault="003A7A08">
            <w:pPr>
              <w:spacing w:line="276" w:lineRule="auto"/>
              <w:rPr>
                <w:color w:val="000000"/>
                <w:sz w:val="20"/>
                <w:szCs w:val="20"/>
              </w:rPr>
            </w:pPr>
            <w:r w:rsidRPr="00F624E0">
              <w:rPr>
                <w:color w:val="000000"/>
                <w:sz w:val="20"/>
                <w:szCs w:val="20"/>
              </w:rPr>
              <w:t xml:space="preserve">Total loss per capita </w:t>
            </w:r>
          </w:p>
        </w:tc>
        <w:tc>
          <w:tcPr>
            <w:tcW w:w="1701" w:type="dxa"/>
            <w:noWrap/>
            <w:vAlign w:val="center"/>
            <w:hideMark/>
          </w:tcPr>
          <w:p w14:paraId="34D4939A" w14:textId="77777777" w:rsidR="003A7A08" w:rsidRPr="00F624E0" w:rsidRDefault="003A7A08">
            <w:pPr>
              <w:spacing w:line="276" w:lineRule="auto"/>
              <w:jc w:val="right"/>
              <w:rPr>
                <w:color w:val="000000"/>
                <w:sz w:val="20"/>
                <w:szCs w:val="20"/>
              </w:rPr>
            </w:pPr>
            <w:r w:rsidRPr="00F624E0">
              <w:rPr>
                <w:color w:val="000000"/>
                <w:sz w:val="20"/>
                <w:szCs w:val="20"/>
              </w:rPr>
              <w:t> </w:t>
            </w:r>
          </w:p>
        </w:tc>
        <w:tc>
          <w:tcPr>
            <w:tcW w:w="1701" w:type="dxa"/>
            <w:noWrap/>
            <w:vAlign w:val="center"/>
            <w:hideMark/>
          </w:tcPr>
          <w:p w14:paraId="5A2F4BDE" w14:textId="77777777" w:rsidR="003A7A08" w:rsidRPr="00F624E0" w:rsidRDefault="003A7A08">
            <w:pPr>
              <w:spacing w:line="276" w:lineRule="auto"/>
              <w:jc w:val="right"/>
              <w:rPr>
                <w:color w:val="000000"/>
                <w:sz w:val="20"/>
                <w:szCs w:val="20"/>
              </w:rPr>
            </w:pPr>
          </w:p>
        </w:tc>
        <w:tc>
          <w:tcPr>
            <w:tcW w:w="1559" w:type="dxa"/>
            <w:noWrap/>
            <w:vAlign w:val="center"/>
            <w:hideMark/>
          </w:tcPr>
          <w:p w14:paraId="637E6414" w14:textId="77777777" w:rsidR="003A7A08" w:rsidRPr="00F624E0" w:rsidRDefault="003A7A08">
            <w:pPr>
              <w:spacing w:line="276" w:lineRule="auto"/>
              <w:jc w:val="right"/>
              <w:rPr>
                <w:color w:val="000000"/>
                <w:sz w:val="20"/>
                <w:szCs w:val="20"/>
              </w:rPr>
            </w:pPr>
            <w:r w:rsidRPr="00F624E0">
              <w:rPr>
                <w:color w:val="000000"/>
                <w:sz w:val="20"/>
                <w:szCs w:val="20"/>
              </w:rPr>
              <w:t>$584 </w:t>
            </w:r>
          </w:p>
        </w:tc>
        <w:tc>
          <w:tcPr>
            <w:tcW w:w="1418" w:type="dxa"/>
            <w:noWrap/>
            <w:vAlign w:val="center"/>
            <w:hideMark/>
          </w:tcPr>
          <w:p w14:paraId="02D24AB5" w14:textId="77777777" w:rsidR="003A7A08" w:rsidRPr="00F624E0" w:rsidRDefault="003A7A08">
            <w:pPr>
              <w:spacing w:line="276" w:lineRule="auto"/>
              <w:jc w:val="right"/>
              <w:rPr>
                <w:color w:val="000000"/>
                <w:sz w:val="20"/>
                <w:szCs w:val="20"/>
              </w:rPr>
            </w:pPr>
          </w:p>
        </w:tc>
        <w:tc>
          <w:tcPr>
            <w:tcW w:w="1417" w:type="dxa"/>
            <w:noWrap/>
            <w:vAlign w:val="center"/>
            <w:hideMark/>
          </w:tcPr>
          <w:p w14:paraId="5888A365" w14:textId="77777777" w:rsidR="003A7A08" w:rsidRPr="00F624E0" w:rsidRDefault="003A7A08">
            <w:pPr>
              <w:spacing w:line="276" w:lineRule="auto"/>
              <w:jc w:val="right"/>
              <w:rPr>
                <w:sz w:val="20"/>
                <w:szCs w:val="20"/>
              </w:rPr>
            </w:pPr>
          </w:p>
        </w:tc>
        <w:tc>
          <w:tcPr>
            <w:tcW w:w="1701" w:type="dxa"/>
            <w:noWrap/>
            <w:vAlign w:val="center"/>
            <w:hideMark/>
          </w:tcPr>
          <w:p w14:paraId="0CF148E4" w14:textId="77777777" w:rsidR="003A7A08" w:rsidRPr="00F624E0" w:rsidRDefault="003A7A08">
            <w:pPr>
              <w:spacing w:line="276" w:lineRule="auto"/>
              <w:jc w:val="right"/>
              <w:rPr>
                <w:sz w:val="20"/>
                <w:szCs w:val="20"/>
              </w:rPr>
            </w:pPr>
          </w:p>
        </w:tc>
        <w:tc>
          <w:tcPr>
            <w:tcW w:w="993" w:type="dxa"/>
            <w:noWrap/>
            <w:vAlign w:val="center"/>
            <w:hideMark/>
          </w:tcPr>
          <w:p w14:paraId="1F860C3A" w14:textId="77777777" w:rsidR="003A7A08" w:rsidRPr="00F624E0" w:rsidRDefault="003A7A08">
            <w:pPr>
              <w:spacing w:line="276" w:lineRule="auto"/>
              <w:jc w:val="right"/>
              <w:rPr>
                <w:sz w:val="20"/>
                <w:szCs w:val="20"/>
              </w:rPr>
            </w:pPr>
          </w:p>
        </w:tc>
        <w:tc>
          <w:tcPr>
            <w:tcW w:w="1607" w:type="dxa"/>
            <w:noWrap/>
            <w:vAlign w:val="center"/>
            <w:hideMark/>
          </w:tcPr>
          <w:p w14:paraId="748FC5CA" w14:textId="77777777" w:rsidR="003A7A08" w:rsidRPr="00F624E0" w:rsidRDefault="003A7A08">
            <w:pPr>
              <w:spacing w:line="276" w:lineRule="auto"/>
              <w:jc w:val="right"/>
              <w:rPr>
                <w:color w:val="000000"/>
                <w:sz w:val="20"/>
                <w:szCs w:val="20"/>
              </w:rPr>
            </w:pPr>
            <w:r w:rsidRPr="00F624E0">
              <w:rPr>
                <w:color w:val="000000"/>
                <w:sz w:val="20"/>
                <w:szCs w:val="20"/>
              </w:rPr>
              <w:t> </w:t>
            </w:r>
          </w:p>
        </w:tc>
      </w:tr>
      <w:tr w:rsidR="003A7A08" w:rsidRPr="00DD0432" w14:paraId="15AB4C88" w14:textId="77777777">
        <w:trPr>
          <w:trHeight w:val="397"/>
        </w:trPr>
        <w:tc>
          <w:tcPr>
            <w:tcW w:w="14502" w:type="dxa"/>
            <w:gridSpan w:val="9"/>
            <w:noWrap/>
            <w:vAlign w:val="center"/>
            <w:hideMark/>
          </w:tcPr>
          <w:p w14:paraId="078F0B25" w14:textId="77777777" w:rsidR="003A7A08" w:rsidRPr="00F624E0" w:rsidRDefault="003A7A08">
            <w:pPr>
              <w:spacing w:line="276" w:lineRule="auto"/>
              <w:rPr>
                <w:i/>
                <w:iCs/>
                <w:color w:val="242424"/>
                <w:sz w:val="20"/>
                <w:szCs w:val="20"/>
              </w:rPr>
            </w:pPr>
            <w:r w:rsidRPr="00F624E0">
              <w:rPr>
                <w:i/>
                <w:iCs/>
                <w:color w:val="242424"/>
                <w:sz w:val="20"/>
                <w:szCs w:val="20"/>
              </w:rPr>
              <w:t>Note: Totals may not match exactly due to rounding. Calculations are based on the original unrounded figures to ensure accuracy.</w:t>
            </w:r>
          </w:p>
        </w:tc>
      </w:tr>
    </w:tbl>
    <w:p w14:paraId="4DF72F04" w14:textId="77777777" w:rsidR="00DB689D" w:rsidRDefault="00DB689D" w:rsidP="00367A8D">
      <w:pPr>
        <w:spacing w:line="360" w:lineRule="auto"/>
      </w:pPr>
    </w:p>
    <w:p w14:paraId="1ED37955" w14:textId="7983E9B2" w:rsidR="00DB689D" w:rsidRDefault="00DB689D" w:rsidP="00367A8D">
      <w:pPr>
        <w:spacing w:line="360" w:lineRule="auto"/>
      </w:pPr>
    </w:p>
    <w:p w14:paraId="31E2734B" w14:textId="77777777" w:rsidR="00DB689D" w:rsidRDefault="00DB689D" w:rsidP="00367A8D">
      <w:pPr>
        <w:spacing w:line="360" w:lineRule="auto"/>
      </w:pPr>
    </w:p>
    <w:p w14:paraId="576DCDAD" w14:textId="77777777" w:rsidR="00DB689D" w:rsidRDefault="00DB689D" w:rsidP="00367A8D">
      <w:pPr>
        <w:spacing w:line="360" w:lineRule="auto"/>
        <w:sectPr w:rsidR="00DB689D">
          <w:pgSz w:w="16838" w:h="11906" w:orient="landscape"/>
          <w:pgMar w:top="1440" w:right="1440" w:bottom="1440" w:left="1440" w:header="720" w:footer="720" w:gutter="0"/>
          <w:cols w:space="720"/>
        </w:sectPr>
      </w:pPr>
    </w:p>
    <w:p w14:paraId="2A783FFD" w14:textId="77777777" w:rsidR="00DB689D" w:rsidRDefault="00310A10" w:rsidP="00C30E1A">
      <w:pPr>
        <w:pStyle w:val="Heading3"/>
      </w:pPr>
      <w:bookmarkStart w:id="405" w:name="_8c620hw9xllu" w:colFirst="0" w:colLast="0"/>
      <w:bookmarkStart w:id="406" w:name="_Toc201572454"/>
      <w:bookmarkStart w:id="407" w:name="_Toc207195973"/>
      <w:bookmarkEnd w:id="405"/>
      <w:r>
        <w:t>Bankruptcy</w:t>
      </w:r>
      <w:bookmarkEnd w:id="406"/>
      <w:bookmarkEnd w:id="407"/>
    </w:p>
    <w:p w14:paraId="623B9417" w14:textId="77777777" w:rsidR="00DB689D" w:rsidRDefault="00DB689D" w:rsidP="00367A8D">
      <w:pPr>
        <w:spacing w:line="360" w:lineRule="auto"/>
      </w:pPr>
    </w:p>
    <w:p w14:paraId="22AD25A0" w14:textId="77777777" w:rsidR="00DB689D" w:rsidRDefault="00310A10" w:rsidP="00367A8D">
      <w:pPr>
        <w:spacing w:line="360" w:lineRule="auto"/>
      </w:pPr>
      <w:r>
        <w:t xml:space="preserve">Bankruptcy is a severe outcome of gambling harm which results in direct costs to individuals and the government, with very low prevalence in New Zealand. </w:t>
      </w:r>
    </w:p>
    <w:p w14:paraId="67893AD9" w14:textId="77777777" w:rsidR="00DB689D" w:rsidRDefault="00DB689D" w:rsidP="00367A8D">
      <w:pPr>
        <w:spacing w:line="360" w:lineRule="auto"/>
      </w:pPr>
    </w:p>
    <w:p w14:paraId="16A37ADD" w14:textId="6BD0DF92" w:rsidR="00DB689D" w:rsidRDefault="00310A10" w:rsidP="00367A8D">
      <w:pPr>
        <w:spacing w:line="360" w:lineRule="auto"/>
      </w:pPr>
      <w:r>
        <w:t xml:space="preserve">Unlike in some jurisdictions, bankruptcy in New Zealand operates within a broader insolvency framework that includes structured alternatives such as the ‘No Asset Procedure’, in addition to bankruptcy, and debt repayment orders </w:t>
      </w:r>
      <w:r w:rsidR="0038398B">
        <w:rPr>
          <w:noProof/>
          <w:color w:val="000000"/>
        </w:rPr>
        <w:t>(New Zealand Insolvency and Trustee Service, 2023)</w:t>
      </w:r>
      <w:r>
        <w:t>. This study includes all insolvency options to provide a comprehensive assessment of the financial impact of gambling-related insolvency.</w:t>
      </w:r>
    </w:p>
    <w:p w14:paraId="18AD3692" w14:textId="77777777" w:rsidR="00DB689D" w:rsidRDefault="00DB689D" w:rsidP="00367A8D">
      <w:pPr>
        <w:spacing w:line="360" w:lineRule="auto"/>
      </w:pPr>
    </w:p>
    <w:p w14:paraId="4813410D" w14:textId="306AB6B0" w:rsidR="00DB689D" w:rsidRDefault="00310A10" w:rsidP="00367A8D">
      <w:pPr>
        <w:spacing w:line="360" w:lineRule="auto"/>
      </w:pPr>
      <w:r>
        <w:t>The Community Consultation (detailed in Chapter 4) highlighted that financial counsellors view bankruptcy as a final option, rarely pursuing it even in significant cases of gambling-related financial hardship. Instead, they actively guide clients toward alternative solutions such as debt repayment schemes, accessing Kiwi</w:t>
      </w:r>
      <w:r w:rsidR="002A3095">
        <w:t>S</w:t>
      </w:r>
      <w:r>
        <w:t xml:space="preserve">aver funds, and the No Asset Procedure. Over 32,500 New Zealanders accessed their KiwiSaver fund in 2024 due to financial hardship </w:t>
      </w:r>
      <w:r w:rsidR="0038398B">
        <w:rPr>
          <w:noProof/>
          <w:color w:val="000000"/>
        </w:rPr>
        <w:t>(Inland Revenue, 2025)</w:t>
      </w:r>
      <w:r>
        <w:t xml:space="preserve">. A key reason for avoiding bankruptcy is the frequent entanglement of others in the person who gambles’ financial affairs, such as joint mortgages, which could inadvertently force affected others into bankruptcy as well. </w:t>
      </w:r>
    </w:p>
    <w:p w14:paraId="25B36A8A" w14:textId="77777777" w:rsidR="00DB689D" w:rsidRDefault="00DB689D" w:rsidP="00367A8D">
      <w:pPr>
        <w:spacing w:line="360" w:lineRule="auto"/>
      </w:pPr>
    </w:p>
    <w:tbl>
      <w:tblPr>
        <w:tblStyle w:val="a4"/>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B689D" w14:paraId="79FCA848" w14:textId="77777777">
        <w:tc>
          <w:tcPr>
            <w:tcW w:w="9026" w:type="dxa"/>
            <w:shd w:val="clear" w:color="auto" w:fill="F3F3F3"/>
            <w:tcMar>
              <w:top w:w="100" w:type="dxa"/>
              <w:left w:w="100" w:type="dxa"/>
              <w:bottom w:w="100" w:type="dxa"/>
              <w:right w:w="100" w:type="dxa"/>
            </w:tcMar>
          </w:tcPr>
          <w:p w14:paraId="6F0AE94D" w14:textId="77777777" w:rsidR="00DB689D" w:rsidRDefault="00310A10" w:rsidP="00843927">
            <w:pPr>
              <w:spacing w:before="120" w:after="240" w:line="276" w:lineRule="auto"/>
            </w:pPr>
            <w:r>
              <w:t>The cost of gambling-related insolvency was estimated by considering the number of insolvency cases related to gambling, the average cost per insolvency, and the average unpaid debt to the person experiencing gambling problems.</w:t>
            </w:r>
          </w:p>
          <w:p w14:paraId="10A51F85" w14:textId="77777777" w:rsidR="00DB689D" w:rsidRDefault="00310A10" w:rsidP="00843927">
            <w:pPr>
              <w:spacing w:before="120" w:after="240" w:line="276" w:lineRule="auto"/>
              <w:rPr>
                <w:i/>
              </w:rPr>
            </w:pPr>
            <w:r>
              <w:rPr>
                <w:i/>
              </w:rPr>
              <w:t>Number of bankruptcies and insolvency cases due to gambling</w:t>
            </w:r>
          </w:p>
          <w:p w14:paraId="29B6DE0D" w14:textId="5D5A9D47" w:rsidR="00DB689D" w:rsidRDefault="00310A10" w:rsidP="00843927">
            <w:pPr>
              <w:numPr>
                <w:ilvl w:val="0"/>
                <w:numId w:val="37"/>
              </w:numPr>
              <w:spacing w:before="120" w:line="276" w:lineRule="auto"/>
            </w:pPr>
            <w:r>
              <w:t xml:space="preserve">Data from the New Zealand Insolvency and Trustee Service (2020) indicates that 1.0% of personal and </w:t>
            </w:r>
            <w:r w:rsidR="0027187C">
              <w:t>business-related</w:t>
            </w:r>
            <w:r>
              <w:t xml:space="preserve"> bankruptcies were attributed to gambling, speculation and extravagance in living</w:t>
            </w:r>
            <w:r w:rsidR="00E0136B">
              <w:t>.</w:t>
            </w:r>
            <w:r w:rsidR="00E71AE1">
              <w:t xml:space="preserve"> </w:t>
            </w:r>
            <w:r w:rsidR="00E0136B">
              <w:t>A</w:t>
            </w:r>
            <w:r>
              <w:t>s insolvency percentages are not explicitly reported, we apply this same 1.0% estimate to insolvencies.</w:t>
            </w:r>
          </w:p>
          <w:p w14:paraId="67715D0E" w14:textId="77777777" w:rsidR="00DB689D" w:rsidRDefault="00310A10" w:rsidP="00843927">
            <w:pPr>
              <w:numPr>
                <w:ilvl w:val="0"/>
                <w:numId w:val="37"/>
              </w:numPr>
              <w:spacing w:after="240" w:line="276" w:lineRule="auto"/>
            </w:pPr>
            <w:r>
              <w:t>A total of 1,179 insolvency cases were reported in 2023/24, which included 628 bankruptcies, 413 debt repayment orders, and 138 no asset procedures (New Zealand Insolvency and Trustee Service, 2023). Approximately 12 insolvency cases were attributed to gambling.</w:t>
            </w:r>
          </w:p>
          <w:p w14:paraId="030BD51B" w14:textId="77777777" w:rsidR="00DB689D" w:rsidRDefault="00310A10" w:rsidP="00843927">
            <w:pPr>
              <w:spacing w:before="120" w:after="240" w:line="276" w:lineRule="auto"/>
              <w:rPr>
                <w:i/>
              </w:rPr>
            </w:pPr>
            <w:r>
              <w:rPr>
                <w:i/>
              </w:rPr>
              <w:t>Cost (per case) to administer bankruptcies and insolvency cases</w:t>
            </w:r>
          </w:p>
          <w:p w14:paraId="77FB1950" w14:textId="77777777" w:rsidR="00DB689D" w:rsidRDefault="00310A10" w:rsidP="00374FE7">
            <w:pPr>
              <w:numPr>
                <w:ilvl w:val="0"/>
                <w:numId w:val="45"/>
              </w:numPr>
              <w:spacing w:before="120" w:line="276" w:lineRule="auto"/>
            </w:pPr>
            <w:r>
              <w:t>The Department of Business, Science and Innovation budgeted $25.9 million to carry out the functions of the Official Assignee (New Zealand Treasury, 2024). An average cost of $21,932 per case of insolvency was calculated.</w:t>
            </w:r>
          </w:p>
          <w:p w14:paraId="77070E38" w14:textId="77777777" w:rsidR="00DB689D" w:rsidRDefault="00310A10" w:rsidP="00374FE7">
            <w:pPr>
              <w:numPr>
                <w:ilvl w:val="0"/>
                <w:numId w:val="45"/>
              </w:numPr>
              <w:spacing w:after="240" w:line="276" w:lineRule="auto"/>
            </w:pPr>
            <w:r>
              <w:t>The cost to apply for no asset procedures, or bankruptcies was $1000 per case (New Zealand Insolvency and Trustee Service, 2024).</w:t>
            </w:r>
          </w:p>
          <w:p w14:paraId="64B96A5C" w14:textId="77777777" w:rsidR="00DB689D" w:rsidRDefault="00310A10" w:rsidP="00374FE7">
            <w:pPr>
              <w:spacing w:before="120" w:after="240" w:line="276" w:lineRule="auto"/>
              <w:rPr>
                <w:i/>
              </w:rPr>
            </w:pPr>
            <w:r>
              <w:rPr>
                <w:i/>
              </w:rPr>
              <w:t>Average unpaid debt of a person with gambling problems</w:t>
            </w:r>
          </w:p>
          <w:p w14:paraId="38323A8B" w14:textId="77777777" w:rsidR="00DB689D" w:rsidRDefault="00310A10" w:rsidP="00843927">
            <w:pPr>
              <w:numPr>
                <w:ilvl w:val="0"/>
                <w:numId w:val="32"/>
              </w:numPr>
              <w:spacing w:before="120" w:after="240" w:line="276" w:lineRule="auto"/>
            </w:pPr>
            <w:r>
              <w:t>The estimated average unpaid debt varied by insolvency type, with bankruptcy at $106,500, debt repayment orders at $24,030, and the No Asset Procedure at $24,270. These estimates were calculated using a weighted mean, derived from debt bands with frequency data (New Zealand Insolvency and Trustee Service, 2023).</w:t>
            </w:r>
          </w:p>
        </w:tc>
      </w:tr>
    </w:tbl>
    <w:p w14:paraId="6CD0BE6D" w14:textId="77777777" w:rsidR="00DB689D" w:rsidRDefault="00DB689D" w:rsidP="00367A8D">
      <w:pPr>
        <w:spacing w:before="120" w:after="240" w:line="360" w:lineRule="auto"/>
      </w:pPr>
    </w:p>
    <w:p w14:paraId="3EA81793" w14:textId="2FDFC71B" w:rsidR="002405FA" w:rsidRDefault="0027187C" w:rsidP="002405FA">
      <w:pPr>
        <w:spacing w:line="360" w:lineRule="auto"/>
      </w:pPr>
      <w:r>
        <w:t xml:space="preserve">Table </w:t>
      </w:r>
      <w:r w:rsidR="00757932">
        <w:t xml:space="preserve">14 </w:t>
      </w:r>
      <w:r>
        <w:t xml:space="preserve">shows the total estimated cost of bankruptcy and insolvency due to gambling in New Zealand was around $1.1 million, with $801,551 of this being due to unpaid debts. </w:t>
      </w:r>
      <w:r w:rsidR="002405FA">
        <w:t xml:space="preserve"> The Community Consultation identified a recent increase in the number of no asset procedures. However, no appropriate data on the total number of no asset procedures due to gambling problems could be identified. Therefore, a very conservative estimate has been used. Given this lack of data, to reflect uncertainty in the estimates, a 5% margin was applied to the total cost. Applying the 5% range results in an estimated lower bound of approximately $1.0 million and an upper bound of approximately $1.12 million.</w:t>
      </w:r>
    </w:p>
    <w:p w14:paraId="1509AAAB" w14:textId="094345CA" w:rsidR="00374FE7" w:rsidRDefault="00374FE7">
      <w:r>
        <w:br w:type="page"/>
      </w:r>
    </w:p>
    <w:p w14:paraId="362BD4F5" w14:textId="0CDC4514" w:rsidR="0027187C" w:rsidRDefault="0027187C" w:rsidP="00DB094D">
      <w:pPr>
        <w:pStyle w:val="Caption"/>
      </w:pPr>
      <w:bookmarkStart w:id="408" w:name="_Toc207619056"/>
      <w:r>
        <w:t xml:space="preserve">Table </w:t>
      </w:r>
      <w:r>
        <w:fldChar w:fldCharType="begin"/>
      </w:r>
      <w:r>
        <w:instrText xml:space="preserve"> SEQ Table \* ARABIC </w:instrText>
      </w:r>
      <w:r>
        <w:fldChar w:fldCharType="separate"/>
      </w:r>
      <w:r w:rsidR="00986A0D">
        <w:rPr>
          <w:noProof/>
        </w:rPr>
        <w:t>14</w:t>
      </w:r>
      <w:r>
        <w:fldChar w:fldCharType="end"/>
      </w:r>
      <w:r>
        <w:t xml:space="preserve">. </w:t>
      </w:r>
      <w:r w:rsidRPr="0018472D">
        <w:t>Cost of bankruptcy due to gambling problems in New Zealand (2023-24)</w:t>
      </w:r>
      <w:bookmarkEnd w:id="408"/>
    </w:p>
    <w:tbl>
      <w:tblPr>
        <w:tblStyle w:val="TableGridLight"/>
        <w:tblW w:w="9493" w:type="dxa"/>
        <w:tblLayout w:type="fixed"/>
        <w:tblLook w:val="04A0" w:firstRow="1" w:lastRow="0" w:firstColumn="1" w:lastColumn="0" w:noHBand="0" w:noVBand="1"/>
      </w:tblPr>
      <w:tblGrid>
        <w:gridCol w:w="6658"/>
        <w:gridCol w:w="1417"/>
        <w:gridCol w:w="1418"/>
      </w:tblGrid>
      <w:tr w:rsidR="0027187C" w:rsidRPr="00F624E0" w14:paraId="6FC7ECA5" w14:textId="77777777" w:rsidTr="00F624E0">
        <w:trPr>
          <w:trHeight w:val="397"/>
        </w:trPr>
        <w:tc>
          <w:tcPr>
            <w:tcW w:w="6658" w:type="dxa"/>
            <w:shd w:val="clear" w:color="auto" w:fill="F2F2F2" w:themeFill="background1" w:themeFillShade="F2"/>
            <w:vAlign w:val="center"/>
            <w:hideMark/>
          </w:tcPr>
          <w:p w14:paraId="4A957A8B" w14:textId="77777777" w:rsidR="0027187C" w:rsidRPr="00F624E0" w:rsidRDefault="0027187C">
            <w:pPr>
              <w:rPr>
                <w:b/>
                <w:bCs/>
                <w:color w:val="000000"/>
                <w:sz w:val="20"/>
                <w:szCs w:val="20"/>
              </w:rPr>
            </w:pPr>
            <w:r w:rsidRPr="00F624E0">
              <w:rPr>
                <w:b/>
                <w:bCs/>
                <w:color w:val="000000"/>
                <w:sz w:val="20"/>
                <w:szCs w:val="20"/>
              </w:rPr>
              <w:t>Variable</w:t>
            </w:r>
          </w:p>
        </w:tc>
        <w:tc>
          <w:tcPr>
            <w:tcW w:w="1417" w:type="dxa"/>
            <w:shd w:val="clear" w:color="auto" w:fill="F2F2F2" w:themeFill="background1" w:themeFillShade="F2"/>
            <w:vAlign w:val="center"/>
            <w:hideMark/>
          </w:tcPr>
          <w:p w14:paraId="638B0188" w14:textId="77777777" w:rsidR="0027187C" w:rsidRPr="00F624E0" w:rsidRDefault="0027187C">
            <w:pPr>
              <w:jc w:val="center"/>
              <w:rPr>
                <w:b/>
                <w:bCs/>
                <w:color w:val="000000"/>
                <w:sz w:val="20"/>
                <w:szCs w:val="20"/>
              </w:rPr>
            </w:pPr>
            <w:r w:rsidRPr="00F624E0">
              <w:rPr>
                <w:b/>
                <w:bCs/>
                <w:color w:val="000000"/>
                <w:sz w:val="20"/>
                <w:szCs w:val="20"/>
              </w:rPr>
              <w:t>Calculation</w:t>
            </w:r>
          </w:p>
        </w:tc>
        <w:tc>
          <w:tcPr>
            <w:tcW w:w="1418" w:type="dxa"/>
            <w:shd w:val="clear" w:color="auto" w:fill="F2F2F2" w:themeFill="background1" w:themeFillShade="F2"/>
            <w:vAlign w:val="center"/>
            <w:hideMark/>
          </w:tcPr>
          <w:p w14:paraId="66C6B2D8" w14:textId="77777777" w:rsidR="0027187C" w:rsidRPr="00F624E0" w:rsidRDefault="0027187C">
            <w:pPr>
              <w:jc w:val="center"/>
              <w:rPr>
                <w:b/>
                <w:bCs/>
                <w:color w:val="000000"/>
                <w:sz w:val="20"/>
                <w:szCs w:val="20"/>
              </w:rPr>
            </w:pPr>
            <w:r w:rsidRPr="00F624E0">
              <w:rPr>
                <w:b/>
                <w:bCs/>
                <w:color w:val="000000"/>
                <w:sz w:val="20"/>
                <w:szCs w:val="20"/>
              </w:rPr>
              <w:t>Total</w:t>
            </w:r>
          </w:p>
        </w:tc>
      </w:tr>
      <w:tr w:rsidR="0027187C" w:rsidRPr="00F624E0" w14:paraId="01BFA4D1" w14:textId="77777777" w:rsidTr="00F624E0">
        <w:trPr>
          <w:trHeight w:val="397"/>
        </w:trPr>
        <w:tc>
          <w:tcPr>
            <w:tcW w:w="9493" w:type="dxa"/>
            <w:gridSpan w:val="3"/>
            <w:noWrap/>
            <w:vAlign w:val="center"/>
            <w:hideMark/>
          </w:tcPr>
          <w:p w14:paraId="63CE7086" w14:textId="77777777" w:rsidR="0027187C" w:rsidRPr="00F624E0" w:rsidRDefault="0027187C">
            <w:pPr>
              <w:rPr>
                <w:b/>
                <w:bCs/>
                <w:i/>
                <w:iCs/>
                <w:color w:val="000000"/>
                <w:sz w:val="20"/>
                <w:szCs w:val="20"/>
              </w:rPr>
            </w:pPr>
            <w:r w:rsidRPr="00F624E0">
              <w:rPr>
                <w:b/>
                <w:bCs/>
                <w:i/>
                <w:iCs/>
                <w:color w:val="000000"/>
                <w:sz w:val="20"/>
                <w:szCs w:val="20"/>
              </w:rPr>
              <w:t>Number of bankruptcy and insolvency cases in New Zealand</w:t>
            </w:r>
          </w:p>
        </w:tc>
      </w:tr>
      <w:tr w:rsidR="0027187C" w:rsidRPr="00F624E0" w14:paraId="61E55F92" w14:textId="77777777" w:rsidTr="00F624E0">
        <w:trPr>
          <w:trHeight w:val="397"/>
        </w:trPr>
        <w:tc>
          <w:tcPr>
            <w:tcW w:w="6658" w:type="dxa"/>
            <w:noWrap/>
            <w:vAlign w:val="center"/>
            <w:hideMark/>
          </w:tcPr>
          <w:p w14:paraId="30229B20" w14:textId="77777777" w:rsidR="0027187C" w:rsidRPr="00F624E0" w:rsidRDefault="0027187C">
            <w:pPr>
              <w:rPr>
                <w:color w:val="000000"/>
                <w:sz w:val="20"/>
                <w:szCs w:val="20"/>
              </w:rPr>
            </w:pPr>
            <w:r w:rsidRPr="00F624E0">
              <w:rPr>
                <w:color w:val="000000"/>
                <w:sz w:val="20"/>
                <w:szCs w:val="20"/>
              </w:rPr>
              <w:t xml:space="preserve">Bankruptcy cases* </w:t>
            </w:r>
          </w:p>
        </w:tc>
        <w:tc>
          <w:tcPr>
            <w:tcW w:w="1417" w:type="dxa"/>
            <w:noWrap/>
            <w:vAlign w:val="center"/>
            <w:hideMark/>
          </w:tcPr>
          <w:p w14:paraId="3AA5F31E" w14:textId="77777777" w:rsidR="0027187C" w:rsidRPr="00F624E0" w:rsidRDefault="0027187C">
            <w:pPr>
              <w:rPr>
                <w:color w:val="000000"/>
                <w:sz w:val="20"/>
                <w:szCs w:val="20"/>
              </w:rPr>
            </w:pPr>
            <w:r w:rsidRPr="00F624E0">
              <w:rPr>
                <w:color w:val="000000"/>
                <w:sz w:val="20"/>
                <w:szCs w:val="20"/>
              </w:rPr>
              <w:t>a</w:t>
            </w:r>
          </w:p>
        </w:tc>
        <w:tc>
          <w:tcPr>
            <w:tcW w:w="1418" w:type="dxa"/>
            <w:noWrap/>
            <w:vAlign w:val="center"/>
            <w:hideMark/>
          </w:tcPr>
          <w:p w14:paraId="0B6CA43D" w14:textId="77777777" w:rsidR="0027187C" w:rsidRPr="00F624E0" w:rsidRDefault="0027187C">
            <w:pPr>
              <w:jc w:val="right"/>
              <w:rPr>
                <w:color w:val="000000"/>
                <w:sz w:val="20"/>
                <w:szCs w:val="20"/>
              </w:rPr>
            </w:pPr>
            <w:r w:rsidRPr="00F624E0">
              <w:rPr>
                <w:color w:val="000000"/>
                <w:sz w:val="20"/>
                <w:szCs w:val="20"/>
              </w:rPr>
              <w:t>628</w:t>
            </w:r>
          </w:p>
        </w:tc>
      </w:tr>
      <w:tr w:rsidR="0027187C" w:rsidRPr="00F624E0" w14:paraId="3DA8515D" w14:textId="77777777" w:rsidTr="00F624E0">
        <w:trPr>
          <w:trHeight w:val="397"/>
        </w:trPr>
        <w:tc>
          <w:tcPr>
            <w:tcW w:w="6658" w:type="dxa"/>
            <w:noWrap/>
            <w:vAlign w:val="center"/>
            <w:hideMark/>
          </w:tcPr>
          <w:p w14:paraId="379052B6" w14:textId="77777777" w:rsidR="0027187C" w:rsidRPr="00F624E0" w:rsidRDefault="0027187C">
            <w:pPr>
              <w:rPr>
                <w:color w:val="000000"/>
                <w:sz w:val="20"/>
                <w:szCs w:val="20"/>
              </w:rPr>
            </w:pPr>
            <w:r w:rsidRPr="00F624E0">
              <w:rPr>
                <w:color w:val="000000"/>
                <w:sz w:val="20"/>
                <w:szCs w:val="20"/>
              </w:rPr>
              <w:t xml:space="preserve">   % of bankruptcy cases due to gambling, speculation and extravagance in living</w:t>
            </w:r>
          </w:p>
        </w:tc>
        <w:tc>
          <w:tcPr>
            <w:tcW w:w="1417" w:type="dxa"/>
            <w:noWrap/>
            <w:vAlign w:val="center"/>
            <w:hideMark/>
          </w:tcPr>
          <w:p w14:paraId="36C1CE75" w14:textId="77777777" w:rsidR="0027187C" w:rsidRPr="00F624E0" w:rsidRDefault="0027187C">
            <w:pPr>
              <w:rPr>
                <w:color w:val="000000"/>
                <w:sz w:val="20"/>
                <w:szCs w:val="20"/>
              </w:rPr>
            </w:pPr>
            <w:r w:rsidRPr="00F624E0">
              <w:rPr>
                <w:color w:val="000000"/>
                <w:sz w:val="20"/>
                <w:szCs w:val="20"/>
              </w:rPr>
              <w:t>b</w:t>
            </w:r>
          </w:p>
        </w:tc>
        <w:tc>
          <w:tcPr>
            <w:tcW w:w="1418" w:type="dxa"/>
            <w:noWrap/>
            <w:vAlign w:val="center"/>
            <w:hideMark/>
          </w:tcPr>
          <w:p w14:paraId="441A3D23" w14:textId="77777777" w:rsidR="0027187C" w:rsidRPr="00F624E0" w:rsidRDefault="0027187C">
            <w:pPr>
              <w:jc w:val="right"/>
              <w:rPr>
                <w:color w:val="000000"/>
                <w:sz w:val="20"/>
                <w:szCs w:val="20"/>
              </w:rPr>
            </w:pPr>
            <w:r w:rsidRPr="00F624E0">
              <w:rPr>
                <w:color w:val="000000"/>
                <w:sz w:val="20"/>
                <w:szCs w:val="20"/>
              </w:rPr>
              <w:t>1.00%</w:t>
            </w:r>
          </w:p>
        </w:tc>
      </w:tr>
      <w:tr w:rsidR="0027187C" w:rsidRPr="00F624E0" w14:paraId="6863787C" w14:textId="77777777" w:rsidTr="00F624E0">
        <w:trPr>
          <w:trHeight w:val="397"/>
        </w:trPr>
        <w:tc>
          <w:tcPr>
            <w:tcW w:w="6658" w:type="dxa"/>
            <w:noWrap/>
            <w:vAlign w:val="center"/>
            <w:hideMark/>
          </w:tcPr>
          <w:p w14:paraId="7D463AF7" w14:textId="77777777" w:rsidR="0027187C" w:rsidRPr="00F624E0" w:rsidRDefault="0027187C">
            <w:pPr>
              <w:rPr>
                <w:color w:val="000000"/>
                <w:sz w:val="20"/>
                <w:szCs w:val="20"/>
              </w:rPr>
            </w:pPr>
            <w:r w:rsidRPr="00F624E0">
              <w:rPr>
                <w:color w:val="000000"/>
                <w:sz w:val="20"/>
                <w:szCs w:val="20"/>
              </w:rPr>
              <w:t>Bankruptcy cases* due to gambling</w:t>
            </w:r>
          </w:p>
        </w:tc>
        <w:tc>
          <w:tcPr>
            <w:tcW w:w="1417" w:type="dxa"/>
            <w:noWrap/>
            <w:vAlign w:val="center"/>
            <w:hideMark/>
          </w:tcPr>
          <w:p w14:paraId="0A51224D" w14:textId="77777777" w:rsidR="0027187C" w:rsidRPr="00F624E0" w:rsidRDefault="0027187C">
            <w:pPr>
              <w:rPr>
                <w:color w:val="000000"/>
                <w:sz w:val="20"/>
                <w:szCs w:val="20"/>
              </w:rPr>
            </w:pPr>
            <w:r w:rsidRPr="00F624E0">
              <w:rPr>
                <w:color w:val="000000"/>
                <w:sz w:val="20"/>
                <w:szCs w:val="20"/>
              </w:rPr>
              <w:t>c = a x b</w:t>
            </w:r>
          </w:p>
        </w:tc>
        <w:tc>
          <w:tcPr>
            <w:tcW w:w="1418" w:type="dxa"/>
            <w:noWrap/>
            <w:vAlign w:val="center"/>
            <w:hideMark/>
          </w:tcPr>
          <w:p w14:paraId="659D8E28" w14:textId="77777777" w:rsidR="0027187C" w:rsidRPr="00F624E0" w:rsidRDefault="0027187C">
            <w:pPr>
              <w:jc w:val="right"/>
              <w:rPr>
                <w:color w:val="000000"/>
                <w:sz w:val="20"/>
                <w:szCs w:val="20"/>
              </w:rPr>
            </w:pPr>
            <w:r w:rsidRPr="00F624E0">
              <w:rPr>
                <w:color w:val="000000"/>
                <w:sz w:val="20"/>
                <w:szCs w:val="20"/>
              </w:rPr>
              <w:t>6.28</w:t>
            </w:r>
          </w:p>
        </w:tc>
      </w:tr>
      <w:tr w:rsidR="0027187C" w:rsidRPr="00F624E0" w14:paraId="3D1B3612" w14:textId="77777777" w:rsidTr="00F624E0">
        <w:trPr>
          <w:trHeight w:val="397"/>
        </w:trPr>
        <w:tc>
          <w:tcPr>
            <w:tcW w:w="6658" w:type="dxa"/>
            <w:noWrap/>
            <w:vAlign w:val="center"/>
            <w:hideMark/>
          </w:tcPr>
          <w:p w14:paraId="4B1212B9" w14:textId="77777777" w:rsidR="0027187C" w:rsidRPr="00F624E0" w:rsidRDefault="0027187C">
            <w:pPr>
              <w:rPr>
                <w:color w:val="000000"/>
                <w:sz w:val="20"/>
                <w:szCs w:val="20"/>
              </w:rPr>
            </w:pPr>
            <w:r w:rsidRPr="00F624E0">
              <w:rPr>
                <w:color w:val="000000"/>
                <w:sz w:val="20"/>
                <w:szCs w:val="20"/>
              </w:rPr>
              <w:t xml:space="preserve">Number of debt repayment orders* </w:t>
            </w:r>
          </w:p>
        </w:tc>
        <w:tc>
          <w:tcPr>
            <w:tcW w:w="1417" w:type="dxa"/>
            <w:noWrap/>
            <w:vAlign w:val="center"/>
            <w:hideMark/>
          </w:tcPr>
          <w:p w14:paraId="0F652FB5" w14:textId="77777777" w:rsidR="0027187C" w:rsidRPr="00F624E0" w:rsidRDefault="0027187C">
            <w:pPr>
              <w:rPr>
                <w:color w:val="000000"/>
                <w:sz w:val="20"/>
                <w:szCs w:val="20"/>
              </w:rPr>
            </w:pPr>
            <w:r w:rsidRPr="00F624E0">
              <w:rPr>
                <w:color w:val="000000"/>
                <w:sz w:val="20"/>
                <w:szCs w:val="20"/>
              </w:rPr>
              <w:t>d</w:t>
            </w:r>
          </w:p>
        </w:tc>
        <w:tc>
          <w:tcPr>
            <w:tcW w:w="1418" w:type="dxa"/>
            <w:noWrap/>
            <w:vAlign w:val="center"/>
            <w:hideMark/>
          </w:tcPr>
          <w:p w14:paraId="37E3E6D4" w14:textId="77777777" w:rsidR="0027187C" w:rsidRPr="00F624E0" w:rsidRDefault="0027187C">
            <w:pPr>
              <w:jc w:val="right"/>
              <w:rPr>
                <w:color w:val="000000"/>
                <w:sz w:val="20"/>
                <w:szCs w:val="20"/>
              </w:rPr>
            </w:pPr>
            <w:r w:rsidRPr="00F624E0">
              <w:rPr>
                <w:color w:val="000000"/>
                <w:sz w:val="20"/>
                <w:szCs w:val="20"/>
              </w:rPr>
              <w:t>413</w:t>
            </w:r>
          </w:p>
        </w:tc>
      </w:tr>
      <w:tr w:rsidR="0027187C" w:rsidRPr="00F624E0" w14:paraId="32B784E1" w14:textId="77777777" w:rsidTr="00F624E0">
        <w:trPr>
          <w:trHeight w:val="397"/>
        </w:trPr>
        <w:tc>
          <w:tcPr>
            <w:tcW w:w="6658" w:type="dxa"/>
            <w:noWrap/>
            <w:vAlign w:val="center"/>
            <w:hideMark/>
          </w:tcPr>
          <w:p w14:paraId="57F62F52" w14:textId="77777777" w:rsidR="0027187C" w:rsidRPr="00F624E0" w:rsidRDefault="0027187C">
            <w:pPr>
              <w:rPr>
                <w:color w:val="000000"/>
                <w:sz w:val="20"/>
                <w:szCs w:val="20"/>
              </w:rPr>
            </w:pPr>
            <w:r w:rsidRPr="00F624E0">
              <w:rPr>
                <w:color w:val="000000"/>
                <w:sz w:val="20"/>
                <w:szCs w:val="20"/>
              </w:rPr>
              <w:t xml:space="preserve">Number of no asset procedures* </w:t>
            </w:r>
          </w:p>
        </w:tc>
        <w:tc>
          <w:tcPr>
            <w:tcW w:w="1417" w:type="dxa"/>
            <w:noWrap/>
            <w:vAlign w:val="center"/>
            <w:hideMark/>
          </w:tcPr>
          <w:p w14:paraId="1A825461" w14:textId="77777777" w:rsidR="0027187C" w:rsidRPr="00F624E0" w:rsidRDefault="0027187C">
            <w:pPr>
              <w:rPr>
                <w:color w:val="000000"/>
                <w:sz w:val="20"/>
                <w:szCs w:val="20"/>
              </w:rPr>
            </w:pPr>
            <w:r w:rsidRPr="00F624E0">
              <w:rPr>
                <w:color w:val="000000"/>
                <w:sz w:val="20"/>
                <w:szCs w:val="20"/>
              </w:rPr>
              <w:t>e</w:t>
            </w:r>
          </w:p>
        </w:tc>
        <w:tc>
          <w:tcPr>
            <w:tcW w:w="1418" w:type="dxa"/>
            <w:noWrap/>
            <w:vAlign w:val="center"/>
            <w:hideMark/>
          </w:tcPr>
          <w:p w14:paraId="14EBBCD2" w14:textId="77777777" w:rsidR="0027187C" w:rsidRPr="00F624E0" w:rsidRDefault="0027187C">
            <w:pPr>
              <w:jc w:val="right"/>
              <w:rPr>
                <w:color w:val="000000"/>
                <w:sz w:val="20"/>
                <w:szCs w:val="20"/>
              </w:rPr>
            </w:pPr>
            <w:r w:rsidRPr="00F624E0">
              <w:rPr>
                <w:color w:val="000000"/>
                <w:sz w:val="20"/>
                <w:szCs w:val="20"/>
              </w:rPr>
              <w:t>138</w:t>
            </w:r>
          </w:p>
        </w:tc>
      </w:tr>
      <w:tr w:rsidR="0027187C" w:rsidRPr="00F624E0" w14:paraId="1BC02B4A" w14:textId="77777777" w:rsidTr="00F624E0">
        <w:trPr>
          <w:trHeight w:val="397"/>
        </w:trPr>
        <w:tc>
          <w:tcPr>
            <w:tcW w:w="6658" w:type="dxa"/>
            <w:noWrap/>
            <w:vAlign w:val="center"/>
            <w:hideMark/>
          </w:tcPr>
          <w:p w14:paraId="4571753E" w14:textId="77777777" w:rsidR="0027187C" w:rsidRPr="00F624E0" w:rsidRDefault="0027187C">
            <w:pPr>
              <w:rPr>
                <w:color w:val="000000"/>
                <w:sz w:val="20"/>
                <w:szCs w:val="20"/>
              </w:rPr>
            </w:pPr>
            <w:r w:rsidRPr="00F624E0">
              <w:rPr>
                <w:color w:val="000000"/>
                <w:sz w:val="20"/>
                <w:szCs w:val="20"/>
              </w:rPr>
              <w:t xml:space="preserve">  % of debtor agreement cases due to gambling, speculation and extravagance in living</w:t>
            </w:r>
          </w:p>
        </w:tc>
        <w:tc>
          <w:tcPr>
            <w:tcW w:w="1417" w:type="dxa"/>
            <w:noWrap/>
            <w:vAlign w:val="center"/>
            <w:hideMark/>
          </w:tcPr>
          <w:p w14:paraId="2CABACA2" w14:textId="77777777" w:rsidR="0027187C" w:rsidRPr="00F624E0" w:rsidRDefault="0027187C">
            <w:pPr>
              <w:rPr>
                <w:color w:val="000000"/>
                <w:sz w:val="20"/>
                <w:szCs w:val="20"/>
              </w:rPr>
            </w:pPr>
            <w:r w:rsidRPr="00F624E0">
              <w:rPr>
                <w:color w:val="000000"/>
                <w:sz w:val="20"/>
                <w:szCs w:val="20"/>
              </w:rPr>
              <w:t>f</w:t>
            </w:r>
          </w:p>
        </w:tc>
        <w:tc>
          <w:tcPr>
            <w:tcW w:w="1418" w:type="dxa"/>
            <w:noWrap/>
            <w:vAlign w:val="center"/>
            <w:hideMark/>
          </w:tcPr>
          <w:p w14:paraId="510A85E9" w14:textId="77777777" w:rsidR="0027187C" w:rsidRPr="00F624E0" w:rsidRDefault="0027187C">
            <w:pPr>
              <w:jc w:val="right"/>
              <w:rPr>
                <w:color w:val="000000"/>
                <w:sz w:val="20"/>
                <w:szCs w:val="20"/>
              </w:rPr>
            </w:pPr>
            <w:r w:rsidRPr="00F624E0">
              <w:rPr>
                <w:color w:val="000000"/>
                <w:sz w:val="20"/>
                <w:szCs w:val="20"/>
              </w:rPr>
              <w:t>1.00%</w:t>
            </w:r>
          </w:p>
        </w:tc>
      </w:tr>
      <w:tr w:rsidR="0027187C" w:rsidRPr="00F624E0" w14:paraId="271F8D50" w14:textId="77777777" w:rsidTr="00F624E0">
        <w:trPr>
          <w:trHeight w:val="397"/>
        </w:trPr>
        <w:tc>
          <w:tcPr>
            <w:tcW w:w="6658" w:type="dxa"/>
            <w:noWrap/>
            <w:vAlign w:val="center"/>
            <w:hideMark/>
          </w:tcPr>
          <w:p w14:paraId="36498216" w14:textId="77777777" w:rsidR="0027187C" w:rsidRPr="00F624E0" w:rsidRDefault="0027187C">
            <w:pPr>
              <w:rPr>
                <w:color w:val="000000"/>
                <w:sz w:val="20"/>
                <w:szCs w:val="20"/>
              </w:rPr>
            </w:pPr>
            <w:r w:rsidRPr="00F624E0">
              <w:rPr>
                <w:color w:val="000000"/>
                <w:sz w:val="20"/>
                <w:szCs w:val="20"/>
              </w:rPr>
              <w:t>Debt repayment orders* due to gambling</w:t>
            </w:r>
          </w:p>
        </w:tc>
        <w:tc>
          <w:tcPr>
            <w:tcW w:w="1417" w:type="dxa"/>
            <w:noWrap/>
            <w:vAlign w:val="center"/>
            <w:hideMark/>
          </w:tcPr>
          <w:p w14:paraId="3D10556B" w14:textId="77777777" w:rsidR="0027187C" w:rsidRPr="00F624E0" w:rsidRDefault="0027187C">
            <w:pPr>
              <w:rPr>
                <w:color w:val="000000"/>
                <w:sz w:val="20"/>
                <w:szCs w:val="20"/>
              </w:rPr>
            </w:pPr>
            <w:r w:rsidRPr="00F624E0">
              <w:rPr>
                <w:color w:val="000000"/>
                <w:sz w:val="20"/>
                <w:szCs w:val="20"/>
              </w:rPr>
              <w:t>g = d x f</w:t>
            </w:r>
          </w:p>
        </w:tc>
        <w:tc>
          <w:tcPr>
            <w:tcW w:w="1418" w:type="dxa"/>
            <w:noWrap/>
            <w:vAlign w:val="center"/>
            <w:hideMark/>
          </w:tcPr>
          <w:p w14:paraId="36A9B207" w14:textId="77777777" w:rsidR="0027187C" w:rsidRPr="00F624E0" w:rsidRDefault="0027187C">
            <w:pPr>
              <w:jc w:val="right"/>
              <w:rPr>
                <w:color w:val="000000"/>
                <w:sz w:val="20"/>
                <w:szCs w:val="20"/>
              </w:rPr>
            </w:pPr>
            <w:r w:rsidRPr="00F624E0">
              <w:rPr>
                <w:color w:val="000000"/>
                <w:sz w:val="20"/>
                <w:szCs w:val="20"/>
              </w:rPr>
              <w:t>4.13</w:t>
            </w:r>
          </w:p>
        </w:tc>
      </w:tr>
      <w:tr w:rsidR="0027187C" w:rsidRPr="00F624E0" w14:paraId="21AE2A0B" w14:textId="77777777" w:rsidTr="00F624E0">
        <w:trPr>
          <w:trHeight w:val="397"/>
        </w:trPr>
        <w:tc>
          <w:tcPr>
            <w:tcW w:w="6658" w:type="dxa"/>
            <w:noWrap/>
            <w:vAlign w:val="center"/>
            <w:hideMark/>
          </w:tcPr>
          <w:p w14:paraId="007CF694" w14:textId="77777777" w:rsidR="0027187C" w:rsidRPr="00F624E0" w:rsidRDefault="0027187C">
            <w:pPr>
              <w:rPr>
                <w:color w:val="000000"/>
                <w:sz w:val="20"/>
                <w:szCs w:val="20"/>
              </w:rPr>
            </w:pPr>
            <w:r w:rsidRPr="00F624E0">
              <w:rPr>
                <w:color w:val="000000"/>
                <w:sz w:val="20"/>
                <w:szCs w:val="20"/>
              </w:rPr>
              <w:t>No asset procedures* due to gambling</w:t>
            </w:r>
          </w:p>
        </w:tc>
        <w:tc>
          <w:tcPr>
            <w:tcW w:w="1417" w:type="dxa"/>
            <w:noWrap/>
            <w:vAlign w:val="center"/>
            <w:hideMark/>
          </w:tcPr>
          <w:p w14:paraId="550C4E4D" w14:textId="77777777" w:rsidR="0027187C" w:rsidRPr="00F624E0" w:rsidRDefault="0027187C">
            <w:pPr>
              <w:rPr>
                <w:color w:val="000000"/>
                <w:sz w:val="20"/>
                <w:szCs w:val="20"/>
              </w:rPr>
            </w:pPr>
            <w:r w:rsidRPr="00F624E0">
              <w:rPr>
                <w:color w:val="000000"/>
                <w:sz w:val="20"/>
                <w:szCs w:val="20"/>
              </w:rPr>
              <w:t>h = e x f</w:t>
            </w:r>
          </w:p>
        </w:tc>
        <w:tc>
          <w:tcPr>
            <w:tcW w:w="1418" w:type="dxa"/>
            <w:noWrap/>
            <w:vAlign w:val="center"/>
            <w:hideMark/>
          </w:tcPr>
          <w:p w14:paraId="5424C533" w14:textId="77777777" w:rsidR="0027187C" w:rsidRPr="00F624E0" w:rsidRDefault="0027187C">
            <w:pPr>
              <w:jc w:val="right"/>
              <w:rPr>
                <w:color w:val="000000"/>
                <w:sz w:val="20"/>
                <w:szCs w:val="20"/>
              </w:rPr>
            </w:pPr>
            <w:r w:rsidRPr="00F624E0">
              <w:rPr>
                <w:color w:val="000000"/>
                <w:sz w:val="20"/>
                <w:szCs w:val="20"/>
              </w:rPr>
              <w:t>1.38</w:t>
            </w:r>
          </w:p>
        </w:tc>
      </w:tr>
      <w:tr w:rsidR="0027187C" w:rsidRPr="00F624E0" w14:paraId="4A092BCD" w14:textId="77777777" w:rsidTr="00F624E0">
        <w:trPr>
          <w:trHeight w:val="397"/>
        </w:trPr>
        <w:tc>
          <w:tcPr>
            <w:tcW w:w="6658" w:type="dxa"/>
            <w:vAlign w:val="center"/>
            <w:hideMark/>
          </w:tcPr>
          <w:p w14:paraId="318FACC8" w14:textId="77777777" w:rsidR="0027187C" w:rsidRPr="00F624E0" w:rsidRDefault="0027187C">
            <w:pPr>
              <w:rPr>
                <w:color w:val="000000"/>
                <w:sz w:val="20"/>
                <w:szCs w:val="20"/>
              </w:rPr>
            </w:pPr>
            <w:r w:rsidRPr="00F624E0">
              <w:rPr>
                <w:color w:val="000000"/>
                <w:sz w:val="20"/>
                <w:szCs w:val="20"/>
              </w:rPr>
              <w:t xml:space="preserve">Total number of gambling-related bankruptcy and insolvency cases </w:t>
            </w:r>
          </w:p>
        </w:tc>
        <w:tc>
          <w:tcPr>
            <w:tcW w:w="1417" w:type="dxa"/>
            <w:noWrap/>
            <w:vAlign w:val="center"/>
            <w:hideMark/>
          </w:tcPr>
          <w:p w14:paraId="6FE444C1" w14:textId="77777777" w:rsidR="0027187C" w:rsidRPr="00F624E0" w:rsidRDefault="0027187C">
            <w:pPr>
              <w:rPr>
                <w:color w:val="000000"/>
                <w:sz w:val="20"/>
                <w:szCs w:val="20"/>
              </w:rPr>
            </w:pPr>
            <w:r w:rsidRPr="00F624E0">
              <w:rPr>
                <w:color w:val="000000"/>
                <w:sz w:val="20"/>
                <w:szCs w:val="20"/>
              </w:rPr>
              <w:t>i = c + g + h</w:t>
            </w:r>
          </w:p>
        </w:tc>
        <w:tc>
          <w:tcPr>
            <w:tcW w:w="1418" w:type="dxa"/>
            <w:noWrap/>
            <w:vAlign w:val="center"/>
            <w:hideMark/>
          </w:tcPr>
          <w:p w14:paraId="232E809F" w14:textId="77777777" w:rsidR="0027187C" w:rsidRPr="00F624E0" w:rsidRDefault="0027187C">
            <w:pPr>
              <w:jc w:val="right"/>
              <w:rPr>
                <w:color w:val="000000"/>
                <w:sz w:val="20"/>
                <w:szCs w:val="20"/>
              </w:rPr>
            </w:pPr>
            <w:r w:rsidRPr="00F624E0">
              <w:rPr>
                <w:color w:val="000000"/>
                <w:sz w:val="20"/>
                <w:szCs w:val="20"/>
              </w:rPr>
              <w:t>11.8</w:t>
            </w:r>
          </w:p>
        </w:tc>
      </w:tr>
      <w:tr w:rsidR="0027187C" w:rsidRPr="00F624E0" w14:paraId="6F001F69" w14:textId="77777777" w:rsidTr="00F624E0">
        <w:trPr>
          <w:trHeight w:val="397"/>
        </w:trPr>
        <w:tc>
          <w:tcPr>
            <w:tcW w:w="9493" w:type="dxa"/>
            <w:gridSpan w:val="3"/>
            <w:noWrap/>
            <w:vAlign w:val="center"/>
            <w:hideMark/>
          </w:tcPr>
          <w:p w14:paraId="5CE241B8" w14:textId="77777777" w:rsidR="0027187C" w:rsidRPr="00F624E0" w:rsidRDefault="0027187C">
            <w:pPr>
              <w:rPr>
                <w:b/>
                <w:bCs/>
                <w:i/>
                <w:iCs/>
                <w:color w:val="000000"/>
                <w:sz w:val="20"/>
                <w:szCs w:val="20"/>
              </w:rPr>
            </w:pPr>
            <w:r w:rsidRPr="00F624E0">
              <w:rPr>
                <w:b/>
                <w:bCs/>
                <w:i/>
                <w:iCs/>
                <w:color w:val="000000"/>
                <w:sz w:val="20"/>
                <w:szCs w:val="20"/>
              </w:rPr>
              <w:t>Cost of administering bankruptcy and insolvency in New Zealand</w:t>
            </w:r>
          </w:p>
        </w:tc>
      </w:tr>
      <w:tr w:rsidR="0027187C" w:rsidRPr="00F624E0" w14:paraId="3AD87873" w14:textId="77777777" w:rsidTr="00F624E0">
        <w:trPr>
          <w:trHeight w:val="397"/>
        </w:trPr>
        <w:tc>
          <w:tcPr>
            <w:tcW w:w="6658" w:type="dxa"/>
            <w:noWrap/>
            <w:vAlign w:val="center"/>
            <w:hideMark/>
          </w:tcPr>
          <w:p w14:paraId="72C1EABD" w14:textId="77777777" w:rsidR="0027187C" w:rsidRPr="00F624E0" w:rsidRDefault="0027187C">
            <w:pPr>
              <w:rPr>
                <w:color w:val="000000"/>
                <w:sz w:val="20"/>
                <w:szCs w:val="20"/>
              </w:rPr>
            </w:pPr>
            <w:r w:rsidRPr="00F624E0">
              <w:rPr>
                <w:color w:val="000000"/>
                <w:sz w:val="20"/>
                <w:szCs w:val="20"/>
              </w:rPr>
              <w:t xml:space="preserve">Total number of insolvency cases </w:t>
            </w:r>
          </w:p>
        </w:tc>
        <w:tc>
          <w:tcPr>
            <w:tcW w:w="1417" w:type="dxa"/>
            <w:noWrap/>
            <w:vAlign w:val="center"/>
            <w:hideMark/>
          </w:tcPr>
          <w:p w14:paraId="14574E92" w14:textId="77777777" w:rsidR="0027187C" w:rsidRPr="00F624E0" w:rsidRDefault="0027187C">
            <w:pPr>
              <w:rPr>
                <w:color w:val="000000"/>
                <w:sz w:val="20"/>
                <w:szCs w:val="20"/>
              </w:rPr>
            </w:pPr>
            <w:r w:rsidRPr="00F624E0">
              <w:rPr>
                <w:color w:val="000000"/>
                <w:sz w:val="20"/>
                <w:szCs w:val="20"/>
              </w:rPr>
              <w:t>j = a + d + e</w:t>
            </w:r>
          </w:p>
        </w:tc>
        <w:tc>
          <w:tcPr>
            <w:tcW w:w="1418" w:type="dxa"/>
            <w:noWrap/>
            <w:vAlign w:val="center"/>
            <w:hideMark/>
          </w:tcPr>
          <w:p w14:paraId="746DFEE4" w14:textId="77777777" w:rsidR="0027187C" w:rsidRPr="00F624E0" w:rsidRDefault="0027187C">
            <w:pPr>
              <w:jc w:val="right"/>
              <w:rPr>
                <w:color w:val="000000"/>
                <w:sz w:val="20"/>
                <w:szCs w:val="20"/>
              </w:rPr>
            </w:pPr>
            <w:r w:rsidRPr="00F624E0">
              <w:rPr>
                <w:color w:val="000000"/>
                <w:sz w:val="20"/>
                <w:szCs w:val="20"/>
              </w:rPr>
              <w:t>1179</w:t>
            </w:r>
          </w:p>
        </w:tc>
      </w:tr>
      <w:tr w:rsidR="0027187C" w:rsidRPr="00F624E0" w14:paraId="35B617D6" w14:textId="77777777" w:rsidTr="00F624E0">
        <w:trPr>
          <w:trHeight w:val="397"/>
        </w:trPr>
        <w:tc>
          <w:tcPr>
            <w:tcW w:w="6658" w:type="dxa"/>
            <w:noWrap/>
            <w:vAlign w:val="center"/>
            <w:hideMark/>
          </w:tcPr>
          <w:p w14:paraId="1D91A4C7" w14:textId="77777777" w:rsidR="0027187C" w:rsidRPr="00F624E0" w:rsidRDefault="0027187C">
            <w:pPr>
              <w:rPr>
                <w:color w:val="000000"/>
                <w:sz w:val="20"/>
                <w:szCs w:val="20"/>
              </w:rPr>
            </w:pPr>
            <w:r w:rsidRPr="00F624E0">
              <w:rPr>
                <w:color w:val="000000"/>
                <w:sz w:val="20"/>
                <w:szCs w:val="20"/>
              </w:rPr>
              <w:t>Cost of carrying out the functions of the Official Assignee</w:t>
            </w:r>
          </w:p>
        </w:tc>
        <w:tc>
          <w:tcPr>
            <w:tcW w:w="1417" w:type="dxa"/>
            <w:noWrap/>
            <w:vAlign w:val="center"/>
            <w:hideMark/>
          </w:tcPr>
          <w:p w14:paraId="776B2754" w14:textId="77777777" w:rsidR="0027187C" w:rsidRPr="00F624E0" w:rsidRDefault="0027187C">
            <w:pPr>
              <w:rPr>
                <w:color w:val="000000"/>
                <w:sz w:val="20"/>
                <w:szCs w:val="20"/>
              </w:rPr>
            </w:pPr>
            <w:r w:rsidRPr="00F624E0">
              <w:rPr>
                <w:color w:val="000000"/>
                <w:sz w:val="20"/>
                <w:szCs w:val="20"/>
              </w:rPr>
              <w:t>k</w:t>
            </w:r>
          </w:p>
        </w:tc>
        <w:tc>
          <w:tcPr>
            <w:tcW w:w="1418" w:type="dxa"/>
            <w:noWrap/>
            <w:vAlign w:val="center"/>
            <w:hideMark/>
          </w:tcPr>
          <w:p w14:paraId="64D0B4D4" w14:textId="77777777" w:rsidR="0027187C" w:rsidRPr="00F624E0" w:rsidRDefault="0027187C">
            <w:pPr>
              <w:jc w:val="right"/>
              <w:rPr>
                <w:color w:val="000000"/>
                <w:sz w:val="20"/>
                <w:szCs w:val="20"/>
              </w:rPr>
            </w:pPr>
            <w:r w:rsidRPr="00F624E0">
              <w:rPr>
                <w:color w:val="000000"/>
                <w:sz w:val="20"/>
                <w:szCs w:val="20"/>
              </w:rPr>
              <w:t>$25,858,000</w:t>
            </w:r>
          </w:p>
        </w:tc>
      </w:tr>
      <w:tr w:rsidR="0027187C" w:rsidRPr="00F624E0" w14:paraId="45DE4FCF" w14:textId="77777777" w:rsidTr="00F624E0">
        <w:trPr>
          <w:trHeight w:val="397"/>
        </w:trPr>
        <w:tc>
          <w:tcPr>
            <w:tcW w:w="6658" w:type="dxa"/>
            <w:noWrap/>
            <w:vAlign w:val="center"/>
            <w:hideMark/>
          </w:tcPr>
          <w:p w14:paraId="25BD3905" w14:textId="77777777" w:rsidR="0027187C" w:rsidRPr="00F624E0" w:rsidRDefault="0027187C">
            <w:pPr>
              <w:rPr>
                <w:color w:val="000000"/>
                <w:sz w:val="20"/>
                <w:szCs w:val="20"/>
              </w:rPr>
            </w:pPr>
            <w:r w:rsidRPr="00F624E0">
              <w:rPr>
                <w:color w:val="000000"/>
                <w:sz w:val="20"/>
                <w:szCs w:val="20"/>
              </w:rPr>
              <w:t>Average cost of administering insolvency per case</w:t>
            </w:r>
          </w:p>
        </w:tc>
        <w:tc>
          <w:tcPr>
            <w:tcW w:w="1417" w:type="dxa"/>
            <w:noWrap/>
            <w:vAlign w:val="center"/>
            <w:hideMark/>
          </w:tcPr>
          <w:p w14:paraId="67414B35" w14:textId="77777777" w:rsidR="0027187C" w:rsidRPr="00F624E0" w:rsidRDefault="0027187C">
            <w:pPr>
              <w:rPr>
                <w:color w:val="000000"/>
                <w:sz w:val="20"/>
                <w:szCs w:val="20"/>
              </w:rPr>
            </w:pPr>
            <w:r w:rsidRPr="00F624E0">
              <w:rPr>
                <w:color w:val="000000"/>
                <w:sz w:val="20"/>
                <w:szCs w:val="20"/>
              </w:rPr>
              <w:t>l = k / j</w:t>
            </w:r>
          </w:p>
        </w:tc>
        <w:tc>
          <w:tcPr>
            <w:tcW w:w="1418" w:type="dxa"/>
            <w:noWrap/>
            <w:vAlign w:val="center"/>
            <w:hideMark/>
          </w:tcPr>
          <w:p w14:paraId="4EEF1AA7" w14:textId="77777777" w:rsidR="0027187C" w:rsidRPr="00F624E0" w:rsidRDefault="0027187C">
            <w:pPr>
              <w:jc w:val="right"/>
              <w:rPr>
                <w:color w:val="000000"/>
                <w:sz w:val="20"/>
                <w:szCs w:val="20"/>
              </w:rPr>
            </w:pPr>
            <w:r w:rsidRPr="00F624E0">
              <w:rPr>
                <w:color w:val="000000"/>
                <w:sz w:val="20"/>
                <w:szCs w:val="20"/>
              </w:rPr>
              <w:t>$21,932</w:t>
            </w:r>
          </w:p>
        </w:tc>
      </w:tr>
      <w:tr w:rsidR="0027187C" w:rsidRPr="00F624E0" w14:paraId="70AC8F7D" w14:textId="77777777" w:rsidTr="00F624E0">
        <w:trPr>
          <w:trHeight w:val="397"/>
        </w:trPr>
        <w:tc>
          <w:tcPr>
            <w:tcW w:w="6658" w:type="dxa"/>
            <w:vAlign w:val="center"/>
            <w:hideMark/>
          </w:tcPr>
          <w:p w14:paraId="7CA89B8D" w14:textId="77777777" w:rsidR="0027187C" w:rsidRPr="00F624E0" w:rsidRDefault="0027187C">
            <w:pPr>
              <w:rPr>
                <w:color w:val="000000"/>
                <w:sz w:val="20"/>
                <w:szCs w:val="20"/>
              </w:rPr>
            </w:pPr>
            <w:r w:rsidRPr="00F624E0">
              <w:rPr>
                <w:color w:val="000000"/>
                <w:sz w:val="20"/>
                <w:szCs w:val="20"/>
              </w:rPr>
              <w:t>Cost of gambling-related bankruptcy and insolvency administration to the New Zealand government</w:t>
            </w:r>
          </w:p>
        </w:tc>
        <w:tc>
          <w:tcPr>
            <w:tcW w:w="1417" w:type="dxa"/>
            <w:noWrap/>
            <w:vAlign w:val="center"/>
            <w:hideMark/>
          </w:tcPr>
          <w:p w14:paraId="6B646AE1" w14:textId="77777777" w:rsidR="0027187C" w:rsidRPr="00F624E0" w:rsidRDefault="0027187C">
            <w:pPr>
              <w:rPr>
                <w:color w:val="000000"/>
                <w:sz w:val="20"/>
                <w:szCs w:val="20"/>
              </w:rPr>
            </w:pPr>
            <w:r w:rsidRPr="00F624E0">
              <w:rPr>
                <w:color w:val="000000"/>
                <w:sz w:val="20"/>
                <w:szCs w:val="20"/>
              </w:rPr>
              <w:t>m = i x l</w:t>
            </w:r>
          </w:p>
        </w:tc>
        <w:tc>
          <w:tcPr>
            <w:tcW w:w="1418" w:type="dxa"/>
            <w:noWrap/>
            <w:vAlign w:val="center"/>
            <w:hideMark/>
          </w:tcPr>
          <w:p w14:paraId="066520EB" w14:textId="77777777" w:rsidR="0027187C" w:rsidRPr="00F624E0" w:rsidRDefault="0027187C">
            <w:pPr>
              <w:jc w:val="right"/>
              <w:rPr>
                <w:color w:val="000000"/>
                <w:sz w:val="20"/>
                <w:szCs w:val="20"/>
              </w:rPr>
            </w:pPr>
            <w:r w:rsidRPr="00F624E0">
              <w:rPr>
                <w:color w:val="000000"/>
                <w:sz w:val="20"/>
                <w:szCs w:val="20"/>
              </w:rPr>
              <w:t>$258,580</w:t>
            </w:r>
          </w:p>
        </w:tc>
      </w:tr>
      <w:tr w:rsidR="0027187C" w:rsidRPr="00F624E0" w14:paraId="43A321BC" w14:textId="77777777" w:rsidTr="00F624E0">
        <w:trPr>
          <w:trHeight w:val="397"/>
        </w:trPr>
        <w:tc>
          <w:tcPr>
            <w:tcW w:w="6658" w:type="dxa"/>
            <w:noWrap/>
            <w:vAlign w:val="center"/>
            <w:hideMark/>
          </w:tcPr>
          <w:p w14:paraId="2709B07D" w14:textId="77777777" w:rsidR="0027187C" w:rsidRPr="00F624E0" w:rsidRDefault="0027187C">
            <w:pPr>
              <w:rPr>
                <w:color w:val="000000"/>
                <w:sz w:val="20"/>
                <w:szCs w:val="20"/>
              </w:rPr>
            </w:pPr>
            <w:r w:rsidRPr="00F624E0">
              <w:rPr>
                <w:color w:val="000000"/>
                <w:sz w:val="20"/>
                <w:szCs w:val="20"/>
              </w:rPr>
              <w:t>Number of insolvency applications due to gambling (excluding debt repayment order)</w:t>
            </w:r>
          </w:p>
        </w:tc>
        <w:tc>
          <w:tcPr>
            <w:tcW w:w="1417" w:type="dxa"/>
            <w:noWrap/>
            <w:vAlign w:val="center"/>
            <w:hideMark/>
          </w:tcPr>
          <w:p w14:paraId="39C46B79" w14:textId="77777777" w:rsidR="0027187C" w:rsidRPr="00F624E0" w:rsidRDefault="0027187C">
            <w:pPr>
              <w:rPr>
                <w:color w:val="000000"/>
                <w:sz w:val="20"/>
                <w:szCs w:val="20"/>
              </w:rPr>
            </w:pPr>
            <w:r w:rsidRPr="00F624E0">
              <w:rPr>
                <w:color w:val="000000"/>
                <w:sz w:val="20"/>
                <w:szCs w:val="20"/>
              </w:rPr>
              <w:t>n = c + h</w:t>
            </w:r>
          </w:p>
        </w:tc>
        <w:tc>
          <w:tcPr>
            <w:tcW w:w="1418" w:type="dxa"/>
            <w:noWrap/>
            <w:vAlign w:val="center"/>
            <w:hideMark/>
          </w:tcPr>
          <w:p w14:paraId="3F5BE669" w14:textId="77777777" w:rsidR="0027187C" w:rsidRPr="00F624E0" w:rsidRDefault="0027187C">
            <w:pPr>
              <w:jc w:val="right"/>
              <w:rPr>
                <w:color w:val="000000"/>
                <w:sz w:val="20"/>
                <w:szCs w:val="20"/>
              </w:rPr>
            </w:pPr>
            <w:r w:rsidRPr="00F624E0">
              <w:rPr>
                <w:color w:val="000000"/>
                <w:sz w:val="20"/>
                <w:szCs w:val="20"/>
              </w:rPr>
              <w:t>7.7</w:t>
            </w:r>
          </w:p>
        </w:tc>
      </w:tr>
      <w:tr w:rsidR="0027187C" w:rsidRPr="00F624E0" w14:paraId="52A5D65D" w14:textId="77777777" w:rsidTr="00F624E0">
        <w:trPr>
          <w:trHeight w:val="397"/>
        </w:trPr>
        <w:tc>
          <w:tcPr>
            <w:tcW w:w="6658" w:type="dxa"/>
            <w:noWrap/>
            <w:vAlign w:val="center"/>
            <w:hideMark/>
          </w:tcPr>
          <w:p w14:paraId="64521019" w14:textId="77777777" w:rsidR="0027187C" w:rsidRPr="00F624E0" w:rsidRDefault="0027187C">
            <w:pPr>
              <w:rPr>
                <w:color w:val="000000"/>
                <w:sz w:val="20"/>
                <w:szCs w:val="20"/>
              </w:rPr>
            </w:pPr>
            <w:r w:rsidRPr="00F624E0">
              <w:rPr>
                <w:color w:val="000000"/>
                <w:sz w:val="20"/>
                <w:szCs w:val="20"/>
              </w:rPr>
              <w:t>Cost to apply for insolvency option (other than debt repayment order)</w:t>
            </w:r>
          </w:p>
        </w:tc>
        <w:tc>
          <w:tcPr>
            <w:tcW w:w="1417" w:type="dxa"/>
            <w:noWrap/>
            <w:vAlign w:val="center"/>
            <w:hideMark/>
          </w:tcPr>
          <w:p w14:paraId="3B407104" w14:textId="77777777" w:rsidR="0027187C" w:rsidRPr="00F624E0" w:rsidRDefault="0027187C">
            <w:pPr>
              <w:rPr>
                <w:color w:val="000000"/>
                <w:sz w:val="20"/>
                <w:szCs w:val="20"/>
              </w:rPr>
            </w:pPr>
            <w:r w:rsidRPr="00F624E0">
              <w:rPr>
                <w:color w:val="000000"/>
                <w:sz w:val="20"/>
                <w:szCs w:val="20"/>
              </w:rPr>
              <w:t>o</w:t>
            </w:r>
          </w:p>
        </w:tc>
        <w:tc>
          <w:tcPr>
            <w:tcW w:w="1418" w:type="dxa"/>
            <w:noWrap/>
            <w:vAlign w:val="center"/>
            <w:hideMark/>
          </w:tcPr>
          <w:p w14:paraId="323C6971" w14:textId="77777777" w:rsidR="0027187C" w:rsidRPr="00F624E0" w:rsidRDefault="0027187C">
            <w:pPr>
              <w:jc w:val="right"/>
              <w:rPr>
                <w:color w:val="000000"/>
                <w:sz w:val="20"/>
                <w:szCs w:val="20"/>
              </w:rPr>
            </w:pPr>
            <w:r w:rsidRPr="00F624E0">
              <w:rPr>
                <w:color w:val="000000"/>
                <w:sz w:val="20"/>
                <w:szCs w:val="20"/>
              </w:rPr>
              <w:t>$1,000</w:t>
            </w:r>
          </w:p>
        </w:tc>
      </w:tr>
      <w:tr w:rsidR="0027187C" w:rsidRPr="00F624E0" w14:paraId="49BA17F9" w14:textId="77777777" w:rsidTr="00F624E0">
        <w:trPr>
          <w:trHeight w:val="397"/>
        </w:trPr>
        <w:tc>
          <w:tcPr>
            <w:tcW w:w="6658" w:type="dxa"/>
            <w:noWrap/>
            <w:vAlign w:val="center"/>
            <w:hideMark/>
          </w:tcPr>
          <w:p w14:paraId="3F1D7E1C" w14:textId="77777777" w:rsidR="0027187C" w:rsidRPr="00F624E0" w:rsidRDefault="0027187C">
            <w:pPr>
              <w:rPr>
                <w:color w:val="000000"/>
                <w:sz w:val="20"/>
                <w:szCs w:val="20"/>
              </w:rPr>
            </w:pPr>
            <w:r w:rsidRPr="00F624E0">
              <w:rPr>
                <w:color w:val="000000"/>
                <w:sz w:val="20"/>
                <w:szCs w:val="20"/>
              </w:rPr>
              <w:t>Cost of applying for insolvency to people with gambling problems</w:t>
            </w:r>
          </w:p>
        </w:tc>
        <w:tc>
          <w:tcPr>
            <w:tcW w:w="1417" w:type="dxa"/>
            <w:noWrap/>
            <w:vAlign w:val="center"/>
            <w:hideMark/>
          </w:tcPr>
          <w:p w14:paraId="697BC738" w14:textId="77777777" w:rsidR="0027187C" w:rsidRPr="00F624E0" w:rsidRDefault="0027187C">
            <w:pPr>
              <w:rPr>
                <w:color w:val="000000"/>
                <w:sz w:val="20"/>
                <w:szCs w:val="20"/>
              </w:rPr>
            </w:pPr>
            <w:r w:rsidRPr="00F624E0">
              <w:rPr>
                <w:color w:val="000000"/>
                <w:sz w:val="20"/>
                <w:szCs w:val="20"/>
              </w:rPr>
              <w:t>p = o x n</w:t>
            </w:r>
          </w:p>
        </w:tc>
        <w:tc>
          <w:tcPr>
            <w:tcW w:w="1418" w:type="dxa"/>
            <w:noWrap/>
            <w:vAlign w:val="center"/>
            <w:hideMark/>
          </w:tcPr>
          <w:p w14:paraId="4C96A162" w14:textId="77777777" w:rsidR="0027187C" w:rsidRPr="00F624E0" w:rsidRDefault="0027187C">
            <w:pPr>
              <w:jc w:val="right"/>
              <w:rPr>
                <w:color w:val="000000"/>
                <w:sz w:val="20"/>
                <w:szCs w:val="20"/>
              </w:rPr>
            </w:pPr>
            <w:r w:rsidRPr="00F624E0">
              <w:rPr>
                <w:color w:val="000000"/>
                <w:sz w:val="20"/>
                <w:szCs w:val="20"/>
              </w:rPr>
              <w:t>$7,660</w:t>
            </w:r>
          </w:p>
        </w:tc>
      </w:tr>
      <w:tr w:rsidR="0027187C" w:rsidRPr="00F624E0" w14:paraId="576FFB4C" w14:textId="77777777" w:rsidTr="00F624E0">
        <w:trPr>
          <w:trHeight w:val="397"/>
        </w:trPr>
        <w:tc>
          <w:tcPr>
            <w:tcW w:w="6658" w:type="dxa"/>
            <w:shd w:val="clear" w:color="auto" w:fill="F2F2F2" w:themeFill="background1" w:themeFillShade="F2"/>
            <w:noWrap/>
            <w:vAlign w:val="center"/>
            <w:hideMark/>
          </w:tcPr>
          <w:p w14:paraId="03369077" w14:textId="77777777" w:rsidR="0027187C" w:rsidRPr="00F624E0" w:rsidRDefault="0027187C">
            <w:pPr>
              <w:rPr>
                <w:b/>
                <w:bCs/>
                <w:color w:val="000000"/>
                <w:sz w:val="20"/>
                <w:szCs w:val="20"/>
              </w:rPr>
            </w:pPr>
            <w:r w:rsidRPr="00F624E0">
              <w:rPr>
                <w:b/>
                <w:bCs/>
                <w:color w:val="000000"/>
                <w:sz w:val="20"/>
                <w:szCs w:val="20"/>
              </w:rPr>
              <w:t>Total cost of bankruptcy and insolvency administration</w:t>
            </w:r>
          </w:p>
        </w:tc>
        <w:tc>
          <w:tcPr>
            <w:tcW w:w="1417" w:type="dxa"/>
            <w:shd w:val="clear" w:color="auto" w:fill="F2F2F2" w:themeFill="background1" w:themeFillShade="F2"/>
            <w:noWrap/>
            <w:vAlign w:val="center"/>
            <w:hideMark/>
          </w:tcPr>
          <w:p w14:paraId="5F50D303" w14:textId="77777777" w:rsidR="0027187C" w:rsidRPr="00F624E0" w:rsidRDefault="0027187C">
            <w:pPr>
              <w:rPr>
                <w:b/>
                <w:bCs/>
                <w:color w:val="000000"/>
                <w:sz w:val="20"/>
                <w:szCs w:val="20"/>
              </w:rPr>
            </w:pPr>
            <w:r w:rsidRPr="00F624E0">
              <w:rPr>
                <w:b/>
                <w:bCs/>
                <w:color w:val="000000"/>
                <w:sz w:val="20"/>
                <w:szCs w:val="20"/>
              </w:rPr>
              <w:t>q = m + p</w:t>
            </w:r>
          </w:p>
        </w:tc>
        <w:tc>
          <w:tcPr>
            <w:tcW w:w="1418" w:type="dxa"/>
            <w:shd w:val="clear" w:color="auto" w:fill="F2F2F2" w:themeFill="background1" w:themeFillShade="F2"/>
            <w:noWrap/>
            <w:vAlign w:val="center"/>
            <w:hideMark/>
          </w:tcPr>
          <w:p w14:paraId="3ABBF342" w14:textId="77777777" w:rsidR="0027187C" w:rsidRPr="00F624E0" w:rsidRDefault="0027187C">
            <w:pPr>
              <w:jc w:val="right"/>
              <w:rPr>
                <w:b/>
                <w:bCs/>
                <w:color w:val="000000"/>
                <w:sz w:val="20"/>
                <w:szCs w:val="20"/>
              </w:rPr>
            </w:pPr>
            <w:r w:rsidRPr="00F624E0">
              <w:rPr>
                <w:b/>
                <w:bCs/>
                <w:color w:val="000000"/>
                <w:sz w:val="20"/>
                <w:szCs w:val="20"/>
              </w:rPr>
              <w:t>$266,240</w:t>
            </w:r>
          </w:p>
        </w:tc>
      </w:tr>
      <w:tr w:rsidR="0027187C" w:rsidRPr="00F624E0" w14:paraId="285719DC" w14:textId="77777777" w:rsidTr="00F624E0">
        <w:trPr>
          <w:trHeight w:val="397"/>
        </w:trPr>
        <w:tc>
          <w:tcPr>
            <w:tcW w:w="9493" w:type="dxa"/>
            <w:gridSpan w:val="3"/>
            <w:noWrap/>
            <w:vAlign w:val="center"/>
            <w:hideMark/>
          </w:tcPr>
          <w:p w14:paraId="7E088805" w14:textId="77777777" w:rsidR="0027187C" w:rsidRPr="00F624E0" w:rsidRDefault="0027187C">
            <w:pPr>
              <w:rPr>
                <w:b/>
                <w:bCs/>
                <w:i/>
                <w:iCs/>
                <w:color w:val="000000"/>
                <w:sz w:val="20"/>
                <w:szCs w:val="20"/>
              </w:rPr>
            </w:pPr>
            <w:r w:rsidRPr="00F624E0">
              <w:rPr>
                <w:b/>
                <w:bCs/>
                <w:i/>
                <w:iCs/>
                <w:color w:val="000000"/>
                <w:sz w:val="20"/>
                <w:szCs w:val="20"/>
              </w:rPr>
              <w:t>Unpaid debt per person who experienced insolvency attributed to gambling</w:t>
            </w:r>
          </w:p>
        </w:tc>
      </w:tr>
      <w:tr w:rsidR="0027187C" w:rsidRPr="00F624E0" w14:paraId="36F6FD0A" w14:textId="77777777" w:rsidTr="00F624E0">
        <w:trPr>
          <w:trHeight w:val="397"/>
        </w:trPr>
        <w:tc>
          <w:tcPr>
            <w:tcW w:w="6658" w:type="dxa"/>
            <w:noWrap/>
            <w:vAlign w:val="center"/>
            <w:hideMark/>
          </w:tcPr>
          <w:p w14:paraId="3087D1EF" w14:textId="77777777" w:rsidR="0027187C" w:rsidRPr="00F624E0" w:rsidRDefault="0027187C">
            <w:pPr>
              <w:rPr>
                <w:color w:val="000000"/>
                <w:sz w:val="20"/>
                <w:szCs w:val="20"/>
              </w:rPr>
            </w:pPr>
            <w:r w:rsidRPr="00F624E0">
              <w:rPr>
                <w:color w:val="000000"/>
                <w:sz w:val="20"/>
                <w:szCs w:val="20"/>
              </w:rPr>
              <w:t>Average bankruptcy related unpaid debt per person</w:t>
            </w:r>
          </w:p>
        </w:tc>
        <w:tc>
          <w:tcPr>
            <w:tcW w:w="1417" w:type="dxa"/>
            <w:noWrap/>
            <w:vAlign w:val="center"/>
            <w:hideMark/>
          </w:tcPr>
          <w:p w14:paraId="658D7C76" w14:textId="77777777" w:rsidR="0027187C" w:rsidRPr="00F624E0" w:rsidRDefault="0027187C">
            <w:pPr>
              <w:rPr>
                <w:color w:val="000000"/>
                <w:sz w:val="20"/>
                <w:szCs w:val="20"/>
              </w:rPr>
            </w:pPr>
            <w:r w:rsidRPr="00F624E0">
              <w:rPr>
                <w:color w:val="000000"/>
                <w:sz w:val="20"/>
                <w:szCs w:val="20"/>
              </w:rPr>
              <w:t>r</w:t>
            </w:r>
          </w:p>
        </w:tc>
        <w:tc>
          <w:tcPr>
            <w:tcW w:w="1418" w:type="dxa"/>
            <w:noWrap/>
            <w:vAlign w:val="center"/>
            <w:hideMark/>
          </w:tcPr>
          <w:p w14:paraId="7FECB55F" w14:textId="77777777" w:rsidR="0027187C" w:rsidRPr="00F624E0" w:rsidRDefault="0027187C">
            <w:pPr>
              <w:jc w:val="right"/>
              <w:rPr>
                <w:color w:val="000000"/>
                <w:sz w:val="20"/>
                <w:szCs w:val="20"/>
              </w:rPr>
            </w:pPr>
            <w:r w:rsidRPr="00F624E0">
              <w:rPr>
                <w:color w:val="000000"/>
                <w:sz w:val="20"/>
                <w:szCs w:val="20"/>
              </w:rPr>
              <w:t>$106,500</w:t>
            </w:r>
          </w:p>
        </w:tc>
      </w:tr>
      <w:tr w:rsidR="0027187C" w:rsidRPr="00F624E0" w14:paraId="5EC67FC7" w14:textId="77777777" w:rsidTr="00F624E0">
        <w:trPr>
          <w:trHeight w:val="397"/>
        </w:trPr>
        <w:tc>
          <w:tcPr>
            <w:tcW w:w="6658" w:type="dxa"/>
            <w:noWrap/>
            <w:vAlign w:val="center"/>
            <w:hideMark/>
          </w:tcPr>
          <w:p w14:paraId="3C564851" w14:textId="77777777" w:rsidR="0027187C" w:rsidRPr="00F624E0" w:rsidRDefault="0027187C">
            <w:pPr>
              <w:rPr>
                <w:color w:val="000000"/>
                <w:sz w:val="20"/>
                <w:szCs w:val="20"/>
              </w:rPr>
            </w:pPr>
            <w:r w:rsidRPr="00F624E0">
              <w:rPr>
                <w:color w:val="000000"/>
                <w:sz w:val="20"/>
                <w:szCs w:val="20"/>
              </w:rPr>
              <w:t>Average Debt Repayment Order related unpaid debt per person</w:t>
            </w:r>
          </w:p>
        </w:tc>
        <w:tc>
          <w:tcPr>
            <w:tcW w:w="1417" w:type="dxa"/>
            <w:noWrap/>
            <w:vAlign w:val="center"/>
            <w:hideMark/>
          </w:tcPr>
          <w:p w14:paraId="5521238A" w14:textId="77777777" w:rsidR="0027187C" w:rsidRPr="00F624E0" w:rsidRDefault="0027187C">
            <w:pPr>
              <w:rPr>
                <w:color w:val="000000"/>
                <w:sz w:val="20"/>
                <w:szCs w:val="20"/>
              </w:rPr>
            </w:pPr>
            <w:r w:rsidRPr="00F624E0">
              <w:rPr>
                <w:color w:val="000000"/>
                <w:sz w:val="20"/>
                <w:szCs w:val="20"/>
              </w:rPr>
              <w:t>s</w:t>
            </w:r>
          </w:p>
        </w:tc>
        <w:tc>
          <w:tcPr>
            <w:tcW w:w="1418" w:type="dxa"/>
            <w:noWrap/>
            <w:vAlign w:val="center"/>
            <w:hideMark/>
          </w:tcPr>
          <w:p w14:paraId="735D5659" w14:textId="77777777" w:rsidR="0027187C" w:rsidRPr="00F624E0" w:rsidRDefault="0027187C">
            <w:pPr>
              <w:jc w:val="right"/>
              <w:rPr>
                <w:color w:val="000000"/>
                <w:sz w:val="20"/>
                <w:szCs w:val="20"/>
              </w:rPr>
            </w:pPr>
            <w:r w:rsidRPr="00F624E0">
              <w:rPr>
                <w:color w:val="000000"/>
                <w:sz w:val="20"/>
                <w:szCs w:val="20"/>
              </w:rPr>
              <w:t>$24,030</w:t>
            </w:r>
          </w:p>
        </w:tc>
      </w:tr>
      <w:tr w:rsidR="0027187C" w:rsidRPr="00F624E0" w14:paraId="67CDB6B5" w14:textId="77777777" w:rsidTr="00F624E0">
        <w:trPr>
          <w:trHeight w:val="397"/>
        </w:trPr>
        <w:tc>
          <w:tcPr>
            <w:tcW w:w="6658" w:type="dxa"/>
            <w:noWrap/>
            <w:vAlign w:val="center"/>
            <w:hideMark/>
          </w:tcPr>
          <w:p w14:paraId="0020E145" w14:textId="77777777" w:rsidR="0027187C" w:rsidRPr="00F624E0" w:rsidRDefault="0027187C">
            <w:pPr>
              <w:rPr>
                <w:color w:val="000000"/>
                <w:sz w:val="20"/>
                <w:szCs w:val="20"/>
              </w:rPr>
            </w:pPr>
            <w:r w:rsidRPr="00F624E0">
              <w:rPr>
                <w:color w:val="000000"/>
                <w:sz w:val="20"/>
                <w:szCs w:val="20"/>
              </w:rPr>
              <w:t>Average No Asset Procedure related unpaid debt per person</w:t>
            </w:r>
          </w:p>
        </w:tc>
        <w:tc>
          <w:tcPr>
            <w:tcW w:w="1417" w:type="dxa"/>
            <w:noWrap/>
            <w:vAlign w:val="center"/>
            <w:hideMark/>
          </w:tcPr>
          <w:p w14:paraId="086EBDBB" w14:textId="77777777" w:rsidR="0027187C" w:rsidRPr="00F624E0" w:rsidRDefault="0027187C">
            <w:pPr>
              <w:rPr>
                <w:color w:val="000000"/>
                <w:sz w:val="20"/>
                <w:szCs w:val="20"/>
              </w:rPr>
            </w:pPr>
            <w:r w:rsidRPr="00F624E0">
              <w:rPr>
                <w:color w:val="000000"/>
                <w:sz w:val="20"/>
                <w:szCs w:val="20"/>
              </w:rPr>
              <w:t>t</w:t>
            </w:r>
          </w:p>
        </w:tc>
        <w:tc>
          <w:tcPr>
            <w:tcW w:w="1418" w:type="dxa"/>
            <w:noWrap/>
            <w:vAlign w:val="center"/>
            <w:hideMark/>
          </w:tcPr>
          <w:p w14:paraId="1B71621D" w14:textId="77777777" w:rsidR="0027187C" w:rsidRPr="00F624E0" w:rsidRDefault="0027187C">
            <w:pPr>
              <w:jc w:val="right"/>
              <w:rPr>
                <w:color w:val="000000"/>
                <w:sz w:val="20"/>
                <w:szCs w:val="20"/>
              </w:rPr>
            </w:pPr>
            <w:r w:rsidRPr="00F624E0">
              <w:rPr>
                <w:color w:val="000000"/>
                <w:sz w:val="20"/>
                <w:szCs w:val="20"/>
              </w:rPr>
              <w:t>$24,270</w:t>
            </w:r>
          </w:p>
        </w:tc>
      </w:tr>
      <w:tr w:rsidR="0027187C" w:rsidRPr="00F624E0" w14:paraId="13B84B7C" w14:textId="77777777" w:rsidTr="00F624E0">
        <w:trPr>
          <w:trHeight w:val="397"/>
        </w:trPr>
        <w:tc>
          <w:tcPr>
            <w:tcW w:w="6658" w:type="dxa"/>
            <w:noWrap/>
            <w:vAlign w:val="center"/>
            <w:hideMark/>
          </w:tcPr>
          <w:p w14:paraId="59E739F2" w14:textId="77777777" w:rsidR="0027187C" w:rsidRPr="00F624E0" w:rsidRDefault="0027187C">
            <w:pPr>
              <w:rPr>
                <w:color w:val="000000"/>
                <w:sz w:val="20"/>
                <w:szCs w:val="20"/>
              </w:rPr>
            </w:pPr>
            <w:r w:rsidRPr="00F624E0">
              <w:rPr>
                <w:color w:val="000000"/>
                <w:sz w:val="20"/>
                <w:szCs w:val="20"/>
              </w:rPr>
              <w:t xml:space="preserve">Total cost of bankruptcy to people with gambling problems </w:t>
            </w:r>
          </w:p>
        </w:tc>
        <w:tc>
          <w:tcPr>
            <w:tcW w:w="1417" w:type="dxa"/>
            <w:noWrap/>
            <w:vAlign w:val="center"/>
            <w:hideMark/>
          </w:tcPr>
          <w:p w14:paraId="16A6E8A3" w14:textId="77777777" w:rsidR="0027187C" w:rsidRPr="00F624E0" w:rsidRDefault="0027187C">
            <w:pPr>
              <w:rPr>
                <w:color w:val="000000"/>
                <w:sz w:val="20"/>
                <w:szCs w:val="20"/>
              </w:rPr>
            </w:pPr>
            <w:r w:rsidRPr="00F624E0">
              <w:rPr>
                <w:color w:val="000000"/>
                <w:sz w:val="20"/>
                <w:szCs w:val="20"/>
              </w:rPr>
              <w:t>u = c x r</w:t>
            </w:r>
          </w:p>
        </w:tc>
        <w:tc>
          <w:tcPr>
            <w:tcW w:w="1418" w:type="dxa"/>
            <w:noWrap/>
            <w:vAlign w:val="center"/>
            <w:hideMark/>
          </w:tcPr>
          <w:p w14:paraId="1C376206" w14:textId="77777777" w:rsidR="0027187C" w:rsidRPr="00F624E0" w:rsidRDefault="0027187C">
            <w:pPr>
              <w:jc w:val="right"/>
              <w:rPr>
                <w:color w:val="000000"/>
                <w:sz w:val="20"/>
                <w:szCs w:val="20"/>
              </w:rPr>
            </w:pPr>
            <w:r w:rsidRPr="00F624E0">
              <w:rPr>
                <w:color w:val="000000"/>
                <w:sz w:val="20"/>
                <w:szCs w:val="20"/>
              </w:rPr>
              <w:t>$668,818</w:t>
            </w:r>
          </w:p>
        </w:tc>
      </w:tr>
      <w:tr w:rsidR="0027187C" w:rsidRPr="00F624E0" w14:paraId="1B4A9A32" w14:textId="77777777" w:rsidTr="00F624E0">
        <w:trPr>
          <w:trHeight w:val="397"/>
        </w:trPr>
        <w:tc>
          <w:tcPr>
            <w:tcW w:w="6658" w:type="dxa"/>
            <w:noWrap/>
            <w:vAlign w:val="center"/>
            <w:hideMark/>
          </w:tcPr>
          <w:p w14:paraId="20349C94" w14:textId="77777777" w:rsidR="0027187C" w:rsidRPr="00F624E0" w:rsidRDefault="0027187C">
            <w:pPr>
              <w:rPr>
                <w:color w:val="000000"/>
                <w:sz w:val="20"/>
                <w:szCs w:val="20"/>
              </w:rPr>
            </w:pPr>
            <w:r w:rsidRPr="00F624E0">
              <w:rPr>
                <w:color w:val="000000"/>
                <w:sz w:val="20"/>
                <w:szCs w:val="20"/>
              </w:rPr>
              <w:t xml:space="preserve">Total cost of Debt Repayment Orders to people with gambling problems </w:t>
            </w:r>
          </w:p>
        </w:tc>
        <w:tc>
          <w:tcPr>
            <w:tcW w:w="1417" w:type="dxa"/>
            <w:noWrap/>
            <w:vAlign w:val="center"/>
            <w:hideMark/>
          </w:tcPr>
          <w:p w14:paraId="1D67AD03" w14:textId="77777777" w:rsidR="0027187C" w:rsidRPr="00F624E0" w:rsidRDefault="0027187C">
            <w:pPr>
              <w:rPr>
                <w:color w:val="000000"/>
                <w:sz w:val="20"/>
                <w:szCs w:val="20"/>
              </w:rPr>
            </w:pPr>
            <w:r w:rsidRPr="00F624E0">
              <w:rPr>
                <w:color w:val="000000"/>
                <w:sz w:val="20"/>
                <w:szCs w:val="20"/>
              </w:rPr>
              <w:t>v = g x s</w:t>
            </w:r>
          </w:p>
        </w:tc>
        <w:tc>
          <w:tcPr>
            <w:tcW w:w="1418" w:type="dxa"/>
            <w:noWrap/>
            <w:vAlign w:val="center"/>
            <w:hideMark/>
          </w:tcPr>
          <w:p w14:paraId="2D651E5D" w14:textId="77777777" w:rsidR="0027187C" w:rsidRPr="00F624E0" w:rsidRDefault="0027187C">
            <w:pPr>
              <w:jc w:val="right"/>
              <w:rPr>
                <w:color w:val="000000"/>
                <w:sz w:val="20"/>
                <w:szCs w:val="20"/>
              </w:rPr>
            </w:pPr>
            <w:r w:rsidRPr="00F624E0">
              <w:rPr>
                <w:color w:val="000000"/>
                <w:sz w:val="20"/>
                <w:szCs w:val="20"/>
              </w:rPr>
              <w:t>$99,244</w:t>
            </w:r>
          </w:p>
        </w:tc>
      </w:tr>
      <w:tr w:rsidR="0027187C" w:rsidRPr="00F624E0" w14:paraId="514674CA" w14:textId="77777777" w:rsidTr="00F624E0">
        <w:trPr>
          <w:trHeight w:val="397"/>
        </w:trPr>
        <w:tc>
          <w:tcPr>
            <w:tcW w:w="6658" w:type="dxa"/>
            <w:noWrap/>
            <w:vAlign w:val="center"/>
            <w:hideMark/>
          </w:tcPr>
          <w:p w14:paraId="180A43C9" w14:textId="77777777" w:rsidR="0027187C" w:rsidRPr="00F624E0" w:rsidRDefault="0027187C">
            <w:pPr>
              <w:rPr>
                <w:color w:val="000000"/>
                <w:sz w:val="20"/>
                <w:szCs w:val="20"/>
              </w:rPr>
            </w:pPr>
            <w:r w:rsidRPr="00F624E0">
              <w:rPr>
                <w:color w:val="000000"/>
                <w:sz w:val="20"/>
                <w:szCs w:val="20"/>
              </w:rPr>
              <w:t xml:space="preserve">Total cost of No Asset Procedures to people with gambling problems </w:t>
            </w:r>
          </w:p>
        </w:tc>
        <w:tc>
          <w:tcPr>
            <w:tcW w:w="1417" w:type="dxa"/>
            <w:noWrap/>
            <w:vAlign w:val="center"/>
            <w:hideMark/>
          </w:tcPr>
          <w:p w14:paraId="5CD744C5" w14:textId="77777777" w:rsidR="0027187C" w:rsidRPr="00F624E0" w:rsidRDefault="0027187C">
            <w:pPr>
              <w:rPr>
                <w:color w:val="000000"/>
                <w:sz w:val="20"/>
                <w:szCs w:val="20"/>
              </w:rPr>
            </w:pPr>
            <w:r w:rsidRPr="00F624E0">
              <w:rPr>
                <w:color w:val="000000"/>
                <w:sz w:val="20"/>
                <w:szCs w:val="20"/>
              </w:rPr>
              <w:t>w = h x t</w:t>
            </w:r>
          </w:p>
        </w:tc>
        <w:tc>
          <w:tcPr>
            <w:tcW w:w="1418" w:type="dxa"/>
            <w:noWrap/>
            <w:vAlign w:val="center"/>
            <w:hideMark/>
          </w:tcPr>
          <w:p w14:paraId="49760FBC" w14:textId="77777777" w:rsidR="0027187C" w:rsidRPr="00F624E0" w:rsidRDefault="0027187C">
            <w:pPr>
              <w:jc w:val="right"/>
              <w:rPr>
                <w:color w:val="000000"/>
                <w:sz w:val="20"/>
                <w:szCs w:val="20"/>
              </w:rPr>
            </w:pPr>
            <w:r w:rsidRPr="00F624E0">
              <w:rPr>
                <w:color w:val="000000"/>
                <w:sz w:val="20"/>
                <w:szCs w:val="20"/>
              </w:rPr>
              <w:t>$33,493</w:t>
            </w:r>
          </w:p>
        </w:tc>
      </w:tr>
      <w:tr w:rsidR="0027187C" w:rsidRPr="00F624E0" w14:paraId="53097DDF" w14:textId="77777777" w:rsidTr="00F624E0">
        <w:trPr>
          <w:trHeight w:val="397"/>
        </w:trPr>
        <w:tc>
          <w:tcPr>
            <w:tcW w:w="6658" w:type="dxa"/>
            <w:shd w:val="clear" w:color="auto" w:fill="F2F2F2" w:themeFill="background1" w:themeFillShade="F2"/>
            <w:noWrap/>
            <w:vAlign w:val="center"/>
            <w:hideMark/>
          </w:tcPr>
          <w:p w14:paraId="16FB4CE4" w14:textId="77777777" w:rsidR="0027187C" w:rsidRPr="00F624E0" w:rsidRDefault="0027187C">
            <w:pPr>
              <w:rPr>
                <w:b/>
                <w:bCs/>
                <w:color w:val="000000"/>
                <w:sz w:val="20"/>
                <w:szCs w:val="20"/>
              </w:rPr>
            </w:pPr>
            <w:r w:rsidRPr="00F624E0">
              <w:rPr>
                <w:b/>
                <w:bCs/>
                <w:color w:val="000000"/>
                <w:sz w:val="20"/>
                <w:szCs w:val="20"/>
              </w:rPr>
              <w:t>Total unpaid debt burden per person</w:t>
            </w:r>
          </w:p>
        </w:tc>
        <w:tc>
          <w:tcPr>
            <w:tcW w:w="1417" w:type="dxa"/>
            <w:shd w:val="clear" w:color="auto" w:fill="F2F2F2" w:themeFill="background1" w:themeFillShade="F2"/>
            <w:noWrap/>
            <w:vAlign w:val="center"/>
            <w:hideMark/>
          </w:tcPr>
          <w:p w14:paraId="41C182B2" w14:textId="77777777" w:rsidR="0027187C" w:rsidRPr="00F624E0" w:rsidRDefault="0027187C">
            <w:pPr>
              <w:rPr>
                <w:b/>
                <w:bCs/>
                <w:color w:val="000000"/>
                <w:sz w:val="20"/>
                <w:szCs w:val="20"/>
              </w:rPr>
            </w:pPr>
            <w:r w:rsidRPr="00F624E0">
              <w:rPr>
                <w:b/>
                <w:bCs/>
                <w:color w:val="000000"/>
                <w:sz w:val="20"/>
                <w:szCs w:val="20"/>
              </w:rPr>
              <w:t>x = u + v + w</w:t>
            </w:r>
          </w:p>
        </w:tc>
        <w:tc>
          <w:tcPr>
            <w:tcW w:w="1418" w:type="dxa"/>
            <w:shd w:val="clear" w:color="auto" w:fill="F2F2F2" w:themeFill="background1" w:themeFillShade="F2"/>
            <w:noWrap/>
            <w:vAlign w:val="center"/>
            <w:hideMark/>
          </w:tcPr>
          <w:p w14:paraId="37BFC586" w14:textId="77777777" w:rsidR="0027187C" w:rsidRPr="00F624E0" w:rsidRDefault="0027187C">
            <w:pPr>
              <w:jc w:val="right"/>
              <w:rPr>
                <w:b/>
                <w:bCs/>
                <w:color w:val="000000"/>
                <w:sz w:val="20"/>
                <w:szCs w:val="20"/>
              </w:rPr>
            </w:pPr>
            <w:r w:rsidRPr="00F624E0">
              <w:rPr>
                <w:b/>
                <w:bCs/>
                <w:color w:val="000000"/>
                <w:sz w:val="20"/>
                <w:szCs w:val="20"/>
              </w:rPr>
              <w:t>$801,554</w:t>
            </w:r>
          </w:p>
        </w:tc>
      </w:tr>
      <w:tr w:rsidR="0027187C" w:rsidRPr="00F624E0" w14:paraId="56B16B29" w14:textId="77777777" w:rsidTr="00F624E0">
        <w:trPr>
          <w:trHeight w:val="397"/>
        </w:trPr>
        <w:tc>
          <w:tcPr>
            <w:tcW w:w="6658" w:type="dxa"/>
            <w:shd w:val="clear" w:color="auto" w:fill="F2F2F2" w:themeFill="background1" w:themeFillShade="F2"/>
            <w:noWrap/>
            <w:vAlign w:val="center"/>
            <w:hideMark/>
          </w:tcPr>
          <w:p w14:paraId="2E2EA5D6" w14:textId="77777777" w:rsidR="0027187C" w:rsidRPr="00F624E0" w:rsidRDefault="0027187C">
            <w:pPr>
              <w:rPr>
                <w:b/>
                <w:bCs/>
                <w:color w:val="000000"/>
                <w:sz w:val="20"/>
                <w:szCs w:val="20"/>
              </w:rPr>
            </w:pPr>
            <w:r w:rsidRPr="00F624E0">
              <w:rPr>
                <w:b/>
                <w:bCs/>
                <w:color w:val="000000"/>
                <w:sz w:val="20"/>
                <w:szCs w:val="20"/>
              </w:rPr>
              <w:t xml:space="preserve">Total cost of gambling-related bankruptcy and insolvency </w:t>
            </w:r>
          </w:p>
        </w:tc>
        <w:tc>
          <w:tcPr>
            <w:tcW w:w="1417" w:type="dxa"/>
            <w:shd w:val="clear" w:color="auto" w:fill="F2F2F2" w:themeFill="background1" w:themeFillShade="F2"/>
            <w:noWrap/>
            <w:vAlign w:val="center"/>
            <w:hideMark/>
          </w:tcPr>
          <w:p w14:paraId="4E9CC3B4" w14:textId="77777777" w:rsidR="0027187C" w:rsidRPr="00F624E0" w:rsidRDefault="0027187C">
            <w:pPr>
              <w:rPr>
                <w:b/>
                <w:bCs/>
                <w:color w:val="000000"/>
                <w:sz w:val="20"/>
                <w:szCs w:val="20"/>
              </w:rPr>
            </w:pPr>
            <w:r w:rsidRPr="00F624E0">
              <w:rPr>
                <w:b/>
                <w:bCs/>
                <w:color w:val="000000"/>
                <w:sz w:val="20"/>
                <w:szCs w:val="20"/>
              </w:rPr>
              <w:t>y = q + x</w:t>
            </w:r>
          </w:p>
        </w:tc>
        <w:tc>
          <w:tcPr>
            <w:tcW w:w="1418" w:type="dxa"/>
            <w:shd w:val="clear" w:color="auto" w:fill="F2F2F2" w:themeFill="background1" w:themeFillShade="F2"/>
            <w:noWrap/>
            <w:vAlign w:val="center"/>
            <w:hideMark/>
          </w:tcPr>
          <w:p w14:paraId="6F0CBCBC" w14:textId="77777777" w:rsidR="0027187C" w:rsidRPr="00F624E0" w:rsidRDefault="0027187C">
            <w:pPr>
              <w:jc w:val="right"/>
              <w:rPr>
                <w:b/>
                <w:bCs/>
                <w:color w:val="000000"/>
                <w:sz w:val="20"/>
                <w:szCs w:val="20"/>
              </w:rPr>
            </w:pPr>
            <w:r w:rsidRPr="00F624E0">
              <w:rPr>
                <w:b/>
                <w:bCs/>
                <w:color w:val="000000"/>
                <w:sz w:val="20"/>
                <w:szCs w:val="20"/>
              </w:rPr>
              <w:t>$1,067,794</w:t>
            </w:r>
          </w:p>
        </w:tc>
      </w:tr>
      <w:tr w:rsidR="0027187C" w:rsidRPr="00F624E0" w14:paraId="227F3BE7" w14:textId="77777777" w:rsidTr="00F624E0">
        <w:trPr>
          <w:trHeight w:val="397"/>
        </w:trPr>
        <w:tc>
          <w:tcPr>
            <w:tcW w:w="8075" w:type="dxa"/>
            <w:gridSpan w:val="2"/>
            <w:noWrap/>
            <w:vAlign w:val="center"/>
            <w:hideMark/>
          </w:tcPr>
          <w:p w14:paraId="6F68EF44" w14:textId="77777777" w:rsidR="0027187C" w:rsidRPr="00F624E0" w:rsidRDefault="0027187C">
            <w:pPr>
              <w:rPr>
                <w:color w:val="000000"/>
                <w:sz w:val="20"/>
                <w:szCs w:val="20"/>
              </w:rPr>
            </w:pPr>
            <w:r w:rsidRPr="00F624E0">
              <w:rPr>
                <w:color w:val="000000"/>
                <w:sz w:val="20"/>
                <w:szCs w:val="20"/>
              </w:rPr>
              <w:t>Lower Bound</w:t>
            </w:r>
          </w:p>
        </w:tc>
        <w:tc>
          <w:tcPr>
            <w:tcW w:w="1418" w:type="dxa"/>
            <w:vAlign w:val="center"/>
            <w:hideMark/>
          </w:tcPr>
          <w:p w14:paraId="27AFE8B5" w14:textId="77777777" w:rsidR="0027187C" w:rsidRPr="00F624E0" w:rsidRDefault="0027187C">
            <w:pPr>
              <w:jc w:val="right"/>
              <w:rPr>
                <w:color w:val="000000"/>
                <w:sz w:val="20"/>
                <w:szCs w:val="20"/>
              </w:rPr>
            </w:pPr>
            <w:r w:rsidRPr="00F624E0">
              <w:rPr>
                <w:color w:val="000000"/>
                <w:sz w:val="20"/>
                <w:szCs w:val="20"/>
              </w:rPr>
              <w:t>$1,014,404</w:t>
            </w:r>
          </w:p>
        </w:tc>
      </w:tr>
      <w:tr w:rsidR="0027187C" w:rsidRPr="00F624E0" w14:paraId="23887429" w14:textId="77777777" w:rsidTr="00F624E0">
        <w:trPr>
          <w:trHeight w:val="397"/>
        </w:trPr>
        <w:tc>
          <w:tcPr>
            <w:tcW w:w="8075" w:type="dxa"/>
            <w:gridSpan w:val="2"/>
            <w:noWrap/>
            <w:vAlign w:val="center"/>
            <w:hideMark/>
          </w:tcPr>
          <w:p w14:paraId="0629BFB9" w14:textId="77777777" w:rsidR="0027187C" w:rsidRPr="00F624E0" w:rsidRDefault="0027187C">
            <w:pPr>
              <w:rPr>
                <w:color w:val="000000"/>
                <w:sz w:val="20"/>
                <w:szCs w:val="20"/>
              </w:rPr>
            </w:pPr>
            <w:r w:rsidRPr="00F624E0">
              <w:rPr>
                <w:color w:val="000000"/>
                <w:sz w:val="20"/>
                <w:szCs w:val="20"/>
              </w:rPr>
              <w:t>Upper Bound</w:t>
            </w:r>
          </w:p>
        </w:tc>
        <w:tc>
          <w:tcPr>
            <w:tcW w:w="1418" w:type="dxa"/>
            <w:vAlign w:val="center"/>
            <w:hideMark/>
          </w:tcPr>
          <w:p w14:paraId="0AACD588" w14:textId="77777777" w:rsidR="0027187C" w:rsidRPr="00F624E0" w:rsidRDefault="0027187C">
            <w:pPr>
              <w:jc w:val="right"/>
              <w:rPr>
                <w:color w:val="000000"/>
                <w:sz w:val="20"/>
                <w:szCs w:val="20"/>
              </w:rPr>
            </w:pPr>
            <w:r w:rsidRPr="00F624E0">
              <w:rPr>
                <w:color w:val="000000"/>
                <w:sz w:val="20"/>
                <w:szCs w:val="20"/>
              </w:rPr>
              <w:t>$1,121,184</w:t>
            </w:r>
          </w:p>
        </w:tc>
      </w:tr>
      <w:tr w:rsidR="0027187C" w:rsidRPr="00F624E0" w14:paraId="704B71D5" w14:textId="77777777" w:rsidTr="00F624E0">
        <w:trPr>
          <w:trHeight w:val="397"/>
        </w:trPr>
        <w:tc>
          <w:tcPr>
            <w:tcW w:w="9493" w:type="dxa"/>
            <w:gridSpan w:val="3"/>
            <w:noWrap/>
            <w:hideMark/>
          </w:tcPr>
          <w:p w14:paraId="44DD13BF" w14:textId="77777777" w:rsidR="0027187C" w:rsidRPr="00F624E0" w:rsidRDefault="0027187C">
            <w:pPr>
              <w:rPr>
                <w:color w:val="242424"/>
                <w:sz w:val="20"/>
                <w:szCs w:val="20"/>
              </w:rPr>
            </w:pPr>
            <w:r w:rsidRPr="00F624E0">
              <w:rPr>
                <w:color w:val="242424"/>
                <w:sz w:val="20"/>
                <w:szCs w:val="20"/>
              </w:rPr>
              <w:t>Note: * Personal and business. Totals may not match exactly due to rounding. Calculations are based on the original unrounded figures to ensure accuracy.</w:t>
            </w:r>
          </w:p>
        </w:tc>
      </w:tr>
    </w:tbl>
    <w:p w14:paraId="6B3CF673" w14:textId="77777777" w:rsidR="00DB689D" w:rsidRDefault="00310A10" w:rsidP="00657824">
      <w:pPr>
        <w:pStyle w:val="Heading2"/>
      </w:pPr>
      <w:bookmarkStart w:id="409" w:name="_tmp9ozww9gps" w:colFirst="0" w:colLast="0"/>
      <w:bookmarkStart w:id="410" w:name="_Toc207183303"/>
      <w:bookmarkStart w:id="411" w:name="_Toc207183304"/>
      <w:bookmarkStart w:id="412" w:name="_Toc207183305"/>
      <w:bookmarkStart w:id="413" w:name="_Toc207183306"/>
      <w:bookmarkStart w:id="414" w:name="_Toc207183307"/>
      <w:bookmarkStart w:id="415" w:name="_Toc207183314"/>
      <w:bookmarkStart w:id="416" w:name="_Toc207183315"/>
      <w:bookmarkStart w:id="417" w:name="_Toc207183316"/>
      <w:bookmarkStart w:id="418" w:name="_Toc207183349"/>
      <w:bookmarkStart w:id="419" w:name="_pauvsdz3mum" w:colFirst="0" w:colLast="0"/>
      <w:bookmarkStart w:id="420" w:name="_obkbt1zfih84" w:colFirst="0" w:colLast="0"/>
      <w:bookmarkStart w:id="421" w:name="_Toc201572456"/>
      <w:bookmarkStart w:id="422" w:name="_Toc207195974"/>
      <w:bookmarkEnd w:id="409"/>
      <w:bookmarkEnd w:id="410"/>
      <w:bookmarkEnd w:id="411"/>
      <w:bookmarkEnd w:id="412"/>
      <w:bookmarkEnd w:id="413"/>
      <w:bookmarkEnd w:id="414"/>
      <w:bookmarkEnd w:id="415"/>
      <w:bookmarkEnd w:id="416"/>
      <w:bookmarkEnd w:id="417"/>
      <w:bookmarkEnd w:id="418"/>
      <w:bookmarkEnd w:id="419"/>
      <w:bookmarkEnd w:id="420"/>
      <w:r>
        <w:t>Relationship disruption, conflict or breakdown</w:t>
      </w:r>
      <w:bookmarkEnd w:id="421"/>
      <w:bookmarkEnd w:id="422"/>
    </w:p>
    <w:p w14:paraId="1CC77C3C" w14:textId="184E4F44" w:rsidR="00DB689D" w:rsidRDefault="00310A10" w:rsidP="00367A8D">
      <w:pPr>
        <w:spacing w:line="360" w:lineRule="auto"/>
      </w:pPr>
      <w:r>
        <w:t xml:space="preserve">Excessive time and money spent on gambling can seriously damage personal relationships. Relationship harms include increased conflict, loss of trust, neglect of responsibilities, and in some cases, separation, divorce, or violence </w:t>
      </w:r>
      <w:r w:rsidR="0038398B">
        <w:rPr>
          <w:noProof/>
          <w:color w:val="000000"/>
        </w:rPr>
        <w:t>(Langham et al., 2016; Ministry of Health., 2022)</w:t>
      </w:r>
      <w:r>
        <w:t>. These harms affect not only the person who gambles but also their partners, children, extended family, and friends. While relationship harms can be broad-ranging, this costing focuses on two domains - divorce and separation, and experiences of violence - because they are more readily quantifiable in economic terms.</w:t>
      </w:r>
    </w:p>
    <w:p w14:paraId="2BF5D733" w14:textId="77777777" w:rsidR="00DB689D" w:rsidRDefault="00310A10" w:rsidP="00C30E1A">
      <w:pPr>
        <w:pStyle w:val="Heading3"/>
      </w:pPr>
      <w:bookmarkStart w:id="423" w:name="_2r2oji5yn0hk" w:colFirst="0" w:colLast="0"/>
      <w:bookmarkStart w:id="424" w:name="_Toc201572457"/>
      <w:bookmarkStart w:id="425" w:name="_Toc207195975"/>
      <w:bookmarkEnd w:id="423"/>
      <w:r>
        <w:t>Divorce and separation</w:t>
      </w:r>
      <w:bookmarkEnd w:id="424"/>
      <w:bookmarkEnd w:id="425"/>
      <w:r>
        <w:t xml:space="preserve"> </w:t>
      </w:r>
    </w:p>
    <w:p w14:paraId="114D8B5C" w14:textId="305BE241" w:rsidR="00DB689D" w:rsidRDefault="00310A10" w:rsidP="00367A8D">
      <w:pPr>
        <w:spacing w:line="360" w:lineRule="auto"/>
      </w:pPr>
      <w:r>
        <w:t xml:space="preserve">Divorce and separation are among the most severe relationship harms linked to gambling problems, particularly for spouses and partners who often experience shared financial stress, and emotional distress (Holdsworth et al., 2013; Tulloch et al., 2023). These effects can be long-lasting and may also impact children through disrupted family structures and diminished security </w:t>
      </w:r>
      <w:r w:rsidR="0038398B">
        <w:rPr>
          <w:noProof/>
          <w:color w:val="000000"/>
        </w:rPr>
        <w:t>(Darbyshire et al., 2001)</w:t>
      </w:r>
      <w:r>
        <w:t xml:space="preserve">. </w:t>
      </w:r>
    </w:p>
    <w:p w14:paraId="66E7F501" w14:textId="77777777" w:rsidR="00DB689D" w:rsidRDefault="00310A10" w:rsidP="00367A8D">
      <w:pPr>
        <w:spacing w:before="120" w:after="240" w:line="360" w:lineRule="auto"/>
      </w:pPr>
      <w:r>
        <w:t xml:space="preserve">The costs of divorce and separation due to gambling are categorised into three areas: </w:t>
      </w:r>
    </w:p>
    <w:p w14:paraId="6BAF041F" w14:textId="77777777" w:rsidR="00DB689D" w:rsidRDefault="00310A10" w:rsidP="00367A8D">
      <w:pPr>
        <w:numPr>
          <w:ilvl w:val="0"/>
          <w:numId w:val="31"/>
        </w:numPr>
        <w:spacing w:before="120" w:line="360" w:lineRule="auto"/>
        <w:ind w:right="280"/>
      </w:pPr>
      <w:r>
        <w:t xml:space="preserve">Financial costs  </w:t>
      </w:r>
    </w:p>
    <w:p w14:paraId="343E1485" w14:textId="77777777" w:rsidR="00DB689D" w:rsidRDefault="00310A10" w:rsidP="00367A8D">
      <w:pPr>
        <w:numPr>
          <w:ilvl w:val="0"/>
          <w:numId w:val="31"/>
        </w:numPr>
        <w:spacing w:line="360" w:lineRule="auto"/>
        <w:ind w:right="280"/>
      </w:pPr>
      <w:r>
        <w:t xml:space="preserve">Emotional impact on the person who gambles </w:t>
      </w:r>
    </w:p>
    <w:p w14:paraId="4CA60483" w14:textId="77777777" w:rsidR="00DB689D" w:rsidRDefault="00310A10" w:rsidP="00367A8D">
      <w:pPr>
        <w:numPr>
          <w:ilvl w:val="0"/>
          <w:numId w:val="31"/>
        </w:numPr>
        <w:spacing w:after="120" w:line="360" w:lineRule="auto"/>
        <w:ind w:right="280"/>
      </w:pPr>
      <w:r>
        <w:t xml:space="preserve">Emotional impact on the affected family members </w:t>
      </w:r>
    </w:p>
    <w:p w14:paraId="1807F966" w14:textId="77777777" w:rsidR="00DB689D" w:rsidRDefault="00DB689D" w:rsidP="00367A8D">
      <w:pPr>
        <w:spacing w:before="120" w:after="240" w:line="360" w:lineRule="auto"/>
      </w:pPr>
    </w:p>
    <w:tbl>
      <w:tblPr>
        <w:tblStyle w:val="a6"/>
        <w:tblpPr w:leftFromText="180" w:rightFromText="180" w:topFromText="180" w:bottomFromText="180" w:vertAnchor="text" w:tblpX="30"/>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15"/>
      </w:tblGrid>
      <w:tr w:rsidR="00DB689D" w14:paraId="1C87C67F" w14:textId="77777777">
        <w:tc>
          <w:tcPr>
            <w:tcW w:w="9015" w:type="dxa"/>
            <w:shd w:val="clear" w:color="auto" w:fill="F3F3F3"/>
          </w:tcPr>
          <w:p w14:paraId="04F76F70" w14:textId="77777777" w:rsidR="00DB689D" w:rsidRDefault="00310A10" w:rsidP="00843927">
            <w:pPr>
              <w:spacing w:before="120" w:after="240" w:line="276" w:lineRule="auto"/>
            </w:pPr>
            <w:r>
              <w:t xml:space="preserve">The economic impact of gambling-related separation and divorce was calculated using: </w:t>
            </w:r>
          </w:p>
          <w:p w14:paraId="237AC3B4" w14:textId="77777777" w:rsidR="00DB689D" w:rsidRDefault="00310A10" w:rsidP="00843927">
            <w:pPr>
              <w:spacing w:before="120" w:after="120" w:line="276" w:lineRule="auto"/>
              <w:ind w:right="280"/>
            </w:pPr>
            <w:r>
              <w:rPr>
                <w:i/>
              </w:rPr>
              <w:t>Prevalence</w:t>
            </w:r>
            <w:r>
              <w:t xml:space="preserve"> </w:t>
            </w:r>
          </w:p>
          <w:p w14:paraId="37B283B8" w14:textId="0A60A206" w:rsidR="00DB689D" w:rsidRDefault="00310A10" w:rsidP="00843927">
            <w:pPr>
              <w:numPr>
                <w:ilvl w:val="0"/>
                <w:numId w:val="42"/>
              </w:numPr>
              <w:spacing w:before="120" w:line="276" w:lineRule="auto"/>
              <w:ind w:right="280"/>
            </w:pPr>
            <w:r>
              <w:t xml:space="preserve">The percentage of people who gamble who reported separation or divorce due to their gambling was drawn from the </w:t>
            </w:r>
            <w:r>
              <w:rPr>
                <w:i/>
              </w:rPr>
              <w:t>Measuring the Burden of Gambling Harm in New Zealand Survey Report</w:t>
            </w:r>
            <w:r>
              <w:t xml:space="preserve"> </w:t>
            </w:r>
            <w:r w:rsidR="00DB2449">
              <w:rPr>
                <w:noProof/>
                <w:color w:val="000000"/>
              </w:rPr>
              <w:t>(</w:t>
            </w:r>
            <w:r w:rsidR="002A3095">
              <w:rPr>
                <w:noProof/>
                <w:color w:val="000000"/>
              </w:rPr>
              <w:t>Browne, Greer et al., 2017</w:t>
            </w:r>
            <w:r w:rsidR="00DB2449">
              <w:rPr>
                <w:noProof/>
                <w:color w:val="000000"/>
              </w:rPr>
              <w:t>)</w:t>
            </w:r>
            <w:r>
              <w:t xml:space="preserve">. </w:t>
            </w:r>
          </w:p>
          <w:p w14:paraId="5673ED94" w14:textId="77777777" w:rsidR="00DB689D" w:rsidRDefault="00310A10" w:rsidP="00843927">
            <w:pPr>
              <w:numPr>
                <w:ilvl w:val="0"/>
                <w:numId w:val="42"/>
              </w:numPr>
              <w:spacing w:line="276" w:lineRule="auto"/>
              <w:ind w:right="280"/>
            </w:pPr>
            <w:r>
              <w:t>These percentages were applied to the estimated number of New Zealanders in each of the PGSI risk categories (NZGS, 2023) to calculate the estimated number of New Zealanders experiencing separation or divorce due to their gambling.</w:t>
            </w:r>
          </w:p>
          <w:p w14:paraId="386E2866" w14:textId="27F546A5" w:rsidR="00DB689D" w:rsidRDefault="00310A10" w:rsidP="00843927">
            <w:pPr>
              <w:numPr>
                <w:ilvl w:val="0"/>
                <w:numId w:val="42"/>
              </w:numPr>
              <w:spacing w:line="276" w:lineRule="auto"/>
              <w:ind w:right="280"/>
            </w:pPr>
            <w:r>
              <w:t xml:space="preserve">A 20% causality discount was applied, consistent with the methodology used by the Australian Productivity Commission </w:t>
            </w:r>
            <w:r w:rsidR="0038398B">
              <w:rPr>
                <w:noProof/>
                <w:color w:val="000000"/>
              </w:rPr>
              <w:t>(1999)</w:t>
            </w:r>
            <w:r>
              <w:t xml:space="preserve">. </w:t>
            </w:r>
          </w:p>
          <w:p w14:paraId="75109E87" w14:textId="394CCE2F" w:rsidR="00DB689D" w:rsidRDefault="00310A10" w:rsidP="00843927">
            <w:pPr>
              <w:numPr>
                <w:ilvl w:val="0"/>
                <w:numId w:val="42"/>
              </w:numPr>
              <w:spacing w:after="120" w:line="276" w:lineRule="auto"/>
              <w:ind w:right="280"/>
            </w:pPr>
            <w:r>
              <w:t xml:space="preserve">The number of affected others was estimated by applying the average number of people in a New Zealand household </w:t>
            </w:r>
            <w:r w:rsidR="00DB2449">
              <w:rPr>
                <w:noProof/>
                <w:color w:val="000000"/>
              </w:rPr>
              <w:t>(New Zealand Government, 2024a)</w:t>
            </w:r>
            <w:r>
              <w:t xml:space="preserve"> minus the person who gambles. </w:t>
            </w:r>
          </w:p>
          <w:p w14:paraId="199E9A34" w14:textId="77777777" w:rsidR="00DB689D" w:rsidRDefault="00310A10" w:rsidP="00843927">
            <w:pPr>
              <w:spacing w:before="120" w:after="120" w:line="276" w:lineRule="auto"/>
              <w:ind w:right="280"/>
            </w:pPr>
            <w:r>
              <w:rPr>
                <w:i/>
              </w:rPr>
              <w:t>Financial cost of divorce or separation</w:t>
            </w:r>
            <w:r>
              <w:t xml:space="preserve"> </w:t>
            </w:r>
          </w:p>
          <w:p w14:paraId="748E8BCA" w14:textId="46D0E9C2" w:rsidR="00DB689D" w:rsidRDefault="00310A10" w:rsidP="00843927">
            <w:pPr>
              <w:numPr>
                <w:ilvl w:val="0"/>
                <w:numId w:val="42"/>
              </w:numPr>
              <w:spacing w:before="120" w:line="276" w:lineRule="auto"/>
              <w:ind w:right="280"/>
            </w:pPr>
            <w:r>
              <w:t xml:space="preserve">Only those who are legally married are likely to incur divorce-related costs. Therefore, the estimate was adjusted by 44.9%, reflecting the proportion of New Zealand adults who are legally married </w:t>
            </w:r>
            <w:r w:rsidR="00DB2449">
              <w:rPr>
                <w:noProof/>
                <w:color w:val="000000"/>
              </w:rPr>
              <w:t>(Figure NZ, 2024)</w:t>
            </w:r>
            <w:r>
              <w:t>.</w:t>
            </w:r>
          </w:p>
          <w:p w14:paraId="1B95A87D" w14:textId="6244A11E" w:rsidR="00DB689D" w:rsidRDefault="00310A10" w:rsidP="00843927">
            <w:pPr>
              <w:numPr>
                <w:ilvl w:val="0"/>
                <w:numId w:val="42"/>
              </w:numPr>
              <w:spacing w:after="120" w:line="276" w:lineRule="auto"/>
              <w:ind w:right="280"/>
            </w:pPr>
            <w:r>
              <w:t xml:space="preserve">Costs associated with a simple divorce (without custody or property orders), including both court and legal fees, is $2,233. This figure comprises the cost of a divorce dissolution order through the Family Court is $233 </w:t>
            </w:r>
            <w:r w:rsidR="0038398B">
              <w:rPr>
                <w:noProof/>
                <w:color w:val="000000"/>
              </w:rPr>
              <w:t>(Ministry of Justice, 2024)</w:t>
            </w:r>
            <w:r>
              <w:t>, and an amount of $2,000 representing typical legal fees associated with a simple divorce.</w:t>
            </w:r>
          </w:p>
          <w:p w14:paraId="576D90A9" w14:textId="77777777" w:rsidR="00DB689D" w:rsidRDefault="00310A10" w:rsidP="00843927">
            <w:pPr>
              <w:spacing w:before="120" w:after="120" w:line="276" w:lineRule="auto"/>
              <w:ind w:right="280"/>
            </w:pPr>
            <w:r>
              <w:rPr>
                <w:i/>
              </w:rPr>
              <w:t>Emotional harm</w:t>
            </w:r>
            <w:r>
              <w:t xml:space="preserve"> </w:t>
            </w:r>
          </w:p>
          <w:p w14:paraId="215387A7" w14:textId="78B23DE2" w:rsidR="00DB689D" w:rsidRDefault="00310A10" w:rsidP="00843927">
            <w:pPr>
              <w:numPr>
                <w:ilvl w:val="0"/>
                <w:numId w:val="42"/>
              </w:numPr>
              <w:spacing w:before="120" w:after="120" w:line="276" w:lineRule="auto"/>
              <w:ind w:right="280"/>
            </w:pPr>
            <w:r>
              <w:t xml:space="preserve">A cost of $10,000 </w:t>
            </w:r>
            <w:r w:rsidR="0038398B">
              <w:rPr>
                <w:noProof/>
                <w:color w:val="000000"/>
              </w:rPr>
              <w:t>(Warburton, 2021)</w:t>
            </w:r>
            <w:r>
              <w:t xml:space="preserve"> was used as a proxy for emotional harm.</w:t>
            </w:r>
          </w:p>
        </w:tc>
      </w:tr>
    </w:tbl>
    <w:p w14:paraId="1FD6ABCA" w14:textId="77777777" w:rsidR="00DB689D" w:rsidRDefault="00DB689D" w:rsidP="00367A8D">
      <w:pPr>
        <w:spacing w:before="120" w:after="240" w:line="360" w:lineRule="auto"/>
      </w:pPr>
    </w:p>
    <w:p w14:paraId="60E952C0" w14:textId="0FFD3E5B" w:rsidR="0027187C" w:rsidRDefault="00310A10" w:rsidP="002405FA">
      <w:pPr>
        <w:spacing w:line="360" w:lineRule="auto"/>
      </w:pPr>
      <w:r>
        <w:t xml:space="preserve">Based on these assumptions, </w:t>
      </w:r>
      <w:r>
        <w:rPr>
          <w:b/>
        </w:rPr>
        <w:t>the estimated cost of gambling-related divorce and separation due to gambling in New Zealand is around $105.3 million</w:t>
      </w:r>
      <w:r w:rsidR="0027187C">
        <w:rPr>
          <w:b/>
        </w:rPr>
        <w:t xml:space="preserve"> (Table 1</w:t>
      </w:r>
      <w:r w:rsidR="001D7B0D">
        <w:rPr>
          <w:b/>
        </w:rPr>
        <w:t>5</w:t>
      </w:r>
      <w:r w:rsidR="0027187C">
        <w:rPr>
          <w:b/>
        </w:rPr>
        <w:t>)</w:t>
      </w:r>
      <w:r>
        <w:t xml:space="preserve">. </w:t>
      </w:r>
      <w:r w:rsidR="0027187C">
        <w:t xml:space="preserve">The results indicate that just over 10% of people classified as problem gambling report experiencing divorce or separation due to their gambling, after applying a 20% causality discount. This figure is slightly lower than estimates from Australia, where the rate is just over 15% </w:t>
      </w:r>
      <w:r w:rsidR="00DB2449">
        <w:rPr>
          <w:noProof/>
          <w:color w:val="000000"/>
        </w:rPr>
        <w:t>(Browne, Tulloch, Rawat, et al., 2025; Productivity Commission, 1999)</w:t>
      </w:r>
      <w:r w:rsidR="0027187C">
        <w:t>.</w:t>
      </w:r>
    </w:p>
    <w:p w14:paraId="7D0858A1" w14:textId="77777777" w:rsidR="00AE2B3D" w:rsidRDefault="00AE2B3D" w:rsidP="002405FA">
      <w:pPr>
        <w:spacing w:line="360" w:lineRule="auto"/>
      </w:pPr>
    </w:p>
    <w:p w14:paraId="3D65C9B3" w14:textId="77777777" w:rsidR="00AE2B3D" w:rsidRDefault="00AE2B3D" w:rsidP="002405FA">
      <w:pPr>
        <w:spacing w:line="360" w:lineRule="auto"/>
      </w:pPr>
    </w:p>
    <w:p w14:paraId="41A0FAF7" w14:textId="77777777" w:rsidR="00374FE7" w:rsidRDefault="00374FE7" w:rsidP="002405FA">
      <w:pPr>
        <w:spacing w:line="360" w:lineRule="auto"/>
      </w:pPr>
    </w:p>
    <w:p w14:paraId="4E73F28C" w14:textId="3BAF4861" w:rsidR="0027187C" w:rsidRDefault="0027187C" w:rsidP="00DB094D">
      <w:pPr>
        <w:pStyle w:val="Caption"/>
      </w:pPr>
      <w:bookmarkStart w:id="426" w:name="_Toc207619057"/>
      <w:r>
        <w:t xml:space="preserve">Table </w:t>
      </w:r>
      <w:r>
        <w:fldChar w:fldCharType="begin"/>
      </w:r>
      <w:r>
        <w:instrText xml:space="preserve"> SEQ Table \* ARABIC </w:instrText>
      </w:r>
      <w:r>
        <w:fldChar w:fldCharType="separate"/>
      </w:r>
      <w:r w:rsidR="00986A0D">
        <w:rPr>
          <w:noProof/>
        </w:rPr>
        <w:t>15</w:t>
      </w:r>
      <w:r>
        <w:fldChar w:fldCharType="end"/>
      </w:r>
      <w:r>
        <w:t xml:space="preserve">. </w:t>
      </w:r>
      <w:r w:rsidRPr="0009638A">
        <w:t>Cost of divorce and separation due to gambling problems in New Zealand (2023-24)</w:t>
      </w:r>
      <w:bookmarkEnd w:id="426"/>
    </w:p>
    <w:tbl>
      <w:tblPr>
        <w:tblStyle w:val="TableGridLight"/>
        <w:tblW w:w="9493" w:type="dxa"/>
        <w:tblLayout w:type="fixed"/>
        <w:tblLook w:val="04A0" w:firstRow="1" w:lastRow="0" w:firstColumn="1" w:lastColumn="0" w:noHBand="0" w:noVBand="1"/>
      </w:tblPr>
      <w:tblGrid>
        <w:gridCol w:w="3256"/>
        <w:gridCol w:w="1275"/>
        <w:gridCol w:w="993"/>
        <w:gridCol w:w="1275"/>
        <w:gridCol w:w="1276"/>
        <w:gridCol w:w="1418"/>
      </w:tblGrid>
      <w:tr w:rsidR="0027187C" w:rsidRPr="004C1A0A" w14:paraId="77D5E2D2" w14:textId="77777777" w:rsidTr="00E95101">
        <w:trPr>
          <w:trHeight w:val="340"/>
        </w:trPr>
        <w:tc>
          <w:tcPr>
            <w:tcW w:w="3256" w:type="dxa"/>
            <w:shd w:val="clear" w:color="auto" w:fill="F2F2F2" w:themeFill="background1" w:themeFillShade="F2"/>
            <w:vAlign w:val="center"/>
            <w:hideMark/>
          </w:tcPr>
          <w:p w14:paraId="512CCECF" w14:textId="77777777" w:rsidR="0027187C" w:rsidRPr="00AE2B3D" w:rsidRDefault="0027187C">
            <w:pPr>
              <w:spacing w:line="276" w:lineRule="auto"/>
              <w:rPr>
                <w:b/>
                <w:bCs/>
                <w:color w:val="000000"/>
                <w:sz w:val="20"/>
                <w:szCs w:val="20"/>
              </w:rPr>
            </w:pPr>
            <w:r w:rsidRPr="00AE2B3D">
              <w:rPr>
                <w:b/>
                <w:bCs/>
                <w:color w:val="000000"/>
                <w:sz w:val="20"/>
                <w:szCs w:val="20"/>
              </w:rPr>
              <w:t>Variable</w:t>
            </w:r>
          </w:p>
        </w:tc>
        <w:tc>
          <w:tcPr>
            <w:tcW w:w="1275" w:type="dxa"/>
            <w:shd w:val="clear" w:color="auto" w:fill="F2F2F2" w:themeFill="background1" w:themeFillShade="F2"/>
            <w:vAlign w:val="center"/>
            <w:hideMark/>
          </w:tcPr>
          <w:p w14:paraId="3F06AEE5" w14:textId="77777777" w:rsidR="0027187C" w:rsidRPr="00AE2B3D" w:rsidRDefault="0027187C">
            <w:pPr>
              <w:spacing w:line="276" w:lineRule="auto"/>
              <w:jc w:val="center"/>
              <w:rPr>
                <w:b/>
                <w:bCs/>
                <w:color w:val="000000"/>
                <w:sz w:val="20"/>
                <w:szCs w:val="20"/>
              </w:rPr>
            </w:pPr>
            <w:r w:rsidRPr="00AE2B3D">
              <w:rPr>
                <w:b/>
                <w:bCs/>
                <w:color w:val="000000"/>
                <w:sz w:val="20"/>
                <w:szCs w:val="20"/>
              </w:rPr>
              <w:t>Calculation</w:t>
            </w:r>
          </w:p>
        </w:tc>
        <w:tc>
          <w:tcPr>
            <w:tcW w:w="993" w:type="dxa"/>
            <w:shd w:val="clear" w:color="auto" w:fill="F2F2F2" w:themeFill="background1" w:themeFillShade="F2"/>
            <w:vAlign w:val="center"/>
            <w:hideMark/>
          </w:tcPr>
          <w:p w14:paraId="7E705CE8" w14:textId="77777777" w:rsidR="0027187C" w:rsidRPr="00AE2B3D" w:rsidRDefault="0027187C">
            <w:pPr>
              <w:spacing w:line="276" w:lineRule="auto"/>
              <w:jc w:val="center"/>
              <w:rPr>
                <w:b/>
                <w:bCs/>
                <w:color w:val="000000"/>
                <w:sz w:val="20"/>
                <w:szCs w:val="20"/>
              </w:rPr>
            </w:pPr>
            <w:r w:rsidRPr="00AE2B3D">
              <w:rPr>
                <w:b/>
                <w:bCs/>
                <w:color w:val="000000"/>
                <w:sz w:val="20"/>
                <w:szCs w:val="20"/>
              </w:rPr>
              <w:t>LR</w:t>
            </w:r>
          </w:p>
        </w:tc>
        <w:tc>
          <w:tcPr>
            <w:tcW w:w="1275" w:type="dxa"/>
            <w:shd w:val="clear" w:color="auto" w:fill="F2F2F2" w:themeFill="background1" w:themeFillShade="F2"/>
            <w:vAlign w:val="center"/>
            <w:hideMark/>
          </w:tcPr>
          <w:p w14:paraId="37A928B1" w14:textId="77777777" w:rsidR="0027187C" w:rsidRPr="00AE2B3D" w:rsidRDefault="0027187C">
            <w:pPr>
              <w:spacing w:line="276" w:lineRule="auto"/>
              <w:jc w:val="center"/>
              <w:rPr>
                <w:b/>
                <w:bCs/>
                <w:color w:val="000000"/>
                <w:sz w:val="20"/>
                <w:szCs w:val="20"/>
              </w:rPr>
            </w:pPr>
            <w:r w:rsidRPr="00AE2B3D">
              <w:rPr>
                <w:b/>
                <w:bCs/>
                <w:color w:val="000000"/>
                <w:sz w:val="20"/>
                <w:szCs w:val="20"/>
              </w:rPr>
              <w:t>MR</w:t>
            </w:r>
          </w:p>
        </w:tc>
        <w:tc>
          <w:tcPr>
            <w:tcW w:w="1276" w:type="dxa"/>
            <w:shd w:val="clear" w:color="auto" w:fill="F2F2F2" w:themeFill="background1" w:themeFillShade="F2"/>
            <w:vAlign w:val="center"/>
            <w:hideMark/>
          </w:tcPr>
          <w:p w14:paraId="6F8AE43E" w14:textId="77777777" w:rsidR="0027187C" w:rsidRPr="00AE2B3D" w:rsidRDefault="0027187C">
            <w:pPr>
              <w:spacing w:line="276" w:lineRule="auto"/>
              <w:jc w:val="center"/>
              <w:rPr>
                <w:b/>
                <w:bCs/>
                <w:color w:val="000000"/>
                <w:sz w:val="20"/>
                <w:szCs w:val="20"/>
              </w:rPr>
            </w:pPr>
            <w:r w:rsidRPr="00AE2B3D">
              <w:rPr>
                <w:b/>
                <w:bCs/>
                <w:color w:val="000000"/>
                <w:sz w:val="20"/>
                <w:szCs w:val="20"/>
              </w:rPr>
              <w:t>PG</w:t>
            </w:r>
          </w:p>
        </w:tc>
        <w:tc>
          <w:tcPr>
            <w:tcW w:w="1418" w:type="dxa"/>
            <w:shd w:val="clear" w:color="auto" w:fill="F2F2F2" w:themeFill="background1" w:themeFillShade="F2"/>
            <w:vAlign w:val="center"/>
            <w:hideMark/>
          </w:tcPr>
          <w:p w14:paraId="3E63057A" w14:textId="77777777" w:rsidR="0027187C" w:rsidRPr="00AE2B3D" w:rsidRDefault="0027187C">
            <w:pPr>
              <w:spacing w:line="276" w:lineRule="auto"/>
              <w:jc w:val="center"/>
              <w:rPr>
                <w:b/>
                <w:bCs/>
                <w:color w:val="000000"/>
                <w:sz w:val="20"/>
                <w:szCs w:val="20"/>
              </w:rPr>
            </w:pPr>
            <w:r w:rsidRPr="00AE2B3D">
              <w:rPr>
                <w:b/>
                <w:bCs/>
                <w:color w:val="000000"/>
                <w:sz w:val="20"/>
                <w:szCs w:val="20"/>
              </w:rPr>
              <w:t>Total Gambling Problems</w:t>
            </w:r>
          </w:p>
        </w:tc>
      </w:tr>
      <w:tr w:rsidR="0027187C" w:rsidRPr="004C1A0A" w14:paraId="6EAD859B" w14:textId="77777777" w:rsidTr="00E95101">
        <w:trPr>
          <w:trHeight w:val="340"/>
        </w:trPr>
        <w:tc>
          <w:tcPr>
            <w:tcW w:w="3256" w:type="dxa"/>
            <w:vAlign w:val="center"/>
            <w:hideMark/>
          </w:tcPr>
          <w:p w14:paraId="636B99C2" w14:textId="77777777" w:rsidR="0027187C" w:rsidRPr="00AE2B3D" w:rsidRDefault="0027187C" w:rsidP="002405FA">
            <w:pPr>
              <w:spacing w:line="276" w:lineRule="auto"/>
              <w:rPr>
                <w:color w:val="000000"/>
                <w:sz w:val="20"/>
                <w:szCs w:val="20"/>
              </w:rPr>
            </w:pPr>
            <w:r w:rsidRPr="00AE2B3D">
              <w:rPr>
                <w:color w:val="000000"/>
                <w:sz w:val="20"/>
                <w:szCs w:val="20"/>
              </w:rPr>
              <w:t>New Zealand population by PGSI</w:t>
            </w:r>
          </w:p>
        </w:tc>
        <w:tc>
          <w:tcPr>
            <w:tcW w:w="1275" w:type="dxa"/>
            <w:noWrap/>
            <w:vAlign w:val="center"/>
            <w:hideMark/>
          </w:tcPr>
          <w:p w14:paraId="31F690E7" w14:textId="77777777" w:rsidR="0027187C" w:rsidRPr="00AE2B3D" w:rsidRDefault="0027187C">
            <w:pPr>
              <w:spacing w:line="276" w:lineRule="auto"/>
              <w:rPr>
                <w:color w:val="000000"/>
                <w:sz w:val="20"/>
                <w:szCs w:val="20"/>
              </w:rPr>
            </w:pPr>
            <w:r w:rsidRPr="00AE2B3D">
              <w:rPr>
                <w:color w:val="000000"/>
                <w:sz w:val="20"/>
                <w:szCs w:val="20"/>
              </w:rPr>
              <w:t>n</w:t>
            </w:r>
          </w:p>
        </w:tc>
        <w:tc>
          <w:tcPr>
            <w:tcW w:w="993" w:type="dxa"/>
            <w:vAlign w:val="center"/>
            <w:hideMark/>
          </w:tcPr>
          <w:p w14:paraId="5B21B732" w14:textId="77777777" w:rsidR="0027187C" w:rsidRPr="00AE2B3D" w:rsidRDefault="0027187C">
            <w:pPr>
              <w:spacing w:line="276" w:lineRule="auto"/>
              <w:jc w:val="right"/>
              <w:rPr>
                <w:color w:val="000000"/>
                <w:sz w:val="20"/>
                <w:szCs w:val="20"/>
              </w:rPr>
            </w:pPr>
            <w:r w:rsidRPr="00AE2B3D">
              <w:rPr>
                <w:color w:val="000000"/>
                <w:sz w:val="20"/>
                <w:szCs w:val="20"/>
              </w:rPr>
              <w:t>255,318</w:t>
            </w:r>
          </w:p>
        </w:tc>
        <w:tc>
          <w:tcPr>
            <w:tcW w:w="1275" w:type="dxa"/>
            <w:vAlign w:val="center"/>
            <w:hideMark/>
          </w:tcPr>
          <w:p w14:paraId="377DEBBB" w14:textId="77777777" w:rsidR="0027187C" w:rsidRPr="00AE2B3D" w:rsidRDefault="0027187C">
            <w:pPr>
              <w:spacing w:line="276" w:lineRule="auto"/>
              <w:jc w:val="right"/>
              <w:rPr>
                <w:color w:val="000000"/>
                <w:sz w:val="20"/>
                <w:szCs w:val="20"/>
              </w:rPr>
            </w:pPr>
            <w:r w:rsidRPr="00AE2B3D">
              <w:rPr>
                <w:color w:val="000000"/>
                <w:sz w:val="20"/>
                <w:szCs w:val="20"/>
              </w:rPr>
              <w:t>83,492</w:t>
            </w:r>
          </w:p>
        </w:tc>
        <w:tc>
          <w:tcPr>
            <w:tcW w:w="1276" w:type="dxa"/>
            <w:vAlign w:val="center"/>
            <w:hideMark/>
          </w:tcPr>
          <w:p w14:paraId="74C9345B" w14:textId="77777777" w:rsidR="0027187C" w:rsidRPr="00AE2B3D" w:rsidRDefault="0027187C">
            <w:pPr>
              <w:spacing w:line="276" w:lineRule="auto"/>
              <w:jc w:val="right"/>
              <w:rPr>
                <w:color w:val="000000"/>
                <w:sz w:val="20"/>
                <w:szCs w:val="20"/>
              </w:rPr>
            </w:pPr>
            <w:r w:rsidRPr="00AE2B3D">
              <w:rPr>
                <w:color w:val="000000"/>
                <w:sz w:val="20"/>
                <w:szCs w:val="20"/>
              </w:rPr>
              <w:t>20,436</w:t>
            </w:r>
          </w:p>
        </w:tc>
        <w:tc>
          <w:tcPr>
            <w:tcW w:w="1418" w:type="dxa"/>
            <w:vAlign w:val="center"/>
            <w:hideMark/>
          </w:tcPr>
          <w:p w14:paraId="65EA7593" w14:textId="77777777" w:rsidR="0027187C" w:rsidRPr="00AE2B3D" w:rsidRDefault="0027187C">
            <w:pPr>
              <w:spacing w:line="276" w:lineRule="auto"/>
              <w:jc w:val="right"/>
              <w:rPr>
                <w:color w:val="000000"/>
                <w:sz w:val="20"/>
                <w:szCs w:val="20"/>
              </w:rPr>
            </w:pPr>
            <w:r w:rsidRPr="00AE2B3D">
              <w:rPr>
                <w:color w:val="000000"/>
                <w:sz w:val="20"/>
                <w:szCs w:val="20"/>
              </w:rPr>
              <w:t>359,246</w:t>
            </w:r>
          </w:p>
        </w:tc>
      </w:tr>
      <w:tr w:rsidR="0027187C" w:rsidRPr="004C1A0A" w14:paraId="61613232" w14:textId="77777777" w:rsidTr="00E95101">
        <w:trPr>
          <w:trHeight w:val="340"/>
        </w:trPr>
        <w:tc>
          <w:tcPr>
            <w:tcW w:w="3256" w:type="dxa"/>
            <w:vAlign w:val="center"/>
            <w:hideMark/>
          </w:tcPr>
          <w:p w14:paraId="11EB7928" w14:textId="77777777" w:rsidR="0027187C" w:rsidRPr="00AE2B3D" w:rsidRDefault="0027187C" w:rsidP="002405FA">
            <w:pPr>
              <w:spacing w:line="276" w:lineRule="auto"/>
              <w:rPr>
                <w:color w:val="000000"/>
                <w:sz w:val="20"/>
                <w:szCs w:val="20"/>
              </w:rPr>
            </w:pPr>
            <w:r w:rsidRPr="00AE2B3D">
              <w:rPr>
                <w:color w:val="000000"/>
                <w:sz w:val="20"/>
                <w:szCs w:val="20"/>
              </w:rPr>
              <w:t>Rate (%) of PGSI group whose gambling contributed to or caused divorce or separation</w:t>
            </w:r>
          </w:p>
        </w:tc>
        <w:tc>
          <w:tcPr>
            <w:tcW w:w="1275" w:type="dxa"/>
            <w:vAlign w:val="center"/>
            <w:hideMark/>
          </w:tcPr>
          <w:p w14:paraId="1193B1F3" w14:textId="77777777" w:rsidR="0027187C" w:rsidRPr="00AE2B3D" w:rsidRDefault="0027187C">
            <w:pPr>
              <w:spacing w:line="276" w:lineRule="auto"/>
              <w:rPr>
                <w:color w:val="000000"/>
                <w:sz w:val="20"/>
                <w:szCs w:val="20"/>
              </w:rPr>
            </w:pPr>
            <w:r w:rsidRPr="00AE2B3D">
              <w:rPr>
                <w:color w:val="000000"/>
                <w:sz w:val="20"/>
                <w:szCs w:val="20"/>
              </w:rPr>
              <w:t>a</w:t>
            </w:r>
          </w:p>
        </w:tc>
        <w:tc>
          <w:tcPr>
            <w:tcW w:w="993" w:type="dxa"/>
            <w:vAlign w:val="center"/>
            <w:hideMark/>
          </w:tcPr>
          <w:p w14:paraId="6A1E7684" w14:textId="77777777" w:rsidR="0027187C" w:rsidRPr="00AE2B3D" w:rsidRDefault="0027187C">
            <w:pPr>
              <w:spacing w:line="276" w:lineRule="auto"/>
              <w:jc w:val="right"/>
              <w:rPr>
                <w:color w:val="000000"/>
                <w:sz w:val="20"/>
                <w:szCs w:val="20"/>
              </w:rPr>
            </w:pPr>
            <w:r w:rsidRPr="00AE2B3D">
              <w:rPr>
                <w:color w:val="000000"/>
                <w:sz w:val="20"/>
                <w:szCs w:val="20"/>
              </w:rPr>
              <w:t>0.8%</w:t>
            </w:r>
          </w:p>
        </w:tc>
        <w:tc>
          <w:tcPr>
            <w:tcW w:w="1275" w:type="dxa"/>
            <w:vAlign w:val="center"/>
            <w:hideMark/>
          </w:tcPr>
          <w:p w14:paraId="2DB58B7B" w14:textId="77777777" w:rsidR="0027187C" w:rsidRPr="00AE2B3D" w:rsidRDefault="0027187C">
            <w:pPr>
              <w:spacing w:line="276" w:lineRule="auto"/>
              <w:jc w:val="right"/>
              <w:rPr>
                <w:color w:val="000000"/>
                <w:sz w:val="20"/>
                <w:szCs w:val="20"/>
              </w:rPr>
            </w:pPr>
            <w:r w:rsidRPr="00AE2B3D">
              <w:rPr>
                <w:color w:val="000000"/>
                <w:sz w:val="20"/>
                <w:szCs w:val="20"/>
              </w:rPr>
              <w:t>2.4%</w:t>
            </w:r>
          </w:p>
        </w:tc>
        <w:tc>
          <w:tcPr>
            <w:tcW w:w="1276" w:type="dxa"/>
            <w:vAlign w:val="center"/>
            <w:hideMark/>
          </w:tcPr>
          <w:p w14:paraId="28B4CC3F" w14:textId="77777777" w:rsidR="0027187C" w:rsidRPr="00AE2B3D" w:rsidRDefault="0027187C">
            <w:pPr>
              <w:spacing w:line="276" w:lineRule="auto"/>
              <w:jc w:val="right"/>
              <w:rPr>
                <w:color w:val="000000"/>
                <w:sz w:val="20"/>
                <w:szCs w:val="20"/>
              </w:rPr>
            </w:pPr>
            <w:r w:rsidRPr="00AE2B3D">
              <w:rPr>
                <w:color w:val="000000"/>
                <w:sz w:val="20"/>
                <w:szCs w:val="20"/>
              </w:rPr>
              <w:t>13.2%</w:t>
            </w:r>
          </w:p>
        </w:tc>
        <w:tc>
          <w:tcPr>
            <w:tcW w:w="1418" w:type="dxa"/>
            <w:noWrap/>
            <w:vAlign w:val="center"/>
            <w:hideMark/>
          </w:tcPr>
          <w:p w14:paraId="3B0C4934" w14:textId="77777777" w:rsidR="0027187C" w:rsidRPr="00AE2B3D" w:rsidRDefault="0027187C">
            <w:pPr>
              <w:spacing w:line="276" w:lineRule="auto"/>
              <w:jc w:val="right"/>
              <w:rPr>
                <w:color w:val="000000"/>
                <w:sz w:val="20"/>
                <w:szCs w:val="20"/>
              </w:rPr>
            </w:pPr>
            <w:r w:rsidRPr="00AE2B3D">
              <w:rPr>
                <w:color w:val="000000"/>
                <w:sz w:val="20"/>
                <w:szCs w:val="20"/>
              </w:rPr>
              <w:t> </w:t>
            </w:r>
          </w:p>
        </w:tc>
      </w:tr>
      <w:tr w:rsidR="0027187C" w:rsidRPr="004C1A0A" w14:paraId="4880F342" w14:textId="77777777" w:rsidTr="00E95101">
        <w:trPr>
          <w:trHeight w:val="340"/>
        </w:trPr>
        <w:tc>
          <w:tcPr>
            <w:tcW w:w="3256" w:type="dxa"/>
            <w:vAlign w:val="center"/>
            <w:hideMark/>
          </w:tcPr>
          <w:p w14:paraId="68CF8DFD" w14:textId="77777777" w:rsidR="0027187C" w:rsidRPr="00AE2B3D" w:rsidRDefault="0027187C" w:rsidP="002405FA">
            <w:pPr>
              <w:spacing w:line="276" w:lineRule="auto"/>
              <w:rPr>
                <w:color w:val="000000"/>
                <w:sz w:val="20"/>
                <w:szCs w:val="20"/>
              </w:rPr>
            </w:pPr>
            <w:r w:rsidRPr="00AE2B3D">
              <w:rPr>
                <w:color w:val="000000"/>
                <w:sz w:val="20"/>
                <w:szCs w:val="20"/>
              </w:rPr>
              <w:t>Causality discount (100% LR, 20% MR/PG)</w:t>
            </w:r>
          </w:p>
        </w:tc>
        <w:tc>
          <w:tcPr>
            <w:tcW w:w="1275" w:type="dxa"/>
            <w:vAlign w:val="center"/>
            <w:hideMark/>
          </w:tcPr>
          <w:p w14:paraId="7D871D57" w14:textId="77777777" w:rsidR="0027187C" w:rsidRPr="00AE2B3D" w:rsidRDefault="0027187C">
            <w:pPr>
              <w:spacing w:line="276" w:lineRule="auto"/>
              <w:rPr>
                <w:color w:val="000000"/>
                <w:sz w:val="20"/>
                <w:szCs w:val="20"/>
              </w:rPr>
            </w:pPr>
            <w:r w:rsidRPr="00AE2B3D">
              <w:rPr>
                <w:color w:val="000000"/>
                <w:sz w:val="20"/>
                <w:szCs w:val="20"/>
              </w:rPr>
              <w:t xml:space="preserve">b  </w:t>
            </w:r>
          </w:p>
        </w:tc>
        <w:tc>
          <w:tcPr>
            <w:tcW w:w="993" w:type="dxa"/>
            <w:vAlign w:val="center"/>
            <w:hideMark/>
          </w:tcPr>
          <w:p w14:paraId="437D8B2A" w14:textId="77777777" w:rsidR="0027187C" w:rsidRPr="00AE2B3D" w:rsidRDefault="0027187C">
            <w:pPr>
              <w:spacing w:line="276" w:lineRule="auto"/>
              <w:jc w:val="right"/>
              <w:rPr>
                <w:color w:val="000000"/>
                <w:sz w:val="20"/>
                <w:szCs w:val="20"/>
              </w:rPr>
            </w:pPr>
            <w:r w:rsidRPr="00AE2B3D">
              <w:rPr>
                <w:color w:val="000000"/>
                <w:sz w:val="20"/>
                <w:szCs w:val="20"/>
              </w:rPr>
              <w:t>0.0%</w:t>
            </w:r>
          </w:p>
        </w:tc>
        <w:tc>
          <w:tcPr>
            <w:tcW w:w="1275" w:type="dxa"/>
            <w:vAlign w:val="center"/>
            <w:hideMark/>
          </w:tcPr>
          <w:p w14:paraId="4250AE23" w14:textId="77777777" w:rsidR="0027187C" w:rsidRPr="00AE2B3D" w:rsidRDefault="0027187C">
            <w:pPr>
              <w:spacing w:line="276" w:lineRule="auto"/>
              <w:jc w:val="right"/>
              <w:rPr>
                <w:color w:val="000000"/>
                <w:sz w:val="20"/>
                <w:szCs w:val="20"/>
              </w:rPr>
            </w:pPr>
            <w:r w:rsidRPr="00AE2B3D">
              <w:rPr>
                <w:color w:val="000000"/>
                <w:sz w:val="20"/>
                <w:szCs w:val="20"/>
              </w:rPr>
              <w:t>80.0%</w:t>
            </w:r>
          </w:p>
        </w:tc>
        <w:tc>
          <w:tcPr>
            <w:tcW w:w="1276" w:type="dxa"/>
            <w:vAlign w:val="center"/>
            <w:hideMark/>
          </w:tcPr>
          <w:p w14:paraId="2C35536D" w14:textId="77777777" w:rsidR="0027187C" w:rsidRPr="00AE2B3D" w:rsidRDefault="0027187C">
            <w:pPr>
              <w:spacing w:line="276" w:lineRule="auto"/>
              <w:jc w:val="right"/>
              <w:rPr>
                <w:color w:val="000000"/>
                <w:sz w:val="20"/>
                <w:szCs w:val="20"/>
              </w:rPr>
            </w:pPr>
            <w:r w:rsidRPr="00AE2B3D">
              <w:rPr>
                <w:color w:val="000000"/>
                <w:sz w:val="20"/>
                <w:szCs w:val="20"/>
              </w:rPr>
              <w:t>80.0%</w:t>
            </w:r>
          </w:p>
        </w:tc>
        <w:tc>
          <w:tcPr>
            <w:tcW w:w="1418" w:type="dxa"/>
            <w:vAlign w:val="center"/>
            <w:hideMark/>
          </w:tcPr>
          <w:p w14:paraId="14CE46DB" w14:textId="77777777" w:rsidR="0027187C" w:rsidRPr="00AE2B3D" w:rsidRDefault="0027187C">
            <w:pPr>
              <w:spacing w:line="276" w:lineRule="auto"/>
              <w:jc w:val="right"/>
              <w:rPr>
                <w:color w:val="000000"/>
                <w:sz w:val="20"/>
                <w:szCs w:val="20"/>
              </w:rPr>
            </w:pPr>
            <w:r w:rsidRPr="00AE2B3D">
              <w:rPr>
                <w:color w:val="000000"/>
                <w:sz w:val="20"/>
                <w:szCs w:val="20"/>
              </w:rPr>
              <w:t> </w:t>
            </w:r>
          </w:p>
        </w:tc>
      </w:tr>
      <w:tr w:rsidR="0027187C" w:rsidRPr="004C1A0A" w14:paraId="6E32EAE9" w14:textId="77777777" w:rsidTr="00E95101">
        <w:trPr>
          <w:trHeight w:val="340"/>
        </w:trPr>
        <w:tc>
          <w:tcPr>
            <w:tcW w:w="3256" w:type="dxa"/>
            <w:vAlign w:val="center"/>
            <w:hideMark/>
          </w:tcPr>
          <w:p w14:paraId="1601118E" w14:textId="77777777" w:rsidR="0027187C" w:rsidRPr="00AE2B3D" w:rsidRDefault="0027187C" w:rsidP="002405FA">
            <w:pPr>
              <w:spacing w:line="276" w:lineRule="auto"/>
              <w:rPr>
                <w:color w:val="000000"/>
                <w:sz w:val="20"/>
                <w:szCs w:val="20"/>
              </w:rPr>
            </w:pPr>
            <w:r w:rsidRPr="00AE2B3D">
              <w:rPr>
                <w:color w:val="000000"/>
                <w:sz w:val="20"/>
                <w:szCs w:val="20"/>
              </w:rPr>
              <w:t>Number who experience divorce or separation due to gambling, less causality discount</w:t>
            </w:r>
          </w:p>
        </w:tc>
        <w:tc>
          <w:tcPr>
            <w:tcW w:w="1275" w:type="dxa"/>
            <w:vAlign w:val="center"/>
            <w:hideMark/>
          </w:tcPr>
          <w:p w14:paraId="420B419D" w14:textId="77777777" w:rsidR="0027187C" w:rsidRPr="00AE2B3D" w:rsidRDefault="0027187C">
            <w:pPr>
              <w:spacing w:line="276" w:lineRule="auto"/>
              <w:rPr>
                <w:color w:val="000000"/>
                <w:sz w:val="20"/>
                <w:szCs w:val="20"/>
              </w:rPr>
            </w:pPr>
            <w:r w:rsidRPr="00AE2B3D">
              <w:rPr>
                <w:color w:val="000000"/>
                <w:sz w:val="20"/>
                <w:szCs w:val="20"/>
              </w:rPr>
              <w:t>c = (n x a) x b</w:t>
            </w:r>
          </w:p>
        </w:tc>
        <w:tc>
          <w:tcPr>
            <w:tcW w:w="993" w:type="dxa"/>
            <w:vAlign w:val="center"/>
            <w:hideMark/>
          </w:tcPr>
          <w:p w14:paraId="44E0F362" w14:textId="77777777" w:rsidR="0027187C" w:rsidRPr="00AE2B3D" w:rsidRDefault="0027187C">
            <w:pPr>
              <w:spacing w:line="276" w:lineRule="auto"/>
              <w:jc w:val="right"/>
              <w:rPr>
                <w:color w:val="000000"/>
                <w:sz w:val="20"/>
                <w:szCs w:val="20"/>
              </w:rPr>
            </w:pPr>
            <w:r w:rsidRPr="00AE2B3D">
              <w:rPr>
                <w:color w:val="000000"/>
                <w:sz w:val="20"/>
                <w:szCs w:val="20"/>
              </w:rPr>
              <w:t>0</w:t>
            </w:r>
          </w:p>
        </w:tc>
        <w:tc>
          <w:tcPr>
            <w:tcW w:w="1275" w:type="dxa"/>
            <w:vAlign w:val="center"/>
            <w:hideMark/>
          </w:tcPr>
          <w:p w14:paraId="04E5DE28" w14:textId="77777777" w:rsidR="0027187C" w:rsidRPr="00AE2B3D" w:rsidRDefault="0027187C">
            <w:pPr>
              <w:spacing w:line="276" w:lineRule="auto"/>
              <w:jc w:val="right"/>
              <w:rPr>
                <w:color w:val="000000"/>
                <w:sz w:val="20"/>
                <w:szCs w:val="20"/>
              </w:rPr>
            </w:pPr>
            <w:r w:rsidRPr="00AE2B3D">
              <w:rPr>
                <w:color w:val="000000"/>
                <w:sz w:val="20"/>
                <w:szCs w:val="20"/>
              </w:rPr>
              <w:t>1,603</w:t>
            </w:r>
          </w:p>
        </w:tc>
        <w:tc>
          <w:tcPr>
            <w:tcW w:w="1276" w:type="dxa"/>
            <w:vAlign w:val="center"/>
            <w:hideMark/>
          </w:tcPr>
          <w:p w14:paraId="0188590F" w14:textId="77777777" w:rsidR="0027187C" w:rsidRPr="00AE2B3D" w:rsidRDefault="0027187C">
            <w:pPr>
              <w:spacing w:line="276" w:lineRule="auto"/>
              <w:jc w:val="right"/>
              <w:rPr>
                <w:color w:val="000000"/>
                <w:sz w:val="20"/>
                <w:szCs w:val="20"/>
              </w:rPr>
            </w:pPr>
            <w:r w:rsidRPr="00AE2B3D">
              <w:rPr>
                <w:color w:val="000000"/>
                <w:sz w:val="20"/>
                <w:szCs w:val="20"/>
              </w:rPr>
              <w:t>2,158</w:t>
            </w:r>
          </w:p>
        </w:tc>
        <w:tc>
          <w:tcPr>
            <w:tcW w:w="1418" w:type="dxa"/>
            <w:vAlign w:val="center"/>
            <w:hideMark/>
          </w:tcPr>
          <w:p w14:paraId="66CD5496" w14:textId="77777777" w:rsidR="0027187C" w:rsidRPr="00AE2B3D" w:rsidRDefault="0027187C">
            <w:pPr>
              <w:spacing w:line="276" w:lineRule="auto"/>
              <w:jc w:val="right"/>
              <w:rPr>
                <w:color w:val="000000"/>
                <w:sz w:val="20"/>
                <w:szCs w:val="20"/>
              </w:rPr>
            </w:pPr>
            <w:r w:rsidRPr="00AE2B3D">
              <w:rPr>
                <w:color w:val="000000"/>
                <w:sz w:val="20"/>
                <w:szCs w:val="20"/>
              </w:rPr>
              <w:t>3,761</w:t>
            </w:r>
          </w:p>
        </w:tc>
      </w:tr>
      <w:tr w:rsidR="0027187C" w:rsidRPr="004C1A0A" w14:paraId="4BD089C9" w14:textId="77777777" w:rsidTr="00E95101">
        <w:trPr>
          <w:trHeight w:val="340"/>
        </w:trPr>
        <w:tc>
          <w:tcPr>
            <w:tcW w:w="9493" w:type="dxa"/>
            <w:gridSpan w:val="6"/>
            <w:vAlign w:val="center"/>
            <w:hideMark/>
          </w:tcPr>
          <w:p w14:paraId="326AF1F1" w14:textId="77777777" w:rsidR="0027187C" w:rsidRPr="00AE2B3D" w:rsidRDefault="0027187C" w:rsidP="002405FA">
            <w:pPr>
              <w:spacing w:line="276" w:lineRule="auto"/>
              <w:rPr>
                <w:b/>
                <w:bCs/>
                <w:i/>
                <w:iCs/>
                <w:color w:val="000000"/>
                <w:sz w:val="20"/>
                <w:szCs w:val="20"/>
              </w:rPr>
            </w:pPr>
            <w:r w:rsidRPr="00AE2B3D">
              <w:rPr>
                <w:b/>
                <w:bCs/>
                <w:i/>
                <w:iCs/>
                <w:color w:val="000000"/>
                <w:sz w:val="20"/>
                <w:szCs w:val="20"/>
              </w:rPr>
              <w:t xml:space="preserve">Financial cost of divorce or separation </w:t>
            </w:r>
          </w:p>
        </w:tc>
      </w:tr>
      <w:tr w:rsidR="0027187C" w:rsidRPr="004C1A0A" w14:paraId="669132E7" w14:textId="77777777" w:rsidTr="00E95101">
        <w:trPr>
          <w:trHeight w:val="340"/>
        </w:trPr>
        <w:tc>
          <w:tcPr>
            <w:tcW w:w="3256" w:type="dxa"/>
            <w:vAlign w:val="center"/>
            <w:hideMark/>
          </w:tcPr>
          <w:p w14:paraId="1A42B8B1" w14:textId="77777777" w:rsidR="0027187C" w:rsidRPr="00AE2B3D" w:rsidRDefault="0027187C" w:rsidP="002405FA">
            <w:pPr>
              <w:spacing w:line="276" w:lineRule="auto"/>
              <w:rPr>
                <w:color w:val="000000"/>
                <w:sz w:val="20"/>
                <w:szCs w:val="20"/>
              </w:rPr>
            </w:pPr>
            <w:r w:rsidRPr="00AE2B3D">
              <w:rPr>
                <w:color w:val="000000"/>
                <w:sz w:val="20"/>
                <w:szCs w:val="20"/>
              </w:rPr>
              <w:t>Proportion legally married</w:t>
            </w:r>
          </w:p>
        </w:tc>
        <w:tc>
          <w:tcPr>
            <w:tcW w:w="1275" w:type="dxa"/>
            <w:hideMark/>
          </w:tcPr>
          <w:p w14:paraId="0CB41B85" w14:textId="77777777" w:rsidR="0027187C" w:rsidRPr="00AE2B3D" w:rsidRDefault="0027187C">
            <w:pPr>
              <w:spacing w:line="276" w:lineRule="auto"/>
              <w:rPr>
                <w:color w:val="000000"/>
                <w:sz w:val="20"/>
                <w:szCs w:val="20"/>
              </w:rPr>
            </w:pPr>
            <w:r w:rsidRPr="00AE2B3D">
              <w:rPr>
                <w:color w:val="000000"/>
                <w:sz w:val="20"/>
                <w:szCs w:val="20"/>
              </w:rPr>
              <w:t>d</w:t>
            </w:r>
          </w:p>
        </w:tc>
        <w:tc>
          <w:tcPr>
            <w:tcW w:w="4962" w:type="dxa"/>
            <w:gridSpan w:val="4"/>
            <w:vAlign w:val="center"/>
            <w:hideMark/>
          </w:tcPr>
          <w:p w14:paraId="74908026" w14:textId="77777777" w:rsidR="0027187C" w:rsidRPr="00AE2B3D" w:rsidRDefault="0027187C" w:rsidP="00A6041F">
            <w:pPr>
              <w:spacing w:line="276" w:lineRule="auto"/>
              <w:jc w:val="center"/>
              <w:rPr>
                <w:color w:val="000000"/>
                <w:sz w:val="20"/>
                <w:szCs w:val="20"/>
              </w:rPr>
            </w:pPr>
            <w:r w:rsidRPr="00AE2B3D">
              <w:rPr>
                <w:color w:val="000000"/>
                <w:sz w:val="20"/>
                <w:szCs w:val="20"/>
              </w:rPr>
              <w:t>44.9%</w:t>
            </w:r>
          </w:p>
        </w:tc>
      </w:tr>
      <w:tr w:rsidR="0027187C" w:rsidRPr="004C1A0A" w14:paraId="0C1358F7" w14:textId="77777777" w:rsidTr="00E95101">
        <w:trPr>
          <w:trHeight w:val="340"/>
        </w:trPr>
        <w:tc>
          <w:tcPr>
            <w:tcW w:w="3256" w:type="dxa"/>
            <w:vAlign w:val="center"/>
            <w:hideMark/>
          </w:tcPr>
          <w:p w14:paraId="6B5AC6EB" w14:textId="77777777" w:rsidR="0027187C" w:rsidRPr="00AE2B3D" w:rsidRDefault="0027187C" w:rsidP="002405FA">
            <w:pPr>
              <w:spacing w:line="276" w:lineRule="auto"/>
              <w:rPr>
                <w:color w:val="000000"/>
                <w:sz w:val="20"/>
                <w:szCs w:val="20"/>
              </w:rPr>
            </w:pPr>
            <w:r w:rsidRPr="00AE2B3D">
              <w:rPr>
                <w:color w:val="000000"/>
                <w:sz w:val="20"/>
                <w:szCs w:val="20"/>
              </w:rPr>
              <w:t>Filing and Legal fees</w:t>
            </w:r>
          </w:p>
        </w:tc>
        <w:tc>
          <w:tcPr>
            <w:tcW w:w="1275" w:type="dxa"/>
            <w:hideMark/>
          </w:tcPr>
          <w:p w14:paraId="148E2101" w14:textId="77777777" w:rsidR="0027187C" w:rsidRPr="00AE2B3D" w:rsidRDefault="0027187C">
            <w:pPr>
              <w:spacing w:line="276" w:lineRule="auto"/>
              <w:rPr>
                <w:color w:val="000000"/>
                <w:sz w:val="20"/>
                <w:szCs w:val="20"/>
              </w:rPr>
            </w:pPr>
            <w:r w:rsidRPr="00AE2B3D">
              <w:rPr>
                <w:color w:val="000000"/>
                <w:sz w:val="20"/>
                <w:szCs w:val="20"/>
              </w:rPr>
              <w:t>e</w:t>
            </w:r>
          </w:p>
        </w:tc>
        <w:tc>
          <w:tcPr>
            <w:tcW w:w="4962" w:type="dxa"/>
            <w:gridSpan w:val="4"/>
            <w:vAlign w:val="center"/>
            <w:hideMark/>
          </w:tcPr>
          <w:p w14:paraId="2B94F1F7" w14:textId="77777777" w:rsidR="0027187C" w:rsidRPr="00AE2B3D" w:rsidRDefault="0027187C" w:rsidP="00A6041F">
            <w:pPr>
              <w:spacing w:line="276" w:lineRule="auto"/>
              <w:jc w:val="center"/>
              <w:rPr>
                <w:color w:val="000000"/>
                <w:sz w:val="20"/>
                <w:szCs w:val="20"/>
              </w:rPr>
            </w:pPr>
            <w:r w:rsidRPr="00AE2B3D">
              <w:rPr>
                <w:color w:val="000000"/>
                <w:sz w:val="20"/>
                <w:szCs w:val="20"/>
              </w:rPr>
              <w:t>$2,233</w:t>
            </w:r>
          </w:p>
        </w:tc>
      </w:tr>
      <w:tr w:rsidR="0027187C" w:rsidRPr="004C1A0A" w14:paraId="190747EB" w14:textId="77777777" w:rsidTr="00E95101">
        <w:trPr>
          <w:trHeight w:val="340"/>
        </w:trPr>
        <w:tc>
          <w:tcPr>
            <w:tcW w:w="3256" w:type="dxa"/>
            <w:shd w:val="clear" w:color="auto" w:fill="F2F2F2" w:themeFill="background1" w:themeFillShade="F2"/>
            <w:vAlign w:val="center"/>
            <w:hideMark/>
          </w:tcPr>
          <w:p w14:paraId="5D48B31A" w14:textId="77777777" w:rsidR="0027187C" w:rsidRPr="00AE2B3D" w:rsidRDefault="0027187C" w:rsidP="002405FA">
            <w:pPr>
              <w:spacing w:line="276" w:lineRule="auto"/>
              <w:rPr>
                <w:b/>
                <w:bCs/>
                <w:color w:val="000000"/>
                <w:sz w:val="20"/>
                <w:szCs w:val="20"/>
              </w:rPr>
            </w:pPr>
            <w:r w:rsidRPr="00AE2B3D">
              <w:rPr>
                <w:b/>
                <w:bCs/>
                <w:color w:val="000000"/>
                <w:sz w:val="20"/>
                <w:szCs w:val="20"/>
              </w:rPr>
              <w:t>Total financial cost of divorce</w:t>
            </w:r>
          </w:p>
        </w:tc>
        <w:tc>
          <w:tcPr>
            <w:tcW w:w="1275" w:type="dxa"/>
            <w:shd w:val="clear" w:color="auto" w:fill="F2F2F2" w:themeFill="background1" w:themeFillShade="F2"/>
            <w:hideMark/>
          </w:tcPr>
          <w:p w14:paraId="490BCF33" w14:textId="77777777" w:rsidR="0027187C" w:rsidRPr="00AE2B3D" w:rsidRDefault="0027187C">
            <w:pPr>
              <w:spacing w:line="276" w:lineRule="auto"/>
              <w:rPr>
                <w:b/>
                <w:bCs/>
                <w:color w:val="000000"/>
                <w:sz w:val="20"/>
                <w:szCs w:val="20"/>
              </w:rPr>
            </w:pPr>
            <w:r w:rsidRPr="00AE2B3D">
              <w:rPr>
                <w:b/>
                <w:bCs/>
                <w:color w:val="000000"/>
                <w:sz w:val="20"/>
                <w:szCs w:val="20"/>
              </w:rPr>
              <w:t>f = (c x d) x e</w:t>
            </w:r>
          </w:p>
        </w:tc>
        <w:tc>
          <w:tcPr>
            <w:tcW w:w="993" w:type="dxa"/>
            <w:shd w:val="clear" w:color="auto" w:fill="F2F2F2" w:themeFill="background1" w:themeFillShade="F2"/>
            <w:vAlign w:val="center"/>
            <w:hideMark/>
          </w:tcPr>
          <w:p w14:paraId="6518C0CD" w14:textId="77777777" w:rsidR="0027187C" w:rsidRPr="00AE2B3D" w:rsidRDefault="0027187C">
            <w:pPr>
              <w:spacing w:line="276" w:lineRule="auto"/>
              <w:jc w:val="right"/>
              <w:rPr>
                <w:b/>
                <w:bCs/>
                <w:color w:val="000000"/>
                <w:sz w:val="20"/>
                <w:szCs w:val="20"/>
              </w:rPr>
            </w:pPr>
            <w:r w:rsidRPr="00AE2B3D">
              <w:rPr>
                <w:b/>
                <w:bCs/>
                <w:color w:val="000000"/>
                <w:sz w:val="20"/>
                <w:szCs w:val="20"/>
              </w:rPr>
              <w:t>$0</w:t>
            </w:r>
          </w:p>
        </w:tc>
        <w:tc>
          <w:tcPr>
            <w:tcW w:w="1275" w:type="dxa"/>
            <w:shd w:val="clear" w:color="auto" w:fill="F2F2F2" w:themeFill="background1" w:themeFillShade="F2"/>
            <w:vAlign w:val="center"/>
            <w:hideMark/>
          </w:tcPr>
          <w:p w14:paraId="01A95A2F" w14:textId="77777777" w:rsidR="0027187C" w:rsidRPr="00AE2B3D" w:rsidRDefault="0027187C">
            <w:pPr>
              <w:spacing w:line="276" w:lineRule="auto"/>
              <w:jc w:val="right"/>
              <w:rPr>
                <w:b/>
                <w:bCs/>
                <w:color w:val="000000"/>
                <w:sz w:val="20"/>
                <w:szCs w:val="20"/>
              </w:rPr>
            </w:pPr>
            <w:r w:rsidRPr="00AE2B3D">
              <w:rPr>
                <w:b/>
                <w:bCs/>
                <w:color w:val="000000"/>
                <w:sz w:val="20"/>
                <w:szCs w:val="20"/>
              </w:rPr>
              <w:t>$1,605,810</w:t>
            </w:r>
          </w:p>
        </w:tc>
        <w:tc>
          <w:tcPr>
            <w:tcW w:w="1276" w:type="dxa"/>
            <w:shd w:val="clear" w:color="auto" w:fill="F2F2F2" w:themeFill="background1" w:themeFillShade="F2"/>
            <w:vAlign w:val="center"/>
            <w:hideMark/>
          </w:tcPr>
          <w:p w14:paraId="58F56B27" w14:textId="77777777" w:rsidR="0027187C" w:rsidRPr="00AE2B3D" w:rsidRDefault="0027187C">
            <w:pPr>
              <w:spacing w:line="276" w:lineRule="auto"/>
              <w:jc w:val="right"/>
              <w:rPr>
                <w:b/>
                <w:bCs/>
                <w:color w:val="000000"/>
                <w:sz w:val="20"/>
                <w:szCs w:val="20"/>
              </w:rPr>
            </w:pPr>
            <w:r w:rsidRPr="00AE2B3D">
              <w:rPr>
                <w:b/>
                <w:bCs/>
                <w:color w:val="000000"/>
                <w:sz w:val="20"/>
                <w:szCs w:val="20"/>
              </w:rPr>
              <w:t>$2,161,762</w:t>
            </w:r>
          </w:p>
        </w:tc>
        <w:tc>
          <w:tcPr>
            <w:tcW w:w="1418" w:type="dxa"/>
            <w:shd w:val="clear" w:color="auto" w:fill="F2F2F2" w:themeFill="background1" w:themeFillShade="F2"/>
            <w:vAlign w:val="center"/>
            <w:hideMark/>
          </w:tcPr>
          <w:p w14:paraId="5A1CAC35" w14:textId="77777777" w:rsidR="0027187C" w:rsidRPr="00AE2B3D" w:rsidRDefault="0027187C">
            <w:pPr>
              <w:spacing w:line="276" w:lineRule="auto"/>
              <w:jc w:val="right"/>
              <w:rPr>
                <w:b/>
                <w:bCs/>
                <w:color w:val="000000"/>
                <w:sz w:val="20"/>
                <w:szCs w:val="20"/>
              </w:rPr>
            </w:pPr>
            <w:r w:rsidRPr="00AE2B3D">
              <w:rPr>
                <w:b/>
                <w:bCs/>
                <w:color w:val="000000"/>
                <w:sz w:val="20"/>
                <w:szCs w:val="20"/>
              </w:rPr>
              <w:t>$3,767,571</w:t>
            </w:r>
          </w:p>
        </w:tc>
      </w:tr>
      <w:tr w:rsidR="0027187C" w:rsidRPr="004C1A0A" w14:paraId="1BF6A384" w14:textId="77777777" w:rsidTr="00E95101">
        <w:trPr>
          <w:trHeight w:val="340"/>
        </w:trPr>
        <w:tc>
          <w:tcPr>
            <w:tcW w:w="9493" w:type="dxa"/>
            <w:gridSpan w:val="6"/>
            <w:vAlign w:val="center"/>
            <w:hideMark/>
          </w:tcPr>
          <w:p w14:paraId="475ED3F8" w14:textId="77777777" w:rsidR="0027187C" w:rsidRPr="00AE2B3D" w:rsidRDefault="0027187C" w:rsidP="002405FA">
            <w:pPr>
              <w:spacing w:line="276" w:lineRule="auto"/>
              <w:rPr>
                <w:b/>
                <w:bCs/>
                <w:i/>
                <w:iCs/>
                <w:color w:val="000000"/>
                <w:sz w:val="20"/>
                <w:szCs w:val="20"/>
              </w:rPr>
            </w:pPr>
            <w:r w:rsidRPr="00AE2B3D">
              <w:rPr>
                <w:b/>
                <w:bCs/>
                <w:i/>
                <w:iCs/>
                <w:color w:val="000000"/>
                <w:sz w:val="20"/>
                <w:szCs w:val="20"/>
              </w:rPr>
              <w:t>Emotional harm to the person with gambling problems</w:t>
            </w:r>
          </w:p>
        </w:tc>
      </w:tr>
      <w:tr w:rsidR="0027187C" w:rsidRPr="004C1A0A" w14:paraId="60A8BB5D" w14:textId="77777777" w:rsidTr="00E95101">
        <w:trPr>
          <w:trHeight w:val="340"/>
        </w:trPr>
        <w:tc>
          <w:tcPr>
            <w:tcW w:w="3256" w:type="dxa"/>
            <w:vAlign w:val="center"/>
            <w:hideMark/>
          </w:tcPr>
          <w:p w14:paraId="5FEBD14C" w14:textId="77777777" w:rsidR="0027187C" w:rsidRPr="00AE2B3D" w:rsidRDefault="0027187C" w:rsidP="002405FA">
            <w:pPr>
              <w:spacing w:line="276" w:lineRule="auto"/>
              <w:rPr>
                <w:color w:val="000000"/>
                <w:sz w:val="20"/>
                <w:szCs w:val="20"/>
              </w:rPr>
            </w:pPr>
            <w:r w:rsidRPr="00AE2B3D">
              <w:rPr>
                <w:color w:val="000000"/>
                <w:sz w:val="20"/>
                <w:szCs w:val="20"/>
              </w:rPr>
              <w:t>Cost of emotional harm</w:t>
            </w:r>
          </w:p>
        </w:tc>
        <w:tc>
          <w:tcPr>
            <w:tcW w:w="1275" w:type="dxa"/>
            <w:hideMark/>
          </w:tcPr>
          <w:p w14:paraId="74C94259" w14:textId="77777777" w:rsidR="0027187C" w:rsidRPr="00AE2B3D" w:rsidRDefault="0027187C">
            <w:pPr>
              <w:spacing w:line="276" w:lineRule="auto"/>
              <w:rPr>
                <w:color w:val="000000"/>
                <w:sz w:val="20"/>
                <w:szCs w:val="20"/>
              </w:rPr>
            </w:pPr>
            <w:r w:rsidRPr="00AE2B3D">
              <w:rPr>
                <w:color w:val="000000"/>
                <w:sz w:val="20"/>
                <w:szCs w:val="20"/>
              </w:rPr>
              <w:t>g</w:t>
            </w:r>
          </w:p>
        </w:tc>
        <w:tc>
          <w:tcPr>
            <w:tcW w:w="4962" w:type="dxa"/>
            <w:gridSpan w:val="4"/>
            <w:vAlign w:val="center"/>
            <w:hideMark/>
          </w:tcPr>
          <w:p w14:paraId="68034631" w14:textId="77777777" w:rsidR="0027187C" w:rsidRPr="00AE2B3D" w:rsidRDefault="0027187C" w:rsidP="00A6041F">
            <w:pPr>
              <w:spacing w:line="276" w:lineRule="auto"/>
              <w:jc w:val="center"/>
              <w:rPr>
                <w:color w:val="000000"/>
                <w:sz w:val="20"/>
                <w:szCs w:val="20"/>
              </w:rPr>
            </w:pPr>
            <w:r w:rsidRPr="00AE2B3D">
              <w:rPr>
                <w:color w:val="000000"/>
                <w:sz w:val="20"/>
                <w:szCs w:val="20"/>
              </w:rPr>
              <w:t>$10,000</w:t>
            </w:r>
          </w:p>
        </w:tc>
      </w:tr>
      <w:tr w:rsidR="0027187C" w:rsidRPr="004C1A0A" w14:paraId="51F7394C" w14:textId="77777777" w:rsidTr="00E95101">
        <w:trPr>
          <w:trHeight w:val="340"/>
        </w:trPr>
        <w:tc>
          <w:tcPr>
            <w:tcW w:w="3256" w:type="dxa"/>
            <w:shd w:val="clear" w:color="auto" w:fill="F2F2F2" w:themeFill="background1" w:themeFillShade="F2"/>
            <w:vAlign w:val="center"/>
            <w:hideMark/>
          </w:tcPr>
          <w:p w14:paraId="4428B866" w14:textId="77777777" w:rsidR="0027187C" w:rsidRPr="00AE2B3D" w:rsidRDefault="0027187C" w:rsidP="002405FA">
            <w:pPr>
              <w:spacing w:line="276" w:lineRule="auto"/>
              <w:rPr>
                <w:b/>
                <w:bCs/>
                <w:color w:val="000000"/>
                <w:sz w:val="20"/>
                <w:szCs w:val="20"/>
              </w:rPr>
            </w:pPr>
            <w:r w:rsidRPr="00AE2B3D">
              <w:rPr>
                <w:b/>
                <w:bCs/>
                <w:color w:val="000000"/>
                <w:sz w:val="20"/>
                <w:szCs w:val="20"/>
              </w:rPr>
              <w:t>Total cost of emotional distress from experiences of divorce or separation to the person who gambles</w:t>
            </w:r>
          </w:p>
        </w:tc>
        <w:tc>
          <w:tcPr>
            <w:tcW w:w="1275" w:type="dxa"/>
            <w:shd w:val="clear" w:color="auto" w:fill="F2F2F2" w:themeFill="background1" w:themeFillShade="F2"/>
            <w:vAlign w:val="center"/>
            <w:hideMark/>
          </w:tcPr>
          <w:p w14:paraId="6937042F" w14:textId="77777777" w:rsidR="0027187C" w:rsidRPr="00AE2B3D" w:rsidRDefault="0027187C">
            <w:pPr>
              <w:spacing w:line="276" w:lineRule="auto"/>
              <w:rPr>
                <w:b/>
                <w:bCs/>
                <w:color w:val="000000"/>
                <w:sz w:val="20"/>
                <w:szCs w:val="20"/>
              </w:rPr>
            </w:pPr>
            <w:r w:rsidRPr="00AE2B3D">
              <w:rPr>
                <w:b/>
                <w:bCs/>
                <w:color w:val="000000"/>
                <w:sz w:val="20"/>
                <w:szCs w:val="20"/>
              </w:rPr>
              <w:t>h = c x g</w:t>
            </w:r>
          </w:p>
        </w:tc>
        <w:tc>
          <w:tcPr>
            <w:tcW w:w="993" w:type="dxa"/>
            <w:shd w:val="clear" w:color="auto" w:fill="F2F2F2" w:themeFill="background1" w:themeFillShade="F2"/>
            <w:vAlign w:val="center"/>
            <w:hideMark/>
          </w:tcPr>
          <w:p w14:paraId="7EA864D3" w14:textId="77777777" w:rsidR="0027187C" w:rsidRPr="00AE2B3D" w:rsidRDefault="0027187C">
            <w:pPr>
              <w:spacing w:line="276" w:lineRule="auto"/>
              <w:jc w:val="right"/>
              <w:rPr>
                <w:b/>
                <w:bCs/>
                <w:color w:val="000000"/>
                <w:sz w:val="20"/>
                <w:szCs w:val="20"/>
              </w:rPr>
            </w:pPr>
            <w:r w:rsidRPr="00AE2B3D">
              <w:rPr>
                <w:b/>
                <w:bCs/>
                <w:color w:val="000000"/>
                <w:sz w:val="20"/>
                <w:szCs w:val="20"/>
              </w:rPr>
              <w:t>$0</w:t>
            </w:r>
          </w:p>
        </w:tc>
        <w:tc>
          <w:tcPr>
            <w:tcW w:w="1275" w:type="dxa"/>
            <w:shd w:val="clear" w:color="auto" w:fill="F2F2F2" w:themeFill="background1" w:themeFillShade="F2"/>
            <w:vAlign w:val="center"/>
            <w:hideMark/>
          </w:tcPr>
          <w:p w14:paraId="1D30E61F" w14:textId="77777777" w:rsidR="0027187C" w:rsidRPr="00AE2B3D" w:rsidRDefault="0027187C">
            <w:pPr>
              <w:spacing w:line="276" w:lineRule="auto"/>
              <w:jc w:val="right"/>
              <w:rPr>
                <w:b/>
                <w:bCs/>
                <w:color w:val="000000"/>
                <w:sz w:val="20"/>
                <w:szCs w:val="20"/>
              </w:rPr>
            </w:pPr>
            <w:r w:rsidRPr="00AE2B3D">
              <w:rPr>
                <w:b/>
                <w:bCs/>
                <w:color w:val="000000"/>
                <w:sz w:val="20"/>
                <w:szCs w:val="20"/>
              </w:rPr>
              <w:t>$16,030,464</w:t>
            </w:r>
          </w:p>
        </w:tc>
        <w:tc>
          <w:tcPr>
            <w:tcW w:w="1276" w:type="dxa"/>
            <w:shd w:val="clear" w:color="auto" w:fill="F2F2F2" w:themeFill="background1" w:themeFillShade="F2"/>
            <w:vAlign w:val="center"/>
            <w:hideMark/>
          </w:tcPr>
          <w:p w14:paraId="77F8E34A" w14:textId="77777777" w:rsidR="0027187C" w:rsidRPr="00AE2B3D" w:rsidRDefault="0027187C">
            <w:pPr>
              <w:spacing w:line="276" w:lineRule="auto"/>
              <w:jc w:val="right"/>
              <w:rPr>
                <w:b/>
                <w:bCs/>
                <w:color w:val="000000"/>
                <w:sz w:val="20"/>
                <w:szCs w:val="20"/>
              </w:rPr>
            </w:pPr>
            <w:r w:rsidRPr="00AE2B3D">
              <w:rPr>
                <w:b/>
                <w:bCs/>
                <w:color w:val="000000"/>
                <w:sz w:val="20"/>
                <w:szCs w:val="20"/>
              </w:rPr>
              <w:t>$21,580,416</w:t>
            </w:r>
          </w:p>
        </w:tc>
        <w:tc>
          <w:tcPr>
            <w:tcW w:w="1418" w:type="dxa"/>
            <w:shd w:val="clear" w:color="auto" w:fill="F2F2F2" w:themeFill="background1" w:themeFillShade="F2"/>
            <w:vAlign w:val="center"/>
            <w:hideMark/>
          </w:tcPr>
          <w:p w14:paraId="22347848" w14:textId="77777777" w:rsidR="0027187C" w:rsidRPr="00AE2B3D" w:rsidRDefault="0027187C">
            <w:pPr>
              <w:spacing w:line="276" w:lineRule="auto"/>
              <w:jc w:val="right"/>
              <w:rPr>
                <w:b/>
                <w:bCs/>
                <w:color w:val="000000"/>
                <w:sz w:val="20"/>
                <w:szCs w:val="20"/>
              </w:rPr>
            </w:pPr>
            <w:r w:rsidRPr="00AE2B3D">
              <w:rPr>
                <w:b/>
                <w:bCs/>
                <w:color w:val="000000"/>
                <w:sz w:val="20"/>
                <w:szCs w:val="20"/>
              </w:rPr>
              <w:t>$37,610,880</w:t>
            </w:r>
          </w:p>
        </w:tc>
      </w:tr>
      <w:tr w:rsidR="0027187C" w:rsidRPr="004C1A0A" w14:paraId="74980706" w14:textId="77777777" w:rsidTr="00E95101">
        <w:trPr>
          <w:trHeight w:val="340"/>
        </w:trPr>
        <w:tc>
          <w:tcPr>
            <w:tcW w:w="9493" w:type="dxa"/>
            <w:gridSpan w:val="6"/>
            <w:vAlign w:val="center"/>
            <w:hideMark/>
          </w:tcPr>
          <w:p w14:paraId="145DFBF8" w14:textId="77777777" w:rsidR="0027187C" w:rsidRPr="00AE2B3D" w:rsidRDefault="0027187C" w:rsidP="002405FA">
            <w:pPr>
              <w:spacing w:line="276" w:lineRule="auto"/>
              <w:rPr>
                <w:b/>
                <w:bCs/>
                <w:i/>
                <w:iCs/>
                <w:color w:val="000000"/>
                <w:sz w:val="20"/>
                <w:szCs w:val="20"/>
              </w:rPr>
            </w:pPr>
            <w:r w:rsidRPr="00AE2B3D">
              <w:rPr>
                <w:b/>
                <w:bCs/>
                <w:i/>
                <w:iCs/>
                <w:color w:val="000000"/>
                <w:sz w:val="20"/>
                <w:szCs w:val="20"/>
              </w:rPr>
              <w:t>Emotional harm to affected other</w:t>
            </w:r>
            <w:r w:rsidRPr="00AE2B3D">
              <w:rPr>
                <w:color w:val="000000"/>
                <w:sz w:val="20"/>
                <w:szCs w:val="20"/>
              </w:rPr>
              <w:t> </w:t>
            </w:r>
          </w:p>
        </w:tc>
      </w:tr>
      <w:tr w:rsidR="00A6041F" w:rsidRPr="004C1A0A" w14:paraId="27077918" w14:textId="77777777" w:rsidTr="00E95101">
        <w:trPr>
          <w:trHeight w:val="340"/>
        </w:trPr>
        <w:tc>
          <w:tcPr>
            <w:tcW w:w="3256" w:type="dxa"/>
            <w:vAlign w:val="center"/>
            <w:hideMark/>
          </w:tcPr>
          <w:p w14:paraId="07525849" w14:textId="77777777" w:rsidR="00A6041F" w:rsidRPr="00AE2B3D" w:rsidRDefault="00A6041F" w:rsidP="002405FA">
            <w:pPr>
              <w:spacing w:line="276" w:lineRule="auto"/>
              <w:rPr>
                <w:color w:val="000000"/>
                <w:sz w:val="20"/>
                <w:szCs w:val="20"/>
              </w:rPr>
            </w:pPr>
            <w:r w:rsidRPr="00AE2B3D">
              <w:rPr>
                <w:color w:val="000000"/>
                <w:sz w:val="20"/>
                <w:szCs w:val="20"/>
              </w:rPr>
              <w:t>Average number of persons per household (minus the person with gambling problems)</w:t>
            </w:r>
          </w:p>
        </w:tc>
        <w:tc>
          <w:tcPr>
            <w:tcW w:w="1275" w:type="dxa"/>
            <w:hideMark/>
          </w:tcPr>
          <w:p w14:paraId="7D119998" w14:textId="77777777" w:rsidR="00A6041F" w:rsidRPr="00AE2B3D" w:rsidRDefault="00A6041F">
            <w:pPr>
              <w:spacing w:line="276" w:lineRule="auto"/>
              <w:rPr>
                <w:color w:val="000000"/>
                <w:sz w:val="20"/>
                <w:szCs w:val="20"/>
              </w:rPr>
            </w:pPr>
            <w:r w:rsidRPr="00AE2B3D">
              <w:rPr>
                <w:color w:val="000000"/>
                <w:sz w:val="20"/>
                <w:szCs w:val="20"/>
              </w:rPr>
              <w:t>i</w:t>
            </w:r>
          </w:p>
        </w:tc>
        <w:tc>
          <w:tcPr>
            <w:tcW w:w="4962" w:type="dxa"/>
            <w:gridSpan w:val="4"/>
            <w:vAlign w:val="center"/>
            <w:hideMark/>
          </w:tcPr>
          <w:p w14:paraId="1E470E97" w14:textId="16028EBC" w:rsidR="00A6041F" w:rsidRPr="00AE2B3D" w:rsidRDefault="00A6041F" w:rsidP="00A6041F">
            <w:pPr>
              <w:spacing w:line="276" w:lineRule="auto"/>
              <w:jc w:val="center"/>
              <w:rPr>
                <w:color w:val="000000"/>
                <w:sz w:val="20"/>
                <w:szCs w:val="20"/>
              </w:rPr>
            </w:pPr>
            <w:r w:rsidRPr="00AE2B3D">
              <w:rPr>
                <w:color w:val="000000"/>
                <w:sz w:val="20"/>
                <w:szCs w:val="20"/>
              </w:rPr>
              <w:t>1.7</w:t>
            </w:r>
          </w:p>
        </w:tc>
      </w:tr>
      <w:tr w:rsidR="0027187C" w:rsidRPr="004C1A0A" w14:paraId="61EC40E2" w14:textId="77777777" w:rsidTr="00E95101">
        <w:trPr>
          <w:trHeight w:val="340"/>
        </w:trPr>
        <w:tc>
          <w:tcPr>
            <w:tcW w:w="3256" w:type="dxa"/>
            <w:vAlign w:val="center"/>
            <w:hideMark/>
          </w:tcPr>
          <w:p w14:paraId="64BD5712" w14:textId="77777777" w:rsidR="0027187C" w:rsidRPr="00AE2B3D" w:rsidRDefault="0027187C" w:rsidP="002405FA">
            <w:pPr>
              <w:spacing w:line="276" w:lineRule="auto"/>
              <w:rPr>
                <w:color w:val="000000"/>
                <w:sz w:val="20"/>
                <w:szCs w:val="20"/>
              </w:rPr>
            </w:pPr>
            <w:r w:rsidRPr="00AE2B3D">
              <w:rPr>
                <w:color w:val="000000"/>
                <w:sz w:val="20"/>
                <w:szCs w:val="20"/>
              </w:rPr>
              <w:t>Number of affected others</w:t>
            </w:r>
          </w:p>
        </w:tc>
        <w:tc>
          <w:tcPr>
            <w:tcW w:w="1275" w:type="dxa"/>
            <w:hideMark/>
          </w:tcPr>
          <w:p w14:paraId="4EC24712" w14:textId="77777777" w:rsidR="0027187C" w:rsidRPr="00AE2B3D" w:rsidRDefault="0027187C">
            <w:pPr>
              <w:spacing w:line="276" w:lineRule="auto"/>
              <w:rPr>
                <w:color w:val="000000"/>
                <w:sz w:val="20"/>
                <w:szCs w:val="20"/>
              </w:rPr>
            </w:pPr>
            <w:r w:rsidRPr="00AE2B3D">
              <w:rPr>
                <w:color w:val="000000"/>
                <w:sz w:val="20"/>
                <w:szCs w:val="20"/>
              </w:rPr>
              <w:t>j = c x i</w:t>
            </w:r>
          </w:p>
        </w:tc>
        <w:tc>
          <w:tcPr>
            <w:tcW w:w="993" w:type="dxa"/>
            <w:vAlign w:val="center"/>
            <w:hideMark/>
          </w:tcPr>
          <w:p w14:paraId="0E2D6F35" w14:textId="77777777" w:rsidR="0027187C" w:rsidRPr="00AE2B3D" w:rsidRDefault="0027187C">
            <w:pPr>
              <w:spacing w:line="276" w:lineRule="auto"/>
              <w:jc w:val="right"/>
              <w:rPr>
                <w:color w:val="000000"/>
                <w:sz w:val="20"/>
                <w:szCs w:val="20"/>
              </w:rPr>
            </w:pPr>
            <w:r w:rsidRPr="00AE2B3D">
              <w:rPr>
                <w:color w:val="000000"/>
                <w:sz w:val="20"/>
                <w:szCs w:val="20"/>
              </w:rPr>
              <w:t>0</w:t>
            </w:r>
          </w:p>
        </w:tc>
        <w:tc>
          <w:tcPr>
            <w:tcW w:w="1275" w:type="dxa"/>
            <w:vAlign w:val="center"/>
            <w:hideMark/>
          </w:tcPr>
          <w:p w14:paraId="00100CCA" w14:textId="77777777" w:rsidR="0027187C" w:rsidRPr="00AE2B3D" w:rsidRDefault="0027187C">
            <w:pPr>
              <w:spacing w:line="276" w:lineRule="auto"/>
              <w:jc w:val="right"/>
              <w:rPr>
                <w:color w:val="000000"/>
                <w:sz w:val="20"/>
                <w:szCs w:val="20"/>
              </w:rPr>
            </w:pPr>
            <w:r w:rsidRPr="00AE2B3D">
              <w:rPr>
                <w:color w:val="000000"/>
                <w:sz w:val="20"/>
                <w:szCs w:val="20"/>
              </w:rPr>
              <w:t>2,725</w:t>
            </w:r>
          </w:p>
        </w:tc>
        <w:tc>
          <w:tcPr>
            <w:tcW w:w="1276" w:type="dxa"/>
            <w:vAlign w:val="center"/>
            <w:hideMark/>
          </w:tcPr>
          <w:p w14:paraId="02C74E45" w14:textId="77777777" w:rsidR="0027187C" w:rsidRPr="00AE2B3D" w:rsidRDefault="0027187C">
            <w:pPr>
              <w:spacing w:line="276" w:lineRule="auto"/>
              <w:jc w:val="right"/>
              <w:rPr>
                <w:color w:val="000000"/>
                <w:sz w:val="20"/>
                <w:szCs w:val="20"/>
              </w:rPr>
            </w:pPr>
            <w:r w:rsidRPr="00AE2B3D">
              <w:rPr>
                <w:color w:val="000000"/>
                <w:sz w:val="20"/>
                <w:szCs w:val="20"/>
              </w:rPr>
              <w:t>3,669</w:t>
            </w:r>
          </w:p>
        </w:tc>
        <w:tc>
          <w:tcPr>
            <w:tcW w:w="1418" w:type="dxa"/>
            <w:vAlign w:val="center"/>
            <w:hideMark/>
          </w:tcPr>
          <w:p w14:paraId="331258FA" w14:textId="77777777" w:rsidR="0027187C" w:rsidRPr="00AE2B3D" w:rsidRDefault="0027187C">
            <w:pPr>
              <w:spacing w:line="276" w:lineRule="auto"/>
              <w:jc w:val="right"/>
              <w:rPr>
                <w:color w:val="000000"/>
                <w:sz w:val="20"/>
                <w:szCs w:val="20"/>
              </w:rPr>
            </w:pPr>
            <w:r w:rsidRPr="00AE2B3D">
              <w:rPr>
                <w:color w:val="000000"/>
                <w:sz w:val="20"/>
                <w:szCs w:val="20"/>
              </w:rPr>
              <w:t>6,394</w:t>
            </w:r>
          </w:p>
        </w:tc>
      </w:tr>
      <w:tr w:rsidR="0027187C" w:rsidRPr="004C1A0A" w14:paraId="4D5EA022" w14:textId="77777777" w:rsidTr="00E95101">
        <w:trPr>
          <w:trHeight w:val="340"/>
        </w:trPr>
        <w:tc>
          <w:tcPr>
            <w:tcW w:w="3256" w:type="dxa"/>
            <w:vAlign w:val="center"/>
            <w:hideMark/>
          </w:tcPr>
          <w:p w14:paraId="3F821281" w14:textId="77777777" w:rsidR="0027187C" w:rsidRPr="00AE2B3D" w:rsidRDefault="0027187C" w:rsidP="002405FA">
            <w:pPr>
              <w:spacing w:line="276" w:lineRule="auto"/>
              <w:rPr>
                <w:color w:val="000000"/>
                <w:sz w:val="20"/>
                <w:szCs w:val="20"/>
              </w:rPr>
            </w:pPr>
            <w:r w:rsidRPr="00AE2B3D">
              <w:rPr>
                <w:color w:val="000000"/>
                <w:sz w:val="20"/>
                <w:szCs w:val="20"/>
              </w:rPr>
              <w:t>Cost of emotional harm</w:t>
            </w:r>
          </w:p>
        </w:tc>
        <w:tc>
          <w:tcPr>
            <w:tcW w:w="1275" w:type="dxa"/>
            <w:hideMark/>
          </w:tcPr>
          <w:p w14:paraId="7C0CAC69" w14:textId="77777777" w:rsidR="0027187C" w:rsidRPr="00AE2B3D" w:rsidRDefault="0027187C">
            <w:pPr>
              <w:spacing w:line="276" w:lineRule="auto"/>
              <w:rPr>
                <w:color w:val="000000"/>
                <w:sz w:val="20"/>
                <w:szCs w:val="20"/>
              </w:rPr>
            </w:pPr>
            <w:r w:rsidRPr="00AE2B3D">
              <w:rPr>
                <w:color w:val="000000"/>
                <w:sz w:val="20"/>
                <w:szCs w:val="20"/>
              </w:rPr>
              <w:t>k</w:t>
            </w:r>
          </w:p>
        </w:tc>
        <w:tc>
          <w:tcPr>
            <w:tcW w:w="4962" w:type="dxa"/>
            <w:gridSpan w:val="4"/>
            <w:vAlign w:val="center"/>
            <w:hideMark/>
          </w:tcPr>
          <w:p w14:paraId="0D3F3846" w14:textId="77777777" w:rsidR="0027187C" w:rsidRPr="00AE2B3D" w:rsidRDefault="0027187C" w:rsidP="00A6041F">
            <w:pPr>
              <w:spacing w:line="276" w:lineRule="auto"/>
              <w:jc w:val="center"/>
              <w:rPr>
                <w:color w:val="000000"/>
                <w:sz w:val="20"/>
                <w:szCs w:val="20"/>
              </w:rPr>
            </w:pPr>
            <w:r w:rsidRPr="00AE2B3D">
              <w:rPr>
                <w:color w:val="000000"/>
                <w:sz w:val="20"/>
                <w:szCs w:val="20"/>
              </w:rPr>
              <w:t>$10,000</w:t>
            </w:r>
          </w:p>
        </w:tc>
      </w:tr>
      <w:tr w:rsidR="0027187C" w:rsidRPr="004C1A0A" w14:paraId="5FEC6699" w14:textId="77777777" w:rsidTr="00E95101">
        <w:trPr>
          <w:trHeight w:val="340"/>
        </w:trPr>
        <w:tc>
          <w:tcPr>
            <w:tcW w:w="3256" w:type="dxa"/>
            <w:shd w:val="clear" w:color="auto" w:fill="F2F2F2" w:themeFill="background1" w:themeFillShade="F2"/>
            <w:vAlign w:val="center"/>
            <w:hideMark/>
          </w:tcPr>
          <w:p w14:paraId="423215DD" w14:textId="77777777" w:rsidR="0027187C" w:rsidRPr="00AE2B3D" w:rsidRDefault="0027187C" w:rsidP="002405FA">
            <w:pPr>
              <w:spacing w:line="276" w:lineRule="auto"/>
              <w:rPr>
                <w:b/>
                <w:bCs/>
                <w:color w:val="000000"/>
                <w:sz w:val="20"/>
                <w:szCs w:val="20"/>
              </w:rPr>
            </w:pPr>
            <w:r w:rsidRPr="00AE2B3D">
              <w:rPr>
                <w:b/>
                <w:bCs/>
                <w:color w:val="000000"/>
                <w:sz w:val="20"/>
                <w:szCs w:val="20"/>
              </w:rPr>
              <w:t>Total cost of emotional distress to affected others</w:t>
            </w:r>
          </w:p>
        </w:tc>
        <w:tc>
          <w:tcPr>
            <w:tcW w:w="1275" w:type="dxa"/>
            <w:shd w:val="clear" w:color="auto" w:fill="F2F2F2" w:themeFill="background1" w:themeFillShade="F2"/>
            <w:hideMark/>
          </w:tcPr>
          <w:p w14:paraId="167D8D23" w14:textId="77777777" w:rsidR="0027187C" w:rsidRPr="00AE2B3D" w:rsidRDefault="0027187C">
            <w:pPr>
              <w:spacing w:line="276" w:lineRule="auto"/>
              <w:rPr>
                <w:b/>
                <w:bCs/>
                <w:color w:val="000000"/>
                <w:sz w:val="20"/>
                <w:szCs w:val="20"/>
              </w:rPr>
            </w:pPr>
            <w:r w:rsidRPr="00AE2B3D">
              <w:rPr>
                <w:b/>
                <w:bCs/>
                <w:color w:val="000000"/>
                <w:sz w:val="20"/>
                <w:szCs w:val="20"/>
              </w:rPr>
              <w:t>l = j x k</w:t>
            </w:r>
          </w:p>
        </w:tc>
        <w:tc>
          <w:tcPr>
            <w:tcW w:w="993" w:type="dxa"/>
            <w:shd w:val="clear" w:color="auto" w:fill="F2F2F2" w:themeFill="background1" w:themeFillShade="F2"/>
            <w:vAlign w:val="center"/>
            <w:hideMark/>
          </w:tcPr>
          <w:p w14:paraId="699C46FD" w14:textId="77777777" w:rsidR="0027187C" w:rsidRPr="00AE2B3D" w:rsidRDefault="0027187C">
            <w:pPr>
              <w:spacing w:line="276" w:lineRule="auto"/>
              <w:jc w:val="right"/>
              <w:rPr>
                <w:b/>
                <w:bCs/>
                <w:color w:val="000000"/>
                <w:sz w:val="20"/>
                <w:szCs w:val="20"/>
              </w:rPr>
            </w:pPr>
            <w:r w:rsidRPr="00AE2B3D">
              <w:rPr>
                <w:b/>
                <w:bCs/>
                <w:color w:val="000000"/>
                <w:sz w:val="20"/>
                <w:szCs w:val="20"/>
              </w:rPr>
              <w:t>$0</w:t>
            </w:r>
          </w:p>
        </w:tc>
        <w:tc>
          <w:tcPr>
            <w:tcW w:w="1275" w:type="dxa"/>
            <w:shd w:val="clear" w:color="auto" w:fill="F2F2F2" w:themeFill="background1" w:themeFillShade="F2"/>
            <w:vAlign w:val="center"/>
            <w:hideMark/>
          </w:tcPr>
          <w:p w14:paraId="2B5C387F" w14:textId="77777777" w:rsidR="0027187C" w:rsidRPr="00AE2B3D" w:rsidRDefault="0027187C">
            <w:pPr>
              <w:spacing w:line="276" w:lineRule="auto"/>
              <w:jc w:val="right"/>
              <w:rPr>
                <w:b/>
                <w:bCs/>
                <w:color w:val="000000"/>
                <w:sz w:val="20"/>
                <w:szCs w:val="20"/>
              </w:rPr>
            </w:pPr>
            <w:r w:rsidRPr="00AE2B3D">
              <w:rPr>
                <w:b/>
                <w:bCs/>
                <w:color w:val="000000"/>
                <w:sz w:val="20"/>
                <w:szCs w:val="20"/>
              </w:rPr>
              <w:t>$27,251,789</w:t>
            </w:r>
          </w:p>
        </w:tc>
        <w:tc>
          <w:tcPr>
            <w:tcW w:w="1276" w:type="dxa"/>
            <w:shd w:val="clear" w:color="auto" w:fill="F2F2F2" w:themeFill="background1" w:themeFillShade="F2"/>
            <w:vAlign w:val="center"/>
            <w:hideMark/>
          </w:tcPr>
          <w:p w14:paraId="0BF018C9" w14:textId="77777777" w:rsidR="0027187C" w:rsidRPr="00AE2B3D" w:rsidRDefault="0027187C">
            <w:pPr>
              <w:spacing w:line="276" w:lineRule="auto"/>
              <w:jc w:val="right"/>
              <w:rPr>
                <w:b/>
                <w:bCs/>
                <w:color w:val="000000"/>
                <w:sz w:val="20"/>
                <w:szCs w:val="20"/>
              </w:rPr>
            </w:pPr>
            <w:r w:rsidRPr="00AE2B3D">
              <w:rPr>
                <w:b/>
                <w:bCs/>
                <w:color w:val="000000"/>
                <w:sz w:val="20"/>
                <w:szCs w:val="20"/>
              </w:rPr>
              <w:t>$36,686,707</w:t>
            </w:r>
          </w:p>
        </w:tc>
        <w:tc>
          <w:tcPr>
            <w:tcW w:w="1418" w:type="dxa"/>
            <w:shd w:val="clear" w:color="auto" w:fill="F2F2F2" w:themeFill="background1" w:themeFillShade="F2"/>
            <w:vAlign w:val="center"/>
            <w:hideMark/>
          </w:tcPr>
          <w:p w14:paraId="14F396C9" w14:textId="77777777" w:rsidR="0027187C" w:rsidRPr="00AE2B3D" w:rsidRDefault="0027187C">
            <w:pPr>
              <w:spacing w:line="276" w:lineRule="auto"/>
              <w:jc w:val="right"/>
              <w:rPr>
                <w:b/>
                <w:bCs/>
                <w:color w:val="000000"/>
                <w:sz w:val="20"/>
                <w:szCs w:val="20"/>
              </w:rPr>
            </w:pPr>
            <w:r w:rsidRPr="00AE2B3D">
              <w:rPr>
                <w:b/>
                <w:bCs/>
                <w:color w:val="000000"/>
                <w:sz w:val="20"/>
                <w:szCs w:val="20"/>
              </w:rPr>
              <w:t>$63,938,496</w:t>
            </w:r>
          </w:p>
        </w:tc>
      </w:tr>
      <w:tr w:rsidR="0027187C" w:rsidRPr="004C1A0A" w14:paraId="3ABA3D24" w14:textId="77777777" w:rsidTr="00E95101">
        <w:trPr>
          <w:trHeight w:val="340"/>
        </w:trPr>
        <w:tc>
          <w:tcPr>
            <w:tcW w:w="3256" w:type="dxa"/>
            <w:shd w:val="clear" w:color="auto" w:fill="F2F2F2" w:themeFill="background1" w:themeFillShade="F2"/>
            <w:vAlign w:val="center"/>
            <w:hideMark/>
          </w:tcPr>
          <w:p w14:paraId="0B28E3A9" w14:textId="77777777" w:rsidR="0027187C" w:rsidRPr="00AE2B3D" w:rsidRDefault="0027187C" w:rsidP="002405FA">
            <w:pPr>
              <w:spacing w:line="276" w:lineRule="auto"/>
              <w:rPr>
                <w:b/>
                <w:bCs/>
                <w:color w:val="000000"/>
                <w:sz w:val="20"/>
                <w:szCs w:val="20"/>
              </w:rPr>
            </w:pPr>
            <w:r w:rsidRPr="00AE2B3D">
              <w:rPr>
                <w:b/>
                <w:bCs/>
                <w:color w:val="000000"/>
                <w:sz w:val="20"/>
                <w:szCs w:val="20"/>
              </w:rPr>
              <w:t>Total cost of divorce and separation</w:t>
            </w:r>
          </w:p>
        </w:tc>
        <w:tc>
          <w:tcPr>
            <w:tcW w:w="1275" w:type="dxa"/>
            <w:shd w:val="clear" w:color="auto" w:fill="F2F2F2" w:themeFill="background1" w:themeFillShade="F2"/>
            <w:hideMark/>
          </w:tcPr>
          <w:p w14:paraId="3AB28956" w14:textId="77777777" w:rsidR="0027187C" w:rsidRPr="00AE2B3D" w:rsidRDefault="0027187C">
            <w:pPr>
              <w:spacing w:line="276" w:lineRule="auto"/>
              <w:rPr>
                <w:b/>
                <w:bCs/>
                <w:color w:val="000000"/>
                <w:sz w:val="20"/>
                <w:szCs w:val="20"/>
              </w:rPr>
            </w:pPr>
            <w:r w:rsidRPr="00AE2B3D">
              <w:rPr>
                <w:b/>
                <w:bCs/>
                <w:color w:val="000000"/>
                <w:sz w:val="20"/>
                <w:szCs w:val="20"/>
              </w:rPr>
              <w:t>m = f + h + l</w:t>
            </w:r>
          </w:p>
        </w:tc>
        <w:tc>
          <w:tcPr>
            <w:tcW w:w="993" w:type="dxa"/>
            <w:shd w:val="clear" w:color="auto" w:fill="F2F2F2" w:themeFill="background1" w:themeFillShade="F2"/>
            <w:vAlign w:val="center"/>
            <w:hideMark/>
          </w:tcPr>
          <w:p w14:paraId="6E4B71E5" w14:textId="77777777" w:rsidR="0027187C" w:rsidRPr="00AE2B3D" w:rsidRDefault="0027187C">
            <w:pPr>
              <w:spacing w:line="276" w:lineRule="auto"/>
              <w:jc w:val="right"/>
              <w:rPr>
                <w:b/>
                <w:bCs/>
                <w:color w:val="000000"/>
                <w:sz w:val="20"/>
                <w:szCs w:val="20"/>
              </w:rPr>
            </w:pPr>
            <w:r w:rsidRPr="00AE2B3D">
              <w:rPr>
                <w:b/>
                <w:bCs/>
                <w:color w:val="000000"/>
                <w:sz w:val="20"/>
                <w:szCs w:val="20"/>
              </w:rPr>
              <w:t>$0</w:t>
            </w:r>
          </w:p>
        </w:tc>
        <w:tc>
          <w:tcPr>
            <w:tcW w:w="1275" w:type="dxa"/>
            <w:shd w:val="clear" w:color="auto" w:fill="F2F2F2" w:themeFill="background1" w:themeFillShade="F2"/>
            <w:vAlign w:val="center"/>
            <w:hideMark/>
          </w:tcPr>
          <w:p w14:paraId="5F5D4D3C" w14:textId="77777777" w:rsidR="0027187C" w:rsidRPr="00AE2B3D" w:rsidRDefault="0027187C">
            <w:pPr>
              <w:spacing w:line="276" w:lineRule="auto"/>
              <w:jc w:val="right"/>
              <w:rPr>
                <w:b/>
                <w:bCs/>
                <w:color w:val="000000"/>
                <w:sz w:val="20"/>
                <w:szCs w:val="20"/>
              </w:rPr>
            </w:pPr>
            <w:r w:rsidRPr="00AE2B3D">
              <w:rPr>
                <w:b/>
                <w:bCs/>
                <w:color w:val="000000"/>
                <w:sz w:val="20"/>
                <w:szCs w:val="20"/>
              </w:rPr>
              <w:t>$44,888,063</w:t>
            </w:r>
          </w:p>
        </w:tc>
        <w:tc>
          <w:tcPr>
            <w:tcW w:w="1276" w:type="dxa"/>
            <w:shd w:val="clear" w:color="auto" w:fill="F2F2F2" w:themeFill="background1" w:themeFillShade="F2"/>
            <w:vAlign w:val="center"/>
            <w:hideMark/>
          </w:tcPr>
          <w:p w14:paraId="1968D7FB" w14:textId="77777777" w:rsidR="0027187C" w:rsidRPr="00AE2B3D" w:rsidRDefault="0027187C">
            <w:pPr>
              <w:spacing w:line="276" w:lineRule="auto"/>
              <w:jc w:val="right"/>
              <w:rPr>
                <w:b/>
                <w:bCs/>
                <w:color w:val="000000"/>
                <w:sz w:val="20"/>
                <w:szCs w:val="20"/>
              </w:rPr>
            </w:pPr>
            <w:r w:rsidRPr="00AE2B3D">
              <w:rPr>
                <w:b/>
                <w:bCs/>
                <w:color w:val="000000"/>
                <w:sz w:val="20"/>
                <w:szCs w:val="20"/>
              </w:rPr>
              <w:t>$60,428,885</w:t>
            </w:r>
          </w:p>
        </w:tc>
        <w:tc>
          <w:tcPr>
            <w:tcW w:w="1418" w:type="dxa"/>
            <w:shd w:val="clear" w:color="auto" w:fill="F2F2F2" w:themeFill="background1" w:themeFillShade="F2"/>
            <w:vAlign w:val="center"/>
            <w:hideMark/>
          </w:tcPr>
          <w:p w14:paraId="66328236" w14:textId="77777777" w:rsidR="0027187C" w:rsidRPr="00AE2B3D" w:rsidRDefault="0027187C">
            <w:pPr>
              <w:spacing w:line="276" w:lineRule="auto"/>
              <w:jc w:val="right"/>
              <w:rPr>
                <w:b/>
                <w:bCs/>
                <w:color w:val="000000"/>
                <w:sz w:val="20"/>
                <w:szCs w:val="20"/>
              </w:rPr>
            </w:pPr>
            <w:r w:rsidRPr="00AE2B3D">
              <w:rPr>
                <w:b/>
                <w:bCs/>
                <w:color w:val="000000"/>
                <w:sz w:val="20"/>
                <w:szCs w:val="20"/>
              </w:rPr>
              <w:t>$105,316,947</w:t>
            </w:r>
          </w:p>
        </w:tc>
      </w:tr>
      <w:tr w:rsidR="0027187C" w:rsidRPr="004C1A0A" w14:paraId="458C6CBD" w14:textId="77777777" w:rsidTr="00E95101">
        <w:trPr>
          <w:trHeight w:val="340"/>
        </w:trPr>
        <w:tc>
          <w:tcPr>
            <w:tcW w:w="8075" w:type="dxa"/>
            <w:gridSpan w:val="5"/>
            <w:vAlign w:val="center"/>
            <w:hideMark/>
          </w:tcPr>
          <w:p w14:paraId="15C85AA8" w14:textId="77777777" w:rsidR="0027187C" w:rsidRPr="00AE2B3D" w:rsidRDefault="0027187C">
            <w:pPr>
              <w:spacing w:line="276" w:lineRule="auto"/>
              <w:rPr>
                <w:color w:val="000000"/>
                <w:sz w:val="20"/>
                <w:szCs w:val="20"/>
              </w:rPr>
            </w:pPr>
            <w:r w:rsidRPr="00AE2B3D">
              <w:rPr>
                <w:color w:val="000000"/>
                <w:sz w:val="20"/>
                <w:szCs w:val="20"/>
              </w:rPr>
              <w:t>Lower bound</w:t>
            </w:r>
          </w:p>
        </w:tc>
        <w:tc>
          <w:tcPr>
            <w:tcW w:w="1418" w:type="dxa"/>
            <w:vAlign w:val="center"/>
            <w:hideMark/>
          </w:tcPr>
          <w:p w14:paraId="424AAAEF" w14:textId="77777777" w:rsidR="0027187C" w:rsidRPr="00AE2B3D" w:rsidRDefault="0027187C">
            <w:pPr>
              <w:spacing w:line="276" w:lineRule="auto"/>
              <w:jc w:val="right"/>
              <w:rPr>
                <w:color w:val="000000"/>
                <w:sz w:val="20"/>
                <w:szCs w:val="20"/>
              </w:rPr>
            </w:pPr>
            <w:r w:rsidRPr="00AE2B3D">
              <w:rPr>
                <w:color w:val="000000"/>
                <w:sz w:val="20"/>
                <w:szCs w:val="20"/>
              </w:rPr>
              <w:t>$100,051,100</w:t>
            </w:r>
          </w:p>
        </w:tc>
      </w:tr>
      <w:tr w:rsidR="0027187C" w:rsidRPr="004C1A0A" w14:paraId="723A7B1F" w14:textId="77777777" w:rsidTr="00E95101">
        <w:trPr>
          <w:trHeight w:val="340"/>
        </w:trPr>
        <w:tc>
          <w:tcPr>
            <w:tcW w:w="8075" w:type="dxa"/>
            <w:gridSpan w:val="5"/>
            <w:vAlign w:val="center"/>
            <w:hideMark/>
          </w:tcPr>
          <w:p w14:paraId="3734674D" w14:textId="77777777" w:rsidR="0027187C" w:rsidRPr="00AE2B3D" w:rsidRDefault="0027187C">
            <w:pPr>
              <w:spacing w:line="276" w:lineRule="auto"/>
              <w:rPr>
                <w:color w:val="000000"/>
                <w:sz w:val="20"/>
                <w:szCs w:val="20"/>
              </w:rPr>
            </w:pPr>
            <w:r w:rsidRPr="00AE2B3D">
              <w:rPr>
                <w:color w:val="000000"/>
                <w:sz w:val="20"/>
                <w:szCs w:val="20"/>
              </w:rPr>
              <w:t>Upper bound</w:t>
            </w:r>
          </w:p>
        </w:tc>
        <w:tc>
          <w:tcPr>
            <w:tcW w:w="1418" w:type="dxa"/>
            <w:vAlign w:val="center"/>
            <w:hideMark/>
          </w:tcPr>
          <w:p w14:paraId="706BCA3D" w14:textId="77777777" w:rsidR="0027187C" w:rsidRPr="00AE2B3D" w:rsidRDefault="0027187C">
            <w:pPr>
              <w:spacing w:line="276" w:lineRule="auto"/>
              <w:jc w:val="right"/>
              <w:rPr>
                <w:color w:val="000000"/>
                <w:sz w:val="20"/>
                <w:szCs w:val="20"/>
              </w:rPr>
            </w:pPr>
            <w:r w:rsidRPr="00AE2B3D">
              <w:rPr>
                <w:color w:val="000000"/>
                <w:sz w:val="20"/>
                <w:szCs w:val="20"/>
              </w:rPr>
              <w:t>$210,633,895</w:t>
            </w:r>
          </w:p>
        </w:tc>
      </w:tr>
      <w:tr w:rsidR="0027187C" w:rsidRPr="004C1A0A" w14:paraId="2E1E893E" w14:textId="77777777" w:rsidTr="00E95101">
        <w:trPr>
          <w:trHeight w:val="340"/>
        </w:trPr>
        <w:tc>
          <w:tcPr>
            <w:tcW w:w="9493" w:type="dxa"/>
            <w:gridSpan w:val="6"/>
            <w:noWrap/>
            <w:vAlign w:val="center"/>
            <w:hideMark/>
          </w:tcPr>
          <w:p w14:paraId="489242EE" w14:textId="77777777" w:rsidR="0027187C" w:rsidRPr="00AE2B3D" w:rsidRDefault="0027187C">
            <w:pPr>
              <w:spacing w:after="240" w:line="276" w:lineRule="auto"/>
              <w:rPr>
                <w:color w:val="000000"/>
                <w:sz w:val="20"/>
                <w:szCs w:val="20"/>
              </w:rPr>
            </w:pPr>
            <w:r w:rsidRPr="00AE2B3D">
              <w:rPr>
                <w:color w:val="000000"/>
                <w:sz w:val="20"/>
                <w:szCs w:val="20"/>
              </w:rPr>
              <w:t xml:space="preserve">Note: </w:t>
            </w:r>
            <w:r w:rsidRPr="00AE2B3D">
              <w:rPr>
                <w:sz w:val="20"/>
                <w:szCs w:val="20"/>
              </w:rPr>
              <w:t xml:space="preserve">LR (low-risk gambling), MR (moderate-risk gambling), and problem gambling. </w:t>
            </w:r>
            <w:r w:rsidRPr="00AE2B3D">
              <w:rPr>
                <w:color w:val="000000"/>
                <w:sz w:val="20"/>
                <w:szCs w:val="20"/>
              </w:rPr>
              <w:t>Totals may not match exactly due to rounding. Calculations are based on the original unrounded figures to ensure accuracy.</w:t>
            </w:r>
          </w:p>
        </w:tc>
      </w:tr>
    </w:tbl>
    <w:p w14:paraId="6483CEC3" w14:textId="77777777" w:rsidR="0027187C" w:rsidRPr="00DD0432" w:rsidRDefault="0027187C" w:rsidP="0027187C">
      <w:pPr>
        <w:spacing w:line="276" w:lineRule="auto"/>
        <w:rPr>
          <w:b/>
        </w:rPr>
      </w:pPr>
    </w:p>
    <w:p w14:paraId="0ACCB891" w14:textId="339ED1CB" w:rsidR="00DB689D" w:rsidRDefault="00310A10" w:rsidP="00367A8D">
      <w:pPr>
        <w:spacing w:line="360" w:lineRule="auto"/>
      </w:pPr>
      <w:r>
        <w:t xml:space="preserve">The financial costs of divorce vary widely. Estimates for a ‘typical’ divorce in New Zealand range between $5,000 and $10,000 </w:t>
      </w:r>
      <w:r w:rsidR="00DB2449">
        <w:rPr>
          <w:noProof/>
          <w:color w:val="000000"/>
        </w:rPr>
        <w:t>(Morrall, 2010)</w:t>
      </w:r>
      <w:r>
        <w:t>. This study applied a conservative cost estimate based on a simple divorce (without custody or property orders) costed at $2,233. Additional Family Court fees for parenting and property orders are $242 and $770 respectively, and related hearings can cost $997 per day. Legal fees can increase significantly in more complex cases.</w:t>
      </w:r>
      <w:r w:rsidR="00AE2B3D">
        <w:t xml:space="preserve"> </w:t>
      </w:r>
      <w:r>
        <w:t>The $10,000 proxy for emotional harm used in this study is at the lower end of the range typically applied to serious personal distress (see Chapter 5, Methodology for discussion). Therefore, when both financial and emotional costs are considered, the current estimate is likely to be conservative.</w:t>
      </w:r>
    </w:p>
    <w:p w14:paraId="6AD1513D" w14:textId="77777777" w:rsidR="00DB689D" w:rsidRDefault="00DB689D" w:rsidP="00367A8D">
      <w:pPr>
        <w:spacing w:line="360" w:lineRule="auto"/>
      </w:pPr>
    </w:p>
    <w:p w14:paraId="79557071" w14:textId="615BBD13" w:rsidR="00DB689D" w:rsidRDefault="00310A10" w:rsidP="00367A8D">
      <w:pPr>
        <w:spacing w:line="360" w:lineRule="auto"/>
      </w:pPr>
      <w:r>
        <w:t>To reflect uncertainty and variation in individual cases, a 5% reduction across all costs was applied to produce the lower bound. For the upper bound, emotional distress was valued at $20,000 per person, and legal fees were doubled to reflect more complex divorce proceedings involving children or property.</w:t>
      </w:r>
      <w:r w:rsidR="00250090">
        <w:t xml:space="preserve"> </w:t>
      </w:r>
      <w:r>
        <w:t>Based on these assumptions, the estimated cost of divorce and separation associated with gambling in New Zealand falls between $100.1 million and $210.6 million. This broad range reflects the subjective nature of emotional harm and the variability in legal and court-related expenses, which can differ widely between cases.</w:t>
      </w:r>
    </w:p>
    <w:p w14:paraId="5DC7A805" w14:textId="77777777" w:rsidR="00DB689D" w:rsidRDefault="00DB689D" w:rsidP="00367A8D">
      <w:pPr>
        <w:spacing w:line="360" w:lineRule="auto"/>
      </w:pPr>
    </w:p>
    <w:p w14:paraId="23EE0352" w14:textId="1FE70440" w:rsidR="002405FA" w:rsidRDefault="00310A10" w:rsidP="00367A8D">
      <w:pPr>
        <w:spacing w:line="360" w:lineRule="auto"/>
      </w:pPr>
      <w:r>
        <w:t>This estimate does not include broader family disruptions, such as informal relationship breakdowns, relationship stress that does not lead to separation, or long-term legacy harms associated with breakdowns on relationships. Tangible costs, such as those related to valuing or selling a family home, or setting up and furnishing a second household, are also excluded. While these impacts are significant, they are difficult to quantify and have not been included in the current costing.</w:t>
      </w:r>
    </w:p>
    <w:p w14:paraId="64493444" w14:textId="2241B186" w:rsidR="0027187C" w:rsidRDefault="0027187C" w:rsidP="00C30E1A">
      <w:pPr>
        <w:pStyle w:val="Heading3"/>
      </w:pPr>
      <w:bookmarkStart w:id="427" w:name="_Toc201572458"/>
      <w:bookmarkStart w:id="428" w:name="_Toc207195976"/>
      <w:r>
        <w:t>Experiences of violence</w:t>
      </w:r>
      <w:bookmarkEnd w:id="427"/>
      <w:bookmarkEnd w:id="428"/>
    </w:p>
    <w:p w14:paraId="19D9BB8B" w14:textId="50FC7852" w:rsidR="00AE2B3D" w:rsidRDefault="00310A10" w:rsidP="00367A8D">
      <w:pPr>
        <w:spacing w:line="360" w:lineRule="auto"/>
      </w:pPr>
      <w:bookmarkStart w:id="429" w:name="_f1l48273vxv8" w:colFirst="0" w:colLast="0"/>
      <w:bookmarkEnd w:id="429"/>
      <w:r>
        <w:t xml:space="preserve">Gambling-related violence is a serious and distressing consequence of gambling harm. It can include physical, emotional, or family violence and often occurs within intimate or household relationships </w:t>
      </w:r>
      <w:r w:rsidR="00DB2449">
        <w:rPr>
          <w:noProof/>
          <w:color w:val="000000"/>
        </w:rPr>
        <w:t>(Afifi et al., 2010; Bellringer et al., 2016; Dowling et al., 2016)</w:t>
      </w:r>
      <w:r>
        <w:t xml:space="preserve">. These experiences can affect both the person who gambles and those around them, particularly intimate partners and family members </w:t>
      </w:r>
      <w:r w:rsidR="0038398B">
        <w:rPr>
          <w:noProof/>
          <w:color w:val="000000"/>
        </w:rPr>
        <w:t>(Dowling et al., 2016; Holdsworth et al., 2013)</w:t>
      </w:r>
      <w:r>
        <w:t xml:space="preserve">. The emotional and psychological impact of this violence can be severe and long-lasting </w:t>
      </w:r>
      <w:r w:rsidR="0038398B">
        <w:rPr>
          <w:noProof/>
          <w:color w:val="000000"/>
        </w:rPr>
        <w:t>(Kahui &amp; Snively, 2014)</w:t>
      </w:r>
      <w:r>
        <w:t>.</w:t>
      </w:r>
    </w:p>
    <w:p w14:paraId="2982E7F0" w14:textId="029D3879" w:rsidR="00DB689D" w:rsidRDefault="00310A10" w:rsidP="00367A8D">
      <w:pPr>
        <w:spacing w:before="120" w:after="240" w:line="360" w:lineRule="auto"/>
      </w:pPr>
      <w:r>
        <w:t xml:space="preserve">This section includes only </w:t>
      </w:r>
      <w:r w:rsidR="00124393">
        <w:t>cost-able</w:t>
      </w:r>
      <w:r>
        <w:t xml:space="preserve"> components, specifically:  </w:t>
      </w:r>
    </w:p>
    <w:p w14:paraId="1E08B43D" w14:textId="77777777" w:rsidR="00DB689D" w:rsidRDefault="00310A10" w:rsidP="00367A8D">
      <w:pPr>
        <w:numPr>
          <w:ilvl w:val="0"/>
          <w:numId w:val="31"/>
        </w:numPr>
        <w:spacing w:before="120" w:line="360" w:lineRule="auto"/>
        <w:ind w:right="280"/>
      </w:pPr>
      <w:r>
        <w:t xml:space="preserve">Emotional impact on the person who gambles </w:t>
      </w:r>
    </w:p>
    <w:p w14:paraId="63F79737" w14:textId="77777777" w:rsidR="002405FA" w:rsidRDefault="00310A10" w:rsidP="002405FA">
      <w:pPr>
        <w:numPr>
          <w:ilvl w:val="0"/>
          <w:numId w:val="31"/>
        </w:numPr>
        <w:spacing w:after="120" w:line="360" w:lineRule="auto"/>
        <w:ind w:right="280"/>
      </w:pPr>
      <w:r>
        <w:t xml:space="preserve">Emotional impact on the affected family members </w:t>
      </w:r>
    </w:p>
    <w:p w14:paraId="7EB55887" w14:textId="0E123532" w:rsidR="002405FA" w:rsidRDefault="00310A10" w:rsidP="002405FA">
      <w:pPr>
        <w:spacing w:after="120" w:line="360" w:lineRule="auto"/>
        <w:ind w:right="280"/>
      </w:pPr>
      <w:r>
        <w:t>Although there are often other substantial costs associated with gambling-related violence, such as medical care, police responses, and housing support, these have not been included due to the wide variation in possible outcomes and the lack of reliable, specific data to support accurate costing.</w:t>
      </w:r>
    </w:p>
    <w:tbl>
      <w:tblPr>
        <w:tblStyle w:val="a7"/>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B689D" w14:paraId="0CB882EB" w14:textId="77777777">
        <w:tc>
          <w:tcPr>
            <w:tcW w:w="9026" w:type="dxa"/>
            <w:shd w:val="clear" w:color="auto" w:fill="F3F3F3"/>
            <w:tcMar>
              <w:top w:w="100" w:type="dxa"/>
              <w:left w:w="100" w:type="dxa"/>
              <w:bottom w:w="100" w:type="dxa"/>
              <w:right w:w="100" w:type="dxa"/>
            </w:tcMar>
          </w:tcPr>
          <w:p w14:paraId="3FBDFD37" w14:textId="77777777" w:rsidR="00DB689D" w:rsidRDefault="00310A10" w:rsidP="00843927">
            <w:pPr>
              <w:spacing w:before="120" w:after="240" w:line="276" w:lineRule="auto"/>
            </w:pPr>
            <w:r>
              <w:t xml:space="preserve">The economic impact of gambling-related violence was calculated using: </w:t>
            </w:r>
          </w:p>
          <w:p w14:paraId="76A804DD" w14:textId="77777777" w:rsidR="00DB689D" w:rsidRDefault="00310A10" w:rsidP="00843927">
            <w:pPr>
              <w:spacing w:before="120" w:after="120" w:line="276" w:lineRule="auto"/>
              <w:ind w:right="280"/>
            </w:pPr>
            <w:r>
              <w:rPr>
                <w:i/>
              </w:rPr>
              <w:t>Prevalence</w:t>
            </w:r>
            <w:r>
              <w:t xml:space="preserve"> </w:t>
            </w:r>
          </w:p>
          <w:p w14:paraId="26CF82FB" w14:textId="4FB020EB" w:rsidR="00DB689D" w:rsidRDefault="00310A10" w:rsidP="00843927">
            <w:pPr>
              <w:numPr>
                <w:ilvl w:val="0"/>
                <w:numId w:val="42"/>
              </w:numPr>
              <w:spacing w:before="120" w:line="276" w:lineRule="auto"/>
              <w:ind w:right="280"/>
            </w:pPr>
            <w:r>
              <w:t xml:space="preserve">The percentage of people who gamble who experienced physical or emotional violence in their relationships due to their gambling was sourced from the Measuring the Burden of Gambling Harm in New Zealand Survey Report </w:t>
            </w:r>
            <w:r w:rsidR="00DB2449">
              <w:rPr>
                <w:noProof/>
                <w:color w:val="000000"/>
              </w:rPr>
              <w:t>(</w:t>
            </w:r>
            <w:r w:rsidR="002A3095">
              <w:rPr>
                <w:noProof/>
                <w:color w:val="000000"/>
              </w:rPr>
              <w:t>Browne, Greer et al., 2017</w:t>
            </w:r>
            <w:r w:rsidR="00DB2449">
              <w:rPr>
                <w:noProof/>
                <w:color w:val="000000"/>
              </w:rPr>
              <w:t>)</w:t>
            </w:r>
            <w:r>
              <w:t>.</w:t>
            </w:r>
          </w:p>
          <w:p w14:paraId="01E091DB" w14:textId="77777777" w:rsidR="00DB689D" w:rsidRDefault="00310A10" w:rsidP="00843927">
            <w:pPr>
              <w:numPr>
                <w:ilvl w:val="0"/>
                <w:numId w:val="42"/>
              </w:numPr>
              <w:spacing w:line="276" w:lineRule="auto"/>
              <w:ind w:right="280"/>
            </w:pPr>
            <w:r>
              <w:t xml:space="preserve">These rates were applied to population estimates from the NZGS (2023/24), categorised by PGSI risk group. </w:t>
            </w:r>
          </w:p>
          <w:p w14:paraId="1F483AA7" w14:textId="2662316C" w:rsidR="00DB689D" w:rsidRDefault="00310A10" w:rsidP="00843927">
            <w:pPr>
              <w:numPr>
                <w:ilvl w:val="0"/>
                <w:numId w:val="42"/>
              </w:numPr>
              <w:spacing w:line="276" w:lineRule="auto"/>
              <w:ind w:right="280"/>
            </w:pPr>
            <w:r>
              <w:t xml:space="preserve">A 20% causality discount was applied as per the Australian Productivity Commission </w:t>
            </w:r>
            <w:r w:rsidR="0038398B">
              <w:rPr>
                <w:noProof/>
                <w:color w:val="000000"/>
              </w:rPr>
              <w:t>(1999)</w:t>
            </w:r>
            <w:r>
              <w:t xml:space="preserve">. </w:t>
            </w:r>
          </w:p>
          <w:p w14:paraId="30FEE613" w14:textId="73966FD0" w:rsidR="00DB689D" w:rsidRDefault="00310A10" w:rsidP="00843927">
            <w:pPr>
              <w:numPr>
                <w:ilvl w:val="0"/>
                <w:numId w:val="42"/>
              </w:numPr>
              <w:spacing w:after="120" w:line="276" w:lineRule="auto"/>
              <w:ind w:right="280"/>
            </w:pPr>
            <w:r>
              <w:t xml:space="preserve">The number of affected others was estimated using the average number of people in a New Zealand household (excluding the person who gambles) </w:t>
            </w:r>
            <w:r w:rsidR="0038398B">
              <w:rPr>
                <w:noProof/>
                <w:color w:val="000000"/>
              </w:rPr>
              <w:t>(New Zealand Government, 2024a)</w:t>
            </w:r>
            <w:r>
              <w:t xml:space="preserve">. </w:t>
            </w:r>
          </w:p>
          <w:p w14:paraId="3DCD235F" w14:textId="77777777" w:rsidR="00DB689D" w:rsidRDefault="00310A10" w:rsidP="00843927">
            <w:pPr>
              <w:spacing w:before="120" w:after="120" w:line="276" w:lineRule="auto"/>
              <w:ind w:right="280"/>
            </w:pPr>
            <w:r>
              <w:rPr>
                <w:i/>
              </w:rPr>
              <w:t>Emotional harm</w:t>
            </w:r>
            <w:r>
              <w:t xml:space="preserve"> </w:t>
            </w:r>
          </w:p>
          <w:p w14:paraId="01D2BD65" w14:textId="2AADB6B1" w:rsidR="00DB689D" w:rsidRDefault="00310A10" w:rsidP="00843927">
            <w:pPr>
              <w:numPr>
                <w:ilvl w:val="0"/>
                <w:numId w:val="42"/>
              </w:numPr>
              <w:spacing w:before="120" w:after="120" w:line="276" w:lineRule="auto"/>
              <w:ind w:right="280"/>
            </w:pPr>
            <w:r>
              <w:t xml:space="preserve">A cost of $10,000 </w:t>
            </w:r>
            <w:r w:rsidR="0038398B">
              <w:rPr>
                <w:noProof/>
                <w:color w:val="000000"/>
              </w:rPr>
              <w:t>(Warburton, 2021)</w:t>
            </w:r>
            <w:r>
              <w:t xml:space="preserve"> was used as a proxy for emotional harm.</w:t>
            </w:r>
          </w:p>
        </w:tc>
      </w:tr>
    </w:tbl>
    <w:p w14:paraId="4A68EA29" w14:textId="77777777" w:rsidR="00DB689D" w:rsidRDefault="00DB689D" w:rsidP="00367A8D">
      <w:pPr>
        <w:spacing w:line="360" w:lineRule="auto"/>
        <w:rPr>
          <w:b/>
        </w:rPr>
      </w:pPr>
    </w:p>
    <w:p w14:paraId="35EC15E7" w14:textId="44B513D8" w:rsidR="00DB689D" w:rsidRDefault="00310A10" w:rsidP="00367A8D">
      <w:pPr>
        <w:spacing w:line="360" w:lineRule="auto"/>
      </w:pPr>
      <w:r>
        <w:rPr>
          <w:b/>
        </w:rPr>
        <w:t>The combined emotional harm costs associated with this gambling-related violence in New Zealand are estimated to be $79.9 million</w:t>
      </w:r>
      <w:r w:rsidR="0027187C">
        <w:rPr>
          <w:b/>
        </w:rPr>
        <w:t xml:space="preserve"> (Table 1</w:t>
      </w:r>
      <w:r w:rsidR="001D7B0D">
        <w:rPr>
          <w:b/>
        </w:rPr>
        <w:t>6</w:t>
      </w:r>
      <w:r w:rsidR="0027187C">
        <w:rPr>
          <w:b/>
        </w:rPr>
        <w:t>)</w:t>
      </w:r>
      <w:r>
        <w:t>. This is a conservative figure as it focuses solely on emotional harm and does not include other potentially significant costs such as medical care, police, legal and justice system expenses, or housing support, due to data limitations</w:t>
      </w:r>
      <w:r w:rsidR="002405FA">
        <w:t>.</w:t>
      </w:r>
    </w:p>
    <w:p w14:paraId="3FBE27DB" w14:textId="77777777" w:rsidR="00374FE7" w:rsidRDefault="00374FE7" w:rsidP="00367A8D">
      <w:pPr>
        <w:spacing w:line="360" w:lineRule="auto"/>
      </w:pPr>
    </w:p>
    <w:p w14:paraId="477B015C" w14:textId="77777777" w:rsidR="00374FE7" w:rsidRDefault="00374FE7" w:rsidP="00374FE7">
      <w:pPr>
        <w:spacing w:line="360" w:lineRule="auto"/>
      </w:pPr>
      <w:r>
        <w:t xml:space="preserve">An estimated 2,960 New Zealanders experienced violence linked to their own gambling in 2023–24, with an additional 5,031 affected family or household members. This equates to an estimated 0.19% of adults experiencing violence specifically related to gambling problems. For comparison, an estimated 6.3% of the New Zealand population experienced intimate partner violence or child abuse in 2009 </w:t>
      </w:r>
      <w:r>
        <w:rPr>
          <w:noProof/>
          <w:color w:val="000000"/>
        </w:rPr>
        <w:t>(Kahui &amp; Snively, 2014)</w:t>
      </w:r>
      <w:r>
        <w:t xml:space="preserve">. </w:t>
      </w:r>
    </w:p>
    <w:p w14:paraId="54EFF0E6" w14:textId="77777777" w:rsidR="00374FE7" w:rsidRDefault="00374FE7" w:rsidP="00374FE7">
      <w:pPr>
        <w:spacing w:line="360" w:lineRule="auto"/>
      </w:pPr>
    </w:p>
    <w:p w14:paraId="231148C0" w14:textId="77777777" w:rsidR="00CF4600" w:rsidRDefault="00CF4600" w:rsidP="00CF4600">
      <w:pPr>
        <w:spacing w:line="360" w:lineRule="auto"/>
      </w:pPr>
      <w:r>
        <w:t xml:space="preserve">To reflect uncertainty, the lower bound applies a nominal 5% reduction across all items. The upper bound increases the proxy for emotional distress to $20,000 to better reflect the significant and ongoing impacts of being a victim survivor of violence </w:t>
      </w:r>
      <w:r>
        <w:rPr>
          <w:noProof/>
          <w:color w:val="000000"/>
        </w:rPr>
        <w:t>(Kahui &amp; Snively, 2014)</w:t>
      </w:r>
      <w:r>
        <w:t>.</w:t>
      </w:r>
    </w:p>
    <w:p w14:paraId="6920B3E1" w14:textId="77777777" w:rsidR="00CF4600" w:rsidRDefault="00CF4600" w:rsidP="00CF4600">
      <w:pPr>
        <w:spacing w:line="360" w:lineRule="auto"/>
      </w:pPr>
    </w:p>
    <w:p w14:paraId="26A1BF8B" w14:textId="77777777" w:rsidR="00CF4600" w:rsidRDefault="00CF4600" w:rsidP="00CF4600">
      <w:pPr>
        <w:spacing w:line="360" w:lineRule="auto"/>
      </w:pPr>
      <w:r>
        <w:t xml:space="preserve">The estimated cost of gambling-related violence in New Zealand ranges from $76 million to $160 million. This wide range reflects the intangible nature of cost items, such as emotional harm, and the lack of consensus in the literature on how best to value them. These figures remain conservative, as tangible costs that could not be accurately estimated are excluded. </w:t>
      </w:r>
    </w:p>
    <w:p w14:paraId="48B449AB" w14:textId="77777777" w:rsidR="00374FE7" w:rsidRDefault="00374FE7" w:rsidP="00367A8D">
      <w:pPr>
        <w:spacing w:line="360" w:lineRule="auto"/>
        <w:rPr>
          <w:color w:val="0E101A"/>
          <w:highlight w:val="yellow"/>
        </w:rPr>
      </w:pPr>
    </w:p>
    <w:p w14:paraId="4BF8FD6C" w14:textId="76AEB1C6" w:rsidR="0027187C" w:rsidRDefault="0027187C" w:rsidP="00DB094D">
      <w:pPr>
        <w:pStyle w:val="Caption"/>
      </w:pPr>
      <w:bookmarkStart w:id="430" w:name="_Toc207619058"/>
      <w:r>
        <w:t xml:space="preserve">Table </w:t>
      </w:r>
      <w:r>
        <w:fldChar w:fldCharType="begin"/>
      </w:r>
      <w:r>
        <w:instrText xml:space="preserve"> SEQ Table \* ARABIC </w:instrText>
      </w:r>
      <w:r>
        <w:fldChar w:fldCharType="separate"/>
      </w:r>
      <w:r w:rsidR="00986A0D">
        <w:rPr>
          <w:noProof/>
        </w:rPr>
        <w:t>16</w:t>
      </w:r>
      <w:r>
        <w:fldChar w:fldCharType="end"/>
      </w:r>
      <w:r>
        <w:t xml:space="preserve">. </w:t>
      </w:r>
      <w:r w:rsidRPr="007D3FCD">
        <w:t>Cost of violence due to gambling problems in New Zealand (2023-24)</w:t>
      </w:r>
      <w:bookmarkEnd w:id="430"/>
    </w:p>
    <w:tbl>
      <w:tblPr>
        <w:tblStyle w:val="TableGridLight"/>
        <w:tblW w:w="5170" w:type="pct"/>
        <w:tblLook w:val="04A0" w:firstRow="1" w:lastRow="0" w:firstColumn="1" w:lastColumn="0" w:noHBand="0" w:noVBand="1"/>
      </w:tblPr>
      <w:tblGrid>
        <w:gridCol w:w="3319"/>
        <w:gridCol w:w="1205"/>
        <w:gridCol w:w="1054"/>
        <w:gridCol w:w="1216"/>
        <w:gridCol w:w="1216"/>
        <w:gridCol w:w="1316"/>
      </w:tblGrid>
      <w:tr w:rsidR="0027187C" w:rsidRPr="00250090" w14:paraId="3A8AD523" w14:textId="77777777">
        <w:trPr>
          <w:trHeight w:val="397"/>
        </w:trPr>
        <w:tc>
          <w:tcPr>
            <w:tcW w:w="1825" w:type="pct"/>
            <w:shd w:val="clear" w:color="auto" w:fill="F2F2F2" w:themeFill="background1" w:themeFillShade="F2"/>
            <w:vAlign w:val="center"/>
            <w:hideMark/>
          </w:tcPr>
          <w:p w14:paraId="2A1EE6D6" w14:textId="77777777" w:rsidR="0027187C" w:rsidRPr="00250090" w:rsidRDefault="0027187C">
            <w:pPr>
              <w:spacing w:line="276" w:lineRule="auto"/>
              <w:rPr>
                <w:b/>
                <w:bCs/>
                <w:color w:val="000000"/>
                <w:sz w:val="20"/>
                <w:szCs w:val="20"/>
              </w:rPr>
            </w:pPr>
            <w:r w:rsidRPr="00250090">
              <w:rPr>
                <w:b/>
                <w:bCs/>
                <w:color w:val="000000"/>
                <w:sz w:val="20"/>
                <w:szCs w:val="20"/>
              </w:rPr>
              <w:t>Variable</w:t>
            </w:r>
          </w:p>
        </w:tc>
        <w:tc>
          <w:tcPr>
            <w:tcW w:w="616" w:type="pct"/>
            <w:shd w:val="clear" w:color="auto" w:fill="F2F2F2" w:themeFill="background1" w:themeFillShade="F2"/>
            <w:vAlign w:val="center"/>
            <w:hideMark/>
          </w:tcPr>
          <w:p w14:paraId="7E8A67F8" w14:textId="77777777" w:rsidR="0027187C" w:rsidRPr="00250090" w:rsidRDefault="0027187C">
            <w:pPr>
              <w:spacing w:line="276" w:lineRule="auto"/>
              <w:jc w:val="center"/>
              <w:rPr>
                <w:b/>
                <w:bCs/>
                <w:color w:val="000000"/>
                <w:sz w:val="20"/>
                <w:szCs w:val="20"/>
              </w:rPr>
            </w:pPr>
            <w:r w:rsidRPr="00250090">
              <w:rPr>
                <w:b/>
                <w:bCs/>
                <w:color w:val="000000"/>
                <w:sz w:val="20"/>
                <w:szCs w:val="20"/>
              </w:rPr>
              <w:t>Calculation</w:t>
            </w:r>
          </w:p>
        </w:tc>
        <w:tc>
          <w:tcPr>
            <w:tcW w:w="610" w:type="pct"/>
            <w:shd w:val="clear" w:color="auto" w:fill="F2F2F2" w:themeFill="background1" w:themeFillShade="F2"/>
            <w:vAlign w:val="center"/>
            <w:hideMark/>
          </w:tcPr>
          <w:p w14:paraId="1EC39932" w14:textId="77777777" w:rsidR="0027187C" w:rsidRPr="00250090" w:rsidRDefault="0027187C">
            <w:pPr>
              <w:spacing w:line="276" w:lineRule="auto"/>
              <w:jc w:val="center"/>
              <w:rPr>
                <w:b/>
                <w:bCs/>
                <w:color w:val="000000"/>
                <w:sz w:val="20"/>
                <w:szCs w:val="20"/>
              </w:rPr>
            </w:pPr>
            <w:r w:rsidRPr="00250090">
              <w:rPr>
                <w:b/>
                <w:bCs/>
                <w:color w:val="000000"/>
                <w:sz w:val="20"/>
                <w:szCs w:val="20"/>
              </w:rPr>
              <w:t>LR</w:t>
            </w:r>
          </w:p>
        </w:tc>
        <w:tc>
          <w:tcPr>
            <w:tcW w:w="632" w:type="pct"/>
            <w:shd w:val="clear" w:color="auto" w:fill="F2F2F2" w:themeFill="background1" w:themeFillShade="F2"/>
            <w:vAlign w:val="center"/>
            <w:hideMark/>
          </w:tcPr>
          <w:p w14:paraId="50D8CFA1" w14:textId="77777777" w:rsidR="0027187C" w:rsidRPr="00250090" w:rsidRDefault="0027187C">
            <w:pPr>
              <w:spacing w:line="276" w:lineRule="auto"/>
              <w:jc w:val="center"/>
              <w:rPr>
                <w:b/>
                <w:bCs/>
                <w:color w:val="000000"/>
                <w:sz w:val="20"/>
                <w:szCs w:val="20"/>
              </w:rPr>
            </w:pPr>
            <w:r w:rsidRPr="00250090">
              <w:rPr>
                <w:b/>
                <w:bCs/>
                <w:color w:val="000000"/>
                <w:sz w:val="20"/>
                <w:szCs w:val="20"/>
              </w:rPr>
              <w:t>MR</w:t>
            </w:r>
          </w:p>
        </w:tc>
        <w:tc>
          <w:tcPr>
            <w:tcW w:w="633" w:type="pct"/>
            <w:shd w:val="clear" w:color="auto" w:fill="F2F2F2" w:themeFill="background1" w:themeFillShade="F2"/>
            <w:vAlign w:val="center"/>
            <w:hideMark/>
          </w:tcPr>
          <w:p w14:paraId="28A243BC" w14:textId="77777777" w:rsidR="0027187C" w:rsidRPr="00250090" w:rsidRDefault="0027187C">
            <w:pPr>
              <w:spacing w:line="276" w:lineRule="auto"/>
              <w:jc w:val="center"/>
              <w:rPr>
                <w:b/>
                <w:bCs/>
                <w:color w:val="000000"/>
                <w:sz w:val="20"/>
                <w:szCs w:val="20"/>
              </w:rPr>
            </w:pPr>
            <w:r w:rsidRPr="00250090">
              <w:rPr>
                <w:b/>
                <w:bCs/>
                <w:color w:val="000000"/>
                <w:sz w:val="20"/>
                <w:szCs w:val="20"/>
              </w:rPr>
              <w:t>PG</w:t>
            </w:r>
          </w:p>
        </w:tc>
        <w:tc>
          <w:tcPr>
            <w:tcW w:w="684" w:type="pct"/>
            <w:shd w:val="clear" w:color="auto" w:fill="F2F2F2" w:themeFill="background1" w:themeFillShade="F2"/>
            <w:vAlign w:val="center"/>
            <w:hideMark/>
          </w:tcPr>
          <w:p w14:paraId="740D3A84" w14:textId="77777777" w:rsidR="0027187C" w:rsidRPr="00250090" w:rsidRDefault="0027187C">
            <w:pPr>
              <w:spacing w:line="276" w:lineRule="auto"/>
              <w:jc w:val="center"/>
              <w:rPr>
                <w:b/>
                <w:bCs/>
                <w:color w:val="000000"/>
                <w:sz w:val="20"/>
                <w:szCs w:val="20"/>
              </w:rPr>
            </w:pPr>
            <w:r w:rsidRPr="00250090">
              <w:rPr>
                <w:b/>
                <w:bCs/>
                <w:color w:val="000000"/>
                <w:sz w:val="20"/>
                <w:szCs w:val="20"/>
              </w:rPr>
              <w:t>Total Gambling Problems</w:t>
            </w:r>
          </w:p>
        </w:tc>
      </w:tr>
      <w:tr w:rsidR="0027187C" w:rsidRPr="00250090" w14:paraId="5AD8790A" w14:textId="77777777">
        <w:trPr>
          <w:trHeight w:val="397"/>
        </w:trPr>
        <w:tc>
          <w:tcPr>
            <w:tcW w:w="1825" w:type="pct"/>
            <w:vAlign w:val="center"/>
            <w:hideMark/>
          </w:tcPr>
          <w:p w14:paraId="7B1F6ADD" w14:textId="77777777" w:rsidR="0027187C" w:rsidRPr="00250090" w:rsidRDefault="0027187C">
            <w:pPr>
              <w:spacing w:line="276" w:lineRule="auto"/>
              <w:rPr>
                <w:color w:val="000000"/>
                <w:sz w:val="20"/>
                <w:szCs w:val="20"/>
              </w:rPr>
            </w:pPr>
            <w:r w:rsidRPr="00250090">
              <w:rPr>
                <w:color w:val="000000"/>
                <w:sz w:val="20"/>
                <w:szCs w:val="20"/>
              </w:rPr>
              <w:t>New Zealand population by PGSI</w:t>
            </w:r>
          </w:p>
        </w:tc>
        <w:tc>
          <w:tcPr>
            <w:tcW w:w="616" w:type="pct"/>
            <w:noWrap/>
            <w:vAlign w:val="center"/>
            <w:hideMark/>
          </w:tcPr>
          <w:p w14:paraId="7F53A79A" w14:textId="77777777" w:rsidR="0027187C" w:rsidRPr="00250090" w:rsidRDefault="0027187C">
            <w:pPr>
              <w:spacing w:line="276" w:lineRule="auto"/>
              <w:rPr>
                <w:color w:val="000000"/>
                <w:sz w:val="20"/>
                <w:szCs w:val="20"/>
              </w:rPr>
            </w:pPr>
            <w:r w:rsidRPr="00250090">
              <w:rPr>
                <w:color w:val="000000"/>
                <w:sz w:val="20"/>
                <w:szCs w:val="20"/>
              </w:rPr>
              <w:t>n</w:t>
            </w:r>
          </w:p>
        </w:tc>
        <w:tc>
          <w:tcPr>
            <w:tcW w:w="610" w:type="pct"/>
            <w:vAlign w:val="center"/>
            <w:hideMark/>
          </w:tcPr>
          <w:p w14:paraId="4751C0CC" w14:textId="77777777" w:rsidR="0027187C" w:rsidRPr="00250090" w:rsidRDefault="0027187C">
            <w:pPr>
              <w:spacing w:line="276" w:lineRule="auto"/>
              <w:jc w:val="right"/>
              <w:rPr>
                <w:color w:val="000000"/>
                <w:sz w:val="20"/>
                <w:szCs w:val="20"/>
              </w:rPr>
            </w:pPr>
            <w:r w:rsidRPr="00250090">
              <w:rPr>
                <w:color w:val="000000"/>
                <w:sz w:val="20"/>
                <w:szCs w:val="20"/>
              </w:rPr>
              <w:t>255,318</w:t>
            </w:r>
          </w:p>
        </w:tc>
        <w:tc>
          <w:tcPr>
            <w:tcW w:w="632" w:type="pct"/>
            <w:vAlign w:val="center"/>
            <w:hideMark/>
          </w:tcPr>
          <w:p w14:paraId="265E23B5" w14:textId="77777777" w:rsidR="0027187C" w:rsidRPr="00250090" w:rsidRDefault="0027187C">
            <w:pPr>
              <w:spacing w:line="276" w:lineRule="auto"/>
              <w:jc w:val="right"/>
              <w:rPr>
                <w:color w:val="000000"/>
                <w:sz w:val="20"/>
                <w:szCs w:val="20"/>
              </w:rPr>
            </w:pPr>
            <w:r w:rsidRPr="00250090">
              <w:rPr>
                <w:color w:val="000000"/>
                <w:sz w:val="20"/>
                <w:szCs w:val="20"/>
              </w:rPr>
              <w:t>83,492</w:t>
            </w:r>
          </w:p>
        </w:tc>
        <w:tc>
          <w:tcPr>
            <w:tcW w:w="633" w:type="pct"/>
            <w:vAlign w:val="center"/>
            <w:hideMark/>
          </w:tcPr>
          <w:p w14:paraId="048CA92E" w14:textId="77777777" w:rsidR="0027187C" w:rsidRPr="00250090" w:rsidRDefault="0027187C">
            <w:pPr>
              <w:spacing w:line="276" w:lineRule="auto"/>
              <w:jc w:val="right"/>
              <w:rPr>
                <w:color w:val="000000"/>
                <w:sz w:val="20"/>
                <w:szCs w:val="20"/>
              </w:rPr>
            </w:pPr>
            <w:r w:rsidRPr="00250090">
              <w:rPr>
                <w:color w:val="000000"/>
                <w:sz w:val="20"/>
                <w:szCs w:val="20"/>
              </w:rPr>
              <w:t>20,436</w:t>
            </w:r>
          </w:p>
        </w:tc>
        <w:tc>
          <w:tcPr>
            <w:tcW w:w="684" w:type="pct"/>
            <w:vAlign w:val="center"/>
            <w:hideMark/>
          </w:tcPr>
          <w:p w14:paraId="2342F5B2" w14:textId="77777777" w:rsidR="0027187C" w:rsidRPr="00250090" w:rsidRDefault="0027187C">
            <w:pPr>
              <w:spacing w:line="276" w:lineRule="auto"/>
              <w:jc w:val="right"/>
              <w:rPr>
                <w:color w:val="000000"/>
                <w:sz w:val="20"/>
                <w:szCs w:val="20"/>
              </w:rPr>
            </w:pPr>
            <w:r w:rsidRPr="00250090">
              <w:rPr>
                <w:color w:val="000000"/>
                <w:sz w:val="20"/>
                <w:szCs w:val="20"/>
              </w:rPr>
              <w:t>359,246</w:t>
            </w:r>
          </w:p>
        </w:tc>
      </w:tr>
      <w:tr w:rsidR="0027187C" w:rsidRPr="00250090" w14:paraId="010A5944" w14:textId="77777777">
        <w:trPr>
          <w:trHeight w:val="397"/>
        </w:trPr>
        <w:tc>
          <w:tcPr>
            <w:tcW w:w="5000" w:type="pct"/>
            <w:gridSpan w:val="6"/>
            <w:vAlign w:val="center"/>
            <w:hideMark/>
          </w:tcPr>
          <w:p w14:paraId="3DA86A7F" w14:textId="77777777" w:rsidR="0027187C" w:rsidRPr="00250090" w:rsidRDefault="0027187C" w:rsidP="0027187C">
            <w:pPr>
              <w:spacing w:line="276" w:lineRule="auto"/>
              <w:rPr>
                <w:b/>
                <w:bCs/>
                <w:i/>
                <w:iCs/>
                <w:color w:val="000000"/>
                <w:sz w:val="20"/>
                <w:szCs w:val="20"/>
              </w:rPr>
            </w:pPr>
            <w:r w:rsidRPr="00250090">
              <w:rPr>
                <w:b/>
                <w:bCs/>
                <w:i/>
                <w:iCs/>
                <w:color w:val="000000"/>
                <w:sz w:val="20"/>
                <w:szCs w:val="20"/>
              </w:rPr>
              <w:t>Emotional distress to the person with gambling problems</w:t>
            </w:r>
          </w:p>
        </w:tc>
      </w:tr>
      <w:tr w:rsidR="0027187C" w:rsidRPr="00250090" w14:paraId="6E7746FE" w14:textId="77777777" w:rsidTr="00AE2B3D">
        <w:trPr>
          <w:trHeight w:val="397"/>
        </w:trPr>
        <w:tc>
          <w:tcPr>
            <w:tcW w:w="1825" w:type="pct"/>
            <w:vAlign w:val="center"/>
            <w:hideMark/>
          </w:tcPr>
          <w:p w14:paraId="050F31FD" w14:textId="77777777" w:rsidR="0027187C" w:rsidRPr="00250090" w:rsidRDefault="0027187C" w:rsidP="0027187C">
            <w:pPr>
              <w:spacing w:line="276" w:lineRule="auto"/>
              <w:rPr>
                <w:color w:val="000000"/>
                <w:sz w:val="20"/>
                <w:szCs w:val="20"/>
              </w:rPr>
            </w:pPr>
            <w:r w:rsidRPr="00250090">
              <w:rPr>
                <w:color w:val="000000"/>
                <w:sz w:val="20"/>
                <w:szCs w:val="20"/>
              </w:rPr>
              <w:t>Rate (%) of PGSI group whose gambling contributed to or caused experience of violence (including family and domestic violence)</w:t>
            </w:r>
          </w:p>
        </w:tc>
        <w:tc>
          <w:tcPr>
            <w:tcW w:w="616" w:type="pct"/>
            <w:vAlign w:val="center"/>
            <w:hideMark/>
          </w:tcPr>
          <w:p w14:paraId="32FD77CD" w14:textId="77777777" w:rsidR="0027187C" w:rsidRPr="00250090" w:rsidRDefault="0027187C" w:rsidP="0027187C">
            <w:pPr>
              <w:spacing w:line="276" w:lineRule="auto"/>
              <w:rPr>
                <w:color w:val="000000"/>
                <w:sz w:val="20"/>
                <w:szCs w:val="20"/>
              </w:rPr>
            </w:pPr>
            <w:r w:rsidRPr="00250090">
              <w:rPr>
                <w:color w:val="000000"/>
                <w:sz w:val="20"/>
                <w:szCs w:val="20"/>
              </w:rPr>
              <w:t>a</w:t>
            </w:r>
          </w:p>
        </w:tc>
        <w:tc>
          <w:tcPr>
            <w:tcW w:w="610" w:type="pct"/>
            <w:vAlign w:val="center"/>
            <w:hideMark/>
          </w:tcPr>
          <w:p w14:paraId="40E9BDFD" w14:textId="77777777" w:rsidR="0027187C" w:rsidRPr="00250090" w:rsidRDefault="0027187C" w:rsidP="00AE2B3D">
            <w:pPr>
              <w:spacing w:line="276" w:lineRule="auto"/>
              <w:jc w:val="right"/>
              <w:rPr>
                <w:color w:val="000000"/>
                <w:sz w:val="20"/>
                <w:szCs w:val="20"/>
              </w:rPr>
            </w:pPr>
            <w:r w:rsidRPr="00250090">
              <w:rPr>
                <w:color w:val="000000"/>
                <w:sz w:val="20"/>
                <w:szCs w:val="20"/>
              </w:rPr>
              <w:t>0.0%*</w:t>
            </w:r>
          </w:p>
        </w:tc>
        <w:tc>
          <w:tcPr>
            <w:tcW w:w="632" w:type="pct"/>
            <w:vAlign w:val="center"/>
            <w:hideMark/>
          </w:tcPr>
          <w:p w14:paraId="622A722E" w14:textId="77777777" w:rsidR="0027187C" w:rsidRPr="00250090" w:rsidRDefault="0027187C" w:rsidP="00AE2B3D">
            <w:pPr>
              <w:spacing w:line="276" w:lineRule="auto"/>
              <w:jc w:val="right"/>
              <w:rPr>
                <w:color w:val="000000"/>
                <w:sz w:val="20"/>
                <w:szCs w:val="20"/>
              </w:rPr>
            </w:pPr>
            <w:r w:rsidRPr="00250090">
              <w:rPr>
                <w:color w:val="000000"/>
                <w:sz w:val="20"/>
                <w:szCs w:val="20"/>
              </w:rPr>
              <w:t>1.2%</w:t>
            </w:r>
          </w:p>
        </w:tc>
        <w:tc>
          <w:tcPr>
            <w:tcW w:w="633" w:type="pct"/>
            <w:vAlign w:val="center"/>
            <w:hideMark/>
          </w:tcPr>
          <w:p w14:paraId="116B3A16" w14:textId="77777777" w:rsidR="0027187C" w:rsidRPr="00250090" w:rsidRDefault="0027187C" w:rsidP="00AE2B3D">
            <w:pPr>
              <w:spacing w:line="276" w:lineRule="auto"/>
              <w:jc w:val="right"/>
              <w:rPr>
                <w:color w:val="000000"/>
                <w:sz w:val="20"/>
                <w:szCs w:val="20"/>
              </w:rPr>
            </w:pPr>
            <w:r w:rsidRPr="00250090">
              <w:rPr>
                <w:color w:val="000000"/>
                <w:sz w:val="20"/>
                <w:szCs w:val="20"/>
              </w:rPr>
              <w:t>13.2%</w:t>
            </w:r>
          </w:p>
        </w:tc>
        <w:tc>
          <w:tcPr>
            <w:tcW w:w="684" w:type="pct"/>
            <w:vAlign w:val="center"/>
            <w:hideMark/>
          </w:tcPr>
          <w:p w14:paraId="59A01CA2" w14:textId="77777777" w:rsidR="0027187C" w:rsidRPr="00250090" w:rsidRDefault="0027187C" w:rsidP="00AE2B3D">
            <w:pPr>
              <w:spacing w:line="276" w:lineRule="auto"/>
              <w:jc w:val="right"/>
              <w:rPr>
                <w:color w:val="000000"/>
                <w:sz w:val="20"/>
                <w:szCs w:val="20"/>
              </w:rPr>
            </w:pPr>
            <w:r w:rsidRPr="00250090">
              <w:rPr>
                <w:color w:val="000000"/>
                <w:sz w:val="20"/>
                <w:szCs w:val="20"/>
              </w:rPr>
              <w:t> </w:t>
            </w:r>
          </w:p>
        </w:tc>
      </w:tr>
      <w:tr w:rsidR="0027187C" w:rsidRPr="00250090" w14:paraId="29DD9824" w14:textId="77777777" w:rsidTr="00AE2B3D">
        <w:trPr>
          <w:trHeight w:val="868"/>
        </w:trPr>
        <w:tc>
          <w:tcPr>
            <w:tcW w:w="1825" w:type="pct"/>
            <w:vAlign w:val="center"/>
            <w:hideMark/>
          </w:tcPr>
          <w:p w14:paraId="70EB7DCC" w14:textId="77777777" w:rsidR="0027187C" w:rsidRPr="00250090" w:rsidRDefault="0027187C" w:rsidP="0027187C">
            <w:pPr>
              <w:spacing w:line="276" w:lineRule="auto"/>
              <w:rPr>
                <w:color w:val="000000"/>
                <w:sz w:val="20"/>
                <w:szCs w:val="20"/>
              </w:rPr>
            </w:pPr>
            <w:r w:rsidRPr="00250090">
              <w:rPr>
                <w:color w:val="000000"/>
                <w:sz w:val="20"/>
                <w:szCs w:val="20"/>
              </w:rPr>
              <w:t>Number of people with gambling problems who experience violence due to gambling, less 20% causality discount</w:t>
            </w:r>
          </w:p>
        </w:tc>
        <w:tc>
          <w:tcPr>
            <w:tcW w:w="616" w:type="pct"/>
            <w:vAlign w:val="center"/>
            <w:hideMark/>
          </w:tcPr>
          <w:p w14:paraId="15460129" w14:textId="77777777" w:rsidR="0027187C" w:rsidRPr="00250090" w:rsidRDefault="0027187C" w:rsidP="0027187C">
            <w:pPr>
              <w:spacing w:line="276" w:lineRule="auto"/>
              <w:rPr>
                <w:color w:val="000000"/>
                <w:sz w:val="20"/>
                <w:szCs w:val="20"/>
              </w:rPr>
            </w:pPr>
            <w:r w:rsidRPr="00250090">
              <w:rPr>
                <w:color w:val="000000"/>
                <w:sz w:val="20"/>
                <w:szCs w:val="20"/>
              </w:rPr>
              <w:t>b = (a x n) x 80%</w:t>
            </w:r>
          </w:p>
        </w:tc>
        <w:tc>
          <w:tcPr>
            <w:tcW w:w="610" w:type="pct"/>
            <w:noWrap/>
            <w:vAlign w:val="center"/>
            <w:hideMark/>
          </w:tcPr>
          <w:p w14:paraId="39A733B9" w14:textId="77777777" w:rsidR="0027187C" w:rsidRPr="00250090" w:rsidRDefault="0027187C" w:rsidP="00AE2B3D">
            <w:pPr>
              <w:spacing w:line="276" w:lineRule="auto"/>
              <w:jc w:val="right"/>
              <w:rPr>
                <w:color w:val="000000"/>
                <w:sz w:val="20"/>
                <w:szCs w:val="20"/>
              </w:rPr>
            </w:pPr>
            <w:r w:rsidRPr="00250090">
              <w:rPr>
                <w:color w:val="000000"/>
                <w:sz w:val="20"/>
                <w:szCs w:val="20"/>
              </w:rPr>
              <w:t>0</w:t>
            </w:r>
          </w:p>
        </w:tc>
        <w:tc>
          <w:tcPr>
            <w:tcW w:w="632" w:type="pct"/>
            <w:noWrap/>
            <w:vAlign w:val="center"/>
            <w:hideMark/>
          </w:tcPr>
          <w:p w14:paraId="5E781207" w14:textId="77777777" w:rsidR="0027187C" w:rsidRPr="00250090" w:rsidRDefault="0027187C" w:rsidP="00AE2B3D">
            <w:pPr>
              <w:spacing w:line="276" w:lineRule="auto"/>
              <w:jc w:val="right"/>
              <w:rPr>
                <w:color w:val="000000"/>
                <w:sz w:val="20"/>
                <w:szCs w:val="20"/>
              </w:rPr>
            </w:pPr>
            <w:r w:rsidRPr="00250090">
              <w:rPr>
                <w:color w:val="000000"/>
                <w:sz w:val="20"/>
                <w:szCs w:val="20"/>
              </w:rPr>
              <w:t>802</w:t>
            </w:r>
          </w:p>
        </w:tc>
        <w:tc>
          <w:tcPr>
            <w:tcW w:w="633" w:type="pct"/>
            <w:noWrap/>
            <w:vAlign w:val="center"/>
            <w:hideMark/>
          </w:tcPr>
          <w:p w14:paraId="3F587DDF" w14:textId="77777777" w:rsidR="0027187C" w:rsidRPr="00250090" w:rsidRDefault="0027187C" w:rsidP="00AE2B3D">
            <w:pPr>
              <w:spacing w:line="276" w:lineRule="auto"/>
              <w:jc w:val="right"/>
              <w:rPr>
                <w:color w:val="000000"/>
                <w:sz w:val="20"/>
                <w:szCs w:val="20"/>
              </w:rPr>
            </w:pPr>
            <w:r w:rsidRPr="00250090">
              <w:rPr>
                <w:color w:val="000000"/>
                <w:sz w:val="20"/>
                <w:szCs w:val="20"/>
              </w:rPr>
              <w:t>2,158</w:t>
            </w:r>
          </w:p>
        </w:tc>
        <w:tc>
          <w:tcPr>
            <w:tcW w:w="684" w:type="pct"/>
            <w:noWrap/>
            <w:vAlign w:val="center"/>
            <w:hideMark/>
          </w:tcPr>
          <w:p w14:paraId="40E199FF" w14:textId="77777777" w:rsidR="0027187C" w:rsidRPr="00250090" w:rsidRDefault="0027187C" w:rsidP="00AE2B3D">
            <w:pPr>
              <w:spacing w:line="276" w:lineRule="auto"/>
              <w:jc w:val="right"/>
              <w:rPr>
                <w:color w:val="000000"/>
                <w:sz w:val="20"/>
                <w:szCs w:val="20"/>
              </w:rPr>
            </w:pPr>
            <w:r w:rsidRPr="00250090">
              <w:rPr>
                <w:color w:val="000000"/>
                <w:sz w:val="20"/>
                <w:szCs w:val="20"/>
              </w:rPr>
              <w:t>2,960</w:t>
            </w:r>
          </w:p>
        </w:tc>
      </w:tr>
      <w:tr w:rsidR="0027187C" w:rsidRPr="00250090" w14:paraId="3C46BD9F" w14:textId="77777777" w:rsidTr="00AE2B3D">
        <w:trPr>
          <w:trHeight w:val="397"/>
        </w:trPr>
        <w:tc>
          <w:tcPr>
            <w:tcW w:w="1825" w:type="pct"/>
            <w:vAlign w:val="center"/>
            <w:hideMark/>
          </w:tcPr>
          <w:p w14:paraId="35226203" w14:textId="77777777" w:rsidR="0027187C" w:rsidRPr="00250090" w:rsidRDefault="0027187C" w:rsidP="0027187C">
            <w:pPr>
              <w:spacing w:line="276" w:lineRule="auto"/>
              <w:rPr>
                <w:color w:val="000000"/>
                <w:sz w:val="20"/>
                <w:szCs w:val="20"/>
              </w:rPr>
            </w:pPr>
            <w:r w:rsidRPr="00250090">
              <w:rPr>
                <w:color w:val="000000"/>
                <w:sz w:val="20"/>
                <w:szCs w:val="20"/>
              </w:rPr>
              <w:t>Cost of emotional distress</w:t>
            </w:r>
          </w:p>
        </w:tc>
        <w:tc>
          <w:tcPr>
            <w:tcW w:w="616" w:type="pct"/>
            <w:vAlign w:val="center"/>
            <w:hideMark/>
          </w:tcPr>
          <w:p w14:paraId="0316EB21" w14:textId="77777777" w:rsidR="0027187C" w:rsidRPr="00250090" w:rsidRDefault="0027187C" w:rsidP="0027187C">
            <w:pPr>
              <w:spacing w:line="276" w:lineRule="auto"/>
              <w:rPr>
                <w:color w:val="000000"/>
                <w:sz w:val="20"/>
                <w:szCs w:val="20"/>
              </w:rPr>
            </w:pPr>
            <w:r w:rsidRPr="00250090">
              <w:rPr>
                <w:color w:val="000000"/>
                <w:sz w:val="20"/>
                <w:szCs w:val="20"/>
              </w:rPr>
              <w:t>c</w:t>
            </w:r>
          </w:p>
        </w:tc>
        <w:tc>
          <w:tcPr>
            <w:tcW w:w="2559" w:type="pct"/>
            <w:gridSpan w:val="4"/>
            <w:vAlign w:val="center"/>
            <w:hideMark/>
          </w:tcPr>
          <w:p w14:paraId="214702E5" w14:textId="77777777" w:rsidR="0027187C" w:rsidRPr="00250090" w:rsidRDefault="0027187C" w:rsidP="00AE2B3D">
            <w:pPr>
              <w:spacing w:line="276" w:lineRule="auto"/>
              <w:jc w:val="center"/>
              <w:rPr>
                <w:color w:val="000000"/>
                <w:sz w:val="20"/>
                <w:szCs w:val="20"/>
              </w:rPr>
            </w:pPr>
            <w:r w:rsidRPr="00250090">
              <w:rPr>
                <w:color w:val="000000"/>
                <w:sz w:val="20"/>
                <w:szCs w:val="20"/>
              </w:rPr>
              <w:t>$10,000</w:t>
            </w:r>
          </w:p>
        </w:tc>
      </w:tr>
      <w:tr w:rsidR="0027187C" w:rsidRPr="00250090" w14:paraId="50B77FF3" w14:textId="77777777" w:rsidTr="00841D8C">
        <w:trPr>
          <w:trHeight w:val="397"/>
        </w:trPr>
        <w:tc>
          <w:tcPr>
            <w:tcW w:w="1825" w:type="pct"/>
            <w:shd w:val="clear" w:color="auto" w:fill="F2F2F2" w:themeFill="background1" w:themeFillShade="F2"/>
            <w:vAlign w:val="center"/>
            <w:hideMark/>
          </w:tcPr>
          <w:p w14:paraId="00E5509C" w14:textId="77777777" w:rsidR="0027187C" w:rsidRPr="00250090" w:rsidRDefault="0027187C" w:rsidP="0027187C">
            <w:pPr>
              <w:spacing w:line="276" w:lineRule="auto"/>
              <w:rPr>
                <w:b/>
                <w:bCs/>
                <w:color w:val="000000"/>
                <w:sz w:val="20"/>
                <w:szCs w:val="20"/>
              </w:rPr>
            </w:pPr>
            <w:r w:rsidRPr="00250090">
              <w:rPr>
                <w:b/>
                <w:bCs/>
                <w:color w:val="000000"/>
                <w:sz w:val="20"/>
                <w:szCs w:val="20"/>
              </w:rPr>
              <w:t>Total cost of emotional distress to the person with the gambling problem</w:t>
            </w:r>
          </w:p>
        </w:tc>
        <w:tc>
          <w:tcPr>
            <w:tcW w:w="616" w:type="pct"/>
            <w:shd w:val="clear" w:color="auto" w:fill="F2F2F2" w:themeFill="background1" w:themeFillShade="F2"/>
            <w:vAlign w:val="center"/>
            <w:hideMark/>
          </w:tcPr>
          <w:p w14:paraId="78522DF6" w14:textId="77777777" w:rsidR="0027187C" w:rsidRPr="00250090" w:rsidRDefault="0027187C" w:rsidP="0027187C">
            <w:pPr>
              <w:spacing w:line="276" w:lineRule="auto"/>
              <w:rPr>
                <w:b/>
                <w:bCs/>
                <w:color w:val="000000"/>
                <w:sz w:val="20"/>
                <w:szCs w:val="20"/>
              </w:rPr>
            </w:pPr>
            <w:r w:rsidRPr="00250090">
              <w:rPr>
                <w:b/>
                <w:bCs/>
                <w:color w:val="000000"/>
                <w:sz w:val="20"/>
                <w:szCs w:val="20"/>
              </w:rPr>
              <w:t>d = b x c</w:t>
            </w:r>
          </w:p>
        </w:tc>
        <w:tc>
          <w:tcPr>
            <w:tcW w:w="610" w:type="pct"/>
            <w:shd w:val="clear" w:color="auto" w:fill="F2F2F2" w:themeFill="background1" w:themeFillShade="F2"/>
            <w:vAlign w:val="center"/>
            <w:hideMark/>
          </w:tcPr>
          <w:p w14:paraId="03BA268A" w14:textId="77777777" w:rsidR="0027187C" w:rsidRPr="00250090" w:rsidRDefault="0027187C" w:rsidP="00841D8C">
            <w:pPr>
              <w:spacing w:line="276" w:lineRule="auto"/>
              <w:jc w:val="right"/>
              <w:rPr>
                <w:b/>
                <w:bCs/>
                <w:color w:val="000000"/>
                <w:sz w:val="20"/>
                <w:szCs w:val="20"/>
              </w:rPr>
            </w:pPr>
            <w:r w:rsidRPr="00250090">
              <w:rPr>
                <w:b/>
                <w:bCs/>
                <w:color w:val="000000"/>
                <w:sz w:val="20"/>
                <w:szCs w:val="20"/>
              </w:rPr>
              <w:t>$0</w:t>
            </w:r>
          </w:p>
        </w:tc>
        <w:tc>
          <w:tcPr>
            <w:tcW w:w="632" w:type="pct"/>
            <w:shd w:val="clear" w:color="auto" w:fill="F2F2F2" w:themeFill="background1" w:themeFillShade="F2"/>
            <w:vAlign w:val="center"/>
            <w:hideMark/>
          </w:tcPr>
          <w:p w14:paraId="176537DA" w14:textId="77777777" w:rsidR="0027187C" w:rsidRPr="00250090" w:rsidRDefault="0027187C" w:rsidP="00841D8C">
            <w:pPr>
              <w:spacing w:line="276" w:lineRule="auto"/>
              <w:jc w:val="right"/>
              <w:rPr>
                <w:b/>
                <w:bCs/>
                <w:color w:val="000000"/>
                <w:sz w:val="20"/>
                <w:szCs w:val="20"/>
              </w:rPr>
            </w:pPr>
            <w:r w:rsidRPr="00250090">
              <w:rPr>
                <w:b/>
                <w:bCs/>
                <w:color w:val="000000"/>
                <w:sz w:val="20"/>
                <w:szCs w:val="20"/>
              </w:rPr>
              <w:t>$8,015,232</w:t>
            </w:r>
          </w:p>
        </w:tc>
        <w:tc>
          <w:tcPr>
            <w:tcW w:w="633" w:type="pct"/>
            <w:shd w:val="clear" w:color="auto" w:fill="F2F2F2" w:themeFill="background1" w:themeFillShade="F2"/>
            <w:vAlign w:val="center"/>
            <w:hideMark/>
          </w:tcPr>
          <w:p w14:paraId="211C771F" w14:textId="77777777" w:rsidR="0027187C" w:rsidRPr="00250090" w:rsidRDefault="0027187C" w:rsidP="00841D8C">
            <w:pPr>
              <w:spacing w:line="276" w:lineRule="auto"/>
              <w:jc w:val="right"/>
              <w:rPr>
                <w:b/>
                <w:bCs/>
                <w:color w:val="000000"/>
                <w:sz w:val="20"/>
                <w:szCs w:val="20"/>
              </w:rPr>
            </w:pPr>
            <w:r w:rsidRPr="00250090">
              <w:rPr>
                <w:b/>
                <w:bCs/>
                <w:color w:val="000000"/>
                <w:sz w:val="20"/>
                <w:szCs w:val="20"/>
              </w:rPr>
              <w:t>$21,580,416</w:t>
            </w:r>
          </w:p>
        </w:tc>
        <w:tc>
          <w:tcPr>
            <w:tcW w:w="684" w:type="pct"/>
            <w:shd w:val="clear" w:color="auto" w:fill="F2F2F2" w:themeFill="background1" w:themeFillShade="F2"/>
            <w:vAlign w:val="center"/>
            <w:hideMark/>
          </w:tcPr>
          <w:p w14:paraId="5C129A54" w14:textId="77777777" w:rsidR="0027187C" w:rsidRPr="00250090" w:rsidRDefault="0027187C" w:rsidP="00841D8C">
            <w:pPr>
              <w:spacing w:line="276" w:lineRule="auto"/>
              <w:jc w:val="right"/>
              <w:rPr>
                <w:b/>
                <w:bCs/>
                <w:color w:val="000000"/>
                <w:sz w:val="20"/>
                <w:szCs w:val="20"/>
              </w:rPr>
            </w:pPr>
            <w:r w:rsidRPr="00250090">
              <w:rPr>
                <w:b/>
                <w:bCs/>
                <w:color w:val="000000"/>
                <w:sz w:val="20"/>
                <w:szCs w:val="20"/>
              </w:rPr>
              <w:t>$29,595,648</w:t>
            </w:r>
          </w:p>
        </w:tc>
      </w:tr>
      <w:tr w:rsidR="0027187C" w:rsidRPr="00250090" w14:paraId="68F85822" w14:textId="77777777">
        <w:trPr>
          <w:trHeight w:val="397"/>
        </w:trPr>
        <w:tc>
          <w:tcPr>
            <w:tcW w:w="5000" w:type="pct"/>
            <w:gridSpan w:val="6"/>
            <w:vAlign w:val="center"/>
            <w:hideMark/>
          </w:tcPr>
          <w:p w14:paraId="2AB47BA6" w14:textId="77777777" w:rsidR="0027187C" w:rsidRPr="00250090" w:rsidRDefault="0027187C" w:rsidP="0027187C">
            <w:pPr>
              <w:spacing w:line="276" w:lineRule="auto"/>
              <w:rPr>
                <w:b/>
                <w:bCs/>
                <w:i/>
                <w:iCs/>
                <w:color w:val="000000"/>
                <w:sz w:val="20"/>
                <w:szCs w:val="20"/>
              </w:rPr>
            </w:pPr>
            <w:r w:rsidRPr="00250090">
              <w:rPr>
                <w:b/>
                <w:bCs/>
                <w:i/>
                <w:iCs/>
                <w:color w:val="000000"/>
                <w:sz w:val="20"/>
                <w:szCs w:val="20"/>
              </w:rPr>
              <w:t>Emotional distress to affected other</w:t>
            </w:r>
          </w:p>
        </w:tc>
      </w:tr>
      <w:tr w:rsidR="0027187C" w:rsidRPr="00250090" w14:paraId="0F5CE2E6" w14:textId="77777777" w:rsidTr="00AE2B3D">
        <w:trPr>
          <w:trHeight w:val="814"/>
        </w:trPr>
        <w:tc>
          <w:tcPr>
            <w:tcW w:w="1825" w:type="pct"/>
            <w:vAlign w:val="center"/>
            <w:hideMark/>
          </w:tcPr>
          <w:p w14:paraId="1A59FF79" w14:textId="77777777" w:rsidR="0027187C" w:rsidRPr="00250090" w:rsidRDefault="0027187C" w:rsidP="0027187C">
            <w:pPr>
              <w:spacing w:line="276" w:lineRule="auto"/>
              <w:rPr>
                <w:color w:val="000000"/>
                <w:sz w:val="20"/>
                <w:szCs w:val="20"/>
              </w:rPr>
            </w:pPr>
            <w:r w:rsidRPr="00250090">
              <w:rPr>
                <w:color w:val="000000"/>
                <w:sz w:val="20"/>
                <w:szCs w:val="20"/>
              </w:rPr>
              <w:t>Number of people with gambling problems who experienced violence (less causality)</w:t>
            </w:r>
          </w:p>
        </w:tc>
        <w:tc>
          <w:tcPr>
            <w:tcW w:w="616" w:type="pct"/>
            <w:vAlign w:val="center"/>
            <w:hideMark/>
          </w:tcPr>
          <w:p w14:paraId="09AA86BF" w14:textId="77777777" w:rsidR="0027187C" w:rsidRPr="00250090" w:rsidRDefault="0027187C" w:rsidP="0027187C">
            <w:pPr>
              <w:spacing w:line="276" w:lineRule="auto"/>
              <w:rPr>
                <w:color w:val="000000"/>
                <w:sz w:val="20"/>
                <w:szCs w:val="20"/>
              </w:rPr>
            </w:pPr>
            <w:r w:rsidRPr="00250090">
              <w:rPr>
                <w:color w:val="000000"/>
                <w:sz w:val="20"/>
                <w:szCs w:val="20"/>
              </w:rPr>
              <w:t>e</w:t>
            </w:r>
          </w:p>
        </w:tc>
        <w:tc>
          <w:tcPr>
            <w:tcW w:w="610" w:type="pct"/>
            <w:noWrap/>
            <w:vAlign w:val="center"/>
            <w:hideMark/>
          </w:tcPr>
          <w:p w14:paraId="6E00134B" w14:textId="77777777" w:rsidR="0027187C" w:rsidRPr="00250090" w:rsidRDefault="0027187C" w:rsidP="00AE2B3D">
            <w:pPr>
              <w:spacing w:line="276" w:lineRule="auto"/>
              <w:jc w:val="right"/>
              <w:rPr>
                <w:color w:val="000000"/>
                <w:sz w:val="20"/>
                <w:szCs w:val="20"/>
              </w:rPr>
            </w:pPr>
            <w:r w:rsidRPr="00250090">
              <w:rPr>
                <w:color w:val="000000"/>
                <w:sz w:val="20"/>
                <w:szCs w:val="20"/>
              </w:rPr>
              <w:t>0</w:t>
            </w:r>
          </w:p>
        </w:tc>
        <w:tc>
          <w:tcPr>
            <w:tcW w:w="632" w:type="pct"/>
            <w:noWrap/>
            <w:vAlign w:val="center"/>
            <w:hideMark/>
          </w:tcPr>
          <w:p w14:paraId="13F11025" w14:textId="77777777" w:rsidR="0027187C" w:rsidRPr="00250090" w:rsidRDefault="0027187C" w:rsidP="00AE2B3D">
            <w:pPr>
              <w:spacing w:line="276" w:lineRule="auto"/>
              <w:jc w:val="right"/>
              <w:rPr>
                <w:color w:val="000000"/>
                <w:sz w:val="20"/>
                <w:szCs w:val="20"/>
              </w:rPr>
            </w:pPr>
            <w:r w:rsidRPr="00250090">
              <w:rPr>
                <w:color w:val="000000"/>
                <w:sz w:val="20"/>
                <w:szCs w:val="20"/>
              </w:rPr>
              <w:t>802</w:t>
            </w:r>
          </w:p>
        </w:tc>
        <w:tc>
          <w:tcPr>
            <w:tcW w:w="633" w:type="pct"/>
            <w:noWrap/>
            <w:vAlign w:val="center"/>
            <w:hideMark/>
          </w:tcPr>
          <w:p w14:paraId="22052480" w14:textId="77777777" w:rsidR="0027187C" w:rsidRPr="00250090" w:rsidRDefault="0027187C" w:rsidP="00AE2B3D">
            <w:pPr>
              <w:spacing w:line="276" w:lineRule="auto"/>
              <w:jc w:val="right"/>
              <w:rPr>
                <w:color w:val="000000"/>
                <w:sz w:val="20"/>
                <w:szCs w:val="20"/>
              </w:rPr>
            </w:pPr>
            <w:r w:rsidRPr="00250090">
              <w:rPr>
                <w:color w:val="000000"/>
                <w:sz w:val="20"/>
                <w:szCs w:val="20"/>
              </w:rPr>
              <w:t>2,158</w:t>
            </w:r>
          </w:p>
        </w:tc>
        <w:tc>
          <w:tcPr>
            <w:tcW w:w="684" w:type="pct"/>
            <w:vAlign w:val="center"/>
            <w:hideMark/>
          </w:tcPr>
          <w:p w14:paraId="3A55F9CC" w14:textId="77777777" w:rsidR="0027187C" w:rsidRPr="00250090" w:rsidRDefault="0027187C" w:rsidP="00AE2B3D">
            <w:pPr>
              <w:spacing w:line="276" w:lineRule="auto"/>
              <w:jc w:val="right"/>
              <w:rPr>
                <w:color w:val="000000"/>
                <w:sz w:val="20"/>
                <w:szCs w:val="20"/>
              </w:rPr>
            </w:pPr>
            <w:r w:rsidRPr="00250090">
              <w:rPr>
                <w:color w:val="000000"/>
                <w:sz w:val="20"/>
                <w:szCs w:val="20"/>
              </w:rPr>
              <w:t> </w:t>
            </w:r>
          </w:p>
        </w:tc>
      </w:tr>
      <w:tr w:rsidR="0027187C" w:rsidRPr="00250090" w14:paraId="15E2798D" w14:textId="77777777" w:rsidTr="00AE2B3D">
        <w:trPr>
          <w:trHeight w:val="839"/>
        </w:trPr>
        <w:tc>
          <w:tcPr>
            <w:tcW w:w="1825" w:type="pct"/>
            <w:vAlign w:val="center"/>
            <w:hideMark/>
          </w:tcPr>
          <w:p w14:paraId="79795895" w14:textId="77777777" w:rsidR="0027187C" w:rsidRPr="00250090" w:rsidRDefault="0027187C" w:rsidP="0027187C">
            <w:pPr>
              <w:spacing w:line="276" w:lineRule="auto"/>
              <w:rPr>
                <w:color w:val="000000"/>
                <w:sz w:val="20"/>
                <w:szCs w:val="20"/>
              </w:rPr>
            </w:pPr>
            <w:r w:rsidRPr="00250090">
              <w:rPr>
                <w:color w:val="000000"/>
                <w:sz w:val="20"/>
                <w:szCs w:val="20"/>
              </w:rPr>
              <w:t>Average number of persons per household (minus the person with gambling problems)</w:t>
            </w:r>
          </w:p>
        </w:tc>
        <w:tc>
          <w:tcPr>
            <w:tcW w:w="616" w:type="pct"/>
            <w:vAlign w:val="center"/>
            <w:hideMark/>
          </w:tcPr>
          <w:p w14:paraId="3F4853D3" w14:textId="77777777" w:rsidR="0027187C" w:rsidRPr="00250090" w:rsidRDefault="0027187C" w:rsidP="0027187C">
            <w:pPr>
              <w:spacing w:line="276" w:lineRule="auto"/>
              <w:rPr>
                <w:color w:val="000000"/>
                <w:sz w:val="20"/>
                <w:szCs w:val="20"/>
              </w:rPr>
            </w:pPr>
            <w:r w:rsidRPr="00250090">
              <w:rPr>
                <w:color w:val="000000"/>
                <w:sz w:val="20"/>
                <w:szCs w:val="20"/>
              </w:rPr>
              <w:t>f</w:t>
            </w:r>
          </w:p>
        </w:tc>
        <w:tc>
          <w:tcPr>
            <w:tcW w:w="2559" w:type="pct"/>
            <w:gridSpan w:val="4"/>
            <w:vAlign w:val="center"/>
            <w:hideMark/>
          </w:tcPr>
          <w:p w14:paraId="54C49DB1" w14:textId="77777777" w:rsidR="0027187C" w:rsidRPr="00250090" w:rsidRDefault="0027187C" w:rsidP="00AE2B3D">
            <w:pPr>
              <w:spacing w:line="276" w:lineRule="auto"/>
              <w:jc w:val="center"/>
              <w:rPr>
                <w:color w:val="000000"/>
                <w:sz w:val="20"/>
                <w:szCs w:val="20"/>
              </w:rPr>
            </w:pPr>
            <w:r w:rsidRPr="00250090">
              <w:rPr>
                <w:color w:val="000000"/>
                <w:sz w:val="20"/>
                <w:szCs w:val="20"/>
              </w:rPr>
              <w:t>1.7</w:t>
            </w:r>
          </w:p>
        </w:tc>
      </w:tr>
      <w:tr w:rsidR="0027187C" w:rsidRPr="00250090" w14:paraId="105DD786" w14:textId="77777777" w:rsidTr="00841D8C">
        <w:trPr>
          <w:trHeight w:val="397"/>
        </w:trPr>
        <w:tc>
          <w:tcPr>
            <w:tcW w:w="1825" w:type="pct"/>
            <w:vAlign w:val="center"/>
            <w:hideMark/>
          </w:tcPr>
          <w:p w14:paraId="2C5DDF6E" w14:textId="77777777" w:rsidR="0027187C" w:rsidRPr="00250090" w:rsidRDefault="0027187C" w:rsidP="0027187C">
            <w:pPr>
              <w:spacing w:line="276" w:lineRule="auto"/>
              <w:rPr>
                <w:color w:val="000000"/>
                <w:sz w:val="20"/>
                <w:szCs w:val="20"/>
              </w:rPr>
            </w:pPr>
            <w:r w:rsidRPr="00250090">
              <w:rPr>
                <w:color w:val="000000"/>
                <w:sz w:val="20"/>
                <w:szCs w:val="20"/>
              </w:rPr>
              <w:t>Number of affected others</w:t>
            </w:r>
          </w:p>
        </w:tc>
        <w:tc>
          <w:tcPr>
            <w:tcW w:w="616" w:type="pct"/>
            <w:vAlign w:val="center"/>
            <w:hideMark/>
          </w:tcPr>
          <w:p w14:paraId="28514432" w14:textId="77777777" w:rsidR="0027187C" w:rsidRPr="00250090" w:rsidRDefault="0027187C" w:rsidP="0027187C">
            <w:pPr>
              <w:spacing w:line="276" w:lineRule="auto"/>
              <w:rPr>
                <w:color w:val="000000"/>
                <w:sz w:val="20"/>
                <w:szCs w:val="20"/>
              </w:rPr>
            </w:pPr>
            <w:r w:rsidRPr="00250090">
              <w:rPr>
                <w:color w:val="000000"/>
                <w:sz w:val="20"/>
                <w:szCs w:val="20"/>
              </w:rPr>
              <w:t>g = e x f</w:t>
            </w:r>
          </w:p>
        </w:tc>
        <w:tc>
          <w:tcPr>
            <w:tcW w:w="610" w:type="pct"/>
            <w:noWrap/>
            <w:vAlign w:val="center"/>
            <w:hideMark/>
          </w:tcPr>
          <w:p w14:paraId="50B205B5" w14:textId="77777777" w:rsidR="0027187C" w:rsidRPr="00250090" w:rsidRDefault="0027187C" w:rsidP="00841D8C">
            <w:pPr>
              <w:spacing w:line="276" w:lineRule="auto"/>
              <w:jc w:val="right"/>
              <w:rPr>
                <w:color w:val="000000"/>
                <w:sz w:val="20"/>
                <w:szCs w:val="20"/>
              </w:rPr>
            </w:pPr>
            <w:r w:rsidRPr="00250090">
              <w:rPr>
                <w:color w:val="000000"/>
                <w:sz w:val="20"/>
                <w:szCs w:val="20"/>
              </w:rPr>
              <w:t>0</w:t>
            </w:r>
          </w:p>
        </w:tc>
        <w:tc>
          <w:tcPr>
            <w:tcW w:w="632" w:type="pct"/>
            <w:noWrap/>
            <w:vAlign w:val="center"/>
            <w:hideMark/>
          </w:tcPr>
          <w:p w14:paraId="5891DEE6" w14:textId="77777777" w:rsidR="0027187C" w:rsidRPr="00250090" w:rsidRDefault="0027187C" w:rsidP="00841D8C">
            <w:pPr>
              <w:spacing w:line="276" w:lineRule="auto"/>
              <w:jc w:val="right"/>
              <w:rPr>
                <w:color w:val="000000"/>
                <w:sz w:val="20"/>
                <w:szCs w:val="20"/>
              </w:rPr>
            </w:pPr>
            <w:r w:rsidRPr="00250090">
              <w:rPr>
                <w:color w:val="000000"/>
                <w:sz w:val="20"/>
                <w:szCs w:val="20"/>
              </w:rPr>
              <w:t>1,363</w:t>
            </w:r>
          </w:p>
        </w:tc>
        <w:tc>
          <w:tcPr>
            <w:tcW w:w="633" w:type="pct"/>
            <w:noWrap/>
            <w:vAlign w:val="center"/>
            <w:hideMark/>
          </w:tcPr>
          <w:p w14:paraId="6F20F7D7" w14:textId="77777777" w:rsidR="0027187C" w:rsidRPr="00250090" w:rsidRDefault="0027187C" w:rsidP="00841D8C">
            <w:pPr>
              <w:spacing w:line="276" w:lineRule="auto"/>
              <w:jc w:val="right"/>
              <w:rPr>
                <w:color w:val="000000"/>
                <w:sz w:val="20"/>
                <w:szCs w:val="20"/>
              </w:rPr>
            </w:pPr>
            <w:r w:rsidRPr="00250090">
              <w:rPr>
                <w:color w:val="000000"/>
                <w:sz w:val="20"/>
                <w:szCs w:val="20"/>
              </w:rPr>
              <w:t>3,669</w:t>
            </w:r>
          </w:p>
        </w:tc>
        <w:tc>
          <w:tcPr>
            <w:tcW w:w="684" w:type="pct"/>
            <w:noWrap/>
            <w:vAlign w:val="center"/>
            <w:hideMark/>
          </w:tcPr>
          <w:p w14:paraId="5ED0EE96" w14:textId="77777777" w:rsidR="0027187C" w:rsidRPr="00250090" w:rsidRDefault="0027187C" w:rsidP="00841D8C">
            <w:pPr>
              <w:spacing w:line="276" w:lineRule="auto"/>
              <w:jc w:val="right"/>
              <w:rPr>
                <w:color w:val="000000"/>
                <w:sz w:val="20"/>
                <w:szCs w:val="20"/>
              </w:rPr>
            </w:pPr>
            <w:r w:rsidRPr="00250090">
              <w:rPr>
                <w:color w:val="000000"/>
                <w:sz w:val="20"/>
                <w:szCs w:val="20"/>
              </w:rPr>
              <w:t>5,031</w:t>
            </w:r>
          </w:p>
        </w:tc>
      </w:tr>
      <w:tr w:rsidR="0027187C" w:rsidRPr="00250090" w14:paraId="3505A1E8" w14:textId="77777777" w:rsidTr="00AE2B3D">
        <w:trPr>
          <w:trHeight w:val="397"/>
        </w:trPr>
        <w:tc>
          <w:tcPr>
            <w:tcW w:w="1825" w:type="pct"/>
            <w:vAlign w:val="center"/>
            <w:hideMark/>
          </w:tcPr>
          <w:p w14:paraId="7B21D9C9" w14:textId="77777777" w:rsidR="0027187C" w:rsidRPr="00250090" w:rsidRDefault="0027187C" w:rsidP="0027187C">
            <w:pPr>
              <w:spacing w:line="276" w:lineRule="auto"/>
              <w:rPr>
                <w:color w:val="000000"/>
                <w:sz w:val="20"/>
                <w:szCs w:val="20"/>
              </w:rPr>
            </w:pPr>
            <w:r w:rsidRPr="00250090">
              <w:rPr>
                <w:color w:val="000000"/>
                <w:sz w:val="20"/>
                <w:szCs w:val="20"/>
              </w:rPr>
              <w:t>Cost of emotional harm</w:t>
            </w:r>
          </w:p>
        </w:tc>
        <w:tc>
          <w:tcPr>
            <w:tcW w:w="616" w:type="pct"/>
            <w:vAlign w:val="center"/>
            <w:hideMark/>
          </w:tcPr>
          <w:p w14:paraId="5CACF75E" w14:textId="77777777" w:rsidR="0027187C" w:rsidRPr="00250090" w:rsidRDefault="0027187C" w:rsidP="0027187C">
            <w:pPr>
              <w:spacing w:line="276" w:lineRule="auto"/>
              <w:rPr>
                <w:color w:val="000000"/>
                <w:sz w:val="20"/>
                <w:szCs w:val="20"/>
              </w:rPr>
            </w:pPr>
            <w:r w:rsidRPr="00250090">
              <w:rPr>
                <w:color w:val="000000"/>
                <w:sz w:val="20"/>
                <w:szCs w:val="20"/>
              </w:rPr>
              <w:t>h</w:t>
            </w:r>
          </w:p>
        </w:tc>
        <w:tc>
          <w:tcPr>
            <w:tcW w:w="2559" w:type="pct"/>
            <w:gridSpan w:val="4"/>
            <w:vAlign w:val="center"/>
            <w:hideMark/>
          </w:tcPr>
          <w:p w14:paraId="729ABB05" w14:textId="77777777" w:rsidR="0027187C" w:rsidRPr="00250090" w:rsidRDefault="0027187C" w:rsidP="00AE2B3D">
            <w:pPr>
              <w:spacing w:line="276" w:lineRule="auto"/>
              <w:jc w:val="center"/>
              <w:rPr>
                <w:color w:val="000000"/>
                <w:sz w:val="20"/>
                <w:szCs w:val="20"/>
              </w:rPr>
            </w:pPr>
            <w:r w:rsidRPr="00250090">
              <w:rPr>
                <w:color w:val="000000"/>
                <w:sz w:val="20"/>
                <w:szCs w:val="20"/>
              </w:rPr>
              <w:t>$10,000</w:t>
            </w:r>
          </w:p>
        </w:tc>
      </w:tr>
      <w:tr w:rsidR="0027187C" w:rsidRPr="00250090" w14:paraId="777F2E79" w14:textId="77777777" w:rsidTr="00841D8C">
        <w:trPr>
          <w:trHeight w:val="397"/>
        </w:trPr>
        <w:tc>
          <w:tcPr>
            <w:tcW w:w="1825" w:type="pct"/>
            <w:shd w:val="clear" w:color="auto" w:fill="F2F2F2" w:themeFill="background1" w:themeFillShade="F2"/>
            <w:vAlign w:val="center"/>
            <w:hideMark/>
          </w:tcPr>
          <w:p w14:paraId="34211B1F" w14:textId="77777777" w:rsidR="0027187C" w:rsidRPr="00250090" w:rsidRDefault="0027187C" w:rsidP="0027187C">
            <w:pPr>
              <w:spacing w:line="276" w:lineRule="auto"/>
              <w:rPr>
                <w:b/>
                <w:bCs/>
                <w:color w:val="000000"/>
                <w:sz w:val="20"/>
                <w:szCs w:val="20"/>
              </w:rPr>
            </w:pPr>
            <w:r w:rsidRPr="00250090">
              <w:rPr>
                <w:b/>
                <w:bCs/>
                <w:color w:val="000000"/>
                <w:sz w:val="20"/>
                <w:szCs w:val="20"/>
              </w:rPr>
              <w:t>Total cost to affected others</w:t>
            </w:r>
          </w:p>
        </w:tc>
        <w:tc>
          <w:tcPr>
            <w:tcW w:w="616" w:type="pct"/>
            <w:shd w:val="clear" w:color="auto" w:fill="F2F2F2" w:themeFill="background1" w:themeFillShade="F2"/>
            <w:vAlign w:val="center"/>
            <w:hideMark/>
          </w:tcPr>
          <w:p w14:paraId="751A45EE" w14:textId="77777777" w:rsidR="0027187C" w:rsidRPr="00250090" w:rsidRDefault="0027187C" w:rsidP="0027187C">
            <w:pPr>
              <w:spacing w:line="276" w:lineRule="auto"/>
              <w:rPr>
                <w:b/>
                <w:bCs/>
                <w:color w:val="000000"/>
                <w:sz w:val="20"/>
                <w:szCs w:val="20"/>
              </w:rPr>
            </w:pPr>
            <w:r w:rsidRPr="00250090">
              <w:rPr>
                <w:b/>
                <w:bCs/>
                <w:color w:val="000000"/>
                <w:sz w:val="20"/>
                <w:szCs w:val="20"/>
              </w:rPr>
              <w:t>i = g x h</w:t>
            </w:r>
          </w:p>
        </w:tc>
        <w:tc>
          <w:tcPr>
            <w:tcW w:w="610" w:type="pct"/>
            <w:shd w:val="clear" w:color="auto" w:fill="F2F2F2" w:themeFill="background1" w:themeFillShade="F2"/>
            <w:vAlign w:val="center"/>
            <w:hideMark/>
          </w:tcPr>
          <w:p w14:paraId="0BF9BB38" w14:textId="77777777" w:rsidR="0027187C" w:rsidRPr="00250090" w:rsidRDefault="0027187C" w:rsidP="00841D8C">
            <w:pPr>
              <w:spacing w:line="276" w:lineRule="auto"/>
              <w:jc w:val="right"/>
              <w:rPr>
                <w:b/>
                <w:bCs/>
                <w:color w:val="000000"/>
                <w:sz w:val="20"/>
                <w:szCs w:val="20"/>
              </w:rPr>
            </w:pPr>
            <w:r w:rsidRPr="00250090">
              <w:rPr>
                <w:b/>
                <w:bCs/>
                <w:color w:val="000000"/>
                <w:sz w:val="20"/>
                <w:szCs w:val="20"/>
              </w:rPr>
              <w:t>$0</w:t>
            </w:r>
          </w:p>
        </w:tc>
        <w:tc>
          <w:tcPr>
            <w:tcW w:w="632" w:type="pct"/>
            <w:shd w:val="clear" w:color="auto" w:fill="F2F2F2" w:themeFill="background1" w:themeFillShade="F2"/>
            <w:vAlign w:val="center"/>
            <w:hideMark/>
          </w:tcPr>
          <w:p w14:paraId="068FFB49" w14:textId="77777777" w:rsidR="0027187C" w:rsidRPr="00250090" w:rsidRDefault="0027187C" w:rsidP="00841D8C">
            <w:pPr>
              <w:spacing w:line="276" w:lineRule="auto"/>
              <w:jc w:val="right"/>
              <w:rPr>
                <w:b/>
                <w:bCs/>
                <w:color w:val="000000"/>
                <w:sz w:val="20"/>
                <w:szCs w:val="20"/>
              </w:rPr>
            </w:pPr>
            <w:r w:rsidRPr="00250090">
              <w:rPr>
                <w:b/>
                <w:bCs/>
                <w:color w:val="000000"/>
                <w:sz w:val="20"/>
                <w:szCs w:val="20"/>
              </w:rPr>
              <w:t>$13,625,894</w:t>
            </w:r>
          </w:p>
        </w:tc>
        <w:tc>
          <w:tcPr>
            <w:tcW w:w="633" w:type="pct"/>
            <w:shd w:val="clear" w:color="auto" w:fill="F2F2F2" w:themeFill="background1" w:themeFillShade="F2"/>
            <w:vAlign w:val="center"/>
            <w:hideMark/>
          </w:tcPr>
          <w:p w14:paraId="5CA7CBE0" w14:textId="77777777" w:rsidR="0027187C" w:rsidRPr="00250090" w:rsidRDefault="0027187C" w:rsidP="00841D8C">
            <w:pPr>
              <w:spacing w:line="276" w:lineRule="auto"/>
              <w:jc w:val="right"/>
              <w:rPr>
                <w:b/>
                <w:bCs/>
                <w:color w:val="000000"/>
                <w:sz w:val="20"/>
                <w:szCs w:val="20"/>
              </w:rPr>
            </w:pPr>
            <w:r w:rsidRPr="00250090">
              <w:rPr>
                <w:b/>
                <w:bCs/>
                <w:color w:val="000000"/>
                <w:sz w:val="20"/>
                <w:szCs w:val="20"/>
              </w:rPr>
              <w:t>$36,686,707</w:t>
            </w:r>
          </w:p>
        </w:tc>
        <w:tc>
          <w:tcPr>
            <w:tcW w:w="684" w:type="pct"/>
            <w:shd w:val="clear" w:color="auto" w:fill="F2F2F2" w:themeFill="background1" w:themeFillShade="F2"/>
            <w:vAlign w:val="center"/>
            <w:hideMark/>
          </w:tcPr>
          <w:p w14:paraId="2C453E99" w14:textId="77777777" w:rsidR="0027187C" w:rsidRPr="00250090" w:rsidRDefault="0027187C" w:rsidP="00841D8C">
            <w:pPr>
              <w:spacing w:line="276" w:lineRule="auto"/>
              <w:jc w:val="right"/>
              <w:rPr>
                <w:b/>
                <w:bCs/>
                <w:color w:val="000000"/>
                <w:sz w:val="20"/>
                <w:szCs w:val="20"/>
              </w:rPr>
            </w:pPr>
            <w:r w:rsidRPr="00250090">
              <w:rPr>
                <w:b/>
                <w:bCs/>
                <w:color w:val="000000"/>
                <w:sz w:val="20"/>
                <w:szCs w:val="20"/>
              </w:rPr>
              <w:t>$50,312,602</w:t>
            </w:r>
          </w:p>
        </w:tc>
      </w:tr>
      <w:tr w:rsidR="0027187C" w:rsidRPr="00250090" w14:paraId="226224EF" w14:textId="77777777" w:rsidTr="00841D8C">
        <w:trPr>
          <w:trHeight w:val="397"/>
        </w:trPr>
        <w:tc>
          <w:tcPr>
            <w:tcW w:w="1825" w:type="pct"/>
            <w:shd w:val="clear" w:color="auto" w:fill="F2F2F2" w:themeFill="background1" w:themeFillShade="F2"/>
            <w:vAlign w:val="center"/>
            <w:hideMark/>
          </w:tcPr>
          <w:p w14:paraId="6526CF51" w14:textId="77777777" w:rsidR="0027187C" w:rsidRPr="00250090" w:rsidRDefault="0027187C" w:rsidP="0027187C">
            <w:pPr>
              <w:spacing w:line="276" w:lineRule="auto"/>
              <w:rPr>
                <w:b/>
                <w:bCs/>
                <w:color w:val="000000"/>
                <w:sz w:val="20"/>
                <w:szCs w:val="20"/>
              </w:rPr>
            </w:pPr>
            <w:r w:rsidRPr="00250090">
              <w:rPr>
                <w:b/>
                <w:bCs/>
                <w:color w:val="000000"/>
                <w:sz w:val="20"/>
                <w:szCs w:val="20"/>
              </w:rPr>
              <w:t>Total cost of experiences of violence</w:t>
            </w:r>
          </w:p>
        </w:tc>
        <w:tc>
          <w:tcPr>
            <w:tcW w:w="616" w:type="pct"/>
            <w:shd w:val="clear" w:color="auto" w:fill="F2F2F2" w:themeFill="background1" w:themeFillShade="F2"/>
            <w:vAlign w:val="center"/>
            <w:hideMark/>
          </w:tcPr>
          <w:p w14:paraId="1CEC3DE7" w14:textId="77777777" w:rsidR="0027187C" w:rsidRPr="00250090" w:rsidRDefault="0027187C" w:rsidP="0027187C">
            <w:pPr>
              <w:spacing w:line="276" w:lineRule="auto"/>
              <w:rPr>
                <w:b/>
                <w:bCs/>
                <w:color w:val="000000"/>
                <w:sz w:val="20"/>
                <w:szCs w:val="20"/>
              </w:rPr>
            </w:pPr>
            <w:r w:rsidRPr="00250090">
              <w:rPr>
                <w:b/>
                <w:bCs/>
                <w:color w:val="000000"/>
                <w:sz w:val="20"/>
                <w:szCs w:val="20"/>
              </w:rPr>
              <w:t> </w:t>
            </w:r>
          </w:p>
        </w:tc>
        <w:tc>
          <w:tcPr>
            <w:tcW w:w="610" w:type="pct"/>
            <w:shd w:val="clear" w:color="auto" w:fill="F2F2F2" w:themeFill="background1" w:themeFillShade="F2"/>
            <w:vAlign w:val="center"/>
            <w:hideMark/>
          </w:tcPr>
          <w:p w14:paraId="2E0F9AD7" w14:textId="77777777" w:rsidR="0027187C" w:rsidRPr="00250090" w:rsidRDefault="0027187C" w:rsidP="00841D8C">
            <w:pPr>
              <w:spacing w:line="276" w:lineRule="auto"/>
              <w:jc w:val="right"/>
              <w:rPr>
                <w:b/>
                <w:bCs/>
                <w:color w:val="000000"/>
                <w:sz w:val="20"/>
                <w:szCs w:val="20"/>
              </w:rPr>
            </w:pPr>
            <w:r w:rsidRPr="00250090">
              <w:rPr>
                <w:b/>
                <w:bCs/>
                <w:color w:val="000000"/>
                <w:sz w:val="20"/>
                <w:szCs w:val="20"/>
              </w:rPr>
              <w:t>$0</w:t>
            </w:r>
          </w:p>
        </w:tc>
        <w:tc>
          <w:tcPr>
            <w:tcW w:w="632" w:type="pct"/>
            <w:shd w:val="clear" w:color="auto" w:fill="F2F2F2" w:themeFill="background1" w:themeFillShade="F2"/>
            <w:vAlign w:val="center"/>
            <w:hideMark/>
          </w:tcPr>
          <w:p w14:paraId="27B3EE5E" w14:textId="77777777" w:rsidR="0027187C" w:rsidRPr="00250090" w:rsidRDefault="0027187C" w:rsidP="00841D8C">
            <w:pPr>
              <w:spacing w:line="276" w:lineRule="auto"/>
              <w:jc w:val="right"/>
              <w:rPr>
                <w:b/>
                <w:bCs/>
                <w:color w:val="000000"/>
                <w:sz w:val="20"/>
                <w:szCs w:val="20"/>
              </w:rPr>
            </w:pPr>
            <w:r w:rsidRPr="00250090">
              <w:rPr>
                <w:b/>
                <w:bCs/>
                <w:color w:val="000000"/>
                <w:sz w:val="20"/>
                <w:szCs w:val="20"/>
              </w:rPr>
              <w:t>$21,641,126</w:t>
            </w:r>
          </w:p>
        </w:tc>
        <w:tc>
          <w:tcPr>
            <w:tcW w:w="633" w:type="pct"/>
            <w:shd w:val="clear" w:color="auto" w:fill="F2F2F2" w:themeFill="background1" w:themeFillShade="F2"/>
            <w:vAlign w:val="center"/>
            <w:hideMark/>
          </w:tcPr>
          <w:p w14:paraId="3CCC51D5" w14:textId="77777777" w:rsidR="0027187C" w:rsidRPr="00250090" w:rsidRDefault="0027187C" w:rsidP="00841D8C">
            <w:pPr>
              <w:spacing w:line="276" w:lineRule="auto"/>
              <w:jc w:val="right"/>
              <w:rPr>
                <w:b/>
                <w:bCs/>
                <w:color w:val="000000"/>
                <w:sz w:val="20"/>
                <w:szCs w:val="20"/>
              </w:rPr>
            </w:pPr>
            <w:r w:rsidRPr="00250090">
              <w:rPr>
                <w:b/>
                <w:bCs/>
                <w:color w:val="000000"/>
                <w:sz w:val="20"/>
                <w:szCs w:val="20"/>
              </w:rPr>
              <w:t>$58,267,123</w:t>
            </w:r>
          </w:p>
        </w:tc>
        <w:tc>
          <w:tcPr>
            <w:tcW w:w="684" w:type="pct"/>
            <w:shd w:val="clear" w:color="auto" w:fill="F2F2F2" w:themeFill="background1" w:themeFillShade="F2"/>
            <w:vAlign w:val="center"/>
            <w:hideMark/>
          </w:tcPr>
          <w:p w14:paraId="056C2F60" w14:textId="77777777" w:rsidR="0027187C" w:rsidRPr="00250090" w:rsidRDefault="0027187C" w:rsidP="00841D8C">
            <w:pPr>
              <w:spacing w:line="276" w:lineRule="auto"/>
              <w:jc w:val="right"/>
              <w:rPr>
                <w:b/>
                <w:bCs/>
                <w:color w:val="000000"/>
                <w:sz w:val="20"/>
                <w:szCs w:val="20"/>
              </w:rPr>
            </w:pPr>
            <w:r w:rsidRPr="00250090">
              <w:rPr>
                <w:b/>
                <w:bCs/>
                <w:color w:val="000000"/>
                <w:sz w:val="20"/>
                <w:szCs w:val="20"/>
              </w:rPr>
              <w:t>$79,908,250</w:t>
            </w:r>
          </w:p>
        </w:tc>
      </w:tr>
      <w:tr w:rsidR="0027187C" w:rsidRPr="00250090" w14:paraId="3CFDDE65" w14:textId="77777777">
        <w:trPr>
          <w:trHeight w:val="397"/>
        </w:trPr>
        <w:tc>
          <w:tcPr>
            <w:tcW w:w="4316" w:type="pct"/>
            <w:gridSpan w:val="5"/>
            <w:vAlign w:val="center"/>
            <w:hideMark/>
          </w:tcPr>
          <w:p w14:paraId="2A2F9B00" w14:textId="77777777" w:rsidR="0027187C" w:rsidRPr="00250090" w:rsidRDefault="0027187C">
            <w:pPr>
              <w:spacing w:line="276" w:lineRule="auto"/>
              <w:rPr>
                <w:color w:val="000000"/>
                <w:sz w:val="20"/>
                <w:szCs w:val="20"/>
              </w:rPr>
            </w:pPr>
            <w:r w:rsidRPr="00250090">
              <w:rPr>
                <w:color w:val="000000"/>
                <w:sz w:val="20"/>
                <w:szCs w:val="20"/>
              </w:rPr>
              <w:t>Lower bound</w:t>
            </w:r>
          </w:p>
        </w:tc>
        <w:tc>
          <w:tcPr>
            <w:tcW w:w="684" w:type="pct"/>
            <w:vAlign w:val="center"/>
            <w:hideMark/>
          </w:tcPr>
          <w:p w14:paraId="7F5A0EFC" w14:textId="77777777" w:rsidR="0027187C" w:rsidRPr="00250090" w:rsidRDefault="0027187C">
            <w:pPr>
              <w:spacing w:line="276" w:lineRule="auto"/>
              <w:jc w:val="right"/>
              <w:rPr>
                <w:color w:val="000000"/>
                <w:sz w:val="20"/>
                <w:szCs w:val="20"/>
              </w:rPr>
            </w:pPr>
            <w:r w:rsidRPr="00250090">
              <w:rPr>
                <w:color w:val="000000"/>
                <w:sz w:val="20"/>
                <w:szCs w:val="20"/>
              </w:rPr>
              <w:t>$75,912,837</w:t>
            </w:r>
          </w:p>
        </w:tc>
      </w:tr>
      <w:tr w:rsidR="0027187C" w:rsidRPr="00250090" w14:paraId="0D4252D1" w14:textId="77777777">
        <w:trPr>
          <w:trHeight w:val="397"/>
        </w:trPr>
        <w:tc>
          <w:tcPr>
            <w:tcW w:w="4316" w:type="pct"/>
            <w:gridSpan w:val="5"/>
            <w:vAlign w:val="center"/>
            <w:hideMark/>
          </w:tcPr>
          <w:p w14:paraId="7249A47A" w14:textId="77777777" w:rsidR="0027187C" w:rsidRPr="00250090" w:rsidRDefault="0027187C">
            <w:pPr>
              <w:spacing w:line="276" w:lineRule="auto"/>
              <w:rPr>
                <w:color w:val="000000"/>
                <w:sz w:val="20"/>
                <w:szCs w:val="20"/>
              </w:rPr>
            </w:pPr>
            <w:r w:rsidRPr="00250090">
              <w:rPr>
                <w:color w:val="000000"/>
                <w:sz w:val="20"/>
                <w:szCs w:val="20"/>
              </w:rPr>
              <w:t>Upper bound</w:t>
            </w:r>
          </w:p>
        </w:tc>
        <w:tc>
          <w:tcPr>
            <w:tcW w:w="684" w:type="pct"/>
            <w:vAlign w:val="center"/>
            <w:hideMark/>
          </w:tcPr>
          <w:p w14:paraId="0E37C9B8" w14:textId="77777777" w:rsidR="0027187C" w:rsidRPr="00250090" w:rsidRDefault="0027187C">
            <w:pPr>
              <w:spacing w:line="276" w:lineRule="auto"/>
              <w:jc w:val="right"/>
              <w:rPr>
                <w:color w:val="000000"/>
                <w:sz w:val="20"/>
                <w:szCs w:val="20"/>
              </w:rPr>
            </w:pPr>
            <w:r w:rsidRPr="00250090">
              <w:rPr>
                <w:color w:val="000000"/>
                <w:sz w:val="20"/>
                <w:szCs w:val="20"/>
              </w:rPr>
              <w:t>$159,816,499</w:t>
            </w:r>
          </w:p>
        </w:tc>
      </w:tr>
    </w:tbl>
    <w:p w14:paraId="41F05E06" w14:textId="7CC92763" w:rsidR="00DB689D" w:rsidRDefault="00DB689D" w:rsidP="00367A8D">
      <w:pPr>
        <w:spacing w:before="120" w:after="120" w:line="360" w:lineRule="auto"/>
        <w:ind w:right="280"/>
      </w:pPr>
    </w:p>
    <w:p w14:paraId="0891E0AC" w14:textId="77777777" w:rsidR="00DB689D" w:rsidRDefault="00310A10" w:rsidP="00657824">
      <w:pPr>
        <w:pStyle w:val="Heading2"/>
      </w:pPr>
      <w:bookmarkStart w:id="431" w:name="_yzdlviu2dgwm" w:colFirst="0" w:colLast="0"/>
      <w:bookmarkStart w:id="432" w:name="_Toc201572459"/>
      <w:bookmarkStart w:id="433" w:name="_Toc207195977"/>
      <w:bookmarkEnd w:id="431"/>
      <w:r>
        <w:t>Health</w:t>
      </w:r>
      <w:bookmarkEnd w:id="432"/>
      <w:bookmarkEnd w:id="433"/>
    </w:p>
    <w:p w14:paraId="5F64D05E" w14:textId="77777777" w:rsidR="00DB689D" w:rsidRDefault="00310A10" w:rsidP="00367A8D">
      <w:pPr>
        <w:spacing w:line="360" w:lineRule="auto"/>
      </w:pPr>
      <w:r>
        <w:t xml:space="preserve"> </w:t>
      </w:r>
    </w:p>
    <w:p w14:paraId="399A9498" w14:textId="0BEF6C65" w:rsidR="00DB689D" w:rsidRDefault="00310A10" w:rsidP="00367A8D">
      <w:pPr>
        <w:spacing w:line="360" w:lineRule="auto"/>
      </w:pPr>
      <w:r>
        <w:t xml:space="preserve">Health impacts are a significant domain of harm </w:t>
      </w:r>
      <w:r w:rsidR="0038398B">
        <w:rPr>
          <w:noProof/>
          <w:color w:val="000000"/>
        </w:rPr>
        <w:t>(Langham et al., 2016)</w:t>
      </w:r>
      <w:r>
        <w:t>. While gambling can have wide-ranging impacts on an individual’s overall health and wellbeing, the following results focus on key measurable aspects where data allows for quantification, such as depression and suicide-related impacts. This section also presents the costs associated with HRQoL impacts, both to the person who gambles and affected others. Finally, an estimation of the costs to the New Zealand health system apportioned to gambling problems is included.</w:t>
      </w:r>
    </w:p>
    <w:p w14:paraId="7A435B04" w14:textId="77777777" w:rsidR="00DB689D" w:rsidRDefault="00310A10" w:rsidP="00367A8D">
      <w:pPr>
        <w:spacing w:line="360" w:lineRule="auto"/>
      </w:pPr>
      <w:r>
        <w:t xml:space="preserve"> </w:t>
      </w:r>
    </w:p>
    <w:p w14:paraId="05079374" w14:textId="77777777" w:rsidR="00DB689D" w:rsidRDefault="00310A10" w:rsidP="00367A8D">
      <w:pPr>
        <w:spacing w:line="360" w:lineRule="auto"/>
      </w:pPr>
      <w:r>
        <w:t>The following cost items are included in this category:</w:t>
      </w:r>
    </w:p>
    <w:p w14:paraId="0EB08B4E" w14:textId="77777777" w:rsidR="00DB689D" w:rsidRDefault="00310A10" w:rsidP="00367A8D">
      <w:pPr>
        <w:numPr>
          <w:ilvl w:val="0"/>
          <w:numId w:val="29"/>
        </w:numPr>
        <w:spacing w:line="360" w:lineRule="auto"/>
      </w:pPr>
      <w:r>
        <w:t>Depression</w:t>
      </w:r>
    </w:p>
    <w:p w14:paraId="25DCF1B9" w14:textId="77777777" w:rsidR="00DB689D" w:rsidRDefault="00310A10" w:rsidP="00367A8D">
      <w:pPr>
        <w:numPr>
          <w:ilvl w:val="0"/>
          <w:numId w:val="29"/>
        </w:numPr>
        <w:spacing w:line="360" w:lineRule="auto"/>
      </w:pPr>
      <w:r>
        <w:t>Suicide attempts</w:t>
      </w:r>
    </w:p>
    <w:p w14:paraId="28321D80" w14:textId="77777777" w:rsidR="00DB689D" w:rsidRDefault="00310A10" w:rsidP="00367A8D">
      <w:pPr>
        <w:numPr>
          <w:ilvl w:val="0"/>
          <w:numId w:val="29"/>
        </w:numPr>
        <w:spacing w:line="360" w:lineRule="auto"/>
      </w:pPr>
      <w:r>
        <w:t>Fatality by suicide</w:t>
      </w:r>
    </w:p>
    <w:p w14:paraId="25A2826E" w14:textId="77777777" w:rsidR="00DB689D" w:rsidRDefault="00310A10" w:rsidP="00367A8D">
      <w:pPr>
        <w:numPr>
          <w:ilvl w:val="0"/>
          <w:numId w:val="29"/>
        </w:numPr>
        <w:spacing w:line="360" w:lineRule="auto"/>
      </w:pPr>
      <w:r>
        <w:t>HRQoL impact of gambling harm</w:t>
      </w:r>
    </w:p>
    <w:p w14:paraId="66728203" w14:textId="77777777" w:rsidR="00DB689D" w:rsidRDefault="00310A10" w:rsidP="00367A8D">
      <w:pPr>
        <w:numPr>
          <w:ilvl w:val="0"/>
          <w:numId w:val="29"/>
        </w:numPr>
        <w:spacing w:line="360" w:lineRule="auto"/>
      </w:pPr>
      <w:r>
        <w:t>New Zealand health system</w:t>
      </w:r>
    </w:p>
    <w:p w14:paraId="51F294F1" w14:textId="77777777" w:rsidR="00DB689D" w:rsidRDefault="00310A10" w:rsidP="00367A8D">
      <w:pPr>
        <w:spacing w:line="360" w:lineRule="auto"/>
        <w:rPr>
          <w:highlight w:val="yellow"/>
        </w:rPr>
      </w:pPr>
      <w:r>
        <w:t xml:space="preserve"> </w:t>
      </w:r>
    </w:p>
    <w:p w14:paraId="6248B1F2" w14:textId="77777777" w:rsidR="00DB689D" w:rsidRDefault="00310A10" w:rsidP="00C30E1A">
      <w:pPr>
        <w:pStyle w:val="Heading3"/>
      </w:pPr>
      <w:bookmarkStart w:id="434" w:name="_wyonmj5spus1" w:colFirst="0" w:colLast="0"/>
      <w:bookmarkStart w:id="435" w:name="_Toc201572460"/>
      <w:bookmarkStart w:id="436" w:name="_Toc207195978"/>
      <w:bookmarkEnd w:id="434"/>
      <w:r>
        <w:t>Depression</w:t>
      </w:r>
      <w:bookmarkEnd w:id="435"/>
      <w:bookmarkEnd w:id="436"/>
    </w:p>
    <w:p w14:paraId="19DF8D4C" w14:textId="77777777" w:rsidR="00DB689D" w:rsidRDefault="00310A10" w:rsidP="00367A8D">
      <w:pPr>
        <w:spacing w:before="120" w:after="240" w:line="360" w:lineRule="auto"/>
      </w:pPr>
      <w:r>
        <w:t xml:space="preserve">The costs of experiences of depression due to gambling were categorised into two areas:  </w:t>
      </w:r>
    </w:p>
    <w:p w14:paraId="303C642B" w14:textId="77777777" w:rsidR="00DB689D" w:rsidRDefault="00310A10" w:rsidP="00367A8D">
      <w:pPr>
        <w:numPr>
          <w:ilvl w:val="0"/>
          <w:numId w:val="31"/>
        </w:numPr>
        <w:spacing w:before="120" w:line="360" w:lineRule="auto"/>
        <w:ind w:right="280"/>
      </w:pPr>
      <w:r>
        <w:t xml:space="preserve">Emotional impact on the person who gambles </w:t>
      </w:r>
    </w:p>
    <w:p w14:paraId="17DB8B02" w14:textId="77777777" w:rsidR="00DB689D" w:rsidRDefault="00310A10" w:rsidP="00367A8D">
      <w:pPr>
        <w:numPr>
          <w:ilvl w:val="0"/>
          <w:numId w:val="31"/>
        </w:numPr>
        <w:spacing w:after="240" w:line="360" w:lineRule="auto"/>
      </w:pPr>
      <w:r>
        <w:t xml:space="preserve">Out of pocket costs associated with depression </w:t>
      </w:r>
    </w:p>
    <w:p w14:paraId="5C7086D8" w14:textId="34D6AFAE" w:rsidR="00DB689D" w:rsidRDefault="00310A10" w:rsidP="00367A8D">
      <w:pPr>
        <w:spacing w:line="360" w:lineRule="auto"/>
      </w:pPr>
      <w:r>
        <w:t xml:space="preserve">There are strong links between gambling problems and depressive symptoms. In a systematic review and meta-analysis of population surveys, Lorains et al. </w:t>
      </w:r>
      <w:r w:rsidR="0038398B">
        <w:rPr>
          <w:noProof/>
          <w:color w:val="000000"/>
        </w:rPr>
        <w:t>(2011)</w:t>
      </w:r>
      <w:r>
        <w:t xml:space="preserve"> found that 37.9% of individuals classified as problem or pathological gambling experienced a mood disorder. Among people who seek treatment for gambling problems, approximately 23.1% were reported to have a current mood disorder </w:t>
      </w:r>
      <w:r w:rsidR="00DB2449">
        <w:rPr>
          <w:noProof/>
          <w:color w:val="000000"/>
        </w:rPr>
        <w:t>(Dowling et al., 2015b)</w:t>
      </w:r>
      <w:r>
        <w:t xml:space="preserve">. In New Zealand, people classified as problem gambling report higher rates of depression than people who do not gamble or people classified as non-problem gambling </w:t>
      </w:r>
      <w:r w:rsidR="0038398B">
        <w:rPr>
          <w:noProof/>
          <w:color w:val="000000"/>
        </w:rPr>
        <w:t>(Abbott et al., 2014)</w:t>
      </w:r>
      <w:r>
        <w:t>.</w:t>
      </w:r>
    </w:p>
    <w:p w14:paraId="63F1F25F" w14:textId="77777777" w:rsidR="00DB689D" w:rsidRDefault="00DB689D" w:rsidP="00367A8D">
      <w:pPr>
        <w:spacing w:line="360" w:lineRule="auto"/>
      </w:pPr>
    </w:p>
    <w:p w14:paraId="53EC018C" w14:textId="347C7E7D" w:rsidR="00DB689D" w:rsidRDefault="00310A10" w:rsidP="00367A8D">
      <w:pPr>
        <w:spacing w:line="360" w:lineRule="auto"/>
      </w:pPr>
      <w:r>
        <w:t>Not all people receive professional treatment for depression symptoms. Only a small proportion reach out for support. This may be due to many reasons, including, as identified in the Community Consultation</w:t>
      </w:r>
      <w:r w:rsidR="0027187C">
        <w:t xml:space="preserve"> (Chapter 4)</w:t>
      </w:r>
      <w:r>
        <w:t xml:space="preserve">, issues in being able to afford treatment. Additionally, a rise in demand for mental health support in New Zealand has left the system’s funding, staffing and resources stretched </w:t>
      </w:r>
      <w:r w:rsidR="0038398B">
        <w:rPr>
          <w:noProof/>
          <w:color w:val="000000"/>
        </w:rPr>
        <w:t>(Every-Palmer et al., 2024)</w:t>
      </w:r>
      <w:r>
        <w:t xml:space="preserve">. The Report of the Government Inquiry into Mental Health and Addiction </w:t>
      </w:r>
      <w:r w:rsidR="00DB2449">
        <w:rPr>
          <w:noProof/>
          <w:color w:val="000000"/>
        </w:rPr>
        <w:t>(</w:t>
      </w:r>
      <w:r w:rsidR="00DB2449" w:rsidRPr="00DB2449">
        <w:rPr>
          <w:i/>
          <w:noProof/>
          <w:color w:val="000000"/>
        </w:rPr>
        <w:t>He Ara oranga: Report of the government inquiry into mental health and addiction</w:t>
      </w:r>
      <w:r w:rsidR="00DB2449">
        <w:rPr>
          <w:noProof/>
          <w:color w:val="000000"/>
        </w:rPr>
        <w:t>, 2018)</w:t>
      </w:r>
      <w:r>
        <w:t xml:space="preserve"> estimated that between 35% and 50% of New Zealanders with a mental illness receive no treatment. Similarly, only 45.1% of Australians with a mental health disorder saw a health professional for their condition, this figure was lower for males (36.4%) than females (51.1%) </w:t>
      </w:r>
      <w:r w:rsidR="0038398B">
        <w:rPr>
          <w:noProof/>
          <w:color w:val="000000"/>
        </w:rPr>
        <w:t>(Australian Bureau of Statistics, 2023)</w:t>
      </w:r>
      <w:r>
        <w:t>. Given that problem gambling is more prevalent among males, who are less likely to seek treatment, adopting the lower end of the treatment-seeking spectrum (35%) was determined to be a conservative estimate for this costing.</w:t>
      </w:r>
    </w:p>
    <w:p w14:paraId="20044C4D" w14:textId="77777777" w:rsidR="00DB689D" w:rsidRDefault="00DB689D" w:rsidP="00367A8D">
      <w:pPr>
        <w:spacing w:line="360" w:lineRule="auto"/>
      </w:pPr>
    </w:p>
    <w:p w14:paraId="5FEFE3C9" w14:textId="1551C9F9" w:rsidR="00DB689D" w:rsidRDefault="00310A10" w:rsidP="00367A8D">
      <w:pPr>
        <w:spacing w:line="360" w:lineRule="auto"/>
      </w:pPr>
      <w:r>
        <w:t xml:space="preserve">Beyond psychological impacts, there are substantial financial costs related to mental health treatment. The Productivity Commission report on Mental Health in Australia </w:t>
      </w:r>
      <w:r w:rsidR="00DB2449">
        <w:rPr>
          <w:noProof/>
          <w:color w:val="000000"/>
        </w:rPr>
        <w:t>(2020)</w:t>
      </w:r>
      <w:r>
        <w:t xml:space="preserve"> highlighted significant out-of-pocket expenses, estimating these at A$700 million for individuals affected by mental health issues. </w:t>
      </w:r>
      <w:r w:rsidR="00864453" w:rsidRPr="00864453">
        <w:t>In the context of the report, these are the costs paid directly by individuals for government-subsidised medical services (MBS) and pharmaceuticals (PBS), and are calculated separately from costs covered by private health insurance.</w:t>
      </w:r>
      <w:r w:rsidR="00864453">
        <w:t xml:space="preserve"> </w:t>
      </w:r>
      <w:r>
        <w:t>An Australian study examining out-of-pocket costs associated with a mental health disorder found</w:t>
      </w:r>
      <w:r w:rsidR="00124393">
        <w:t xml:space="preserve"> that</w:t>
      </w:r>
      <w:r>
        <w:t xml:space="preserve"> on average people spent A$1,030 over a twelve-month period </w:t>
      </w:r>
      <w:r w:rsidR="0038398B">
        <w:rPr>
          <w:noProof/>
          <w:color w:val="000000"/>
        </w:rPr>
        <w:t>(McIntyre et al., 2021)</w:t>
      </w:r>
      <w:r>
        <w:t xml:space="preserve">. Of this total amount, A$618 of this was spent on medical practitioners (doctors, specialists, counsellors), A$200 on pharmaceuticals (prescription and </w:t>
      </w:r>
      <w:r w:rsidR="0027187C">
        <w:t>over the counter</w:t>
      </w:r>
      <w:r>
        <w:t xml:space="preserve">), while the remainder was spent on complementary practitioners. As there was no available data on out-of-pocket costs associated with depression in New Zealand, the average cost per person in Australia was converted into New Zealand dollars using OECD purchasing power parities </w:t>
      </w:r>
      <w:r w:rsidR="0038398B">
        <w:rPr>
          <w:noProof/>
          <w:color w:val="000000"/>
        </w:rPr>
        <w:t>(OECD, 2022)</w:t>
      </w:r>
      <w:r>
        <w:t xml:space="preserve">. </w:t>
      </w:r>
    </w:p>
    <w:p w14:paraId="1102909B" w14:textId="77777777" w:rsidR="00DB689D" w:rsidRDefault="00DB689D" w:rsidP="00367A8D">
      <w:pPr>
        <w:spacing w:line="360" w:lineRule="auto"/>
      </w:pPr>
    </w:p>
    <w:tbl>
      <w:tblPr>
        <w:tblStyle w:val="a8"/>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B689D" w14:paraId="3C654EB8" w14:textId="77777777">
        <w:tc>
          <w:tcPr>
            <w:tcW w:w="9026" w:type="dxa"/>
            <w:shd w:val="clear" w:color="auto" w:fill="F3F3F3"/>
            <w:tcMar>
              <w:top w:w="100" w:type="dxa"/>
              <w:left w:w="100" w:type="dxa"/>
              <w:bottom w:w="100" w:type="dxa"/>
              <w:right w:w="100" w:type="dxa"/>
            </w:tcMar>
          </w:tcPr>
          <w:p w14:paraId="2A724414" w14:textId="77777777" w:rsidR="00DB689D" w:rsidRDefault="00310A10" w:rsidP="00843927">
            <w:pPr>
              <w:spacing w:before="120" w:after="240" w:line="276" w:lineRule="auto"/>
            </w:pPr>
            <w:r>
              <w:t xml:space="preserve">The economic impact of depression associated with gambling problems was calculated using: </w:t>
            </w:r>
          </w:p>
          <w:p w14:paraId="7CAA8ED3" w14:textId="77777777" w:rsidR="00DB689D" w:rsidRDefault="00310A10" w:rsidP="00843927">
            <w:pPr>
              <w:spacing w:before="120" w:after="120" w:line="276" w:lineRule="auto"/>
              <w:ind w:right="280"/>
            </w:pPr>
            <w:r>
              <w:rPr>
                <w:i/>
              </w:rPr>
              <w:t>Prevalence</w:t>
            </w:r>
            <w:r>
              <w:t xml:space="preserve"> </w:t>
            </w:r>
          </w:p>
          <w:p w14:paraId="36363382" w14:textId="170E5563" w:rsidR="00DB689D" w:rsidRDefault="00310A10" w:rsidP="00843927">
            <w:pPr>
              <w:numPr>
                <w:ilvl w:val="0"/>
                <w:numId w:val="42"/>
              </w:numPr>
              <w:spacing w:before="120" w:line="276" w:lineRule="auto"/>
              <w:ind w:right="280"/>
            </w:pPr>
            <w:r>
              <w:t xml:space="preserve">The percentage of people who gamble who experienced an increase in depression due to their gambling was sourced from the </w:t>
            </w:r>
            <w:r>
              <w:rPr>
                <w:i/>
              </w:rPr>
              <w:t>Measuring the Burden of Gambling Harm in New Zealand Survey Report</w:t>
            </w:r>
            <w:r>
              <w:t xml:space="preserve"> </w:t>
            </w:r>
            <w:r w:rsidR="00DB2449">
              <w:rPr>
                <w:noProof/>
                <w:color w:val="000000"/>
              </w:rPr>
              <w:t>(</w:t>
            </w:r>
            <w:r w:rsidR="002A3095">
              <w:rPr>
                <w:noProof/>
                <w:color w:val="000000"/>
              </w:rPr>
              <w:t>Browne, Greer et al., 2017</w:t>
            </w:r>
            <w:r w:rsidR="00DB2449">
              <w:rPr>
                <w:noProof/>
                <w:color w:val="000000"/>
              </w:rPr>
              <w:t>)</w:t>
            </w:r>
            <w:r>
              <w:t xml:space="preserve">. </w:t>
            </w:r>
          </w:p>
          <w:p w14:paraId="5862C9A2" w14:textId="77777777" w:rsidR="00DB689D" w:rsidRDefault="00310A10" w:rsidP="00843927">
            <w:pPr>
              <w:numPr>
                <w:ilvl w:val="0"/>
                <w:numId w:val="42"/>
              </w:numPr>
              <w:spacing w:line="276" w:lineRule="auto"/>
              <w:ind w:right="280"/>
            </w:pPr>
            <w:r>
              <w:t xml:space="preserve">These percentages were projected onto the number of New Zealanders in each of the PGSI risk categories (NZGS, 2023) to get a total number of New Zealanders experiencing an increase in depression due to their gambling. </w:t>
            </w:r>
          </w:p>
          <w:p w14:paraId="60DE29A9" w14:textId="126F1DB8" w:rsidR="00DB689D" w:rsidRDefault="00310A10" w:rsidP="00843927">
            <w:pPr>
              <w:numPr>
                <w:ilvl w:val="0"/>
                <w:numId w:val="42"/>
              </w:numPr>
              <w:spacing w:line="276" w:lineRule="auto"/>
              <w:ind w:right="280"/>
            </w:pPr>
            <w:r>
              <w:t xml:space="preserve">A 20% causality discount was applied as per the Australian Productivity Commission </w:t>
            </w:r>
            <w:r w:rsidR="0038398B">
              <w:rPr>
                <w:noProof/>
                <w:color w:val="000000"/>
              </w:rPr>
              <w:t>(1999)</w:t>
            </w:r>
            <w:r>
              <w:t xml:space="preserve">. </w:t>
            </w:r>
          </w:p>
          <w:p w14:paraId="45F1221E" w14:textId="2F4697FA" w:rsidR="00DB689D" w:rsidRDefault="00310A10" w:rsidP="00843927">
            <w:pPr>
              <w:numPr>
                <w:ilvl w:val="0"/>
                <w:numId w:val="42"/>
              </w:numPr>
              <w:spacing w:after="120" w:line="276" w:lineRule="auto"/>
              <w:ind w:right="280"/>
            </w:pPr>
            <w:r>
              <w:t xml:space="preserve">The number of people experiencing increased depression was multiplied by 35% accounting for the proportion that were likely to receive professional treatment </w:t>
            </w:r>
            <w:r w:rsidR="0038398B">
              <w:rPr>
                <w:noProof/>
                <w:color w:val="000000"/>
              </w:rPr>
              <w:t xml:space="preserve">(Australian Bureau of Statistics, 2023; </w:t>
            </w:r>
            <w:r w:rsidR="0038398B" w:rsidRPr="0038398B">
              <w:rPr>
                <w:i/>
                <w:noProof/>
                <w:color w:val="000000"/>
              </w:rPr>
              <w:t>He Ara oranga: Report of the government inquiry into mental health and addiction</w:t>
            </w:r>
            <w:r w:rsidR="0038398B">
              <w:rPr>
                <w:noProof/>
                <w:color w:val="000000"/>
              </w:rPr>
              <w:t>, 2018</w:t>
            </w:r>
            <w:r w:rsidR="004D5F67">
              <w:rPr>
                <w:noProof/>
                <w:color w:val="000000"/>
              </w:rPr>
              <w:t>)</w:t>
            </w:r>
            <w:r w:rsidR="004D5F67">
              <w:t>.</w:t>
            </w:r>
            <w:r>
              <w:t xml:space="preserve"> </w:t>
            </w:r>
          </w:p>
          <w:p w14:paraId="4EB6BE0D" w14:textId="77777777" w:rsidR="00DB689D" w:rsidRDefault="00310A10" w:rsidP="00843927">
            <w:pPr>
              <w:spacing w:before="120" w:after="120" w:line="276" w:lineRule="auto"/>
              <w:ind w:right="280"/>
            </w:pPr>
            <w:r>
              <w:rPr>
                <w:i/>
              </w:rPr>
              <w:t>Emotional harm</w:t>
            </w:r>
            <w:r>
              <w:t xml:space="preserve"> </w:t>
            </w:r>
          </w:p>
          <w:p w14:paraId="53A5DACE" w14:textId="7F9B5EC3" w:rsidR="00DB689D" w:rsidRDefault="00310A10" w:rsidP="00843927">
            <w:pPr>
              <w:numPr>
                <w:ilvl w:val="0"/>
                <w:numId w:val="42"/>
              </w:numPr>
              <w:spacing w:before="120" w:after="120" w:line="276" w:lineRule="auto"/>
              <w:ind w:right="280"/>
            </w:pPr>
            <w:r>
              <w:t xml:space="preserve">A cost of $10,000 </w:t>
            </w:r>
            <w:r w:rsidR="0038398B">
              <w:rPr>
                <w:noProof/>
                <w:color w:val="000000"/>
              </w:rPr>
              <w:t>(Warburton, 2021)</w:t>
            </w:r>
            <w:r>
              <w:t xml:space="preserve"> was used as a proxy for emotional harm.</w:t>
            </w:r>
          </w:p>
          <w:p w14:paraId="1CC7E1C3" w14:textId="77777777" w:rsidR="00DB689D" w:rsidRDefault="00310A10" w:rsidP="00843927">
            <w:pPr>
              <w:spacing w:before="120" w:after="120" w:line="276" w:lineRule="auto"/>
              <w:ind w:right="280"/>
            </w:pPr>
            <w:r>
              <w:rPr>
                <w:i/>
              </w:rPr>
              <w:t>Out of pocket costs</w:t>
            </w:r>
            <w:r>
              <w:t xml:space="preserve"> </w:t>
            </w:r>
          </w:p>
          <w:p w14:paraId="3B2CAFE9" w14:textId="31DFF844" w:rsidR="00DB689D" w:rsidRDefault="00310A10" w:rsidP="00843927">
            <w:pPr>
              <w:numPr>
                <w:ilvl w:val="0"/>
                <w:numId w:val="42"/>
              </w:numPr>
              <w:spacing w:before="120" w:after="120" w:line="276" w:lineRule="auto"/>
              <w:ind w:right="280"/>
            </w:pPr>
            <w:r>
              <w:t xml:space="preserve">An amount of A$818 representing out-of-pocket medical practitioner and pharmaceutical costs </w:t>
            </w:r>
            <w:r w:rsidR="0038398B">
              <w:rPr>
                <w:noProof/>
                <w:color w:val="000000"/>
              </w:rPr>
              <w:t>(McIntyre et al., 2021)</w:t>
            </w:r>
            <w:r>
              <w:t xml:space="preserve"> was converted into New Zealand dollars </w:t>
            </w:r>
            <w:r>
              <w:rPr>
                <w:color w:val="0E101A"/>
              </w:rPr>
              <w:t xml:space="preserve">OECD purchasing power parities </w:t>
            </w:r>
            <w:r w:rsidR="0038398B">
              <w:rPr>
                <w:noProof/>
                <w:color w:val="000000"/>
              </w:rPr>
              <w:t>(OECD, 2022)</w:t>
            </w:r>
            <w:r>
              <w:rPr>
                <w:color w:val="0E101A"/>
              </w:rPr>
              <w:t>. This calculation resulted in out-of-pocket costs of $865.85</w:t>
            </w:r>
            <w:r>
              <w:t xml:space="preserve"> (2017) which was inflated to a 2024 value of $1,097.03. </w:t>
            </w:r>
          </w:p>
        </w:tc>
      </w:tr>
    </w:tbl>
    <w:p w14:paraId="1589B0DA" w14:textId="77777777" w:rsidR="00DB689D" w:rsidRDefault="00DB689D" w:rsidP="00367A8D">
      <w:pPr>
        <w:spacing w:line="360" w:lineRule="auto"/>
        <w:rPr>
          <w:b/>
        </w:rPr>
      </w:pPr>
    </w:p>
    <w:p w14:paraId="06599288" w14:textId="58B54EF1" w:rsidR="00A0657F" w:rsidRDefault="00310A10" w:rsidP="00A0657F">
      <w:pPr>
        <w:spacing w:before="120" w:after="240" w:line="360" w:lineRule="auto"/>
      </w:pPr>
      <w:r>
        <w:t>T</w:t>
      </w:r>
      <w:r>
        <w:rPr>
          <w:b/>
        </w:rPr>
        <w:t>he estimated cost associated with depression associated with gambling problems (experienced by the person who gambles) in New Zealand is around $61 million</w:t>
      </w:r>
      <w:r w:rsidR="0027187C">
        <w:rPr>
          <w:b/>
        </w:rPr>
        <w:t xml:space="preserve"> (Table 1</w:t>
      </w:r>
      <w:r w:rsidR="001D7B0D">
        <w:rPr>
          <w:b/>
        </w:rPr>
        <w:t>7</w:t>
      </w:r>
      <w:r w:rsidR="0027187C">
        <w:rPr>
          <w:b/>
        </w:rPr>
        <w:t>)</w:t>
      </w:r>
      <w:r>
        <w:t>. This includes both the emotional distress experienced by those affected and their out-of-pocket treatment costs.</w:t>
      </w:r>
    </w:p>
    <w:p w14:paraId="35572913" w14:textId="77777777" w:rsidR="00A0657F" w:rsidRDefault="00A0657F" w:rsidP="00A0657F">
      <w:pPr>
        <w:spacing w:line="360" w:lineRule="auto"/>
      </w:pPr>
      <w:r>
        <w:t xml:space="preserve">To reflect uncertainty, a lower and upper bound were applied. The lower bound reduces all items by 5% to account for potential sampling variation in the underlying prevalence data. The upper bound uses a different method to value emotional distress. Specifically, it applies a proxy based on YLD for moderate depression, obtained from the Global Burden of Disease disability weights </w:t>
      </w:r>
      <w:r>
        <w:rPr>
          <w:noProof/>
          <w:color w:val="000000"/>
        </w:rPr>
        <w:t>(Global Burden of Disease Collaborative Network, 2024)</w:t>
      </w:r>
      <w:r>
        <w:t>. This health decrement (0.40) reflects symptoms such as persistent sadness, functional impairment, sleep disruption, and difficulty concentrating. The corresponding value per YLD is set at New Zealand’s GDP per capita ($78,613), resulting in an upper-bound emotional distress proxy of $31,445 (GDP x 0.40).</w:t>
      </w:r>
    </w:p>
    <w:p w14:paraId="6BCF842F" w14:textId="77777777" w:rsidR="00A0657F" w:rsidRDefault="00A0657F" w:rsidP="00A0657F">
      <w:pPr>
        <w:spacing w:line="360" w:lineRule="auto"/>
      </w:pPr>
    </w:p>
    <w:p w14:paraId="130EE774" w14:textId="77777777" w:rsidR="00A0657F" w:rsidRDefault="00A0657F" w:rsidP="00A0657F">
      <w:pPr>
        <w:spacing w:line="360" w:lineRule="auto"/>
      </w:pPr>
      <w:r>
        <w:t>Using these assumptions, the estimated cost of gambling-related depression in New Zealand ranges from $58 million to $179 million. This wide range reflects variation in the valuation of emotional harm and limitations in available data. It should be noted that this estimate is likely conservative. It does not include impacts to affected others and uses a relatively cautious treatment-seeking rate.</w:t>
      </w:r>
    </w:p>
    <w:p w14:paraId="05E69559" w14:textId="77777777" w:rsidR="008D72BB" w:rsidRDefault="008D72BB" w:rsidP="00A0657F">
      <w:pPr>
        <w:spacing w:line="360" w:lineRule="auto"/>
      </w:pPr>
    </w:p>
    <w:p w14:paraId="5E26ECD5" w14:textId="57A8182D" w:rsidR="0027187C" w:rsidRDefault="0027187C" w:rsidP="00DB094D">
      <w:pPr>
        <w:pStyle w:val="Caption"/>
      </w:pPr>
      <w:bookmarkStart w:id="437" w:name="_Toc207619059"/>
      <w:r>
        <w:t xml:space="preserve">Table </w:t>
      </w:r>
      <w:r>
        <w:fldChar w:fldCharType="begin"/>
      </w:r>
      <w:r>
        <w:instrText xml:space="preserve"> SEQ Table \* ARABIC </w:instrText>
      </w:r>
      <w:r>
        <w:fldChar w:fldCharType="separate"/>
      </w:r>
      <w:r w:rsidR="00986A0D">
        <w:rPr>
          <w:noProof/>
        </w:rPr>
        <w:t>17</w:t>
      </w:r>
      <w:r>
        <w:fldChar w:fldCharType="end"/>
      </w:r>
      <w:r>
        <w:t xml:space="preserve">. </w:t>
      </w:r>
      <w:r w:rsidRPr="001E2B0A">
        <w:t>Cost of depression due to gambling problems in New Zealand (2023-24)</w:t>
      </w:r>
      <w:bookmarkEnd w:id="437"/>
    </w:p>
    <w:tbl>
      <w:tblPr>
        <w:tblStyle w:val="TableGridLight"/>
        <w:tblW w:w="9634" w:type="dxa"/>
        <w:tblLook w:val="04A0" w:firstRow="1" w:lastRow="0" w:firstColumn="1" w:lastColumn="0" w:noHBand="0" w:noVBand="1"/>
      </w:tblPr>
      <w:tblGrid>
        <w:gridCol w:w="3393"/>
        <w:gridCol w:w="1280"/>
        <w:gridCol w:w="1134"/>
        <w:gridCol w:w="1276"/>
        <w:gridCol w:w="1217"/>
        <w:gridCol w:w="1334"/>
      </w:tblGrid>
      <w:tr w:rsidR="0027187C" w:rsidRPr="008D72BB" w14:paraId="206E3B23" w14:textId="77777777">
        <w:trPr>
          <w:trHeight w:val="397"/>
        </w:trPr>
        <w:tc>
          <w:tcPr>
            <w:tcW w:w="3393" w:type="dxa"/>
            <w:shd w:val="clear" w:color="auto" w:fill="F2F2F2" w:themeFill="background1" w:themeFillShade="F2"/>
            <w:vAlign w:val="center"/>
            <w:hideMark/>
          </w:tcPr>
          <w:p w14:paraId="16588664" w14:textId="77777777" w:rsidR="0027187C" w:rsidRPr="008D72BB" w:rsidRDefault="0027187C">
            <w:pPr>
              <w:spacing w:line="276" w:lineRule="auto"/>
              <w:rPr>
                <w:b/>
                <w:bCs/>
                <w:color w:val="000000"/>
                <w:sz w:val="20"/>
                <w:szCs w:val="20"/>
              </w:rPr>
            </w:pPr>
            <w:r w:rsidRPr="008D72BB">
              <w:rPr>
                <w:b/>
                <w:bCs/>
                <w:color w:val="000000"/>
                <w:sz w:val="20"/>
                <w:szCs w:val="20"/>
              </w:rPr>
              <w:t>Variable</w:t>
            </w:r>
          </w:p>
        </w:tc>
        <w:tc>
          <w:tcPr>
            <w:tcW w:w="1280" w:type="dxa"/>
            <w:shd w:val="clear" w:color="auto" w:fill="F2F2F2" w:themeFill="background1" w:themeFillShade="F2"/>
            <w:vAlign w:val="center"/>
            <w:hideMark/>
          </w:tcPr>
          <w:p w14:paraId="5D286A17" w14:textId="77777777" w:rsidR="0027187C" w:rsidRPr="008D72BB" w:rsidRDefault="0027187C">
            <w:pPr>
              <w:spacing w:line="276" w:lineRule="auto"/>
              <w:jc w:val="center"/>
              <w:rPr>
                <w:b/>
                <w:bCs/>
                <w:color w:val="000000"/>
                <w:sz w:val="20"/>
                <w:szCs w:val="20"/>
              </w:rPr>
            </w:pPr>
            <w:r w:rsidRPr="008D72BB">
              <w:rPr>
                <w:b/>
                <w:bCs/>
                <w:color w:val="000000"/>
                <w:sz w:val="20"/>
                <w:szCs w:val="20"/>
              </w:rPr>
              <w:t>Calculation</w:t>
            </w:r>
          </w:p>
        </w:tc>
        <w:tc>
          <w:tcPr>
            <w:tcW w:w="1134" w:type="dxa"/>
            <w:shd w:val="clear" w:color="auto" w:fill="F2F2F2" w:themeFill="background1" w:themeFillShade="F2"/>
            <w:vAlign w:val="center"/>
            <w:hideMark/>
          </w:tcPr>
          <w:p w14:paraId="727AE44C" w14:textId="77777777" w:rsidR="0027187C" w:rsidRPr="008D72BB" w:rsidRDefault="0027187C">
            <w:pPr>
              <w:spacing w:line="276" w:lineRule="auto"/>
              <w:jc w:val="center"/>
              <w:rPr>
                <w:b/>
                <w:bCs/>
                <w:color w:val="000000"/>
                <w:sz w:val="20"/>
                <w:szCs w:val="20"/>
              </w:rPr>
            </w:pPr>
            <w:r w:rsidRPr="008D72BB">
              <w:rPr>
                <w:b/>
                <w:bCs/>
                <w:color w:val="000000"/>
                <w:sz w:val="20"/>
                <w:szCs w:val="20"/>
              </w:rPr>
              <w:t>LR</w:t>
            </w:r>
          </w:p>
        </w:tc>
        <w:tc>
          <w:tcPr>
            <w:tcW w:w="1276" w:type="dxa"/>
            <w:shd w:val="clear" w:color="auto" w:fill="F2F2F2" w:themeFill="background1" w:themeFillShade="F2"/>
            <w:vAlign w:val="center"/>
            <w:hideMark/>
          </w:tcPr>
          <w:p w14:paraId="6F951FAF" w14:textId="77777777" w:rsidR="0027187C" w:rsidRPr="008D72BB" w:rsidRDefault="0027187C">
            <w:pPr>
              <w:spacing w:line="276" w:lineRule="auto"/>
              <w:jc w:val="center"/>
              <w:rPr>
                <w:b/>
                <w:bCs/>
                <w:color w:val="000000"/>
                <w:sz w:val="20"/>
                <w:szCs w:val="20"/>
              </w:rPr>
            </w:pPr>
            <w:r w:rsidRPr="008D72BB">
              <w:rPr>
                <w:b/>
                <w:bCs/>
                <w:color w:val="000000"/>
                <w:sz w:val="20"/>
                <w:szCs w:val="20"/>
              </w:rPr>
              <w:t>MR</w:t>
            </w:r>
          </w:p>
        </w:tc>
        <w:tc>
          <w:tcPr>
            <w:tcW w:w="1217" w:type="dxa"/>
            <w:shd w:val="clear" w:color="auto" w:fill="F2F2F2" w:themeFill="background1" w:themeFillShade="F2"/>
            <w:vAlign w:val="center"/>
            <w:hideMark/>
          </w:tcPr>
          <w:p w14:paraId="46ED61F4" w14:textId="77777777" w:rsidR="0027187C" w:rsidRPr="008D72BB" w:rsidRDefault="0027187C">
            <w:pPr>
              <w:spacing w:line="276" w:lineRule="auto"/>
              <w:jc w:val="center"/>
              <w:rPr>
                <w:b/>
                <w:bCs/>
                <w:color w:val="000000"/>
                <w:sz w:val="20"/>
                <w:szCs w:val="20"/>
              </w:rPr>
            </w:pPr>
            <w:r w:rsidRPr="008D72BB">
              <w:rPr>
                <w:b/>
                <w:bCs/>
                <w:color w:val="000000"/>
                <w:sz w:val="20"/>
                <w:szCs w:val="20"/>
              </w:rPr>
              <w:t>PG</w:t>
            </w:r>
          </w:p>
        </w:tc>
        <w:tc>
          <w:tcPr>
            <w:tcW w:w="1334" w:type="dxa"/>
            <w:shd w:val="clear" w:color="auto" w:fill="F2F2F2" w:themeFill="background1" w:themeFillShade="F2"/>
            <w:vAlign w:val="center"/>
            <w:hideMark/>
          </w:tcPr>
          <w:p w14:paraId="1BD39E57" w14:textId="77777777" w:rsidR="0027187C" w:rsidRPr="008D72BB" w:rsidRDefault="0027187C">
            <w:pPr>
              <w:spacing w:line="276" w:lineRule="auto"/>
              <w:jc w:val="center"/>
              <w:rPr>
                <w:b/>
                <w:bCs/>
                <w:color w:val="000000"/>
                <w:sz w:val="20"/>
                <w:szCs w:val="20"/>
              </w:rPr>
            </w:pPr>
            <w:r w:rsidRPr="008D72BB">
              <w:rPr>
                <w:b/>
                <w:bCs/>
                <w:color w:val="000000"/>
                <w:sz w:val="20"/>
                <w:szCs w:val="20"/>
              </w:rPr>
              <w:t>Total Gambling Problems</w:t>
            </w:r>
          </w:p>
        </w:tc>
      </w:tr>
      <w:tr w:rsidR="0027187C" w:rsidRPr="008D72BB" w14:paraId="0940ADA7" w14:textId="77777777">
        <w:trPr>
          <w:trHeight w:val="397"/>
        </w:trPr>
        <w:tc>
          <w:tcPr>
            <w:tcW w:w="3393" w:type="dxa"/>
            <w:vAlign w:val="center"/>
            <w:hideMark/>
          </w:tcPr>
          <w:p w14:paraId="3FDF64CA" w14:textId="77777777" w:rsidR="0027187C" w:rsidRPr="008D72BB" w:rsidRDefault="0027187C">
            <w:pPr>
              <w:spacing w:line="276" w:lineRule="auto"/>
              <w:rPr>
                <w:color w:val="000000"/>
                <w:sz w:val="20"/>
                <w:szCs w:val="20"/>
              </w:rPr>
            </w:pPr>
            <w:r w:rsidRPr="008D72BB">
              <w:rPr>
                <w:color w:val="000000"/>
                <w:sz w:val="20"/>
                <w:szCs w:val="20"/>
              </w:rPr>
              <w:t>New Zealand population by PGSI</w:t>
            </w:r>
          </w:p>
        </w:tc>
        <w:tc>
          <w:tcPr>
            <w:tcW w:w="1280" w:type="dxa"/>
            <w:noWrap/>
            <w:vAlign w:val="center"/>
            <w:hideMark/>
          </w:tcPr>
          <w:p w14:paraId="782A6043" w14:textId="77777777" w:rsidR="0027187C" w:rsidRPr="008D72BB" w:rsidRDefault="0027187C">
            <w:pPr>
              <w:spacing w:line="276" w:lineRule="auto"/>
              <w:rPr>
                <w:color w:val="000000"/>
                <w:sz w:val="20"/>
                <w:szCs w:val="20"/>
              </w:rPr>
            </w:pPr>
            <w:r w:rsidRPr="008D72BB">
              <w:rPr>
                <w:color w:val="000000"/>
                <w:sz w:val="20"/>
                <w:szCs w:val="20"/>
              </w:rPr>
              <w:t>n</w:t>
            </w:r>
          </w:p>
        </w:tc>
        <w:tc>
          <w:tcPr>
            <w:tcW w:w="1134" w:type="dxa"/>
            <w:vAlign w:val="center"/>
            <w:hideMark/>
          </w:tcPr>
          <w:p w14:paraId="0CBBE41A" w14:textId="77777777" w:rsidR="0027187C" w:rsidRPr="008D72BB" w:rsidRDefault="0027187C">
            <w:pPr>
              <w:spacing w:line="276" w:lineRule="auto"/>
              <w:jc w:val="right"/>
              <w:rPr>
                <w:color w:val="000000"/>
                <w:sz w:val="20"/>
                <w:szCs w:val="20"/>
              </w:rPr>
            </w:pPr>
            <w:r w:rsidRPr="008D72BB">
              <w:rPr>
                <w:color w:val="000000"/>
                <w:sz w:val="20"/>
                <w:szCs w:val="20"/>
              </w:rPr>
              <w:t>255,318</w:t>
            </w:r>
          </w:p>
        </w:tc>
        <w:tc>
          <w:tcPr>
            <w:tcW w:w="1276" w:type="dxa"/>
            <w:vAlign w:val="center"/>
            <w:hideMark/>
          </w:tcPr>
          <w:p w14:paraId="1F2A735E" w14:textId="77777777" w:rsidR="0027187C" w:rsidRPr="008D72BB" w:rsidRDefault="0027187C">
            <w:pPr>
              <w:spacing w:line="276" w:lineRule="auto"/>
              <w:jc w:val="right"/>
              <w:rPr>
                <w:color w:val="000000"/>
                <w:sz w:val="20"/>
                <w:szCs w:val="20"/>
              </w:rPr>
            </w:pPr>
            <w:r w:rsidRPr="008D72BB">
              <w:rPr>
                <w:color w:val="000000"/>
                <w:sz w:val="20"/>
                <w:szCs w:val="20"/>
              </w:rPr>
              <w:t>83,492</w:t>
            </w:r>
          </w:p>
        </w:tc>
        <w:tc>
          <w:tcPr>
            <w:tcW w:w="1217" w:type="dxa"/>
            <w:vAlign w:val="center"/>
            <w:hideMark/>
          </w:tcPr>
          <w:p w14:paraId="3A98A049" w14:textId="77777777" w:rsidR="0027187C" w:rsidRPr="008D72BB" w:rsidRDefault="0027187C">
            <w:pPr>
              <w:spacing w:line="276" w:lineRule="auto"/>
              <w:jc w:val="right"/>
              <w:rPr>
                <w:color w:val="000000"/>
                <w:sz w:val="20"/>
                <w:szCs w:val="20"/>
              </w:rPr>
            </w:pPr>
            <w:r w:rsidRPr="008D72BB">
              <w:rPr>
                <w:color w:val="000000"/>
                <w:sz w:val="20"/>
                <w:szCs w:val="20"/>
              </w:rPr>
              <w:t>20,436</w:t>
            </w:r>
          </w:p>
        </w:tc>
        <w:tc>
          <w:tcPr>
            <w:tcW w:w="1334" w:type="dxa"/>
            <w:vAlign w:val="center"/>
            <w:hideMark/>
          </w:tcPr>
          <w:p w14:paraId="0C49E0C5" w14:textId="77777777" w:rsidR="0027187C" w:rsidRPr="008D72BB" w:rsidRDefault="0027187C">
            <w:pPr>
              <w:spacing w:line="276" w:lineRule="auto"/>
              <w:jc w:val="right"/>
              <w:rPr>
                <w:color w:val="000000"/>
                <w:sz w:val="20"/>
                <w:szCs w:val="20"/>
              </w:rPr>
            </w:pPr>
            <w:r w:rsidRPr="008D72BB">
              <w:rPr>
                <w:color w:val="000000"/>
                <w:sz w:val="20"/>
                <w:szCs w:val="20"/>
              </w:rPr>
              <w:t>359,246</w:t>
            </w:r>
          </w:p>
        </w:tc>
      </w:tr>
      <w:tr w:rsidR="0027187C" w:rsidRPr="008D72BB" w14:paraId="75D0C21B" w14:textId="77777777">
        <w:trPr>
          <w:trHeight w:val="866"/>
        </w:trPr>
        <w:tc>
          <w:tcPr>
            <w:tcW w:w="3393" w:type="dxa"/>
            <w:vAlign w:val="center"/>
            <w:hideMark/>
          </w:tcPr>
          <w:p w14:paraId="1152891B" w14:textId="77777777" w:rsidR="0027187C" w:rsidRPr="008D72BB" w:rsidRDefault="0027187C">
            <w:pPr>
              <w:spacing w:line="276" w:lineRule="auto"/>
              <w:rPr>
                <w:color w:val="000000"/>
                <w:sz w:val="20"/>
                <w:szCs w:val="20"/>
              </w:rPr>
            </w:pPr>
            <w:r w:rsidRPr="008D72BB">
              <w:rPr>
                <w:color w:val="000000"/>
                <w:sz w:val="20"/>
                <w:szCs w:val="20"/>
              </w:rPr>
              <w:t>Rate (%) of PGSI group whose gambling led them to increased depression (12-month period)</w:t>
            </w:r>
          </w:p>
        </w:tc>
        <w:tc>
          <w:tcPr>
            <w:tcW w:w="1280" w:type="dxa"/>
            <w:vAlign w:val="center"/>
            <w:hideMark/>
          </w:tcPr>
          <w:p w14:paraId="26629572" w14:textId="77777777" w:rsidR="0027187C" w:rsidRPr="008D72BB" w:rsidRDefault="0027187C">
            <w:pPr>
              <w:spacing w:line="276" w:lineRule="auto"/>
              <w:rPr>
                <w:color w:val="000000"/>
                <w:sz w:val="20"/>
                <w:szCs w:val="20"/>
              </w:rPr>
            </w:pPr>
            <w:r w:rsidRPr="008D72BB">
              <w:rPr>
                <w:color w:val="000000"/>
                <w:sz w:val="20"/>
                <w:szCs w:val="20"/>
              </w:rPr>
              <w:t>a</w:t>
            </w:r>
          </w:p>
        </w:tc>
        <w:tc>
          <w:tcPr>
            <w:tcW w:w="1134" w:type="dxa"/>
            <w:vAlign w:val="center"/>
            <w:hideMark/>
          </w:tcPr>
          <w:p w14:paraId="2F0BF894" w14:textId="77777777" w:rsidR="0027187C" w:rsidRPr="008D72BB" w:rsidRDefault="0027187C">
            <w:pPr>
              <w:spacing w:line="276" w:lineRule="auto"/>
              <w:jc w:val="right"/>
              <w:rPr>
                <w:color w:val="000000"/>
                <w:sz w:val="20"/>
                <w:szCs w:val="20"/>
              </w:rPr>
            </w:pPr>
            <w:r w:rsidRPr="008D72BB">
              <w:rPr>
                <w:color w:val="000000"/>
                <w:sz w:val="20"/>
                <w:szCs w:val="20"/>
              </w:rPr>
              <w:t>0.8%</w:t>
            </w:r>
          </w:p>
        </w:tc>
        <w:tc>
          <w:tcPr>
            <w:tcW w:w="1276" w:type="dxa"/>
            <w:vAlign w:val="center"/>
            <w:hideMark/>
          </w:tcPr>
          <w:p w14:paraId="794C0826" w14:textId="77777777" w:rsidR="0027187C" w:rsidRPr="008D72BB" w:rsidRDefault="0027187C">
            <w:pPr>
              <w:spacing w:line="276" w:lineRule="auto"/>
              <w:jc w:val="right"/>
              <w:rPr>
                <w:color w:val="000000"/>
                <w:sz w:val="20"/>
                <w:szCs w:val="20"/>
              </w:rPr>
            </w:pPr>
            <w:r w:rsidRPr="008D72BB">
              <w:rPr>
                <w:color w:val="000000"/>
                <w:sz w:val="20"/>
                <w:szCs w:val="20"/>
              </w:rPr>
              <w:t>12.6%</w:t>
            </w:r>
          </w:p>
        </w:tc>
        <w:tc>
          <w:tcPr>
            <w:tcW w:w="1217" w:type="dxa"/>
            <w:vAlign w:val="center"/>
            <w:hideMark/>
          </w:tcPr>
          <w:p w14:paraId="74E19775" w14:textId="77777777" w:rsidR="0027187C" w:rsidRPr="008D72BB" w:rsidRDefault="0027187C">
            <w:pPr>
              <w:spacing w:line="276" w:lineRule="auto"/>
              <w:jc w:val="right"/>
              <w:rPr>
                <w:color w:val="000000"/>
                <w:sz w:val="20"/>
                <w:szCs w:val="20"/>
              </w:rPr>
            </w:pPr>
            <w:r w:rsidRPr="008D72BB">
              <w:rPr>
                <w:color w:val="000000"/>
                <w:sz w:val="20"/>
                <w:szCs w:val="20"/>
              </w:rPr>
              <w:t>34.4%</w:t>
            </w:r>
          </w:p>
        </w:tc>
        <w:tc>
          <w:tcPr>
            <w:tcW w:w="1334" w:type="dxa"/>
            <w:noWrap/>
            <w:vAlign w:val="center"/>
            <w:hideMark/>
          </w:tcPr>
          <w:p w14:paraId="0D7C54E0" w14:textId="77777777" w:rsidR="0027187C" w:rsidRPr="008D72BB" w:rsidRDefault="0027187C">
            <w:pPr>
              <w:spacing w:line="276" w:lineRule="auto"/>
              <w:jc w:val="right"/>
              <w:rPr>
                <w:color w:val="000000"/>
                <w:sz w:val="20"/>
                <w:szCs w:val="20"/>
              </w:rPr>
            </w:pPr>
            <w:r w:rsidRPr="008D72BB">
              <w:rPr>
                <w:color w:val="000000"/>
                <w:sz w:val="20"/>
                <w:szCs w:val="20"/>
              </w:rPr>
              <w:t> </w:t>
            </w:r>
          </w:p>
        </w:tc>
      </w:tr>
      <w:tr w:rsidR="0027187C" w:rsidRPr="008D72BB" w14:paraId="65892235" w14:textId="77777777">
        <w:trPr>
          <w:trHeight w:val="850"/>
        </w:trPr>
        <w:tc>
          <w:tcPr>
            <w:tcW w:w="3393" w:type="dxa"/>
            <w:vAlign w:val="center"/>
            <w:hideMark/>
          </w:tcPr>
          <w:p w14:paraId="64B37081" w14:textId="77777777" w:rsidR="0027187C" w:rsidRPr="008D72BB" w:rsidRDefault="0027187C">
            <w:pPr>
              <w:spacing w:line="276" w:lineRule="auto"/>
              <w:rPr>
                <w:color w:val="000000"/>
                <w:sz w:val="20"/>
                <w:szCs w:val="20"/>
              </w:rPr>
            </w:pPr>
            <w:r w:rsidRPr="008D72BB">
              <w:rPr>
                <w:color w:val="000000"/>
                <w:sz w:val="20"/>
                <w:szCs w:val="20"/>
              </w:rPr>
              <w:t>Number experiencing increase in depression due to gambling, less 20% causality discount</w:t>
            </w:r>
          </w:p>
        </w:tc>
        <w:tc>
          <w:tcPr>
            <w:tcW w:w="1280" w:type="dxa"/>
            <w:vAlign w:val="center"/>
            <w:hideMark/>
          </w:tcPr>
          <w:p w14:paraId="52EFF7E1" w14:textId="77777777" w:rsidR="0027187C" w:rsidRPr="008D72BB" w:rsidRDefault="0027187C">
            <w:pPr>
              <w:spacing w:line="276" w:lineRule="auto"/>
              <w:rPr>
                <w:color w:val="000000"/>
                <w:sz w:val="20"/>
                <w:szCs w:val="20"/>
              </w:rPr>
            </w:pPr>
            <w:r w:rsidRPr="008D72BB">
              <w:rPr>
                <w:color w:val="000000"/>
                <w:sz w:val="20"/>
                <w:szCs w:val="20"/>
              </w:rPr>
              <w:t>b = (a x n) x 80%</w:t>
            </w:r>
          </w:p>
        </w:tc>
        <w:tc>
          <w:tcPr>
            <w:tcW w:w="1134" w:type="dxa"/>
            <w:vAlign w:val="center"/>
            <w:hideMark/>
          </w:tcPr>
          <w:p w14:paraId="5B05459C" w14:textId="77777777" w:rsidR="0027187C" w:rsidRPr="008D72BB" w:rsidRDefault="0027187C">
            <w:pPr>
              <w:spacing w:line="276" w:lineRule="auto"/>
              <w:jc w:val="right"/>
              <w:rPr>
                <w:color w:val="000000"/>
                <w:sz w:val="20"/>
                <w:szCs w:val="20"/>
              </w:rPr>
            </w:pPr>
            <w:r w:rsidRPr="008D72BB">
              <w:rPr>
                <w:color w:val="000000"/>
                <w:sz w:val="20"/>
                <w:szCs w:val="20"/>
              </w:rPr>
              <w:t>1,674</w:t>
            </w:r>
          </w:p>
        </w:tc>
        <w:tc>
          <w:tcPr>
            <w:tcW w:w="1276" w:type="dxa"/>
            <w:vAlign w:val="center"/>
            <w:hideMark/>
          </w:tcPr>
          <w:p w14:paraId="744C4776" w14:textId="77777777" w:rsidR="0027187C" w:rsidRPr="008D72BB" w:rsidRDefault="0027187C">
            <w:pPr>
              <w:spacing w:line="276" w:lineRule="auto"/>
              <w:jc w:val="right"/>
              <w:rPr>
                <w:color w:val="000000"/>
                <w:sz w:val="20"/>
                <w:szCs w:val="20"/>
              </w:rPr>
            </w:pPr>
            <w:r w:rsidRPr="008D72BB">
              <w:rPr>
                <w:color w:val="000000"/>
                <w:sz w:val="20"/>
                <w:szCs w:val="20"/>
              </w:rPr>
              <w:t>8,399</w:t>
            </w:r>
          </w:p>
        </w:tc>
        <w:tc>
          <w:tcPr>
            <w:tcW w:w="1217" w:type="dxa"/>
            <w:vAlign w:val="center"/>
            <w:hideMark/>
          </w:tcPr>
          <w:p w14:paraId="2D5E793F" w14:textId="77777777" w:rsidR="0027187C" w:rsidRPr="008D72BB" w:rsidRDefault="0027187C">
            <w:pPr>
              <w:spacing w:line="276" w:lineRule="auto"/>
              <w:jc w:val="right"/>
              <w:rPr>
                <w:color w:val="000000"/>
                <w:sz w:val="20"/>
                <w:szCs w:val="20"/>
              </w:rPr>
            </w:pPr>
            <w:r w:rsidRPr="008D72BB">
              <w:rPr>
                <w:color w:val="000000"/>
                <w:sz w:val="20"/>
                <w:szCs w:val="20"/>
              </w:rPr>
              <w:t>5,622</w:t>
            </w:r>
          </w:p>
        </w:tc>
        <w:tc>
          <w:tcPr>
            <w:tcW w:w="1334" w:type="dxa"/>
            <w:vAlign w:val="center"/>
            <w:hideMark/>
          </w:tcPr>
          <w:p w14:paraId="1C5E37A3" w14:textId="77777777" w:rsidR="0027187C" w:rsidRPr="008D72BB" w:rsidRDefault="0027187C">
            <w:pPr>
              <w:spacing w:line="276" w:lineRule="auto"/>
              <w:jc w:val="right"/>
              <w:rPr>
                <w:color w:val="000000"/>
                <w:sz w:val="20"/>
                <w:szCs w:val="20"/>
              </w:rPr>
            </w:pPr>
            <w:r w:rsidRPr="008D72BB">
              <w:rPr>
                <w:color w:val="000000"/>
                <w:sz w:val="20"/>
                <w:szCs w:val="20"/>
              </w:rPr>
              <w:t>15,696</w:t>
            </w:r>
          </w:p>
        </w:tc>
      </w:tr>
      <w:tr w:rsidR="0027187C" w:rsidRPr="008D72BB" w14:paraId="318ED63D" w14:textId="77777777">
        <w:trPr>
          <w:trHeight w:val="848"/>
        </w:trPr>
        <w:tc>
          <w:tcPr>
            <w:tcW w:w="3393" w:type="dxa"/>
            <w:vAlign w:val="center"/>
            <w:hideMark/>
          </w:tcPr>
          <w:p w14:paraId="58F23BB8" w14:textId="77777777" w:rsidR="0027187C" w:rsidRPr="008D72BB" w:rsidRDefault="0027187C">
            <w:pPr>
              <w:spacing w:line="276" w:lineRule="auto"/>
              <w:rPr>
                <w:color w:val="000000"/>
                <w:sz w:val="20"/>
                <w:szCs w:val="20"/>
              </w:rPr>
            </w:pPr>
            <w:r w:rsidRPr="008D72BB">
              <w:rPr>
                <w:color w:val="000000"/>
                <w:sz w:val="20"/>
                <w:szCs w:val="20"/>
              </w:rPr>
              <w:t>Total number of PGSI group receiving treatment for depression due to gambling</w:t>
            </w:r>
          </w:p>
        </w:tc>
        <w:tc>
          <w:tcPr>
            <w:tcW w:w="1280" w:type="dxa"/>
            <w:vAlign w:val="center"/>
            <w:hideMark/>
          </w:tcPr>
          <w:p w14:paraId="5FE9F455" w14:textId="77777777" w:rsidR="0027187C" w:rsidRPr="008D72BB" w:rsidRDefault="0027187C">
            <w:pPr>
              <w:spacing w:line="276" w:lineRule="auto"/>
              <w:rPr>
                <w:color w:val="000000"/>
                <w:sz w:val="20"/>
                <w:szCs w:val="20"/>
              </w:rPr>
            </w:pPr>
            <w:r w:rsidRPr="008D72BB">
              <w:rPr>
                <w:color w:val="000000"/>
                <w:sz w:val="20"/>
                <w:szCs w:val="20"/>
              </w:rPr>
              <w:t>c = b x 35.0%</w:t>
            </w:r>
          </w:p>
        </w:tc>
        <w:tc>
          <w:tcPr>
            <w:tcW w:w="1134" w:type="dxa"/>
            <w:vAlign w:val="center"/>
            <w:hideMark/>
          </w:tcPr>
          <w:p w14:paraId="2D4F4FB3" w14:textId="77777777" w:rsidR="0027187C" w:rsidRPr="008D72BB" w:rsidRDefault="0027187C">
            <w:pPr>
              <w:spacing w:line="276" w:lineRule="auto"/>
              <w:jc w:val="right"/>
              <w:rPr>
                <w:color w:val="000000"/>
                <w:sz w:val="20"/>
                <w:szCs w:val="20"/>
              </w:rPr>
            </w:pPr>
            <w:r w:rsidRPr="008D72BB">
              <w:rPr>
                <w:color w:val="000000"/>
                <w:sz w:val="20"/>
                <w:szCs w:val="20"/>
              </w:rPr>
              <w:t>586</w:t>
            </w:r>
          </w:p>
        </w:tc>
        <w:tc>
          <w:tcPr>
            <w:tcW w:w="1276" w:type="dxa"/>
            <w:vAlign w:val="center"/>
            <w:hideMark/>
          </w:tcPr>
          <w:p w14:paraId="56B1524E" w14:textId="77777777" w:rsidR="0027187C" w:rsidRPr="008D72BB" w:rsidRDefault="0027187C">
            <w:pPr>
              <w:spacing w:line="276" w:lineRule="auto"/>
              <w:jc w:val="right"/>
              <w:rPr>
                <w:color w:val="000000"/>
                <w:sz w:val="20"/>
                <w:szCs w:val="20"/>
              </w:rPr>
            </w:pPr>
            <w:r w:rsidRPr="008D72BB">
              <w:rPr>
                <w:color w:val="000000"/>
                <w:sz w:val="20"/>
                <w:szCs w:val="20"/>
              </w:rPr>
              <w:t>2,940</w:t>
            </w:r>
          </w:p>
        </w:tc>
        <w:tc>
          <w:tcPr>
            <w:tcW w:w="1217" w:type="dxa"/>
            <w:vAlign w:val="center"/>
            <w:hideMark/>
          </w:tcPr>
          <w:p w14:paraId="6BAF50BA" w14:textId="77777777" w:rsidR="0027187C" w:rsidRPr="008D72BB" w:rsidRDefault="0027187C">
            <w:pPr>
              <w:spacing w:line="276" w:lineRule="auto"/>
              <w:jc w:val="right"/>
              <w:rPr>
                <w:color w:val="000000"/>
                <w:sz w:val="20"/>
                <w:szCs w:val="20"/>
              </w:rPr>
            </w:pPr>
            <w:r w:rsidRPr="008D72BB">
              <w:rPr>
                <w:color w:val="000000"/>
                <w:sz w:val="20"/>
                <w:szCs w:val="20"/>
              </w:rPr>
              <w:t>1,968</w:t>
            </w:r>
          </w:p>
        </w:tc>
        <w:tc>
          <w:tcPr>
            <w:tcW w:w="1334" w:type="dxa"/>
            <w:vAlign w:val="center"/>
            <w:hideMark/>
          </w:tcPr>
          <w:p w14:paraId="3FB8D9F8" w14:textId="77777777" w:rsidR="0027187C" w:rsidRPr="008D72BB" w:rsidRDefault="0027187C">
            <w:pPr>
              <w:spacing w:line="276" w:lineRule="auto"/>
              <w:jc w:val="right"/>
              <w:rPr>
                <w:color w:val="000000"/>
                <w:sz w:val="20"/>
                <w:szCs w:val="20"/>
              </w:rPr>
            </w:pPr>
            <w:r w:rsidRPr="008D72BB">
              <w:rPr>
                <w:color w:val="000000"/>
                <w:sz w:val="20"/>
                <w:szCs w:val="20"/>
              </w:rPr>
              <w:t>5,494</w:t>
            </w:r>
          </w:p>
        </w:tc>
      </w:tr>
      <w:tr w:rsidR="0027187C" w:rsidRPr="008D72BB" w14:paraId="388F6F77" w14:textId="77777777">
        <w:trPr>
          <w:trHeight w:val="397"/>
        </w:trPr>
        <w:tc>
          <w:tcPr>
            <w:tcW w:w="9634" w:type="dxa"/>
            <w:gridSpan w:val="6"/>
            <w:vAlign w:val="center"/>
            <w:hideMark/>
          </w:tcPr>
          <w:p w14:paraId="4FBD9F27" w14:textId="77777777" w:rsidR="0027187C" w:rsidRPr="008D72BB" w:rsidRDefault="0027187C">
            <w:pPr>
              <w:spacing w:line="276" w:lineRule="auto"/>
              <w:rPr>
                <w:b/>
                <w:bCs/>
                <w:i/>
                <w:iCs/>
                <w:color w:val="000000"/>
                <w:sz w:val="20"/>
                <w:szCs w:val="20"/>
              </w:rPr>
            </w:pPr>
            <w:r w:rsidRPr="008D72BB">
              <w:rPr>
                <w:b/>
                <w:bCs/>
                <w:i/>
                <w:iCs/>
                <w:color w:val="000000"/>
                <w:sz w:val="20"/>
                <w:szCs w:val="20"/>
              </w:rPr>
              <w:t>Emotional distress</w:t>
            </w:r>
          </w:p>
        </w:tc>
      </w:tr>
      <w:tr w:rsidR="0027187C" w:rsidRPr="008D72BB" w14:paraId="6C4B41E5" w14:textId="77777777" w:rsidTr="00841D8C">
        <w:trPr>
          <w:trHeight w:val="397"/>
        </w:trPr>
        <w:tc>
          <w:tcPr>
            <w:tcW w:w="3393" w:type="dxa"/>
            <w:vAlign w:val="center"/>
            <w:hideMark/>
          </w:tcPr>
          <w:p w14:paraId="71B3E8F7" w14:textId="77777777" w:rsidR="0027187C" w:rsidRPr="008D72BB" w:rsidRDefault="0027187C">
            <w:pPr>
              <w:spacing w:line="276" w:lineRule="auto"/>
              <w:rPr>
                <w:color w:val="000000"/>
                <w:sz w:val="20"/>
                <w:szCs w:val="20"/>
              </w:rPr>
            </w:pPr>
            <w:r w:rsidRPr="008D72BB">
              <w:rPr>
                <w:color w:val="000000"/>
                <w:sz w:val="20"/>
                <w:szCs w:val="20"/>
              </w:rPr>
              <w:t>Cost of emotional distress for depression</w:t>
            </w:r>
          </w:p>
        </w:tc>
        <w:tc>
          <w:tcPr>
            <w:tcW w:w="1280" w:type="dxa"/>
            <w:vAlign w:val="center"/>
            <w:hideMark/>
          </w:tcPr>
          <w:p w14:paraId="1DFD498A" w14:textId="77777777" w:rsidR="0027187C" w:rsidRPr="008D72BB" w:rsidRDefault="0027187C">
            <w:pPr>
              <w:spacing w:line="276" w:lineRule="auto"/>
              <w:rPr>
                <w:color w:val="000000"/>
                <w:sz w:val="20"/>
                <w:szCs w:val="20"/>
              </w:rPr>
            </w:pPr>
            <w:r w:rsidRPr="008D72BB">
              <w:rPr>
                <w:color w:val="000000"/>
                <w:sz w:val="20"/>
                <w:szCs w:val="20"/>
              </w:rPr>
              <w:t>d</w:t>
            </w:r>
          </w:p>
        </w:tc>
        <w:tc>
          <w:tcPr>
            <w:tcW w:w="4961" w:type="dxa"/>
            <w:gridSpan w:val="4"/>
            <w:noWrap/>
            <w:vAlign w:val="center"/>
            <w:hideMark/>
          </w:tcPr>
          <w:p w14:paraId="18FAE5B6" w14:textId="77777777" w:rsidR="0027187C" w:rsidRPr="008D72BB" w:rsidRDefault="0027187C" w:rsidP="00841D8C">
            <w:pPr>
              <w:spacing w:line="276" w:lineRule="auto"/>
              <w:jc w:val="center"/>
              <w:rPr>
                <w:color w:val="000000"/>
                <w:sz w:val="20"/>
                <w:szCs w:val="20"/>
              </w:rPr>
            </w:pPr>
            <w:r w:rsidRPr="008D72BB">
              <w:rPr>
                <w:color w:val="000000"/>
                <w:sz w:val="20"/>
                <w:szCs w:val="20"/>
              </w:rPr>
              <w:t>$10,000</w:t>
            </w:r>
          </w:p>
        </w:tc>
      </w:tr>
      <w:tr w:rsidR="0027187C" w:rsidRPr="008D72BB" w14:paraId="0AB0E9DF" w14:textId="77777777">
        <w:trPr>
          <w:trHeight w:val="660"/>
        </w:trPr>
        <w:tc>
          <w:tcPr>
            <w:tcW w:w="3393" w:type="dxa"/>
            <w:shd w:val="clear" w:color="auto" w:fill="F2F2F2" w:themeFill="background1" w:themeFillShade="F2"/>
            <w:vAlign w:val="center"/>
            <w:hideMark/>
          </w:tcPr>
          <w:p w14:paraId="1E2BD2AC" w14:textId="77777777" w:rsidR="0027187C" w:rsidRPr="008D72BB" w:rsidRDefault="0027187C">
            <w:pPr>
              <w:spacing w:line="276" w:lineRule="auto"/>
              <w:rPr>
                <w:b/>
                <w:bCs/>
                <w:color w:val="000000"/>
                <w:sz w:val="20"/>
                <w:szCs w:val="20"/>
              </w:rPr>
            </w:pPr>
            <w:r w:rsidRPr="008D72BB">
              <w:rPr>
                <w:b/>
                <w:bCs/>
                <w:color w:val="000000"/>
                <w:sz w:val="20"/>
                <w:szCs w:val="20"/>
              </w:rPr>
              <w:t>Total emotional distress costs for depression</w:t>
            </w:r>
          </w:p>
        </w:tc>
        <w:tc>
          <w:tcPr>
            <w:tcW w:w="1280" w:type="dxa"/>
            <w:shd w:val="clear" w:color="auto" w:fill="F2F2F2" w:themeFill="background1" w:themeFillShade="F2"/>
            <w:vAlign w:val="center"/>
            <w:hideMark/>
          </w:tcPr>
          <w:p w14:paraId="123DDA4B" w14:textId="77777777" w:rsidR="0027187C" w:rsidRPr="008D72BB" w:rsidRDefault="0027187C">
            <w:pPr>
              <w:spacing w:line="276" w:lineRule="auto"/>
              <w:rPr>
                <w:b/>
                <w:bCs/>
                <w:color w:val="000000"/>
                <w:sz w:val="20"/>
                <w:szCs w:val="20"/>
              </w:rPr>
            </w:pPr>
            <w:r w:rsidRPr="008D72BB">
              <w:rPr>
                <w:b/>
                <w:bCs/>
                <w:color w:val="000000"/>
                <w:sz w:val="20"/>
                <w:szCs w:val="20"/>
              </w:rPr>
              <w:t>e = c x d</w:t>
            </w:r>
          </w:p>
        </w:tc>
        <w:tc>
          <w:tcPr>
            <w:tcW w:w="1134" w:type="dxa"/>
            <w:shd w:val="clear" w:color="auto" w:fill="F2F2F2" w:themeFill="background1" w:themeFillShade="F2"/>
            <w:vAlign w:val="center"/>
            <w:hideMark/>
          </w:tcPr>
          <w:p w14:paraId="69EC1F7F" w14:textId="77777777" w:rsidR="0027187C" w:rsidRPr="008D72BB" w:rsidRDefault="0027187C">
            <w:pPr>
              <w:spacing w:line="276" w:lineRule="auto"/>
              <w:jc w:val="right"/>
              <w:rPr>
                <w:b/>
                <w:bCs/>
                <w:color w:val="000000"/>
                <w:sz w:val="20"/>
                <w:szCs w:val="20"/>
              </w:rPr>
            </w:pPr>
            <w:r w:rsidRPr="008D72BB">
              <w:rPr>
                <w:b/>
                <w:bCs/>
                <w:color w:val="000000"/>
                <w:sz w:val="20"/>
                <w:szCs w:val="20"/>
              </w:rPr>
              <w:t>$5,859,757</w:t>
            </w:r>
          </w:p>
        </w:tc>
        <w:tc>
          <w:tcPr>
            <w:tcW w:w="1276" w:type="dxa"/>
            <w:shd w:val="clear" w:color="auto" w:fill="F2F2F2" w:themeFill="background1" w:themeFillShade="F2"/>
            <w:vAlign w:val="center"/>
            <w:hideMark/>
          </w:tcPr>
          <w:p w14:paraId="22814A71" w14:textId="77777777" w:rsidR="0027187C" w:rsidRPr="008D72BB" w:rsidRDefault="0027187C">
            <w:pPr>
              <w:spacing w:line="276" w:lineRule="auto"/>
              <w:jc w:val="right"/>
              <w:rPr>
                <w:b/>
                <w:bCs/>
                <w:color w:val="000000"/>
                <w:sz w:val="20"/>
                <w:szCs w:val="20"/>
              </w:rPr>
            </w:pPr>
            <w:r w:rsidRPr="008D72BB">
              <w:rPr>
                <w:b/>
                <w:bCs/>
                <w:color w:val="000000"/>
                <w:sz w:val="20"/>
                <w:szCs w:val="20"/>
              </w:rPr>
              <w:t>$29,397,183</w:t>
            </w:r>
          </w:p>
        </w:tc>
        <w:tc>
          <w:tcPr>
            <w:tcW w:w="1217" w:type="dxa"/>
            <w:shd w:val="clear" w:color="auto" w:fill="F2F2F2" w:themeFill="background1" w:themeFillShade="F2"/>
            <w:vAlign w:val="center"/>
            <w:hideMark/>
          </w:tcPr>
          <w:p w14:paraId="55119BD4" w14:textId="77777777" w:rsidR="0027187C" w:rsidRPr="008D72BB" w:rsidRDefault="0027187C">
            <w:pPr>
              <w:spacing w:line="276" w:lineRule="auto"/>
              <w:jc w:val="right"/>
              <w:rPr>
                <w:b/>
                <w:bCs/>
                <w:color w:val="000000"/>
                <w:sz w:val="20"/>
                <w:szCs w:val="20"/>
              </w:rPr>
            </w:pPr>
            <w:r w:rsidRPr="008D72BB">
              <w:rPr>
                <w:b/>
                <w:bCs/>
                <w:color w:val="000000"/>
                <w:sz w:val="20"/>
                <w:szCs w:val="20"/>
              </w:rPr>
              <w:t>$19,678,373</w:t>
            </w:r>
          </w:p>
        </w:tc>
        <w:tc>
          <w:tcPr>
            <w:tcW w:w="1334" w:type="dxa"/>
            <w:shd w:val="clear" w:color="auto" w:fill="F2F2F2" w:themeFill="background1" w:themeFillShade="F2"/>
            <w:vAlign w:val="center"/>
            <w:hideMark/>
          </w:tcPr>
          <w:p w14:paraId="1F93F87F" w14:textId="77777777" w:rsidR="0027187C" w:rsidRPr="008D72BB" w:rsidRDefault="0027187C">
            <w:pPr>
              <w:spacing w:line="276" w:lineRule="auto"/>
              <w:jc w:val="right"/>
              <w:rPr>
                <w:b/>
                <w:bCs/>
                <w:color w:val="000000"/>
                <w:sz w:val="20"/>
                <w:szCs w:val="20"/>
              </w:rPr>
            </w:pPr>
            <w:r w:rsidRPr="008D72BB">
              <w:rPr>
                <w:b/>
                <w:bCs/>
                <w:color w:val="000000"/>
                <w:sz w:val="20"/>
                <w:szCs w:val="20"/>
              </w:rPr>
              <w:t>$54,935,313</w:t>
            </w:r>
          </w:p>
        </w:tc>
      </w:tr>
      <w:tr w:rsidR="0027187C" w:rsidRPr="008D72BB" w14:paraId="29B975AC" w14:textId="77777777">
        <w:trPr>
          <w:trHeight w:val="397"/>
        </w:trPr>
        <w:tc>
          <w:tcPr>
            <w:tcW w:w="9634" w:type="dxa"/>
            <w:gridSpan w:val="6"/>
            <w:vAlign w:val="center"/>
            <w:hideMark/>
          </w:tcPr>
          <w:p w14:paraId="4008B94C" w14:textId="77777777" w:rsidR="0027187C" w:rsidRPr="008D72BB" w:rsidRDefault="0027187C">
            <w:pPr>
              <w:spacing w:line="276" w:lineRule="auto"/>
              <w:rPr>
                <w:b/>
                <w:bCs/>
                <w:i/>
                <w:iCs/>
                <w:color w:val="000000"/>
                <w:sz w:val="20"/>
                <w:szCs w:val="20"/>
              </w:rPr>
            </w:pPr>
            <w:r w:rsidRPr="008D72BB">
              <w:rPr>
                <w:b/>
                <w:bCs/>
                <w:i/>
                <w:iCs/>
                <w:color w:val="000000"/>
                <w:sz w:val="20"/>
                <w:szCs w:val="20"/>
              </w:rPr>
              <w:t>Out of pocket costs</w:t>
            </w:r>
          </w:p>
        </w:tc>
      </w:tr>
      <w:tr w:rsidR="0027187C" w:rsidRPr="008D72BB" w14:paraId="3AAB3074" w14:textId="77777777" w:rsidTr="00841D8C">
        <w:trPr>
          <w:trHeight w:val="397"/>
        </w:trPr>
        <w:tc>
          <w:tcPr>
            <w:tcW w:w="3393" w:type="dxa"/>
            <w:vAlign w:val="center"/>
            <w:hideMark/>
          </w:tcPr>
          <w:p w14:paraId="4AE411E3" w14:textId="77777777" w:rsidR="0027187C" w:rsidRPr="008D72BB" w:rsidRDefault="0027187C">
            <w:pPr>
              <w:spacing w:line="276" w:lineRule="auto"/>
              <w:rPr>
                <w:color w:val="000000"/>
                <w:sz w:val="20"/>
                <w:szCs w:val="20"/>
              </w:rPr>
            </w:pPr>
            <w:r w:rsidRPr="008D72BB">
              <w:rPr>
                <w:color w:val="000000"/>
                <w:sz w:val="20"/>
                <w:szCs w:val="20"/>
              </w:rPr>
              <w:t xml:space="preserve">Average annual out of pocket costs </w:t>
            </w:r>
          </w:p>
        </w:tc>
        <w:tc>
          <w:tcPr>
            <w:tcW w:w="1280" w:type="dxa"/>
            <w:vAlign w:val="center"/>
            <w:hideMark/>
          </w:tcPr>
          <w:p w14:paraId="2A8F1978" w14:textId="77777777" w:rsidR="0027187C" w:rsidRPr="008D72BB" w:rsidRDefault="0027187C">
            <w:pPr>
              <w:spacing w:line="276" w:lineRule="auto"/>
              <w:rPr>
                <w:color w:val="000000"/>
                <w:sz w:val="20"/>
                <w:szCs w:val="20"/>
              </w:rPr>
            </w:pPr>
            <w:r w:rsidRPr="008D72BB">
              <w:rPr>
                <w:color w:val="000000"/>
                <w:sz w:val="20"/>
                <w:szCs w:val="20"/>
              </w:rPr>
              <w:t>f</w:t>
            </w:r>
          </w:p>
        </w:tc>
        <w:tc>
          <w:tcPr>
            <w:tcW w:w="4961" w:type="dxa"/>
            <w:gridSpan w:val="4"/>
            <w:noWrap/>
            <w:vAlign w:val="center"/>
            <w:hideMark/>
          </w:tcPr>
          <w:p w14:paraId="4ED0C891" w14:textId="77777777" w:rsidR="0027187C" w:rsidRPr="008D72BB" w:rsidRDefault="0027187C" w:rsidP="00841D8C">
            <w:pPr>
              <w:spacing w:line="276" w:lineRule="auto"/>
              <w:jc w:val="center"/>
              <w:rPr>
                <w:color w:val="000000"/>
                <w:sz w:val="20"/>
                <w:szCs w:val="20"/>
              </w:rPr>
            </w:pPr>
            <w:r w:rsidRPr="008D72BB">
              <w:rPr>
                <w:color w:val="000000"/>
                <w:sz w:val="20"/>
                <w:szCs w:val="20"/>
              </w:rPr>
              <w:t>$1,097</w:t>
            </w:r>
          </w:p>
        </w:tc>
      </w:tr>
      <w:tr w:rsidR="0027187C" w:rsidRPr="008D72BB" w14:paraId="32CFFF7C" w14:textId="77777777">
        <w:trPr>
          <w:trHeight w:val="397"/>
        </w:trPr>
        <w:tc>
          <w:tcPr>
            <w:tcW w:w="3393" w:type="dxa"/>
            <w:shd w:val="clear" w:color="auto" w:fill="F2F2F2" w:themeFill="background1" w:themeFillShade="F2"/>
            <w:vAlign w:val="center"/>
            <w:hideMark/>
          </w:tcPr>
          <w:p w14:paraId="546E9A72" w14:textId="77777777" w:rsidR="0027187C" w:rsidRPr="008D72BB" w:rsidRDefault="0027187C">
            <w:pPr>
              <w:spacing w:line="276" w:lineRule="auto"/>
              <w:rPr>
                <w:b/>
                <w:bCs/>
                <w:color w:val="000000"/>
                <w:sz w:val="20"/>
                <w:szCs w:val="20"/>
              </w:rPr>
            </w:pPr>
            <w:r w:rsidRPr="008D72BB">
              <w:rPr>
                <w:b/>
                <w:bCs/>
                <w:color w:val="000000"/>
                <w:sz w:val="20"/>
                <w:szCs w:val="20"/>
              </w:rPr>
              <w:t>Total out of pocket costs</w:t>
            </w:r>
          </w:p>
        </w:tc>
        <w:tc>
          <w:tcPr>
            <w:tcW w:w="1280" w:type="dxa"/>
            <w:shd w:val="clear" w:color="auto" w:fill="F2F2F2" w:themeFill="background1" w:themeFillShade="F2"/>
            <w:vAlign w:val="center"/>
            <w:hideMark/>
          </w:tcPr>
          <w:p w14:paraId="3227EC1E" w14:textId="77777777" w:rsidR="0027187C" w:rsidRPr="008D72BB" w:rsidRDefault="0027187C">
            <w:pPr>
              <w:spacing w:line="276" w:lineRule="auto"/>
              <w:rPr>
                <w:b/>
                <w:bCs/>
                <w:color w:val="000000"/>
                <w:sz w:val="20"/>
                <w:szCs w:val="20"/>
              </w:rPr>
            </w:pPr>
            <w:r w:rsidRPr="008D72BB">
              <w:rPr>
                <w:b/>
                <w:bCs/>
                <w:color w:val="000000"/>
                <w:sz w:val="20"/>
                <w:szCs w:val="20"/>
              </w:rPr>
              <w:t>g = c x f</w:t>
            </w:r>
          </w:p>
        </w:tc>
        <w:tc>
          <w:tcPr>
            <w:tcW w:w="1134" w:type="dxa"/>
            <w:shd w:val="clear" w:color="auto" w:fill="F2F2F2" w:themeFill="background1" w:themeFillShade="F2"/>
            <w:vAlign w:val="center"/>
            <w:hideMark/>
          </w:tcPr>
          <w:p w14:paraId="409A1988" w14:textId="77777777" w:rsidR="0027187C" w:rsidRPr="008D72BB" w:rsidRDefault="0027187C">
            <w:pPr>
              <w:spacing w:line="276" w:lineRule="auto"/>
              <w:jc w:val="right"/>
              <w:rPr>
                <w:b/>
                <w:bCs/>
                <w:color w:val="000000"/>
                <w:sz w:val="20"/>
                <w:szCs w:val="20"/>
              </w:rPr>
            </w:pPr>
            <w:r w:rsidRPr="008D72BB">
              <w:rPr>
                <w:b/>
                <w:bCs/>
                <w:color w:val="000000"/>
                <w:sz w:val="20"/>
                <w:szCs w:val="20"/>
              </w:rPr>
              <w:t>$642,833</w:t>
            </w:r>
          </w:p>
        </w:tc>
        <w:tc>
          <w:tcPr>
            <w:tcW w:w="1276" w:type="dxa"/>
            <w:shd w:val="clear" w:color="auto" w:fill="F2F2F2" w:themeFill="background1" w:themeFillShade="F2"/>
            <w:vAlign w:val="center"/>
            <w:hideMark/>
          </w:tcPr>
          <w:p w14:paraId="72D2600D" w14:textId="77777777" w:rsidR="0027187C" w:rsidRPr="008D72BB" w:rsidRDefault="0027187C">
            <w:pPr>
              <w:spacing w:line="276" w:lineRule="auto"/>
              <w:jc w:val="right"/>
              <w:rPr>
                <w:b/>
                <w:bCs/>
                <w:color w:val="000000"/>
                <w:sz w:val="20"/>
                <w:szCs w:val="20"/>
              </w:rPr>
            </w:pPr>
            <w:r w:rsidRPr="008D72BB">
              <w:rPr>
                <w:b/>
                <w:bCs/>
                <w:color w:val="000000"/>
                <w:sz w:val="20"/>
                <w:szCs w:val="20"/>
              </w:rPr>
              <w:t>$3,224,959</w:t>
            </w:r>
          </w:p>
        </w:tc>
        <w:tc>
          <w:tcPr>
            <w:tcW w:w="1217" w:type="dxa"/>
            <w:shd w:val="clear" w:color="auto" w:fill="F2F2F2" w:themeFill="background1" w:themeFillShade="F2"/>
            <w:vAlign w:val="center"/>
            <w:hideMark/>
          </w:tcPr>
          <w:p w14:paraId="0BBBD746" w14:textId="77777777" w:rsidR="0027187C" w:rsidRPr="008D72BB" w:rsidRDefault="0027187C">
            <w:pPr>
              <w:spacing w:line="276" w:lineRule="auto"/>
              <w:jc w:val="right"/>
              <w:rPr>
                <w:b/>
                <w:bCs/>
                <w:color w:val="000000"/>
                <w:sz w:val="20"/>
                <w:szCs w:val="20"/>
              </w:rPr>
            </w:pPr>
            <w:r w:rsidRPr="008D72BB">
              <w:rPr>
                <w:b/>
                <w:bCs/>
                <w:color w:val="000000"/>
                <w:sz w:val="20"/>
                <w:szCs w:val="20"/>
              </w:rPr>
              <w:t>$2,158,777</w:t>
            </w:r>
          </w:p>
        </w:tc>
        <w:tc>
          <w:tcPr>
            <w:tcW w:w="1334" w:type="dxa"/>
            <w:shd w:val="clear" w:color="auto" w:fill="F2F2F2" w:themeFill="background1" w:themeFillShade="F2"/>
            <w:vAlign w:val="center"/>
            <w:hideMark/>
          </w:tcPr>
          <w:p w14:paraId="403E5858" w14:textId="77777777" w:rsidR="0027187C" w:rsidRPr="008D72BB" w:rsidRDefault="0027187C">
            <w:pPr>
              <w:spacing w:line="276" w:lineRule="auto"/>
              <w:jc w:val="right"/>
              <w:rPr>
                <w:b/>
                <w:bCs/>
                <w:color w:val="000000"/>
                <w:sz w:val="20"/>
                <w:szCs w:val="20"/>
              </w:rPr>
            </w:pPr>
            <w:r w:rsidRPr="008D72BB">
              <w:rPr>
                <w:b/>
                <w:bCs/>
                <w:color w:val="000000"/>
                <w:sz w:val="20"/>
                <w:szCs w:val="20"/>
              </w:rPr>
              <w:t>$6,026,569</w:t>
            </w:r>
          </w:p>
        </w:tc>
      </w:tr>
      <w:tr w:rsidR="0027187C" w:rsidRPr="008D72BB" w14:paraId="2D2943C6" w14:textId="77777777">
        <w:trPr>
          <w:trHeight w:val="397"/>
        </w:trPr>
        <w:tc>
          <w:tcPr>
            <w:tcW w:w="3393" w:type="dxa"/>
            <w:shd w:val="clear" w:color="auto" w:fill="F2F2F2" w:themeFill="background1" w:themeFillShade="F2"/>
            <w:vAlign w:val="center"/>
            <w:hideMark/>
          </w:tcPr>
          <w:p w14:paraId="708917E1" w14:textId="77777777" w:rsidR="0027187C" w:rsidRPr="008D72BB" w:rsidRDefault="0027187C">
            <w:pPr>
              <w:spacing w:line="276" w:lineRule="auto"/>
              <w:rPr>
                <w:b/>
                <w:bCs/>
                <w:color w:val="000000"/>
                <w:sz w:val="20"/>
                <w:szCs w:val="20"/>
              </w:rPr>
            </w:pPr>
            <w:r w:rsidRPr="008D72BB">
              <w:rPr>
                <w:b/>
                <w:bCs/>
                <w:color w:val="000000"/>
                <w:sz w:val="20"/>
                <w:szCs w:val="20"/>
              </w:rPr>
              <w:t>Total cost of depression</w:t>
            </w:r>
          </w:p>
        </w:tc>
        <w:tc>
          <w:tcPr>
            <w:tcW w:w="1280" w:type="dxa"/>
            <w:shd w:val="clear" w:color="auto" w:fill="F2F2F2" w:themeFill="background1" w:themeFillShade="F2"/>
            <w:vAlign w:val="center"/>
            <w:hideMark/>
          </w:tcPr>
          <w:p w14:paraId="5665F8CA" w14:textId="77777777" w:rsidR="0027187C" w:rsidRPr="008D72BB" w:rsidRDefault="0027187C">
            <w:pPr>
              <w:spacing w:line="276" w:lineRule="auto"/>
              <w:rPr>
                <w:b/>
                <w:bCs/>
                <w:color w:val="000000"/>
                <w:sz w:val="20"/>
                <w:szCs w:val="20"/>
              </w:rPr>
            </w:pPr>
            <w:r w:rsidRPr="008D72BB">
              <w:rPr>
                <w:b/>
                <w:bCs/>
                <w:color w:val="000000"/>
                <w:sz w:val="20"/>
                <w:szCs w:val="20"/>
              </w:rPr>
              <w:t>e + g</w:t>
            </w:r>
          </w:p>
        </w:tc>
        <w:tc>
          <w:tcPr>
            <w:tcW w:w="1134" w:type="dxa"/>
            <w:shd w:val="clear" w:color="auto" w:fill="F2F2F2" w:themeFill="background1" w:themeFillShade="F2"/>
            <w:vAlign w:val="center"/>
            <w:hideMark/>
          </w:tcPr>
          <w:p w14:paraId="2106465C" w14:textId="77777777" w:rsidR="0027187C" w:rsidRPr="008D72BB" w:rsidRDefault="0027187C">
            <w:pPr>
              <w:spacing w:line="276" w:lineRule="auto"/>
              <w:jc w:val="right"/>
              <w:rPr>
                <w:b/>
                <w:bCs/>
                <w:color w:val="000000"/>
                <w:sz w:val="20"/>
                <w:szCs w:val="20"/>
              </w:rPr>
            </w:pPr>
            <w:r w:rsidRPr="008D72BB">
              <w:rPr>
                <w:b/>
                <w:bCs/>
                <w:color w:val="000000"/>
                <w:sz w:val="20"/>
                <w:szCs w:val="20"/>
              </w:rPr>
              <w:t>$6,502,590</w:t>
            </w:r>
          </w:p>
        </w:tc>
        <w:tc>
          <w:tcPr>
            <w:tcW w:w="1276" w:type="dxa"/>
            <w:shd w:val="clear" w:color="auto" w:fill="F2F2F2" w:themeFill="background1" w:themeFillShade="F2"/>
            <w:vAlign w:val="center"/>
            <w:hideMark/>
          </w:tcPr>
          <w:p w14:paraId="08C5FD42" w14:textId="77777777" w:rsidR="0027187C" w:rsidRPr="008D72BB" w:rsidRDefault="0027187C">
            <w:pPr>
              <w:spacing w:line="276" w:lineRule="auto"/>
              <w:jc w:val="right"/>
              <w:rPr>
                <w:b/>
                <w:bCs/>
                <w:color w:val="000000"/>
                <w:sz w:val="20"/>
                <w:szCs w:val="20"/>
              </w:rPr>
            </w:pPr>
            <w:r w:rsidRPr="008D72BB">
              <w:rPr>
                <w:b/>
                <w:bCs/>
                <w:color w:val="000000"/>
                <w:sz w:val="20"/>
                <w:szCs w:val="20"/>
              </w:rPr>
              <w:t>$32,622,142</w:t>
            </w:r>
          </w:p>
        </w:tc>
        <w:tc>
          <w:tcPr>
            <w:tcW w:w="1217" w:type="dxa"/>
            <w:shd w:val="clear" w:color="auto" w:fill="F2F2F2" w:themeFill="background1" w:themeFillShade="F2"/>
            <w:vAlign w:val="center"/>
            <w:hideMark/>
          </w:tcPr>
          <w:p w14:paraId="2E918B8B" w14:textId="77777777" w:rsidR="0027187C" w:rsidRPr="008D72BB" w:rsidRDefault="0027187C">
            <w:pPr>
              <w:spacing w:line="276" w:lineRule="auto"/>
              <w:jc w:val="right"/>
              <w:rPr>
                <w:b/>
                <w:bCs/>
                <w:color w:val="000000"/>
                <w:sz w:val="20"/>
                <w:szCs w:val="20"/>
              </w:rPr>
            </w:pPr>
            <w:r w:rsidRPr="008D72BB">
              <w:rPr>
                <w:b/>
                <w:bCs/>
                <w:color w:val="000000"/>
                <w:sz w:val="20"/>
                <w:szCs w:val="20"/>
              </w:rPr>
              <w:t>$21,837,149</w:t>
            </w:r>
          </w:p>
        </w:tc>
        <w:tc>
          <w:tcPr>
            <w:tcW w:w="1334" w:type="dxa"/>
            <w:shd w:val="clear" w:color="auto" w:fill="F2F2F2" w:themeFill="background1" w:themeFillShade="F2"/>
            <w:vAlign w:val="center"/>
            <w:hideMark/>
          </w:tcPr>
          <w:p w14:paraId="20A320AD" w14:textId="77777777" w:rsidR="0027187C" w:rsidRPr="008D72BB" w:rsidRDefault="0027187C">
            <w:pPr>
              <w:spacing w:line="276" w:lineRule="auto"/>
              <w:jc w:val="right"/>
              <w:rPr>
                <w:b/>
                <w:bCs/>
                <w:color w:val="000000"/>
                <w:sz w:val="20"/>
                <w:szCs w:val="20"/>
              </w:rPr>
            </w:pPr>
            <w:r w:rsidRPr="008D72BB">
              <w:rPr>
                <w:b/>
                <w:bCs/>
                <w:color w:val="000000"/>
                <w:sz w:val="20"/>
                <w:szCs w:val="20"/>
              </w:rPr>
              <w:t>$60,961,882</w:t>
            </w:r>
          </w:p>
        </w:tc>
      </w:tr>
      <w:tr w:rsidR="0027187C" w:rsidRPr="008D72BB" w14:paraId="725BBE8C" w14:textId="77777777">
        <w:trPr>
          <w:trHeight w:val="397"/>
        </w:trPr>
        <w:tc>
          <w:tcPr>
            <w:tcW w:w="8300" w:type="dxa"/>
            <w:gridSpan w:val="5"/>
            <w:vAlign w:val="center"/>
            <w:hideMark/>
          </w:tcPr>
          <w:p w14:paraId="2319BBE1" w14:textId="77777777" w:rsidR="0027187C" w:rsidRPr="008D72BB" w:rsidRDefault="0027187C">
            <w:pPr>
              <w:spacing w:line="276" w:lineRule="auto"/>
              <w:rPr>
                <w:color w:val="000000"/>
                <w:sz w:val="20"/>
                <w:szCs w:val="20"/>
              </w:rPr>
            </w:pPr>
            <w:r w:rsidRPr="008D72BB">
              <w:rPr>
                <w:color w:val="000000"/>
                <w:sz w:val="20"/>
                <w:szCs w:val="20"/>
              </w:rPr>
              <w:t>Lower bound</w:t>
            </w:r>
          </w:p>
        </w:tc>
        <w:tc>
          <w:tcPr>
            <w:tcW w:w="1334" w:type="dxa"/>
            <w:vAlign w:val="center"/>
            <w:hideMark/>
          </w:tcPr>
          <w:p w14:paraId="2D495C04" w14:textId="77777777" w:rsidR="0027187C" w:rsidRPr="008D72BB" w:rsidRDefault="0027187C">
            <w:pPr>
              <w:spacing w:line="276" w:lineRule="auto"/>
              <w:jc w:val="right"/>
              <w:rPr>
                <w:color w:val="000000"/>
                <w:sz w:val="20"/>
                <w:szCs w:val="20"/>
              </w:rPr>
            </w:pPr>
            <w:r w:rsidRPr="008D72BB">
              <w:rPr>
                <w:color w:val="000000"/>
                <w:sz w:val="20"/>
                <w:szCs w:val="20"/>
              </w:rPr>
              <w:t>$57,913,788</w:t>
            </w:r>
          </w:p>
        </w:tc>
      </w:tr>
      <w:tr w:rsidR="0027187C" w:rsidRPr="008D72BB" w14:paraId="45FA2754" w14:textId="77777777">
        <w:trPr>
          <w:trHeight w:val="397"/>
        </w:trPr>
        <w:tc>
          <w:tcPr>
            <w:tcW w:w="8300" w:type="dxa"/>
            <w:gridSpan w:val="5"/>
            <w:vAlign w:val="center"/>
            <w:hideMark/>
          </w:tcPr>
          <w:p w14:paraId="44A9EA6F" w14:textId="77777777" w:rsidR="0027187C" w:rsidRPr="008D72BB" w:rsidRDefault="0027187C">
            <w:pPr>
              <w:spacing w:line="276" w:lineRule="auto"/>
              <w:rPr>
                <w:color w:val="000000"/>
                <w:sz w:val="20"/>
                <w:szCs w:val="20"/>
              </w:rPr>
            </w:pPr>
            <w:r w:rsidRPr="008D72BB">
              <w:rPr>
                <w:color w:val="000000"/>
                <w:sz w:val="20"/>
                <w:szCs w:val="20"/>
              </w:rPr>
              <w:t>Upper bound</w:t>
            </w:r>
          </w:p>
        </w:tc>
        <w:tc>
          <w:tcPr>
            <w:tcW w:w="1334" w:type="dxa"/>
            <w:vAlign w:val="center"/>
            <w:hideMark/>
          </w:tcPr>
          <w:p w14:paraId="45937B9E" w14:textId="77777777" w:rsidR="0027187C" w:rsidRPr="008D72BB" w:rsidRDefault="0027187C">
            <w:pPr>
              <w:spacing w:line="276" w:lineRule="auto"/>
              <w:jc w:val="right"/>
              <w:rPr>
                <w:color w:val="000000"/>
                <w:sz w:val="20"/>
                <w:szCs w:val="20"/>
              </w:rPr>
            </w:pPr>
            <w:r w:rsidRPr="008D72BB">
              <w:rPr>
                <w:color w:val="000000"/>
                <w:sz w:val="20"/>
                <w:szCs w:val="20"/>
              </w:rPr>
              <w:t>$178,770,837</w:t>
            </w:r>
          </w:p>
        </w:tc>
      </w:tr>
      <w:tr w:rsidR="0027187C" w:rsidRPr="008D72BB" w14:paraId="711ADB86" w14:textId="77777777">
        <w:trPr>
          <w:trHeight w:val="649"/>
        </w:trPr>
        <w:tc>
          <w:tcPr>
            <w:tcW w:w="9634" w:type="dxa"/>
            <w:gridSpan w:val="6"/>
            <w:noWrap/>
            <w:vAlign w:val="center"/>
            <w:hideMark/>
          </w:tcPr>
          <w:p w14:paraId="28C38D92" w14:textId="77777777" w:rsidR="0027187C" w:rsidRPr="008D72BB" w:rsidRDefault="0027187C">
            <w:pPr>
              <w:spacing w:line="276" w:lineRule="auto"/>
              <w:rPr>
                <w:i/>
                <w:iCs/>
                <w:color w:val="242424"/>
                <w:sz w:val="20"/>
                <w:szCs w:val="20"/>
              </w:rPr>
            </w:pPr>
            <w:r w:rsidRPr="008D72BB">
              <w:rPr>
                <w:i/>
                <w:iCs/>
                <w:color w:val="242424"/>
                <w:sz w:val="20"/>
                <w:szCs w:val="20"/>
              </w:rPr>
              <w:t xml:space="preserve">Note: </w:t>
            </w:r>
            <w:r w:rsidRPr="008D72BB">
              <w:rPr>
                <w:i/>
                <w:iCs/>
                <w:sz w:val="20"/>
                <w:szCs w:val="20"/>
              </w:rPr>
              <w:t xml:space="preserve">LR (low-risk gambling), MR (moderate-risk gambling), and problem gambling. </w:t>
            </w:r>
            <w:r w:rsidRPr="008D72BB">
              <w:rPr>
                <w:i/>
                <w:iCs/>
                <w:color w:val="242424"/>
                <w:sz w:val="20"/>
                <w:szCs w:val="20"/>
              </w:rPr>
              <w:t>Totals may not match exactly due to rounding. Calculations are based on the original unrounded figures to ensure accuracy.</w:t>
            </w:r>
          </w:p>
        </w:tc>
      </w:tr>
    </w:tbl>
    <w:p w14:paraId="06F5C8D1" w14:textId="77777777" w:rsidR="00212ED7" w:rsidRPr="00D850CC" w:rsidRDefault="00212ED7" w:rsidP="0027187C">
      <w:pPr>
        <w:spacing w:before="120" w:after="240" w:line="276" w:lineRule="auto"/>
        <w:rPr>
          <w:sz w:val="18"/>
          <w:szCs w:val="18"/>
        </w:rPr>
      </w:pPr>
    </w:p>
    <w:p w14:paraId="76748A28" w14:textId="77777777" w:rsidR="00DB689D" w:rsidRDefault="00310A10" w:rsidP="00C30E1A">
      <w:pPr>
        <w:pStyle w:val="Heading3"/>
      </w:pPr>
      <w:bookmarkStart w:id="438" w:name="_d6b9d31b0hg9" w:colFirst="0" w:colLast="0"/>
      <w:bookmarkStart w:id="439" w:name="_Toc201572461"/>
      <w:bookmarkStart w:id="440" w:name="_Toc207195979"/>
      <w:bookmarkEnd w:id="438"/>
      <w:r>
        <w:t>Costs associated with suicide and suicide attempts</w:t>
      </w:r>
      <w:bookmarkEnd w:id="439"/>
      <w:bookmarkEnd w:id="440"/>
    </w:p>
    <w:p w14:paraId="6FE51471" w14:textId="795047C5" w:rsidR="00DB689D" w:rsidRDefault="00310A10" w:rsidP="00367A8D">
      <w:pPr>
        <w:spacing w:line="360" w:lineRule="auto"/>
      </w:pPr>
      <w:r>
        <w:t xml:space="preserve">New Zealand has persistently high and rising suicide rates </w:t>
      </w:r>
      <w:r w:rsidR="0038398B">
        <w:rPr>
          <w:noProof/>
          <w:color w:val="000000"/>
        </w:rPr>
        <w:t>(</w:t>
      </w:r>
      <w:r w:rsidR="0038398B" w:rsidRPr="0038398B">
        <w:rPr>
          <w:i/>
          <w:noProof/>
          <w:color w:val="000000"/>
        </w:rPr>
        <w:t>He Ara oranga: Report of the government inquiry into mental health and addiction</w:t>
      </w:r>
      <w:r w:rsidR="0038398B">
        <w:rPr>
          <w:noProof/>
          <w:color w:val="000000"/>
        </w:rPr>
        <w:t>, 2018)</w:t>
      </w:r>
      <w:r>
        <w:t xml:space="preserve">. In 2023/24, there were 617 suspected suicides </w:t>
      </w:r>
      <w:r w:rsidR="0038398B">
        <w:rPr>
          <w:noProof/>
          <w:color w:val="000000"/>
        </w:rPr>
        <w:t>(</w:t>
      </w:r>
      <w:r w:rsidR="0038398B" w:rsidRPr="0038398B">
        <w:rPr>
          <w:i/>
          <w:noProof/>
          <w:color w:val="000000"/>
        </w:rPr>
        <w:t>Suicide web tool</w:t>
      </w:r>
      <w:r w:rsidR="0038398B">
        <w:rPr>
          <w:noProof/>
          <w:color w:val="000000"/>
        </w:rPr>
        <w:t>, 2024)</w:t>
      </w:r>
      <w:r>
        <w:t xml:space="preserve"> and there are estimated to be approximately 20,000 attempts at suicide annually </w:t>
      </w:r>
      <w:r w:rsidR="0038398B">
        <w:rPr>
          <w:noProof/>
          <w:color w:val="000000"/>
        </w:rPr>
        <w:t>(</w:t>
      </w:r>
      <w:r w:rsidR="0038398B" w:rsidRPr="0038398B">
        <w:rPr>
          <w:i/>
          <w:noProof/>
          <w:color w:val="000000"/>
        </w:rPr>
        <w:t>He Ara oranga: Report of the government inquiry into mental health and addiction</w:t>
      </w:r>
      <w:r w:rsidR="0038398B">
        <w:rPr>
          <w:noProof/>
          <w:color w:val="000000"/>
        </w:rPr>
        <w:t>, 2018)</w:t>
      </w:r>
      <w:r>
        <w:t xml:space="preserve">. Younger males are overrepresented in these figures, the same demographic most likely to experience gambling problems </w:t>
      </w:r>
      <w:r w:rsidR="0038398B">
        <w:rPr>
          <w:noProof/>
          <w:color w:val="000000"/>
        </w:rPr>
        <w:t>(New Zealand Gambling Survey, 2025)</w:t>
      </w:r>
      <w:r>
        <w:t>. This demographic overlap highlights a critical intersection between gambling harm and suicide risk.</w:t>
      </w:r>
    </w:p>
    <w:p w14:paraId="424E3341" w14:textId="77777777" w:rsidR="00DB689D" w:rsidRDefault="00DB689D" w:rsidP="00367A8D">
      <w:pPr>
        <w:spacing w:line="360" w:lineRule="auto"/>
      </w:pPr>
    </w:p>
    <w:p w14:paraId="4D11165C" w14:textId="46744B3F" w:rsidR="00DB689D" w:rsidRDefault="00310A10" w:rsidP="00367A8D">
      <w:pPr>
        <w:spacing w:line="360" w:lineRule="auto"/>
      </w:pPr>
      <w:r>
        <w:t xml:space="preserve">Gambling harm contributes to two major risk factors for suicidal ideation and attempts: financial distress and relationship breakdown </w:t>
      </w:r>
      <w:r w:rsidR="0038398B">
        <w:rPr>
          <w:noProof/>
          <w:color w:val="000000"/>
        </w:rPr>
        <w:t>(Penfold, n.d.; Suicide Prevention Australia and Financial Counselling Australia, 2022)</w:t>
      </w:r>
      <w:r>
        <w:t>. These harms, combined with shame and hopelessness, place people experiencing gambling problems at heightened risk of suicide.</w:t>
      </w:r>
    </w:p>
    <w:p w14:paraId="2393A7C8" w14:textId="77777777" w:rsidR="00DB689D" w:rsidRDefault="00DB689D" w:rsidP="00367A8D">
      <w:pPr>
        <w:spacing w:line="360" w:lineRule="auto"/>
      </w:pPr>
    </w:p>
    <w:p w14:paraId="72986DC2" w14:textId="60042D27" w:rsidR="00DB689D" w:rsidRDefault="00310A10" w:rsidP="00367A8D">
      <w:pPr>
        <w:spacing w:line="360" w:lineRule="auto"/>
      </w:pPr>
      <w:r>
        <w:t xml:space="preserve">Gambling and suicide closely are related </w:t>
      </w:r>
      <w:r w:rsidR="0038398B">
        <w:rPr>
          <w:noProof/>
          <w:color w:val="000000"/>
        </w:rPr>
        <w:t>(Gambling with Lives, 2022; Rintoul et al., 2023; Wong et al., 2010)</w:t>
      </w:r>
      <w:r>
        <w:t xml:space="preserve">. International research suggests that people with a diagnosed gambling disorder face suicide rates more than 15 times higher than the general population </w:t>
      </w:r>
      <w:r w:rsidR="0038398B">
        <w:rPr>
          <w:noProof/>
          <w:color w:val="000000"/>
        </w:rPr>
        <w:t>(Karlsson &amp; Håkansson, 2018; Wong et al., 2010)</w:t>
      </w:r>
      <w:r>
        <w:t xml:space="preserve">. </w:t>
      </w:r>
    </w:p>
    <w:p w14:paraId="5CB79DF7" w14:textId="77777777" w:rsidR="00DB689D" w:rsidRDefault="00DB689D" w:rsidP="00367A8D">
      <w:pPr>
        <w:spacing w:line="360" w:lineRule="auto"/>
      </w:pPr>
    </w:p>
    <w:p w14:paraId="0B33FB8E" w14:textId="40C3E2E9" w:rsidR="00DB689D" w:rsidRDefault="00310A10" w:rsidP="00367A8D">
      <w:pPr>
        <w:spacing w:line="360" w:lineRule="auto"/>
      </w:pPr>
      <w:r>
        <w:t xml:space="preserve">Evidence from helplines and treatment services highlights this risk. A Ministry of Health review </w:t>
      </w:r>
      <w:r w:rsidR="0038398B">
        <w:rPr>
          <w:noProof/>
          <w:color w:val="000000"/>
        </w:rPr>
        <w:t>(Ministry of Health, 2006)</w:t>
      </w:r>
      <w:r>
        <w:t xml:space="preserve"> reported that 11% of new callers to New Zealand’s Gambling Helpline disclosed suicidal thoughts or behaviours. Penfold </w:t>
      </w:r>
      <w:r w:rsidR="0038398B">
        <w:rPr>
          <w:noProof/>
          <w:color w:val="000000"/>
        </w:rPr>
        <w:t>(n.d.)</w:t>
      </w:r>
      <w:r>
        <w:t xml:space="preserve">, reporting on data from Sullivan et al., found that more than 80% of people classified as problem gambling contacting a New Zealand hotline reported suicidal ideation. Another treatment study reviewed by Penfold found that 59% of clients seeking help for gambling had experienced suicidal thoughts </w:t>
      </w:r>
      <w:r w:rsidR="0038398B">
        <w:rPr>
          <w:noProof/>
          <w:color w:val="000000"/>
        </w:rPr>
        <w:t>(Penfold, n.d.)</w:t>
      </w:r>
      <w:r>
        <w:t xml:space="preserve">. </w:t>
      </w:r>
    </w:p>
    <w:p w14:paraId="64461C7F" w14:textId="77777777" w:rsidR="00DB689D" w:rsidRDefault="00DB689D" w:rsidP="00367A8D">
      <w:pPr>
        <w:spacing w:line="360" w:lineRule="auto"/>
      </w:pPr>
    </w:p>
    <w:p w14:paraId="70C030E4" w14:textId="0139ED93" w:rsidR="00DB689D" w:rsidRDefault="00310A10" w:rsidP="00367A8D">
      <w:pPr>
        <w:spacing w:line="360" w:lineRule="auto"/>
      </w:pPr>
      <w:r>
        <w:t xml:space="preserve">International research supports these findings. In the UK, one study found that 19.2% of people categorised as problem gambling reported suicidal ideation in the past year </w:t>
      </w:r>
      <w:r w:rsidR="00DB2449">
        <w:rPr>
          <w:noProof/>
          <w:color w:val="000000"/>
        </w:rPr>
        <w:t>(Wardle, Dymond, et al., 2019)</w:t>
      </w:r>
      <w:r>
        <w:t xml:space="preserve">. A hospital-based study in Victoria reported that 17.2% of patients seen by the Psychiatric Triage Team had gambling problems, with 19% of these individuals scoring high on a suicide intent scale </w:t>
      </w:r>
      <w:r w:rsidR="0038398B">
        <w:rPr>
          <w:noProof/>
          <w:color w:val="000000"/>
        </w:rPr>
        <w:t>(De Castella et al., 2011)</w:t>
      </w:r>
      <w:r>
        <w:t xml:space="preserve">. </w:t>
      </w:r>
    </w:p>
    <w:p w14:paraId="1820853B" w14:textId="77777777" w:rsidR="00DB689D" w:rsidRDefault="00DB689D" w:rsidP="00367A8D">
      <w:pPr>
        <w:spacing w:line="360" w:lineRule="auto"/>
      </w:pPr>
    </w:p>
    <w:p w14:paraId="32A3D937" w14:textId="2C3DEC04" w:rsidR="00DB689D" w:rsidRDefault="00310A10" w:rsidP="00367A8D">
      <w:pPr>
        <w:spacing w:line="360" w:lineRule="auto"/>
      </w:pPr>
      <w:r>
        <w:t xml:space="preserve">Gambling With Lives, a UK charity </w:t>
      </w:r>
      <w:r w:rsidR="00DB2449">
        <w:rPr>
          <w:noProof/>
          <w:color w:val="000000"/>
        </w:rPr>
        <w:t>(Gambling with Lives, 2022)</w:t>
      </w:r>
      <w:r>
        <w:t xml:space="preserve"> report that 42% of people seeking help for gambling problems experience suicidal thoughts, and 20% report a prior suicide attempt. These rates are higher than the general population, where approximately 17% report suicidal ideation.</w:t>
      </w:r>
    </w:p>
    <w:p w14:paraId="52D0CFF9" w14:textId="77777777" w:rsidR="00DB689D" w:rsidRDefault="00DB689D" w:rsidP="00367A8D">
      <w:pPr>
        <w:spacing w:line="360" w:lineRule="auto"/>
      </w:pPr>
    </w:p>
    <w:p w14:paraId="2FC757C1" w14:textId="60ADA561" w:rsidR="00DB689D" w:rsidRDefault="00310A10" w:rsidP="00367A8D">
      <w:pPr>
        <w:spacing w:line="360" w:lineRule="auto"/>
      </w:pPr>
      <w:r>
        <w:t xml:space="preserve">Rintoul et al., (2023) estimated that around 4.2% of suicides in Australia were related to gambling (either the person who gambled or affected others). The authors emphasised that this figure likely underestimates the true rate, as it relied on coronial data, which often does not include thorough assessments of gambling issues. A UK study reported a similar figure (4%) among young people, although the average age of those who die by gambling-related suicide is likely much older </w:t>
      </w:r>
      <w:r w:rsidR="0038398B">
        <w:rPr>
          <w:noProof/>
          <w:color w:val="000000"/>
        </w:rPr>
        <w:t>(National confidential inquiry into suicide and homicide by people with mental illness, 2017; Rintoul et al., 2023)</w:t>
      </w:r>
      <w:r>
        <w:t xml:space="preserve">. In Hong Kong, where police routinely investigate financial pressures, 11% of suicide cases involved gambling debts </w:t>
      </w:r>
      <w:r w:rsidR="0038398B">
        <w:rPr>
          <w:noProof/>
          <w:color w:val="000000"/>
        </w:rPr>
        <w:t>(Wong et al., 2010)</w:t>
      </w:r>
      <w:r>
        <w:t xml:space="preserve">. These higher rates may reflect both cultural differences as well as more comprehensive investigations. Gambling With Lives estimates that between 4% and 11% of suicides in the UK are gambling-related </w:t>
      </w:r>
      <w:r w:rsidR="00DB2449">
        <w:rPr>
          <w:noProof/>
          <w:color w:val="000000"/>
        </w:rPr>
        <w:t>(Gambling with Lives, 2022)</w:t>
      </w:r>
      <w:r>
        <w:t xml:space="preserve">. </w:t>
      </w:r>
    </w:p>
    <w:p w14:paraId="0D7E47DB" w14:textId="77777777" w:rsidR="00DB689D" w:rsidRDefault="00310A10" w:rsidP="00367A8D">
      <w:pPr>
        <w:spacing w:before="240" w:after="240" w:line="360" w:lineRule="auto"/>
      </w:pPr>
      <w:r>
        <w:t>The costs associated with gambling-related suicide and suicide attempts were analysed across the two areas separately:</w:t>
      </w:r>
    </w:p>
    <w:p w14:paraId="40974DA3" w14:textId="77777777" w:rsidR="00DB689D" w:rsidRDefault="00310A10" w:rsidP="00367A8D">
      <w:pPr>
        <w:numPr>
          <w:ilvl w:val="0"/>
          <w:numId w:val="38"/>
        </w:numPr>
        <w:spacing w:before="240" w:line="360" w:lineRule="auto"/>
      </w:pPr>
      <w:r>
        <w:t>Suicide attempts</w:t>
      </w:r>
    </w:p>
    <w:p w14:paraId="71AB4B24" w14:textId="7E60D297" w:rsidR="00212ED7" w:rsidRDefault="00310A10" w:rsidP="00212ED7">
      <w:pPr>
        <w:numPr>
          <w:ilvl w:val="0"/>
          <w:numId w:val="38"/>
        </w:numPr>
        <w:spacing w:after="240" w:line="360" w:lineRule="auto"/>
      </w:pPr>
      <w:r>
        <w:t>Fatality by suicide</w:t>
      </w:r>
    </w:p>
    <w:p w14:paraId="4989CD4A" w14:textId="6FFE1EB0" w:rsidR="00DB689D" w:rsidRDefault="00310A10" w:rsidP="00367A8D">
      <w:pPr>
        <w:pStyle w:val="Heading4"/>
        <w:keepNext w:val="0"/>
        <w:keepLines w:val="0"/>
        <w:spacing w:line="360" w:lineRule="auto"/>
      </w:pPr>
      <w:bookmarkStart w:id="441" w:name="_odcw7o88fn6t" w:colFirst="0" w:colLast="0"/>
      <w:bookmarkEnd w:id="441"/>
      <w:r>
        <w:t>Suicide attempts</w:t>
      </w:r>
    </w:p>
    <w:p w14:paraId="1054206D" w14:textId="77777777" w:rsidR="008D72BB" w:rsidRDefault="00310A10" w:rsidP="008D72BB">
      <w:pPr>
        <w:spacing w:line="360" w:lineRule="auto"/>
      </w:pPr>
      <w:r>
        <w:t xml:space="preserve">Suicide attempts are associated with </w:t>
      </w:r>
      <w:r>
        <w:rPr>
          <w:b/>
        </w:rPr>
        <w:t>direct costs</w:t>
      </w:r>
      <w:r>
        <w:t xml:space="preserve"> (including the cost of emergency response teams, police and ambulance, medical treatment costs and family support); </w:t>
      </w:r>
      <w:r>
        <w:rPr>
          <w:b/>
        </w:rPr>
        <w:t>indirect costs</w:t>
      </w:r>
      <w:r>
        <w:t xml:space="preserve"> (such as productivity losses due to time off work because of the injury); and </w:t>
      </w:r>
      <w:r>
        <w:rPr>
          <w:b/>
        </w:rPr>
        <w:t>intangible costs</w:t>
      </w:r>
      <w:r>
        <w:t xml:space="preserve"> (the emotional and psychological toll on the person involved in the attempt as well as people close to them </w:t>
      </w:r>
      <w:r w:rsidR="0038398B">
        <w:rPr>
          <w:noProof/>
          <w:color w:val="000000"/>
        </w:rPr>
        <w:t>(O’Dea &amp; Tucker, 2005; Segar et al., 2024)</w:t>
      </w:r>
      <w:r>
        <w:t xml:space="preserve">. </w:t>
      </w:r>
    </w:p>
    <w:p w14:paraId="132E9D9A" w14:textId="77777777" w:rsidR="008D72BB" w:rsidRDefault="008D72BB" w:rsidP="008D72BB">
      <w:pPr>
        <w:spacing w:line="360" w:lineRule="auto"/>
      </w:pPr>
    </w:p>
    <w:p w14:paraId="49B6242E" w14:textId="066CB37E" w:rsidR="00DB689D" w:rsidRDefault="00310A10" w:rsidP="008D72BB">
      <w:pPr>
        <w:spacing w:line="360" w:lineRule="auto"/>
      </w:pPr>
      <w:r>
        <w:t xml:space="preserve">In this section of the study, the costs of suicidal attempts due to gambling focusses on:  </w:t>
      </w:r>
    </w:p>
    <w:p w14:paraId="6B96E79A" w14:textId="77777777" w:rsidR="00DB689D" w:rsidRDefault="00310A10" w:rsidP="00367A8D">
      <w:pPr>
        <w:numPr>
          <w:ilvl w:val="0"/>
          <w:numId w:val="31"/>
        </w:numPr>
        <w:spacing w:before="120" w:line="360" w:lineRule="auto"/>
        <w:ind w:right="280"/>
      </w:pPr>
      <w:r>
        <w:t>Direct costs of services</w:t>
      </w:r>
    </w:p>
    <w:p w14:paraId="173FF88F" w14:textId="77777777" w:rsidR="00DB689D" w:rsidRDefault="00310A10" w:rsidP="00367A8D">
      <w:pPr>
        <w:numPr>
          <w:ilvl w:val="0"/>
          <w:numId w:val="31"/>
        </w:numPr>
        <w:spacing w:line="360" w:lineRule="auto"/>
        <w:ind w:right="280"/>
      </w:pPr>
      <w:r>
        <w:t>intangible costs</w:t>
      </w:r>
    </w:p>
    <w:p w14:paraId="0C2F31F0" w14:textId="77777777" w:rsidR="00DB689D" w:rsidRDefault="00310A10" w:rsidP="00367A8D">
      <w:pPr>
        <w:numPr>
          <w:ilvl w:val="1"/>
          <w:numId w:val="31"/>
        </w:numPr>
        <w:spacing w:line="360" w:lineRule="auto"/>
        <w:ind w:right="280"/>
      </w:pPr>
      <w:r>
        <w:t xml:space="preserve">Emotional impact on the person who gambles </w:t>
      </w:r>
    </w:p>
    <w:p w14:paraId="099B6935" w14:textId="77777777" w:rsidR="00DB689D" w:rsidRDefault="00310A10" w:rsidP="00367A8D">
      <w:pPr>
        <w:numPr>
          <w:ilvl w:val="1"/>
          <w:numId w:val="31"/>
        </w:numPr>
        <w:spacing w:after="120" w:line="360" w:lineRule="auto"/>
        <w:ind w:right="280"/>
      </w:pPr>
      <w:r>
        <w:t xml:space="preserve">Emotional impact on the affected others </w:t>
      </w:r>
    </w:p>
    <w:p w14:paraId="2A1FBF64" w14:textId="77777777" w:rsidR="00DB689D" w:rsidRDefault="00310A10" w:rsidP="00367A8D">
      <w:pPr>
        <w:spacing w:before="120" w:after="120" w:line="360" w:lineRule="auto"/>
        <w:ind w:right="280"/>
      </w:pPr>
      <w:r>
        <w:t>To avoid double counting, indirect costs such as productivity losses are assumed to be accounted for elsewhere in the report.</w:t>
      </w:r>
    </w:p>
    <w:p w14:paraId="1EFE2E74" w14:textId="77777777" w:rsidR="00DB689D" w:rsidRDefault="00DB689D" w:rsidP="00367A8D">
      <w:pPr>
        <w:spacing w:line="360" w:lineRule="auto"/>
      </w:pPr>
    </w:p>
    <w:p w14:paraId="40640845" w14:textId="46B9B0E8" w:rsidR="00DB689D" w:rsidRDefault="00310A10" w:rsidP="00A0657F">
      <w:pPr>
        <w:spacing w:line="360" w:lineRule="auto"/>
      </w:pPr>
      <w:r>
        <w:t xml:space="preserve">Attempts have been made to place a value on the costs of suicide worldwide </w:t>
      </w:r>
      <w:r w:rsidR="0038398B">
        <w:rPr>
          <w:noProof/>
          <w:color w:val="000000"/>
        </w:rPr>
        <w:t>(Doran, 2024; Kinchin &amp; Doran, 2017; Segar et al., 2024; Shepard et al., 2016)</w:t>
      </w:r>
      <w:r>
        <w:t xml:space="preserve">. In New Zealand, O’Dea and Tucker estimated the total cost of attempted suicide and self-harm in 2004 to be over $32 million, with an estimated cost per attempt to be $6,350. </w:t>
      </w:r>
    </w:p>
    <w:p w14:paraId="6FA828FA" w14:textId="77777777" w:rsidR="00212ED7" w:rsidRPr="00A0657F" w:rsidRDefault="00212ED7" w:rsidP="00A0657F">
      <w:pPr>
        <w:spacing w:line="360" w:lineRule="auto"/>
      </w:pPr>
    </w:p>
    <w:tbl>
      <w:tblPr>
        <w:tblStyle w:val="a9"/>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B689D" w14:paraId="42502FC4" w14:textId="77777777">
        <w:tc>
          <w:tcPr>
            <w:tcW w:w="9026" w:type="dxa"/>
            <w:shd w:val="clear" w:color="auto" w:fill="F3F3F3"/>
            <w:tcMar>
              <w:top w:w="100" w:type="dxa"/>
              <w:left w:w="100" w:type="dxa"/>
              <w:bottom w:w="100" w:type="dxa"/>
              <w:right w:w="100" w:type="dxa"/>
            </w:tcMar>
          </w:tcPr>
          <w:p w14:paraId="589E2471" w14:textId="77777777" w:rsidR="00DB689D" w:rsidRDefault="00310A10" w:rsidP="00843927">
            <w:pPr>
              <w:spacing w:before="120" w:after="240" w:line="276" w:lineRule="auto"/>
            </w:pPr>
            <w:r>
              <w:t xml:space="preserve">The economic impact of gambling-related suicidal attempts was calculated using: </w:t>
            </w:r>
          </w:p>
          <w:p w14:paraId="45E8FA09" w14:textId="77777777" w:rsidR="00DB689D" w:rsidRDefault="00310A10" w:rsidP="00843927">
            <w:pPr>
              <w:spacing w:before="120" w:after="120" w:line="276" w:lineRule="auto"/>
              <w:ind w:right="280"/>
            </w:pPr>
            <w:r>
              <w:rPr>
                <w:i/>
              </w:rPr>
              <w:t>Prevalence</w:t>
            </w:r>
            <w:r>
              <w:t xml:space="preserve"> </w:t>
            </w:r>
          </w:p>
          <w:p w14:paraId="15CD1632" w14:textId="25D21313" w:rsidR="00DB689D" w:rsidRDefault="00310A10" w:rsidP="00843927">
            <w:pPr>
              <w:numPr>
                <w:ilvl w:val="0"/>
                <w:numId w:val="42"/>
              </w:numPr>
              <w:spacing w:before="120" w:line="276" w:lineRule="auto"/>
              <w:ind w:right="280"/>
            </w:pPr>
            <w:r>
              <w:t xml:space="preserve">The percentage of people who gamble who attempted suicide due to their gambling was sourced from the </w:t>
            </w:r>
            <w:r>
              <w:rPr>
                <w:i/>
              </w:rPr>
              <w:t>Measuring the Burden of Gambling Harm in New Zealand Survey</w:t>
            </w:r>
            <w:r>
              <w:t xml:space="preserve"> report </w:t>
            </w:r>
            <w:r w:rsidR="00DB2449">
              <w:rPr>
                <w:noProof/>
                <w:color w:val="000000"/>
              </w:rPr>
              <w:t>(</w:t>
            </w:r>
            <w:r w:rsidR="002A3095">
              <w:rPr>
                <w:noProof/>
                <w:color w:val="000000"/>
              </w:rPr>
              <w:t>Browne, Greer et al., 2017</w:t>
            </w:r>
            <w:r w:rsidR="00DB2449">
              <w:rPr>
                <w:noProof/>
                <w:color w:val="000000"/>
              </w:rPr>
              <w:t>)</w:t>
            </w:r>
            <w:r>
              <w:t xml:space="preserve">. </w:t>
            </w:r>
          </w:p>
          <w:p w14:paraId="77D9375B" w14:textId="77777777" w:rsidR="00DB689D" w:rsidRDefault="00310A10" w:rsidP="00843927">
            <w:pPr>
              <w:numPr>
                <w:ilvl w:val="0"/>
                <w:numId w:val="42"/>
              </w:numPr>
              <w:spacing w:line="276" w:lineRule="auto"/>
              <w:ind w:right="280"/>
            </w:pPr>
            <w:r>
              <w:t>These percentages were projected onto the number of New Zealanders in each of the PGSI risk categories (NZGS, 2023) to get a total number of New Zealanders who attempted suicide due to their gambling.</w:t>
            </w:r>
          </w:p>
          <w:p w14:paraId="632D8AED" w14:textId="5BA8D2CF" w:rsidR="00DB689D" w:rsidRDefault="00310A10" w:rsidP="00843927">
            <w:pPr>
              <w:numPr>
                <w:ilvl w:val="0"/>
                <w:numId w:val="42"/>
              </w:numPr>
              <w:spacing w:line="276" w:lineRule="auto"/>
              <w:ind w:right="280"/>
            </w:pPr>
            <w:r>
              <w:t xml:space="preserve">A 20% causality discount was applied to people who experience moderate-risk or problem gambling as per the Australian Productivity Commission </w:t>
            </w:r>
            <w:r w:rsidR="0038398B">
              <w:rPr>
                <w:noProof/>
                <w:color w:val="000000"/>
              </w:rPr>
              <w:t>(1999)</w:t>
            </w:r>
            <w:r>
              <w:t xml:space="preserve">. Additionally, in order to avoid attribution issues, suicide attempts reported by people classified at low-risk gambling were excluded (discounted by 100%). This approach reduces the risk of over-attribution, as gambling is less likely to be the main contributing factor to suicide attempts among people experiencing low levels of harm. </w:t>
            </w:r>
          </w:p>
          <w:p w14:paraId="6537A373" w14:textId="16F09DA8" w:rsidR="00DB689D" w:rsidRDefault="00310A10" w:rsidP="00843927">
            <w:pPr>
              <w:numPr>
                <w:ilvl w:val="0"/>
                <w:numId w:val="42"/>
              </w:numPr>
              <w:spacing w:line="276" w:lineRule="auto"/>
              <w:ind w:right="280"/>
            </w:pPr>
            <w:r>
              <w:t>To avoid double counting, the number of gambling-related fatalities by suicide (</w:t>
            </w:r>
            <w:r w:rsidRPr="006903A5">
              <w:t>see</w:t>
            </w:r>
            <w:r w:rsidR="006903A5" w:rsidRPr="006903A5">
              <w:t xml:space="preserve"> Fatality by suicide - cost to the New Zealand economy</w:t>
            </w:r>
            <w:r w:rsidR="006903A5">
              <w:t xml:space="preserve"> </w:t>
            </w:r>
            <w:r w:rsidRPr="006903A5">
              <w:t>for details</w:t>
            </w:r>
            <w:r>
              <w:t xml:space="preserve">) was subtracted from the total. </w:t>
            </w:r>
          </w:p>
          <w:p w14:paraId="22866E90" w14:textId="494FAC88" w:rsidR="00DB689D" w:rsidRDefault="00310A10" w:rsidP="00843927">
            <w:pPr>
              <w:numPr>
                <w:ilvl w:val="0"/>
                <w:numId w:val="42"/>
              </w:numPr>
              <w:spacing w:after="120" w:line="276" w:lineRule="auto"/>
              <w:ind w:right="280"/>
            </w:pPr>
            <w:r>
              <w:t xml:space="preserve">The average number of affected others impacted by each suicide attempt was 6 </w:t>
            </w:r>
            <w:r w:rsidR="0038398B">
              <w:rPr>
                <w:noProof/>
                <w:color w:val="000000"/>
              </w:rPr>
              <w:t>(Berman, 2011; Cerel et al., 2019)</w:t>
            </w:r>
            <w:r>
              <w:t xml:space="preserve">. </w:t>
            </w:r>
          </w:p>
          <w:p w14:paraId="1A4C407D" w14:textId="77777777" w:rsidR="00DB689D" w:rsidRDefault="00310A10" w:rsidP="00843927">
            <w:pPr>
              <w:spacing w:before="120" w:after="120" w:line="276" w:lineRule="auto"/>
              <w:ind w:right="280"/>
            </w:pPr>
            <w:r>
              <w:rPr>
                <w:i/>
              </w:rPr>
              <w:t>Cost of services</w:t>
            </w:r>
            <w:r>
              <w:t xml:space="preserve"> </w:t>
            </w:r>
          </w:p>
          <w:p w14:paraId="7A52BB65" w14:textId="1C23EA2A" w:rsidR="00DB689D" w:rsidRDefault="00310A10" w:rsidP="00843927">
            <w:pPr>
              <w:numPr>
                <w:ilvl w:val="0"/>
                <w:numId w:val="36"/>
              </w:numPr>
              <w:spacing w:before="120" w:after="120" w:line="276" w:lineRule="auto"/>
              <w:ind w:right="280"/>
            </w:pPr>
            <w:r>
              <w:t>The average cost of services (</w:t>
            </w:r>
            <w:r w:rsidRPr="006903A5">
              <w:t>emergency response, police, family counselling, ambulance, emergency department and hospital treatment</w:t>
            </w:r>
            <w:r>
              <w:t xml:space="preserve"> costs) associated with a suicide attempt in 2004 was $3,750 </w:t>
            </w:r>
            <w:r w:rsidR="0038398B">
              <w:rPr>
                <w:noProof/>
                <w:color w:val="000000"/>
              </w:rPr>
              <w:t>(O’Dea &amp; Tucker, 2005)</w:t>
            </w:r>
            <w:r>
              <w:t>, this results in a cost of $6,156 when inflated to 2024.</w:t>
            </w:r>
          </w:p>
          <w:p w14:paraId="52EC168A" w14:textId="77777777" w:rsidR="00DB689D" w:rsidRDefault="00310A10" w:rsidP="00843927">
            <w:pPr>
              <w:spacing w:before="120" w:after="120" w:line="276" w:lineRule="auto"/>
              <w:ind w:right="280"/>
            </w:pPr>
            <w:r>
              <w:rPr>
                <w:i/>
              </w:rPr>
              <w:t>Emotional harm</w:t>
            </w:r>
            <w:r>
              <w:t xml:space="preserve"> </w:t>
            </w:r>
          </w:p>
          <w:p w14:paraId="462987EB" w14:textId="7400063E" w:rsidR="00DB689D" w:rsidRDefault="00310A10" w:rsidP="00843927">
            <w:pPr>
              <w:numPr>
                <w:ilvl w:val="0"/>
                <w:numId w:val="42"/>
              </w:numPr>
              <w:spacing w:before="120" w:after="120" w:line="276" w:lineRule="auto"/>
              <w:ind w:right="280"/>
            </w:pPr>
            <w:r>
              <w:t xml:space="preserve">A cost of $10,000 </w:t>
            </w:r>
            <w:r w:rsidR="0038398B">
              <w:rPr>
                <w:noProof/>
                <w:color w:val="000000"/>
              </w:rPr>
              <w:t>(Warburton, 2021)</w:t>
            </w:r>
            <w:r>
              <w:t xml:space="preserve"> was used as a proxy for emotional harm.</w:t>
            </w:r>
          </w:p>
        </w:tc>
      </w:tr>
    </w:tbl>
    <w:p w14:paraId="2C7077E5" w14:textId="77777777" w:rsidR="008D72BB" w:rsidRDefault="008D72BB" w:rsidP="00367A8D">
      <w:pPr>
        <w:spacing w:before="120" w:after="240" w:line="360" w:lineRule="auto"/>
      </w:pPr>
    </w:p>
    <w:p w14:paraId="13A286BD" w14:textId="0DCC7E9B" w:rsidR="00DB689D" w:rsidRDefault="00310A10" w:rsidP="00367A8D">
      <w:pPr>
        <w:spacing w:before="120" w:after="240" w:line="360" w:lineRule="auto"/>
        <w:rPr>
          <w:color w:val="0E101A"/>
          <w:highlight w:val="yellow"/>
        </w:rPr>
      </w:pPr>
      <w:r>
        <w:rPr>
          <w:b/>
        </w:rPr>
        <w:t xml:space="preserve">These figures result in a total estimated cost associated with suicidal attempts due to gambling in New Zealand </w:t>
      </w:r>
      <w:r w:rsidR="00124393">
        <w:rPr>
          <w:b/>
        </w:rPr>
        <w:t>of</w:t>
      </w:r>
      <w:r>
        <w:rPr>
          <w:b/>
        </w:rPr>
        <w:t xml:space="preserve"> around $104 million </w:t>
      </w:r>
      <w:r w:rsidRPr="006903A5">
        <w:rPr>
          <w:b/>
        </w:rPr>
        <w:t>(Table 1</w:t>
      </w:r>
      <w:r w:rsidR="001D7B0D">
        <w:rPr>
          <w:b/>
        </w:rPr>
        <w:t>8</w:t>
      </w:r>
      <w:r w:rsidRPr="006903A5">
        <w:rPr>
          <w:b/>
        </w:rPr>
        <w:t>).</w:t>
      </w:r>
      <w:r>
        <w:t xml:space="preserve"> </w:t>
      </w:r>
      <w:r w:rsidR="00124393">
        <w:t>An</w:t>
      </w:r>
      <w:r w:rsidR="00A0657F">
        <w:t xml:space="preserve"> estimated 1,369 New Zealanders attempted suicide due to gambling in 2023–24, representing around 1.3% of people experiencing moderate to severe gambling problems. A further 8,211 people are likely to be affected by these attempts.</w:t>
      </w:r>
    </w:p>
    <w:p w14:paraId="07354E8A" w14:textId="2AA07521" w:rsidR="006903A5" w:rsidRDefault="006903A5" w:rsidP="00DB094D">
      <w:pPr>
        <w:pStyle w:val="Caption"/>
      </w:pPr>
      <w:bookmarkStart w:id="442" w:name="_Toc207619060"/>
      <w:r>
        <w:t xml:space="preserve">Table </w:t>
      </w:r>
      <w:r>
        <w:fldChar w:fldCharType="begin"/>
      </w:r>
      <w:r>
        <w:instrText xml:space="preserve"> SEQ Table \* ARABIC </w:instrText>
      </w:r>
      <w:r>
        <w:fldChar w:fldCharType="separate"/>
      </w:r>
      <w:r w:rsidR="00986A0D">
        <w:rPr>
          <w:noProof/>
        </w:rPr>
        <w:t>18</w:t>
      </w:r>
      <w:r>
        <w:fldChar w:fldCharType="end"/>
      </w:r>
      <w:r>
        <w:t xml:space="preserve">. </w:t>
      </w:r>
      <w:r w:rsidRPr="00D907E2">
        <w:t>Cost of suicide attempts due to gambling problems in New Zealand (2023-24)</w:t>
      </w:r>
      <w:bookmarkEnd w:id="442"/>
    </w:p>
    <w:tbl>
      <w:tblPr>
        <w:tblStyle w:val="TableGridLight"/>
        <w:tblW w:w="9634" w:type="dxa"/>
        <w:tblLayout w:type="fixed"/>
        <w:tblLook w:val="04A0" w:firstRow="1" w:lastRow="0" w:firstColumn="1" w:lastColumn="0" w:noHBand="0" w:noVBand="1"/>
      </w:tblPr>
      <w:tblGrid>
        <w:gridCol w:w="3397"/>
        <w:gridCol w:w="1276"/>
        <w:gridCol w:w="992"/>
        <w:gridCol w:w="1276"/>
        <w:gridCol w:w="1276"/>
        <w:gridCol w:w="1417"/>
      </w:tblGrid>
      <w:tr w:rsidR="006903A5" w:rsidRPr="008D72BB" w14:paraId="1FB7C19A" w14:textId="77777777">
        <w:trPr>
          <w:trHeight w:val="397"/>
        </w:trPr>
        <w:tc>
          <w:tcPr>
            <w:tcW w:w="3397" w:type="dxa"/>
            <w:shd w:val="clear" w:color="auto" w:fill="F2F2F2" w:themeFill="background1" w:themeFillShade="F2"/>
            <w:vAlign w:val="center"/>
            <w:hideMark/>
          </w:tcPr>
          <w:p w14:paraId="2312BD01" w14:textId="77777777" w:rsidR="006903A5" w:rsidRPr="008D72BB" w:rsidRDefault="006903A5">
            <w:pPr>
              <w:spacing w:line="276" w:lineRule="auto"/>
              <w:rPr>
                <w:b/>
                <w:bCs/>
                <w:color w:val="000000"/>
                <w:sz w:val="20"/>
                <w:szCs w:val="20"/>
              </w:rPr>
            </w:pPr>
            <w:r w:rsidRPr="008D72BB">
              <w:rPr>
                <w:b/>
                <w:bCs/>
                <w:color w:val="000000"/>
                <w:sz w:val="20"/>
                <w:szCs w:val="20"/>
              </w:rPr>
              <w:t>Variable</w:t>
            </w:r>
          </w:p>
        </w:tc>
        <w:tc>
          <w:tcPr>
            <w:tcW w:w="1276" w:type="dxa"/>
            <w:shd w:val="clear" w:color="auto" w:fill="F2F2F2" w:themeFill="background1" w:themeFillShade="F2"/>
            <w:vAlign w:val="center"/>
            <w:hideMark/>
          </w:tcPr>
          <w:p w14:paraId="20E9A409" w14:textId="77777777" w:rsidR="006903A5" w:rsidRPr="008D72BB" w:rsidRDefault="006903A5">
            <w:pPr>
              <w:spacing w:line="276" w:lineRule="auto"/>
              <w:jc w:val="center"/>
              <w:rPr>
                <w:b/>
                <w:bCs/>
                <w:color w:val="000000"/>
                <w:sz w:val="20"/>
                <w:szCs w:val="20"/>
              </w:rPr>
            </w:pPr>
            <w:r w:rsidRPr="008D72BB">
              <w:rPr>
                <w:b/>
                <w:bCs/>
                <w:color w:val="000000"/>
                <w:sz w:val="20"/>
                <w:szCs w:val="20"/>
              </w:rPr>
              <w:t>Calculation</w:t>
            </w:r>
          </w:p>
        </w:tc>
        <w:tc>
          <w:tcPr>
            <w:tcW w:w="992" w:type="dxa"/>
            <w:shd w:val="clear" w:color="auto" w:fill="F2F2F2" w:themeFill="background1" w:themeFillShade="F2"/>
            <w:vAlign w:val="center"/>
            <w:hideMark/>
          </w:tcPr>
          <w:p w14:paraId="3E46AA7D" w14:textId="77777777" w:rsidR="006903A5" w:rsidRPr="008D72BB" w:rsidRDefault="006903A5">
            <w:pPr>
              <w:spacing w:line="276" w:lineRule="auto"/>
              <w:jc w:val="center"/>
              <w:rPr>
                <w:b/>
                <w:bCs/>
                <w:color w:val="000000"/>
                <w:sz w:val="20"/>
                <w:szCs w:val="20"/>
              </w:rPr>
            </w:pPr>
            <w:r w:rsidRPr="008D72BB">
              <w:rPr>
                <w:b/>
                <w:bCs/>
                <w:color w:val="000000"/>
                <w:sz w:val="20"/>
                <w:szCs w:val="20"/>
              </w:rPr>
              <w:t>LR</w:t>
            </w:r>
          </w:p>
        </w:tc>
        <w:tc>
          <w:tcPr>
            <w:tcW w:w="1276" w:type="dxa"/>
            <w:shd w:val="clear" w:color="auto" w:fill="F2F2F2" w:themeFill="background1" w:themeFillShade="F2"/>
            <w:vAlign w:val="center"/>
            <w:hideMark/>
          </w:tcPr>
          <w:p w14:paraId="3807403F" w14:textId="77777777" w:rsidR="006903A5" w:rsidRPr="008D72BB" w:rsidRDefault="006903A5">
            <w:pPr>
              <w:spacing w:line="276" w:lineRule="auto"/>
              <w:jc w:val="center"/>
              <w:rPr>
                <w:b/>
                <w:bCs/>
                <w:color w:val="000000"/>
                <w:sz w:val="20"/>
                <w:szCs w:val="20"/>
              </w:rPr>
            </w:pPr>
            <w:r w:rsidRPr="008D72BB">
              <w:rPr>
                <w:b/>
                <w:bCs/>
                <w:color w:val="000000"/>
                <w:sz w:val="20"/>
                <w:szCs w:val="20"/>
              </w:rPr>
              <w:t>MR</w:t>
            </w:r>
          </w:p>
        </w:tc>
        <w:tc>
          <w:tcPr>
            <w:tcW w:w="1276" w:type="dxa"/>
            <w:shd w:val="clear" w:color="auto" w:fill="F2F2F2" w:themeFill="background1" w:themeFillShade="F2"/>
            <w:vAlign w:val="center"/>
            <w:hideMark/>
          </w:tcPr>
          <w:p w14:paraId="09388BA1" w14:textId="77777777" w:rsidR="006903A5" w:rsidRPr="008D72BB" w:rsidRDefault="006903A5">
            <w:pPr>
              <w:spacing w:line="276" w:lineRule="auto"/>
              <w:jc w:val="center"/>
              <w:rPr>
                <w:b/>
                <w:bCs/>
                <w:color w:val="000000"/>
                <w:sz w:val="20"/>
                <w:szCs w:val="20"/>
              </w:rPr>
            </w:pPr>
            <w:r w:rsidRPr="008D72BB">
              <w:rPr>
                <w:b/>
                <w:bCs/>
                <w:color w:val="000000"/>
                <w:sz w:val="20"/>
                <w:szCs w:val="20"/>
              </w:rPr>
              <w:t>PG</w:t>
            </w:r>
          </w:p>
        </w:tc>
        <w:tc>
          <w:tcPr>
            <w:tcW w:w="1417" w:type="dxa"/>
            <w:shd w:val="clear" w:color="auto" w:fill="F2F2F2" w:themeFill="background1" w:themeFillShade="F2"/>
            <w:vAlign w:val="center"/>
            <w:hideMark/>
          </w:tcPr>
          <w:p w14:paraId="595151B0" w14:textId="77777777" w:rsidR="006903A5" w:rsidRPr="008D72BB" w:rsidRDefault="006903A5">
            <w:pPr>
              <w:spacing w:line="276" w:lineRule="auto"/>
              <w:jc w:val="center"/>
              <w:rPr>
                <w:b/>
                <w:bCs/>
                <w:color w:val="000000"/>
                <w:sz w:val="20"/>
                <w:szCs w:val="20"/>
              </w:rPr>
            </w:pPr>
            <w:r w:rsidRPr="008D72BB">
              <w:rPr>
                <w:b/>
                <w:bCs/>
                <w:color w:val="000000"/>
                <w:sz w:val="20"/>
                <w:szCs w:val="20"/>
              </w:rPr>
              <w:t>Total Gambling Problems</w:t>
            </w:r>
          </w:p>
        </w:tc>
      </w:tr>
      <w:tr w:rsidR="006903A5" w:rsidRPr="008D72BB" w14:paraId="5AE41733" w14:textId="77777777">
        <w:trPr>
          <w:trHeight w:val="397"/>
        </w:trPr>
        <w:tc>
          <w:tcPr>
            <w:tcW w:w="3397" w:type="dxa"/>
            <w:vAlign w:val="center"/>
            <w:hideMark/>
          </w:tcPr>
          <w:p w14:paraId="678B03AA" w14:textId="77777777" w:rsidR="006903A5" w:rsidRPr="008D72BB" w:rsidRDefault="006903A5">
            <w:pPr>
              <w:spacing w:line="276" w:lineRule="auto"/>
              <w:rPr>
                <w:color w:val="000000"/>
                <w:sz w:val="20"/>
                <w:szCs w:val="20"/>
              </w:rPr>
            </w:pPr>
            <w:r w:rsidRPr="008D72BB">
              <w:rPr>
                <w:color w:val="000000"/>
                <w:sz w:val="20"/>
                <w:szCs w:val="20"/>
              </w:rPr>
              <w:t>New Zealand population by PGSI</w:t>
            </w:r>
          </w:p>
        </w:tc>
        <w:tc>
          <w:tcPr>
            <w:tcW w:w="1276" w:type="dxa"/>
            <w:noWrap/>
            <w:vAlign w:val="center"/>
            <w:hideMark/>
          </w:tcPr>
          <w:p w14:paraId="5B187EFA" w14:textId="77777777" w:rsidR="006903A5" w:rsidRPr="008D72BB" w:rsidRDefault="006903A5">
            <w:pPr>
              <w:spacing w:line="276" w:lineRule="auto"/>
              <w:rPr>
                <w:color w:val="000000"/>
                <w:sz w:val="20"/>
                <w:szCs w:val="20"/>
              </w:rPr>
            </w:pPr>
            <w:r w:rsidRPr="008D72BB">
              <w:rPr>
                <w:color w:val="000000"/>
                <w:sz w:val="20"/>
                <w:szCs w:val="20"/>
              </w:rPr>
              <w:t>n</w:t>
            </w:r>
          </w:p>
        </w:tc>
        <w:tc>
          <w:tcPr>
            <w:tcW w:w="992" w:type="dxa"/>
            <w:vAlign w:val="center"/>
            <w:hideMark/>
          </w:tcPr>
          <w:p w14:paraId="55CC1E14" w14:textId="77777777" w:rsidR="006903A5" w:rsidRPr="008D72BB" w:rsidRDefault="006903A5">
            <w:pPr>
              <w:spacing w:line="276" w:lineRule="auto"/>
              <w:jc w:val="right"/>
              <w:rPr>
                <w:color w:val="000000"/>
                <w:sz w:val="20"/>
                <w:szCs w:val="20"/>
              </w:rPr>
            </w:pPr>
            <w:r w:rsidRPr="008D72BB">
              <w:rPr>
                <w:color w:val="000000"/>
                <w:sz w:val="20"/>
                <w:szCs w:val="20"/>
              </w:rPr>
              <w:t>255,318</w:t>
            </w:r>
          </w:p>
        </w:tc>
        <w:tc>
          <w:tcPr>
            <w:tcW w:w="1276" w:type="dxa"/>
            <w:vAlign w:val="center"/>
            <w:hideMark/>
          </w:tcPr>
          <w:p w14:paraId="12AAB644" w14:textId="77777777" w:rsidR="006903A5" w:rsidRPr="008D72BB" w:rsidRDefault="006903A5">
            <w:pPr>
              <w:spacing w:line="276" w:lineRule="auto"/>
              <w:jc w:val="right"/>
              <w:rPr>
                <w:color w:val="000000"/>
                <w:sz w:val="20"/>
                <w:szCs w:val="20"/>
              </w:rPr>
            </w:pPr>
            <w:r w:rsidRPr="008D72BB">
              <w:rPr>
                <w:color w:val="000000"/>
                <w:sz w:val="20"/>
                <w:szCs w:val="20"/>
              </w:rPr>
              <w:t>83,492</w:t>
            </w:r>
          </w:p>
        </w:tc>
        <w:tc>
          <w:tcPr>
            <w:tcW w:w="1276" w:type="dxa"/>
            <w:vAlign w:val="center"/>
            <w:hideMark/>
          </w:tcPr>
          <w:p w14:paraId="3A1F0FBE" w14:textId="77777777" w:rsidR="006903A5" w:rsidRPr="008D72BB" w:rsidRDefault="006903A5">
            <w:pPr>
              <w:spacing w:line="276" w:lineRule="auto"/>
              <w:jc w:val="right"/>
              <w:rPr>
                <w:color w:val="000000"/>
                <w:sz w:val="20"/>
                <w:szCs w:val="20"/>
              </w:rPr>
            </w:pPr>
            <w:r w:rsidRPr="008D72BB">
              <w:rPr>
                <w:color w:val="000000"/>
                <w:sz w:val="20"/>
                <w:szCs w:val="20"/>
              </w:rPr>
              <w:t>20,436</w:t>
            </w:r>
          </w:p>
        </w:tc>
        <w:tc>
          <w:tcPr>
            <w:tcW w:w="1417" w:type="dxa"/>
            <w:vAlign w:val="center"/>
            <w:hideMark/>
          </w:tcPr>
          <w:p w14:paraId="54ABB8F9" w14:textId="77777777" w:rsidR="006903A5" w:rsidRPr="008D72BB" w:rsidRDefault="006903A5">
            <w:pPr>
              <w:spacing w:line="276" w:lineRule="auto"/>
              <w:jc w:val="right"/>
              <w:rPr>
                <w:color w:val="000000"/>
                <w:sz w:val="20"/>
                <w:szCs w:val="20"/>
              </w:rPr>
            </w:pPr>
            <w:r w:rsidRPr="008D72BB">
              <w:rPr>
                <w:color w:val="000000"/>
                <w:sz w:val="20"/>
                <w:szCs w:val="20"/>
              </w:rPr>
              <w:t>359,246</w:t>
            </w:r>
          </w:p>
        </w:tc>
      </w:tr>
      <w:tr w:rsidR="006903A5" w:rsidRPr="008D72BB" w14:paraId="4B6F4730" w14:textId="77777777">
        <w:trPr>
          <w:trHeight w:val="397"/>
        </w:trPr>
        <w:tc>
          <w:tcPr>
            <w:tcW w:w="3397" w:type="dxa"/>
            <w:vAlign w:val="center"/>
            <w:hideMark/>
          </w:tcPr>
          <w:p w14:paraId="7B5AEB32" w14:textId="77777777" w:rsidR="006903A5" w:rsidRPr="008D72BB" w:rsidRDefault="006903A5">
            <w:pPr>
              <w:spacing w:line="276" w:lineRule="auto"/>
              <w:rPr>
                <w:color w:val="000000"/>
                <w:sz w:val="20"/>
                <w:szCs w:val="20"/>
              </w:rPr>
            </w:pPr>
            <w:r w:rsidRPr="008D72BB">
              <w:rPr>
                <w:color w:val="000000"/>
                <w:sz w:val="20"/>
                <w:szCs w:val="20"/>
              </w:rPr>
              <w:t>Rate (%) of PGSI group whose gambling led them to attempt suicide (12-month period)</w:t>
            </w:r>
          </w:p>
        </w:tc>
        <w:tc>
          <w:tcPr>
            <w:tcW w:w="1276" w:type="dxa"/>
            <w:vAlign w:val="center"/>
            <w:hideMark/>
          </w:tcPr>
          <w:p w14:paraId="69FDDE0A" w14:textId="77777777" w:rsidR="006903A5" w:rsidRPr="008D72BB" w:rsidRDefault="006903A5">
            <w:pPr>
              <w:spacing w:line="276" w:lineRule="auto"/>
              <w:rPr>
                <w:color w:val="000000"/>
                <w:sz w:val="20"/>
                <w:szCs w:val="20"/>
              </w:rPr>
            </w:pPr>
            <w:r w:rsidRPr="008D72BB">
              <w:rPr>
                <w:color w:val="000000"/>
                <w:sz w:val="20"/>
                <w:szCs w:val="20"/>
              </w:rPr>
              <w:t>a</w:t>
            </w:r>
          </w:p>
        </w:tc>
        <w:tc>
          <w:tcPr>
            <w:tcW w:w="992" w:type="dxa"/>
            <w:vAlign w:val="center"/>
            <w:hideMark/>
          </w:tcPr>
          <w:p w14:paraId="4B3C0FA8" w14:textId="77777777" w:rsidR="006903A5" w:rsidRPr="008D72BB" w:rsidRDefault="006903A5">
            <w:pPr>
              <w:spacing w:line="276" w:lineRule="auto"/>
              <w:jc w:val="right"/>
              <w:rPr>
                <w:color w:val="000000"/>
                <w:sz w:val="20"/>
                <w:szCs w:val="20"/>
              </w:rPr>
            </w:pPr>
            <w:r w:rsidRPr="008D72BB">
              <w:rPr>
                <w:color w:val="000000"/>
                <w:sz w:val="20"/>
                <w:szCs w:val="20"/>
              </w:rPr>
              <w:t>0.8%</w:t>
            </w:r>
          </w:p>
        </w:tc>
        <w:tc>
          <w:tcPr>
            <w:tcW w:w="1276" w:type="dxa"/>
            <w:vAlign w:val="center"/>
            <w:hideMark/>
          </w:tcPr>
          <w:p w14:paraId="5A317AB1" w14:textId="77777777" w:rsidR="006903A5" w:rsidRPr="008D72BB" w:rsidRDefault="006903A5">
            <w:pPr>
              <w:spacing w:line="276" w:lineRule="auto"/>
              <w:jc w:val="right"/>
              <w:rPr>
                <w:color w:val="000000"/>
                <w:sz w:val="20"/>
                <w:szCs w:val="20"/>
              </w:rPr>
            </w:pPr>
            <w:r w:rsidRPr="008D72BB">
              <w:rPr>
                <w:color w:val="000000"/>
                <w:sz w:val="20"/>
                <w:szCs w:val="20"/>
              </w:rPr>
              <w:t>0.3%</w:t>
            </w:r>
          </w:p>
        </w:tc>
        <w:tc>
          <w:tcPr>
            <w:tcW w:w="1276" w:type="dxa"/>
            <w:vAlign w:val="center"/>
            <w:hideMark/>
          </w:tcPr>
          <w:p w14:paraId="373CD043" w14:textId="77777777" w:rsidR="006903A5" w:rsidRPr="008D72BB" w:rsidRDefault="006903A5">
            <w:pPr>
              <w:spacing w:line="276" w:lineRule="auto"/>
              <w:jc w:val="right"/>
              <w:rPr>
                <w:color w:val="000000"/>
                <w:sz w:val="20"/>
                <w:szCs w:val="20"/>
              </w:rPr>
            </w:pPr>
            <w:r w:rsidRPr="008D72BB">
              <w:rPr>
                <w:color w:val="000000"/>
                <w:sz w:val="20"/>
                <w:szCs w:val="20"/>
              </w:rPr>
              <w:t>7.3%</w:t>
            </w:r>
          </w:p>
        </w:tc>
        <w:tc>
          <w:tcPr>
            <w:tcW w:w="1417" w:type="dxa"/>
            <w:noWrap/>
            <w:vAlign w:val="center"/>
            <w:hideMark/>
          </w:tcPr>
          <w:p w14:paraId="330E6CC3" w14:textId="77777777" w:rsidR="006903A5" w:rsidRPr="008D72BB" w:rsidRDefault="006903A5">
            <w:pPr>
              <w:spacing w:line="276" w:lineRule="auto"/>
              <w:jc w:val="right"/>
              <w:rPr>
                <w:color w:val="000000"/>
                <w:sz w:val="20"/>
                <w:szCs w:val="20"/>
              </w:rPr>
            </w:pPr>
            <w:r w:rsidRPr="008D72BB">
              <w:rPr>
                <w:color w:val="000000"/>
                <w:sz w:val="20"/>
                <w:szCs w:val="20"/>
              </w:rPr>
              <w:t> </w:t>
            </w:r>
          </w:p>
        </w:tc>
      </w:tr>
      <w:tr w:rsidR="006903A5" w:rsidRPr="008D72BB" w14:paraId="34803143" w14:textId="77777777">
        <w:trPr>
          <w:trHeight w:val="397"/>
        </w:trPr>
        <w:tc>
          <w:tcPr>
            <w:tcW w:w="3397" w:type="dxa"/>
            <w:vAlign w:val="center"/>
            <w:hideMark/>
          </w:tcPr>
          <w:p w14:paraId="070AC7D2" w14:textId="77777777" w:rsidR="006903A5" w:rsidRPr="008D72BB" w:rsidRDefault="006903A5">
            <w:pPr>
              <w:spacing w:line="276" w:lineRule="auto"/>
              <w:rPr>
                <w:color w:val="000000"/>
                <w:sz w:val="20"/>
                <w:szCs w:val="20"/>
              </w:rPr>
            </w:pPr>
            <w:r w:rsidRPr="008D72BB">
              <w:rPr>
                <w:color w:val="000000"/>
                <w:sz w:val="20"/>
                <w:szCs w:val="20"/>
              </w:rPr>
              <w:t>Less causality discount (100% LR, 20% MR/PG)</w:t>
            </w:r>
          </w:p>
        </w:tc>
        <w:tc>
          <w:tcPr>
            <w:tcW w:w="1276" w:type="dxa"/>
            <w:vAlign w:val="center"/>
            <w:hideMark/>
          </w:tcPr>
          <w:p w14:paraId="43A06C6D" w14:textId="77777777" w:rsidR="006903A5" w:rsidRPr="008D72BB" w:rsidRDefault="006903A5">
            <w:pPr>
              <w:spacing w:line="276" w:lineRule="auto"/>
              <w:rPr>
                <w:color w:val="000000"/>
                <w:sz w:val="20"/>
                <w:szCs w:val="20"/>
              </w:rPr>
            </w:pPr>
            <w:r w:rsidRPr="008D72BB">
              <w:rPr>
                <w:color w:val="000000"/>
                <w:sz w:val="20"/>
                <w:szCs w:val="20"/>
              </w:rPr>
              <w:t>b</w:t>
            </w:r>
          </w:p>
        </w:tc>
        <w:tc>
          <w:tcPr>
            <w:tcW w:w="992" w:type="dxa"/>
            <w:vAlign w:val="center"/>
            <w:hideMark/>
          </w:tcPr>
          <w:p w14:paraId="7C6C60B8" w14:textId="77777777" w:rsidR="006903A5" w:rsidRPr="008D72BB" w:rsidRDefault="006903A5">
            <w:pPr>
              <w:spacing w:line="276" w:lineRule="auto"/>
              <w:jc w:val="right"/>
              <w:rPr>
                <w:color w:val="000000"/>
                <w:sz w:val="20"/>
                <w:szCs w:val="20"/>
              </w:rPr>
            </w:pPr>
            <w:r w:rsidRPr="008D72BB">
              <w:rPr>
                <w:color w:val="000000"/>
                <w:sz w:val="20"/>
                <w:szCs w:val="20"/>
              </w:rPr>
              <w:t>0.0%</w:t>
            </w:r>
          </w:p>
        </w:tc>
        <w:tc>
          <w:tcPr>
            <w:tcW w:w="1276" w:type="dxa"/>
            <w:vAlign w:val="center"/>
            <w:hideMark/>
          </w:tcPr>
          <w:p w14:paraId="64C76BDA" w14:textId="77777777" w:rsidR="006903A5" w:rsidRPr="008D72BB" w:rsidRDefault="006903A5">
            <w:pPr>
              <w:spacing w:line="276" w:lineRule="auto"/>
              <w:jc w:val="right"/>
              <w:rPr>
                <w:color w:val="000000"/>
                <w:sz w:val="20"/>
                <w:szCs w:val="20"/>
              </w:rPr>
            </w:pPr>
            <w:r w:rsidRPr="008D72BB">
              <w:rPr>
                <w:color w:val="000000"/>
                <w:sz w:val="20"/>
                <w:szCs w:val="20"/>
              </w:rPr>
              <w:t>80.0%</w:t>
            </w:r>
          </w:p>
        </w:tc>
        <w:tc>
          <w:tcPr>
            <w:tcW w:w="1276" w:type="dxa"/>
            <w:vAlign w:val="center"/>
            <w:hideMark/>
          </w:tcPr>
          <w:p w14:paraId="51817185" w14:textId="77777777" w:rsidR="006903A5" w:rsidRPr="008D72BB" w:rsidRDefault="006903A5">
            <w:pPr>
              <w:spacing w:line="276" w:lineRule="auto"/>
              <w:jc w:val="right"/>
              <w:rPr>
                <w:color w:val="000000"/>
                <w:sz w:val="20"/>
                <w:szCs w:val="20"/>
              </w:rPr>
            </w:pPr>
            <w:r w:rsidRPr="008D72BB">
              <w:rPr>
                <w:color w:val="000000"/>
                <w:sz w:val="20"/>
                <w:szCs w:val="20"/>
              </w:rPr>
              <w:t>80.0%</w:t>
            </w:r>
          </w:p>
        </w:tc>
        <w:tc>
          <w:tcPr>
            <w:tcW w:w="1417" w:type="dxa"/>
            <w:vAlign w:val="center"/>
            <w:hideMark/>
          </w:tcPr>
          <w:p w14:paraId="6DECE7A9" w14:textId="77777777" w:rsidR="006903A5" w:rsidRPr="008D72BB" w:rsidRDefault="006903A5">
            <w:pPr>
              <w:spacing w:line="276" w:lineRule="auto"/>
              <w:jc w:val="right"/>
              <w:rPr>
                <w:color w:val="000000"/>
                <w:sz w:val="20"/>
                <w:szCs w:val="20"/>
              </w:rPr>
            </w:pPr>
            <w:r w:rsidRPr="008D72BB">
              <w:rPr>
                <w:color w:val="000000"/>
                <w:sz w:val="20"/>
                <w:szCs w:val="20"/>
              </w:rPr>
              <w:t> </w:t>
            </w:r>
          </w:p>
        </w:tc>
      </w:tr>
      <w:tr w:rsidR="006903A5" w:rsidRPr="008D72BB" w14:paraId="5377EAAB" w14:textId="77777777">
        <w:trPr>
          <w:trHeight w:val="494"/>
        </w:trPr>
        <w:tc>
          <w:tcPr>
            <w:tcW w:w="3397" w:type="dxa"/>
            <w:vAlign w:val="center"/>
            <w:hideMark/>
          </w:tcPr>
          <w:p w14:paraId="34EE9C5A" w14:textId="77777777" w:rsidR="006903A5" w:rsidRPr="008D72BB" w:rsidRDefault="006903A5">
            <w:pPr>
              <w:spacing w:line="276" w:lineRule="auto"/>
              <w:rPr>
                <w:color w:val="000000"/>
                <w:sz w:val="20"/>
                <w:szCs w:val="20"/>
              </w:rPr>
            </w:pPr>
            <w:r w:rsidRPr="008D72BB">
              <w:rPr>
                <w:color w:val="000000"/>
                <w:sz w:val="20"/>
                <w:szCs w:val="20"/>
              </w:rPr>
              <w:t>Reported suicide attempts attributable to gambling, less causality discount</w:t>
            </w:r>
          </w:p>
        </w:tc>
        <w:tc>
          <w:tcPr>
            <w:tcW w:w="1276" w:type="dxa"/>
            <w:vAlign w:val="center"/>
            <w:hideMark/>
          </w:tcPr>
          <w:p w14:paraId="40F0E756" w14:textId="77777777" w:rsidR="006903A5" w:rsidRPr="008D72BB" w:rsidRDefault="006903A5">
            <w:pPr>
              <w:spacing w:line="276" w:lineRule="auto"/>
              <w:rPr>
                <w:color w:val="000000"/>
                <w:sz w:val="20"/>
                <w:szCs w:val="20"/>
              </w:rPr>
            </w:pPr>
            <w:r w:rsidRPr="008D72BB">
              <w:rPr>
                <w:color w:val="000000"/>
                <w:sz w:val="20"/>
                <w:szCs w:val="20"/>
              </w:rPr>
              <w:t>c = (a x n) x b</w:t>
            </w:r>
          </w:p>
        </w:tc>
        <w:tc>
          <w:tcPr>
            <w:tcW w:w="992" w:type="dxa"/>
            <w:vAlign w:val="center"/>
            <w:hideMark/>
          </w:tcPr>
          <w:p w14:paraId="74E7A262" w14:textId="77777777" w:rsidR="006903A5" w:rsidRPr="008D72BB" w:rsidRDefault="006903A5">
            <w:pPr>
              <w:spacing w:line="276" w:lineRule="auto"/>
              <w:jc w:val="right"/>
              <w:rPr>
                <w:color w:val="000000"/>
                <w:sz w:val="20"/>
                <w:szCs w:val="20"/>
              </w:rPr>
            </w:pPr>
            <w:r w:rsidRPr="008D72BB">
              <w:rPr>
                <w:color w:val="000000"/>
                <w:sz w:val="20"/>
                <w:szCs w:val="20"/>
              </w:rPr>
              <w:t>0</w:t>
            </w:r>
          </w:p>
        </w:tc>
        <w:tc>
          <w:tcPr>
            <w:tcW w:w="1276" w:type="dxa"/>
            <w:vAlign w:val="center"/>
            <w:hideMark/>
          </w:tcPr>
          <w:p w14:paraId="754D8920" w14:textId="77777777" w:rsidR="006903A5" w:rsidRPr="008D72BB" w:rsidRDefault="006903A5">
            <w:pPr>
              <w:spacing w:line="276" w:lineRule="auto"/>
              <w:jc w:val="right"/>
              <w:rPr>
                <w:color w:val="000000"/>
                <w:sz w:val="20"/>
                <w:szCs w:val="20"/>
              </w:rPr>
            </w:pPr>
            <w:r w:rsidRPr="008D72BB">
              <w:rPr>
                <w:color w:val="000000"/>
                <w:sz w:val="20"/>
                <w:szCs w:val="20"/>
              </w:rPr>
              <w:t>200</w:t>
            </w:r>
          </w:p>
        </w:tc>
        <w:tc>
          <w:tcPr>
            <w:tcW w:w="1276" w:type="dxa"/>
            <w:vAlign w:val="center"/>
            <w:hideMark/>
          </w:tcPr>
          <w:p w14:paraId="3A9296AC" w14:textId="77777777" w:rsidR="006903A5" w:rsidRPr="008D72BB" w:rsidRDefault="006903A5">
            <w:pPr>
              <w:spacing w:line="276" w:lineRule="auto"/>
              <w:jc w:val="right"/>
              <w:rPr>
                <w:color w:val="000000"/>
                <w:sz w:val="20"/>
                <w:szCs w:val="20"/>
              </w:rPr>
            </w:pPr>
            <w:r w:rsidRPr="008D72BB">
              <w:rPr>
                <w:color w:val="000000"/>
                <w:sz w:val="20"/>
                <w:szCs w:val="20"/>
              </w:rPr>
              <w:t>1193</w:t>
            </w:r>
          </w:p>
        </w:tc>
        <w:tc>
          <w:tcPr>
            <w:tcW w:w="1417" w:type="dxa"/>
            <w:vAlign w:val="center"/>
            <w:hideMark/>
          </w:tcPr>
          <w:p w14:paraId="24AB1CAD" w14:textId="77777777" w:rsidR="006903A5" w:rsidRPr="008D72BB" w:rsidRDefault="006903A5">
            <w:pPr>
              <w:spacing w:line="276" w:lineRule="auto"/>
              <w:jc w:val="right"/>
              <w:rPr>
                <w:color w:val="000000"/>
                <w:sz w:val="20"/>
                <w:szCs w:val="20"/>
              </w:rPr>
            </w:pPr>
            <w:r w:rsidRPr="008D72BB">
              <w:rPr>
                <w:color w:val="000000"/>
                <w:sz w:val="20"/>
                <w:szCs w:val="20"/>
              </w:rPr>
              <w:t>1394</w:t>
            </w:r>
          </w:p>
        </w:tc>
      </w:tr>
      <w:tr w:rsidR="006903A5" w:rsidRPr="008D72BB" w14:paraId="5F20FEF1" w14:textId="77777777">
        <w:trPr>
          <w:trHeight w:val="397"/>
        </w:trPr>
        <w:tc>
          <w:tcPr>
            <w:tcW w:w="3397" w:type="dxa"/>
            <w:vAlign w:val="center"/>
            <w:hideMark/>
          </w:tcPr>
          <w:p w14:paraId="3A728973" w14:textId="62709F6B" w:rsidR="006903A5" w:rsidRPr="008D72BB" w:rsidRDefault="006903A5">
            <w:pPr>
              <w:spacing w:line="276" w:lineRule="auto"/>
              <w:rPr>
                <w:color w:val="000000"/>
                <w:sz w:val="20"/>
                <w:szCs w:val="20"/>
              </w:rPr>
            </w:pPr>
            <w:r w:rsidRPr="008D72BB">
              <w:rPr>
                <w:color w:val="000000"/>
                <w:sz w:val="20"/>
                <w:szCs w:val="20"/>
              </w:rPr>
              <w:t xml:space="preserve">Less number of </w:t>
            </w:r>
            <w:r w:rsidR="004D5F67" w:rsidRPr="008D72BB">
              <w:rPr>
                <w:color w:val="000000"/>
                <w:sz w:val="20"/>
                <w:szCs w:val="20"/>
              </w:rPr>
              <w:t>fatalities</w:t>
            </w:r>
            <w:r w:rsidRPr="008D72BB">
              <w:rPr>
                <w:color w:val="000000"/>
                <w:sz w:val="20"/>
                <w:szCs w:val="20"/>
              </w:rPr>
              <w:t xml:space="preserve"> by suicide</w:t>
            </w:r>
          </w:p>
        </w:tc>
        <w:tc>
          <w:tcPr>
            <w:tcW w:w="1276" w:type="dxa"/>
            <w:vAlign w:val="center"/>
            <w:hideMark/>
          </w:tcPr>
          <w:p w14:paraId="570FC6C2" w14:textId="77777777" w:rsidR="006903A5" w:rsidRPr="008D72BB" w:rsidRDefault="006903A5">
            <w:pPr>
              <w:spacing w:line="276" w:lineRule="auto"/>
              <w:rPr>
                <w:color w:val="000000"/>
                <w:sz w:val="20"/>
                <w:szCs w:val="20"/>
              </w:rPr>
            </w:pPr>
            <w:r w:rsidRPr="008D72BB">
              <w:rPr>
                <w:color w:val="000000"/>
                <w:sz w:val="20"/>
                <w:szCs w:val="20"/>
              </w:rPr>
              <w:t>d</w:t>
            </w:r>
          </w:p>
        </w:tc>
        <w:tc>
          <w:tcPr>
            <w:tcW w:w="992" w:type="dxa"/>
            <w:vAlign w:val="center"/>
            <w:hideMark/>
          </w:tcPr>
          <w:p w14:paraId="1348F358" w14:textId="77777777" w:rsidR="006903A5" w:rsidRPr="008D72BB" w:rsidRDefault="006903A5">
            <w:pPr>
              <w:spacing w:line="276" w:lineRule="auto"/>
              <w:jc w:val="right"/>
              <w:rPr>
                <w:color w:val="000000"/>
                <w:sz w:val="20"/>
                <w:szCs w:val="20"/>
              </w:rPr>
            </w:pPr>
            <w:r w:rsidRPr="008D72BB">
              <w:rPr>
                <w:color w:val="000000"/>
                <w:sz w:val="20"/>
                <w:szCs w:val="20"/>
              </w:rPr>
              <w:t>0</w:t>
            </w:r>
          </w:p>
        </w:tc>
        <w:tc>
          <w:tcPr>
            <w:tcW w:w="1276" w:type="dxa"/>
            <w:vAlign w:val="center"/>
            <w:hideMark/>
          </w:tcPr>
          <w:p w14:paraId="70AC3BE6" w14:textId="77777777" w:rsidR="006903A5" w:rsidRPr="008D72BB" w:rsidRDefault="006903A5">
            <w:pPr>
              <w:spacing w:line="276" w:lineRule="auto"/>
              <w:jc w:val="right"/>
              <w:rPr>
                <w:color w:val="000000"/>
                <w:sz w:val="20"/>
                <w:szCs w:val="20"/>
              </w:rPr>
            </w:pPr>
            <w:r w:rsidRPr="008D72BB">
              <w:rPr>
                <w:color w:val="000000"/>
                <w:sz w:val="20"/>
                <w:szCs w:val="20"/>
              </w:rPr>
              <w:t>4</w:t>
            </w:r>
          </w:p>
        </w:tc>
        <w:tc>
          <w:tcPr>
            <w:tcW w:w="1276" w:type="dxa"/>
            <w:vAlign w:val="center"/>
            <w:hideMark/>
          </w:tcPr>
          <w:p w14:paraId="1A82EAF5" w14:textId="77777777" w:rsidR="006903A5" w:rsidRPr="008D72BB" w:rsidRDefault="006903A5">
            <w:pPr>
              <w:spacing w:line="276" w:lineRule="auto"/>
              <w:jc w:val="right"/>
              <w:rPr>
                <w:color w:val="000000"/>
                <w:sz w:val="20"/>
                <w:szCs w:val="20"/>
              </w:rPr>
            </w:pPr>
            <w:r w:rsidRPr="008D72BB">
              <w:rPr>
                <w:color w:val="000000"/>
                <w:sz w:val="20"/>
                <w:szCs w:val="20"/>
              </w:rPr>
              <w:t>22</w:t>
            </w:r>
          </w:p>
        </w:tc>
        <w:tc>
          <w:tcPr>
            <w:tcW w:w="1417" w:type="dxa"/>
            <w:vAlign w:val="center"/>
            <w:hideMark/>
          </w:tcPr>
          <w:p w14:paraId="2B7C6AFC" w14:textId="77777777" w:rsidR="006903A5" w:rsidRPr="008D72BB" w:rsidRDefault="006903A5">
            <w:pPr>
              <w:spacing w:line="276" w:lineRule="auto"/>
              <w:jc w:val="right"/>
              <w:rPr>
                <w:color w:val="000000"/>
                <w:sz w:val="20"/>
                <w:szCs w:val="20"/>
              </w:rPr>
            </w:pPr>
            <w:r w:rsidRPr="008D72BB">
              <w:rPr>
                <w:color w:val="000000"/>
                <w:sz w:val="20"/>
                <w:szCs w:val="20"/>
              </w:rPr>
              <w:t>25</w:t>
            </w:r>
          </w:p>
        </w:tc>
      </w:tr>
      <w:tr w:rsidR="006903A5" w:rsidRPr="008D72BB" w14:paraId="790B9E08" w14:textId="77777777">
        <w:trPr>
          <w:trHeight w:val="397"/>
        </w:trPr>
        <w:tc>
          <w:tcPr>
            <w:tcW w:w="3397" w:type="dxa"/>
            <w:vAlign w:val="center"/>
            <w:hideMark/>
          </w:tcPr>
          <w:p w14:paraId="0FE142A3" w14:textId="77777777" w:rsidR="006903A5" w:rsidRPr="008D72BB" w:rsidRDefault="006903A5">
            <w:pPr>
              <w:spacing w:line="276" w:lineRule="auto"/>
              <w:rPr>
                <w:color w:val="000000"/>
                <w:sz w:val="20"/>
                <w:szCs w:val="20"/>
              </w:rPr>
            </w:pPr>
            <w:r w:rsidRPr="008D72BB">
              <w:rPr>
                <w:color w:val="000000"/>
                <w:sz w:val="20"/>
                <w:szCs w:val="20"/>
              </w:rPr>
              <w:t xml:space="preserve">Number of suicide attempts attributable to gambling </w:t>
            </w:r>
          </w:p>
        </w:tc>
        <w:tc>
          <w:tcPr>
            <w:tcW w:w="1276" w:type="dxa"/>
            <w:vAlign w:val="center"/>
            <w:hideMark/>
          </w:tcPr>
          <w:p w14:paraId="4FC62DF2" w14:textId="77777777" w:rsidR="006903A5" w:rsidRPr="008D72BB" w:rsidRDefault="006903A5">
            <w:pPr>
              <w:spacing w:line="276" w:lineRule="auto"/>
              <w:rPr>
                <w:color w:val="000000"/>
                <w:sz w:val="20"/>
                <w:szCs w:val="20"/>
              </w:rPr>
            </w:pPr>
            <w:r w:rsidRPr="008D72BB">
              <w:rPr>
                <w:color w:val="000000"/>
                <w:sz w:val="20"/>
                <w:szCs w:val="20"/>
              </w:rPr>
              <w:t>e = c - d</w:t>
            </w:r>
          </w:p>
        </w:tc>
        <w:tc>
          <w:tcPr>
            <w:tcW w:w="992" w:type="dxa"/>
            <w:vAlign w:val="center"/>
            <w:hideMark/>
          </w:tcPr>
          <w:p w14:paraId="00DD88BD" w14:textId="77777777" w:rsidR="006903A5" w:rsidRPr="008D72BB" w:rsidRDefault="006903A5">
            <w:pPr>
              <w:spacing w:line="276" w:lineRule="auto"/>
              <w:jc w:val="right"/>
              <w:rPr>
                <w:color w:val="000000"/>
                <w:sz w:val="20"/>
                <w:szCs w:val="20"/>
              </w:rPr>
            </w:pPr>
            <w:r w:rsidRPr="008D72BB">
              <w:rPr>
                <w:color w:val="000000"/>
                <w:sz w:val="20"/>
                <w:szCs w:val="20"/>
              </w:rPr>
              <w:t>0</w:t>
            </w:r>
          </w:p>
        </w:tc>
        <w:tc>
          <w:tcPr>
            <w:tcW w:w="1276" w:type="dxa"/>
            <w:vAlign w:val="center"/>
            <w:hideMark/>
          </w:tcPr>
          <w:p w14:paraId="4DD37CBF" w14:textId="77777777" w:rsidR="006903A5" w:rsidRPr="008D72BB" w:rsidRDefault="006903A5">
            <w:pPr>
              <w:spacing w:line="276" w:lineRule="auto"/>
              <w:jc w:val="right"/>
              <w:rPr>
                <w:color w:val="000000"/>
                <w:sz w:val="20"/>
                <w:szCs w:val="20"/>
              </w:rPr>
            </w:pPr>
            <w:r w:rsidRPr="008D72BB">
              <w:rPr>
                <w:color w:val="000000"/>
                <w:sz w:val="20"/>
                <w:szCs w:val="20"/>
              </w:rPr>
              <w:t>197</w:t>
            </w:r>
          </w:p>
        </w:tc>
        <w:tc>
          <w:tcPr>
            <w:tcW w:w="1276" w:type="dxa"/>
            <w:vAlign w:val="center"/>
            <w:hideMark/>
          </w:tcPr>
          <w:p w14:paraId="45658D2B" w14:textId="77777777" w:rsidR="006903A5" w:rsidRPr="008D72BB" w:rsidRDefault="006903A5">
            <w:pPr>
              <w:spacing w:line="276" w:lineRule="auto"/>
              <w:jc w:val="right"/>
              <w:rPr>
                <w:color w:val="000000"/>
                <w:sz w:val="20"/>
                <w:szCs w:val="20"/>
              </w:rPr>
            </w:pPr>
            <w:r w:rsidRPr="008D72BB">
              <w:rPr>
                <w:color w:val="000000"/>
                <w:sz w:val="20"/>
                <w:szCs w:val="20"/>
              </w:rPr>
              <w:t>1172</w:t>
            </w:r>
          </w:p>
        </w:tc>
        <w:tc>
          <w:tcPr>
            <w:tcW w:w="1417" w:type="dxa"/>
            <w:vAlign w:val="center"/>
            <w:hideMark/>
          </w:tcPr>
          <w:p w14:paraId="63E5917F" w14:textId="77777777" w:rsidR="006903A5" w:rsidRPr="008D72BB" w:rsidRDefault="006903A5">
            <w:pPr>
              <w:spacing w:line="276" w:lineRule="auto"/>
              <w:jc w:val="right"/>
              <w:rPr>
                <w:color w:val="000000"/>
                <w:sz w:val="20"/>
                <w:szCs w:val="20"/>
              </w:rPr>
            </w:pPr>
            <w:r w:rsidRPr="008D72BB">
              <w:rPr>
                <w:color w:val="000000"/>
                <w:sz w:val="20"/>
                <w:szCs w:val="20"/>
              </w:rPr>
              <w:t>1369</w:t>
            </w:r>
          </w:p>
        </w:tc>
      </w:tr>
      <w:tr w:rsidR="006903A5" w:rsidRPr="008D72BB" w14:paraId="081A21DD" w14:textId="77777777" w:rsidTr="008D72BB">
        <w:trPr>
          <w:trHeight w:val="397"/>
        </w:trPr>
        <w:tc>
          <w:tcPr>
            <w:tcW w:w="3397" w:type="dxa"/>
            <w:vAlign w:val="center"/>
            <w:hideMark/>
          </w:tcPr>
          <w:p w14:paraId="4DBAA47F" w14:textId="77777777" w:rsidR="006903A5" w:rsidRPr="008D72BB" w:rsidRDefault="006903A5">
            <w:pPr>
              <w:spacing w:line="276" w:lineRule="auto"/>
              <w:rPr>
                <w:color w:val="000000"/>
                <w:sz w:val="20"/>
                <w:szCs w:val="20"/>
              </w:rPr>
            </w:pPr>
            <w:r w:rsidRPr="008D72BB">
              <w:rPr>
                <w:color w:val="000000"/>
                <w:sz w:val="20"/>
                <w:szCs w:val="20"/>
              </w:rPr>
              <w:t>Average number of other persons impacted by attempts of suicide</w:t>
            </w:r>
          </w:p>
        </w:tc>
        <w:tc>
          <w:tcPr>
            <w:tcW w:w="1276" w:type="dxa"/>
            <w:vAlign w:val="center"/>
            <w:hideMark/>
          </w:tcPr>
          <w:p w14:paraId="0C458544" w14:textId="77777777" w:rsidR="006903A5" w:rsidRPr="008D72BB" w:rsidRDefault="006903A5">
            <w:pPr>
              <w:spacing w:line="276" w:lineRule="auto"/>
              <w:rPr>
                <w:color w:val="000000"/>
                <w:sz w:val="20"/>
                <w:szCs w:val="20"/>
              </w:rPr>
            </w:pPr>
            <w:r w:rsidRPr="008D72BB">
              <w:rPr>
                <w:color w:val="000000"/>
                <w:sz w:val="20"/>
                <w:szCs w:val="20"/>
              </w:rPr>
              <w:t>f</w:t>
            </w:r>
          </w:p>
        </w:tc>
        <w:tc>
          <w:tcPr>
            <w:tcW w:w="4961" w:type="dxa"/>
            <w:gridSpan w:val="4"/>
            <w:vAlign w:val="center"/>
            <w:hideMark/>
          </w:tcPr>
          <w:p w14:paraId="62162F1C" w14:textId="77777777" w:rsidR="006903A5" w:rsidRPr="008D72BB" w:rsidRDefault="006903A5" w:rsidP="008D72BB">
            <w:pPr>
              <w:spacing w:line="276" w:lineRule="auto"/>
              <w:jc w:val="center"/>
              <w:rPr>
                <w:color w:val="000000"/>
                <w:sz w:val="20"/>
                <w:szCs w:val="20"/>
              </w:rPr>
            </w:pPr>
            <w:r w:rsidRPr="008D72BB">
              <w:rPr>
                <w:color w:val="000000"/>
                <w:sz w:val="20"/>
                <w:szCs w:val="20"/>
              </w:rPr>
              <w:t>6</w:t>
            </w:r>
          </w:p>
        </w:tc>
      </w:tr>
      <w:tr w:rsidR="006903A5" w:rsidRPr="008D72BB" w14:paraId="3B1B2819" w14:textId="77777777">
        <w:trPr>
          <w:trHeight w:val="397"/>
        </w:trPr>
        <w:tc>
          <w:tcPr>
            <w:tcW w:w="3397" w:type="dxa"/>
            <w:vAlign w:val="center"/>
            <w:hideMark/>
          </w:tcPr>
          <w:p w14:paraId="6D91C2D8" w14:textId="7B0A7774" w:rsidR="006903A5" w:rsidRPr="008D72BB" w:rsidRDefault="006903A5">
            <w:pPr>
              <w:spacing w:line="276" w:lineRule="auto"/>
              <w:rPr>
                <w:color w:val="000000"/>
                <w:sz w:val="20"/>
                <w:szCs w:val="20"/>
              </w:rPr>
            </w:pPr>
            <w:r w:rsidRPr="008D72BB">
              <w:rPr>
                <w:color w:val="000000"/>
                <w:sz w:val="20"/>
                <w:szCs w:val="20"/>
              </w:rPr>
              <w:t xml:space="preserve">Number of affected others </w:t>
            </w:r>
            <w:r w:rsidR="001152A8">
              <w:rPr>
                <w:color w:val="000000"/>
                <w:sz w:val="20"/>
                <w:szCs w:val="20"/>
              </w:rPr>
              <w:t>for each</w:t>
            </w:r>
            <w:r w:rsidRPr="008D72BB">
              <w:rPr>
                <w:color w:val="000000"/>
                <w:sz w:val="20"/>
                <w:szCs w:val="20"/>
              </w:rPr>
              <w:t xml:space="preserve"> gambler attempted suicide</w:t>
            </w:r>
          </w:p>
        </w:tc>
        <w:tc>
          <w:tcPr>
            <w:tcW w:w="1276" w:type="dxa"/>
            <w:vAlign w:val="center"/>
            <w:hideMark/>
          </w:tcPr>
          <w:p w14:paraId="0BECD514" w14:textId="77777777" w:rsidR="006903A5" w:rsidRPr="008D72BB" w:rsidRDefault="006903A5">
            <w:pPr>
              <w:spacing w:line="276" w:lineRule="auto"/>
              <w:rPr>
                <w:color w:val="000000"/>
                <w:sz w:val="20"/>
                <w:szCs w:val="20"/>
              </w:rPr>
            </w:pPr>
            <w:r w:rsidRPr="008D72BB">
              <w:rPr>
                <w:color w:val="000000"/>
                <w:sz w:val="20"/>
                <w:szCs w:val="20"/>
              </w:rPr>
              <w:t>g = e x f</w:t>
            </w:r>
          </w:p>
        </w:tc>
        <w:tc>
          <w:tcPr>
            <w:tcW w:w="992" w:type="dxa"/>
            <w:vAlign w:val="center"/>
            <w:hideMark/>
          </w:tcPr>
          <w:p w14:paraId="17B71671" w14:textId="77777777" w:rsidR="006903A5" w:rsidRPr="008D72BB" w:rsidRDefault="006903A5">
            <w:pPr>
              <w:spacing w:line="276" w:lineRule="auto"/>
              <w:jc w:val="right"/>
              <w:rPr>
                <w:color w:val="000000"/>
                <w:sz w:val="20"/>
                <w:szCs w:val="20"/>
              </w:rPr>
            </w:pPr>
            <w:r w:rsidRPr="008D72BB">
              <w:rPr>
                <w:color w:val="000000"/>
                <w:sz w:val="20"/>
                <w:szCs w:val="20"/>
              </w:rPr>
              <w:t>0</w:t>
            </w:r>
          </w:p>
        </w:tc>
        <w:tc>
          <w:tcPr>
            <w:tcW w:w="1276" w:type="dxa"/>
            <w:vAlign w:val="center"/>
            <w:hideMark/>
          </w:tcPr>
          <w:p w14:paraId="65E4AD0A" w14:textId="77777777" w:rsidR="006903A5" w:rsidRPr="008D72BB" w:rsidRDefault="006903A5">
            <w:pPr>
              <w:spacing w:line="276" w:lineRule="auto"/>
              <w:jc w:val="right"/>
              <w:rPr>
                <w:color w:val="000000"/>
                <w:sz w:val="20"/>
                <w:szCs w:val="20"/>
              </w:rPr>
            </w:pPr>
            <w:r w:rsidRPr="008D72BB">
              <w:rPr>
                <w:color w:val="000000"/>
                <w:sz w:val="20"/>
                <w:szCs w:val="20"/>
              </w:rPr>
              <w:t>1180</w:t>
            </w:r>
          </w:p>
        </w:tc>
        <w:tc>
          <w:tcPr>
            <w:tcW w:w="1276" w:type="dxa"/>
            <w:vAlign w:val="center"/>
            <w:hideMark/>
          </w:tcPr>
          <w:p w14:paraId="10CF371F" w14:textId="77777777" w:rsidR="006903A5" w:rsidRPr="008D72BB" w:rsidRDefault="006903A5">
            <w:pPr>
              <w:spacing w:line="276" w:lineRule="auto"/>
              <w:jc w:val="right"/>
              <w:rPr>
                <w:color w:val="000000"/>
                <w:sz w:val="20"/>
                <w:szCs w:val="20"/>
              </w:rPr>
            </w:pPr>
            <w:r w:rsidRPr="008D72BB">
              <w:rPr>
                <w:color w:val="000000"/>
                <w:sz w:val="20"/>
                <w:szCs w:val="20"/>
              </w:rPr>
              <w:t>7031</w:t>
            </w:r>
          </w:p>
        </w:tc>
        <w:tc>
          <w:tcPr>
            <w:tcW w:w="1417" w:type="dxa"/>
            <w:vAlign w:val="center"/>
            <w:hideMark/>
          </w:tcPr>
          <w:p w14:paraId="7882559C" w14:textId="77777777" w:rsidR="006903A5" w:rsidRPr="008D72BB" w:rsidRDefault="006903A5">
            <w:pPr>
              <w:spacing w:line="276" w:lineRule="auto"/>
              <w:jc w:val="right"/>
              <w:rPr>
                <w:color w:val="000000"/>
                <w:sz w:val="20"/>
                <w:szCs w:val="20"/>
              </w:rPr>
            </w:pPr>
            <w:r w:rsidRPr="008D72BB">
              <w:rPr>
                <w:color w:val="000000"/>
                <w:sz w:val="20"/>
                <w:szCs w:val="20"/>
              </w:rPr>
              <w:t>8211</w:t>
            </w:r>
          </w:p>
        </w:tc>
      </w:tr>
      <w:tr w:rsidR="006903A5" w:rsidRPr="008D72BB" w14:paraId="35623B3B" w14:textId="77777777">
        <w:trPr>
          <w:trHeight w:val="397"/>
        </w:trPr>
        <w:tc>
          <w:tcPr>
            <w:tcW w:w="9634" w:type="dxa"/>
            <w:gridSpan w:val="6"/>
            <w:vAlign w:val="center"/>
            <w:hideMark/>
          </w:tcPr>
          <w:p w14:paraId="1BDE2C9D" w14:textId="77777777" w:rsidR="006903A5" w:rsidRPr="008D72BB" w:rsidRDefault="006903A5">
            <w:pPr>
              <w:spacing w:line="276" w:lineRule="auto"/>
              <w:rPr>
                <w:b/>
                <w:bCs/>
                <w:i/>
                <w:iCs/>
                <w:color w:val="000000"/>
                <w:sz w:val="20"/>
                <w:szCs w:val="20"/>
              </w:rPr>
            </w:pPr>
            <w:r w:rsidRPr="008D72BB">
              <w:rPr>
                <w:b/>
                <w:bCs/>
                <w:i/>
                <w:iCs/>
                <w:color w:val="000000"/>
                <w:sz w:val="20"/>
                <w:szCs w:val="20"/>
              </w:rPr>
              <w:t>Cost of services</w:t>
            </w:r>
          </w:p>
        </w:tc>
      </w:tr>
      <w:tr w:rsidR="006903A5" w:rsidRPr="008D72BB" w14:paraId="34E684E5" w14:textId="77777777" w:rsidTr="008D72BB">
        <w:trPr>
          <w:trHeight w:val="397"/>
        </w:trPr>
        <w:tc>
          <w:tcPr>
            <w:tcW w:w="3397" w:type="dxa"/>
            <w:vAlign w:val="center"/>
            <w:hideMark/>
          </w:tcPr>
          <w:p w14:paraId="1487291E" w14:textId="77777777" w:rsidR="006903A5" w:rsidRPr="008D72BB" w:rsidRDefault="006903A5">
            <w:pPr>
              <w:spacing w:line="276" w:lineRule="auto"/>
              <w:rPr>
                <w:color w:val="000000"/>
                <w:sz w:val="20"/>
                <w:szCs w:val="20"/>
              </w:rPr>
            </w:pPr>
            <w:r w:rsidRPr="008D72BB">
              <w:rPr>
                <w:color w:val="000000"/>
                <w:sz w:val="20"/>
                <w:szCs w:val="20"/>
              </w:rPr>
              <w:t>Cost of services per suicide attempt</w:t>
            </w:r>
          </w:p>
        </w:tc>
        <w:tc>
          <w:tcPr>
            <w:tcW w:w="1276" w:type="dxa"/>
            <w:vAlign w:val="center"/>
            <w:hideMark/>
          </w:tcPr>
          <w:p w14:paraId="20411FD8" w14:textId="77777777" w:rsidR="006903A5" w:rsidRPr="008D72BB" w:rsidRDefault="006903A5">
            <w:pPr>
              <w:spacing w:line="276" w:lineRule="auto"/>
              <w:rPr>
                <w:color w:val="000000"/>
                <w:sz w:val="20"/>
                <w:szCs w:val="20"/>
              </w:rPr>
            </w:pPr>
            <w:r w:rsidRPr="008D72BB">
              <w:rPr>
                <w:color w:val="000000"/>
                <w:sz w:val="20"/>
                <w:szCs w:val="20"/>
              </w:rPr>
              <w:t>h</w:t>
            </w:r>
          </w:p>
        </w:tc>
        <w:tc>
          <w:tcPr>
            <w:tcW w:w="4961" w:type="dxa"/>
            <w:gridSpan w:val="4"/>
            <w:noWrap/>
            <w:vAlign w:val="center"/>
            <w:hideMark/>
          </w:tcPr>
          <w:p w14:paraId="7D6F60EE" w14:textId="77777777" w:rsidR="006903A5" w:rsidRPr="008D72BB" w:rsidRDefault="006903A5" w:rsidP="008D72BB">
            <w:pPr>
              <w:spacing w:line="276" w:lineRule="auto"/>
              <w:jc w:val="center"/>
              <w:rPr>
                <w:color w:val="000000"/>
                <w:sz w:val="20"/>
                <w:szCs w:val="20"/>
              </w:rPr>
            </w:pPr>
            <w:r w:rsidRPr="008D72BB">
              <w:rPr>
                <w:color w:val="000000"/>
                <w:sz w:val="20"/>
                <w:szCs w:val="20"/>
              </w:rPr>
              <w:t>$6,156</w:t>
            </w:r>
          </w:p>
        </w:tc>
      </w:tr>
      <w:tr w:rsidR="006903A5" w:rsidRPr="008D72BB" w14:paraId="50ED0045" w14:textId="77777777">
        <w:trPr>
          <w:trHeight w:val="397"/>
        </w:trPr>
        <w:tc>
          <w:tcPr>
            <w:tcW w:w="3397" w:type="dxa"/>
            <w:shd w:val="clear" w:color="auto" w:fill="F2F2F2" w:themeFill="background1" w:themeFillShade="F2"/>
            <w:vAlign w:val="center"/>
            <w:hideMark/>
          </w:tcPr>
          <w:p w14:paraId="0A851764" w14:textId="77777777" w:rsidR="006903A5" w:rsidRPr="008D72BB" w:rsidRDefault="006903A5">
            <w:pPr>
              <w:spacing w:line="276" w:lineRule="auto"/>
              <w:rPr>
                <w:b/>
                <w:bCs/>
                <w:color w:val="000000"/>
                <w:sz w:val="20"/>
                <w:szCs w:val="20"/>
              </w:rPr>
            </w:pPr>
            <w:r w:rsidRPr="008D72BB">
              <w:rPr>
                <w:b/>
                <w:bCs/>
                <w:color w:val="000000"/>
                <w:sz w:val="20"/>
                <w:szCs w:val="20"/>
              </w:rPr>
              <w:t>Total cost of services for suicide attempts</w:t>
            </w:r>
          </w:p>
        </w:tc>
        <w:tc>
          <w:tcPr>
            <w:tcW w:w="1276" w:type="dxa"/>
            <w:shd w:val="clear" w:color="auto" w:fill="F2F2F2" w:themeFill="background1" w:themeFillShade="F2"/>
            <w:vAlign w:val="center"/>
            <w:hideMark/>
          </w:tcPr>
          <w:p w14:paraId="2EDF14C5" w14:textId="77777777" w:rsidR="006903A5" w:rsidRPr="008D72BB" w:rsidRDefault="006903A5">
            <w:pPr>
              <w:spacing w:line="276" w:lineRule="auto"/>
              <w:rPr>
                <w:b/>
                <w:bCs/>
                <w:color w:val="000000"/>
                <w:sz w:val="20"/>
                <w:szCs w:val="20"/>
              </w:rPr>
            </w:pPr>
            <w:r w:rsidRPr="008D72BB">
              <w:rPr>
                <w:b/>
                <w:bCs/>
                <w:color w:val="000000"/>
                <w:sz w:val="20"/>
                <w:szCs w:val="20"/>
              </w:rPr>
              <w:t>i = e x h</w:t>
            </w:r>
          </w:p>
        </w:tc>
        <w:tc>
          <w:tcPr>
            <w:tcW w:w="992" w:type="dxa"/>
            <w:shd w:val="clear" w:color="auto" w:fill="F2F2F2" w:themeFill="background1" w:themeFillShade="F2"/>
            <w:vAlign w:val="center"/>
            <w:hideMark/>
          </w:tcPr>
          <w:p w14:paraId="3F2CA14F" w14:textId="77777777" w:rsidR="006903A5" w:rsidRPr="008D72BB" w:rsidRDefault="006903A5">
            <w:pPr>
              <w:spacing w:line="276" w:lineRule="auto"/>
              <w:jc w:val="right"/>
              <w:rPr>
                <w:b/>
                <w:bCs/>
                <w:color w:val="000000"/>
                <w:sz w:val="20"/>
                <w:szCs w:val="20"/>
              </w:rPr>
            </w:pPr>
            <w:r w:rsidRPr="008D72BB">
              <w:rPr>
                <w:b/>
                <w:bCs/>
                <w:color w:val="000000"/>
                <w:sz w:val="20"/>
                <w:szCs w:val="20"/>
              </w:rPr>
              <w:t>$0</w:t>
            </w:r>
          </w:p>
        </w:tc>
        <w:tc>
          <w:tcPr>
            <w:tcW w:w="1276" w:type="dxa"/>
            <w:shd w:val="clear" w:color="auto" w:fill="F2F2F2" w:themeFill="background1" w:themeFillShade="F2"/>
            <w:vAlign w:val="center"/>
            <w:hideMark/>
          </w:tcPr>
          <w:p w14:paraId="2E352213" w14:textId="77777777" w:rsidR="006903A5" w:rsidRPr="008D72BB" w:rsidRDefault="006903A5">
            <w:pPr>
              <w:spacing w:line="276" w:lineRule="auto"/>
              <w:jc w:val="right"/>
              <w:rPr>
                <w:b/>
                <w:bCs/>
                <w:color w:val="000000"/>
                <w:sz w:val="20"/>
                <w:szCs w:val="20"/>
              </w:rPr>
            </w:pPr>
            <w:r w:rsidRPr="008D72BB">
              <w:rPr>
                <w:b/>
                <w:bCs/>
                <w:color w:val="000000"/>
                <w:sz w:val="20"/>
                <w:szCs w:val="20"/>
              </w:rPr>
              <w:t>$1,211,185</w:t>
            </w:r>
          </w:p>
        </w:tc>
        <w:tc>
          <w:tcPr>
            <w:tcW w:w="1276" w:type="dxa"/>
            <w:shd w:val="clear" w:color="auto" w:fill="F2F2F2" w:themeFill="background1" w:themeFillShade="F2"/>
            <w:vAlign w:val="center"/>
            <w:hideMark/>
          </w:tcPr>
          <w:p w14:paraId="47690C97" w14:textId="77777777" w:rsidR="006903A5" w:rsidRPr="008D72BB" w:rsidRDefault="006903A5">
            <w:pPr>
              <w:spacing w:line="276" w:lineRule="auto"/>
              <w:jc w:val="right"/>
              <w:rPr>
                <w:b/>
                <w:bCs/>
                <w:color w:val="000000"/>
                <w:sz w:val="20"/>
                <w:szCs w:val="20"/>
              </w:rPr>
            </w:pPr>
            <w:r w:rsidRPr="008D72BB">
              <w:rPr>
                <w:b/>
                <w:bCs/>
                <w:color w:val="000000"/>
                <w:sz w:val="20"/>
                <w:szCs w:val="20"/>
              </w:rPr>
              <w:t>$7,213,783</w:t>
            </w:r>
          </w:p>
        </w:tc>
        <w:tc>
          <w:tcPr>
            <w:tcW w:w="1417" w:type="dxa"/>
            <w:shd w:val="clear" w:color="auto" w:fill="F2F2F2" w:themeFill="background1" w:themeFillShade="F2"/>
            <w:vAlign w:val="center"/>
            <w:hideMark/>
          </w:tcPr>
          <w:p w14:paraId="2414E6F5" w14:textId="77777777" w:rsidR="006903A5" w:rsidRPr="008D72BB" w:rsidRDefault="006903A5">
            <w:pPr>
              <w:spacing w:line="276" w:lineRule="auto"/>
              <w:jc w:val="right"/>
              <w:rPr>
                <w:b/>
                <w:bCs/>
                <w:color w:val="000000"/>
                <w:sz w:val="20"/>
                <w:szCs w:val="20"/>
              </w:rPr>
            </w:pPr>
            <w:r w:rsidRPr="008D72BB">
              <w:rPr>
                <w:b/>
                <w:bCs/>
                <w:color w:val="000000"/>
                <w:sz w:val="20"/>
                <w:szCs w:val="20"/>
              </w:rPr>
              <w:t>$8,424,968</w:t>
            </w:r>
          </w:p>
        </w:tc>
      </w:tr>
      <w:tr w:rsidR="006903A5" w:rsidRPr="008D72BB" w14:paraId="6AB67913" w14:textId="77777777">
        <w:trPr>
          <w:trHeight w:val="397"/>
        </w:trPr>
        <w:tc>
          <w:tcPr>
            <w:tcW w:w="9634" w:type="dxa"/>
            <w:gridSpan w:val="6"/>
            <w:vAlign w:val="center"/>
            <w:hideMark/>
          </w:tcPr>
          <w:p w14:paraId="2F304AE8" w14:textId="77777777" w:rsidR="006903A5" w:rsidRPr="008D72BB" w:rsidRDefault="006903A5">
            <w:pPr>
              <w:spacing w:line="276" w:lineRule="auto"/>
              <w:rPr>
                <w:b/>
                <w:bCs/>
                <w:i/>
                <w:iCs/>
                <w:color w:val="000000"/>
                <w:sz w:val="20"/>
                <w:szCs w:val="20"/>
              </w:rPr>
            </w:pPr>
            <w:r w:rsidRPr="008D72BB">
              <w:rPr>
                <w:b/>
                <w:bCs/>
                <w:i/>
                <w:iCs/>
                <w:color w:val="000000"/>
                <w:sz w:val="20"/>
                <w:szCs w:val="20"/>
              </w:rPr>
              <w:t>Emotional distress</w:t>
            </w:r>
          </w:p>
        </w:tc>
      </w:tr>
      <w:tr w:rsidR="006903A5" w:rsidRPr="008D72BB" w14:paraId="39332C31" w14:textId="77777777" w:rsidTr="008D72BB">
        <w:trPr>
          <w:trHeight w:val="397"/>
        </w:trPr>
        <w:tc>
          <w:tcPr>
            <w:tcW w:w="3397" w:type="dxa"/>
            <w:vAlign w:val="center"/>
            <w:hideMark/>
          </w:tcPr>
          <w:p w14:paraId="754FC316" w14:textId="77777777" w:rsidR="006903A5" w:rsidRPr="008D72BB" w:rsidRDefault="006903A5">
            <w:pPr>
              <w:spacing w:line="276" w:lineRule="auto"/>
              <w:rPr>
                <w:color w:val="000000"/>
                <w:sz w:val="20"/>
                <w:szCs w:val="20"/>
              </w:rPr>
            </w:pPr>
            <w:r w:rsidRPr="008D72BB">
              <w:rPr>
                <w:color w:val="000000"/>
                <w:sz w:val="20"/>
                <w:szCs w:val="20"/>
              </w:rPr>
              <w:t>Cost of emotional distress for suicide attempts</w:t>
            </w:r>
          </w:p>
        </w:tc>
        <w:tc>
          <w:tcPr>
            <w:tcW w:w="1276" w:type="dxa"/>
            <w:vAlign w:val="center"/>
            <w:hideMark/>
          </w:tcPr>
          <w:p w14:paraId="0FFC267F" w14:textId="77777777" w:rsidR="006903A5" w:rsidRPr="008D72BB" w:rsidRDefault="006903A5">
            <w:pPr>
              <w:spacing w:line="276" w:lineRule="auto"/>
              <w:rPr>
                <w:color w:val="000000"/>
                <w:sz w:val="20"/>
                <w:szCs w:val="20"/>
              </w:rPr>
            </w:pPr>
            <w:r w:rsidRPr="008D72BB">
              <w:rPr>
                <w:color w:val="000000"/>
                <w:sz w:val="20"/>
                <w:szCs w:val="20"/>
              </w:rPr>
              <w:t>j</w:t>
            </w:r>
          </w:p>
        </w:tc>
        <w:tc>
          <w:tcPr>
            <w:tcW w:w="4961" w:type="dxa"/>
            <w:gridSpan w:val="4"/>
            <w:noWrap/>
            <w:vAlign w:val="center"/>
            <w:hideMark/>
          </w:tcPr>
          <w:p w14:paraId="575D8138" w14:textId="77777777" w:rsidR="006903A5" w:rsidRPr="008D72BB" w:rsidRDefault="006903A5" w:rsidP="008D72BB">
            <w:pPr>
              <w:spacing w:line="276" w:lineRule="auto"/>
              <w:jc w:val="center"/>
              <w:rPr>
                <w:color w:val="000000"/>
                <w:sz w:val="20"/>
                <w:szCs w:val="20"/>
              </w:rPr>
            </w:pPr>
            <w:r w:rsidRPr="008D72BB">
              <w:rPr>
                <w:color w:val="000000"/>
                <w:sz w:val="20"/>
                <w:szCs w:val="20"/>
              </w:rPr>
              <w:t>$10,000</w:t>
            </w:r>
          </w:p>
        </w:tc>
      </w:tr>
      <w:tr w:rsidR="006903A5" w:rsidRPr="008D72BB" w14:paraId="01378F16" w14:textId="77777777">
        <w:trPr>
          <w:trHeight w:val="397"/>
        </w:trPr>
        <w:tc>
          <w:tcPr>
            <w:tcW w:w="3397" w:type="dxa"/>
            <w:vAlign w:val="center"/>
            <w:hideMark/>
          </w:tcPr>
          <w:p w14:paraId="7B332E63" w14:textId="77777777" w:rsidR="006903A5" w:rsidRPr="008D72BB" w:rsidRDefault="006903A5">
            <w:pPr>
              <w:spacing w:line="276" w:lineRule="auto"/>
              <w:rPr>
                <w:color w:val="000000"/>
                <w:sz w:val="20"/>
                <w:szCs w:val="20"/>
              </w:rPr>
            </w:pPr>
            <w:r w:rsidRPr="008D72BB">
              <w:rPr>
                <w:color w:val="000000"/>
                <w:sz w:val="20"/>
                <w:szCs w:val="20"/>
              </w:rPr>
              <w:t xml:space="preserve">   Emotional distress for person with a gambling problem</w:t>
            </w:r>
          </w:p>
        </w:tc>
        <w:tc>
          <w:tcPr>
            <w:tcW w:w="1276" w:type="dxa"/>
            <w:vAlign w:val="center"/>
            <w:hideMark/>
          </w:tcPr>
          <w:p w14:paraId="75877CF4" w14:textId="77777777" w:rsidR="006903A5" w:rsidRPr="008D72BB" w:rsidRDefault="006903A5">
            <w:pPr>
              <w:spacing w:line="276" w:lineRule="auto"/>
              <w:rPr>
                <w:color w:val="000000"/>
                <w:sz w:val="20"/>
                <w:szCs w:val="20"/>
              </w:rPr>
            </w:pPr>
            <w:r w:rsidRPr="008D72BB">
              <w:rPr>
                <w:color w:val="000000"/>
                <w:sz w:val="20"/>
                <w:szCs w:val="20"/>
              </w:rPr>
              <w:t>k = e x j</w:t>
            </w:r>
          </w:p>
        </w:tc>
        <w:tc>
          <w:tcPr>
            <w:tcW w:w="992" w:type="dxa"/>
            <w:hideMark/>
          </w:tcPr>
          <w:p w14:paraId="69D1998B" w14:textId="77777777" w:rsidR="006903A5" w:rsidRPr="008D72BB" w:rsidRDefault="006903A5">
            <w:pPr>
              <w:spacing w:line="276" w:lineRule="auto"/>
              <w:jc w:val="right"/>
              <w:rPr>
                <w:color w:val="000000"/>
                <w:sz w:val="20"/>
                <w:szCs w:val="20"/>
              </w:rPr>
            </w:pPr>
            <w:r w:rsidRPr="008D72BB">
              <w:rPr>
                <w:color w:val="000000"/>
                <w:sz w:val="20"/>
                <w:szCs w:val="20"/>
              </w:rPr>
              <w:t>$0</w:t>
            </w:r>
          </w:p>
        </w:tc>
        <w:tc>
          <w:tcPr>
            <w:tcW w:w="1276" w:type="dxa"/>
            <w:vAlign w:val="center"/>
            <w:hideMark/>
          </w:tcPr>
          <w:p w14:paraId="28FC61E8" w14:textId="77777777" w:rsidR="006903A5" w:rsidRPr="008D72BB" w:rsidRDefault="006903A5">
            <w:pPr>
              <w:spacing w:line="276" w:lineRule="auto"/>
              <w:jc w:val="right"/>
              <w:rPr>
                <w:color w:val="000000"/>
                <w:sz w:val="20"/>
                <w:szCs w:val="20"/>
              </w:rPr>
            </w:pPr>
            <w:r w:rsidRPr="008D72BB">
              <w:rPr>
                <w:color w:val="000000"/>
                <w:sz w:val="20"/>
                <w:szCs w:val="20"/>
              </w:rPr>
              <w:t>$1,967,487</w:t>
            </w:r>
          </w:p>
        </w:tc>
        <w:tc>
          <w:tcPr>
            <w:tcW w:w="1276" w:type="dxa"/>
            <w:vAlign w:val="center"/>
            <w:hideMark/>
          </w:tcPr>
          <w:p w14:paraId="7544D725" w14:textId="77777777" w:rsidR="006903A5" w:rsidRPr="008D72BB" w:rsidRDefault="006903A5">
            <w:pPr>
              <w:spacing w:line="276" w:lineRule="auto"/>
              <w:jc w:val="right"/>
              <w:rPr>
                <w:color w:val="000000"/>
                <w:sz w:val="20"/>
                <w:szCs w:val="20"/>
              </w:rPr>
            </w:pPr>
            <w:r w:rsidRPr="008D72BB">
              <w:rPr>
                <w:color w:val="000000"/>
                <w:sz w:val="20"/>
                <w:szCs w:val="20"/>
              </w:rPr>
              <w:t>$11,718,296</w:t>
            </w:r>
          </w:p>
        </w:tc>
        <w:tc>
          <w:tcPr>
            <w:tcW w:w="1417" w:type="dxa"/>
            <w:vAlign w:val="center"/>
            <w:hideMark/>
          </w:tcPr>
          <w:p w14:paraId="6CFEACC9" w14:textId="77777777" w:rsidR="006903A5" w:rsidRPr="008D72BB" w:rsidRDefault="006903A5">
            <w:pPr>
              <w:spacing w:line="276" w:lineRule="auto"/>
              <w:jc w:val="right"/>
              <w:rPr>
                <w:color w:val="000000"/>
                <w:sz w:val="20"/>
                <w:szCs w:val="20"/>
              </w:rPr>
            </w:pPr>
            <w:r w:rsidRPr="008D72BB">
              <w:rPr>
                <w:color w:val="000000"/>
                <w:sz w:val="20"/>
                <w:szCs w:val="20"/>
              </w:rPr>
              <w:t>$13,685,783</w:t>
            </w:r>
          </w:p>
        </w:tc>
      </w:tr>
      <w:tr w:rsidR="006903A5" w:rsidRPr="008D72BB" w14:paraId="4B308A39" w14:textId="77777777">
        <w:trPr>
          <w:trHeight w:val="397"/>
        </w:trPr>
        <w:tc>
          <w:tcPr>
            <w:tcW w:w="3397" w:type="dxa"/>
            <w:vAlign w:val="center"/>
            <w:hideMark/>
          </w:tcPr>
          <w:p w14:paraId="4B790067" w14:textId="77777777" w:rsidR="006903A5" w:rsidRPr="008D72BB" w:rsidRDefault="006903A5">
            <w:pPr>
              <w:spacing w:line="276" w:lineRule="auto"/>
              <w:rPr>
                <w:color w:val="000000"/>
                <w:sz w:val="20"/>
                <w:szCs w:val="20"/>
              </w:rPr>
            </w:pPr>
            <w:r w:rsidRPr="008D72BB">
              <w:rPr>
                <w:color w:val="000000"/>
                <w:sz w:val="20"/>
                <w:szCs w:val="20"/>
              </w:rPr>
              <w:t xml:space="preserve">   Emotional distress for affected others</w:t>
            </w:r>
          </w:p>
        </w:tc>
        <w:tc>
          <w:tcPr>
            <w:tcW w:w="1276" w:type="dxa"/>
            <w:vAlign w:val="center"/>
            <w:hideMark/>
          </w:tcPr>
          <w:p w14:paraId="7C115F35" w14:textId="77777777" w:rsidR="006903A5" w:rsidRPr="008D72BB" w:rsidRDefault="006903A5">
            <w:pPr>
              <w:spacing w:line="276" w:lineRule="auto"/>
              <w:rPr>
                <w:color w:val="000000"/>
                <w:sz w:val="20"/>
                <w:szCs w:val="20"/>
              </w:rPr>
            </w:pPr>
            <w:r w:rsidRPr="008D72BB">
              <w:rPr>
                <w:color w:val="000000"/>
                <w:sz w:val="20"/>
                <w:szCs w:val="20"/>
              </w:rPr>
              <w:t>l = g x j</w:t>
            </w:r>
          </w:p>
        </w:tc>
        <w:tc>
          <w:tcPr>
            <w:tcW w:w="992" w:type="dxa"/>
            <w:hideMark/>
          </w:tcPr>
          <w:p w14:paraId="417E8038" w14:textId="77777777" w:rsidR="006903A5" w:rsidRPr="008D72BB" w:rsidRDefault="006903A5">
            <w:pPr>
              <w:spacing w:line="276" w:lineRule="auto"/>
              <w:jc w:val="right"/>
              <w:rPr>
                <w:color w:val="000000"/>
                <w:sz w:val="20"/>
                <w:szCs w:val="20"/>
              </w:rPr>
            </w:pPr>
            <w:r w:rsidRPr="008D72BB">
              <w:rPr>
                <w:color w:val="000000"/>
                <w:sz w:val="20"/>
                <w:szCs w:val="20"/>
              </w:rPr>
              <w:t>$0</w:t>
            </w:r>
          </w:p>
        </w:tc>
        <w:tc>
          <w:tcPr>
            <w:tcW w:w="1276" w:type="dxa"/>
            <w:vAlign w:val="center"/>
            <w:hideMark/>
          </w:tcPr>
          <w:p w14:paraId="2D09C9E0" w14:textId="77777777" w:rsidR="006903A5" w:rsidRPr="008D72BB" w:rsidRDefault="006903A5">
            <w:pPr>
              <w:spacing w:line="276" w:lineRule="auto"/>
              <w:jc w:val="right"/>
              <w:rPr>
                <w:color w:val="000000"/>
                <w:sz w:val="20"/>
                <w:szCs w:val="20"/>
              </w:rPr>
            </w:pPr>
            <w:r w:rsidRPr="008D72BB">
              <w:rPr>
                <w:color w:val="000000"/>
                <w:sz w:val="20"/>
                <w:szCs w:val="20"/>
              </w:rPr>
              <w:t>$11,804,921</w:t>
            </w:r>
          </w:p>
        </w:tc>
        <w:tc>
          <w:tcPr>
            <w:tcW w:w="1276" w:type="dxa"/>
            <w:vAlign w:val="center"/>
            <w:hideMark/>
          </w:tcPr>
          <w:p w14:paraId="6B924E92" w14:textId="77777777" w:rsidR="006903A5" w:rsidRPr="008D72BB" w:rsidRDefault="006903A5">
            <w:pPr>
              <w:spacing w:line="276" w:lineRule="auto"/>
              <w:jc w:val="right"/>
              <w:rPr>
                <w:color w:val="000000"/>
                <w:sz w:val="20"/>
                <w:szCs w:val="20"/>
              </w:rPr>
            </w:pPr>
            <w:r w:rsidRPr="008D72BB">
              <w:rPr>
                <w:color w:val="000000"/>
                <w:sz w:val="20"/>
                <w:szCs w:val="20"/>
              </w:rPr>
              <w:t>$70,309,778</w:t>
            </w:r>
          </w:p>
        </w:tc>
        <w:tc>
          <w:tcPr>
            <w:tcW w:w="1417" w:type="dxa"/>
            <w:vAlign w:val="center"/>
            <w:hideMark/>
          </w:tcPr>
          <w:p w14:paraId="66DD19B8" w14:textId="77777777" w:rsidR="006903A5" w:rsidRPr="008D72BB" w:rsidRDefault="006903A5">
            <w:pPr>
              <w:spacing w:line="276" w:lineRule="auto"/>
              <w:jc w:val="right"/>
              <w:rPr>
                <w:color w:val="000000"/>
                <w:sz w:val="20"/>
                <w:szCs w:val="20"/>
              </w:rPr>
            </w:pPr>
            <w:r w:rsidRPr="008D72BB">
              <w:rPr>
                <w:color w:val="000000"/>
                <w:sz w:val="20"/>
                <w:szCs w:val="20"/>
              </w:rPr>
              <w:t>$82,114,699</w:t>
            </w:r>
          </w:p>
        </w:tc>
      </w:tr>
      <w:tr w:rsidR="006903A5" w:rsidRPr="008D72BB" w14:paraId="486AD2FF" w14:textId="77777777">
        <w:trPr>
          <w:trHeight w:val="397"/>
        </w:trPr>
        <w:tc>
          <w:tcPr>
            <w:tcW w:w="3397" w:type="dxa"/>
            <w:shd w:val="clear" w:color="auto" w:fill="F2F2F2" w:themeFill="background1" w:themeFillShade="F2"/>
            <w:vAlign w:val="center"/>
            <w:hideMark/>
          </w:tcPr>
          <w:p w14:paraId="20339981" w14:textId="77777777" w:rsidR="006903A5" w:rsidRPr="008D72BB" w:rsidRDefault="006903A5">
            <w:pPr>
              <w:spacing w:line="276" w:lineRule="auto"/>
              <w:rPr>
                <w:b/>
                <w:bCs/>
                <w:color w:val="000000"/>
                <w:sz w:val="20"/>
                <w:szCs w:val="20"/>
              </w:rPr>
            </w:pPr>
            <w:r w:rsidRPr="008D72BB">
              <w:rPr>
                <w:b/>
                <w:bCs/>
                <w:color w:val="000000"/>
                <w:sz w:val="20"/>
                <w:szCs w:val="20"/>
              </w:rPr>
              <w:t>Total cost of emotional distress for suicide attempts</w:t>
            </w:r>
          </w:p>
        </w:tc>
        <w:tc>
          <w:tcPr>
            <w:tcW w:w="1276" w:type="dxa"/>
            <w:shd w:val="clear" w:color="auto" w:fill="F2F2F2" w:themeFill="background1" w:themeFillShade="F2"/>
            <w:vAlign w:val="center"/>
            <w:hideMark/>
          </w:tcPr>
          <w:p w14:paraId="7694B9CF" w14:textId="77777777" w:rsidR="006903A5" w:rsidRPr="008D72BB" w:rsidRDefault="006903A5">
            <w:pPr>
              <w:spacing w:line="276" w:lineRule="auto"/>
              <w:rPr>
                <w:b/>
                <w:bCs/>
                <w:color w:val="000000"/>
                <w:sz w:val="20"/>
                <w:szCs w:val="20"/>
              </w:rPr>
            </w:pPr>
            <w:r w:rsidRPr="008D72BB">
              <w:rPr>
                <w:b/>
                <w:bCs/>
                <w:color w:val="000000"/>
                <w:sz w:val="20"/>
                <w:szCs w:val="20"/>
              </w:rPr>
              <w:t>m = k + l</w:t>
            </w:r>
          </w:p>
        </w:tc>
        <w:tc>
          <w:tcPr>
            <w:tcW w:w="992" w:type="dxa"/>
            <w:shd w:val="clear" w:color="auto" w:fill="F2F2F2" w:themeFill="background1" w:themeFillShade="F2"/>
            <w:hideMark/>
          </w:tcPr>
          <w:p w14:paraId="42A93322" w14:textId="77777777" w:rsidR="006903A5" w:rsidRPr="008D72BB" w:rsidRDefault="006903A5">
            <w:pPr>
              <w:spacing w:line="276" w:lineRule="auto"/>
              <w:jc w:val="right"/>
              <w:rPr>
                <w:b/>
                <w:bCs/>
                <w:color w:val="000000"/>
                <w:sz w:val="20"/>
                <w:szCs w:val="20"/>
              </w:rPr>
            </w:pPr>
            <w:r w:rsidRPr="008D72BB">
              <w:rPr>
                <w:b/>
                <w:bCs/>
                <w:color w:val="000000"/>
                <w:sz w:val="20"/>
                <w:szCs w:val="20"/>
              </w:rPr>
              <w:t>$0</w:t>
            </w:r>
          </w:p>
        </w:tc>
        <w:tc>
          <w:tcPr>
            <w:tcW w:w="1276" w:type="dxa"/>
            <w:shd w:val="clear" w:color="auto" w:fill="F2F2F2" w:themeFill="background1" w:themeFillShade="F2"/>
            <w:vAlign w:val="center"/>
            <w:hideMark/>
          </w:tcPr>
          <w:p w14:paraId="701B7FA2" w14:textId="77777777" w:rsidR="006903A5" w:rsidRPr="008D72BB" w:rsidRDefault="006903A5">
            <w:pPr>
              <w:spacing w:line="276" w:lineRule="auto"/>
              <w:jc w:val="right"/>
              <w:rPr>
                <w:b/>
                <w:bCs/>
                <w:color w:val="000000"/>
                <w:sz w:val="20"/>
                <w:szCs w:val="20"/>
              </w:rPr>
            </w:pPr>
            <w:r w:rsidRPr="008D72BB">
              <w:rPr>
                <w:b/>
                <w:bCs/>
                <w:color w:val="000000"/>
                <w:sz w:val="20"/>
                <w:szCs w:val="20"/>
              </w:rPr>
              <w:t>$13,772,408</w:t>
            </w:r>
          </w:p>
        </w:tc>
        <w:tc>
          <w:tcPr>
            <w:tcW w:w="1276" w:type="dxa"/>
            <w:shd w:val="clear" w:color="auto" w:fill="F2F2F2" w:themeFill="background1" w:themeFillShade="F2"/>
            <w:vAlign w:val="center"/>
            <w:hideMark/>
          </w:tcPr>
          <w:p w14:paraId="69FC5359" w14:textId="77777777" w:rsidR="006903A5" w:rsidRPr="008D72BB" w:rsidRDefault="006903A5">
            <w:pPr>
              <w:spacing w:line="276" w:lineRule="auto"/>
              <w:jc w:val="right"/>
              <w:rPr>
                <w:b/>
                <w:bCs/>
                <w:color w:val="000000"/>
                <w:sz w:val="20"/>
                <w:szCs w:val="20"/>
              </w:rPr>
            </w:pPr>
            <w:r w:rsidRPr="008D72BB">
              <w:rPr>
                <w:b/>
                <w:bCs/>
                <w:color w:val="000000"/>
                <w:sz w:val="20"/>
                <w:szCs w:val="20"/>
              </w:rPr>
              <w:t>$82,028,074</w:t>
            </w:r>
          </w:p>
        </w:tc>
        <w:tc>
          <w:tcPr>
            <w:tcW w:w="1417" w:type="dxa"/>
            <w:shd w:val="clear" w:color="auto" w:fill="F2F2F2" w:themeFill="background1" w:themeFillShade="F2"/>
            <w:vAlign w:val="center"/>
            <w:hideMark/>
          </w:tcPr>
          <w:p w14:paraId="101673F2" w14:textId="77777777" w:rsidR="006903A5" w:rsidRPr="008D72BB" w:rsidRDefault="006903A5">
            <w:pPr>
              <w:spacing w:line="276" w:lineRule="auto"/>
              <w:jc w:val="right"/>
              <w:rPr>
                <w:b/>
                <w:bCs/>
                <w:color w:val="000000"/>
                <w:sz w:val="20"/>
                <w:szCs w:val="20"/>
              </w:rPr>
            </w:pPr>
            <w:r w:rsidRPr="008D72BB">
              <w:rPr>
                <w:b/>
                <w:bCs/>
                <w:color w:val="000000"/>
                <w:sz w:val="20"/>
                <w:szCs w:val="20"/>
              </w:rPr>
              <w:t>$95,800,482</w:t>
            </w:r>
          </w:p>
        </w:tc>
      </w:tr>
      <w:tr w:rsidR="006903A5" w:rsidRPr="008D72BB" w14:paraId="1695B9AB" w14:textId="77777777">
        <w:trPr>
          <w:trHeight w:val="397"/>
        </w:trPr>
        <w:tc>
          <w:tcPr>
            <w:tcW w:w="3397" w:type="dxa"/>
            <w:shd w:val="clear" w:color="auto" w:fill="F2F2F2" w:themeFill="background1" w:themeFillShade="F2"/>
            <w:vAlign w:val="center"/>
            <w:hideMark/>
          </w:tcPr>
          <w:p w14:paraId="452D506F" w14:textId="77777777" w:rsidR="006903A5" w:rsidRPr="008D72BB" w:rsidRDefault="006903A5">
            <w:pPr>
              <w:spacing w:line="276" w:lineRule="auto"/>
              <w:rPr>
                <w:b/>
                <w:bCs/>
                <w:color w:val="000000"/>
                <w:sz w:val="20"/>
                <w:szCs w:val="20"/>
              </w:rPr>
            </w:pPr>
            <w:r w:rsidRPr="008D72BB">
              <w:rPr>
                <w:b/>
                <w:bCs/>
                <w:color w:val="000000"/>
                <w:sz w:val="20"/>
                <w:szCs w:val="20"/>
              </w:rPr>
              <w:t>Total cost Suicide Attempts</w:t>
            </w:r>
          </w:p>
        </w:tc>
        <w:tc>
          <w:tcPr>
            <w:tcW w:w="1276" w:type="dxa"/>
            <w:shd w:val="clear" w:color="auto" w:fill="F2F2F2" w:themeFill="background1" w:themeFillShade="F2"/>
            <w:vAlign w:val="center"/>
            <w:hideMark/>
          </w:tcPr>
          <w:p w14:paraId="76739D52" w14:textId="77777777" w:rsidR="006903A5" w:rsidRPr="008D72BB" w:rsidRDefault="006903A5">
            <w:pPr>
              <w:spacing w:line="276" w:lineRule="auto"/>
              <w:rPr>
                <w:b/>
                <w:bCs/>
                <w:color w:val="000000"/>
                <w:sz w:val="20"/>
                <w:szCs w:val="20"/>
              </w:rPr>
            </w:pPr>
            <w:r w:rsidRPr="008D72BB">
              <w:rPr>
                <w:b/>
                <w:bCs/>
                <w:color w:val="000000"/>
                <w:sz w:val="20"/>
                <w:szCs w:val="20"/>
              </w:rPr>
              <w:t>n = i + m</w:t>
            </w:r>
          </w:p>
        </w:tc>
        <w:tc>
          <w:tcPr>
            <w:tcW w:w="992" w:type="dxa"/>
            <w:shd w:val="clear" w:color="auto" w:fill="F2F2F2" w:themeFill="background1" w:themeFillShade="F2"/>
            <w:hideMark/>
          </w:tcPr>
          <w:p w14:paraId="4C673B50" w14:textId="77777777" w:rsidR="006903A5" w:rsidRPr="008D72BB" w:rsidRDefault="006903A5">
            <w:pPr>
              <w:spacing w:line="276" w:lineRule="auto"/>
              <w:jc w:val="right"/>
              <w:rPr>
                <w:b/>
                <w:bCs/>
                <w:color w:val="000000"/>
                <w:sz w:val="20"/>
                <w:szCs w:val="20"/>
              </w:rPr>
            </w:pPr>
            <w:r w:rsidRPr="008D72BB">
              <w:rPr>
                <w:b/>
                <w:bCs/>
                <w:color w:val="000000"/>
                <w:sz w:val="20"/>
                <w:szCs w:val="20"/>
              </w:rPr>
              <w:t>$0</w:t>
            </w:r>
          </w:p>
        </w:tc>
        <w:tc>
          <w:tcPr>
            <w:tcW w:w="1276" w:type="dxa"/>
            <w:shd w:val="clear" w:color="auto" w:fill="F2F2F2" w:themeFill="background1" w:themeFillShade="F2"/>
            <w:vAlign w:val="center"/>
            <w:hideMark/>
          </w:tcPr>
          <w:p w14:paraId="2F5B54E3" w14:textId="77777777" w:rsidR="006903A5" w:rsidRPr="008D72BB" w:rsidRDefault="006903A5">
            <w:pPr>
              <w:spacing w:line="276" w:lineRule="auto"/>
              <w:jc w:val="right"/>
              <w:rPr>
                <w:b/>
                <w:bCs/>
                <w:color w:val="000000"/>
                <w:sz w:val="20"/>
                <w:szCs w:val="20"/>
              </w:rPr>
            </w:pPr>
            <w:r w:rsidRPr="008D72BB">
              <w:rPr>
                <w:b/>
                <w:bCs/>
                <w:color w:val="000000"/>
                <w:sz w:val="20"/>
                <w:szCs w:val="20"/>
              </w:rPr>
              <w:t>$14,983,593</w:t>
            </w:r>
          </w:p>
        </w:tc>
        <w:tc>
          <w:tcPr>
            <w:tcW w:w="1276" w:type="dxa"/>
            <w:shd w:val="clear" w:color="auto" w:fill="F2F2F2" w:themeFill="background1" w:themeFillShade="F2"/>
            <w:vAlign w:val="center"/>
            <w:hideMark/>
          </w:tcPr>
          <w:p w14:paraId="5DD466B9" w14:textId="77777777" w:rsidR="006903A5" w:rsidRPr="008D72BB" w:rsidRDefault="006903A5">
            <w:pPr>
              <w:spacing w:line="276" w:lineRule="auto"/>
              <w:jc w:val="right"/>
              <w:rPr>
                <w:b/>
                <w:bCs/>
                <w:color w:val="000000"/>
                <w:sz w:val="20"/>
                <w:szCs w:val="20"/>
              </w:rPr>
            </w:pPr>
            <w:r w:rsidRPr="008D72BB">
              <w:rPr>
                <w:b/>
                <w:bCs/>
                <w:color w:val="000000"/>
                <w:sz w:val="20"/>
                <w:szCs w:val="20"/>
              </w:rPr>
              <w:t>$89,241,857</w:t>
            </w:r>
          </w:p>
        </w:tc>
        <w:tc>
          <w:tcPr>
            <w:tcW w:w="1417" w:type="dxa"/>
            <w:shd w:val="clear" w:color="auto" w:fill="F2F2F2" w:themeFill="background1" w:themeFillShade="F2"/>
            <w:vAlign w:val="center"/>
            <w:hideMark/>
          </w:tcPr>
          <w:p w14:paraId="3875B461" w14:textId="77777777" w:rsidR="006903A5" w:rsidRPr="008D72BB" w:rsidRDefault="006903A5">
            <w:pPr>
              <w:spacing w:line="276" w:lineRule="auto"/>
              <w:jc w:val="right"/>
              <w:rPr>
                <w:b/>
                <w:bCs/>
                <w:color w:val="000000"/>
                <w:sz w:val="20"/>
                <w:szCs w:val="20"/>
              </w:rPr>
            </w:pPr>
            <w:r w:rsidRPr="008D72BB">
              <w:rPr>
                <w:b/>
                <w:bCs/>
                <w:color w:val="000000"/>
                <w:sz w:val="20"/>
                <w:szCs w:val="20"/>
              </w:rPr>
              <w:t>$104,225,450</w:t>
            </w:r>
          </w:p>
        </w:tc>
      </w:tr>
      <w:tr w:rsidR="006903A5" w:rsidRPr="008D72BB" w14:paraId="01C1AAB3" w14:textId="77777777">
        <w:trPr>
          <w:trHeight w:val="397"/>
        </w:trPr>
        <w:tc>
          <w:tcPr>
            <w:tcW w:w="8217" w:type="dxa"/>
            <w:gridSpan w:val="5"/>
            <w:vAlign w:val="center"/>
            <w:hideMark/>
          </w:tcPr>
          <w:p w14:paraId="09009317" w14:textId="77777777" w:rsidR="006903A5" w:rsidRPr="008D72BB" w:rsidRDefault="006903A5">
            <w:pPr>
              <w:spacing w:line="276" w:lineRule="auto"/>
              <w:rPr>
                <w:color w:val="000000"/>
                <w:sz w:val="20"/>
                <w:szCs w:val="20"/>
              </w:rPr>
            </w:pPr>
            <w:r w:rsidRPr="008D72BB">
              <w:rPr>
                <w:color w:val="000000"/>
                <w:sz w:val="20"/>
                <w:szCs w:val="20"/>
              </w:rPr>
              <w:t>Lower bound</w:t>
            </w:r>
          </w:p>
        </w:tc>
        <w:tc>
          <w:tcPr>
            <w:tcW w:w="1417" w:type="dxa"/>
            <w:vAlign w:val="center"/>
            <w:hideMark/>
          </w:tcPr>
          <w:p w14:paraId="76179525" w14:textId="77777777" w:rsidR="006903A5" w:rsidRPr="008D72BB" w:rsidRDefault="006903A5">
            <w:pPr>
              <w:spacing w:line="276" w:lineRule="auto"/>
              <w:jc w:val="right"/>
              <w:rPr>
                <w:color w:val="000000"/>
                <w:sz w:val="20"/>
                <w:szCs w:val="20"/>
              </w:rPr>
            </w:pPr>
            <w:r w:rsidRPr="008D72BB">
              <w:rPr>
                <w:color w:val="000000"/>
                <w:sz w:val="20"/>
                <w:szCs w:val="20"/>
              </w:rPr>
              <w:t>$45,376,583</w:t>
            </w:r>
          </w:p>
        </w:tc>
      </w:tr>
      <w:tr w:rsidR="006903A5" w:rsidRPr="008D72BB" w14:paraId="4E5BDE5E" w14:textId="77777777">
        <w:trPr>
          <w:trHeight w:val="397"/>
        </w:trPr>
        <w:tc>
          <w:tcPr>
            <w:tcW w:w="8217" w:type="dxa"/>
            <w:gridSpan w:val="5"/>
            <w:vAlign w:val="center"/>
            <w:hideMark/>
          </w:tcPr>
          <w:p w14:paraId="7DBE4B0C" w14:textId="77777777" w:rsidR="006903A5" w:rsidRPr="008D72BB" w:rsidRDefault="006903A5">
            <w:pPr>
              <w:spacing w:line="276" w:lineRule="auto"/>
              <w:rPr>
                <w:color w:val="000000"/>
                <w:sz w:val="20"/>
                <w:szCs w:val="20"/>
              </w:rPr>
            </w:pPr>
            <w:r w:rsidRPr="008D72BB">
              <w:rPr>
                <w:color w:val="000000"/>
                <w:sz w:val="20"/>
                <w:szCs w:val="20"/>
              </w:rPr>
              <w:t>Upper bound</w:t>
            </w:r>
          </w:p>
        </w:tc>
        <w:tc>
          <w:tcPr>
            <w:tcW w:w="1417" w:type="dxa"/>
            <w:vAlign w:val="center"/>
            <w:hideMark/>
          </w:tcPr>
          <w:p w14:paraId="08520A25" w14:textId="77777777" w:rsidR="006903A5" w:rsidRPr="008D72BB" w:rsidRDefault="006903A5">
            <w:pPr>
              <w:spacing w:line="276" w:lineRule="auto"/>
              <w:jc w:val="right"/>
              <w:rPr>
                <w:color w:val="000000"/>
                <w:sz w:val="20"/>
                <w:szCs w:val="20"/>
              </w:rPr>
            </w:pPr>
            <w:r w:rsidRPr="008D72BB">
              <w:rPr>
                <w:color w:val="000000"/>
                <w:sz w:val="20"/>
                <w:szCs w:val="20"/>
              </w:rPr>
              <w:t>$161,547,399</w:t>
            </w:r>
          </w:p>
        </w:tc>
      </w:tr>
      <w:tr w:rsidR="006903A5" w:rsidRPr="008D72BB" w14:paraId="7200941A" w14:textId="77777777">
        <w:trPr>
          <w:trHeight w:val="397"/>
        </w:trPr>
        <w:tc>
          <w:tcPr>
            <w:tcW w:w="9634" w:type="dxa"/>
            <w:gridSpan w:val="6"/>
            <w:noWrap/>
            <w:vAlign w:val="center"/>
            <w:hideMark/>
          </w:tcPr>
          <w:p w14:paraId="356EAD71" w14:textId="77777777" w:rsidR="006903A5" w:rsidRPr="008D72BB" w:rsidRDefault="006903A5">
            <w:pPr>
              <w:spacing w:line="276" w:lineRule="auto"/>
              <w:rPr>
                <w:i/>
                <w:iCs/>
                <w:color w:val="242424"/>
                <w:sz w:val="20"/>
                <w:szCs w:val="20"/>
              </w:rPr>
            </w:pPr>
            <w:r w:rsidRPr="008D72BB">
              <w:rPr>
                <w:i/>
                <w:iCs/>
                <w:color w:val="242424"/>
                <w:sz w:val="20"/>
                <w:szCs w:val="20"/>
              </w:rPr>
              <w:t xml:space="preserve">Note: </w:t>
            </w:r>
            <w:r w:rsidRPr="008D72BB">
              <w:rPr>
                <w:i/>
                <w:iCs/>
                <w:sz w:val="20"/>
                <w:szCs w:val="20"/>
              </w:rPr>
              <w:t xml:space="preserve">LR (low-risk gambling), MR (moderate-risk gambling), and problem gambling. </w:t>
            </w:r>
            <w:r w:rsidRPr="008D72BB">
              <w:rPr>
                <w:i/>
                <w:iCs/>
                <w:color w:val="242424"/>
                <w:sz w:val="20"/>
                <w:szCs w:val="20"/>
              </w:rPr>
              <w:t>Totals may not match exactly due to rounding. Calculations are based on the original unrounded figures to ensure accuracy.</w:t>
            </w:r>
          </w:p>
        </w:tc>
      </w:tr>
    </w:tbl>
    <w:p w14:paraId="1B3E914C" w14:textId="77777777" w:rsidR="006903A5" w:rsidRPr="00D850CC" w:rsidRDefault="006903A5" w:rsidP="006903A5">
      <w:pPr>
        <w:spacing w:line="276" w:lineRule="auto"/>
        <w:rPr>
          <w:b/>
          <w:sz w:val="18"/>
          <w:szCs w:val="18"/>
        </w:rPr>
      </w:pPr>
    </w:p>
    <w:p w14:paraId="4B3554A3" w14:textId="77777777" w:rsidR="00DB689D" w:rsidRDefault="00DB689D" w:rsidP="00367A8D">
      <w:pPr>
        <w:spacing w:before="120" w:after="120" w:line="360" w:lineRule="auto"/>
        <w:ind w:right="280"/>
      </w:pPr>
    </w:p>
    <w:p w14:paraId="57FCC582" w14:textId="51E16129" w:rsidR="00DB689D" w:rsidRDefault="00310A10" w:rsidP="00367A8D">
      <w:pPr>
        <w:spacing w:line="360" w:lineRule="auto"/>
      </w:pPr>
      <w:r>
        <w:t xml:space="preserve">These </w:t>
      </w:r>
      <w:r w:rsidR="008D72BB">
        <w:t>results</w:t>
      </w:r>
      <w:r>
        <w:t xml:space="preserve"> appear highly conservative, in part due to the exclusions on people impacted by low-risk gambling problems. Additionally, this study only estimates the cost of suicide attempts, not suicidal thoughts and ideation, despite the high levels of distress associated with both. While thoughts of suicide appear common amongst people experiencing gambling problems, these are more difficult to quantify. As such, the current estimate likely understates the broader mental health burden of gambling-related suicidality.</w:t>
      </w:r>
    </w:p>
    <w:p w14:paraId="1731F355" w14:textId="77777777" w:rsidR="00DB689D" w:rsidRDefault="00DB689D" w:rsidP="00367A8D">
      <w:pPr>
        <w:spacing w:line="360" w:lineRule="auto"/>
      </w:pPr>
    </w:p>
    <w:p w14:paraId="79AA75D2" w14:textId="4969EE4B" w:rsidR="00DB689D" w:rsidRDefault="00310A10" w:rsidP="005D6CDF">
      <w:pPr>
        <w:spacing w:line="360" w:lineRule="auto"/>
      </w:pPr>
      <w:r>
        <w:t>To reflect uncertainty in attribution and valuation, a lower and upper bound has been calculated. The lower bound assumes a smaller number of affected others, using the average household size (1.7 people, minus the person who gambles), rather than the broader social impact estimate of six people per suicide attempt. This assumes only the most immediate relationships were significantly impacted.</w:t>
      </w:r>
      <w:r w:rsidR="005D6CDF">
        <w:t xml:space="preserve"> </w:t>
      </w:r>
      <w:r>
        <w:t xml:space="preserve">For the upper bound, the proxy for emotional harm was emotional distress valuation was increased. Suicide attempts are often associated with severe depression </w:t>
      </w:r>
      <w:r w:rsidR="0038398B">
        <w:rPr>
          <w:noProof/>
          <w:color w:val="000000"/>
        </w:rPr>
        <w:t>(Global Burden of Disease Collaborative Network, 2024)</w:t>
      </w:r>
      <w:r>
        <w:t xml:space="preserve">. Using the Global Burden of Disease study </w:t>
      </w:r>
      <w:r w:rsidR="0038398B">
        <w:rPr>
          <w:noProof/>
          <w:color w:val="000000"/>
        </w:rPr>
        <w:t>(2024)</w:t>
      </w:r>
      <w:r>
        <w:t xml:space="preserve"> disability weight associated with major depressive disorder (severe) of </w:t>
      </w:r>
      <w:r w:rsidR="006A1508">
        <w:t>0.66 and</w:t>
      </w:r>
      <w:r>
        <w:t xml:space="preserve"> applying this to a YLD valuation to GDP per capita (NZ GDP per capita = $78,613), results in a valuation of approximately $51,884. This figure was applied in place of the $10,000 emotional harm proxy for the person who gambles to estimate an upper bound. The proxy for emotional harm for affected others remains at $10,000, as do the costs of services per suicide attempt. </w:t>
      </w:r>
    </w:p>
    <w:p w14:paraId="1B76E1E4" w14:textId="77777777" w:rsidR="00DB689D" w:rsidRDefault="00DB689D" w:rsidP="00367A8D">
      <w:pPr>
        <w:spacing w:line="360" w:lineRule="auto"/>
      </w:pPr>
    </w:p>
    <w:p w14:paraId="3AC4B12F" w14:textId="77777777" w:rsidR="00DB689D" w:rsidRDefault="00310A10" w:rsidP="00367A8D">
      <w:pPr>
        <w:spacing w:line="360" w:lineRule="auto"/>
      </w:pPr>
      <w:r>
        <w:t>Therefore, the estimated cost of suicide attempts due to gambling in New Zealand is between $45 million and $162 million. The wide range reflects differences in assumptions about how many people are affected and how the emotional burden should be valued.</w:t>
      </w:r>
    </w:p>
    <w:p w14:paraId="26CE2B3F" w14:textId="77777777" w:rsidR="00DB689D" w:rsidRDefault="00DB689D" w:rsidP="00367A8D">
      <w:pPr>
        <w:spacing w:line="360" w:lineRule="auto"/>
      </w:pPr>
    </w:p>
    <w:p w14:paraId="4E5DDB30" w14:textId="77777777" w:rsidR="00DB689D" w:rsidRDefault="00310A10" w:rsidP="00367A8D">
      <w:pPr>
        <w:pStyle w:val="Heading4"/>
        <w:keepNext w:val="0"/>
        <w:keepLines w:val="0"/>
        <w:spacing w:line="360" w:lineRule="auto"/>
      </w:pPr>
      <w:bookmarkStart w:id="443" w:name="_yruwlocxnuf" w:colFirst="0" w:colLast="0"/>
      <w:bookmarkEnd w:id="443"/>
      <w:r>
        <w:rPr>
          <w:sz w:val="22"/>
          <w:szCs w:val="22"/>
        </w:rPr>
        <w:t>Fatality by suicide</w:t>
      </w:r>
      <w:r>
        <w:t xml:space="preserve"> </w:t>
      </w:r>
    </w:p>
    <w:p w14:paraId="01AEAF56" w14:textId="05D6DD1F" w:rsidR="00DB689D" w:rsidRDefault="00310A10" w:rsidP="00367A8D">
      <w:pPr>
        <w:spacing w:line="360" w:lineRule="auto"/>
      </w:pPr>
      <w:r>
        <w:t xml:space="preserve">Despite this strong association between gambling and suicide, it is difficult to accurately quantify gambling-related suicides. Gambling is often unknown or undocumented in medical files, police or coroner reports and is rarely a focus during official investigations </w:t>
      </w:r>
      <w:r w:rsidR="0038398B">
        <w:rPr>
          <w:noProof/>
          <w:color w:val="000000"/>
        </w:rPr>
        <w:t>(Gambling with Lives, 2022; Rintoul et al., 2023; Wong et al., 2010)</w:t>
      </w:r>
      <w:r>
        <w:t>.</w:t>
      </w:r>
    </w:p>
    <w:p w14:paraId="25892320" w14:textId="77777777" w:rsidR="00DB689D" w:rsidRDefault="00DB689D" w:rsidP="00367A8D">
      <w:pPr>
        <w:spacing w:line="360" w:lineRule="auto"/>
      </w:pPr>
    </w:p>
    <w:p w14:paraId="191554E7" w14:textId="43D4B404" w:rsidR="00DB689D" w:rsidRDefault="00310A10" w:rsidP="00367A8D">
      <w:pPr>
        <w:spacing w:line="360" w:lineRule="auto"/>
      </w:pPr>
      <w:r>
        <w:t xml:space="preserve">Taking all available evidence into account </w:t>
      </w:r>
      <w:r w:rsidR="0038398B">
        <w:rPr>
          <w:noProof/>
          <w:color w:val="000000"/>
        </w:rPr>
        <w:t>(National confidential inquiry into suicide and homicide by people with mental illness, 2017; Rintoul et al., 2023; Wong et al., 2010)</w:t>
      </w:r>
      <w:r>
        <w:t xml:space="preserve">, gambling is estimated to contribute to between 4% and 11% of suicides. This costing uses the Victorian figure </w:t>
      </w:r>
      <w:r w:rsidR="0038398B">
        <w:rPr>
          <w:noProof/>
          <w:color w:val="000000"/>
        </w:rPr>
        <w:t>(4.2%; Rintoul et al., 2023)</w:t>
      </w:r>
      <w:r>
        <w:t xml:space="preserve"> adjusted to reflect New Zealand’s population and total suicide rates (described below).  </w:t>
      </w:r>
    </w:p>
    <w:p w14:paraId="6266D6F7" w14:textId="77777777" w:rsidR="00DB689D" w:rsidRDefault="00310A10" w:rsidP="00367A8D">
      <w:pPr>
        <w:spacing w:before="240" w:after="240" w:line="360" w:lineRule="auto"/>
      </w:pPr>
      <w:r>
        <w:t xml:space="preserve">Suicide fatalities result in a range of costs, including: </w:t>
      </w:r>
    </w:p>
    <w:p w14:paraId="1E51B2A6" w14:textId="77777777" w:rsidR="00DB689D" w:rsidRDefault="00310A10" w:rsidP="00367A8D">
      <w:pPr>
        <w:numPr>
          <w:ilvl w:val="0"/>
          <w:numId w:val="3"/>
        </w:numPr>
        <w:spacing w:before="240" w:line="360" w:lineRule="auto"/>
      </w:pPr>
      <w:r>
        <w:t>direct costs (such as police, post-mortem, and funeral services),</w:t>
      </w:r>
    </w:p>
    <w:p w14:paraId="3F3F59E1" w14:textId="77777777" w:rsidR="00DB689D" w:rsidRDefault="00310A10" w:rsidP="00367A8D">
      <w:pPr>
        <w:numPr>
          <w:ilvl w:val="0"/>
          <w:numId w:val="3"/>
        </w:numPr>
        <w:spacing w:line="360" w:lineRule="auto"/>
      </w:pPr>
      <w:r>
        <w:t xml:space="preserve">indirect costs (such as lost productivity), and </w:t>
      </w:r>
    </w:p>
    <w:p w14:paraId="7C67E2D4" w14:textId="77777777" w:rsidR="00DB689D" w:rsidRDefault="00310A10" w:rsidP="00367A8D">
      <w:pPr>
        <w:numPr>
          <w:ilvl w:val="0"/>
          <w:numId w:val="3"/>
        </w:numPr>
        <w:spacing w:after="240" w:line="360" w:lineRule="auto"/>
      </w:pPr>
      <w:r>
        <w:t>intangible costs, particularly for those who were close to the person who died.</w:t>
      </w:r>
    </w:p>
    <w:p w14:paraId="3875D3E8" w14:textId="7565D4C9" w:rsidR="00DB689D" w:rsidRDefault="00310A10" w:rsidP="00367A8D">
      <w:pPr>
        <w:spacing w:line="360" w:lineRule="auto"/>
      </w:pPr>
      <w:r>
        <w:t xml:space="preserve">There is no standard method to determine how many people are affected by each suicide or the depth of that impact </w:t>
      </w:r>
      <w:r w:rsidR="0038398B">
        <w:rPr>
          <w:noProof/>
          <w:color w:val="000000"/>
        </w:rPr>
        <w:t>(Cerel et al., 2019; Maple et al., 2016)</w:t>
      </w:r>
      <w:r>
        <w:t xml:space="preserve">. Cerel et al. </w:t>
      </w:r>
      <w:r w:rsidR="0038398B">
        <w:rPr>
          <w:noProof/>
          <w:color w:val="000000"/>
        </w:rPr>
        <w:t>(2014)</w:t>
      </w:r>
      <w:r>
        <w:t xml:space="preserve"> proposed a continuum of exposure, ranging from those who simply knew the person, to those who experience emotional distress, and finally those who suffer acute and long-term grief such as partners, children, and close family. Maple et al. </w:t>
      </w:r>
      <w:r w:rsidR="0038398B">
        <w:rPr>
          <w:noProof/>
          <w:color w:val="000000"/>
        </w:rPr>
        <w:t>(2016)</w:t>
      </w:r>
      <w:r>
        <w:t xml:space="preserve"> found that 85% of Australians surveyed knew someone who had died by suicide, most often a friend. In the United States, Cerel et al. </w:t>
      </w:r>
      <w:r w:rsidR="0038398B">
        <w:rPr>
          <w:noProof/>
          <w:color w:val="000000"/>
        </w:rPr>
        <w:t>(2019)</w:t>
      </w:r>
      <w:r>
        <w:t xml:space="preserve"> estimated that, on average, 135 people are exposed to each suicide.</w:t>
      </w:r>
    </w:p>
    <w:p w14:paraId="1B4F2C8C" w14:textId="77777777" w:rsidR="00DB689D" w:rsidRDefault="00DB689D" w:rsidP="00367A8D">
      <w:pPr>
        <w:spacing w:line="360" w:lineRule="auto"/>
      </w:pPr>
    </w:p>
    <w:p w14:paraId="476CB25A" w14:textId="647E0E26" w:rsidR="00DB689D" w:rsidRDefault="00310A10" w:rsidP="00367A8D">
      <w:pPr>
        <w:spacing w:line="360" w:lineRule="auto"/>
      </w:pPr>
      <w:r>
        <w:t xml:space="preserve">The long-standing estimate that six people are significantly impacted by each suicide continues to be widely used and is roughly consistent with estimates of immediate family size </w:t>
      </w:r>
      <w:r w:rsidR="0038398B">
        <w:rPr>
          <w:noProof/>
          <w:color w:val="000000"/>
        </w:rPr>
        <w:t>(Berman, 2011)</w:t>
      </w:r>
      <w:r>
        <w:t>. While some studies have proposed higher numbers (e.g., 10 to 115), Berman found that between four and 17 people tend to have had daily contact with the deceased, with more having weekly contact. Six therefore remains a reasonable conservative estimate of those most directly affected.</w:t>
      </w:r>
    </w:p>
    <w:p w14:paraId="30030914" w14:textId="77777777" w:rsidR="00DB689D" w:rsidRDefault="00DB689D" w:rsidP="00367A8D">
      <w:pPr>
        <w:spacing w:line="360" w:lineRule="auto"/>
      </w:pPr>
    </w:p>
    <w:p w14:paraId="7F800AB2" w14:textId="1C1D99BE" w:rsidR="00DB689D" w:rsidRDefault="00310A10" w:rsidP="00367A8D">
      <w:pPr>
        <w:spacing w:line="360" w:lineRule="auto"/>
      </w:pPr>
      <w:r>
        <w:t xml:space="preserve">To better account for the range of impact, the current costing adopts a higher emotional harm valuation for dependents such as partners and children, reflecting the deeper and longer-term personal, practical, and financial consequences of suicide for these groups </w:t>
      </w:r>
      <w:r w:rsidR="0038398B">
        <w:rPr>
          <w:noProof/>
          <w:color w:val="000000"/>
        </w:rPr>
        <w:t>(Cerel et al., 2014; Lancaster &amp; Johnson, 2020; Maple et al., 2016)</w:t>
      </w:r>
      <w:r>
        <w:t>.</w:t>
      </w:r>
    </w:p>
    <w:p w14:paraId="6E2744F9" w14:textId="77777777" w:rsidR="00DB689D" w:rsidRDefault="00DB689D" w:rsidP="00367A8D">
      <w:pPr>
        <w:spacing w:line="360" w:lineRule="auto"/>
      </w:pPr>
    </w:p>
    <w:p w14:paraId="13793148" w14:textId="77777777" w:rsidR="00A0657F" w:rsidRDefault="00310A10" w:rsidP="00A0657F">
      <w:pPr>
        <w:spacing w:line="360" w:lineRule="auto"/>
      </w:pPr>
      <w:r>
        <w:t xml:space="preserve">In terms of economic value, O’Dea and Tucker </w:t>
      </w:r>
      <w:r w:rsidR="0038398B">
        <w:rPr>
          <w:noProof/>
          <w:color w:val="000000"/>
        </w:rPr>
        <w:t>(2005)</w:t>
      </w:r>
      <w:r>
        <w:t xml:space="preserve"> estimated the total cost of fatalities to suicide New Zealand in 2004 to be over $206 million, with an estimated cost per fatality to be $448,250. More recently, Doran </w:t>
      </w:r>
      <w:r w:rsidR="0038398B">
        <w:rPr>
          <w:noProof/>
          <w:color w:val="000000"/>
        </w:rPr>
        <w:t>(2024)</w:t>
      </w:r>
      <w:r>
        <w:t xml:space="preserve"> determined the cost of fatalities to suicide in the New Zealand construction industry to be over $2 million per fatality, increasing to over $7 million per fatality when including non-economic or intangible costs. </w:t>
      </w:r>
    </w:p>
    <w:p w14:paraId="779B1F9F" w14:textId="77777777" w:rsidR="00A0657F" w:rsidRDefault="00A0657F" w:rsidP="00A0657F">
      <w:pPr>
        <w:spacing w:line="360" w:lineRule="auto"/>
      </w:pPr>
    </w:p>
    <w:p w14:paraId="2941A58F" w14:textId="7F338C52" w:rsidR="00DB689D" w:rsidRDefault="00310A10" w:rsidP="00A0657F">
      <w:pPr>
        <w:spacing w:line="360" w:lineRule="auto"/>
      </w:pPr>
      <w:r>
        <w:t xml:space="preserve">The costs of experiences of fatality by suicide due to gambling were categorised into two areas:  </w:t>
      </w:r>
    </w:p>
    <w:p w14:paraId="56792502" w14:textId="77777777" w:rsidR="00DB689D" w:rsidRDefault="00310A10" w:rsidP="00367A8D">
      <w:pPr>
        <w:numPr>
          <w:ilvl w:val="0"/>
          <w:numId w:val="31"/>
        </w:numPr>
        <w:spacing w:before="120" w:line="360" w:lineRule="auto"/>
        <w:ind w:right="280"/>
      </w:pPr>
      <w:r>
        <w:t>Cost to the New Zealand economy</w:t>
      </w:r>
    </w:p>
    <w:p w14:paraId="008D9133" w14:textId="77777777" w:rsidR="00DB689D" w:rsidRDefault="00310A10" w:rsidP="00367A8D">
      <w:pPr>
        <w:numPr>
          <w:ilvl w:val="1"/>
          <w:numId w:val="31"/>
        </w:numPr>
        <w:spacing w:line="360" w:lineRule="auto"/>
        <w:ind w:right="280"/>
      </w:pPr>
      <w:r>
        <w:t>Cost of services</w:t>
      </w:r>
    </w:p>
    <w:p w14:paraId="52081257" w14:textId="77777777" w:rsidR="00DB689D" w:rsidRDefault="00310A10" w:rsidP="00367A8D">
      <w:pPr>
        <w:numPr>
          <w:ilvl w:val="1"/>
          <w:numId w:val="31"/>
        </w:numPr>
        <w:spacing w:line="360" w:lineRule="auto"/>
        <w:ind w:right="280"/>
      </w:pPr>
      <w:r>
        <w:t>Productivity loss to business</w:t>
      </w:r>
    </w:p>
    <w:p w14:paraId="1AB47205" w14:textId="77777777" w:rsidR="00DB689D" w:rsidRDefault="00310A10" w:rsidP="00367A8D">
      <w:pPr>
        <w:numPr>
          <w:ilvl w:val="0"/>
          <w:numId w:val="31"/>
        </w:numPr>
        <w:spacing w:line="360" w:lineRule="auto"/>
        <w:ind w:right="280"/>
      </w:pPr>
      <w:r>
        <w:t xml:space="preserve">Impact to affected others </w:t>
      </w:r>
    </w:p>
    <w:p w14:paraId="1786E3AA" w14:textId="77777777" w:rsidR="00DB689D" w:rsidRDefault="00310A10" w:rsidP="00367A8D">
      <w:pPr>
        <w:numPr>
          <w:ilvl w:val="1"/>
          <w:numId w:val="31"/>
        </w:numPr>
        <w:spacing w:line="360" w:lineRule="auto"/>
        <w:ind w:right="280"/>
      </w:pPr>
      <w:r>
        <w:t>Dependent partners and children</w:t>
      </w:r>
    </w:p>
    <w:p w14:paraId="0F6ED478" w14:textId="3A60FF0D" w:rsidR="00DB689D" w:rsidRDefault="00310A10" w:rsidP="00A0657F">
      <w:pPr>
        <w:numPr>
          <w:ilvl w:val="1"/>
          <w:numId w:val="31"/>
        </w:numPr>
        <w:spacing w:after="120" w:line="360" w:lineRule="auto"/>
        <w:ind w:right="280"/>
      </w:pPr>
      <w:r>
        <w:t xml:space="preserve">Close others </w:t>
      </w:r>
    </w:p>
    <w:p w14:paraId="462C7728" w14:textId="77777777" w:rsidR="00A0657F" w:rsidRPr="00A0657F" w:rsidRDefault="00A0657F" w:rsidP="00A0657F">
      <w:pPr>
        <w:spacing w:after="120" w:line="360" w:lineRule="auto"/>
        <w:ind w:left="1440" w:right="280"/>
      </w:pPr>
    </w:p>
    <w:p w14:paraId="29D9C74D" w14:textId="77777777" w:rsidR="00DB689D" w:rsidRDefault="00310A10" w:rsidP="00367A8D">
      <w:pPr>
        <w:pStyle w:val="Heading5"/>
        <w:keepNext w:val="0"/>
        <w:keepLines w:val="0"/>
        <w:spacing w:line="360" w:lineRule="auto"/>
      </w:pPr>
      <w:bookmarkStart w:id="444" w:name="_ec1e8hm6ckoh" w:colFirst="0" w:colLast="0"/>
      <w:bookmarkEnd w:id="444"/>
      <w:r>
        <w:t>Fatality by suicide - cost to the New Zealand economy</w:t>
      </w:r>
    </w:p>
    <w:tbl>
      <w:tblPr>
        <w:tblStyle w:val="aa"/>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B689D" w14:paraId="32D51CD4" w14:textId="77777777">
        <w:tc>
          <w:tcPr>
            <w:tcW w:w="9026" w:type="dxa"/>
            <w:shd w:val="clear" w:color="auto" w:fill="F3F3F3"/>
            <w:tcMar>
              <w:top w:w="100" w:type="dxa"/>
              <w:left w:w="100" w:type="dxa"/>
              <w:bottom w:w="100" w:type="dxa"/>
              <w:right w:w="100" w:type="dxa"/>
            </w:tcMar>
          </w:tcPr>
          <w:p w14:paraId="22BFA84C" w14:textId="77777777" w:rsidR="00DB689D" w:rsidRDefault="00310A10" w:rsidP="00843927">
            <w:pPr>
              <w:spacing w:before="120" w:after="240" w:line="276" w:lineRule="auto"/>
            </w:pPr>
            <w:r>
              <w:t xml:space="preserve">The economic impact of gambling-related fatalities by suicide to business and the New Zealand economy was calculated using: </w:t>
            </w:r>
          </w:p>
          <w:p w14:paraId="2DA81E7D" w14:textId="77777777" w:rsidR="00DB689D" w:rsidRDefault="00310A10" w:rsidP="00843927">
            <w:pPr>
              <w:spacing w:before="120" w:after="120" w:line="276" w:lineRule="auto"/>
              <w:ind w:right="280"/>
            </w:pPr>
            <w:r>
              <w:rPr>
                <w:i/>
              </w:rPr>
              <w:t>Prevalence</w:t>
            </w:r>
            <w:r>
              <w:t xml:space="preserve"> </w:t>
            </w:r>
          </w:p>
          <w:p w14:paraId="25A661B3" w14:textId="302F0919" w:rsidR="00DB689D" w:rsidRDefault="00310A10" w:rsidP="00843927">
            <w:pPr>
              <w:numPr>
                <w:ilvl w:val="0"/>
                <w:numId w:val="42"/>
              </w:numPr>
              <w:spacing w:before="120" w:line="276" w:lineRule="auto"/>
              <w:ind w:right="280"/>
            </w:pPr>
            <w:r>
              <w:t xml:space="preserve">The prevalence of gambling-related suicide deaths was based on the proportion of gambling-related suicides in Victoria </w:t>
            </w:r>
            <w:r w:rsidR="0038398B">
              <w:rPr>
                <w:noProof/>
                <w:color w:val="000000"/>
              </w:rPr>
              <w:t>(4.2%; Rintoul et al., 2023)</w:t>
            </w:r>
            <w:r>
              <w:t>. This figure was adjusted based on the relative suicide rates between Victoria and New Zealand, assuming that gambling contributes to suicide at the same relative rate in both regions. This resulted in an estimated 4.1% of total suicides in New Zealand being gambling-related.</w:t>
            </w:r>
          </w:p>
          <w:p w14:paraId="7AFEE405" w14:textId="2CA814EA" w:rsidR="00DB689D" w:rsidRDefault="00310A10" w:rsidP="00843927">
            <w:pPr>
              <w:numPr>
                <w:ilvl w:val="0"/>
                <w:numId w:val="42"/>
              </w:numPr>
              <w:spacing w:after="240" w:line="276" w:lineRule="auto"/>
            </w:pPr>
            <w:r>
              <w:t xml:space="preserve">This proportion was applied to the total number of suicides in New Zealand in 2023–24 (617) </w:t>
            </w:r>
            <w:r w:rsidR="0038398B">
              <w:rPr>
                <w:noProof/>
                <w:color w:val="000000"/>
              </w:rPr>
              <w:t>(</w:t>
            </w:r>
            <w:r w:rsidR="0038398B" w:rsidRPr="0038398B">
              <w:rPr>
                <w:i/>
                <w:noProof/>
                <w:color w:val="000000"/>
              </w:rPr>
              <w:t>Suicide web tool</w:t>
            </w:r>
            <w:r w:rsidR="0038398B">
              <w:rPr>
                <w:noProof/>
                <w:color w:val="000000"/>
              </w:rPr>
              <w:t>, 2024)</w:t>
            </w:r>
            <w:r>
              <w:t xml:space="preserve"> resulting in an estimated 25.3 gambling-related suicide deaths.</w:t>
            </w:r>
          </w:p>
          <w:p w14:paraId="1F7E8569" w14:textId="77777777" w:rsidR="00DB689D" w:rsidRDefault="00310A10" w:rsidP="00843927">
            <w:pPr>
              <w:spacing w:before="120" w:after="120" w:line="276" w:lineRule="auto"/>
              <w:ind w:right="280"/>
            </w:pPr>
            <w:r>
              <w:rPr>
                <w:i/>
              </w:rPr>
              <w:t>Cost of services</w:t>
            </w:r>
            <w:r>
              <w:t xml:space="preserve"> </w:t>
            </w:r>
          </w:p>
          <w:p w14:paraId="53D0CEB5" w14:textId="2B8E66B0" w:rsidR="00DB689D" w:rsidRDefault="00310A10" w:rsidP="00843927">
            <w:pPr>
              <w:numPr>
                <w:ilvl w:val="0"/>
                <w:numId w:val="36"/>
              </w:numPr>
              <w:spacing w:before="120" w:after="120" w:line="276" w:lineRule="auto"/>
              <w:ind w:right="280"/>
            </w:pPr>
            <w:r>
              <w:t xml:space="preserve">The average cost of emergency response, forensic investigation, victim support and funeral services was estimated at $10,205 in 2004 </w:t>
            </w:r>
            <w:r w:rsidR="00DB2449">
              <w:rPr>
                <w:noProof/>
                <w:color w:val="000000"/>
              </w:rPr>
              <w:t>(O’Dea &amp; Tucker, 2005)</w:t>
            </w:r>
            <w:r>
              <w:t>, which was inflated to $16,765 for 2024.</w:t>
            </w:r>
          </w:p>
          <w:p w14:paraId="0C96CD20" w14:textId="77777777" w:rsidR="00DB689D" w:rsidRDefault="00310A10" w:rsidP="00843927">
            <w:pPr>
              <w:spacing w:before="120" w:after="120" w:line="276" w:lineRule="auto"/>
              <w:ind w:right="280"/>
            </w:pPr>
            <w:r>
              <w:rPr>
                <w:i/>
              </w:rPr>
              <w:t>Productivity loss</w:t>
            </w:r>
            <w:r>
              <w:t xml:space="preserve"> </w:t>
            </w:r>
          </w:p>
          <w:p w14:paraId="1047F029" w14:textId="341FC6F7" w:rsidR="00DB689D" w:rsidRDefault="00310A10" w:rsidP="00843927">
            <w:pPr>
              <w:numPr>
                <w:ilvl w:val="0"/>
                <w:numId w:val="42"/>
              </w:numPr>
              <w:spacing w:before="120" w:after="120" w:line="276" w:lineRule="auto"/>
              <w:ind w:right="280"/>
            </w:pPr>
            <w:r>
              <w:t xml:space="preserve">The average productivity loss per fatality was $1,413,900 in 2004 </w:t>
            </w:r>
            <w:r w:rsidR="0038398B">
              <w:rPr>
                <w:noProof/>
                <w:color w:val="000000"/>
              </w:rPr>
              <w:t>(O’Dea &amp; Tucker, 2005)</w:t>
            </w:r>
            <w:r>
              <w:t>, adjusted to $2,322,817 for 2024.</w:t>
            </w:r>
          </w:p>
        </w:tc>
      </w:tr>
    </w:tbl>
    <w:p w14:paraId="34BFB2E1" w14:textId="77777777" w:rsidR="00DB689D" w:rsidRDefault="00DB689D" w:rsidP="00367A8D">
      <w:pPr>
        <w:spacing w:line="360" w:lineRule="auto"/>
        <w:rPr>
          <w:b/>
        </w:rPr>
      </w:pPr>
    </w:p>
    <w:p w14:paraId="393E2E9E" w14:textId="77777777" w:rsidR="00DB689D" w:rsidRDefault="00DB689D" w:rsidP="00367A8D">
      <w:pPr>
        <w:spacing w:line="360" w:lineRule="auto"/>
      </w:pPr>
    </w:p>
    <w:p w14:paraId="3C18221C" w14:textId="55909385" w:rsidR="00212ED7" w:rsidRDefault="00310A10" w:rsidP="00212ED7">
      <w:pPr>
        <w:spacing w:before="120" w:after="240" w:line="360" w:lineRule="auto"/>
      </w:pPr>
      <w:r>
        <w:t>The estimated cost associated with gambling-related fatalities to the New Zealand economy is around $59 million (</w:t>
      </w:r>
      <w:r w:rsidRPr="006903A5">
        <w:t>Table 1</w:t>
      </w:r>
      <w:r w:rsidR="001D7B0D">
        <w:t>9</w:t>
      </w:r>
      <w:r>
        <w:t>). This figure should be considered an underestimation. This is primarily because gambling-related factors in suicides are often underreported or not fully documented in official data, both in New Zealand and globally, making comprehensive data challenging to obtain. To account for uncertainty, a lower bound estimate was calculated by applying a 5% reduction to all cost items. Given the lack of alternative data, a conservative upper bound estimate was calculated by applying a 5% increase.</w:t>
      </w:r>
    </w:p>
    <w:p w14:paraId="6359D269" w14:textId="77777777" w:rsidR="00DB689D" w:rsidRDefault="00310A10" w:rsidP="00367A8D">
      <w:pPr>
        <w:spacing w:line="360" w:lineRule="auto"/>
      </w:pPr>
      <w:r>
        <w:t>Therefore, the estimated cost of gambling-related suicide fatalities in New Zealand falls between $56 million and $62 million. This does not include the emotional harm cost to affected others, which follows, nor does it capture the broader social impacts.</w:t>
      </w:r>
    </w:p>
    <w:p w14:paraId="07E9F3B2" w14:textId="77777777" w:rsidR="00DB689D" w:rsidRDefault="00DB689D" w:rsidP="00367A8D">
      <w:pPr>
        <w:spacing w:line="360" w:lineRule="auto"/>
      </w:pPr>
    </w:p>
    <w:p w14:paraId="78CA0A03" w14:textId="2B6563D1" w:rsidR="006903A5" w:rsidRDefault="006903A5" w:rsidP="00DB094D">
      <w:pPr>
        <w:pStyle w:val="Caption"/>
      </w:pPr>
      <w:bookmarkStart w:id="445" w:name="_Toc207619061"/>
      <w:r>
        <w:t xml:space="preserve">Table </w:t>
      </w:r>
      <w:r>
        <w:fldChar w:fldCharType="begin"/>
      </w:r>
      <w:r>
        <w:instrText xml:space="preserve"> SEQ Table \* ARABIC </w:instrText>
      </w:r>
      <w:r>
        <w:fldChar w:fldCharType="separate"/>
      </w:r>
      <w:r w:rsidR="00986A0D">
        <w:rPr>
          <w:noProof/>
        </w:rPr>
        <w:t>19</w:t>
      </w:r>
      <w:r>
        <w:fldChar w:fldCharType="end"/>
      </w:r>
      <w:r>
        <w:t xml:space="preserve">. </w:t>
      </w:r>
      <w:r w:rsidRPr="005D0F5A">
        <w:t>Cost of fatality by suicide to business/government due to gambling problems in New Zealand (2023-24)</w:t>
      </w:r>
      <w:bookmarkEnd w:id="445"/>
    </w:p>
    <w:tbl>
      <w:tblPr>
        <w:tblStyle w:val="TableGridLight"/>
        <w:tblW w:w="8784" w:type="dxa"/>
        <w:tblLook w:val="04A0" w:firstRow="1" w:lastRow="0" w:firstColumn="1" w:lastColumn="0" w:noHBand="0" w:noVBand="1"/>
      </w:tblPr>
      <w:tblGrid>
        <w:gridCol w:w="5807"/>
        <w:gridCol w:w="1276"/>
        <w:gridCol w:w="1701"/>
      </w:tblGrid>
      <w:tr w:rsidR="006903A5" w:rsidRPr="008D72BB" w14:paraId="593DCA7D" w14:textId="77777777" w:rsidTr="00841D8C">
        <w:trPr>
          <w:trHeight w:val="397"/>
        </w:trPr>
        <w:tc>
          <w:tcPr>
            <w:tcW w:w="5807" w:type="dxa"/>
            <w:shd w:val="clear" w:color="auto" w:fill="F2F2F2" w:themeFill="background1" w:themeFillShade="F2"/>
            <w:vAlign w:val="center"/>
            <w:hideMark/>
          </w:tcPr>
          <w:p w14:paraId="79EF1404" w14:textId="77777777" w:rsidR="006903A5" w:rsidRPr="008D72BB" w:rsidRDefault="006903A5">
            <w:pPr>
              <w:spacing w:line="276" w:lineRule="auto"/>
              <w:rPr>
                <w:b/>
                <w:bCs/>
                <w:color w:val="000000"/>
                <w:sz w:val="20"/>
                <w:szCs w:val="20"/>
              </w:rPr>
            </w:pPr>
            <w:r w:rsidRPr="008D72BB">
              <w:rPr>
                <w:b/>
                <w:bCs/>
                <w:color w:val="000000"/>
                <w:sz w:val="20"/>
                <w:szCs w:val="20"/>
              </w:rPr>
              <w:t>Variable</w:t>
            </w:r>
          </w:p>
        </w:tc>
        <w:tc>
          <w:tcPr>
            <w:tcW w:w="1276" w:type="dxa"/>
            <w:shd w:val="clear" w:color="auto" w:fill="F2F2F2" w:themeFill="background1" w:themeFillShade="F2"/>
            <w:vAlign w:val="center"/>
            <w:hideMark/>
          </w:tcPr>
          <w:p w14:paraId="63DFD21D" w14:textId="77777777" w:rsidR="006903A5" w:rsidRPr="008D72BB" w:rsidRDefault="006903A5">
            <w:pPr>
              <w:spacing w:line="276" w:lineRule="auto"/>
              <w:jc w:val="center"/>
              <w:rPr>
                <w:b/>
                <w:bCs/>
                <w:color w:val="000000"/>
                <w:sz w:val="20"/>
                <w:szCs w:val="20"/>
              </w:rPr>
            </w:pPr>
            <w:r w:rsidRPr="008D72BB">
              <w:rPr>
                <w:b/>
                <w:bCs/>
                <w:color w:val="000000"/>
                <w:sz w:val="20"/>
                <w:szCs w:val="20"/>
              </w:rPr>
              <w:t>Calculation</w:t>
            </w:r>
          </w:p>
        </w:tc>
        <w:tc>
          <w:tcPr>
            <w:tcW w:w="1701" w:type="dxa"/>
            <w:shd w:val="clear" w:color="auto" w:fill="F2F2F2" w:themeFill="background1" w:themeFillShade="F2"/>
            <w:vAlign w:val="center"/>
            <w:hideMark/>
          </w:tcPr>
          <w:p w14:paraId="1C8C9BB2" w14:textId="77777777" w:rsidR="006903A5" w:rsidRPr="008D72BB" w:rsidRDefault="006903A5">
            <w:pPr>
              <w:spacing w:line="276" w:lineRule="auto"/>
              <w:jc w:val="center"/>
              <w:rPr>
                <w:b/>
                <w:bCs/>
                <w:color w:val="000000"/>
                <w:sz w:val="20"/>
                <w:szCs w:val="20"/>
              </w:rPr>
            </w:pPr>
            <w:r w:rsidRPr="008D72BB">
              <w:rPr>
                <w:b/>
                <w:bCs/>
                <w:color w:val="000000"/>
                <w:sz w:val="20"/>
                <w:szCs w:val="20"/>
              </w:rPr>
              <w:t>Total gambling problems</w:t>
            </w:r>
          </w:p>
        </w:tc>
      </w:tr>
      <w:tr w:rsidR="006903A5" w:rsidRPr="008D72BB" w14:paraId="16FAD8C6" w14:textId="77777777" w:rsidTr="00841D8C">
        <w:trPr>
          <w:trHeight w:val="397"/>
        </w:trPr>
        <w:tc>
          <w:tcPr>
            <w:tcW w:w="5807" w:type="dxa"/>
            <w:noWrap/>
            <w:vAlign w:val="center"/>
            <w:hideMark/>
          </w:tcPr>
          <w:p w14:paraId="328DFA8C" w14:textId="77777777" w:rsidR="006903A5" w:rsidRPr="008D72BB" w:rsidRDefault="006903A5">
            <w:pPr>
              <w:spacing w:line="276" w:lineRule="auto"/>
              <w:rPr>
                <w:color w:val="242424"/>
                <w:sz w:val="20"/>
                <w:szCs w:val="20"/>
              </w:rPr>
            </w:pPr>
            <w:r w:rsidRPr="008D72BB">
              <w:rPr>
                <w:color w:val="242424"/>
                <w:sz w:val="20"/>
                <w:szCs w:val="20"/>
              </w:rPr>
              <w:t>Number of suicides in New Zealand in 2023-24</w:t>
            </w:r>
          </w:p>
        </w:tc>
        <w:tc>
          <w:tcPr>
            <w:tcW w:w="1276" w:type="dxa"/>
            <w:noWrap/>
            <w:hideMark/>
          </w:tcPr>
          <w:p w14:paraId="0BD19E3C" w14:textId="77777777" w:rsidR="006903A5" w:rsidRPr="008D72BB" w:rsidRDefault="006903A5">
            <w:pPr>
              <w:spacing w:line="276" w:lineRule="auto"/>
              <w:rPr>
                <w:color w:val="242424"/>
                <w:sz w:val="20"/>
                <w:szCs w:val="20"/>
              </w:rPr>
            </w:pPr>
            <w:r w:rsidRPr="008D72BB">
              <w:rPr>
                <w:color w:val="242424"/>
                <w:sz w:val="20"/>
                <w:szCs w:val="20"/>
              </w:rPr>
              <w:t>a</w:t>
            </w:r>
          </w:p>
        </w:tc>
        <w:tc>
          <w:tcPr>
            <w:tcW w:w="1701" w:type="dxa"/>
            <w:noWrap/>
            <w:vAlign w:val="center"/>
            <w:hideMark/>
          </w:tcPr>
          <w:p w14:paraId="03B02151" w14:textId="77777777" w:rsidR="006903A5" w:rsidRPr="008D72BB" w:rsidRDefault="006903A5">
            <w:pPr>
              <w:spacing w:line="276" w:lineRule="auto"/>
              <w:jc w:val="right"/>
              <w:rPr>
                <w:color w:val="242424"/>
                <w:sz w:val="20"/>
                <w:szCs w:val="20"/>
              </w:rPr>
            </w:pPr>
            <w:r w:rsidRPr="008D72BB">
              <w:rPr>
                <w:color w:val="242424"/>
                <w:sz w:val="20"/>
                <w:szCs w:val="20"/>
              </w:rPr>
              <w:t>617</w:t>
            </w:r>
          </w:p>
        </w:tc>
      </w:tr>
      <w:tr w:rsidR="006903A5" w:rsidRPr="008D72BB" w14:paraId="1593EE46" w14:textId="77777777" w:rsidTr="00841D8C">
        <w:trPr>
          <w:trHeight w:val="397"/>
        </w:trPr>
        <w:tc>
          <w:tcPr>
            <w:tcW w:w="5807" w:type="dxa"/>
            <w:noWrap/>
            <w:vAlign w:val="center"/>
            <w:hideMark/>
          </w:tcPr>
          <w:p w14:paraId="305AEE2F" w14:textId="77777777" w:rsidR="006903A5" w:rsidRPr="008D72BB" w:rsidRDefault="006903A5">
            <w:pPr>
              <w:spacing w:line="276" w:lineRule="auto"/>
              <w:rPr>
                <w:color w:val="242424"/>
                <w:sz w:val="20"/>
                <w:szCs w:val="20"/>
              </w:rPr>
            </w:pPr>
            <w:r w:rsidRPr="008D72BB">
              <w:rPr>
                <w:color w:val="242424"/>
                <w:sz w:val="20"/>
                <w:szCs w:val="20"/>
              </w:rPr>
              <w:t xml:space="preserve">Estimated proportion of suicides attributable to gambling </w:t>
            </w:r>
            <w:r w:rsidRPr="008D72BB">
              <w:rPr>
                <w:color w:val="242424"/>
                <w:sz w:val="20"/>
                <w:szCs w:val="20"/>
              </w:rPr>
              <w:br/>
              <w:t>(gamblers and affected others)</w:t>
            </w:r>
          </w:p>
        </w:tc>
        <w:tc>
          <w:tcPr>
            <w:tcW w:w="1276" w:type="dxa"/>
            <w:noWrap/>
            <w:hideMark/>
          </w:tcPr>
          <w:p w14:paraId="2B705B24" w14:textId="77777777" w:rsidR="006903A5" w:rsidRPr="008D72BB" w:rsidRDefault="006903A5">
            <w:pPr>
              <w:spacing w:line="276" w:lineRule="auto"/>
              <w:rPr>
                <w:color w:val="242424"/>
                <w:sz w:val="20"/>
                <w:szCs w:val="20"/>
              </w:rPr>
            </w:pPr>
            <w:r w:rsidRPr="008D72BB">
              <w:rPr>
                <w:color w:val="242424"/>
                <w:sz w:val="20"/>
                <w:szCs w:val="20"/>
              </w:rPr>
              <w:t>b</w:t>
            </w:r>
          </w:p>
        </w:tc>
        <w:tc>
          <w:tcPr>
            <w:tcW w:w="1701" w:type="dxa"/>
            <w:vAlign w:val="center"/>
            <w:hideMark/>
          </w:tcPr>
          <w:p w14:paraId="1065344B" w14:textId="77777777" w:rsidR="006903A5" w:rsidRPr="008D72BB" w:rsidRDefault="006903A5">
            <w:pPr>
              <w:spacing w:line="276" w:lineRule="auto"/>
              <w:jc w:val="right"/>
              <w:rPr>
                <w:color w:val="000000"/>
                <w:sz w:val="20"/>
                <w:szCs w:val="20"/>
              </w:rPr>
            </w:pPr>
            <w:r w:rsidRPr="008D72BB">
              <w:rPr>
                <w:color w:val="000000"/>
                <w:sz w:val="20"/>
                <w:szCs w:val="20"/>
              </w:rPr>
              <w:t>4.1%</w:t>
            </w:r>
          </w:p>
        </w:tc>
      </w:tr>
      <w:tr w:rsidR="006903A5" w:rsidRPr="008D72BB" w14:paraId="587A498F" w14:textId="77777777" w:rsidTr="00841D8C">
        <w:trPr>
          <w:trHeight w:val="397"/>
        </w:trPr>
        <w:tc>
          <w:tcPr>
            <w:tcW w:w="5807" w:type="dxa"/>
            <w:noWrap/>
            <w:vAlign w:val="center"/>
            <w:hideMark/>
          </w:tcPr>
          <w:p w14:paraId="6728C2C7" w14:textId="77777777" w:rsidR="006903A5" w:rsidRPr="008D72BB" w:rsidRDefault="006903A5">
            <w:pPr>
              <w:spacing w:line="276" w:lineRule="auto"/>
              <w:rPr>
                <w:color w:val="242424"/>
                <w:sz w:val="20"/>
                <w:szCs w:val="20"/>
              </w:rPr>
            </w:pPr>
            <w:r w:rsidRPr="008D72BB">
              <w:rPr>
                <w:color w:val="242424"/>
                <w:sz w:val="20"/>
                <w:szCs w:val="20"/>
              </w:rPr>
              <w:t>Number of New Zealand suicides attributable to gambling</w:t>
            </w:r>
          </w:p>
        </w:tc>
        <w:tc>
          <w:tcPr>
            <w:tcW w:w="1276" w:type="dxa"/>
            <w:noWrap/>
            <w:hideMark/>
          </w:tcPr>
          <w:p w14:paraId="21C533D9" w14:textId="77777777" w:rsidR="006903A5" w:rsidRPr="008D72BB" w:rsidRDefault="006903A5">
            <w:pPr>
              <w:spacing w:line="276" w:lineRule="auto"/>
              <w:rPr>
                <w:color w:val="242424"/>
                <w:sz w:val="20"/>
                <w:szCs w:val="20"/>
              </w:rPr>
            </w:pPr>
            <w:r w:rsidRPr="008D72BB">
              <w:rPr>
                <w:color w:val="242424"/>
                <w:sz w:val="20"/>
                <w:szCs w:val="20"/>
              </w:rPr>
              <w:t>c = a x b</w:t>
            </w:r>
          </w:p>
        </w:tc>
        <w:tc>
          <w:tcPr>
            <w:tcW w:w="1701" w:type="dxa"/>
            <w:vAlign w:val="center"/>
            <w:hideMark/>
          </w:tcPr>
          <w:p w14:paraId="2562C05C" w14:textId="77777777" w:rsidR="006903A5" w:rsidRPr="008D72BB" w:rsidRDefault="006903A5">
            <w:pPr>
              <w:spacing w:line="276" w:lineRule="auto"/>
              <w:jc w:val="right"/>
              <w:rPr>
                <w:color w:val="000000"/>
                <w:sz w:val="20"/>
                <w:szCs w:val="20"/>
              </w:rPr>
            </w:pPr>
            <w:r w:rsidRPr="008D72BB">
              <w:rPr>
                <w:color w:val="000000"/>
                <w:sz w:val="20"/>
                <w:szCs w:val="20"/>
              </w:rPr>
              <w:t>25.26</w:t>
            </w:r>
          </w:p>
        </w:tc>
      </w:tr>
      <w:tr w:rsidR="006903A5" w:rsidRPr="008D72BB" w14:paraId="0A8EBDD6" w14:textId="77777777" w:rsidTr="00841D8C">
        <w:trPr>
          <w:trHeight w:val="397"/>
        </w:trPr>
        <w:tc>
          <w:tcPr>
            <w:tcW w:w="5807" w:type="dxa"/>
            <w:noWrap/>
            <w:vAlign w:val="center"/>
            <w:hideMark/>
          </w:tcPr>
          <w:p w14:paraId="6664DF5E" w14:textId="77777777" w:rsidR="006903A5" w:rsidRPr="008D72BB" w:rsidRDefault="006903A5">
            <w:pPr>
              <w:spacing w:line="276" w:lineRule="auto"/>
              <w:rPr>
                <w:b/>
                <w:bCs/>
                <w:color w:val="242424"/>
                <w:sz w:val="20"/>
                <w:szCs w:val="20"/>
              </w:rPr>
            </w:pPr>
            <w:r w:rsidRPr="008D72BB">
              <w:rPr>
                <w:b/>
                <w:bCs/>
                <w:color w:val="242424"/>
                <w:sz w:val="20"/>
                <w:szCs w:val="20"/>
              </w:rPr>
              <w:t>Cost of services</w:t>
            </w:r>
          </w:p>
        </w:tc>
        <w:tc>
          <w:tcPr>
            <w:tcW w:w="1276" w:type="dxa"/>
            <w:noWrap/>
            <w:hideMark/>
          </w:tcPr>
          <w:p w14:paraId="46DA12FB" w14:textId="77777777" w:rsidR="006903A5" w:rsidRPr="008D72BB" w:rsidRDefault="006903A5">
            <w:pPr>
              <w:spacing w:line="276" w:lineRule="auto"/>
              <w:rPr>
                <w:color w:val="242424"/>
                <w:sz w:val="20"/>
                <w:szCs w:val="20"/>
              </w:rPr>
            </w:pPr>
            <w:r w:rsidRPr="008D72BB">
              <w:rPr>
                <w:color w:val="242424"/>
                <w:sz w:val="20"/>
                <w:szCs w:val="20"/>
              </w:rPr>
              <w:t> </w:t>
            </w:r>
          </w:p>
        </w:tc>
        <w:tc>
          <w:tcPr>
            <w:tcW w:w="1701" w:type="dxa"/>
            <w:noWrap/>
            <w:vAlign w:val="center"/>
            <w:hideMark/>
          </w:tcPr>
          <w:p w14:paraId="37170E5C" w14:textId="77777777" w:rsidR="006903A5" w:rsidRPr="008D72BB" w:rsidRDefault="006903A5">
            <w:pPr>
              <w:spacing w:line="276" w:lineRule="auto"/>
              <w:jc w:val="right"/>
              <w:rPr>
                <w:color w:val="242424"/>
                <w:sz w:val="20"/>
                <w:szCs w:val="20"/>
              </w:rPr>
            </w:pPr>
            <w:r w:rsidRPr="008D72BB">
              <w:rPr>
                <w:color w:val="242424"/>
                <w:sz w:val="20"/>
                <w:szCs w:val="20"/>
              </w:rPr>
              <w:t> </w:t>
            </w:r>
          </w:p>
        </w:tc>
      </w:tr>
      <w:tr w:rsidR="006903A5" w:rsidRPr="008D72BB" w14:paraId="5196D4E8" w14:textId="77777777" w:rsidTr="00841D8C">
        <w:trPr>
          <w:trHeight w:val="397"/>
        </w:trPr>
        <w:tc>
          <w:tcPr>
            <w:tcW w:w="5807" w:type="dxa"/>
            <w:noWrap/>
            <w:vAlign w:val="center"/>
            <w:hideMark/>
          </w:tcPr>
          <w:p w14:paraId="21156920" w14:textId="77777777" w:rsidR="006903A5" w:rsidRPr="008D72BB" w:rsidRDefault="006903A5">
            <w:pPr>
              <w:spacing w:line="276" w:lineRule="auto"/>
              <w:rPr>
                <w:color w:val="242424"/>
                <w:sz w:val="20"/>
                <w:szCs w:val="20"/>
              </w:rPr>
            </w:pPr>
            <w:r w:rsidRPr="008D72BB">
              <w:rPr>
                <w:color w:val="242424"/>
                <w:sz w:val="20"/>
                <w:szCs w:val="20"/>
              </w:rPr>
              <w:t>Cost of services for completed suicide</w:t>
            </w:r>
          </w:p>
        </w:tc>
        <w:tc>
          <w:tcPr>
            <w:tcW w:w="1276" w:type="dxa"/>
            <w:noWrap/>
            <w:hideMark/>
          </w:tcPr>
          <w:p w14:paraId="4D6EB4CF" w14:textId="77777777" w:rsidR="006903A5" w:rsidRPr="008D72BB" w:rsidRDefault="006903A5">
            <w:pPr>
              <w:spacing w:line="276" w:lineRule="auto"/>
              <w:rPr>
                <w:color w:val="242424"/>
                <w:sz w:val="20"/>
                <w:szCs w:val="20"/>
              </w:rPr>
            </w:pPr>
            <w:r w:rsidRPr="008D72BB">
              <w:rPr>
                <w:color w:val="242424"/>
                <w:sz w:val="20"/>
                <w:szCs w:val="20"/>
              </w:rPr>
              <w:t>d</w:t>
            </w:r>
          </w:p>
        </w:tc>
        <w:tc>
          <w:tcPr>
            <w:tcW w:w="1701" w:type="dxa"/>
            <w:vAlign w:val="center"/>
            <w:hideMark/>
          </w:tcPr>
          <w:p w14:paraId="2B1B4E47" w14:textId="77777777" w:rsidR="006903A5" w:rsidRPr="008D72BB" w:rsidRDefault="006903A5">
            <w:pPr>
              <w:spacing w:line="276" w:lineRule="auto"/>
              <w:jc w:val="right"/>
              <w:rPr>
                <w:color w:val="000000"/>
                <w:sz w:val="20"/>
                <w:szCs w:val="20"/>
              </w:rPr>
            </w:pPr>
            <w:r w:rsidRPr="008D72BB">
              <w:rPr>
                <w:color w:val="000000"/>
                <w:sz w:val="20"/>
                <w:szCs w:val="20"/>
              </w:rPr>
              <w:t>$16,765</w:t>
            </w:r>
          </w:p>
        </w:tc>
      </w:tr>
      <w:tr w:rsidR="006903A5" w:rsidRPr="008D72BB" w14:paraId="518B913A" w14:textId="77777777" w:rsidTr="00841D8C">
        <w:trPr>
          <w:trHeight w:val="397"/>
        </w:trPr>
        <w:tc>
          <w:tcPr>
            <w:tcW w:w="5807" w:type="dxa"/>
            <w:shd w:val="clear" w:color="auto" w:fill="F2F2F2" w:themeFill="background1" w:themeFillShade="F2"/>
            <w:noWrap/>
            <w:vAlign w:val="center"/>
            <w:hideMark/>
          </w:tcPr>
          <w:p w14:paraId="22729D54" w14:textId="77777777" w:rsidR="006903A5" w:rsidRPr="008D72BB" w:rsidRDefault="006903A5">
            <w:pPr>
              <w:spacing w:line="276" w:lineRule="auto"/>
              <w:rPr>
                <w:b/>
                <w:bCs/>
                <w:color w:val="242424"/>
                <w:sz w:val="20"/>
                <w:szCs w:val="20"/>
              </w:rPr>
            </w:pPr>
            <w:r w:rsidRPr="008D72BB">
              <w:rPr>
                <w:b/>
                <w:bCs/>
                <w:color w:val="242424"/>
                <w:sz w:val="20"/>
                <w:szCs w:val="20"/>
              </w:rPr>
              <w:t>Total cost of services for gambling-related suicides</w:t>
            </w:r>
          </w:p>
        </w:tc>
        <w:tc>
          <w:tcPr>
            <w:tcW w:w="1276" w:type="dxa"/>
            <w:shd w:val="clear" w:color="auto" w:fill="F2F2F2" w:themeFill="background1" w:themeFillShade="F2"/>
            <w:noWrap/>
            <w:hideMark/>
          </w:tcPr>
          <w:p w14:paraId="220A5936" w14:textId="77777777" w:rsidR="006903A5" w:rsidRPr="008D72BB" w:rsidRDefault="006903A5">
            <w:pPr>
              <w:spacing w:line="276" w:lineRule="auto"/>
              <w:rPr>
                <w:b/>
                <w:bCs/>
                <w:color w:val="242424"/>
                <w:sz w:val="20"/>
                <w:szCs w:val="20"/>
              </w:rPr>
            </w:pPr>
            <w:r w:rsidRPr="008D72BB">
              <w:rPr>
                <w:b/>
                <w:bCs/>
                <w:color w:val="242424"/>
                <w:sz w:val="20"/>
                <w:szCs w:val="20"/>
              </w:rPr>
              <w:t>e = c x d</w:t>
            </w:r>
          </w:p>
        </w:tc>
        <w:tc>
          <w:tcPr>
            <w:tcW w:w="1701" w:type="dxa"/>
            <w:shd w:val="clear" w:color="auto" w:fill="F2F2F2" w:themeFill="background1" w:themeFillShade="F2"/>
            <w:vAlign w:val="center"/>
            <w:hideMark/>
          </w:tcPr>
          <w:p w14:paraId="020D4137" w14:textId="77777777" w:rsidR="006903A5" w:rsidRPr="008D72BB" w:rsidRDefault="006903A5">
            <w:pPr>
              <w:spacing w:line="276" w:lineRule="auto"/>
              <w:jc w:val="right"/>
              <w:rPr>
                <w:b/>
                <w:bCs/>
                <w:color w:val="000000"/>
                <w:sz w:val="20"/>
                <w:szCs w:val="20"/>
              </w:rPr>
            </w:pPr>
            <w:r w:rsidRPr="008D72BB">
              <w:rPr>
                <w:b/>
                <w:bCs/>
                <w:color w:val="000000"/>
                <w:sz w:val="20"/>
                <w:szCs w:val="20"/>
              </w:rPr>
              <w:t>$423,566</w:t>
            </w:r>
          </w:p>
        </w:tc>
      </w:tr>
      <w:tr w:rsidR="006903A5" w:rsidRPr="008D72BB" w14:paraId="0E67AC2E" w14:textId="77777777" w:rsidTr="00841D8C">
        <w:trPr>
          <w:trHeight w:val="397"/>
        </w:trPr>
        <w:tc>
          <w:tcPr>
            <w:tcW w:w="5807" w:type="dxa"/>
            <w:noWrap/>
            <w:vAlign w:val="center"/>
            <w:hideMark/>
          </w:tcPr>
          <w:p w14:paraId="724F4B64" w14:textId="77777777" w:rsidR="006903A5" w:rsidRPr="008D72BB" w:rsidRDefault="006903A5">
            <w:pPr>
              <w:spacing w:line="276" w:lineRule="auto"/>
              <w:rPr>
                <w:b/>
                <w:bCs/>
                <w:i/>
                <w:iCs/>
                <w:color w:val="242424"/>
                <w:sz w:val="20"/>
                <w:szCs w:val="20"/>
              </w:rPr>
            </w:pPr>
            <w:r w:rsidRPr="008D72BB">
              <w:rPr>
                <w:b/>
                <w:bCs/>
                <w:i/>
                <w:iCs/>
                <w:color w:val="242424"/>
                <w:sz w:val="20"/>
                <w:szCs w:val="20"/>
              </w:rPr>
              <w:t>Indirect costs (productivity loss)</w:t>
            </w:r>
          </w:p>
        </w:tc>
        <w:tc>
          <w:tcPr>
            <w:tcW w:w="1276" w:type="dxa"/>
            <w:noWrap/>
            <w:hideMark/>
          </w:tcPr>
          <w:p w14:paraId="670C2CB1" w14:textId="77777777" w:rsidR="006903A5" w:rsidRPr="008D72BB" w:rsidRDefault="006903A5">
            <w:pPr>
              <w:spacing w:line="276" w:lineRule="auto"/>
              <w:rPr>
                <w:color w:val="242424"/>
                <w:sz w:val="20"/>
                <w:szCs w:val="20"/>
              </w:rPr>
            </w:pPr>
            <w:r w:rsidRPr="008D72BB">
              <w:rPr>
                <w:color w:val="242424"/>
                <w:sz w:val="20"/>
                <w:szCs w:val="20"/>
              </w:rPr>
              <w:t> </w:t>
            </w:r>
          </w:p>
        </w:tc>
        <w:tc>
          <w:tcPr>
            <w:tcW w:w="1701" w:type="dxa"/>
            <w:noWrap/>
            <w:vAlign w:val="center"/>
            <w:hideMark/>
          </w:tcPr>
          <w:p w14:paraId="591B7BC2" w14:textId="77777777" w:rsidR="006903A5" w:rsidRPr="008D72BB" w:rsidRDefault="006903A5">
            <w:pPr>
              <w:spacing w:line="276" w:lineRule="auto"/>
              <w:jc w:val="right"/>
              <w:rPr>
                <w:color w:val="242424"/>
                <w:sz w:val="20"/>
                <w:szCs w:val="20"/>
              </w:rPr>
            </w:pPr>
            <w:r w:rsidRPr="008D72BB">
              <w:rPr>
                <w:color w:val="242424"/>
                <w:sz w:val="20"/>
                <w:szCs w:val="20"/>
              </w:rPr>
              <w:t> </w:t>
            </w:r>
          </w:p>
        </w:tc>
      </w:tr>
      <w:tr w:rsidR="006903A5" w:rsidRPr="008D72BB" w14:paraId="1064FCDB" w14:textId="77777777" w:rsidTr="00841D8C">
        <w:trPr>
          <w:trHeight w:val="397"/>
        </w:trPr>
        <w:tc>
          <w:tcPr>
            <w:tcW w:w="5807" w:type="dxa"/>
            <w:noWrap/>
            <w:vAlign w:val="center"/>
            <w:hideMark/>
          </w:tcPr>
          <w:p w14:paraId="3A450700" w14:textId="77777777" w:rsidR="006903A5" w:rsidRPr="008D72BB" w:rsidRDefault="006903A5">
            <w:pPr>
              <w:spacing w:line="276" w:lineRule="auto"/>
              <w:rPr>
                <w:color w:val="242424"/>
                <w:sz w:val="20"/>
                <w:szCs w:val="20"/>
              </w:rPr>
            </w:pPr>
            <w:r w:rsidRPr="008D72BB">
              <w:rPr>
                <w:color w:val="242424"/>
                <w:sz w:val="20"/>
                <w:szCs w:val="20"/>
              </w:rPr>
              <w:t>Average productivity loss</w:t>
            </w:r>
          </w:p>
        </w:tc>
        <w:tc>
          <w:tcPr>
            <w:tcW w:w="1276" w:type="dxa"/>
            <w:noWrap/>
            <w:hideMark/>
          </w:tcPr>
          <w:p w14:paraId="052A5DE0" w14:textId="77777777" w:rsidR="006903A5" w:rsidRPr="008D72BB" w:rsidRDefault="006903A5">
            <w:pPr>
              <w:spacing w:line="276" w:lineRule="auto"/>
              <w:rPr>
                <w:color w:val="242424"/>
                <w:sz w:val="20"/>
                <w:szCs w:val="20"/>
              </w:rPr>
            </w:pPr>
            <w:r w:rsidRPr="008D72BB">
              <w:rPr>
                <w:color w:val="242424"/>
                <w:sz w:val="20"/>
                <w:szCs w:val="20"/>
              </w:rPr>
              <w:t>f</w:t>
            </w:r>
          </w:p>
        </w:tc>
        <w:tc>
          <w:tcPr>
            <w:tcW w:w="1701" w:type="dxa"/>
            <w:vAlign w:val="center"/>
            <w:hideMark/>
          </w:tcPr>
          <w:p w14:paraId="456009CE" w14:textId="77777777" w:rsidR="006903A5" w:rsidRPr="008D72BB" w:rsidRDefault="006903A5">
            <w:pPr>
              <w:spacing w:line="276" w:lineRule="auto"/>
              <w:jc w:val="right"/>
              <w:rPr>
                <w:color w:val="000000"/>
                <w:sz w:val="20"/>
                <w:szCs w:val="20"/>
              </w:rPr>
            </w:pPr>
            <w:r w:rsidRPr="008D72BB">
              <w:rPr>
                <w:color w:val="000000"/>
                <w:sz w:val="20"/>
                <w:szCs w:val="20"/>
              </w:rPr>
              <w:t>$2,322,817</w:t>
            </w:r>
          </w:p>
        </w:tc>
      </w:tr>
      <w:tr w:rsidR="006903A5" w:rsidRPr="008D72BB" w14:paraId="200EC2E1" w14:textId="77777777" w:rsidTr="00841D8C">
        <w:trPr>
          <w:trHeight w:val="397"/>
        </w:trPr>
        <w:tc>
          <w:tcPr>
            <w:tcW w:w="5807" w:type="dxa"/>
            <w:shd w:val="clear" w:color="auto" w:fill="F2F2F2" w:themeFill="background1" w:themeFillShade="F2"/>
            <w:noWrap/>
            <w:vAlign w:val="center"/>
            <w:hideMark/>
          </w:tcPr>
          <w:p w14:paraId="0D4508F2" w14:textId="77777777" w:rsidR="006903A5" w:rsidRPr="008D72BB" w:rsidRDefault="006903A5">
            <w:pPr>
              <w:spacing w:line="276" w:lineRule="auto"/>
              <w:rPr>
                <w:b/>
                <w:bCs/>
                <w:color w:val="242424"/>
                <w:sz w:val="20"/>
                <w:szCs w:val="20"/>
              </w:rPr>
            </w:pPr>
            <w:r w:rsidRPr="008D72BB">
              <w:rPr>
                <w:b/>
                <w:bCs/>
                <w:color w:val="242424"/>
                <w:sz w:val="20"/>
                <w:szCs w:val="20"/>
              </w:rPr>
              <w:t>Total indirect costs</w:t>
            </w:r>
          </w:p>
        </w:tc>
        <w:tc>
          <w:tcPr>
            <w:tcW w:w="1276" w:type="dxa"/>
            <w:shd w:val="clear" w:color="auto" w:fill="F2F2F2" w:themeFill="background1" w:themeFillShade="F2"/>
            <w:noWrap/>
            <w:hideMark/>
          </w:tcPr>
          <w:p w14:paraId="2C74E5E9" w14:textId="77777777" w:rsidR="006903A5" w:rsidRPr="008D72BB" w:rsidRDefault="006903A5">
            <w:pPr>
              <w:spacing w:line="276" w:lineRule="auto"/>
              <w:rPr>
                <w:b/>
                <w:bCs/>
                <w:color w:val="242424"/>
                <w:sz w:val="20"/>
                <w:szCs w:val="20"/>
              </w:rPr>
            </w:pPr>
            <w:r w:rsidRPr="008D72BB">
              <w:rPr>
                <w:b/>
                <w:bCs/>
                <w:color w:val="242424"/>
                <w:sz w:val="20"/>
                <w:szCs w:val="20"/>
              </w:rPr>
              <w:t>g = c x f</w:t>
            </w:r>
          </w:p>
        </w:tc>
        <w:tc>
          <w:tcPr>
            <w:tcW w:w="1701" w:type="dxa"/>
            <w:shd w:val="clear" w:color="auto" w:fill="F2F2F2" w:themeFill="background1" w:themeFillShade="F2"/>
            <w:vAlign w:val="center"/>
            <w:hideMark/>
          </w:tcPr>
          <w:p w14:paraId="1BA4E5C0" w14:textId="77777777" w:rsidR="006903A5" w:rsidRPr="008D72BB" w:rsidRDefault="006903A5">
            <w:pPr>
              <w:spacing w:line="276" w:lineRule="auto"/>
              <w:jc w:val="right"/>
              <w:rPr>
                <w:b/>
                <w:bCs/>
                <w:color w:val="000000"/>
                <w:sz w:val="20"/>
                <w:szCs w:val="20"/>
              </w:rPr>
            </w:pPr>
            <w:r w:rsidRPr="008D72BB">
              <w:rPr>
                <w:b/>
                <w:bCs/>
                <w:color w:val="000000"/>
                <w:sz w:val="20"/>
                <w:szCs w:val="20"/>
              </w:rPr>
              <w:t>$58,685,706</w:t>
            </w:r>
          </w:p>
        </w:tc>
      </w:tr>
      <w:tr w:rsidR="006903A5" w:rsidRPr="008D72BB" w14:paraId="0BBF6674" w14:textId="77777777" w:rsidTr="00841D8C">
        <w:trPr>
          <w:trHeight w:val="397"/>
        </w:trPr>
        <w:tc>
          <w:tcPr>
            <w:tcW w:w="5807" w:type="dxa"/>
            <w:shd w:val="clear" w:color="auto" w:fill="F2F2F2" w:themeFill="background1" w:themeFillShade="F2"/>
            <w:vAlign w:val="center"/>
            <w:hideMark/>
          </w:tcPr>
          <w:p w14:paraId="7156FA31" w14:textId="77777777" w:rsidR="006903A5" w:rsidRPr="008D72BB" w:rsidRDefault="006903A5">
            <w:pPr>
              <w:spacing w:line="276" w:lineRule="auto"/>
              <w:rPr>
                <w:b/>
                <w:bCs/>
                <w:color w:val="000000"/>
                <w:sz w:val="20"/>
                <w:szCs w:val="20"/>
              </w:rPr>
            </w:pPr>
            <w:r w:rsidRPr="008D72BB">
              <w:rPr>
                <w:b/>
                <w:bCs/>
                <w:color w:val="000000"/>
                <w:sz w:val="20"/>
                <w:szCs w:val="20"/>
              </w:rPr>
              <w:t>Total cost</w:t>
            </w:r>
          </w:p>
        </w:tc>
        <w:tc>
          <w:tcPr>
            <w:tcW w:w="1276" w:type="dxa"/>
            <w:shd w:val="clear" w:color="auto" w:fill="F2F2F2" w:themeFill="background1" w:themeFillShade="F2"/>
            <w:noWrap/>
            <w:hideMark/>
          </w:tcPr>
          <w:p w14:paraId="30C91C71" w14:textId="77777777" w:rsidR="006903A5" w:rsidRPr="008D72BB" w:rsidRDefault="006903A5">
            <w:pPr>
              <w:spacing w:line="276" w:lineRule="auto"/>
              <w:rPr>
                <w:b/>
                <w:bCs/>
                <w:color w:val="242424"/>
                <w:sz w:val="20"/>
                <w:szCs w:val="20"/>
              </w:rPr>
            </w:pPr>
            <w:r w:rsidRPr="008D72BB">
              <w:rPr>
                <w:b/>
                <w:bCs/>
                <w:color w:val="242424"/>
                <w:sz w:val="20"/>
                <w:szCs w:val="20"/>
              </w:rPr>
              <w:t>h = e + g</w:t>
            </w:r>
          </w:p>
        </w:tc>
        <w:tc>
          <w:tcPr>
            <w:tcW w:w="1701" w:type="dxa"/>
            <w:shd w:val="clear" w:color="auto" w:fill="F2F2F2" w:themeFill="background1" w:themeFillShade="F2"/>
            <w:vAlign w:val="center"/>
            <w:hideMark/>
          </w:tcPr>
          <w:p w14:paraId="2E54F172" w14:textId="77777777" w:rsidR="006903A5" w:rsidRPr="008D72BB" w:rsidRDefault="006903A5">
            <w:pPr>
              <w:spacing w:line="276" w:lineRule="auto"/>
              <w:jc w:val="right"/>
              <w:rPr>
                <w:b/>
                <w:bCs/>
                <w:color w:val="000000"/>
                <w:sz w:val="20"/>
                <w:szCs w:val="20"/>
              </w:rPr>
            </w:pPr>
            <w:r w:rsidRPr="008D72BB">
              <w:rPr>
                <w:b/>
                <w:bCs/>
                <w:color w:val="000000"/>
                <w:sz w:val="20"/>
                <w:szCs w:val="20"/>
              </w:rPr>
              <w:t>$59,109,272</w:t>
            </w:r>
          </w:p>
        </w:tc>
      </w:tr>
      <w:tr w:rsidR="006903A5" w:rsidRPr="008D72BB" w14:paraId="7A721662" w14:textId="77777777" w:rsidTr="00841D8C">
        <w:trPr>
          <w:trHeight w:val="397"/>
        </w:trPr>
        <w:tc>
          <w:tcPr>
            <w:tcW w:w="5807" w:type="dxa"/>
            <w:noWrap/>
            <w:vAlign w:val="center"/>
            <w:hideMark/>
          </w:tcPr>
          <w:p w14:paraId="48CA20EB" w14:textId="77777777" w:rsidR="006903A5" w:rsidRPr="008D72BB" w:rsidRDefault="006903A5">
            <w:pPr>
              <w:spacing w:line="276" w:lineRule="auto"/>
              <w:rPr>
                <w:color w:val="242424"/>
                <w:sz w:val="20"/>
                <w:szCs w:val="20"/>
              </w:rPr>
            </w:pPr>
            <w:r w:rsidRPr="008D72BB">
              <w:rPr>
                <w:color w:val="242424"/>
                <w:sz w:val="20"/>
                <w:szCs w:val="20"/>
              </w:rPr>
              <w:t>Lower bound</w:t>
            </w:r>
          </w:p>
        </w:tc>
        <w:tc>
          <w:tcPr>
            <w:tcW w:w="1276" w:type="dxa"/>
            <w:noWrap/>
            <w:hideMark/>
          </w:tcPr>
          <w:p w14:paraId="0D5DBABB" w14:textId="77777777" w:rsidR="006903A5" w:rsidRPr="008D72BB" w:rsidRDefault="006903A5">
            <w:pPr>
              <w:spacing w:line="276" w:lineRule="auto"/>
              <w:rPr>
                <w:color w:val="242424"/>
                <w:sz w:val="20"/>
                <w:szCs w:val="20"/>
              </w:rPr>
            </w:pPr>
            <w:r w:rsidRPr="008D72BB">
              <w:rPr>
                <w:color w:val="242424"/>
                <w:sz w:val="20"/>
                <w:szCs w:val="20"/>
              </w:rPr>
              <w:t> </w:t>
            </w:r>
          </w:p>
        </w:tc>
        <w:tc>
          <w:tcPr>
            <w:tcW w:w="1701" w:type="dxa"/>
            <w:vAlign w:val="center"/>
            <w:hideMark/>
          </w:tcPr>
          <w:p w14:paraId="5FD145DD" w14:textId="77777777" w:rsidR="006903A5" w:rsidRPr="008D72BB" w:rsidRDefault="006903A5">
            <w:pPr>
              <w:spacing w:line="276" w:lineRule="auto"/>
              <w:jc w:val="right"/>
              <w:rPr>
                <w:color w:val="000000"/>
                <w:sz w:val="20"/>
                <w:szCs w:val="20"/>
              </w:rPr>
            </w:pPr>
            <w:r w:rsidRPr="008D72BB">
              <w:rPr>
                <w:color w:val="000000"/>
                <w:sz w:val="20"/>
                <w:szCs w:val="20"/>
              </w:rPr>
              <w:t>$56,153,809</w:t>
            </w:r>
          </w:p>
        </w:tc>
      </w:tr>
      <w:tr w:rsidR="006903A5" w:rsidRPr="008D72BB" w14:paraId="3094F407" w14:textId="77777777" w:rsidTr="00841D8C">
        <w:trPr>
          <w:trHeight w:val="397"/>
        </w:trPr>
        <w:tc>
          <w:tcPr>
            <w:tcW w:w="5807" w:type="dxa"/>
            <w:noWrap/>
            <w:vAlign w:val="center"/>
            <w:hideMark/>
          </w:tcPr>
          <w:p w14:paraId="05D1AB69" w14:textId="77777777" w:rsidR="006903A5" w:rsidRPr="008D72BB" w:rsidRDefault="006903A5">
            <w:pPr>
              <w:spacing w:line="276" w:lineRule="auto"/>
              <w:rPr>
                <w:color w:val="242424"/>
                <w:sz w:val="20"/>
                <w:szCs w:val="20"/>
              </w:rPr>
            </w:pPr>
            <w:r w:rsidRPr="008D72BB">
              <w:rPr>
                <w:color w:val="242424"/>
                <w:sz w:val="20"/>
                <w:szCs w:val="20"/>
              </w:rPr>
              <w:t>Upper bound</w:t>
            </w:r>
          </w:p>
        </w:tc>
        <w:tc>
          <w:tcPr>
            <w:tcW w:w="1276" w:type="dxa"/>
            <w:noWrap/>
            <w:hideMark/>
          </w:tcPr>
          <w:p w14:paraId="57A98DB8" w14:textId="77777777" w:rsidR="006903A5" w:rsidRPr="008D72BB" w:rsidRDefault="006903A5">
            <w:pPr>
              <w:spacing w:line="276" w:lineRule="auto"/>
              <w:rPr>
                <w:color w:val="242424"/>
                <w:sz w:val="20"/>
                <w:szCs w:val="20"/>
              </w:rPr>
            </w:pPr>
            <w:r w:rsidRPr="008D72BB">
              <w:rPr>
                <w:color w:val="242424"/>
                <w:sz w:val="20"/>
                <w:szCs w:val="20"/>
              </w:rPr>
              <w:t> </w:t>
            </w:r>
          </w:p>
        </w:tc>
        <w:tc>
          <w:tcPr>
            <w:tcW w:w="1701" w:type="dxa"/>
            <w:vAlign w:val="center"/>
            <w:hideMark/>
          </w:tcPr>
          <w:p w14:paraId="1EAEBCFD" w14:textId="77777777" w:rsidR="006903A5" w:rsidRPr="008D72BB" w:rsidRDefault="006903A5">
            <w:pPr>
              <w:spacing w:line="276" w:lineRule="auto"/>
              <w:jc w:val="right"/>
              <w:rPr>
                <w:color w:val="000000"/>
                <w:sz w:val="20"/>
                <w:szCs w:val="20"/>
              </w:rPr>
            </w:pPr>
            <w:r w:rsidRPr="008D72BB">
              <w:rPr>
                <w:color w:val="000000"/>
                <w:sz w:val="20"/>
                <w:szCs w:val="20"/>
              </w:rPr>
              <w:t>$62,064,736</w:t>
            </w:r>
          </w:p>
        </w:tc>
      </w:tr>
      <w:tr w:rsidR="006903A5" w:rsidRPr="008D72BB" w14:paraId="25F99F15" w14:textId="77777777" w:rsidTr="00841D8C">
        <w:trPr>
          <w:trHeight w:val="397"/>
        </w:trPr>
        <w:tc>
          <w:tcPr>
            <w:tcW w:w="8784" w:type="dxa"/>
            <w:gridSpan w:val="3"/>
            <w:noWrap/>
            <w:vAlign w:val="center"/>
            <w:hideMark/>
          </w:tcPr>
          <w:p w14:paraId="5D627A45" w14:textId="77777777" w:rsidR="006903A5" w:rsidRPr="008D72BB" w:rsidRDefault="006903A5">
            <w:pPr>
              <w:spacing w:line="276" w:lineRule="auto"/>
              <w:rPr>
                <w:i/>
                <w:iCs/>
                <w:color w:val="242424"/>
                <w:sz w:val="20"/>
                <w:szCs w:val="20"/>
              </w:rPr>
            </w:pPr>
            <w:r w:rsidRPr="008D72BB">
              <w:rPr>
                <w:i/>
                <w:iCs/>
                <w:color w:val="242424"/>
                <w:sz w:val="20"/>
                <w:szCs w:val="20"/>
              </w:rPr>
              <w:t>Note: Totals may not match exactly due to rounding. Calculations are based on the original unrounded figures to ensure accuracy.</w:t>
            </w:r>
          </w:p>
        </w:tc>
      </w:tr>
    </w:tbl>
    <w:p w14:paraId="74589F53" w14:textId="77777777" w:rsidR="006903A5" w:rsidRDefault="006903A5" w:rsidP="006903A5">
      <w:pPr>
        <w:spacing w:line="276" w:lineRule="auto"/>
        <w:rPr>
          <w:sz w:val="18"/>
          <w:szCs w:val="18"/>
        </w:rPr>
      </w:pPr>
    </w:p>
    <w:p w14:paraId="53BA7C5C" w14:textId="4018504D" w:rsidR="00124393" w:rsidRDefault="00124393">
      <w:pPr>
        <w:rPr>
          <w:sz w:val="18"/>
          <w:szCs w:val="18"/>
        </w:rPr>
      </w:pPr>
      <w:r>
        <w:rPr>
          <w:sz w:val="18"/>
          <w:szCs w:val="18"/>
        </w:rPr>
        <w:br w:type="page"/>
      </w:r>
    </w:p>
    <w:p w14:paraId="1C1FD17B" w14:textId="77777777" w:rsidR="00DB689D" w:rsidRDefault="00310A10" w:rsidP="00367A8D">
      <w:pPr>
        <w:pStyle w:val="Heading5"/>
        <w:keepNext w:val="0"/>
        <w:keepLines w:val="0"/>
        <w:spacing w:line="360" w:lineRule="auto"/>
        <w:rPr>
          <w:sz w:val="21"/>
          <w:szCs w:val="21"/>
        </w:rPr>
      </w:pPr>
      <w:bookmarkStart w:id="446" w:name="_4txpfznjgagr" w:colFirst="0" w:colLast="0"/>
      <w:bookmarkEnd w:id="446"/>
      <w:r>
        <w:t>Fatality by suicide - impact to affected others</w:t>
      </w:r>
    </w:p>
    <w:tbl>
      <w:tblPr>
        <w:tblStyle w:val="ab"/>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B689D" w14:paraId="248DA05A" w14:textId="77777777">
        <w:tc>
          <w:tcPr>
            <w:tcW w:w="9026" w:type="dxa"/>
            <w:shd w:val="clear" w:color="auto" w:fill="F3F3F3"/>
            <w:tcMar>
              <w:top w:w="100" w:type="dxa"/>
              <w:left w:w="100" w:type="dxa"/>
              <w:bottom w:w="100" w:type="dxa"/>
              <w:right w:w="100" w:type="dxa"/>
            </w:tcMar>
          </w:tcPr>
          <w:p w14:paraId="0BB41DB3" w14:textId="77777777" w:rsidR="00DB689D" w:rsidRDefault="00310A10" w:rsidP="00843927">
            <w:pPr>
              <w:spacing w:before="120" w:after="240" w:line="276" w:lineRule="auto"/>
            </w:pPr>
            <w:r>
              <w:t xml:space="preserve">The impact of gambling-related suicide on affected others was calculated using: </w:t>
            </w:r>
          </w:p>
          <w:p w14:paraId="17E4107B" w14:textId="77777777" w:rsidR="00DB689D" w:rsidRDefault="00310A10" w:rsidP="00843927">
            <w:pPr>
              <w:spacing w:before="120" w:after="120" w:line="276" w:lineRule="auto"/>
              <w:ind w:right="280"/>
            </w:pPr>
            <w:r>
              <w:rPr>
                <w:i/>
              </w:rPr>
              <w:t>Prevalence</w:t>
            </w:r>
            <w:r>
              <w:t xml:space="preserve"> </w:t>
            </w:r>
          </w:p>
          <w:p w14:paraId="2358F7DB" w14:textId="25F87FDF" w:rsidR="00DB689D" w:rsidRDefault="00310A10" w:rsidP="00843927">
            <w:pPr>
              <w:numPr>
                <w:ilvl w:val="0"/>
                <w:numId w:val="42"/>
              </w:numPr>
              <w:spacing w:before="120" w:line="276" w:lineRule="auto"/>
              <w:ind w:right="280"/>
            </w:pPr>
            <w:r>
              <w:t xml:space="preserve">The number of gambling-related suicide fatalities (25.3) was taken from the earlier estimate </w:t>
            </w:r>
            <w:r w:rsidRPr="006903A5">
              <w:t>(see Table 1</w:t>
            </w:r>
            <w:r w:rsidR="001D7B0D">
              <w:t>9</w:t>
            </w:r>
            <w:r w:rsidRPr="006903A5">
              <w:t>).</w:t>
            </w:r>
            <w:r>
              <w:rPr>
                <w:highlight w:val="yellow"/>
              </w:rPr>
              <w:t xml:space="preserve"> </w:t>
            </w:r>
          </w:p>
          <w:p w14:paraId="272956BD" w14:textId="7C96FE06" w:rsidR="00DB689D" w:rsidRDefault="00310A10" w:rsidP="00843927">
            <w:pPr>
              <w:numPr>
                <w:ilvl w:val="0"/>
                <w:numId w:val="42"/>
              </w:numPr>
              <w:spacing w:line="276" w:lineRule="auto"/>
              <w:ind w:right="280"/>
            </w:pPr>
            <w:r>
              <w:t xml:space="preserve">The average number of dependent partners and children impacted by each fatality by suicide was calculated based on the proportion of New Zealanders living with partners in the household </w:t>
            </w:r>
            <w:r w:rsidR="0038398B">
              <w:rPr>
                <w:noProof/>
                <w:color w:val="000000"/>
              </w:rPr>
              <w:t>(57.2%; New Zealand Government, 2024a)</w:t>
            </w:r>
            <w:r>
              <w:t xml:space="preserve">. The number of children was calculated using the proportion of households with children </w:t>
            </w:r>
            <w:r w:rsidR="0038398B">
              <w:rPr>
                <w:noProof/>
                <w:color w:val="000000"/>
              </w:rPr>
              <w:t>(57.2%; New Zealand Government, 2024a)</w:t>
            </w:r>
            <w:r>
              <w:t xml:space="preserve"> and the average number of children per household </w:t>
            </w:r>
            <w:r w:rsidR="0038398B">
              <w:rPr>
                <w:noProof/>
                <w:color w:val="000000"/>
              </w:rPr>
              <w:t>(1.6; Dixon, 2024)</w:t>
            </w:r>
            <w:r>
              <w:t>.</w:t>
            </w:r>
          </w:p>
          <w:p w14:paraId="77F163C1" w14:textId="4BD5AEFE" w:rsidR="00DB689D" w:rsidRDefault="00310A10" w:rsidP="00843927">
            <w:pPr>
              <w:numPr>
                <w:ilvl w:val="0"/>
                <w:numId w:val="42"/>
              </w:numPr>
              <w:spacing w:after="120" w:line="276" w:lineRule="auto"/>
              <w:ind w:right="280"/>
            </w:pPr>
            <w:r>
              <w:t xml:space="preserve">The average number of close others impacted by each fatality by suicide was 6 </w:t>
            </w:r>
            <w:r w:rsidR="00DB2449">
              <w:rPr>
                <w:noProof/>
                <w:color w:val="000000"/>
              </w:rPr>
              <w:t>(Berman, 2011; Cerel et al., 2019)</w:t>
            </w:r>
            <w:r>
              <w:t xml:space="preserve">. To avoid double counting, the number of dependent partners/children (above) was subtracted from this calculation. </w:t>
            </w:r>
          </w:p>
          <w:p w14:paraId="028CCDD1" w14:textId="77777777" w:rsidR="00DB689D" w:rsidRDefault="00310A10" w:rsidP="00843927">
            <w:pPr>
              <w:spacing w:before="120" w:after="120" w:line="276" w:lineRule="auto"/>
              <w:ind w:right="280"/>
            </w:pPr>
            <w:r>
              <w:rPr>
                <w:i/>
              </w:rPr>
              <w:t>Harm associated with dependent partners and children</w:t>
            </w:r>
            <w:r>
              <w:t xml:space="preserve"> </w:t>
            </w:r>
          </w:p>
          <w:p w14:paraId="6EC07136" w14:textId="27D5BDBD" w:rsidR="00DB689D" w:rsidRDefault="00310A10" w:rsidP="00843927">
            <w:pPr>
              <w:numPr>
                <w:ilvl w:val="0"/>
                <w:numId w:val="36"/>
              </w:numPr>
              <w:spacing w:before="120" w:after="120" w:line="276" w:lineRule="auto"/>
              <w:ind w:right="280"/>
            </w:pPr>
            <w:r>
              <w:t xml:space="preserve">The proxy cost for harm for dependent partners and children was sourced from the amount provided to a family if someone dies from a workplace accident </w:t>
            </w:r>
            <w:r w:rsidR="0038398B">
              <w:rPr>
                <w:noProof/>
                <w:color w:val="000000"/>
              </w:rPr>
              <w:t>(Accident Compensation Corporation, 2024)</w:t>
            </w:r>
            <w:r>
              <w:t>.</w:t>
            </w:r>
          </w:p>
          <w:p w14:paraId="67C41DDA" w14:textId="77777777" w:rsidR="00DB689D" w:rsidRDefault="00310A10" w:rsidP="00843927">
            <w:pPr>
              <w:spacing w:before="120" w:after="120" w:line="276" w:lineRule="auto"/>
              <w:ind w:right="280"/>
            </w:pPr>
            <w:r>
              <w:rPr>
                <w:i/>
              </w:rPr>
              <w:t>Emotional harm</w:t>
            </w:r>
            <w:r>
              <w:t xml:space="preserve"> for close others </w:t>
            </w:r>
          </w:p>
          <w:p w14:paraId="69BA20EA" w14:textId="276B358D" w:rsidR="00DB689D" w:rsidRDefault="00310A10" w:rsidP="00843927">
            <w:pPr>
              <w:numPr>
                <w:ilvl w:val="0"/>
                <w:numId w:val="42"/>
              </w:numPr>
              <w:spacing w:before="120" w:after="120" w:line="276" w:lineRule="auto"/>
              <w:ind w:right="280"/>
            </w:pPr>
            <w:r>
              <w:t xml:space="preserve">A cost of $10,000 </w:t>
            </w:r>
            <w:r w:rsidR="0038398B">
              <w:rPr>
                <w:noProof/>
                <w:color w:val="000000"/>
              </w:rPr>
              <w:t>(Warburton, 2021)</w:t>
            </w:r>
            <w:r>
              <w:t xml:space="preserve"> was used as a proxy for emotional harm.</w:t>
            </w:r>
          </w:p>
        </w:tc>
      </w:tr>
    </w:tbl>
    <w:p w14:paraId="4D451B62" w14:textId="77777777" w:rsidR="00124393" w:rsidRDefault="00124393" w:rsidP="004F5D07">
      <w:pPr>
        <w:spacing w:line="360" w:lineRule="auto"/>
      </w:pPr>
    </w:p>
    <w:p w14:paraId="29CFB81A" w14:textId="476EA8FB" w:rsidR="004F5D07" w:rsidRDefault="004F5D07" w:rsidP="004F5D07">
      <w:pPr>
        <w:spacing w:line="360" w:lineRule="auto"/>
      </w:pPr>
      <w:r>
        <w:t>The estimated cost associated with gambling-related fatalities to affected others is around $6.1 million (</w:t>
      </w:r>
      <w:r w:rsidRPr="006903A5">
        <w:t xml:space="preserve">Table </w:t>
      </w:r>
      <w:r>
        <w:t>20). To account for uncertainty, a lower bound estimate was calculated by applying a 5% reduction to all cost items. An upper bound estimate was calculated by applying a 5% increase. Therefore, the estimated cost of gambling-related suicide fatalities to affected others in New Zealand falls between $5.8 million and $6.4 million.</w:t>
      </w:r>
    </w:p>
    <w:p w14:paraId="367DF11F" w14:textId="7CD7BC75" w:rsidR="00124393" w:rsidRDefault="00124393">
      <w:r>
        <w:br w:type="page"/>
      </w:r>
    </w:p>
    <w:p w14:paraId="19729D95" w14:textId="33B431DF" w:rsidR="006903A5" w:rsidRDefault="006903A5" w:rsidP="00DB094D">
      <w:pPr>
        <w:pStyle w:val="Caption"/>
      </w:pPr>
      <w:bookmarkStart w:id="447" w:name="_Toc207619062"/>
      <w:r>
        <w:t xml:space="preserve">Table </w:t>
      </w:r>
      <w:r>
        <w:fldChar w:fldCharType="begin"/>
      </w:r>
      <w:r>
        <w:instrText xml:space="preserve"> SEQ Table \* ARABIC </w:instrText>
      </w:r>
      <w:r>
        <w:fldChar w:fldCharType="separate"/>
      </w:r>
      <w:r w:rsidR="00986A0D">
        <w:rPr>
          <w:noProof/>
        </w:rPr>
        <w:t>20</w:t>
      </w:r>
      <w:r>
        <w:fldChar w:fldCharType="end"/>
      </w:r>
      <w:r>
        <w:t xml:space="preserve">. </w:t>
      </w:r>
      <w:r w:rsidRPr="00BC6350">
        <w:t>Cost of fatality by suicide to affected others due to gambling problems in New Zealand (2023-24)</w:t>
      </w:r>
      <w:bookmarkEnd w:id="447"/>
    </w:p>
    <w:tbl>
      <w:tblPr>
        <w:tblStyle w:val="TableGridLight"/>
        <w:tblW w:w="8784" w:type="dxa"/>
        <w:tblLayout w:type="fixed"/>
        <w:tblLook w:val="04A0" w:firstRow="1" w:lastRow="0" w:firstColumn="1" w:lastColumn="0" w:noHBand="0" w:noVBand="1"/>
      </w:tblPr>
      <w:tblGrid>
        <w:gridCol w:w="5524"/>
        <w:gridCol w:w="1701"/>
        <w:gridCol w:w="1559"/>
      </w:tblGrid>
      <w:tr w:rsidR="006903A5" w:rsidRPr="008D72BB" w14:paraId="36D76C61" w14:textId="77777777" w:rsidTr="00841D8C">
        <w:trPr>
          <w:trHeight w:val="397"/>
        </w:trPr>
        <w:tc>
          <w:tcPr>
            <w:tcW w:w="5524" w:type="dxa"/>
            <w:shd w:val="clear" w:color="auto" w:fill="F2F2F2" w:themeFill="background1" w:themeFillShade="F2"/>
            <w:vAlign w:val="center"/>
            <w:hideMark/>
          </w:tcPr>
          <w:p w14:paraId="5D142A61" w14:textId="77777777" w:rsidR="006903A5" w:rsidRPr="008D72BB" w:rsidRDefault="006903A5">
            <w:pPr>
              <w:spacing w:line="276" w:lineRule="auto"/>
              <w:rPr>
                <w:b/>
                <w:bCs/>
                <w:color w:val="000000"/>
                <w:sz w:val="20"/>
                <w:szCs w:val="20"/>
              </w:rPr>
            </w:pPr>
            <w:r w:rsidRPr="008D72BB">
              <w:rPr>
                <w:b/>
                <w:bCs/>
                <w:color w:val="000000"/>
                <w:sz w:val="20"/>
                <w:szCs w:val="20"/>
              </w:rPr>
              <w:t>Variable</w:t>
            </w:r>
          </w:p>
        </w:tc>
        <w:tc>
          <w:tcPr>
            <w:tcW w:w="1701" w:type="dxa"/>
            <w:shd w:val="clear" w:color="auto" w:fill="F2F2F2" w:themeFill="background1" w:themeFillShade="F2"/>
            <w:vAlign w:val="center"/>
            <w:hideMark/>
          </w:tcPr>
          <w:p w14:paraId="69AAAF7D" w14:textId="77777777" w:rsidR="006903A5" w:rsidRPr="008D72BB" w:rsidRDefault="006903A5">
            <w:pPr>
              <w:spacing w:line="276" w:lineRule="auto"/>
              <w:jc w:val="center"/>
              <w:rPr>
                <w:b/>
                <w:bCs/>
                <w:color w:val="000000"/>
                <w:sz w:val="20"/>
                <w:szCs w:val="20"/>
              </w:rPr>
            </w:pPr>
            <w:r w:rsidRPr="008D72BB">
              <w:rPr>
                <w:b/>
                <w:bCs/>
                <w:color w:val="000000"/>
                <w:sz w:val="20"/>
                <w:szCs w:val="20"/>
              </w:rPr>
              <w:t>Calculation</w:t>
            </w:r>
          </w:p>
        </w:tc>
        <w:tc>
          <w:tcPr>
            <w:tcW w:w="1559" w:type="dxa"/>
            <w:shd w:val="clear" w:color="auto" w:fill="F2F2F2" w:themeFill="background1" w:themeFillShade="F2"/>
            <w:vAlign w:val="center"/>
            <w:hideMark/>
          </w:tcPr>
          <w:p w14:paraId="541B4FF6" w14:textId="77777777" w:rsidR="006903A5" w:rsidRPr="008D72BB" w:rsidRDefault="006903A5">
            <w:pPr>
              <w:spacing w:line="276" w:lineRule="auto"/>
              <w:jc w:val="center"/>
              <w:rPr>
                <w:b/>
                <w:bCs/>
                <w:color w:val="000000"/>
                <w:sz w:val="20"/>
                <w:szCs w:val="20"/>
              </w:rPr>
            </w:pPr>
            <w:r w:rsidRPr="008D72BB">
              <w:rPr>
                <w:b/>
                <w:bCs/>
                <w:color w:val="000000"/>
                <w:sz w:val="20"/>
                <w:szCs w:val="20"/>
              </w:rPr>
              <w:t>Total gambling problems</w:t>
            </w:r>
          </w:p>
        </w:tc>
      </w:tr>
      <w:tr w:rsidR="006903A5" w:rsidRPr="008D72BB" w14:paraId="2B45C82C" w14:textId="77777777" w:rsidTr="00841D8C">
        <w:trPr>
          <w:trHeight w:val="397"/>
        </w:trPr>
        <w:tc>
          <w:tcPr>
            <w:tcW w:w="5524" w:type="dxa"/>
            <w:noWrap/>
            <w:vAlign w:val="center"/>
            <w:hideMark/>
          </w:tcPr>
          <w:p w14:paraId="0165A12E" w14:textId="77777777" w:rsidR="006903A5" w:rsidRPr="008D72BB" w:rsidRDefault="006903A5">
            <w:pPr>
              <w:spacing w:line="276" w:lineRule="auto"/>
              <w:rPr>
                <w:color w:val="000000"/>
                <w:sz w:val="20"/>
                <w:szCs w:val="20"/>
              </w:rPr>
            </w:pPr>
            <w:r w:rsidRPr="008D72BB">
              <w:rPr>
                <w:color w:val="000000"/>
                <w:sz w:val="20"/>
                <w:szCs w:val="20"/>
              </w:rPr>
              <w:t xml:space="preserve">Number of suicide fatalities attributable to gambling </w:t>
            </w:r>
          </w:p>
        </w:tc>
        <w:tc>
          <w:tcPr>
            <w:tcW w:w="1701" w:type="dxa"/>
            <w:noWrap/>
            <w:hideMark/>
          </w:tcPr>
          <w:p w14:paraId="32E51051" w14:textId="77777777" w:rsidR="006903A5" w:rsidRPr="008D72BB" w:rsidRDefault="006903A5">
            <w:pPr>
              <w:spacing w:line="276" w:lineRule="auto"/>
              <w:rPr>
                <w:color w:val="000000"/>
                <w:sz w:val="20"/>
                <w:szCs w:val="20"/>
              </w:rPr>
            </w:pPr>
            <w:r w:rsidRPr="008D72BB">
              <w:rPr>
                <w:color w:val="000000"/>
                <w:sz w:val="20"/>
                <w:szCs w:val="20"/>
              </w:rPr>
              <w:t>a</w:t>
            </w:r>
          </w:p>
        </w:tc>
        <w:tc>
          <w:tcPr>
            <w:tcW w:w="1559" w:type="dxa"/>
            <w:noWrap/>
            <w:vAlign w:val="center"/>
            <w:hideMark/>
          </w:tcPr>
          <w:p w14:paraId="18AFCC85" w14:textId="77777777" w:rsidR="006903A5" w:rsidRPr="008D72BB" w:rsidRDefault="006903A5">
            <w:pPr>
              <w:spacing w:line="276" w:lineRule="auto"/>
              <w:jc w:val="right"/>
              <w:rPr>
                <w:color w:val="000000"/>
                <w:sz w:val="20"/>
                <w:szCs w:val="20"/>
              </w:rPr>
            </w:pPr>
            <w:r w:rsidRPr="008D72BB">
              <w:rPr>
                <w:color w:val="000000"/>
                <w:sz w:val="20"/>
                <w:szCs w:val="20"/>
              </w:rPr>
              <w:t>25.3</w:t>
            </w:r>
          </w:p>
        </w:tc>
      </w:tr>
      <w:tr w:rsidR="006903A5" w:rsidRPr="008D72BB" w14:paraId="0742BA1F" w14:textId="77777777" w:rsidTr="00841D8C">
        <w:trPr>
          <w:trHeight w:val="397"/>
        </w:trPr>
        <w:tc>
          <w:tcPr>
            <w:tcW w:w="8784" w:type="dxa"/>
            <w:gridSpan w:val="3"/>
            <w:noWrap/>
            <w:vAlign w:val="center"/>
            <w:hideMark/>
          </w:tcPr>
          <w:p w14:paraId="2F1D0482" w14:textId="77777777" w:rsidR="006903A5" w:rsidRPr="008D72BB" w:rsidRDefault="006903A5">
            <w:pPr>
              <w:spacing w:line="276" w:lineRule="auto"/>
              <w:rPr>
                <w:b/>
                <w:bCs/>
                <w:i/>
                <w:iCs/>
                <w:color w:val="000000"/>
                <w:sz w:val="20"/>
                <w:szCs w:val="20"/>
              </w:rPr>
            </w:pPr>
            <w:r w:rsidRPr="008D72BB">
              <w:rPr>
                <w:b/>
                <w:bCs/>
                <w:i/>
                <w:iCs/>
                <w:color w:val="000000"/>
                <w:sz w:val="20"/>
                <w:szCs w:val="20"/>
              </w:rPr>
              <w:t>Impact to dependent partners and children</w:t>
            </w:r>
          </w:p>
        </w:tc>
      </w:tr>
      <w:tr w:rsidR="006903A5" w:rsidRPr="008D72BB" w14:paraId="05087681" w14:textId="77777777" w:rsidTr="00841D8C">
        <w:trPr>
          <w:trHeight w:val="397"/>
        </w:trPr>
        <w:tc>
          <w:tcPr>
            <w:tcW w:w="5524" w:type="dxa"/>
            <w:noWrap/>
            <w:vAlign w:val="center"/>
            <w:hideMark/>
          </w:tcPr>
          <w:p w14:paraId="25EAECA6" w14:textId="77777777" w:rsidR="006903A5" w:rsidRPr="008D72BB" w:rsidRDefault="006903A5">
            <w:pPr>
              <w:spacing w:line="276" w:lineRule="auto"/>
              <w:rPr>
                <w:color w:val="000000"/>
                <w:sz w:val="20"/>
                <w:szCs w:val="20"/>
              </w:rPr>
            </w:pPr>
            <w:r w:rsidRPr="008D72BB">
              <w:rPr>
                <w:color w:val="000000"/>
                <w:sz w:val="20"/>
                <w:szCs w:val="20"/>
              </w:rPr>
              <w:t>Proportion of people living with dependent partners/children in the household</w:t>
            </w:r>
          </w:p>
        </w:tc>
        <w:tc>
          <w:tcPr>
            <w:tcW w:w="1701" w:type="dxa"/>
            <w:noWrap/>
            <w:hideMark/>
          </w:tcPr>
          <w:p w14:paraId="40857309" w14:textId="77777777" w:rsidR="006903A5" w:rsidRPr="008D72BB" w:rsidRDefault="006903A5">
            <w:pPr>
              <w:spacing w:line="276" w:lineRule="auto"/>
              <w:rPr>
                <w:color w:val="000000"/>
                <w:sz w:val="20"/>
                <w:szCs w:val="20"/>
              </w:rPr>
            </w:pPr>
            <w:r w:rsidRPr="008D72BB">
              <w:rPr>
                <w:color w:val="000000"/>
                <w:sz w:val="20"/>
                <w:szCs w:val="20"/>
              </w:rPr>
              <w:t>b</w:t>
            </w:r>
          </w:p>
        </w:tc>
        <w:tc>
          <w:tcPr>
            <w:tcW w:w="1559" w:type="dxa"/>
            <w:noWrap/>
            <w:vAlign w:val="center"/>
            <w:hideMark/>
          </w:tcPr>
          <w:p w14:paraId="5A9AF07B" w14:textId="77777777" w:rsidR="006903A5" w:rsidRPr="008D72BB" w:rsidRDefault="006903A5">
            <w:pPr>
              <w:spacing w:line="276" w:lineRule="auto"/>
              <w:jc w:val="right"/>
              <w:rPr>
                <w:color w:val="000000"/>
                <w:sz w:val="20"/>
                <w:szCs w:val="20"/>
              </w:rPr>
            </w:pPr>
            <w:r w:rsidRPr="008D72BB">
              <w:rPr>
                <w:color w:val="000000"/>
                <w:sz w:val="20"/>
                <w:szCs w:val="20"/>
              </w:rPr>
              <w:t>57.2%</w:t>
            </w:r>
          </w:p>
        </w:tc>
      </w:tr>
      <w:tr w:rsidR="006903A5" w:rsidRPr="008D72BB" w14:paraId="5585E735" w14:textId="77777777" w:rsidTr="00841D8C">
        <w:trPr>
          <w:trHeight w:val="397"/>
        </w:trPr>
        <w:tc>
          <w:tcPr>
            <w:tcW w:w="5524" w:type="dxa"/>
            <w:noWrap/>
            <w:vAlign w:val="center"/>
            <w:hideMark/>
          </w:tcPr>
          <w:p w14:paraId="30B6E1D8" w14:textId="77777777" w:rsidR="006903A5" w:rsidRPr="008D72BB" w:rsidRDefault="006903A5">
            <w:pPr>
              <w:spacing w:line="276" w:lineRule="auto"/>
              <w:rPr>
                <w:color w:val="000000"/>
                <w:sz w:val="20"/>
                <w:szCs w:val="20"/>
              </w:rPr>
            </w:pPr>
            <w:r w:rsidRPr="008D72BB">
              <w:rPr>
                <w:color w:val="000000"/>
                <w:sz w:val="20"/>
                <w:szCs w:val="20"/>
              </w:rPr>
              <w:t>Number of dependent partners</w:t>
            </w:r>
          </w:p>
        </w:tc>
        <w:tc>
          <w:tcPr>
            <w:tcW w:w="1701" w:type="dxa"/>
            <w:noWrap/>
            <w:hideMark/>
          </w:tcPr>
          <w:p w14:paraId="7302F109" w14:textId="77777777" w:rsidR="006903A5" w:rsidRPr="008D72BB" w:rsidRDefault="006903A5">
            <w:pPr>
              <w:spacing w:line="276" w:lineRule="auto"/>
              <w:rPr>
                <w:color w:val="000000"/>
                <w:sz w:val="20"/>
                <w:szCs w:val="20"/>
              </w:rPr>
            </w:pPr>
            <w:r w:rsidRPr="008D72BB">
              <w:rPr>
                <w:color w:val="000000"/>
                <w:sz w:val="20"/>
                <w:szCs w:val="20"/>
              </w:rPr>
              <w:t>c = a x b</w:t>
            </w:r>
          </w:p>
        </w:tc>
        <w:tc>
          <w:tcPr>
            <w:tcW w:w="1559" w:type="dxa"/>
            <w:noWrap/>
            <w:vAlign w:val="center"/>
            <w:hideMark/>
          </w:tcPr>
          <w:p w14:paraId="52E5D0BE" w14:textId="77777777" w:rsidR="006903A5" w:rsidRPr="008D72BB" w:rsidRDefault="006903A5">
            <w:pPr>
              <w:spacing w:line="276" w:lineRule="auto"/>
              <w:jc w:val="right"/>
              <w:rPr>
                <w:color w:val="000000"/>
                <w:sz w:val="20"/>
                <w:szCs w:val="20"/>
              </w:rPr>
            </w:pPr>
            <w:r w:rsidRPr="008D72BB">
              <w:rPr>
                <w:color w:val="000000"/>
                <w:sz w:val="20"/>
                <w:szCs w:val="20"/>
              </w:rPr>
              <w:t>14.5</w:t>
            </w:r>
          </w:p>
        </w:tc>
      </w:tr>
      <w:tr w:rsidR="006903A5" w:rsidRPr="008D72BB" w14:paraId="537A3B86" w14:textId="77777777" w:rsidTr="00841D8C">
        <w:trPr>
          <w:trHeight w:val="397"/>
        </w:trPr>
        <w:tc>
          <w:tcPr>
            <w:tcW w:w="5524" w:type="dxa"/>
            <w:noWrap/>
            <w:vAlign w:val="center"/>
            <w:hideMark/>
          </w:tcPr>
          <w:p w14:paraId="0D03C276" w14:textId="77777777" w:rsidR="006903A5" w:rsidRPr="008D72BB" w:rsidRDefault="006903A5">
            <w:pPr>
              <w:spacing w:line="276" w:lineRule="auto"/>
              <w:rPr>
                <w:color w:val="000000"/>
                <w:sz w:val="20"/>
                <w:szCs w:val="20"/>
              </w:rPr>
            </w:pPr>
            <w:r w:rsidRPr="008D72BB">
              <w:rPr>
                <w:color w:val="000000"/>
                <w:sz w:val="20"/>
                <w:szCs w:val="20"/>
              </w:rPr>
              <w:t xml:space="preserve">   Proportion of households with children </w:t>
            </w:r>
          </w:p>
        </w:tc>
        <w:tc>
          <w:tcPr>
            <w:tcW w:w="1701" w:type="dxa"/>
            <w:noWrap/>
            <w:hideMark/>
          </w:tcPr>
          <w:p w14:paraId="6447D30D" w14:textId="77777777" w:rsidR="006903A5" w:rsidRPr="008D72BB" w:rsidRDefault="006903A5">
            <w:pPr>
              <w:spacing w:line="276" w:lineRule="auto"/>
              <w:rPr>
                <w:color w:val="000000"/>
                <w:sz w:val="20"/>
                <w:szCs w:val="20"/>
              </w:rPr>
            </w:pPr>
            <w:r w:rsidRPr="008D72BB">
              <w:rPr>
                <w:color w:val="000000"/>
                <w:sz w:val="20"/>
                <w:szCs w:val="20"/>
              </w:rPr>
              <w:t>d</w:t>
            </w:r>
          </w:p>
        </w:tc>
        <w:tc>
          <w:tcPr>
            <w:tcW w:w="1559" w:type="dxa"/>
            <w:noWrap/>
            <w:vAlign w:val="center"/>
            <w:hideMark/>
          </w:tcPr>
          <w:p w14:paraId="32787DAE" w14:textId="77777777" w:rsidR="006903A5" w:rsidRPr="008D72BB" w:rsidRDefault="006903A5">
            <w:pPr>
              <w:spacing w:line="276" w:lineRule="auto"/>
              <w:jc w:val="right"/>
              <w:rPr>
                <w:color w:val="000000"/>
                <w:sz w:val="20"/>
                <w:szCs w:val="20"/>
              </w:rPr>
            </w:pPr>
            <w:r w:rsidRPr="008D72BB">
              <w:rPr>
                <w:color w:val="000000"/>
                <w:sz w:val="20"/>
                <w:szCs w:val="20"/>
              </w:rPr>
              <w:t>51.0%</w:t>
            </w:r>
          </w:p>
        </w:tc>
      </w:tr>
      <w:tr w:rsidR="006903A5" w:rsidRPr="008D72BB" w14:paraId="5589F9B0" w14:textId="77777777" w:rsidTr="00841D8C">
        <w:trPr>
          <w:trHeight w:val="397"/>
        </w:trPr>
        <w:tc>
          <w:tcPr>
            <w:tcW w:w="5524" w:type="dxa"/>
            <w:noWrap/>
            <w:vAlign w:val="center"/>
            <w:hideMark/>
          </w:tcPr>
          <w:p w14:paraId="134A702E" w14:textId="77777777" w:rsidR="006903A5" w:rsidRPr="008D72BB" w:rsidRDefault="006903A5">
            <w:pPr>
              <w:spacing w:line="276" w:lineRule="auto"/>
              <w:rPr>
                <w:color w:val="000000"/>
                <w:sz w:val="20"/>
                <w:szCs w:val="20"/>
              </w:rPr>
            </w:pPr>
            <w:r w:rsidRPr="008D72BB">
              <w:rPr>
                <w:color w:val="000000"/>
                <w:sz w:val="20"/>
                <w:szCs w:val="20"/>
              </w:rPr>
              <w:t xml:space="preserve">   Number of children (average 1.6 per household)</w:t>
            </w:r>
          </w:p>
        </w:tc>
        <w:tc>
          <w:tcPr>
            <w:tcW w:w="1701" w:type="dxa"/>
            <w:noWrap/>
            <w:hideMark/>
          </w:tcPr>
          <w:p w14:paraId="29BE48CA" w14:textId="77777777" w:rsidR="006903A5" w:rsidRPr="008D72BB" w:rsidRDefault="006903A5">
            <w:pPr>
              <w:spacing w:line="276" w:lineRule="auto"/>
              <w:rPr>
                <w:color w:val="000000"/>
                <w:sz w:val="20"/>
                <w:szCs w:val="20"/>
              </w:rPr>
            </w:pPr>
            <w:r w:rsidRPr="008D72BB">
              <w:rPr>
                <w:color w:val="000000"/>
                <w:sz w:val="20"/>
                <w:szCs w:val="20"/>
              </w:rPr>
              <w:t>e = (c x d) x 1.6</w:t>
            </w:r>
          </w:p>
        </w:tc>
        <w:tc>
          <w:tcPr>
            <w:tcW w:w="1559" w:type="dxa"/>
            <w:noWrap/>
            <w:vAlign w:val="center"/>
            <w:hideMark/>
          </w:tcPr>
          <w:p w14:paraId="03FB2A14" w14:textId="77777777" w:rsidR="006903A5" w:rsidRPr="008D72BB" w:rsidRDefault="006903A5">
            <w:pPr>
              <w:spacing w:line="276" w:lineRule="auto"/>
              <w:jc w:val="right"/>
              <w:rPr>
                <w:color w:val="000000"/>
                <w:sz w:val="20"/>
                <w:szCs w:val="20"/>
              </w:rPr>
            </w:pPr>
            <w:r w:rsidRPr="008D72BB">
              <w:rPr>
                <w:color w:val="000000"/>
                <w:sz w:val="20"/>
                <w:szCs w:val="20"/>
              </w:rPr>
              <w:t>11.8</w:t>
            </w:r>
          </w:p>
        </w:tc>
      </w:tr>
      <w:tr w:rsidR="006903A5" w:rsidRPr="008D72BB" w14:paraId="73A5162A" w14:textId="77777777" w:rsidTr="00841D8C">
        <w:trPr>
          <w:trHeight w:val="397"/>
        </w:trPr>
        <w:tc>
          <w:tcPr>
            <w:tcW w:w="5524" w:type="dxa"/>
            <w:noWrap/>
            <w:vAlign w:val="center"/>
            <w:hideMark/>
          </w:tcPr>
          <w:p w14:paraId="293CA629" w14:textId="77777777" w:rsidR="006903A5" w:rsidRPr="008D72BB" w:rsidRDefault="006903A5">
            <w:pPr>
              <w:spacing w:line="276" w:lineRule="auto"/>
              <w:rPr>
                <w:color w:val="000000"/>
                <w:sz w:val="20"/>
                <w:szCs w:val="20"/>
              </w:rPr>
            </w:pPr>
            <w:r w:rsidRPr="008D72BB">
              <w:rPr>
                <w:color w:val="000000"/>
                <w:sz w:val="20"/>
                <w:szCs w:val="20"/>
              </w:rPr>
              <w:t>Cost proxy for dependent family by fatality by suicide</w:t>
            </w:r>
          </w:p>
        </w:tc>
        <w:tc>
          <w:tcPr>
            <w:tcW w:w="1701" w:type="dxa"/>
            <w:noWrap/>
            <w:hideMark/>
          </w:tcPr>
          <w:p w14:paraId="16BF48D7" w14:textId="77777777" w:rsidR="006903A5" w:rsidRPr="008D72BB" w:rsidRDefault="006903A5">
            <w:pPr>
              <w:spacing w:line="276" w:lineRule="auto"/>
              <w:rPr>
                <w:color w:val="000000"/>
                <w:sz w:val="20"/>
                <w:szCs w:val="20"/>
              </w:rPr>
            </w:pPr>
            <w:r w:rsidRPr="008D72BB">
              <w:rPr>
                <w:color w:val="000000"/>
                <w:sz w:val="20"/>
                <w:szCs w:val="20"/>
              </w:rPr>
              <w:t> </w:t>
            </w:r>
          </w:p>
        </w:tc>
        <w:tc>
          <w:tcPr>
            <w:tcW w:w="1559" w:type="dxa"/>
            <w:noWrap/>
            <w:vAlign w:val="center"/>
            <w:hideMark/>
          </w:tcPr>
          <w:p w14:paraId="435A20B2" w14:textId="77777777" w:rsidR="006903A5" w:rsidRPr="008D72BB" w:rsidRDefault="006903A5">
            <w:pPr>
              <w:spacing w:line="276" w:lineRule="auto"/>
              <w:jc w:val="right"/>
              <w:rPr>
                <w:color w:val="000000"/>
                <w:sz w:val="20"/>
                <w:szCs w:val="20"/>
              </w:rPr>
            </w:pPr>
            <w:r w:rsidRPr="008D72BB">
              <w:rPr>
                <w:color w:val="000000"/>
                <w:sz w:val="20"/>
                <w:szCs w:val="20"/>
              </w:rPr>
              <w:t> </w:t>
            </w:r>
          </w:p>
        </w:tc>
      </w:tr>
      <w:tr w:rsidR="006903A5" w:rsidRPr="008D72BB" w14:paraId="004F3E94" w14:textId="77777777" w:rsidTr="00841D8C">
        <w:trPr>
          <w:trHeight w:val="397"/>
        </w:trPr>
        <w:tc>
          <w:tcPr>
            <w:tcW w:w="5524" w:type="dxa"/>
            <w:noWrap/>
            <w:vAlign w:val="center"/>
            <w:hideMark/>
          </w:tcPr>
          <w:p w14:paraId="1F5050BB" w14:textId="77777777" w:rsidR="006903A5" w:rsidRPr="008D72BB" w:rsidRDefault="006903A5">
            <w:pPr>
              <w:spacing w:line="276" w:lineRule="auto"/>
              <w:rPr>
                <w:color w:val="000000"/>
                <w:sz w:val="20"/>
                <w:szCs w:val="20"/>
              </w:rPr>
            </w:pPr>
            <w:r w:rsidRPr="008D72BB">
              <w:rPr>
                <w:color w:val="000000"/>
                <w:sz w:val="20"/>
                <w:szCs w:val="20"/>
              </w:rPr>
              <w:t xml:space="preserve">   One-off costs funerals - $7,793 </w:t>
            </w:r>
          </w:p>
        </w:tc>
        <w:tc>
          <w:tcPr>
            <w:tcW w:w="1701" w:type="dxa"/>
            <w:noWrap/>
            <w:hideMark/>
          </w:tcPr>
          <w:p w14:paraId="6735D8FE" w14:textId="77777777" w:rsidR="006903A5" w:rsidRPr="008D72BB" w:rsidRDefault="006903A5">
            <w:pPr>
              <w:spacing w:line="276" w:lineRule="auto"/>
              <w:rPr>
                <w:color w:val="000000"/>
                <w:sz w:val="20"/>
                <w:szCs w:val="20"/>
              </w:rPr>
            </w:pPr>
            <w:r w:rsidRPr="008D72BB">
              <w:rPr>
                <w:color w:val="000000"/>
                <w:sz w:val="20"/>
                <w:szCs w:val="20"/>
              </w:rPr>
              <w:t>f = cost x c</w:t>
            </w:r>
          </w:p>
        </w:tc>
        <w:tc>
          <w:tcPr>
            <w:tcW w:w="1559" w:type="dxa"/>
            <w:noWrap/>
            <w:vAlign w:val="center"/>
            <w:hideMark/>
          </w:tcPr>
          <w:p w14:paraId="17D277EB" w14:textId="77777777" w:rsidR="006903A5" w:rsidRPr="008D72BB" w:rsidRDefault="006903A5">
            <w:pPr>
              <w:spacing w:line="276" w:lineRule="auto"/>
              <w:jc w:val="right"/>
              <w:rPr>
                <w:color w:val="000000"/>
                <w:sz w:val="20"/>
                <w:szCs w:val="20"/>
              </w:rPr>
            </w:pPr>
            <w:r w:rsidRPr="008D72BB">
              <w:rPr>
                <w:color w:val="000000"/>
                <w:sz w:val="20"/>
                <w:szCs w:val="20"/>
              </w:rPr>
              <w:t>$112,621</w:t>
            </w:r>
          </w:p>
        </w:tc>
      </w:tr>
      <w:tr w:rsidR="006903A5" w:rsidRPr="008D72BB" w14:paraId="46472AED" w14:textId="77777777" w:rsidTr="00841D8C">
        <w:trPr>
          <w:trHeight w:val="397"/>
        </w:trPr>
        <w:tc>
          <w:tcPr>
            <w:tcW w:w="5524" w:type="dxa"/>
            <w:noWrap/>
            <w:vAlign w:val="center"/>
            <w:hideMark/>
          </w:tcPr>
          <w:p w14:paraId="7B205CD3" w14:textId="77777777" w:rsidR="006903A5" w:rsidRPr="008D72BB" w:rsidRDefault="006903A5">
            <w:pPr>
              <w:spacing w:line="276" w:lineRule="auto"/>
              <w:rPr>
                <w:color w:val="000000"/>
                <w:sz w:val="20"/>
                <w:szCs w:val="20"/>
              </w:rPr>
            </w:pPr>
            <w:r w:rsidRPr="008D72BB">
              <w:rPr>
                <w:color w:val="000000"/>
                <w:sz w:val="20"/>
                <w:szCs w:val="20"/>
              </w:rPr>
              <w:t xml:space="preserve">   One-off payment to partner - $8,355</w:t>
            </w:r>
          </w:p>
        </w:tc>
        <w:tc>
          <w:tcPr>
            <w:tcW w:w="1701" w:type="dxa"/>
            <w:noWrap/>
            <w:hideMark/>
          </w:tcPr>
          <w:p w14:paraId="2395F92D" w14:textId="77777777" w:rsidR="006903A5" w:rsidRPr="008D72BB" w:rsidRDefault="006903A5">
            <w:pPr>
              <w:spacing w:line="276" w:lineRule="auto"/>
              <w:rPr>
                <w:color w:val="000000"/>
                <w:sz w:val="20"/>
                <w:szCs w:val="20"/>
              </w:rPr>
            </w:pPr>
            <w:r w:rsidRPr="008D72BB">
              <w:rPr>
                <w:color w:val="000000"/>
                <w:sz w:val="20"/>
                <w:szCs w:val="20"/>
              </w:rPr>
              <w:t>g = cost x c</w:t>
            </w:r>
          </w:p>
        </w:tc>
        <w:tc>
          <w:tcPr>
            <w:tcW w:w="1559" w:type="dxa"/>
            <w:noWrap/>
            <w:vAlign w:val="center"/>
            <w:hideMark/>
          </w:tcPr>
          <w:p w14:paraId="4B84F210" w14:textId="77777777" w:rsidR="006903A5" w:rsidRPr="008D72BB" w:rsidRDefault="006903A5">
            <w:pPr>
              <w:spacing w:line="276" w:lineRule="auto"/>
              <w:jc w:val="right"/>
              <w:rPr>
                <w:color w:val="000000"/>
                <w:sz w:val="20"/>
                <w:szCs w:val="20"/>
              </w:rPr>
            </w:pPr>
            <w:r w:rsidRPr="008D72BB">
              <w:rPr>
                <w:color w:val="000000"/>
                <w:sz w:val="20"/>
                <w:szCs w:val="20"/>
              </w:rPr>
              <w:t>$120,742</w:t>
            </w:r>
          </w:p>
        </w:tc>
      </w:tr>
      <w:tr w:rsidR="006903A5" w:rsidRPr="008D72BB" w14:paraId="433DCE50" w14:textId="77777777" w:rsidTr="00841D8C">
        <w:trPr>
          <w:trHeight w:val="397"/>
        </w:trPr>
        <w:tc>
          <w:tcPr>
            <w:tcW w:w="5524" w:type="dxa"/>
            <w:noWrap/>
            <w:vAlign w:val="center"/>
            <w:hideMark/>
          </w:tcPr>
          <w:p w14:paraId="33469B24" w14:textId="77777777" w:rsidR="006903A5" w:rsidRPr="008D72BB" w:rsidRDefault="006903A5">
            <w:pPr>
              <w:spacing w:line="276" w:lineRule="auto"/>
              <w:rPr>
                <w:color w:val="000000"/>
                <w:sz w:val="20"/>
                <w:szCs w:val="20"/>
              </w:rPr>
            </w:pPr>
            <w:r w:rsidRPr="008D72BB">
              <w:rPr>
                <w:color w:val="000000"/>
                <w:sz w:val="20"/>
                <w:szCs w:val="20"/>
              </w:rPr>
              <w:t xml:space="preserve">   One-off payment to each child under 18 - $4,177</w:t>
            </w:r>
          </w:p>
        </w:tc>
        <w:tc>
          <w:tcPr>
            <w:tcW w:w="1701" w:type="dxa"/>
            <w:noWrap/>
            <w:hideMark/>
          </w:tcPr>
          <w:p w14:paraId="36BA9423" w14:textId="77777777" w:rsidR="006903A5" w:rsidRPr="008D72BB" w:rsidRDefault="006903A5">
            <w:pPr>
              <w:spacing w:line="276" w:lineRule="auto"/>
              <w:rPr>
                <w:color w:val="000000"/>
                <w:sz w:val="20"/>
                <w:szCs w:val="20"/>
              </w:rPr>
            </w:pPr>
            <w:r w:rsidRPr="008D72BB">
              <w:rPr>
                <w:color w:val="000000"/>
                <w:sz w:val="20"/>
                <w:szCs w:val="20"/>
              </w:rPr>
              <w:t>h = cost x e</w:t>
            </w:r>
          </w:p>
        </w:tc>
        <w:tc>
          <w:tcPr>
            <w:tcW w:w="1559" w:type="dxa"/>
            <w:noWrap/>
            <w:vAlign w:val="center"/>
            <w:hideMark/>
          </w:tcPr>
          <w:p w14:paraId="2ED1D74F" w14:textId="77777777" w:rsidR="006903A5" w:rsidRPr="008D72BB" w:rsidRDefault="006903A5">
            <w:pPr>
              <w:spacing w:line="276" w:lineRule="auto"/>
              <w:jc w:val="right"/>
              <w:rPr>
                <w:color w:val="000000"/>
                <w:sz w:val="20"/>
                <w:szCs w:val="20"/>
              </w:rPr>
            </w:pPr>
            <w:r w:rsidRPr="008D72BB">
              <w:rPr>
                <w:color w:val="000000"/>
                <w:sz w:val="20"/>
                <w:szCs w:val="20"/>
              </w:rPr>
              <w:t>$49,304</w:t>
            </w:r>
          </w:p>
        </w:tc>
      </w:tr>
      <w:tr w:rsidR="006903A5" w:rsidRPr="008D72BB" w14:paraId="7E2B2103" w14:textId="77777777" w:rsidTr="00841D8C">
        <w:trPr>
          <w:trHeight w:val="397"/>
        </w:trPr>
        <w:tc>
          <w:tcPr>
            <w:tcW w:w="5524" w:type="dxa"/>
            <w:noWrap/>
            <w:vAlign w:val="center"/>
            <w:hideMark/>
          </w:tcPr>
          <w:p w14:paraId="35209A05" w14:textId="77777777" w:rsidR="006903A5" w:rsidRPr="008D72BB" w:rsidRDefault="006903A5">
            <w:pPr>
              <w:spacing w:line="276" w:lineRule="auto"/>
              <w:rPr>
                <w:color w:val="000000"/>
                <w:sz w:val="20"/>
                <w:szCs w:val="20"/>
              </w:rPr>
            </w:pPr>
            <w:r w:rsidRPr="008D72BB">
              <w:rPr>
                <w:color w:val="000000"/>
                <w:sz w:val="20"/>
                <w:szCs w:val="20"/>
              </w:rPr>
              <w:t xml:space="preserve">   Childcare for 1 child ($178 per week for 5 years) - $46,280</w:t>
            </w:r>
          </w:p>
        </w:tc>
        <w:tc>
          <w:tcPr>
            <w:tcW w:w="1701" w:type="dxa"/>
            <w:noWrap/>
            <w:hideMark/>
          </w:tcPr>
          <w:p w14:paraId="3EC18C2E" w14:textId="77777777" w:rsidR="006903A5" w:rsidRPr="008D72BB" w:rsidRDefault="006903A5">
            <w:pPr>
              <w:spacing w:line="276" w:lineRule="auto"/>
              <w:rPr>
                <w:color w:val="000000"/>
                <w:sz w:val="20"/>
                <w:szCs w:val="20"/>
              </w:rPr>
            </w:pPr>
            <w:r w:rsidRPr="008D72BB">
              <w:rPr>
                <w:color w:val="000000"/>
                <w:sz w:val="20"/>
                <w:szCs w:val="20"/>
              </w:rPr>
              <w:t>i = cost x e</w:t>
            </w:r>
          </w:p>
        </w:tc>
        <w:tc>
          <w:tcPr>
            <w:tcW w:w="1559" w:type="dxa"/>
            <w:noWrap/>
            <w:vAlign w:val="center"/>
            <w:hideMark/>
          </w:tcPr>
          <w:p w14:paraId="222B9CCD" w14:textId="77777777" w:rsidR="006903A5" w:rsidRPr="008D72BB" w:rsidRDefault="006903A5">
            <w:pPr>
              <w:spacing w:line="276" w:lineRule="auto"/>
              <w:jc w:val="right"/>
              <w:rPr>
                <w:color w:val="000000"/>
                <w:sz w:val="20"/>
                <w:szCs w:val="20"/>
              </w:rPr>
            </w:pPr>
            <w:r w:rsidRPr="008D72BB">
              <w:rPr>
                <w:color w:val="000000"/>
                <w:sz w:val="20"/>
                <w:szCs w:val="20"/>
              </w:rPr>
              <w:t>$546,278</w:t>
            </w:r>
          </w:p>
        </w:tc>
      </w:tr>
      <w:tr w:rsidR="006903A5" w:rsidRPr="008D72BB" w14:paraId="4851D6A0" w14:textId="77777777" w:rsidTr="00841D8C">
        <w:trPr>
          <w:trHeight w:val="397"/>
        </w:trPr>
        <w:tc>
          <w:tcPr>
            <w:tcW w:w="5524" w:type="dxa"/>
            <w:noWrap/>
            <w:vAlign w:val="center"/>
            <w:hideMark/>
          </w:tcPr>
          <w:p w14:paraId="579E674D" w14:textId="77777777" w:rsidR="006903A5" w:rsidRPr="008D72BB" w:rsidRDefault="006903A5">
            <w:pPr>
              <w:spacing w:line="276" w:lineRule="auto"/>
              <w:rPr>
                <w:color w:val="000000"/>
                <w:sz w:val="20"/>
                <w:szCs w:val="20"/>
              </w:rPr>
            </w:pPr>
            <w:r w:rsidRPr="008D72BB">
              <w:rPr>
                <w:color w:val="000000"/>
                <w:sz w:val="20"/>
                <w:szCs w:val="20"/>
              </w:rPr>
              <w:t xml:space="preserve">   Loss of income (80% average salary for 5 years) - $279,344</w:t>
            </w:r>
          </w:p>
        </w:tc>
        <w:tc>
          <w:tcPr>
            <w:tcW w:w="1701" w:type="dxa"/>
            <w:noWrap/>
            <w:hideMark/>
          </w:tcPr>
          <w:p w14:paraId="72EDCE82" w14:textId="77777777" w:rsidR="006903A5" w:rsidRPr="008D72BB" w:rsidRDefault="006903A5">
            <w:pPr>
              <w:spacing w:line="276" w:lineRule="auto"/>
              <w:rPr>
                <w:color w:val="000000"/>
                <w:sz w:val="20"/>
                <w:szCs w:val="20"/>
              </w:rPr>
            </w:pPr>
            <w:r w:rsidRPr="008D72BB">
              <w:rPr>
                <w:color w:val="000000"/>
                <w:sz w:val="20"/>
                <w:szCs w:val="20"/>
              </w:rPr>
              <w:t xml:space="preserve">j = cost x c </w:t>
            </w:r>
          </w:p>
        </w:tc>
        <w:tc>
          <w:tcPr>
            <w:tcW w:w="1559" w:type="dxa"/>
            <w:noWrap/>
            <w:vAlign w:val="center"/>
            <w:hideMark/>
          </w:tcPr>
          <w:p w14:paraId="281853C1" w14:textId="77777777" w:rsidR="006903A5" w:rsidRPr="008D72BB" w:rsidRDefault="006903A5">
            <w:pPr>
              <w:spacing w:line="276" w:lineRule="auto"/>
              <w:jc w:val="right"/>
              <w:rPr>
                <w:color w:val="000000"/>
                <w:sz w:val="20"/>
                <w:szCs w:val="20"/>
              </w:rPr>
            </w:pPr>
            <w:r w:rsidRPr="008D72BB">
              <w:rPr>
                <w:color w:val="000000"/>
                <w:sz w:val="20"/>
                <w:szCs w:val="20"/>
              </w:rPr>
              <w:t>$4,036,944</w:t>
            </w:r>
          </w:p>
        </w:tc>
      </w:tr>
      <w:tr w:rsidR="006903A5" w:rsidRPr="008D72BB" w14:paraId="62D239F0" w14:textId="77777777" w:rsidTr="00841D8C">
        <w:trPr>
          <w:trHeight w:val="397"/>
        </w:trPr>
        <w:tc>
          <w:tcPr>
            <w:tcW w:w="5524" w:type="dxa"/>
            <w:shd w:val="clear" w:color="auto" w:fill="F2F2F2" w:themeFill="background1" w:themeFillShade="F2"/>
            <w:noWrap/>
            <w:vAlign w:val="center"/>
            <w:hideMark/>
          </w:tcPr>
          <w:p w14:paraId="06A384DB" w14:textId="77777777" w:rsidR="006903A5" w:rsidRPr="008D72BB" w:rsidRDefault="006903A5">
            <w:pPr>
              <w:spacing w:line="276" w:lineRule="auto"/>
              <w:rPr>
                <w:b/>
                <w:bCs/>
                <w:color w:val="000000"/>
                <w:sz w:val="20"/>
                <w:szCs w:val="20"/>
              </w:rPr>
            </w:pPr>
            <w:r w:rsidRPr="008D72BB">
              <w:rPr>
                <w:b/>
                <w:bCs/>
                <w:color w:val="000000"/>
                <w:sz w:val="20"/>
                <w:szCs w:val="20"/>
              </w:rPr>
              <w:t>Total cost for fatality by suicide on dependent partners and children</w:t>
            </w:r>
          </w:p>
        </w:tc>
        <w:tc>
          <w:tcPr>
            <w:tcW w:w="1701" w:type="dxa"/>
            <w:shd w:val="clear" w:color="auto" w:fill="F2F2F2" w:themeFill="background1" w:themeFillShade="F2"/>
            <w:noWrap/>
            <w:hideMark/>
          </w:tcPr>
          <w:p w14:paraId="4A2C7909" w14:textId="77777777" w:rsidR="006903A5" w:rsidRPr="008D72BB" w:rsidRDefault="006903A5">
            <w:pPr>
              <w:spacing w:line="276" w:lineRule="auto"/>
              <w:rPr>
                <w:b/>
                <w:bCs/>
                <w:color w:val="000000"/>
                <w:sz w:val="20"/>
                <w:szCs w:val="20"/>
              </w:rPr>
            </w:pPr>
            <w:r w:rsidRPr="008D72BB">
              <w:rPr>
                <w:b/>
                <w:bCs/>
                <w:color w:val="000000"/>
                <w:sz w:val="20"/>
                <w:szCs w:val="20"/>
              </w:rPr>
              <w:t>k = f + g + h + i + j</w:t>
            </w:r>
          </w:p>
        </w:tc>
        <w:tc>
          <w:tcPr>
            <w:tcW w:w="1559" w:type="dxa"/>
            <w:shd w:val="clear" w:color="auto" w:fill="F2F2F2" w:themeFill="background1" w:themeFillShade="F2"/>
            <w:noWrap/>
            <w:vAlign w:val="center"/>
            <w:hideMark/>
          </w:tcPr>
          <w:p w14:paraId="272C1FF1" w14:textId="77777777" w:rsidR="006903A5" w:rsidRPr="008D72BB" w:rsidRDefault="006903A5">
            <w:pPr>
              <w:spacing w:line="276" w:lineRule="auto"/>
              <w:jc w:val="right"/>
              <w:rPr>
                <w:b/>
                <w:bCs/>
                <w:color w:val="000000"/>
                <w:sz w:val="20"/>
                <w:szCs w:val="20"/>
              </w:rPr>
            </w:pPr>
            <w:r w:rsidRPr="008D72BB">
              <w:rPr>
                <w:b/>
                <w:bCs/>
                <w:color w:val="000000"/>
                <w:sz w:val="20"/>
                <w:szCs w:val="20"/>
              </w:rPr>
              <w:t>$4,865,889</w:t>
            </w:r>
          </w:p>
        </w:tc>
      </w:tr>
      <w:tr w:rsidR="006903A5" w:rsidRPr="008D72BB" w14:paraId="10F5BE0C" w14:textId="77777777" w:rsidTr="00841D8C">
        <w:trPr>
          <w:trHeight w:val="397"/>
        </w:trPr>
        <w:tc>
          <w:tcPr>
            <w:tcW w:w="8784" w:type="dxa"/>
            <w:gridSpan w:val="3"/>
            <w:noWrap/>
            <w:vAlign w:val="center"/>
            <w:hideMark/>
          </w:tcPr>
          <w:p w14:paraId="3605A0C7" w14:textId="77777777" w:rsidR="006903A5" w:rsidRPr="008D72BB" w:rsidRDefault="006903A5">
            <w:pPr>
              <w:spacing w:line="276" w:lineRule="auto"/>
              <w:rPr>
                <w:b/>
                <w:bCs/>
                <w:i/>
                <w:iCs/>
                <w:color w:val="000000"/>
                <w:sz w:val="20"/>
                <w:szCs w:val="20"/>
              </w:rPr>
            </w:pPr>
            <w:r w:rsidRPr="008D72BB">
              <w:rPr>
                <w:b/>
                <w:bCs/>
                <w:i/>
                <w:iCs/>
                <w:color w:val="000000"/>
                <w:sz w:val="20"/>
                <w:szCs w:val="20"/>
              </w:rPr>
              <w:t>Impact to close others</w:t>
            </w:r>
          </w:p>
        </w:tc>
      </w:tr>
      <w:tr w:rsidR="006903A5" w:rsidRPr="008D72BB" w14:paraId="45437B16" w14:textId="77777777" w:rsidTr="00841D8C">
        <w:trPr>
          <w:trHeight w:val="397"/>
        </w:trPr>
        <w:tc>
          <w:tcPr>
            <w:tcW w:w="5524" w:type="dxa"/>
            <w:noWrap/>
            <w:vAlign w:val="center"/>
            <w:hideMark/>
          </w:tcPr>
          <w:p w14:paraId="3E889E56" w14:textId="77777777" w:rsidR="006903A5" w:rsidRPr="008D72BB" w:rsidRDefault="006903A5">
            <w:pPr>
              <w:spacing w:line="276" w:lineRule="auto"/>
              <w:rPr>
                <w:color w:val="000000"/>
                <w:sz w:val="20"/>
                <w:szCs w:val="20"/>
              </w:rPr>
            </w:pPr>
            <w:r w:rsidRPr="008D72BB">
              <w:rPr>
                <w:color w:val="000000"/>
                <w:sz w:val="20"/>
                <w:szCs w:val="20"/>
              </w:rPr>
              <w:t>Average number of other persons impacted by suicide</w:t>
            </w:r>
          </w:p>
        </w:tc>
        <w:tc>
          <w:tcPr>
            <w:tcW w:w="1701" w:type="dxa"/>
            <w:noWrap/>
            <w:hideMark/>
          </w:tcPr>
          <w:p w14:paraId="1A2F2A21" w14:textId="77777777" w:rsidR="006903A5" w:rsidRPr="008D72BB" w:rsidRDefault="006903A5">
            <w:pPr>
              <w:spacing w:line="276" w:lineRule="auto"/>
              <w:rPr>
                <w:color w:val="000000"/>
                <w:sz w:val="20"/>
                <w:szCs w:val="20"/>
              </w:rPr>
            </w:pPr>
            <w:r w:rsidRPr="008D72BB">
              <w:rPr>
                <w:color w:val="000000"/>
                <w:sz w:val="20"/>
                <w:szCs w:val="20"/>
              </w:rPr>
              <w:t>l</w:t>
            </w:r>
          </w:p>
        </w:tc>
        <w:tc>
          <w:tcPr>
            <w:tcW w:w="1559" w:type="dxa"/>
            <w:noWrap/>
            <w:vAlign w:val="center"/>
            <w:hideMark/>
          </w:tcPr>
          <w:p w14:paraId="1E6FE226" w14:textId="77777777" w:rsidR="006903A5" w:rsidRPr="008D72BB" w:rsidRDefault="006903A5">
            <w:pPr>
              <w:spacing w:line="276" w:lineRule="auto"/>
              <w:jc w:val="right"/>
              <w:rPr>
                <w:color w:val="000000"/>
                <w:sz w:val="20"/>
                <w:szCs w:val="20"/>
              </w:rPr>
            </w:pPr>
            <w:r w:rsidRPr="008D72BB">
              <w:rPr>
                <w:color w:val="000000"/>
                <w:sz w:val="20"/>
                <w:szCs w:val="20"/>
              </w:rPr>
              <w:t>6</w:t>
            </w:r>
          </w:p>
        </w:tc>
      </w:tr>
      <w:tr w:rsidR="006903A5" w:rsidRPr="008D72BB" w14:paraId="2E7613D1" w14:textId="77777777" w:rsidTr="00841D8C">
        <w:trPr>
          <w:trHeight w:val="397"/>
        </w:trPr>
        <w:tc>
          <w:tcPr>
            <w:tcW w:w="5524" w:type="dxa"/>
            <w:noWrap/>
            <w:vAlign w:val="center"/>
            <w:hideMark/>
          </w:tcPr>
          <w:p w14:paraId="48D5C612" w14:textId="77777777" w:rsidR="006903A5" w:rsidRPr="008D72BB" w:rsidRDefault="006903A5">
            <w:pPr>
              <w:spacing w:line="276" w:lineRule="auto"/>
              <w:rPr>
                <w:color w:val="000000"/>
                <w:sz w:val="20"/>
                <w:szCs w:val="20"/>
              </w:rPr>
            </w:pPr>
            <w:r w:rsidRPr="008D72BB">
              <w:rPr>
                <w:color w:val="000000"/>
                <w:sz w:val="20"/>
                <w:szCs w:val="20"/>
              </w:rPr>
              <w:t>Number of affected others by fatality by suicide (less dependent partners and children)</w:t>
            </w:r>
          </w:p>
        </w:tc>
        <w:tc>
          <w:tcPr>
            <w:tcW w:w="1701" w:type="dxa"/>
            <w:noWrap/>
            <w:hideMark/>
          </w:tcPr>
          <w:p w14:paraId="4C1C7A87" w14:textId="77777777" w:rsidR="006903A5" w:rsidRPr="008D72BB" w:rsidRDefault="006903A5">
            <w:pPr>
              <w:spacing w:line="276" w:lineRule="auto"/>
              <w:rPr>
                <w:color w:val="000000"/>
                <w:sz w:val="20"/>
                <w:szCs w:val="20"/>
              </w:rPr>
            </w:pPr>
            <w:r w:rsidRPr="008D72BB">
              <w:rPr>
                <w:color w:val="000000"/>
                <w:sz w:val="20"/>
                <w:szCs w:val="20"/>
              </w:rPr>
              <w:t>m = (a x l) - (c + e)</w:t>
            </w:r>
          </w:p>
        </w:tc>
        <w:tc>
          <w:tcPr>
            <w:tcW w:w="1559" w:type="dxa"/>
            <w:noWrap/>
            <w:vAlign w:val="center"/>
            <w:hideMark/>
          </w:tcPr>
          <w:p w14:paraId="7B956CA6" w14:textId="77777777" w:rsidR="006903A5" w:rsidRPr="008D72BB" w:rsidRDefault="006903A5">
            <w:pPr>
              <w:spacing w:line="276" w:lineRule="auto"/>
              <w:jc w:val="right"/>
              <w:rPr>
                <w:color w:val="000000"/>
                <w:sz w:val="20"/>
                <w:szCs w:val="20"/>
              </w:rPr>
            </w:pPr>
            <w:r w:rsidRPr="008D72BB">
              <w:rPr>
                <w:color w:val="000000"/>
                <w:sz w:val="20"/>
                <w:szCs w:val="20"/>
              </w:rPr>
              <w:t>125.3</w:t>
            </w:r>
          </w:p>
        </w:tc>
      </w:tr>
      <w:tr w:rsidR="006903A5" w:rsidRPr="008D72BB" w14:paraId="17E4B33C" w14:textId="77777777" w:rsidTr="00841D8C">
        <w:trPr>
          <w:trHeight w:val="397"/>
        </w:trPr>
        <w:tc>
          <w:tcPr>
            <w:tcW w:w="5524" w:type="dxa"/>
            <w:noWrap/>
            <w:vAlign w:val="center"/>
            <w:hideMark/>
          </w:tcPr>
          <w:p w14:paraId="02E307FB" w14:textId="77777777" w:rsidR="006903A5" w:rsidRPr="008D72BB" w:rsidRDefault="006903A5">
            <w:pPr>
              <w:spacing w:line="276" w:lineRule="auto"/>
              <w:rPr>
                <w:color w:val="000000"/>
                <w:sz w:val="20"/>
                <w:szCs w:val="20"/>
              </w:rPr>
            </w:pPr>
            <w:r w:rsidRPr="008D72BB">
              <w:rPr>
                <w:color w:val="000000"/>
                <w:sz w:val="20"/>
                <w:szCs w:val="20"/>
              </w:rPr>
              <w:t>Cost of emotional distress of affected others by fatality by suicide</w:t>
            </w:r>
          </w:p>
        </w:tc>
        <w:tc>
          <w:tcPr>
            <w:tcW w:w="1701" w:type="dxa"/>
            <w:noWrap/>
            <w:hideMark/>
          </w:tcPr>
          <w:p w14:paraId="5AB5CD7F" w14:textId="77777777" w:rsidR="006903A5" w:rsidRPr="008D72BB" w:rsidRDefault="006903A5">
            <w:pPr>
              <w:spacing w:line="276" w:lineRule="auto"/>
              <w:rPr>
                <w:color w:val="000000"/>
                <w:sz w:val="20"/>
                <w:szCs w:val="20"/>
              </w:rPr>
            </w:pPr>
            <w:r w:rsidRPr="008D72BB">
              <w:rPr>
                <w:color w:val="000000"/>
                <w:sz w:val="20"/>
                <w:szCs w:val="20"/>
              </w:rPr>
              <w:t>n</w:t>
            </w:r>
          </w:p>
        </w:tc>
        <w:tc>
          <w:tcPr>
            <w:tcW w:w="1559" w:type="dxa"/>
            <w:noWrap/>
            <w:vAlign w:val="center"/>
            <w:hideMark/>
          </w:tcPr>
          <w:p w14:paraId="0B996C84" w14:textId="77777777" w:rsidR="006903A5" w:rsidRPr="008D72BB" w:rsidRDefault="006903A5">
            <w:pPr>
              <w:spacing w:line="276" w:lineRule="auto"/>
              <w:jc w:val="right"/>
              <w:rPr>
                <w:color w:val="000000"/>
                <w:sz w:val="20"/>
                <w:szCs w:val="20"/>
              </w:rPr>
            </w:pPr>
            <w:r w:rsidRPr="008D72BB">
              <w:rPr>
                <w:color w:val="000000"/>
                <w:sz w:val="20"/>
                <w:szCs w:val="20"/>
              </w:rPr>
              <w:t>$10,000</w:t>
            </w:r>
          </w:p>
        </w:tc>
      </w:tr>
      <w:tr w:rsidR="006903A5" w:rsidRPr="008D72BB" w14:paraId="296C34D7" w14:textId="77777777" w:rsidTr="00841D8C">
        <w:trPr>
          <w:trHeight w:val="397"/>
        </w:trPr>
        <w:tc>
          <w:tcPr>
            <w:tcW w:w="5524" w:type="dxa"/>
            <w:shd w:val="clear" w:color="auto" w:fill="F2F2F2" w:themeFill="background1" w:themeFillShade="F2"/>
            <w:noWrap/>
            <w:vAlign w:val="center"/>
            <w:hideMark/>
          </w:tcPr>
          <w:p w14:paraId="3BBCCFE0" w14:textId="77777777" w:rsidR="006903A5" w:rsidRPr="008D72BB" w:rsidRDefault="006903A5">
            <w:pPr>
              <w:spacing w:line="276" w:lineRule="auto"/>
              <w:rPr>
                <w:b/>
                <w:bCs/>
                <w:color w:val="000000"/>
                <w:sz w:val="20"/>
                <w:szCs w:val="20"/>
              </w:rPr>
            </w:pPr>
            <w:r w:rsidRPr="008D72BB">
              <w:rPr>
                <w:b/>
                <w:bCs/>
                <w:color w:val="000000"/>
                <w:sz w:val="20"/>
                <w:szCs w:val="20"/>
              </w:rPr>
              <w:t>Total cost for fatality by suicide on close others</w:t>
            </w:r>
          </w:p>
        </w:tc>
        <w:tc>
          <w:tcPr>
            <w:tcW w:w="1701" w:type="dxa"/>
            <w:shd w:val="clear" w:color="auto" w:fill="F2F2F2" w:themeFill="background1" w:themeFillShade="F2"/>
            <w:noWrap/>
            <w:hideMark/>
          </w:tcPr>
          <w:p w14:paraId="557F9E5D" w14:textId="77777777" w:rsidR="006903A5" w:rsidRPr="008D72BB" w:rsidRDefault="006903A5">
            <w:pPr>
              <w:spacing w:line="276" w:lineRule="auto"/>
              <w:rPr>
                <w:b/>
                <w:bCs/>
                <w:color w:val="000000"/>
                <w:sz w:val="20"/>
                <w:szCs w:val="20"/>
              </w:rPr>
            </w:pPr>
            <w:r w:rsidRPr="008D72BB">
              <w:rPr>
                <w:b/>
                <w:bCs/>
                <w:color w:val="000000"/>
                <w:sz w:val="20"/>
                <w:szCs w:val="20"/>
              </w:rPr>
              <w:t>o = m x n</w:t>
            </w:r>
          </w:p>
        </w:tc>
        <w:tc>
          <w:tcPr>
            <w:tcW w:w="1559" w:type="dxa"/>
            <w:shd w:val="clear" w:color="auto" w:fill="F2F2F2" w:themeFill="background1" w:themeFillShade="F2"/>
            <w:noWrap/>
            <w:vAlign w:val="center"/>
            <w:hideMark/>
          </w:tcPr>
          <w:p w14:paraId="1BEB3565" w14:textId="77777777" w:rsidR="006903A5" w:rsidRPr="008D72BB" w:rsidRDefault="006903A5">
            <w:pPr>
              <w:spacing w:line="276" w:lineRule="auto"/>
              <w:jc w:val="right"/>
              <w:rPr>
                <w:b/>
                <w:bCs/>
                <w:color w:val="000000"/>
                <w:sz w:val="20"/>
                <w:szCs w:val="20"/>
              </w:rPr>
            </w:pPr>
            <w:r w:rsidRPr="008D72BB">
              <w:rPr>
                <w:b/>
                <w:bCs/>
                <w:color w:val="000000"/>
                <w:sz w:val="20"/>
                <w:szCs w:val="20"/>
              </w:rPr>
              <w:t>$1,253,340</w:t>
            </w:r>
          </w:p>
        </w:tc>
      </w:tr>
      <w:tr w:rsidR="006903A5" w:rsidRPr="008D72BB" w14:paraId="3292ABED" w14:textId="77777777" w:rsidTr="00841D8C">
        <w:trPr>
          <w:trHeight w:val="397"/>
        </w:trPr>
        <w:tc>
          <w:tcPr>
            <w:tcW w:w="5524" w:type="dxa"/>
            <w:shd w:val="clear" w:color="auto" w:fill="F2F2F2" w:themeFill="background1" w:themeFillShade="F2"/>
            <w:noWrap/>
            <w:vAlign w:val="center"/>
            <w:hideMark/>
          </w:tcPr>
          <w:p w14:paraId="3733EB15" w14:textId="77777777" w:rsidR="006903A5" w:rsidRPr="008D72BB" w:rsidRDefault="006903A5">
            <w:pPr>
              <w:spacing w:line="276" w:lineRule="auto"/>
              <w:rPr>
                <w:b/>
                <w:bCs/>
                <w:color w:val="000000"/>
                <w:sz w:val="20"/>
                <w:szCs w:val="20"/>
              </w:rPr>
            </w:pPr>
            <w:r w:rsidRPr="008D72BB">
              <w:rPr>
                <w:b/>
                <w:bCs/>
                <w:color w:val="000000"/>
                <w:sz w:val="20"/>
                <w:szCs w:val="20"/>
              </w:rPr>
              <w:t>Total cost</w:t>
            </w:r>
          </w:p>
        </w:tc>
        <w:tc>
          <w:tcPr>
            <w:tcW w:w="1701" w:type="dxa"/>
            <w:shd w:val="clear" w:color="auto" w:fill="F2F2F2" w:themeFill="background1" w:themeFillShade="F2"/>
            <w:noWrap/>
            <w:hideMark/>
          </w:tcPr>
          <w:p w14:paraId="5DCE4956" w14:textId="77777777" w:rsidR="006903A5" w:rsidRPr="008D72BB" w:rsidRDefault="006903A5">
            <w:pPr>
              <w:spacing w:line="276" w:lineRule="auto"/>
              <w:jc w:val="center"/>
              <w:rPr>
                <w:b/>
                <w:bCs/>
                <w:color w:val="000000"/>
                <w:sz w:val="20"/>
                <w:szCs w:val="20"/>
              </w:rPr>
            </w:pPr>
            <w:r w:rsidRPr="008D72BB">
              <w:rPr>
                <w:b/>
                <w:bCs/>
                <w:color w:val="000000"/>
                <w:sz w:val="20"/>
                <w:szCs w:val="20"/>
              </w:rPr>
              <w:t> </w:t>
            </w:r>
          </w:p>
        </w:tc>
        <w:tc>
          <w:tcPr>
            <w:tcW w:w="1559" w:type="dxa"/>
            <w:shd w:val="clear" w:color="auto" w:fill="F2F2F2" w:themeFill="background1" w:themeFillShade="F2"/>
            <w:noWrap/>
            <w:vAlign w:val="center"/>
            <w:hideMark/>
          </w:tcPr>
          <w:p w14:paraId="4DE057BC" w14:textId="77777777" w:rsidR="006903A5" w:rsidRPr="008D72BB" w:rsidRDefault="006903A5">
            <w:pPr>
              <w:spacing w:line="276" w:lineRule="auto"/>
              <w:jc w:val="right"/>
              <w:rPr>
                <w:b/>
                <w:bCs/>
                <w:color w:val="000000"/>
                <w:sz w:val="20"/>
                <w:szCs w:val="20"/>
              </w:rPr>
            </w:pPr>
            <w:r w:rsidRPr="008D72BB">
              <w:rPr>
                <w:b/>
                <w:bCs/>
                <w:color w:val="000000"/>
                <w:sz w:val="20"/>
                <w:szCs w:val="20"/>
              </w:rPr>
              <w:t>$6,119,229</w:t>
            </w:r>
          </w:p>
        </w:tc>
      </w:tr>
      <w:tr w:rsidR="006903A5" w:rsidRPr="008D72BB" w14:paraId="2FB3D67C" w14:textId="77777777" w:rsidTr="00841D8C">
        <w:trPr>
          <w:trHeight w:val="397"/>
        </w:trPr>
        <w:tc>
          <w:tcPr>
            <w:tcW w:w="7225" w:type="dxa"/>
            <w:gridSpan w:val="2"/>
            <w:vAlign w:val="center"/>
            <w:hideMark/>
          </w:tcPr>
          <w:p w14:paraId="3FDA7AC4" w14:textId="77777777" w:rsidR="006903A5" w:rsidRPr="008D72BB" w:rsidRDefault="006903A5">
            <w:pPr>
              <w:spacing w:line="276" w:lineRule="auto"/>
              <w:rPr>
                <w:b/>
                <w:bCs/>
                <w:color w:val="000000"/>
                <w:sz w:val="20"/>
                <w:szCs w:val="20"/>
              </w:rPr>
            </w:pPr>
            <w:r w:rsidRPr="008D72BB">
              <w:rPr>
                <w:b/>
                <w:bCs/>
                <w:color w:val="000000"/>
                <w:sz w:val="20"/>
                <w:szCs w:val="20"/>
              </w:rPr>
              <w:t>Lower bound</w:t>
            </w:r>
          </w:p>
        </w:tc>
        <w:tc>
          <w:tcPr>
            <w:tcW w:w="1559" w:type="dxa"/>
            <w:vAlign w:val="center"/>
            <w:hideMark/>
          </w:tcPr>
          <w:p w14:paraId="3BA4789C" w14:textId="77777777" w:rsidR="006903A5" w:rsidRPr="008D72BB" w:rsidRDefault="006903A5">
            <w:pPr>
              <w:spacing w:line="276" w:lineRule="auto"/>
              <w:jc w:val="right"/>
              <w:rPr>
                <w:b/>
                <w:bCs/>
                <w:color w:val="000000"/>
                <w:sz w:val="20"/>
                <w:szCs w:val="20"/>
              </w:rPr>
            </w:pPr>
            <w:r w:rsidRPr="008D72BB">
              <w:rPr>
                <w:b/>
                <w:bCs/>
                <w:color w:val="000000"/>
                <w:sz w:val="20"/>
                <w:szCs w:val="20"/>
              </w:rPr>
              <w:t>$5,813,268</w:t>
            </w:r>
          </w:p>
        </w:tc>
      </w:tr>
      <w:tr w:rsidR="006903A5" w:rsidRPr="008D72BB" w14:paraId="15EC4AE9" w14:textId="77777777" w:rsidTr="00841D8C">
        <w:trPr>
          <w:trHeight w:val="397"/>
        </w:trPr>
        <w:tc>
          <w:tcPr>
            <w:tcW w:w="7225" w:type="dxa"/>
            <w:gridSpan w:val="2"/>
            <w:vAlign w:val="center"/>
            <w:hideMark/>
          </w:tcPr>
          <w:p w14:paraId="21381669" w14:textId="77777777" w:rsidR="006903A5" w:rsidRPr="008D72BB" w:rsidRDefault="006903A5">
            <w:pPr>
              <w:spacing w:line="276" w:lineRule="auto"/>
              <w:rPr>
                <w:b/>
                <w:bCs/>
                <w:color w:val="000000"/>
                <w:sz w:val="20"/>
                <w:szCs w:val="20"/>
              </w:rPr>
            </w:pPr>
            <w:r w:rsidRPr="008D72BB">
              <w:rPr>
                <w:b/>
                <w:bCs/>
                <w:color w:val="000000"/>
                <w:sz w:val="20"/>
                <w:szCs w:val="20"/>
              </w:rPr>
              <w:t>Upper bound</w:t>
            </w:r>
          </w:p>
        </w:tc>
        <w:tc>
          <w:tcPr>
            <w:tcW w:w="1559" w:type="dxa"/>
            <w:vAlign w:val="center"/>
            <w:hideMark/>
          </w:tcPr>
          <w:p w14:paraId="7FC078EE" w14:textId="77777777" w:rsidR="006903A5" w:rsidRPr="008D72BB" w:rsidRDefault="006903A5">
            <w:pPr>
              <w:spacing w:line="276" w:lineRule="auto"/>
              <w:jc w:val="right"/>
              <w:rPr>
                <w:b/>
                <w:bCs/>
                <w:color w:val="000000"/>
                <w:sz w:val="20"/>
                <w:szCs w:val="20"/>
              </w:rPr>
            </w:pPr>
            <w:r w:rsidRPr="008D72BB">
              <w:rPr>
                <w:b/>
                <w:bCs/>
                <w:color w:val="000000"/>
                <w:sz w:val="20"/>
                <w:szCs w:val="20"/>
              </w:rPr>
              <w:t>$6,425,191</w:t>
            </w:r>
          </w:p>
        </w:tc>
      </w:tr>
      <w:tr w:rsidR="006903A5" w:rsidRPr="008D72BB" w14:paraId="6AA6C631" w14:textId="77777777" w:rsidTr="00841D8C">
        <w:trPr>
          <w:trHeight w:val="397"/>
        </w:trPr>
        <w:tc>
          <w:tcPr>
            <w:tcW w:w="8784" w:type="dxa"/>
            <w:gridSpan w:val="3"/>
            <w:noWrap/>
            <w:vAlign w:val="center"/>
            <w:hideMark/>
          </w:tcPr>
          <w:p w14:paraId="25027748" w14:textId="77777777" w:rsidR="006903A5" w:rsidRPr="008D72BB" w:rsidRDefault="006903A5">
            <w:pPr>
              <w:spacing w:line="276" w:lineRule="auto"/>
              <w:rPr>
                <w:i/>
                <w:iCs/>
                <w:color w:val="242424"/>
                <w:sz w:val="20"/>
                <w:szCs w:val="20"/>
              </w:rPr>
            </w:pPr>
            <w:r w:rsidRPr="008D72BB">
              <w:rPr>
                <w:i/>
                <w:iCs/>
                <w:color w:val="242424"/>
                <w:sz w:val="20"/>
                <w:szCs w:val="20"/>
              </w:rPr>
              <w:t>Note: Totals may not match exactly due to rounding. Calculations are based on the original unrounded figures to ensure accuracy.</w:t>
            </w:r>
          </w:p>
        </w:tc>
      </w:tr>
    </w:tbl>
    <w:p w14:paraId="1B0E391E" w14:textId="77777777" w:rsidR="006903A5" w:rsidRDefault="006903A5" w:rsidP="006903A5">
      <w:pPr>
        <w:spacing w:line="276" w:lineRule="auto"/>
        <w:rPr>
          <w:b/>
          <w:sz w:val="18"/>
          <w:szCs w:val="18"/>
        </w:rPr>
      </w:pPr>
    </w:p>
    <w:p w14:paraId="2786EAB2" w14:textId="77777777" w:rsidR="00724BBB" w:rsidRDefault="00724BBB" w:rsidP="006903A5">
      <w:pPr>
        <w:spacing w:line="276" w:lineRule="auto"/>
        <w:rPr>
          <w:b/>
          <w:sz w:val="18"/>
          <w:szCs w:val="18"/>
        </w:rPr>
      </w:pPr>
    </w:p>
    <w:p w14:paraId="0F51D713" w14:textId="77777777" w:rsidR="00724BBB" w:rsidRDefault="00724BBB" w:rsidP="006903A5">
      <w:pPr>
        <w:spacing w:line="276" w:lineRule="auto"/>
        <w:rPr>
          <w:b/>
          <w:sz w:val="18"/>
          <w:szCs w:val="18"/>
        </w:rPr>
      </w:pPr>
    </w:p>
    <w:p w14:paraId="415BDC4A" w14:textId="77777777" w:rsidR="00724BBB" w:rsidRDefault="00724BBB" w:rsidP="006903A5">
      <w:pPr>
        <w:spacing w:line="276" w:lineRule="auto"/>
        <w:rPr>
          <w:b/>
          <w:sz w:val="18"/>
          <w:szCs w:val="18"/>
        </w:rPr>
      </w:pPr>
    </w:p>
    <w:p w14:paraId="39B40E64" w14:textId="77777777" w:rsidR="00724BBB" w:rsidRDefault="00724BBB" w:rsidP="006903A5">
      <w:pPr>
        <w:spacing w:line="276" w:lineRule="auto"/>
        <w:rPr>
          <w:b/>
          <w:sz w:val="18"/>
          <w:szCs w:val="18"/>
        </w:rPr>
      </w:pPr>
    </w:p>
    <w:p w14:paraId="05E2032B" w14:textId="77777777" w:rsidR="00724BBB" w:rsidRDefault="00724BBB" w:rsidP="006903A5">
      <w:pPr>
        <w:spacing w:line="276" w:lineRule="auto"/>
        <w:rPr>
          <w:b/>
          <w:sz w:val="18"/>
          <w:szCs w:val="18"/>
        </w:rPr>
      </w:pPr>
    </w:p>
    <w:p w14:paraId="6359075C" w14:textId="77777777" w:rsidR="00724BBB" w:rsidRDefault="00724BBB" w:rsidP="006903A5">
      <w:pPr>
        <w:spacing w:line="276" w:lineRule="auto"/>
        <w:rPr>
          <w:b/>
          <w:sz w:val="18"/>
          <w:szCs w:val="18"/>
        </w:rPr>
      </w:pPr>
    </w:p>
    <w:p w14:paraId="354032D6" w14:textId="77777777" w:rsidR="00724BBB" w:rsidRDefault="00724BBB" w:rsidP="006903A5">
      <w:pPr>
        <w:spacing w:line="276" w:lineRule="auto"/>
        <w:rPr>
          <w:b/>
          <w:sz w:val="18"/>
          <w:szCs w:val="18"/>
        </w:rPr>
      </w:pPr>
    </w:p>
    <w:p w14:paraId="35961893" w14:textId="77777777" w:rsidR="00724BBB" w:rsidRDefault="00724BBB" w:rsidP="006903A5">
      <w:pPr>
        <w:spacing w:line="276" w:lineRule="auto"/>
        <w:rPr>
          <w:b/>
          <w:sz w:val="18"/>
          <w:szCs w:val="18"/>
        </w:rPr>
      </w:pPr>
    </w:p>
    <w:p w14:paraId="1439BDA9" w14:textId="77777777" w:rsidR="00724BBB" w:rsidRDefault="00724BBB" w:rsidP="006903A5">
      <w:pPr>
        <w:spacing w:line="276" w:lineRule="auto"/>
        <w:rPr>
          <w:b/>
          <w:sz w:val="18"/>
          <w:szCs w:val="18"/>
        </w:rPr>
      </w:pPr>
    </w:p>
    <w:p w14:paraId="7EF836C6" w14:textId="77777777" w:rsidR="00724BBB" w:rsidRPr="00D850CC" w:rsidRDefault="00724BBB" w:rsidP="006903A5">
      <w:pPr>
        <w:spacing w:line="276" w:lineRule="auto"/>
        <w:rPr>
          <w:b/>
          <w:sz w:val="18"/>
          <w:szCs w:val="18"/>
        </w:rPr>
      </w:pPr>
    </w:p>
    <w:p w14:paraId="1C6309C2" w14:textId="166DE2C7" w:rsidR="00DB689D" w:rsidRDefault="00310A10" w:rsidP="00C30E1A">
      <w:pPr>
        <w:pStyle w:val="Heading3"/>
      </w:pPr>
      <w:bookmarkStart w:id="448" w:name="_rekgg0d4myd4" w:colFirst="0" w:colLast="0"/>
      <w:bookmarkStart w:id="449" w:name="_Toc201572462"/>
      <w:bookmarkStart w:id="450" w:name="_Toc207195980"/>
      <w:bookmarkEnd w:id="448"/>
      <w:r>
        <w:t xml:space="preserve">Health-related </w:t>
      </w:r>
      <w:r w:rsidR="006F1A3E">
        <w:t>q</w:t>
      </w:r>
      <w:r>
        <w:t xml:space="preserve">uality of </w:t>
      </w:r>
      <w:r w:rsidR="006F1A3E">
        <w:t>l</w:t>
      </w:r>
      <w:r>
        <w:t>ife</w:t>
      </w:r>
      <w:bookmarkEnd w:id="449"/>
      <w:bookmarkEnd w:id="450"/>
    </w:p>
    <w:p w14:paraId="1E7A22B4" w14:textId="3B328058" w:rsidR="00DB689D" w:rsidRDefault="00310A10" w:rsidP="00367A8D">
      <w:pPr>
        <w:spacing w:line="360" w:lineRule="auto"/>
      </w:pPr>
      <w:r>
        <w:t xml:space="preserve">As described in depth in </w:t>
      </w:r>
      <w:r w:rsidRPr="006903A5">
        <w:t>Chapter 5</w:t>
      </w:r>
      <w:r>
        <w:t xml:space="preserve">, HRQoL is a crucial component in assessing and costing gambling harm. This approach captures the intangible impacts of gambling on overall wellbeing, providing a more complete measure of impact beyond purely financial measures </w:t>
      </w:r>
      <w:r w:rsidR="00DB2449">
        <w:rPr>
          <w:noProof/>
          <w:color w:val="000000"/>
        </w:rPr>
        <w:t>(</w:t>
      </w:r>
      <w:r w:rsidR="002A3095">
        <w:rPr>
          <w:noProof/>
          <w:color w:val="000000"/>
        </w:rPr>
        <w:t>Browne, Greer et al., 2017</w:t>
      </w:r>
      <w:r w:rsidR="00DB2449">
        <w:rPr>
          <w:noProof/>
          <w:color w:val="000000"/>
        </w:rPr>
        <w:t>, 2016)</w:t>
      </w:r>
      <w:r>
        <w:t xml:space="preserve">. </w:t>
      </w:r>
    </w:p>
    <w:p w14:paraId="4E920D4F" w14:textId="77777777" w:rsidR="00DB689D" w:rsidRDefault="00DB689D" w:rsidP="00367A8D">
      <w:pPr>
        <w:spacing w:line="360" w:lineRule="auto"/>
      </w:pPr>
    </w:p>
    <w:p w14:paraId="54157933" w14:textId="77777777" w:rsidR="00DB689D" w:rsidRDefault="00310A10" w:rsidP="00367A8D">
      <w:pPr>
        <w:spacing w:line="360" w:lineRule="auto"/>
      </w:pPr>
      <w:r>
        <w:t xml:space="preserve">The HRQoL impact of gambling problems were calculated in two sections:  </w:t>
      </w:r>
    </w:p>
    <w:p w14:paraId="56D769C6" w14:textId="77777777" w:rsidR="00DB689D" w:rsidRDefault="00310A10" w:rsidP="00367A8D">
      <w:pPr>
        <w:numPr>
          <w:ilvl w:val="0"/>
          <w:numId w:val="31"/>
        </w:numPr>
        <w:spacing w:before="120" w:line="360" w:lineRule="auto"/>
      </w:pPr>
      <w:r>
        <w:t>HRQoL impact on people who gamble</w:t>
      </w:r>
    </w:p>
    <w:p w14:paraId="5B1795AC" w14:textId="2882BF70" w:rsidR="00DB689D" w:rsidRDefault="00310A10" w:rsidP="00A0657F">
      <w:pPr>
        <w:numPr>
          <w:ilvl w:val="0"/>
          <w:numId w:val="31"/>
        </w:numPr>
        <w:spacing w:after="120" w:line="360" w:lineRule="auto"/>
        <w:ind w:right="280"/>
      </w:pPr>
      <w:r>
        <w:t xml:space="preserve">HRQoL impact on affected others </w:t>
      </w:r>
    </w:p>
    <w:p w14:paraId="2E26858C" w14:textId="77777777" w:rsidR="00A0657F" w:rsidRPr="00A0657F" w:rsidRDefault="00A0657F" w:rsidP="00A0657F">
      <w:pPr>
        <w:spacing w:after="120" w:line="360" w:lineRule="auto"/>
        <w:ind w:left="360" w:right="280"/>
      </w:pPr>
    </w:p>
    <w:p w14:paraId="32D5D27C" w14:textId="77777777" w:rsidR="00DB689D" w:rsidRDefault="00310A10" w:rsidP="00367A8D">
      <w:pPr>
        <w:pStyle w:val="Heading4"/>
        <w:spacing w:before="120" w:after="240" w:line="360" w:lineRule="auto"/>
      </w:pPr>
      <w:bookmarkStart w:id="451" w:name="_10x459dvkut5" w:colFirst="0" w:colLast="0"/>
      <w:bookmarkEnd w:id="451"/>
      <w:r>
        <w:t>HRQoL impact on people who gamble</w:t>
      </w:r>
    </w:p>
    <w:tbl>
      <w:tblPr>
        <w:tblStyle w:val="ac"/>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B689D" w14:paraId="70D14451" w14:textId="77777777">
        <w:tc>
          <w:tcPr>
            <w:tcW w:w="9026" w:type="dxa"/>
            <w:shd w:val="clear" w:color="auto" w:fill="F3F3F3"/>
            <w:tcMar>
              <w:top w:w="100" w:type="dxa"/>
              <w:left w:w="100" w:type="dxa"/>
              <w:bottom w:w="100" w:type="dxa"/>
              <w:right w:w="100" w:type="dxa"/>
            </w:tcMar>
          </w:tcPr>
          <w:p w14:paraId="4FF8A135" w14:textId="77777777" w:rsidR="00DB689D" w:rsidRDefault="00310A10" w:rsidP="00843927">
            <w:pPr>
              <w:spacing w:before="120" w:after="240" w:line="276" w:lineRule="auto"/>
            </w:pPr>
            <w:r>
              <w:t xml:space="preserve">The HRQoL impact of gambling harm on people who gamble was calculated using: </w:t>
            </w:r>
          </w:p>
          <w:p w14:paraId="104D5702" w14:textId="77777777" w:rsidR="00DB689D" w:rsidRDefault="00310A10" w:rsidP="00843927">
            <w:pPr>
              <w:spacing w:before="120" w:after="120" w:line="276" w:lineRule="auto"/>
              <w:ind w:right="280"/>
            </w:pPr>
            <w:r>
              <w:rPr>
                <w:i/>
              </w:rPr>
              <w:t>Prevalence</w:t>
            </w:r>
            <w:r>
              <w:t xml:space="preserve"> </w:t>
            </w:r>
          </w:p>
          <w:p w14:paraId="020F98A9" w14:textId="77777777" w:rsidR="00DB689D" w:rsidRDefault="00310A10" w:rsidP="00843927">
            <w:pPr>
              <w:numPr>
                <w:ilvl w:val="0"/>
                <w:numId w:val="42"/>
              </w:numPr>
              <w:spacing w:before="120" w:after="120" w:line="276" w:lineRule="auto"/>
              <w:ind w:right="280"/>
            </w:pPr>
            <w:r>
              <w:t>The number of New Zealanders in each of the PGSI risk categories was sourced from the NZGS (2023/24) to get a total number of New Zealanders with a gambling problem in New Zealand.</w:t>
            </w:r>
          </w:p>
          <w:p w14:paraId="2B602FF6" w14:textId="77777777" w:rsidR="00DB689D" w:rsidRDefault="00310A10" w:rsidP="00843927">
            <w:pPr>
              <w:spacing w:before="120" w:after="120" w:line="276" w:lineRule="auto"/>
              <w:ind w:right="280"/>
              <w:rPr>
                <w:i/>
              </w:rPr>
            </w:pPr>
            <w:r>
              <w:rPr>
                <w:i/>
              </w:rPr>
              <w:t>Years lost to disability</w:t>
            </w:r>
          </w:p>
          <w:p w14:paraId="241CBC6C" w14:textId="32CFC366" w:rsidR="00DB689D" w:rsidRDefault="00310A10" w:rsidP="00843927">
            <w:pPr>
              <w:numPr>
                <w:ilvl w:val="0"/>
                <w:numId w:val="42"/>
              </w:numPr>
              <w:spacing w:before="120" w:line="276" w:lineRule="auto"/>
              <w:ind w:right="280"/>
            </w:pPr>
            <w:r>
              <w:t xml:space="preserve">A HRQoL decrement associated with each of the PGSI categories was identified in Tulloch et al. </w:t>
            </w:r>
            <w:r w:rsidR="00331991">
              <w:rPr>
                <w:noProof/>
                <w:color w:val="000000"/>
              </w:rPr>
              <w:t>(submitted 2025)</w:t>
            </w:r>
            <w:r>
              <w:rPr>
                <w:color w:val="0E101A"/>
              </w:rPr>
              <w:t xml:space="preserve"> </w:t>
            </w:r>
          </w:p>
          <w:p w14:paraId="7D7553B9" w14:textId="77777777" w:rsidR="00DB689D" w:rsidRDefault="00310A10" w:rsidP="00843927">
            <w:pPr>
              <w:numPr>
                <w:ilvl w:val="0"/>
                <w:numId w:val="42"/>
              </w:numPr>
              <w:spacing w:after="120" w:line="276" w:lineRule="auto"/>
              <w:ind w:right="280"/>
            </w:pPr>
            <w:r>
              <w:t>To determine total years of life lost to disability (YLD), the number of people in each PGSI category was multiplied by the associated HRQoL decrement.</w:t>
            </w:r>
          </w:p>
          <w:p w14:paraId="1919CDE8" w14:textId="77777777" w:rsidR="00DB689D" w:rsidRDefault="00310A10" w:rsidP="00843927">
            <w:pPr>
              <w:spacing w:before="120" w:after="120" w:line="276" w:lineRule="auto"/>
              <w:ind w:right="280"/>
            </w:pPr>
            <w:r>
              <w:rPr>
                <w:i/>
              </w:rPr>
              <w:t>Valuing YLD</w:t>
            </w:r>
            <w:r>
              <w:t xml:space="preserve"> </w:t>
            </w:r>
          </w:p>
          <w:p w14:paraId="0DFCEDC3" w14:textId="4FB5C559" w:rsidR="00DB689D" w:rsidRDefault="00310A10" w:rsidP="00843927">
            <w:pPr>
              <w:numPr>
                <w:ilvl w:val="0"/>
                <w:numId w:val="42"/>
              </w:numPr>
              <w:spacing w:before="120" w:line="276" w:lineRule="auto"/>
              <w:ind w:right="280"/>
            </w:pPr>
            <w:r>
              <w:t xml:space="preserve">The proxy value of YLD was determined by GDP per capita </w:t>
            </w:r>
            <w:r w:rsidR="00DB2449">
              <w:rPr>
                <w:noProof/>
                <w:color w:val="000000"/>
              </w:rPr>
              <w:t>($78,613; CEIC, 2025)</w:t>
            </w:r>
            <w:r>
              <w:t xml:space="preserve">. See </w:t>
            </w:r>
            <w:r w:rsidR="00EB24A0">
              <w:t>Chapter</w:t>
            </w:r>
            <w:r w:rsidRPr="006903A5">
              <w:t xml:space="preserve"> 6</w:t>
            </w:r>
            <w:r>
              <w:t xml:space="preserve"> for further details</w:t>
            </w:r>
          </w:p>
          <w:p w14:paraId="3B3A1952" w14:textId="77777777" w:rsidR="00DB689D" w:rsidRDefault="00310A10" w:rsidP="00843927">
            <w:pPr>
              <w:numPr>
                <w:ilvl w:val="0"/>
                <w:numId w:val="42"/>
              </w:numPr>
              <w:spacing w:line="276" w:lineRule="auto"/>
              <w:ind w:right="280"/>
            </w:pPr>
            <w:r>
              <w:t>The total HRQoL cost of just over $3 billion represents the total impact of gambling problems in New Zealand</w:t>
            </w:r>
          </w:p>
          <w:p w14:paraId="3EEA4391" w14:textId="18D8191C" w:rsidR="00DB689D" w:rsidRDefault="00310A10" w:rsidP="00843927">
            <w:pPr>
              <w:numPr>
                <w:ilvl w:val="0"/>
                <w:numId w:val="42"/>
              </w:numPr>
              <w:spacing w:line="276" w:lineRule="auto"/>
            </w:pPr>
            <w:r>
              <w:t xml:space="preserve">To isolate the emotional and psychological harm component of the PGSI decrements, the total amount was multiplied by 29.3%. See </w:t>
            </w:r>
            <w:r w:rsidR="00EB24A0">
              <w:t>Chapter</w:t>
            </w:r>
            <w:r w:rsidR="00EB24A0" w:rsidRPr="006903A5">
              <w:t xml:space="preserve"> </w:t>
            </w:r>
            <w:r w:rsidRPr="006903A5">
              <w:t>6</w:t>
            </w:r>
            <w:r>
              <w:t xml:space="preserve"> ‘</w:t>
            </w:r>
            <w:r>
              <w:rPr>
                <w:i/>
              </w:rPr>
              <w:t>Discounting HRQoL to avoid double-counting’</w:t>
            </w:r>
            <w:r>
              <w:t xml:space="preserve"> for further details.</w:t>
            </w:r>
          </w:p>
          <w:p w14:paraId="3C2EF747" w14:textId="77777777" w:rsidR="00DB689D" w:rsidRDefault="00310A10" w:rsidP="00843927">
            <w:pPr>
              <w:numPr>
                <w:ilvl w:val="0"/>
                <w:numId w:val="42"/>
              </w:numPr>
              <w:spacing w:after="120" w:line="276" w:lineRule="auto"/>
              <w:ind w:right="280"/>
            </w:pPr>
            <w:r>
              <w:t>To avoid doubling counting, the psychological costs associated with gambling-related depression was subtracted from the total.</w:t>
            </w:r>
          </w:p>
        </w:tc>
      </w:tr>
    </w:tbl>
    <w:p w14:paraId="2736DC5A" w14:textId="77777777" w:rsidR="00DB689D" w:rsidRDefault="00DB689D" w:rsidP="00367A8D">
      <w:pPr>
        <w:spacing w:before="120" w:after="240" w:line="360" w:lineRule="auto"/>
        <w:rPr>
          <w:color w:val="0E101A"/>
          <w:highlight w:val="yellow"/>
        </w:rPr>
      </w:pPr>
    </w:p>
    <w:p w14:paraId="2FFFE060" w14:textId="499BF225" w:rsidR="00A0657F" w:rsidRDefault="00310A10" w:rsidP="00A0657F">
      <w:pPr>
        <w:spacing w:line="360" w:lineRule="auto"/>
      </w:pPr>
      <w:r>
        <w:t>T</w:t>
      </w:r>
      <w:r>
        <w:rPr>
          <w:b/>
        </w:rPr>
        <w:t>he estimated cost associated with HRQoL impact of gambling harm on people who gamble is around $831 million (</w:t>
      </w:r>
      <w:r w:rsidRPr="006903A5">
        <w:rPr>
          <w:b/>
        </w:rPr>
        <w:t>Table 2</w:t>
      </w:r>
      <w:r w:rsidR="001D7B0D">
        <w:rPr>
          <w:b/>
        </w:rPr>
        <w:t>1</w:t>
      </w:r>
      <w:r>
        <w:rPr>
          <w:b/>
        </w:rPr>
        <w:t xml:space="preserve">). </w:t>
      </w:r>
      <w:r w:rsidR="00A0657F">
        <w:t xml:space="preserve">To reflect uncertainty in the valuation of YLD, lower and upper bounds were calculated. Following Iino et al. 's </w:t>
      </w:r>
      <w:r w:rsidR="00A0657F">
        <w:rPr>
          <w:noProof/>
          <w:color w:val="000000"/>
        </w:rPr>
        <w:t>(2022)</w:t>
      </w:r>
      <w:r w:rsidR="00A0657F">
        <w:t xml:space="preserve"> recommendation, the study uses a lower bound of $39,306 and an upper bound of $117,919, representing </w:t>
      </w:r>
      <w:r w:rsidR="002B4EA6">
        <w:t>0.5- and 1.5-times</w:t>
      </w:r>
      <w:r w:rsidR="00A0657F">
        <w:t xml:space="preserve"> GDP per capita, respectively. Therefore, the estimated cost of the HRQoL impact of gambling harm on people who gamble is between a lower bound of $385 million and an upper bound of $1.28 billion. This wide range is due to the intangible nature of the cost item, and the wide variation in the literature in valuing YLD.</w:t>
      </w:r>
    </w:p>
    <w:p w14:paraId="7EB02502" w14:textId="064F92AD" w:rsidR="00DB689D" w:rsidRDefault="00DB689D" w:rsidP="00367A8D">
      <w:pPr>
        <w:spacing w:before="120" w:after="240" w:line="360" w:lineRule="auto"/>
      </w:pPr>
    </w:p>
    <w:p w14:paraId="7410B148" w14:textId="66956E8D" w:rsidR="006903A5" w:rsidRDefault="006903A5" w:rsidP="00DB094D">
      <w:pPr>
        <w:pStyle w:val="Caption"/>
      </w:pPr>
      <w:bookmarkStart w:id="452" w:name="_Toc207619063"/>
      <w:r>
        <w:t xml:space="preserve">Table </w:t>
      </w:r>
      <w:r>
        <w:fldChar w:fldCharType="begin"/>
      </w:r>
      <w:r>
        <w:instrText xml:space="preserve"> SEQ Table \* ARABIC </w:instrText>
      </w:r>
      <w:r>
        <w:fldChar w:fldCharType="separate"/>
      </w:r>
      <w:r w:rsidR="00986A0D">
        <w:rPr>
          <w:noProof/>
        </w:rPr>
        <w:t>21</w:t>
      </w:r>
      <w:r>
        <w:fldChar w:fldCharType="end"/>
      </w:r>
      <w:r>
        <w:t xml:space="preserve">. </w:t>
      </w:r>
      <w:r w:rsidRPr="00020620">
        <w:t>Cost of HRQoL impacts of gambling harm on people who gamble in New Zealand (2023-24)</w:t>
      </w:r>
      <w:bookmarkEnd w:id="452"/>
    </w:p>
    <w:tbl>
      <w:tblPr>
        <w:tblStyle w:val="TableGridLight"/>
        <w:tblW w:w="9494" w:type="dxa"/>
        <w:tblLook w:val="04A0" w:firstRow="1" w:lastRow="0" w:firstColumn="1" w:lastColumn="0" w:noHBand="0" w:noVBand="1"/>
      </w:tblPr>
      <w:tblGrid>
        <w:gridCol w:w="3326"/>
        <w:gridCol w:w="1205"/>
        <w:gridCol w:w="1134"/>
        <w:gridCol w:w="1134"/>
        <w:gridCol w:w="1134"/>
        <w:gridCol w:w="1561"/>
      </w:tblGrid>
      <w:tr w:rsidR="006903A5" w:rsidRPr="00724BBB" w14:paraId="17675DAC" w14:textId="77777777">
        <w:trPr>
          <w:trHeight w:val="397"/>
        </w:trPr>
        <w:tc>
          <w:tcPr>
            <w:tcW w:w="3344" w:type="dxa"/>
            <w:shd w:val="clear" w:color="auto" w:fill="F2F2F2" w:themeFill="background1" w:themeFillShade="F2"/>
            <w:vAlign w:val="center"/>
            <w:hideMark/>
          </w:tcPr>
          <w:p w14:paraId="3F6E1DE1" w14:textId="77777777" w:rsidR="006903A5" w:rsidRPr="00724BBB" w:rsidRDefault="006903A5">
            <w:pPr>
              <w:spacing w:line="276" w:lineRule="auto"/>
              <w:rPr>
                <w:b/>
                <w:bCs/>
                <w:color w:val="000000"/>
                <w:sz w:val="20"/>
                <w:szCs w:val="20"/>
              </w:rPr>
            </w:pPr>
            <w:r w:rsidRPr="00724BBB">
              <w:rPr>
                <w:b/>
                <w:bCs/>
                <w:color w:val="000000"/>
                <w:sz w:val="20"/>
                <w:szCs w:val="20"/>
              </w:rPr>
              <w:t>Variable</w:t>
            </w:r>
          </w:p>
        </w:tc>
        <w:tc>
          <w:tcPr>
            <w:tcW w:w="1187" w:type="dxa"/>
            <w:shd w:val="clear" w:color="auto" w:fill="F2F2F2" w:themeFill="background1" w:themeFillShade="F2"/>
            <w:vAlign w:val="center"/>
            <w:hideMark/>
          </w:tcPr>
          <w:p w14:paraId="7E7D0AD7" w14:textId="77777777" w:rsidR="006903A5" w:rsidRPr="00724BBB" w:rsidRDefault="006903A5">
            <w:pPr>
              <w:spacing w:line="276" w:lineRule="auto"/>
              <w:jc w:val="center"/>
              <w:rPr>
                <w:b/>
                <w:bCs/>
                <w:color w:val="000000"/>
                <w:sz w:val="20"/>
                <w:szCs w:val="20"/>
              </w:rPr>
            </w:pPr>
            <w:r w:rsidRPr="00724BBB">
              <w:rPr>
                <w:b/>
                <w:bCs/>
                <w:color w:val="000000"/>
                <w:sz w:val="20"/>
                <w:szCs w:val="20"/>
              </w:rPr>
              <w:t>Calculation</w:t>
            </w:r>
          </w:p>
        </w:tc>
        <w:tc>
          <w:tcPr>
            <w:tcW w:w="1134" w:type="dxa"/>
            <w:shd w:val="clear" w:color="auto" w:fill="F2F2F2" w:themeFill="background1" w:themeFillShade="F2"/>
            <w:vAlign w:val="center"/>
            <w:hideMark/>
          </w:tcPr>
          <w:p w14:paraId="1E15CC99" w14:textId="77777777" w:rsidR="006903A5" w:rsidRPr="00724BBB" w:rsidRDefault="006903A5">
            <w:pPr>
              <w:spacing w:line="276" w:lineRule="auto"/>
              <w:jc w:val="center"/>
              <w:rPr>
                <w:b/>
                <w:bCs/>
                <w:color w:val="000000"/>
                <w:sz w:val="20"/>
                <w:szCs w:val="20"/>
              </w:rPr>
            </w:pPr>
            <w:r w:rsidRPr="00724BBB">
              <w:rPr>
                <w:b/>
                <w:bCs/>
                <w:color w:val="000000"/>
                <w:sz w:val="20"/>
                <w:szCs w:val="20"/>
              </w:rPr>
              <w:t>LR</w:t>
            </w:r>
          </w:p>
        </w:tc>
        <w:tc>
          <w:tcPr>
            <w:tcW w:w="1134" w:type="dxa"/>
            <w:shd w:val="clear" w:color="auto" w:fill="F2F2F2" w:themeFill="background1" w:themeFillShade="F2"/>
            <w:vAlign w:val="center"/>
            <w:hideMark/>
          </w:tcPr>
          <w:p w14:paraId="4556D20A" w14:textId="77777777" w:rsidR="006903A5" w:rsidRPr="00724BBB" w:rsidRDefault="006903A5">
            <w:pPr>
              <w:spacing w:line="276" w:lineRule="auto"/>
              <w:jc w:val="center"/>
              <w:rPr>
                <w:b/>
                <w:bCs/>
                <w:color w:val="000000"/>
                <w:sz w:val="20"/>
                <w:szCs w:val="20"/>
              </w:rPr>
            </w:pPr>
            <w:r w:rsidRPr="00724BBB">
              <w:rPr>
                <w:b/>
                <w:bCs/>
                <w:color w:val="000000"/>
                <w:sz w:val="20"/>
                <w:szCs w:val="20"/>
              </w:rPr>
              <w:t>MR</w:t>
            </w:r>
          </w:p>
        </w:tc>
        <w:tc>
          <w:tcPr>
            <w:tcW w:w="1134" w:type="dxa"/>
            <w:shd w:val="clear" w:color="auto" w:fill="F2F2F2" w:themeFill="background1" w:themeFillShade="F2"/>
            <w:vAlign w:val="center"/>
            <w:hideMark/>
          </w:tcPr>
          <w:p w14:paraId="2EC495E9" w14:textId="77777777" w:rsidR="006903A5" w:rsidRPr="00724BBB" w:rsidRDefault="006903A5">
            <w:pPr>
              <w:spacing w:line="276" w:lineRule="auto"/>
              <w:jc w:val="center"/>
              <w:rPr>
                <w:b/>
                <w:bCs/>
                <w:color w:val="000000"/>
                <w:sz w:val="20"/>
                <w:szCs w:val="20"/>
              </w:rPr>
            </w:pPr>
            <w:r w:rsidRPr="00724BBB">
              <w:rPr>
                <w:b/>
                <w:bCs/>
                <w:color w:val="000000"/>
                <w:sz w:val="20"/>
                <w:szCs w:val="20"/>
              </w:rPr>
              <w:t>PG</w:t>
            </w:r>
          </w:p>
        </w:tc>
        <w:tc>
          <w:tcPr>
            <w:tcW w:w="1561" w:type="dxa"/>
            <w:shd w:val="clear" w:color="auto" w:fill="F2F2F2" w:themeFill="background1" w:themeFillShade="F2"/>
            <w:vAlign w:val="center"/>
            <w:hideMark/>
          </w:tcPr>
          <w:p w14:paraId="46B7E209" w14:textId="77777777" w:rsidR="006903A5" w:rsidRPr="00724BBB" w:rsidRDefault="006903A5">
            <w:pPr>
              <w:spacing w:line="276" w:lineRule="auto"/>
              <w:jc w:val="center"/>
              <w:rPr>
                <w:b/>
                <w:bCs/>
                <w:color w:val="000000"/>
                <w:sz w:val="20"/>
                <w:szCs w:val="20"/>
              </w:rPr>
            </w:pPr>
            <w:r w:rsidRPr="00724BBB">
              <w:rPr>
                <w:b/>
                <w:bCs/>
                <w:color w:val="000000"/>
                <w:sz w:val="20"/>
                <w:szCs w:val="20"/>
              </w:rPr>
              <w:t>Total Gambling Problems</w:t>
            </w:r>
          </w:p>
        </w:tc>
      </w:tr>
      <w:tr w:rsidR="006903A5" w:rsidRPr="00724BBB" w14:paraId="7CBD6CB5" w14:textId="77777777">
        <w:trPr>
          <w:trHeight w:val="397"/>
        </w:trPr>
        <w:tc>
          <w:tcPr>
            <w:tcW w:w="3344" w:type="dxa"/>
            <w:vAlign w:val="center"/>
            <w:hideMark/>
          </w:tcPr>
          <w:p w14:paraId="73814043" w14:textId="77777777" w:rsidR="006903A5" w:rsidRPr="00724BBB" w:rsidRDefault="006903A5">
            <w:pPr>
              <w:spacing w:line="276" w:lineRule="auto"/>
              <w:rPr>
                <w:color w:val="000000"/>
                <w:sz w:val="20"/>
                <w:szCs w:val="20"/>
              </w:rPr>
            </w:pPr>
            <w:r w:rsidRPr="00724BBB">
              <w:rPr>
                <w:color w:val="000000"/>
                <w:sz w:val="20"/>
                <w:szCs w:val="20"/>
              </w:rPr>
              <w:t>New Zealand population by PGSI</w:t>
            </w:r>
          </w:p>
        </w:tc>
        <w:tc>
          <w:tcPr>
            <w:tcW w:w="1187" w:type="dxa"/>
            <w:noWrap/>
            <w:hideMark/>
          </w:tcPr>
          <w:p w14:paraId="408B2DB2" w14:textId="77777777" w:rsidR="006903A5" w:rsidRPr="00724BBB" w:rsidRDefault="006903A5">
            <w:pPr>
              <w:spacing w:line="276" w:lineRule="auto"/>
              <w:rPr>
                <w:color w:val="000000"/>
                <w:sz w:val="20"/>
                <w:szCs w:val="20"/>
              </w:rPr>
            </w:pPr>
            <w:r w:rsidRPr="00724BBB">
              <w:rPr>
                <w:color w:val="000000"/>
                <w:sz w:val="20"/>
                <w:szCs w:val="20"/>
              </w:rPr>
              <w:t>n</w:t>
            </w:r>
          </w:p>
        </w:tc>
        <w:tc>
          <w:tcPr>
            <w:tcW w:w="1134" w:type="dxa"/>
            <w:vAlign w:val="center"/>
            <w:hideMark/>
          </w:tcPr>
          <w:p w14:paraId="3664D9F6" w14:textId="77777777" w:rsidR="006903A5" w:rsidRPr="00724BBB" w:rsidRDefault="006903A5">
            <w:pPr>
              <w:spacing w:line="276" w:lineRule="auto"/>
              <w:jc w:val="right"/>
              <w:rPr>
                <w:color w:val="000000"/>
                <w:sz w:val="20"/>
                <w:szCs w:val="20"/>
              </w:rPr>
            </w:pPr>
            <w:r w:rsidRPr="00724BBB">
              <w:rPr>
                <w:color w:val="000000"/>
                <w:sz w:val="20"/>
                <w:szCs w:val="20"/>
              </w:rPr>
              <w:t>255,318</w:t>
            </w:r>
          </w:p>
        </w:tc>
        <w:tc>
          <w:tcPr>
            <w:tcW w:w="1134" w:type="dxa"/>
            <w:vAlign w:val="center"/>
            <w:hideMark/>
          </w:tcPr>
          <w:p w14:paraId="560A731B" w14:textId="77777777" w:rsidR="006903A5" w:rsidRPr="00724BBB" w:rsidRDefault="006903A5">
            <w:pPr>
              <w:spacing w:line="276" w:lineRule="auto"/>
              <w:jc w:val="right"/>
              <w:rPr>
                <w:color w:val="000000"/>
                <w:sz w:val="20"/>
                <w:szCs w:val="20"/>
              </w:rPr>
            </w:pPr>
            <w:r w:rsidRPr="00724BBB">
              <w:rPr>
                <w:color w:val="000000"/>
                <w:sz w:val="20"/>
                <w:szCs w:val="20"/>
              </w:rPr>
              <w:t>83,492</w:t>
            </w:r>
          </w:p>
        </w:tc>
        <w:tc>
          <w:tcPr>
            <w:tcW w:w="1134" w:type="dxa"/>
            <w:vAlign w:val="center"/>
            <w:hideMark/>
          </w:tcPr>
          <w:p w14:paraId="69EEAA3F" w14:textId="77777777" w:rsidR="006903A5" w:rsidRPr="00724BBB" w:rsidRDefault="006903A5">
            <w:pPr>
              <w:spacing w:line="276" w:lineRule="auto"/>
              <w:jc w:val="right"/>
              <w:rPr>
                <w:color w:val="000000"/>
                <w:sz w:val="20"/>
                <w:szCs w:val="20"/>
              </w:rPr>
            </w:pPr>
            <w:r w:rsidRPr="00724BBB">
              <w:rPr>
                <w:color w:val="000000"/>
                <w:sz w:val="20"/>
                <w:szCs w:val="20"/>
              </w:rPr>
              <w:t>20,436</w:t>
            </w:r>
          </w:p>
        </w:tc>
        <w:tc>
          <w:tcPr>
            <w:tcW w:w="1561" w:type="dxa"/>
            <w:vAlign w:val="center"/>
            <w:hideMark/>
          </w:tcPr>
          <w:p w14:paraId="0406321E" w14:textId="77777777" w:rsidR="006903A5" w:rsidRPr="00724BBB" w:rsidRDefault="006903A5">
            <w:pPr>
              <w:spacing w:line="276" w:lineRule="auto"/>
              <w:jc w:val="right"/>
              <w:rPr>
                <w:color w:val="000000"/>
                <w:sz w:val="20"/>
                <w:szCs w:val="20"/>
              </w:rPr>
            </w:pPr>
            <w:r w:rsidRPr="00724BBB">
              <w:rPr>
                <w:color w:val="000000"/>
                <w:sz w:val="20"/>
                <w:szCs w:val="20"/>
              </w:rPr>
              <w:t>359,246</w:t>
            </w:r>
          </w:p>
        </w:tc>
      </w:tr>
      <w:tr w:rsidR="006903A5" w:rsidRPr="00724BBB" w14:paraId="0053A286" w14:textId="77777777">
        <w:trPr>
          <w:trHeight w:val="397"/>
        </w:trPr>
        <w:tc>
          <w:tcPr>
            <w:tcW w:w="3344" w:type="dxa"/>
            <w:vAlign w:val="center"/>
            <w:hideMark/>
          </w:tcPr>
          <w:p w14:paraId="0A00445B" w14:textId="77777777" w:rsidR="006903A5" w:rsidRPr="00724BBB" w:rsidRDefault="006903A5">
            <w:pPr>
              <w:spacing w:line="276" w:lineRule="auto"/>
              <w:rPr>
                <w:color w:val="000000"/>
                <w:sz w:val="20"/>
                <w:szCs w:val="20"/>
              </w:rPr>
            </w:pPr>
            <w:r w:rsidRPr="00724BBB">
              <w:rPr>
                <w:color w:val="000000"/>
                <w:sz w:val="20"/>
                <w:szCs w:val="20"/>
              </w:rPr>
              <w:t>HRQoL Decrement associated with PGSI category</w:t>
            </w:r>
          </w:p>
        </w:tc>
        <w:tc>
          <w:tcPr>
            <w:tcW w:w="1187" w:type="dxa"/>
            <w:hideMark/>
          </w:tcPr>
          <w:p w14:paraId="474B206A" w14:textId="77777777" w:rsidR="006903A5" w:rsidRPr="00724BBB" w:rsidRDefault="006903A5">
            <w:pPr>
              <w:spacing w:line="276" w:lineRule="auto"/>
              <w:rPr>
                <w:color w:val="000000"/>
                <w:sz w:val="20"/>
                <w:szCs w:val="20"/>
              </w:rPr>
            </w:pPr>
            <w:r w:rsidRPr="00724BBB">
              <w:rPr>
                <w:color w:val="000000"/>
                <w:sz w:val="20"/>
                <w:szCs w:val="20"/>
              </w:rPr>
              <w:t>a</w:t>
            </w:r>
          </w:p>
        </w:tc>
        <w:tc>
          <w:tcPr>
            <w:tcW w:w="1134" w:type="dxa"/>
            <w:vAlign w:val="center"/>
            <w:hideMark/>
          </w:tcPr>
          <w:p w14:paraId="282755AE" w14:textId="77777777" w:rsidR="006903A5" w:rsidRPr="00724BBB" w:rsidRDefault="006903A5">
            <w:pPr>
              <w:spacing w:line="276" w:lineRule="auto"/>
              <w:jc w:val="right"/>
              <w:rPr>
                <w:color w:val="000000"/>
                <w:sz w:val="20"/>
                <w:szCs w:val="20"/>
              </w:rPr>
            </w:pPr>
            <w:r w:rsidRPr="00724BBB">
              <w:rPr>
                <w:color w:val="000000"/>
                <w:sz w:val="20"/>
                <w:szCs w:val="20"/>
              </w:rPr>
              <w:t>0.06</w:t>
            </w:r>
          </w:p>
        </w:tc>
        <w:tc>
          <w:tcPr>
            <w:tcW w:w="1134" w:type="dxa"/>
            <w:vAlign w:val="center"/>
            <w:hideMark/>
          </w:tcPr>
          <w:p w14:paraId="080EBF85" w14:textId="77777777" w:rsidR="006903A5" w:rsidRPr="00724BBB" w:rsidRDefault="006903A5">
            <w:pPr>
              <w:spacing w:line="276" w:lineRule="auto"/>
              <w:jc w:val="right"/>
              <w:rPr>
                <w:color w:val="000000"/>
                <w:sz w:val="20"/>
                <w:szCs w:val="20"/>
              </w:rPr>
            </w:pPr>
            <w:r w:rsidRPr="00724BBB">
              <w:rPr>
                <w:color w:val="000000"/>
                <w:sz w:val="20"/>
                <w:szCs w:val="20"/>
              </w:rPr>
              <w:t>0.17</w:t>
            </w:r>
          </w:p>
        </w:tc>
        <w:tc>
          <w:tcPr>
            <w:tcW w:w="1134" w:type="dxa"/>
            <w:vAlign w:val="center"/>
            <w:hideMark/>
          </w:tcPr>
          <w:p w14:paraId="38D5F37C" w14:textId="77777777" w:rsidR="006903A5" w:rsidRPr="00724BBB" w:rsidRDefault="006903A5">
            <w:pPr>
              <w:spacing w:line="276" w:lineRule="auto"/>
              <w:jc w:val="right"/>
              <w:rPr>
                <w:color w:val="000000"/>
                <w:sz w:val="20"/>
                <w:szCs w:val="20"/>
              </w:rPr>
            </w:pPr>
            <w:r w:rsidRPr="00724BBB">
              <w:rPr>
                <w:color w:val="000000"/>
                <w:sz w:val="20"/>
                <w:szCs w:val="20"/>
              </w:rPr>
              <w:t>0.45</w:t>
            </w:r>
          </w:p>
        </w:tc>
        <w:tc>
          <w:tcPr>
            <w:tcW w:w="1561" w:type="dxa"/>
            <w:vAlign w:val="center"/>
            <w:hideMark/>
          </w:tcPr>
          <w:p w14:paraId="02EAAF4C" w14:textId="77777777" w:rsidR="006903A5" w:rsidRPr="00724BBB" w:rsidRDefault="006903A5">
            <w:pPr>
              <w:spacing w:line="276" w:lineRule="auto"/>
              <w:jc w:val="right"/>
              <w:rPr>
                <w:color w:val="000000"/>
                <w:sz w:val="20"/>
                <w:szCs w:val="20"/>
              </w:rPr>
            </w:pPr>
            <w:r w:rsidRPr="00724BBB">
              <w:rPr>
                <w:color w:val="000000"/>
                <w:sz w:val="20"/>
                <w:szCs w:val="20"/>
              </w:rPr>
              <w:t> </w:t>
            </w:r>
          </w:p>
        </w:tc>
      </w:tr>
      <w:tr w:rsidR="006903A5" w:rsidRPr="00724BBB" w14:paraId="18B7A242" w14:textId="77777777">
        <w:trPr>
          <w:trHeight w:val="397"/>
        </w:trPr>
        <w:tc>
          <w:tcPr>
            <w:tcW w:w="3344" w:type="dxa"/>
            <w:vAlign w:val="center"/>
            <w:hideMark/>
          </w:tcPr>
          <w:p w14:paraId="238E8CBB" w14:textId="77777777" w:rsidR="006903A5" w:rsidRPr="00724BBB" w:rsidRDefault="006903A5">
            <w:pPr>
              <w:spacing w:line="276" w:lineRule="auto"/>
              <w:rPr>
                <w:color w:val="000000"/>
                <w:sz w:val="20"/>
                <w:szCs w:val="20"/>
              </w:rPr>
            </w:pPr>
            <w:r w:rsidRPr="00724BBB">
              <w:rPr>
                <w:color w:val="000000"/>
                <w:sz w:val="20"/>
                <w:szCs w:val="20"/>
              </w:rPr>
              <w:t>Estimated Years Lived with a Disability (YLD) burden</w:t>
            </w:r>
          </w:p>
        </w:tc>
        <w:tc>
          <w:tcPr>
            <w:tcW w:w="1187" w:type="dxa"/>
            <w:hideMark/>
          </w:tcPr>
          <w:p w14:paraId="2EB9A630" w14:textId="77777777" w:rsidR="006903A5" w:rsidRPr="00724BBB" w:rsidRDefault="006903A5">
            <w:pPr>
              <w:spacing w:line="276" w:lineRule="auto"/>
              <w:rPr>
                <w:color w:val="000000"/>
                <w:sz w:val="20"/>
                <w:szCs w:val="20"/>
              </w:rPr>
            </w:pPr>
            <w:r w:rsidRPr="00724BBB">
              <w:rPr>
                <w:color w:val="000000"/>
                <w:sz w:val="20"/>
                <w:szCs w:val="20"/>
              </w:rPr>
              <w:t>b = a x n</w:t>
            </w:r>
          </w:p>
        </w:tc>
        <w:tc>
          <w:tcPr>
            <w:tcW w:w="1134" w:type="dxa"/>
            <w:vAlign w:val="center"/>
            <w:hideMark/>
          </w:tcPr>
          <w:p w14:paraId="23295B3A" w14:textId="77777777" w:rsidR="006903A5" w:rsidRPr="00724BBB" w:rsidRDefault="006903A5">
            <w:pPr>
              <w:spacing w:line="276" w:lineRule="auto"/>
              <w:jc w:val="right"/>
              <w:rPr>
                <w:color w:val="000000"/>
                <w:sz w:val="20"/>
                <w:szCs w:val="20"/>
              </w:rPr>
            </w:pPr>
            <w:r w:rsidRPr="00724BBB">
              <w:rPr>
                <w:color w:val="000000"/>
                <w:sz w:val="20"/>
                <w:szCs w:val="20"/>
              </w:rPr>
              <w:t>15,319</w:t>
            </w:r>
          </w:p>
        </w:tc>
        <w:tc>
          <w:tcPr>
            <w:tcW w:w="1134" w:type="dxa"/>
            <w:vAlign w:val="center"/>
            <w:hideMark/>
          </w:tcPr>
          <w:p w14:paraId="049D871B" w14:textId="77777777" w:rsidR="006903A5" w:rsidRPr="00724BBB" w:rsidRDefault="006903A5">
            <w:pPr>
              <w:spacing w:line="276" w:lineRule="auto"/>
              <w:jc w:val="right"/>
              <w:rPr>
                <w:color w:val="000000"/>
                <w:sz w:val="20"/>
                <w:szCs w:val="20"/>
              </w:rPr>
            </w:pPr>
            <w:r w:rsidRPr="00724BBB">
              <w:rPr>
                <w:color w:val="000000"/>
                <w:sz w:val="20"/>
                <w:szCs w:val="20"/>
              </w:rPr>
              <w:t>14,194</w:t>
            </w:r>
          </w:p>
        </w:tc>
        <w:tc>
          <w:tcPr>
            <w:tcW w:w="1134" w:type="dxa"/>
            <w:vAlign w:val="center"/>
            <w:hideMark/>
          </w:tcPr>
          <w:p w14:paraId="2A54D1C7" w14:textId="77777777" w:rsidR="006903A5" w:rsidRPr="00724BBB" w:rsidRDefault="006903A5">
            <w:pPr>
              <w:spacing w:line="276" w:lineRule="auto"/>
              <w:jc w:val="right"/>
              <w:rPr>
                <w:color w:val="000000"/>
                <w:sz w:val="20"/>
                <w:szCs w:val="20"/>
              </w:rPr>
            </w:pPr>
            <w:r w:rsidRPr="00724BBB">
              <w:rPr>
                <w:color w:val="000000"/>
                <w:sz w:val="20"/>
                <w:szCs w:val="20"/>
              </w:rPr>
              <w:t>9,196</w:t>
            </w:r>
          </w:p>
        </w:tc>
        <w:tc>
          <w:tcPr>
            <w:tcW w:w="1561" w:type="dxa"/>
            <w:vAlign w:val="center"/>
            <w:hideMark/>
          </w:tcPr>
          <w:p w14:paraId="13009743" w14:textId="77777777" w:rsidR="006903A5" w:rsidRPr="00724BBB" w:rsidRDefault="006903A5">
            <w:pPr>
              <w:spacing w:line="276" w:lineRule="auto"/>
              <w:jc w:val="right"/>
              <w:rPr>
                <w:color w:val="000000"/>
                <w:sz w:val="20"/>
                <w:szCs w:val="20"/>
              </w:rPr>
            </w:pPr>
            <w:r w:rsidRPr="00724BBB">
              <w:rPr>
                <w:color w:val="000000"/>
                <w:sz w:val="20"/>
                <w:szCs w:val="20"/>
              </w:rPr>
              <w:t>38,709</w:t>
            </w:r>
          </w:p>
        </w:tc>
      </w:tr>
      <w:tr w:rsidR="006903A5" w:rsidRPr="00724BBB" w14:paraId="0A7E28D3" w14:textId="77777777" w:rsidTr="00841D8C">
        <w:trPr>
          <w:trHeight w:val="397"/>
        </w:trPr>
        <w:tc>
          <w:tcPr>
            <w:tcW w:w="3344" w:type="dxa"/>
            <w:vAlign w:val="center"/>
            <w:hideMark/>
          </w:tcPr>
          <w:p w14:paraId="57D88B4D" w14:textId="77777777" w:rsidR="006903A5" w:rsidRPr="00724BBB" w:rsidRDefault="006903A5">
            <w:pPr>
              <w:spacing w:line="276" w:lineRule="auto"/>
              <w:rPr>
                <w:color w:val="000000"/>
                <w:sz w:val="20"/>
                <w:szCs w:val="20"/>
              </w:rPr>
            </w:pPr>
            <w:r w:rsidRPr="00724BBB">
              <w:rPr>
                <w:color w:val="000000"/>
                <w:sz w:val="20"/>
                <w:szCs w:val="20"/>
              </w:rPr>
              <w:t>Cost per YLD</w:t>
            </w:r>
          </w:p>
        </w:tc>
        <w:tc>
          <w:tcPr>
            <w:tcW w:w="1187" w:type="dxa"/>
            <w:hideMark/>
          </w:tcPr>
          <w:p w14:paraId="2964F432" w14:textId="77777777" w:rsidR="006903A5" w:rsidRPr="00724BBB" w:rsidRDefault="006903A5">
            <w:pPr>
              <w:spacing w:line="276" w:lineRule="auto"/>
              <w:rPr>
                <w:color w:val="000000"/>
                <w:sz w:val="20"/>
                <w:szCs w:val="20"/>
              </w:rPr>
            </w:pPr>
            <w:r w:rsidRPr="00724BBB">
              <w:rPr>
                <w:color w:val="000000"/>
                <w:sz w:val="20"/>
                <w:szCs w:val="20"/>
              </w:rPr>
              <w:t>c</w:t>
            </w:r>
          </w:p>
        </w:tc>
        <w:tc>
          <w:tcPr>
            <w:tcW w:w="4963" w:type="dxa"/>
            <w:gridSpan w:val="4"/>
            <w:noWrap/>
            <w:vAlign w:val="center"/>
            <w:hideMark/>
          </w:tcPr>
          <w:p w14:paraId="20F8F93C" w14:textId="77777777" w:rsidR="006903A5" w:rsidRPr="00724BBB" w:rsidRDefault="006903A5" w:rsidP="00841D8C">
            <w:pPr>
              <w:spacing w:line="276" w:lineRule="auto"/>
              <w:jc w:val="center"/>
              <w:rPr>
                <w:color w:val="000000"/>
                <w:sz w:val="20"/>
                <w:szCs w:val="20"/>
              </w:rPr>
            </w:pPr>
            <w:r w:rsidRPr="00724BBB">
              <w:rPr>
                <w:color w:val="000000"/>
                <w:sz w:val="20"/>
                <w:szCs w:val="20"/>
              </w:rPr>
              <w:t>$78,613</w:t>
            </w:r>
          </w:p>
        </w:tc>
      </w:tr>
      <w:tr w:rsidR="006903A5" w:rsidRPr="00724BBB" w14:paraId="752DE288" w14:textId="77777777">
        <w:trPr>
          <w:trHeight w:val="397"/>
        </w:trPr>
        <w:tc>
          <w:tcPr>
            <w:tcW w:w="3344" w:type="dxa"/>
            <w:shd w:val="clear" w:color="auto" w:fill="F2F2F2" w:themeFill="background1" w:themeFillShade="F2"/>
            <w:vAlign w:val="center"/>
            <w:hideMark/>
          </w:tcPr>
          <w:p w14:paraId="24F0D8B5" w14:textId="77777777" w:rsidR="006903A5" w:rsidRPr="00724BBB" w:rsidRDefault="006903A5">
            <w:pPr>
              <w:spacing w:line="276" w:lineRule="auto"/>
              <w:rPr>
                <w:b/>
                <w:bCs/>
                <w:color w:val="000000"/>
                <w:sz w:val="20"/>
                <w:szCs w:val="20"/>
              </w:rPr>
            </w:pPr>
            <w:r w:rsidRPr="00724BBB">
              <w:rPr>
                <w:b/>
                <w:bCs/>
                <w:color w:val="000000"/>
                <w:sz w:val="20"/>
                <w:szCs w:val="20"/>
              </w:rPr>
              <w:t>Total HRQoL cost (all harm domains)</w:t>
            </w:r>
          </w:p>
        </w:tc>
        <w:tc>
          <w:tcPr>
            <w:tcW w:w="1187" w:type="dxa"/>
            <w:shd w:val="clear" w:color="auto" w:fill="F2F2F2" w:themeFill="background1" w:themeFillShade="F2"/>
            <w:vAlign w:val="center"/>
            <w:hideMark/>
          </w:tcPr>
          <w:p w14:paraId="46B6581E" w14:textId="77777777" w:rsidR="006903A5" w:rsidRPr="00724BBB" w:rsidRDefault="006903A5">
            <w:pPr>
              <w:spacing w:line="276" w:lineRule="auto"/>
              <w:rPr>
                <w:b/>
                <w:bCs/>
                <w:color w:val="000000"/>
                <w:sz w:val="20"/>
                <w:szCs w:val="20"/>
              </w:rPr>
            </w:pPr>
            <w:r w:rsidRPr="00724BBB">
              <w:rPr>
                <w:b/>
                <w:bCs/>
                <w:color w:val="000000"/>
                <w:sz w:val="20"/>
                <w:szCs w:val="20"/>
              </w:rPr>
              <w:t>d = b x c</w:t>
            </w:r>
          </w:p>
        </w:tc>
        <w:tc>
          <w:tcPr>
            <w:tcW w:w="1134" w:type="dxa"/>
            <w:shd w:val="clear" w:color="auto" w:fill="F2F2F2" w:themeFill="background1" w:themeFillShade="F2"/>
            <w:vAlign w:val="center"/>
            <w:hideMark/>
          </w:tcPr>
          <w:p w14:paraId="5C5F51DC" w14:textId="77777777" w:rsidR="006903A5" w:rsidRPr="00724BBB" w:rsidRDefault="006903A5">
            <w:pPr>
              <w:spacing w:line="276" w:lineRule="auto"/>
              <w:jc w:val="right"/>
              <w:rPr>
                <w:b/>
                <w:bCs/>
                <w:color w:val="000000"/>
                <w:sz w:val="20"/>
                <w:szCs w:val="20"/>
              </w:rPr>
            </w:pPr>
            <w:r w:rsidRPr="00724BBB">
              <w:rPr>
                <w:b/>
                <w:bCs/>
                <w:color w:val="000000"/>
                <w:sz w:val="20"/>
                <w:szCs w:val="20"/>
              </w:rPr>
              <w:t>$1,204.3M</w:t>
            </w:r>
          </w:p>
        </w:tc>
        <w:tc>
          <w:tcPr>
            <w:tcW w:w="1134" w:type="dxa"/>
            <w:shd w:val="clear" w:color="auto" w:fill="F2F2F2" w:themeFill="background1" w:themeFillShade="F2"/>
            <w:vAlign w:val="center"/>
            <w:hideMark/>
          </w:tcPr>
          <w:p w14:paraId="4FD45264" w14:textId="77777777" w:rsidR="006903A5" w:rsidRPr="00724BBB" w:rsidRDefault="006903A5">
            <w:pPr>
              <w:spacing w:line="276" w:lineRule="auto"/>
              <w:jc w:val="right"/>
              <w:rPr>
                <w:b/>
                <w:bCs/>
                <w:color w:val="000000"/>
                <w:sz w:val="20"/>
                <w:szCs w:val="20"/>
              </w:rPr>
            </w:pPr>
            <w:r w:rsidRPr="00724BBB">
              <w:rPr>
                <w:b/>
                <w:bCs/>
                <w:color w:val="000000"/>
                <w:sz w:val="20"/>
                <w:szCs w:val="20"/>
              </w:rPr>
              <w:t>$1,115.8M</w:t>
            </w:r>
          </w:p>
        </w:tc>
        <w:tc>
          <w:tcPr>
            <w:tcW w:w="1134" w:type="dxa"/>
            <w:shd w:val="clear" w:color="auto" w:fill="F2F2F2" w:themeFill="background1" w:themeFillShade="F2"/>
            <w:vAlign w:val="center"/>
            <w:hideMark/>
          </w:tcPr>
          <w:p w14:paraId="1F69AEA1" w14:textId="77777777" w:rsidR="006903A5" w:rsidRPr="00724BBB" w:rsidRDefault="006903A5">
            <w:pPr>
              <w:spacing w:line="276" w:lineRule="auto"/>
              <w:jc w:val="right"/>
              <w:rPr>
                <w:b/>
                <w:bCs/>
                <w:color w:val="000000"/>
                <w:sz w:val="20"/>
                <w:szCs w:val="20"/>
              </w:rPr>
            </w:pPr>
            <w:r w:rsidRPr="00724BBB">
              <w:rPr>
                <w:b/>
                <w:bCs/>
                <w:color w:val="000000"/>
                <w:sz w:val="20"/>
                <w:szCs w:val="20"/>
              </w:rPr>
              <w:t>$722,9M</w:t>
            </w:r>
          </w:p>
        </w:tc>
        <w:tc>
          <w:tcPr>
            <w:tcW w:w="1561" w:type="dxa"/>
            <w:shd w:val="clear" w:color="auto" w:fill="F2F2F2" w:themeFill="background1" w:themeFillShade="F2"/>
            <w:vAlign w:val="center"/>
            <w:hideMark/>
          </w:tcPr>
          <w:p w14:paraId="345D2A56" w14:textId="77777777" w:rsidR="006903A5" w:rsidRPr="00724BBB" w:rsidRDefault="006903A5">
            <w:pPr>
              <w:spacing w:line="276" w:lineRule="auto"/>
              <w:jc w:val="right"/>
              <w:rPr>
                <w:b/>
                <w:bCs/>
                <w:color w:val="000000"/>
                <w:sz w:val="20"/>
                <w:szCs w:val="20"/>
              </w:rPr>
            </w:pPr>
            <w:r w:rsidRPr="00724BBB">
              <w:rPr>
                <w:b/>
                <w:bCs/>
                <w:color w:val="000000"/>
                <w:sz w:val="20"/>
                <w:szCs w:val="20"/>
              </w:rPr>
              <w:t>$3,043,008,070</w:t>
            </w:r>
          </w:p>
        </w:tc>
      </w:tr>
      <w:tr w:rsidR="006903A5" w:rsidRPr="00724BBB" w14:paraId="611A21B3" w14:textId="77777777">
        <w:trPr>
          <w:trHeight w:val="397"/>
        </w:trPr>
        <w:tc>
          <w:tcPr>
            <w:tcW w:w="7933" w:type="dxa"/>
            <w:gridSpan w:val="5"/>
            <w:vAlign w:val="center"/>
            <w:hideMark/>
          </w:tcPr>
          <w:p w14:paraId="7C586B92" w14:textId="77777777" w:rsidR="006903A5" w:rsidRPr="00724BBB" w:rsidRDefault="006903A5">
            <w:pPr>
              <w:spacing w:line="276" w:lineRule="auto"/>
              <w:rPr>
                <w:color w:val="000000"/>
                <w:sz w:val="20"/>
                <w:szCs w:val="20"/>
              </w:rPr>
            </w:pPr>
            <w:r w:rsidRPr="00724BBB">
              <w:rPr>
                <w:color w:val="000000"/>
                <w:sz w:val="20"/>
                <w:szCs w:val="20"/>
              </w:rPr>
              <w:t>Proportion of estimated costs attributable to harms associated with financial deprivation, relationships, health, socially deviate consequential behaviour, and work or study issues (70.7%) (e) </w:t>
            </w:r>
          </w:p>
        </w:tc>
        <w:tc>
          <w:tcPr>
            <w:tcW w:w="1561" w:type="dxa"/>
            <w:vAlign w:val="center"/>
            <w:hideMark/>
          </w:tcPr>
          <w:p w14:paraId="6723BD18" w14:textId="77777777" w:rsidR="006903A5" w:rsidRPr="00724BBB" w:rsidRDefault="006903A5">
            <w:pPr>
              <w:spacing w:line="276" w:lineRule="auto"/>
              <w:jc w:val="right"/>
              <w:rPr>
                <w:color w:val="000000"/>
                <w:sz w:val="20"/>
                <w:szCs w:val="20"/>
              </w:rPr>
            </w:pPr>
            <w:r w:rsidRPr="00724BBB">
              <w:rPr>
                <w:color w:val="000000"/>
                <w:sz w:val="20"/>
                <w:szCs w:val="20"/>
              </w:rPr>
              <w:t>$2,151,406,706</w:t>
            </w:r>
          </w:p>
        </w:tc>
      </w:tr>
      <w:tr w:rsidR="006903A5" w:rsidRPr="00724BBB" w14:paraId="1A862E06" w14:textId="77777777">
        <w:trPr>
          <w:trHeight w:val="397"/>
        </w:trPr>
        <w:tc>
          <w:tcPr>
            <w:tcW w:w="7933" w:type="dxa"/>
            <w:gridSpan w:val="5"/>
            <w:vAlign w:val="center"/>
            <w:hideMark/>
          </w:tcPr>
          <w:p w14:paraId="428BC404" w14:textId="77777777" w:rsidR="006903A5" w:rsidRPr="00724BBB" w:rsidRDefault="006903A5">
            <w:pPr>
              <w:spacing w:line="276" w:lineRule="auto"/>
              <w:rPr>
                <w:b/>
                <w:bCs/>
                <w:color w:val="000000"/>
                <w:sz w:val="20"/>
                <w:szCs w:val="20"/>
              </w:rPr>
            </w:pPr>
            <w:r w:rsidRPr="00724BBB">
              <w:rPr>
                <w:b/>
                <w:bCs/>
                <w:color w:val="000000"/>
                <w:sz w:val="20"/>
                <w:szCs w:val="20"/>
              </w:rPr>
              <w:t>Subtotal - HRQoL cost attributable to emotional/psychological harm (f = d – e) </w:t>
            </w:r>
          </w:p>
        </w:tc>
        <w:tc>
          <w:tcPr>
            <w:tcW w:w="1561" w:type="dxa"/>
            <w:vAlign w:val="center"/>
            <w:hideMark/>
          </w:tcPr>
          <w:p w14:paraId="06EBAE30" w14:textId="77777777" w:rsidR="006903A5" w:rsidRPr="00724BBB" w:rsidRDefault="006903A5">
            <w:pPr>
              <w:spacing w:line="276" w:lineRule="auto"/>
              <w:jc w:val="right"/>
              <w:rPr>
                <w:b/>
                <w:bCs/>
                <w:color w:val="000000"/>
                <w:sz w:val="20"/>
                <w:szCs w:val="20"/>
              </w:rPr>
            </w:pPr>
            <w:r w:rsidRPr="00724BBB">
              <w:rPr>
                <w:b/>
                <w:bCs/>
                <w:color w:val="000000"/>
                <w:sz w:val="20"/>
                <w:szCs w:val="20"/>
              </w:rPr>
              <w:t>$891,601,365</w:t>
            </w:r>
          </w:p>
        </w:tc>
      </w:tr>
      <w:tr w:rsidR="006903A5" w:rsidRPr="00724BBB" w14:paraId="0FB475E1" w14:textId="77777777">
        <w:trPr>
          <w:trHeight w:val="397"/>
        </w:trPr>
        <w:tc>
          <w:tcPr>
            <w:tcW w:w="7933" w:type="dxa"/>
            <w:gridSpan w:val="5"/>
            <w:vAlign w:val="center"/>
            <w:hideMark/>
          </w:tcPr>
          <w:p w14:paraId="28A053B4" w14:textId="77777777" w:rsidR="006903A5" w:rsidRPr="00724BBB" w:rsidRDefault="006903A5">
            <w:pPr>
              <w:spacing w:line="276" w:lineRule="auto"/>
              <w:rPr>
                <w:color w:val="000000"/>
                <w:sz w:val="20"/>
                <w:szCs w:val="20"/>
              </w:rPr>
            </w:pPr>
            <w:r w:rsidRPr="00724BBB">
              <w:rPr>
                <w:color w:val="000000"/>
                <w:sz w:val="20"/>
                <w:szCs w:val="20"/>
              </w:rPr>
              <w:t>Less costs of depression-related emotional distress already costed (g) </w:t>
            </w:r>
          </w:p>
        </w:tc>
        <w:tc>
          <w:tcPr>
            <w:tcW w:w="1561" w:type="dxa"/>
            <w:vAlign w:val="center"/>
            <w:hideMark/>
          </w:tcPr>
          <w:p w14:paraId="29B7EAB9" w14:textId="77777777" w:rsidR="006903A5" w:rsidRPr="00724BBB" w:rsidRDefault="006903A5">
            <w:pPr>
              <w:spacing w:line="276" w:lineRule="auto"/>
              <w:jc w:val="right"/>
              <w:rPr>
                <w:color w:val="000000"/>
                <w:sz w:val="20"/>
                <w:szCs w:val="20"/>
              </w:rPr>
            </w:pPr>
            <w:r w:rsidRPr="00724BBB">
              <w:rPr>
                <w:color w:val="000000"/>
                <w:sz w:val="20"/>
                <w:szCs w:val="20"/>
              </w:rPr>
              <w:t>$60,961,882</w:t>
            </w:r>
          </w:p>
        </w:tc>
      </w:tr>
      <w:tr w:rsidR="006903A5" w:rsidRPr="00724BBB" w14:paraId="4607307C" w14:textId="77777777">
        <w:trPr>
          <w:trHeight w:val="397"/>
        </w:trPr>
        <w:tc>
          <w:tcPr>
            <w:tcW w:w="7933" w:type="dxa"/>
            <w:gridSpan w:val="5"/>
            <w:shd w:val="clear" w:color="auto" w:fill="F2F2F2" w:themeFill="background1" w:themeFillShade="F2"/>
            <w:vAlign w:val="center"/>
            <w:hideMark/>
          </w:tcPr>
          <w:p w14:paraId="191AF4D5" w14:textId="77777777" w:rsidR="006903A5" w:rsidRPr="00724BBB" w:rsidRDefault="006903A5">
            <w:pPr>
              <w:spacing w:line="276" w:lineRule="auto"/>
              <w:rPr>
                <w:b/>
                <w:bCs/>
                <w:color w:val="000000"/>
                <w:sz w:val="20"/>
                <w:szCs w:val="20"/>
              </w:rPr>
            </w:pPr>
            <w:r w:rsidRPr="00724BBB">
              <w:rPr>
                <w:b/>
                <w:bCs/>
                <w:color w:val="000000"/>
                <w:sz w:val="20"/>
                <w:szCs w:val="20"/>
              </w:rPr>
              <w:t>Cost HRQoL emotional/psychological impact of gambling harm (not costed elsewhere) on people who gamble (h = f – g) </w:t>
            </w:r>
          </w:p>
        </w:tc>
        <w:tc>
          <w:tcPr>
            <w:tcW w:w="1561" w:type="dxa"/>
            <w:shd w:val="clear" w:color="auto" w:fill="F2F2F2" w:themeFill="background1" w:themeFillShade="F2"/>
            <w:vAlign w:val="center"/>
            <w:hideMark/>
          </w:tcPr>
          <w:p w14:paraId="3A2F5CC8" w14:textId="77777777" w:rsidR="006903A5" w:rsidRPr="00724BBB" w:rsidRDefault="006903A5">
            <w:pPr>
              <w:spacing w:line="276" w:lineRule="auto"/>
              <w:jc w:val="right"/>
              <w:rPr>
                <w:b/>
                <w:bCs/>
                <w:color w:val="000000"/>
                <w:sz w:val="20"/>
                <w:szCs w:val="20"/>
              </w:rPr>
            </w:pPr>
            <w:r w:rsidRPr="00724BBB">
              <w:rPr>
                <w:b/>
                <w:bCs/>
                <w:color w:val="000000"/>
                <w:sz w:val="20"/>
                <w:szCs w:val="20"/>
              </w:rPr>
              <w:t>$830,639,483</w:t>
            </w:r>
          </w:p>
        </w:tc>
      </w:tr>
      <w:tr w:rsidR="006903A5" w:rsidRPr="00724BBB" w14:paraId="6B131629" w14:textId="77777777">
        <w:trPr>
          <w:trHeight w:val="397"/>
        </w:trPr>
        <w:tc>
          <w:tcPr>
            <w:tcW w:w="7933" w:type="dxa"/>
            <w:gridSpan w:val="5"/>
            <w:vAlign w:val="center"/>
            <w:hideMark/>
          </w:tcPr>
          <w:p w14:paraId="1CDBD7FF" w14:textId="77777777" w:rsidR="006903A5" w:rsidRPr="00724BBB" w:rsidRDefault="006903A5">
            <w:pPr>
              <w:spacing w:line="276" w:lineRule="auto"/>
              <w:rPr>
                <w:color w:val="000000"/>
                <w:sz w:val="20"/>
                <w:szCs w:val="20"/>
              </w:rPr>
            </w:pPr>
            <w:r w:rsidRPr="00724BBB">
              <w:rPr>
                <w:color w:val="000000"/>
                <w:sz w:val="20"/>
                <w:szCs w:val="20"/>
              </w:rPr>
              <w:t>Lower bound</w:t>
            </w:r>
          </w:p>
        </w:tc>
        <w:tc>
          <w:tcPr>
            <w:tcW w:w="1561" w:type="dxa"/>
            <w:vAlign w:val="center"/>
            <w:hideMark/>
          </w:tcPr>
          <w:p w14:paraId="38FA0809" w14:textId="77777777" w:rsidR="006903A5" w:rsidRPr="00724BBB" w:rsidRDefault="006903A5">
            <w:pPr>
              <w:spacing w:line="276" w:lineRule="auto"/>
              <w:jc w:val="right"/>
              <w:rPr>
                <w:color w:val="000000"/>
                <w:sz w:val="20"/>
                <w:szCs w:val="20"/>
              </w:rPr>
            </w:pPr>
            <w:r w:rsidRPr="00724BBB">
              <w:rPr>
                <w:color w:val="000000"/>
                <w:sz w:val="20"/>
                <w:szCs w:val="20"/>
              </w:rPr>
              <w:t>$384,838,800</w:t>
            </w:r>
          </w:p>
        </w:tc>
      </w:tr>
      <w:tr w:rsidR="006903A5" w:rsidRPr="00724BBB" w14:paraId="2921F5C4" w14:textId="77777777">
        <w:trPr>
          <w:trHeight w:val="397"/>
        </w:trPr>
        <w:tc>
          <w:tcPr>
            <w:tcW w:w="7933" w:type="dxa"/>
            <w:gridSpan w:val="5"/>
            <w:vAlign w:val="center"/>
            <w:hideMark/>
          </w:tcPr>
          <w:p w14:paraId="56461B61" w14:textId="77777777" w:rsidR="006903A5" w:rsidRPr="00724BBB" w:rsidRDefault="006903A5">
            <w:pPr>
              <w:spacing w:line="276" w:lineRule="auto"/>
              <w:rPr>
                <w:color w:val="000000"/>
                <w:sz w:val="20"/>
                <w:szCs w:val="20"/>
              </w:rPr>
            </w:pPr>
            <w:r w:rsidRPr="00724BBB">
              <w:rPr>
                <w:color w:val="000000"/>
                <w:sz w:val="20"/>
                <w:szCs w:val="20"/>
              </w:rPr>
              <w:t>Upper bound</w:t>
            </w:r>
          </w:p>
        </w:tc>
        <w:tc>
          <w:tcPr>
            <w:tcW w:w="1561" w:type="dxa"/>
            <w:vAlign w:val="center"/>
            <w:hideMark/>
          </w:tcPr>
          <w:p w14:paraId="5A953513" w14:textId="77777777" w:rsidR="006903A5" w:rsidRPr="00724BBB" w:rsidRDefault="006903A5">
            <w:pPr>
              <w:spacing w:line="276" w:lineRule="auto"/>
              <w:jc w:val="right"/>
              <w:rPr>
                <w:color w:val="000000"/>
                <w:sz w:val="20"/>
                <w:szCs w:val="20"/>
              </w:rPr>
            </w:pPr>
            <w:r w:rsidRPr="00724BBB">
              <w:rPr>
                <w:color w:val="000000"/>
                <w:sz w:val="20"/>
                <w:szCs w:val="20"/>
              </w:rPr>
              <w:t>$1,276,440,165</w:t>
            </w:r>
          </w:p>
        </w:tc>
      </w:tr>
      <w:tr w:rsidR="006903A5" w:rsidRPr="00724BBB" w14:paraId="649F5E19" w14:textId="77777777">
        <w:trPr>
          <w:trHeight w:val="397"/>
        </w:trPr>
        <w:tc>
          <w:tcPr>
            <w:tcW w:w="9494" w:type="dxa"/>
            <w:gridSpan w:val="6"/>
            <w:noWrap/>
            <w:vAlign w:val="center"/>
            <w:hideMark/>
          </w:tcPr>
          <w:p w14:paraId="16DE2E35" w14:textId="77777777" w:rsidR="006903A5" w:rsidRPr="00724BBB" w:rsidRDefault="006903A5">
            <w:pPr>
              <w:spacing w:line="276" w:lineRule="auto"/>
              <w:rPr>
                <w:i/>
                <w:iCs/>
                <w:color w:val="242424"/>
                <w:sz w:val="20"/>
                <w:szCs w:val="20"/>
              </w:rPr>
            </w:pPr>
            <w:r w:rsidRPr="00724BBB">
              <w:rPr>
                <w:i/>
                <w:iCs/>
                <w:color w:val="242424"/>
                <w:sz w:val="20"/>
                <w:szCs w:val="20"/>
              </w:rPr>
              <w:t xml:space="preserve">Note: </w:t>
            </w:r>
            <w:r w:rsidRPr="00724BBB">
              <w:rPr>
                <w:i/>
                <w:iCs/>
                <w:sz w:val="20"/>
                <w:szCs w:val="20"/>
              </w:rPr>
              <w:t xml:space="preserve">LR (low-risk gambling), MR (moderate-risk gambling), and problem gambling. </w:t>
            </w:r>
            <w:r w:rsidRPr="00724BBB">
              <w:rPr>
                <w:i/>
                <w:iCs/>
                <w:color w:val="242424"/>
                <w:sz w:val="20"/>
                <w:szCs w:val="20"/>
              </w:rPr>
              <w:t>Totals may not match exactly due to rounding. Calculations are based on the original unrounded figures to ensure accuracy.</w:t>
            </w:r>
            <w:r w:rsidRPr="00724BBB">
              <w:rPr>
                <w:i/>
                <w:iCs/>
                <w:color w:val="000000"/>
                <w:sz w:val="20"/>
                <w:szCs w:val="20"/>
              </w:rPr>
              <w:t> </w:t>
            </w:r>
          </w:p>
        </w:tc>
      </w:tr>
    </w:tbl>
    <w:p w14:paraId="3CFBBB89" w14:textId="77777777" w:rsidR="001419A6" w:rsidRDefault="001419A6" w:rsidP="00367A8D">
      <w:pPr>
        <w:spacing w:before="120" w:after="240" w:line="360" w:lineRule="auto"/>
        <w:rPr>
          <w:sz w:val="21"/>
          <w:szCs w:val="21"/>
        </w:rPr>
      </w:pPr>
      <w:bookmarkStart w:id="453" w:name="_d2bevrahd7q4" w:colFirst="0" w:colLast="0"/>
      <w:bookmarkEnd w:id="453"/>
    </w:p>
    <w:p w14:paraId="0CAF883E" w14:textId="77777777" w:rsidR="00DB689D" w:rsidRDefault="00310A10" w:rsidP="00367A8D">
      <w:pPr>
        <w:pStyle w:val="Heading4"/>
        <w:spacing w:line="360" w:lineRule="auto"/>
      </w:pPr>
      <w:r>
        <w:t>HRQoL impact on affected others</w:t>
      </w:r>
    </w:p>
    <w:tbl>
      <w:tblPr>
        <w:tblStyle w:val="ad"/>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B689D" w14:paraId="34931AF0" w14:textId="77777777">
        <w:tc>
          <w:tcPr>
            <w:tcW w:w="9026" w:type="dxa"/>
            <w:shd w:val="clear" w:color="auto" w:fill="F3F3F3"/>
            <w:tcMar>
              <w:top w:w="100" w:type="dxa"/>
              <w:left w:w="100" w:type="dxa"/>
              <w:bottom w:w="100" w:type="dxa"/>
              <w:right w:w="100" w:type="dxa"/>
            </w:tcMar>
          </w:tcPr>
          <w:p w14:paraId="450A7642" w14:textId="77777777" w:rsidR="00DB689D" w:rsidRDefault="00310A10" w:rsidP="00843927">
            <w:pPr>
              <w:spacing w:before="120" w:after="240" w:line="276" w:lineRule="auto"/>
            </w:pPr>
            <w:r>
              <w:t xml:space="preserve">The HRQoL impact of gambling harm on affected others was calculated using: </w:t>
            </w:r>
          </w:p>
          <w:p w14:paraId="3D67A39C" w14:textId="77777777" w:rsidR="00DB689D" w:rsidRDefault="00310A10" w:rsidP="00843927">
            <w:pPr>
              <w:spacing w:before="120" w:after="120" w:line="276" w:lineRule="auto"/>
              <w:ind w:right="280"/>
            </w:pPr>
            <w:r>
              <w:rPr>
                <w:i/>
              </w:rPr>
              <w:t>Prevalence</w:t>
            </w:r>
            <w:r>
              <w:t xml:space="preserve"> </w:t>
            </w:r>
          </w:p>
          <w:p w14:paraId="4BFC6526" w14:textId="77777777" w:rsidR="00DB689D" w:rsidRDefault="00310A10" w:rsidP="00843927">
            <w:pPr>
              <w:numPr>
                <w:ilvl w:val="0"/>
                <w:numId w:val="42"/>
              </w:numPr>
              <w:spacing w:before="120" w:line="276" w:lineRule="auto"/>
              <w:ind w:right="280"/>
            </w:pPr>
            <w:r>
              <w:t>The number of New Zealanders in each of the PGSI risk categories was sourced from the NZGS (2023/24) to get a total number of New Zealanders with a gambling problem in New Zealand.</w:t>
            </w:r>
          </w:p>
          <w:p w14:paraId="2CC1359A" w14:textId="2935F823" w:rsidR="00DB689D" w:rsidRDefault="00310A10" w:rsidP="00843927">
            <w:pPr>
              <w:numPr>
                <w:ilvl w:val="0"/>
                <w:numId w:val="42"/>
              </w:numPr>
              <w:spacing w:line="276" w:lineRule="auto"/>
              <w:ind w:right="280"/>
            </w:pPr>
            <w:r>
              <w:t xml:space="preserve">To estimate the number of affected others, a ratio was applied: one person affected for each person categorised as low-risk gambling, three for each person with moderate-risk gambling, and six for each person with problem gambling </w:t>
            </w:r>
            <w:r w:rsidR="0038398B">
              <w:rPr>
                <w:noProof/>
                <w:color w:val="000000"/>
              </w:rPr>
              <w:t>(Goodwin et al., 2017)</w:t>
            </w:r>
            <w:r>
              <w:t xml:space="preserve">. See </w:t>
            </w:r>
            <w:r w:rsidR="00EB24A0">
              <w:t>Chapter</w:t>
            </w:r>
            <w:r w:rsidR="00EB24A0" w:rsidRPr="006903A5">
              <w:t xml:space="preserve"> </w:t>
            </w:r>
            <w:r w:rsidRPr="006903A5">
              <w:t>6 for details.</w:t>
            </w:r>
          </w:p>
          <w:p w14:paraId="0B3223C6" w14:textId="11631B4D" w:rsidR="00DB689D" w:rsidRDefault="00310A10" w:rsidP="00843927">
            <w:pPr>
              <w:numPr>
                <w:ilvl w:val="0"/>
                <w:numId w:val="42"/>
              </w:numPr>
              <w:spacing w:line="276" w:lineRule="auto"/>
              <w:ind w:right="280"/>
            </w:pPr>
            <w:r>
              <w:t xml:space="preserve">This total was then multiplied by the proportion of affected others reporting harm to their physical or mental health due to another person’s gambling, based on data from </w:t>
            </w:r>
            <w:r>
              <w:rPr>
                <w:i/>
              </w:rPr>
              <w:t>Measuring the Burden of Gambling Harm in New Zealand</w:t>
            </w:r>
            <w:r>
              <w:t xml:space="preserve"> </w:t>
            </w:r>
            <w:r w:rsidR="00DB2449">
              <w:rPr>
                <w:noProof/>
                <w:color w:val="000000"/>
              </w:rPr>
              <w:t>(</w:t>
            </w:r>
            <w:r w:rsidR="002A3095">
              <w:rPr>
                <w:noProof/>
                <w:color w:val="000000"/>
              </w:rPr>
              <w:t>Browne, Greer et al., 2017</w:t>
            </w:r>
            <w:r w:rsidR="00DB2449">
              <w:rPr>
                <w:noProof/>
                <w:color w:val="000000"/>
              </w:rPr>
              <w:t>)</w:t>
            </w:r>
            <w:r>
              <w:t xml:space="preserve">. </w:t>
            </w:r>
          </w:p>
          <w:p w14:paraId="1D9319B4" w14:textId="502F19EB" w:rsidR="00DB689D" w:rsidRDefault="00310A10" w:rsidP="00843927">
            <w:pPr>
              <w:numPr>
                <w:ilvl w:val="0"/>
                <w:numId w:val="42"/>
              </w:numPr>
              <w:spacing w:after="120" w:line="276" w:lineRule="auto"/>
              <w:ind w:right="280"/>
            </w:pPr>
            <w:r>
              <w:t xml:space="preserve">A 20% causality discount was applied, in line with the Australian Productivity Commission </w:t>
            </w:r>
            <w:r w:rsidR="0038398B">
              <w:rPr>
                <w:noProof/>
                <w:color w:val="000000"/>
              </w:rPr>
              <w:t>(1999)</w:t>
            </w:r>
            <w:r>
              <w:t xml:space="preserve">. </w:t>
            </w:r>
          </w:p>
          <w:p w14:paraId="2F4DDFC4" w14:textId="77777777" w:rsidR="00DB689D" w:rsidRDefault="00310A10" w:rsidP="00843927">
            <w:pPr>
              <w:spacing w:before="120" w:after="120" w:line="276" w:lineRule="auto"/>
              <w:ind w:right="280"/>
              <w:rPr>
                <w:i/>
              </w:rPr>
            </w:pPr>
            <w:r>
              <w:rPr>
                <w:i/>
              </w:rPr>
              <w:t>Years lost to disability</w:t>
            </w:r>
          </w:p>
          <w:p w14:paraId="598E1FB8" w14:textId="7FE832A1" w:rsidR="00DB689D" w:rsidRDefault="00310A10" w:rsidP="00843927">
            <w:pPr>
              <w:numPr>
                <w:ilvl w:val="0"/>
                <w:numId w:val="42"/>
              </w:numPr>
              <w:spacing w:before="120" w:line="276" w:lineRule="auto"/>
              <w:ind w:right="280"/>
            </w:pPr>
            <w:r>
              <w:t>HRQoL decrements for each PGSI category were sourced from Tulloch et al.</w:t>
            </w:r>
            <w:r>
              <w:rPr>
                <w:color w:val="0E101A"/>
              </w:rPr>
              <w:t xml:space="preserve"> </w:t>
            </w:r>
            <w:r w:rsidR="00DB2449">
              <w:rPr>
                <w:noProof/>
                <w:color w:val="000000"/>
              </w:rPr>
              <w:t>(submitted 2025)</w:t>
            </w:r>
            <w:r>
              <w:rPr>
                <w:color w:val="0E101A"/>
              </w:rPr>
              <w:t xml:space="preserve"> </w:t>
            </w:r>
          </w:p>
          <w:p w14:paraId="3C63B48E" w14:textId="77777777" w:rsidR="00DB689D" w:rsidRDefault="00310A10" w:rsidP="00843927">
            <w:pPr>
              <w:numPr>
                <w:ilvl w:val="0"/>
                <w:numId w:val="42"/>
              </w:numPr>
              <w:spacing w:after="120" w:line="276" w:lineRule="auto"/>
              <w:ind w:right="280"/>
            </w:pPr>
            <w:r>
              <w:t>These were applied to the estimated number of affected individuals in each category to calculate the total years lived with disability (YLD).</w:t>
            </w:r>
          </w:p>
          <w:p w14:paraId="581275D7" w14:textId="77777777" w:rsidR="00DB689D" w:rsidRDefault="00310A10" w:rsidP="00843927">
            <w:pPr>
              <w:spacing w:before="120" w:after="120" w:line="276" w:lineRule="auto"/>
              <w:ind w:right="280"/>
            </w:pPr>
            <w:r>
              <w:rPr>
                <w:i/>
              </w:rPr>
              <w:t>Valuing YLD</w:t>
            </w:r>
            <w:r>
              <w:t xml:space="preserve"> </w:t>
            </w:r>
          </w:p>
          <w:p w14:paraId="573F932B" w14:textId="234F7208" w:rsidR="00DB689D" w:rsidRDefault="00310A10" w:rsidP="00843927">
            <w:pPr>
              <w:numPr>
                <w:ilvl w:val="0"/>
                <w:numId w:val="42"/>
              </w:numPr>
              <w:spacing w:before="120" w:line="276" w:lineRule="auto"/>
              <w:ind w:right="280"/>
            </w:pPr>
            <w:r>
              <w:t xml:space="preserve">The proxy value of YLD was determined by GDP per capita </w:t>
            </w:r>
            <w:r w:rsidR="0038398B">
              <w:rPr>
                <w:noProof/>
                <w:color w:val="000000"/>
              </w:rPr>
              <w:t>($78,613; CEIC, 2025)</w:t>
            </w:r>
            <w:r>
              <w:t xml:space="preserve">. See </w:t>
            </w:r>
            <w:r w:rsidR="006903A5" w:rsidRPr="006903A5">
              <w:t>chapter</w:t>
            </w:r>
            <w:r w:rsidRPr="006903A5">
              <w:t xml:space="preserve"> 6</w:t>
            </w:r>
            <w:r>
              <w:t xml:space="preserve"> for further details</w:t>
            </w:r>
          </w:p>
          <w:p w14:paraId="3CFDBF33" w14:textId="77777777" w:rsidR="00DB689D" w:rsidRDefault="00310A10" w:rsidP="00843927">
            <w:pPr>
              <w:numPr>
                <w:ilvl w:val="0"/>
                <w:numId w:val="42"/>
              </w:numPr>
              <w:spacing w:line="276" w:lineRule="auto"/>
              <w:ind w:right="280"/>
            </w:pPr>
            <w:r>
              <w:t>The total HRQoL cost of around $3.2 billion represents the total impact of gambling problems in New Zealand</w:t>
            </w:r>
          </w:p>
          <w:p w14:paraId="6D9CD48D" w14:textId="45EFEEDE" w:rsidR="00DB689D" w:rsidRDefault="00310A10" w:rsidP="00843927">
            <w:pPr>
              <w:numPr>
                <w:ilvl w:val="0"/>
                <w:numId w:val="42"/>
              </w:numPr>
              <w:spacing w:after="120" w:line="276" w:lineRule="auto"/>
              <w:ind w:right="280"/>
            </w:pPr>
            <w:r>
              <w:t xml:space="preserve">To isolate the emotional and psychological harm component of the PGSI decrements, the total amount was multiplied by 29.3%. See </w:t>
            </w:r>
            <w:r w:rsidR="006903A5" w:rsidRPr="006903A5">
              <w:t xml:space="preserve">chapter </w:t>
            </w:r>
            <w:r w:rsidRPr="006903A5">
              <w:t>6</w:t>
            </w:r>
            <w:r>
              <w:t xml:space="preserve"> ‘</w:t>
            </w:r>
            <w:r>
              <w:rPr>
                <w:i/>
              </w:rPr>
              <w:t>Discounting HRQoL to avoid double-counting’</w:t>
            </w:r>
            <w:r>
              <w:t xml:space="preserve"> for further details.</w:t>
            </w:r>
          </w:p>
        </w:tc>
      </w:tr>
    </w:tbl>
    <w:p w14:paraId="4B24716B" w14:textId="77777777" w:rsidR="00A0657F" w:rsidRDefault="00A0657F" w:rsidP="00367A8D">
      <w:pPr>
        <w:spacing w:before="120" w:after="240" w:line="360" w:lineRule="auto"/>
        <w:rPr>
          <w:color w:val="0E101A"/>
          <w:highlight w:val="yellow"/>
        </w:rPr>
      </w:pPr>
    </w:p>
    <w:p w14:paraId="7ED25FA1" w14:textId="5C314975" w:rsidR="00DB689D" w:rsidRDefault="00310A10" w:rsidP="00367A8D">
      <w:pPr>
        <w:spacing w:line="360" w:lineRule="auto"/>
      </w:pPr>
      <w:r>
        <w:t>The estimated cost associated with HRQoL impact of gambling harm on affected others is around $852 million (</w:t>
      </w:r>
      <w:r w:rsidRPr="006903A5">
        <w:t>Table 2</w:t>
      </w:r>
      <w:r w:rsidR="001D7B0D">
        <w:t>2</w:t>
      </w:r>
      <w:r>
        <w:t xml:space="preserve">). Following the approach outlined by Lino et al., </w:t>
      </w:r>
      <w:r w:rsidR="00DB2449">
        <w:rPr>
          <w:noProof/>
          <w:color w:val="000000"/>
        </w:rPr>
        <w:t>(2022)</w:t>
      </w:r>
      <w:r>
        <w:t xml:space="preserve">, lower and upper bounds were calculated using </w:t>
      </w:r>
      <w:r w:rsidR="002B4EA6">
        <w:t>0.5- and 1.5-times</w:t>
      </w:r>
      <w:r>
        <w:t xml:space="preserve"> GDP per capita ($39,306 and $117,919 respectively) to value YLD. Therefore, the estimated cost of the HRQoL impact of gambling harm on affected others is between a lower bound of $385 million and an upper bound of $1.3 billion. This wide range reflects the intangible nature of the cost item and the lack of consensus in the literature on valuing YLD.</w:t>
      </w:r>
    </w:p>
    <w:p w14:paraId="5869310E" w14:textId="77777777" w:rsidR="00DB689D" w:rsidRDefault="00DB689D" w:rsidP="00367A8D">
      <w:pPr>
        <w:spacing w:line="360" w:lineRule="auto"/>
        <w:rPr>
          <w:b/>
        </w:rPr>
      </w:pPr>
    </w:p>
    <w:p w14:paraId="6B66CC63" w14:textId="08E99CD3" w:rsidR="006903A5" w:rsidRDefault="006903A5" w:rsidP="00DB094D">
      <w:pPr>
        <w:pStyle w:val="Caption"/>
      </w:pPr>
      <w:bookmarkStart w:id="454" w:name="_Toc207619064"/>
      <w:r>
        <w:t xml:space="preserve">Table </w:t>
      </w:r>
      <w:r>
        <w:fldChar w:fldCharType="begin"/>
      </w:r>
      <w:r>
        <w:instrText xml:space="preserve"> SEQ Table \* ARABIC </w:instrText>
      </w:r>
      <w:r>
        <w:fldChar w:fldCharType="separate"/>
      </w:r>
      <w:r w:rsidR="00986A0D">
        <w:rPr>
          <w:noProof/>
        </w:rPr>
        <w:t>22</w:t>
      </w:r>
      <w:r>
        <w:fldChar w:fldCharType="end"/>
      </w:r>
      <w:r>
        <w:t xml:space="preserve">. </w:t>
      </w:r>
      <w:r w:rsidRPr="00E471D9">
        <w:t>Cost of HRQoL impacts of gambling harm on affected others in New Zealand (2023-24)</w:t>
      </w:r>
      <w:bookmarkEnd w:id="454"/>
    </w:p>
    <w:tbl>
      <w:tblPr>
        <w:tblStyle w:val="TableGridLight"/>
        <w:tblW w:w="9493" w:type="dxa"/>
        <w:tblLayout w:type="fixed"/>
        <w:tblLook w:val="04A0" w:firstRow="1" w:lastRow="0" w:firstColumn="1" w:lastColumn="0" w:noHBand="0" w:noVBand="1"/>
      </w:tblPr>
      <w:tblGrid>
        <w:gridCol w:w="3256"/>
        <w:gridCol w:w="1275"/>
        <w:gridCol w:w="1134"/>
        <w:gridCol w:w="1134"/>
        <w:gridCol w:w="1134"/>
        <w:gridCol w:w="1560"/>
      </w:tblGrid>
      <w:tr w:rsidR="006903A5" w:rsidRPr="00724BBB" w14:paraId="7EE1E0E6" w14:textId="77777777">
        <w:trPr>
          <w:trHeight w:val="397"/>
        </w:trPr>
        <w:tc>
          <w:tcPr>
            <w:tcW w:w="3256" w:type="dxa"/>
            <w:shd w:val="clear" w:color="auto" w:fill="F2F2F2" w:themeFill="background1" w:themeFillShade="F2"/>
            <w:vAlign w:val="center"/>
            <w:hideMark/>
          </w:tcPr>
          <w:p w14:paraId="61BBF516" w14:textId="77777777" w:rsidR="006903A5" w:rsidRPr="00724BBB" w:rsidRDefault="006903A5">
            <w:pPr>
              <w:spacing w:line="276" w:lineRule="auto"/>
              <w:rPr>
                <w:b/>
                <w:bCs/>
                <w:color w:val="000000"/>
                <w:sz w:val="20"/>
                <w:szCs w:val="20"/>
              </w:rPr>
            </w:pPr>
            <w:r w:rsidRPr="00724BBB">
              <w:rPr>
                <w:b/>
                <w:bCs/>
                <w:color w:val="000000"/>
                <w:sz w:val="20"/>
                <w:szCs w:val="20"/>
              </w:rPr>
              <w:t>Variable</w:t>
            </w:r>
          </w:p>
        </w:tc>
        <w:tc>
          <w:tcPr>
            <w:tcW w:w="1275" w:type="dxa"/>
            <w:shd w:val="clear" w:color="auto" w:fill="F2F2F2" w:themeFill="background1" w:themeFillShade="F2"/>
            <w:vAlign w:val="center"/>
            <w:hideMark/>
          </w:tcPr>
          <w:p w14:paraId="02B64841" w14:textId="77777777" w:rsidR="006903A5" w:rsidRPr="00724BBB" w:rsidRDefault="006903A5">
            <w:pPr>
              <w:spacing w:line="276" w:lineRule="auto"/>
              <w:jc w:val="center"/>
              <w:rPr>
                <w:b/>
                <w:bCs/>
                <w:color w:val="000000"/>
                <w:sz w:val="20"/>
                <w:szCs w:val="20"/>
              </w:rPr>
            </w:pPr>
            <w:r w:rsidRPr="00724BBB">
              <w:rPr>
                <w:b/>
                <w:bCs/>
                <w:color w:val="000000"/>
                <w:sz w:val="20"/>
                <w:szCs w:val="20"/>
              </w:rPr>
              <w:t>Calculation</w:t>
            </w:r>
          </w:p>
        </w:tc>
        <w:tc>
          <w:tcPr>
            <w:tcW w:w="1134" w:type="dxa"/>
            <w:shd w:val="clear" w:color="auto" w:fill="F2F2F2" w:themeFill="background1" w:themeFillShade="F2"/>
            <w:vAlign w:val="center"/>
            <w:hideMark/>
          </w:tcPr>
          <w:p w14:paraId="25FE9160" w14:textId="77777777" w:rsidR="006903A5" w:rsidRPr="00724BBB" w:rsidRDefault="006903A5">
            <w:pPr>
              <w:spacing w:line="276" w:lineRule="auto"/>
              <w:jc w:val="center"/>
              <w:rPr>
                <w:b/>
                <w:bCs/>
                <w:color w:val="000000"/>
                <w:sz w:val="20"/>
                <w:szCs w:val="20"/>
              </w:rPr>
            </w:pPr>
            <w:r w:rsidRPr="00724BBB">
              <w:rPr>
                <w:b/>
                <w:bCs/>
                <w:color w:val="000000"/>
                <w:sz w:val="20"/>
                <w:szCs w:val="20"/>
              </w:rPr>
              <w:t>LR</w:t>
            </w:r>
          </w:p>
        </w:tc>
        <w:tc>
          <w:tcPr>
            <w:tcW w:w="1134" w:type="dxa"/>
            <w:shd w:val="clear" w:color="auto" w:fill="F2F2F2" w:themeFill="background1" w:themeFillShade="F2"/>
            <w:vAlign w:val="center"/>
            <w:hideMark/>
          </w:tcPr>
          <w:p w14:paraId="321BC65A" w14:textId="77777777" w:rsidR="006903A5" w:rsidRPr="00724BBB" w:rsidRDefault="006903A5">
            <w:pPr>
              <w:spacing w:line="276" w:lineRule="auto"/>
              <w:jc w:val="center"/>
              <w:rPr>
                <w:b/>
                <w:bCs/>
                <w:color w:val="000000"/>
                <w:sz w:val="20"/>
                <w:szCs w:val="20"/>
              </w:rPr>
            </w:pPr>
            <w:r w:rsidRPr="00724BBB">
              <w:rPr>
                <w:b/>
                <w:bCs/>
                <w:color w:val="000000"/>
                <w:sz w:val="20"/>
                <w:szCs w:val="20"/>
              </w:rPr>
              <w:t>MR</w:t>
            </w:r>
          </w:p>
        </w:tc>
        <w:tc>
          <w:tcPr>
            <w:tcW w:w="1134" w:type="dxa"/>
            <w:shd w:val="clear" w:color="auto" w:fill="F2F2F2" w:themeFill="background1" w:themeFillShade="F2"/>
            <w:vAlign w:val="center"/>
            <w:hideMark/>
          </w:tcPr>
          <w:p w14:paraId="6E953732" w14:textId="77777777" w:rsidR="006903A5" w:rsidRPr="00724BBB" w:rsidRDefault="006903A5">
            <w:pPr>
              <w:spacing w:line="276" w:lineRule="auto"/>
              <w:jc w:val="center"/>
              <w:rPr>
                <w:b/>
                <w:bCs/>
                <w:color w:val="000000"/>
                <w:sz w:val="20"/>
                <w:szCs w:val="20"/>
              </w:rPr>
            </w:pPr>
            <w:r w:rsidRPr="00724BBB">
              <w:rPr>
                <w:b/>
                <w:bCs/>
                <w:color w:val="000000"/>
                <w:sz w:val="20"/>
                <w:szCs w:val="20"/>
              </w:rPr>
              <w:t>PG</w:t>
            </w:r>
          </w:p>
        </w:tc>
        <w:tc>
          <w:tcPr>
            <w:tcW w:w="1560" w:type="dxa"/>
            <w:shd w:val="clear" w:color="auto" w:fill="F2F2F2" w:themeFill="background1" w:themeFillShade="F2"/>
            <w:vAlign w:val="center"/>
            <w:hideMark/>
          </w:tcPr>
          <w:p w14:paraId="6D736475" w14:textId="77777777" w:rsidR="006903A5" w:rsidRPr="00724BBB" w:rsidRDefault="006903A5">
            <w:pPr>
              <w:spacing w:line="276" w:lineRule="auto"/>
              <w:jc w:val="center"/>
              <w:rPr>
                <w:b/>
                <w:bCs/>
                <w:color w:val="000000"/>
                <w:sz w:val="20"/>
                <w:szCs w:val="20"/>
              </w:rPr>
            </w:pPr>
            <w:r w:rsidRPr="00724BBB">
              <w:rPr>
                <w:b/>
                <w:bCs/>
                <w:color w:val="000000"/>
                <w:sz w:val="20"/>
                <w:szCs w:val="20"/>
              </w:rPr>
              <w:t>Total Gambling Problems</w:t>
            </w:r>
          </w:p>
        </w:tc>
      </w:tr>
      <w:tr w:rsidR="006903A5" w:rsidRPr="00724BBB" w14:paraId="7BFBFA01" w14:textId="77777777">
        <w:trPr>
          <w:trHeight w:val="397"/>
        </w:trPr>
        <w:tc>
          <w:tcPr>
            <w:tcW w:w="3256" w:type="dxa"/>
            <w:vAlign w:val="center"/>
            <w:hideMark/>
          </w:tcPr>
          <w:p w14:paraId="3A7DD642" w14:textId="77777777" w:rsidR="006903A5" w:rsidRPr="00724BBB" w:rsidRDefault="006903A5" w:rsidP="006903A5">
            <w:pPr>
              <w:spacing w:line="276" w:lineRule="auto"/>
              <w:rPr>
                <w:color w:val="000000"/>
                <w:sz w:val="20"/>
                <w:szCs w:val="20"/>
              </w:rPr>
            </w:pPr>
            <w:r w:rsidRPr="00724BBB">
              <w:rPr>
                <w:color w:val="000000"/>
                <w:sz w:val="20"/>
                <w:szCs w:val="20"/>
              </w:rPr>
              <w:t>Number of people with gambling problems</w:t>
            </w:r>
          </w:p>
        </w:tc>
        <w:tc>
          <w:tcPr>
            <w:tcW w:w="1275" w:type="dxa"/>
            <w:vAlign w:val="center"/>
            <w:hideMark/>
          </w:tcPr>
          <w:p w14:paraId="089181D0" w14:textId="77777777" w:rsidR="006903A5" w:rsidRPr="00724BBB" w:rsidRDefault="006903A5">
            <w:pPr>
              <w:spacing w:line="276" w:lineRule="auto"/>
              <w:rPr>
                <w:color w:val="000000"/>
                <w:sz w:val="20"/>
                <w:szCs w:val="20"/>
              </w:rPr>
            </w:pPr>
            <w:r w:rsidRPr="00724BBB">
              <w:rPr>
                <w:color w:val="000000"/>
                <w:sz w:val="20"/>
                <w:szCs w:val="20"/>
              </w:rPr>
              <w:t>n</w:t>
            </w:r>
          </w:p>
        </w:tc>
        <w:tc>
          <w:tcPr>
            <w:tcW w:w="1134" w:type="dxa"/>
            <w:vAlign w:val="center"/>
            <w:hideMark/>
          </w:tcPr>
          <w:p w14:paraId="512DC840" w14:textId="77777777" w:rsidR="006903A5" w:rsidRPr="00724BBB" w:rsidRDefault="006903A5">
            <w:pPr>
              <w:spacing w:line="276" w:lineRule="auto"/>
              <w:jc w:val="right"/>
              <w:rPr>
                <w:color w:val="000000"/>
                <w:sz w:val="20"/>
                <w:szCs w:val="20"/>
              </w:rPr>
            </w:pPr>
            <w:r w:rsidRPr="00724BBB">
              <w:rPr>
                <w:color w:val="000000"/>
                <w:sz w:val="20"/>
                <w:szCs w:val="20"/>
              </w:rPr>
              <w:t>255,318</w:t>
            </w:r>
          </w:p>
        </w:tc>
        <w:tc>
          <w:tcPr>
            <w:tcW w:w="1134" w:type="dxa"/>
            <w:vAlign w:val="center"/>
            <w:hideMark/>
          </w:tcPr>
          <w:p w14:paraId="64682839" w14:textId="77777777" w:rsidR="006903A5" w:rsidRPr="00724BBB" w:rsidRDefault="006903A5">
            <w:pPr>
              <w:spacing w:line="276" w:lineRule="auto"/>
              <w:jc w:val="right"/>
              <w:rPr>
                <w:color w:val="000000"/>
                <w:sz w:val="20"/>
                <w:szCs w:val="20"/>
              </w:rPr>
            </w:pPr>
            <w:r w:rsidRPr="00724BBB">
              <w:rPr>
                <w:color w:val="000000"/>
                <w:sz w:val="20"/>
                <w:szCs w:val="20"/>
              </w:rPr>
              <w:t>83,492</w:t>
            </w:r>
          </w:p>
        </w:tc>
        <w:tc>
          <w:tcPr>
            <w:tcW w:w="1134" w:type="dxa"/>
            <w:vAlign w:val="center"/>
            <w:hideMark/>
          </w:tcPr>
          <w:p w14:paraId="0ADBFEE8" w14:textId="77777777" w:rsidR="006903A5" w:rsidRPr="00724BBB" w:rsidRDefault="006903A5">
            <w:pPr>
              <w:spacing w:line="276" w:lineRule="auto"/>
              <w:jc w:val="right"/>
              <w:rPr>
                <w:color w:val="000000"/>
                <w:sz w:val="20"/>
                <w:szCs w:val="20"/>
              </w:rPr>
            </w:pPr>
            <w:r w:rsidRPr="00724BBB">
              <w:rPr>
                <w:color w:val="000000"/>
                <w:sz w:val="20"/>
                <w:szCs w:val="20"/>
              </w:rPr>
              <w:t>20,436</w:t>
            </w:r>
          </w:p>
        </w:tc>
        <w:tc>
          <w:tcPr>
            <w:tcW w:w="1560" w:type="dxa"/>
            <w:vAlign w:val="center"/>
            <w:hideMark/>
          </w:tcPr>
          <w:p w14:paraId="34CEC8D9" w14:textId="77777777" w:rsidR="006903A5" w:rsidRPr="00724BBB" w:rsidRDefault="006903A5">
            <w:pPr>
              <w:spacing w:line="276" w:lineRule="auto"/>
              <w:jc w:val="right"/>
              <w:rPr>
                <w:color w:val="000000"/>
                <w:sz w:val="20"/>
                <w:szCs w:val="20"/>
              </w:rPr>
            </w:pPr>
            <w:r w:rsidRPr="00724BBB">
              <w:rPr>
                <w:color w:val="000000"/>
                <w:sz w:val="20"/>
                <w:szCs w:val="20"/>
              </w:rPr>
              <w:t>359,246</w:t>
            </w:r>
          </w:p>
        </w:tc>
      </w:tr>
      <w:tr w:rsidR="006903A5" w:rsidRPr="00724BBB" w14:paraId="68B8E86A" w14:textId="77777777">
        <w:trPr>
          <w:trHeight w:val="397"/>
        </w:trPr>
        <w:tc>
          <w:tcPr>
            <w:tcW w:w="3256" w:type="dxa"/>
            <w:vAlign w:val="center"/>
            <w:hideMark/>
          </w:tcPr>
          <w:p w14:paraId="0CB2FC04" w14:textId="77777777" w:rsidR="006903A5" w:rsidRPr="00724BBB" w:rsidRDefault="006903A5" w:rsidP="006903A5">
            <w:pPr>
              <w:spacing w:line="276" w:lineRule="auto"/>
              <w:rPr>
                <w:color w:val="000000"/>
                <w:sz w:val="20"/>
                <w:szCs w:val="20"/>
              </w:rPr>
            </w:pPr>
            <w:r w:rsidRPr="00724BBB">
              <w:rPr>
                <w:color w:val="000000"/>
                <w:sz w:val="20"/>
                <w:szCs w:val="20"/>
              </w:rPr>
              <w:t>Number of affected others per person</w:t>
            </w:r>
          </w:p>
        </w:tc>
        <w:tc>
          <w:tcPr>
            <w:tcW w:w="1275" w:type="dxa"/>
            <w:vAlign w:val="center"/>
            <w:hideMark/>
          </w:tcPr>
          <w:p w14:paraId="497ADE79" w14:textId="77777777" w:rsidR="006903A5" w:rsidRPr="00724BBB" w:rsidRDefault="006903A5">
            <w:pPr>
              <w:spacing w:line="276" w:lineRule="auto"/>
              <w:rPr>
                <w:color w:val="000000"/>
                <w:sz w:val="20"/>
                <w:szCs w:val="20"/>
              </w:rPr>
            </w:pPr>
            <w:r w:rsidRPr="00724BBB">
              <w:rPr>
                <w:color w:val="000000"/>
                <w:sz w:val="20"/>
                <w:szCs w:val="20"/>
              </w:rPr>
              <w:t>a</w:t>
            </w:r>
          </w:p>
        </w:tc>
        <w:tc>
          <w:tcPr>
            <w:tcW w:w="1134" w:type="dxa"/>
            <w:vAlign w:val="center"/>
            <w:hideMark/>
          </w:tcPr>
          <w:p w14:paraId="09B5AA91" w14:textId="77777777" w:rsidR="006903A5" w:rsidRPr="00724BBB" w:rsidRDefault="006903A5">
            <w:pPr>
              <w:spacing w:line="276" w:lineRule="auto"/>
              <w:jc w:val="right"/>
              <w:rPr>
                <w:color w:val="000000"/>
                <w:sz w:val="20"/>
                <w:szCs w:val="20"/>
              </w:rPr>
            </w:pPr>
            <w:r w:rsidRPr="00724BBB">
              <w:rPr>
                <w:color w:val="000000"/>
                <w:sz w:val="20"/>
                <w:szCs w:val="20"/>
              </w:rPr>
              <w:t>1</w:t>
            </w:r>
          </w:p>
        </w:tc>
        <w:tc>
          <w:tcPr>
            <w:tcW w:w="1134" w:type="dxa"/>
            <w:vAlign w:val="center"/>
            <w:hideMark/>
          </w:tcPr>
          <w:p w14:paraId="195D31A7" w14:textId="77777777" w:rsidR="006903A5" w:rsidRPr="00724BBB" w:rsidRDefault="006903A5">
            <w:pPr>
              <w:spacing w:line="276" w:lineRule="auto"/>
              <w:jc w:val="right"/>
              <w:rPr>
                <w:color w:val="000000"/>
                <w:sz w:val="20"/>
                <w:szCs w:val="20"/>
              </w:rPr>
            </w:pPr>
            <w:r w:rsidRPr="00724BBB">
              <w:rPr>
                <w:color w:val="000000"/>
                <w:sz w:val="20"/>
                <w:szCs w:val="20"/>
              </w:rPr>
              <w:t>3</w:t>
            </w:r>
          </w:p>
        </w:tc>
        <w:tc>
          <w:tcPr>
            <w:tcW w:w="1134" w:type="dxa"/>
            <w:vAlign w:val="center"/>
            <w:hideMark/>
          </w:tcPr>
          <w:p w14:paraId="27469741" w14:textId="77777777" w:rsidR="006903A5" w:rsidRPr="00724BBB" w:rsidRDefault="006903A5">
            <w:pPr>
              <w:spacing w:line="276" w:lineRule="auto"/>
              <w:jc w:val="right"/>
              <w:rPr>
                <w:color w:val="000000"/>
                <w:sz w:val="20"/>
                <w:szCs w:val="20"/>
              </w:rPr>
            </w:pPr>
            <w:r w:rsidRPr="00724BBB">
              <w:rPr>
                <w:color w:val="000000"/>
                <w:sz w:val="20"/>
                <w:szCs w:val="20"/>
              </w:rPr>
              <w:t>6</w:t>
            </w:r>
          </w:p>
        </w:tc>
        <w:tc>
          <w:tcPr>
            <w:tcW w:w="1560" w:type="dxa"/>
            <w:vAlign w:val="center"/>
            <w:hideMark/>
          </w:tcPr>
          <w:p w14:paraId="5A256C4F" w14:textId="77777777" w:rsidR="006903A5" w:rsidRPr="00724BBB" w:rsidRDefault="006903A5">
            <w:pPr>
              <w:spacing w:line="276" w:lineRule="auto"/>
              <w:jc w:val="right"/>
              <w:rPr>
                <w:color w:val="000000"/>
                <w:sz w:val="20"/>
                <w:szCs w:val="20"/>
              </w:rPr>
            </w:pPr>
            <w:r w:rsidRPr="00724BBB">
              <w:rPr>
                <w:color w:val="000000"/>
                <w:sz w:val="20"/>
                <w:szCs w:val="20"/>
              </w:rPr>
              <w:t> </w:t>
            </w:r>
          </w:p>
        </w:tc>
      </w:tr>
      <w:tr w:rsidR="006903A5" w:rsidRPr="00724BBB" w14:paraId="40BC03F5" w14:textId="77777777">
        <w:trPr>
          <w:trHeight w:val="397"/>
        </w:trPr>
        <w:tc>
          <w:tcPr>
            <w:tcW w:w="3256" w:type="dxa"/>
            <w:vAlign w:val="center"/>
            <w:hideMark/>
          </w:tcPr>
          <w:p w14:paraId="18B922EC" w14:textId="77777777" w:rsidR="006903A5" w:rsidRPr="00724BBB" w:rsidRDefault="006903A5" w:rsidP="006903A5">
            <w:pPr>
              <w:spacing w:line="276" w:lineRule="auto"/>
              <w:rPr>
                <w:color w:val="000000"/>
                <w:sz w:val="20"/>
                <w:szCs w:val="20"/>
              </w:rPr>
            </w:pPr>
            <w:r w:rsidRPr="00724BBB">
              <w:rPr>
                <w:color w:val="000000"/>
                <w:sz w:val="20"/>
                <w:szCs w:val="20"/>
              </w:rPr>
              <w:t>Total number of affected others in the population</w:t>
            </w:r>
          </w:p>
        </w:tc>
        <w:tc>
          <w:tcPr>
            <w:tcW w:w="1275" w:type="dxa"/>
            <w:vAlign w:val="center"/>
            <w:hideMark/>
          </w:tcPr>
          <w:p w14:paraId="117D673E" w14:textId="77777777" w:rsidR="006903A5" w:rsidRPr="00724BBB" w:rsidRDefault="006903A5">
            <w:pPr>
              <w:spacing w:line="276" w:lineRule="auto"/>
              <w:rPr>
                <w:color w:val="000000"/>
                <w:sz w:val="20"/>
                <w:szCs w:val="20"/>
              </w:rPr>
            </w:pPr>
            <w:r w:rsidRPr="00724BBB">
              <w:rPr>
                <w:color w:val="000000"/>
                <w:sz w:val="20"/>
                <w:szCs w:val="20"/>
              </w:rPr>
              <w:t xml:space="preserve">b = (a x n) </w:t>
            </w:r>
          </w:p>
        </w:tc>
        <w:tc>
          <w:tcPr>
            <w:tcW w:w="1134" w:type="dxa"/>
            <w:vAlign w:val="center"/>
            <w:hideMark/>
          </w:tcPr>
          <w:p w14:paraId="12EE6F25" w14:textId="77777777" w:rsidR="006903A5" w:rsidRPr="00724BBB" w:rsidRDefault="006903A5">
            <w:pPr>
              <w:spacing w:line="276" w:lineRule="auto"/>
              <w:jc w:val="right"/>
              <w:rPr>
                <w:color w:val="000000"/>
                <w:sz w:val="20"/>
                <w:szCs w:val="20"/>
              </w:rPr>
            </w:pPr>
            <w:r w:rsidRPr="00724BBB">
              <w:rPr>
                <w:color w:val="000000"/>
                <w:sz w:val="20"/>
                <w:szCs w:val="20"/>
              </w:rPr>
              <w:t>255,318</w:t>
            </w:r>
          </w:p>
        </w:tc>
        <w:tc>
          <w:tcPr>
            <w:tcW w:w="1134" w:type="dxa"/>
            <w:vAlign w:val="center"/>
            <w:hideMark/>
          </w:tcPr>
          <w:p w14:paraId="602AAC11" w14:textId="77777777" w:rsidR="006903A5" w:rsidRPr="00724BBB" w:rsidRDefault="006903A5">
            <w:pPr>
              <w:spacing w:line="276" w:lineRule="auto"/>
              <w:jc w:val="right"/>
              <w:rPr>
                <w:color w:val="000000"/>
                <w:sz w:val="20"/>
                <w:szCs w:val="20"/>
              </w:rPr>
            </w:pPr>
            <w:r w:rsidRPr="00724BBB">
              <w:rPr>
                <w:color w:val="000000"/>
                <w:sz w:val="20"/>
                <w:szCs w:val="20"/>
              </w:rPr>
              <w:t>250,476</w:t>
            </w:r>
          </w:p>
        </w:tc>
        <w:tc>
          <w:tcPr>
            <w:tcW w:w="1134" w:type="dxa"/>
            <w:vAlign w:val="center"/>
            <w:hideMark/>
          </w:tcPr>
          <w:p w14:paraId="6017E8E8" w14:textId="77777777" w:rsidR="006903A5" w:rsidRPr="00724BBB" w:rsidRDefault="006903A5">
            <w:pPr>
              <w:spacing w:line="276" w:lineRule="auto"/>
              <w:jc w:val="right"/>
              <w:rPr>
                <w:color w:val="000000"/>
                <w:sz w:val="20"/>
                <w:szCs w:val="20"/>
              </w:rPr>
            </w:pPr>
            <w:r w:rsidRPr="00724BBB">
              <w:rPr>
                <w:color w:val="000000"/>
                <w:sz w:val="20"/>
                <w:szCs w:val="20"/>
              </w:rPr>
              <w:t>122,616</w:t>
            </w:r>
          </w:p>
        </w:tc>
        <w:tc>
          <w:tcPr>
            <w:tcW w:w="1560" w:type="dxa"/>
            <w:vAlign w:val="center"/>
            <w:hideMark/>
          </w:tcPr>
          <w:p w14:paraId="104EF93B" w14:textId="77777777" w:rsidR="006903A5" w:rsidRPr="00724BBB" w:rsidRDefault="006903A5">
            <w:pPr>
              <w:spacing w:line="276" w:lineRule="auto"/>
              <w:jc w:val="right"/>
              <w:rPr>
                <w:color w:val="000000"/>
                <w:sz w:val="20"/>
                <w:szCs w:val="20"/>
              </w:rPr>
            </w:pPr>
            <w:r w:rsidRPr="00724BBB">
              <w:rPr>
                <w:color w:val="000000"/>
                <w:sz w:val="20"/>
                <w:szCs w:val="20"/>
              </w:rPr>
              <w:t> </w:t>
            </w:r>
          </w:p>
        </w:tc>
      </w:tr>
      <w:tr w:rsidR="006903A5" w:rsidRPr="00724BBB" w14:paraId="48238C5E" w14:textId="77777777">
        <w:trPr>
          <w:trHeight w:val="397"/>
        </w:trPr>
        <w:tc>
          <w:tcPr>
            <w:tcW w:w="3256" w:type="dxa"/>
            <w:vAlign w:val="center"/>
            <w:hideMark/>
          </w:tcPr>
          <w:p w14:paraId="07F09856" w14:textId="77777777" w:rsidR="006903A5" w:rsidRPr="00724BBB" w:rsidRDefault="006903A5" w:rsidP="006903A5">
            <w:pPr>
              <w:spacing w:line="276" w:lineRule="auto"/>
              <w:rPr>
                <w:color w:val="000000"/>
                <w:sz w:val="20"/>
                <w:szCs w:val="20"/>
              </w:rPr>
            </w:pPr>
            <w:r w:rsidRPr="00724BBB">
              <w:rPr>
                <w:color w:val="000000"/>
                <w:sz w:val="20"/>
                <w:szCs w:val="20"/>
              </w:rPr>
              <w:t>Proportion reporting harm to physical or mental health due to another person's gambling</w:t>
            </w:r>
          </w:p>
        </w:tc>
        <w:tc>
          <w:tcPr>
            <w:tcW w:w="1275" w:type="dxa"/>
            <w:vAlign w:val="center"/>
            <w:hideMark/>
          </w:tcPr>
          <w:p w14:paraId="3410D5E9" w14:textId="77777777" w:rsidR="006903A5" w:rsidRPr="00724BBB" w:rsidRDefault="006903A5">
            <w:pPr>
              <w:spacing w:line="276" w:lineRule="auto"/>
              <w:rPr>
                <w:color w:val="000000"/>
                <w:sz w:val="20"/>
                <w:szCs w:val="20"/>
              </w:rPr>
            </w:pPr>
            <w:r w:rsidRPr="00724BBB">
              <w:rPr>
                <w:color w:val="000000"/>
                <w:sz w:val="20"/>
                <w:szCs w:val="20"/>
              </w:rPr>
              <w:t>c</w:t>
            </w:r>
          </w:p>
        </w:tc>
        <w:tc>
          <w:tcPr>
            <w:tcW w:w="1134" w:type="dxa"/>
            <w:vAlign w:val="center"/>
            <w:hideMark/>
          </w:tcPr>
          <w:p w14:paraId="04EB2E1B" w14:textId="77777777" w:rsidR="006903A5" w:rsidRPr="00724BBB" w:rsidRDefault="006903A5">
            <w:pPr>
              <w:spacing w:line="276" w:lineRule="auto"/>
              <w:jc w:val="right"/>
              <w:rPr>
                <w:color w:val="000000"/>
                <w:sz w:val="20"/>
                <w:szCs w:val="20"/>
              </w:rPr>
            </w:pPr>
            <w:r w:rsidRPr="00724BBB">
              <w:rPr>
                <w:color w:val="000000"/>
                <w:sz w:val="20"/>
                <w:szCs w:val="20"/>
              </w:rPr>
              <w:t>27.3%</w:t>
            </w:r>
          </w:p>
        </w:tc>
        <w:tc>
          <w:tcPr>
            <w:tcW w:w="1134" w:type="dxa"/>
            <w:vAlign w:val="center"/>
            <w:hideMark/>
          </w:tcPr>
          <w:p w14:paraId="4D5468D9" w14:textId="77777777" w:rsidR="006903A5" w:rsidRPr="00724BBB" w:rsidRDefault="006903A5">
            <w:pPr>
              <w:spacing w:line="276" w:lineRule="auto"/>
              <w:jc w:val="right"/>
              <w:rPr>
                <w:color w:val="000000"/>
                <w:sz w:val="20"/>
                <w:szCs w:val="20"/>
              </w:rPr>
            </w:pPr>
            <w:r w:rsidRPr="00724BBB">
              <w:rPr>
                <w:color w:val="000000"/>
                <w:sz w:val="20"/>
                <w:szCs w:val="20"/>
              </w:rPr>
              <w:t>36.8%</w:t>
            </w:r>
          </w:p>
        </w:tc>
        <w:tc>
          <w:tcPr>
            <w:tcW w:w="1134" w:type="dxa"/>
            <w:vAlign w:val="center"/>
            <w:hideMark/>
          </w:tcPr>
          <w:p w14:paraId="3A4718A9" w14:textId="77777777" w:rsidR="006903A5" w:rsidRPr="00724BBB" w:rsidRDefault="006903A5">
            <w:pPr>
              <w:spacing w:line="276" w:lineRule="auto"/>
              <w:jc w:val="right"/>
              <w:rPr>
                <w:color w:val="000000"/>
                <w:sz w:val="20"/>
                <w:szCs w:val="20"/>
              </w:rPr>
            </w:pPr>
            <w:r w:rsidRPr="00724BBB">
              <w:rPr>
                <w:color w:val="000000"/>
                <w:sz w:val="20"/>
                <w:szCs w:val="20"/>
              </w:rPr>
              <w:t>67.4%</w:t>
            </w:r>
          </w:p>
        </w:tc>
        <w:tc>
          <w:tcPr>
            <w:tcW w:w="1560" w:type="dxa"/>
            <w:vAlign w:val="center"/>
            <w:hideMark/>
          </w:tcPr>
          <w:p w14:paraId="5489DE57" w14:textId="77777777" w:rsidR="006903A5" w:rsidRPr="00724BBB" w:rsidRDefault="006903A5">
            <w:pPr>
              <w:spacing w:line="276" w:lineRule="auto"/>
              <w:jc w:val="right"/>
              <w:rPr>
                <w:color w:val="000000"/>
                <w:sz w:val="20"/>
                <w:szCs w:val="20"/>
              </w:rPr>
            </w:pPr>
            <w:r w:rsidRPr="00724BBB">
              <w:rPr>
                <w:color w:val="000000"/>
                <w:sz w:val="20"/>
                <w:szCs w:val="20"/>
              </w:rPr>
              <w:t> </w:t>
            </w:r>
          </w:p>
        </w:tc>
      </w:tr>
      <w:tr w:rsidR="006903A5" w:rsidRPr="00724BBB" w14:paraId="26AAD9A2" w14:textId="77777777">
        <w:trPr>
          <w:trHeight w:val="397"/>
        </w:trPr>
        <w:tc>
          <w:tcPr>
            <w:tcW w:w="3256" w:type="dxa"/>
            <w:vAlign w:val="center"/>
            <w:hideMark/>
          </w:tcPr>
          <w:p w14:paraId="16CCC70C" w14:textId="77777777" w:rsidR="006903A5" w:rsidRPr="00724BBB" w:rsidRDefault="006903A5" w:rsidP="006903A5">
            <w:pPr>
              <w:spacing w:line="276" w:lineRule="auto"/>
              <w:rPr>
                <w:color w:val="000000"/>
                <w:sz w:val="20"/>
                <w:szCs w:val="20"/>
              </w:rPr>
            </w:pPr>
            <w:r w:rsidRPr="00724BBB">
              <w:rPr>
                <w:color w:val="000000"/>
                <w:sz w:val="20"/>
                <w:szCs w:val="20"/>
              </w:rPr>
              <w:t>Estimated number experiencing health harm</w:t>
            </w:r>
          </w:p>
        </w:tc>
        <w:tc>
          <w:tcPr>
            <w:tcW w:w="1275" w:type="dxa"/>
            <w:vAlign w:val="center"/>
            <w:hideMark/>
          </w:tcPr>
          <w:p w14:paraId="48FCC31E" w14:textId="77777777" w:rsidR="006903A5" w:rsidRPr="00724BBB" w:rsidRDefault="006903A5">
            <w:pPr>
              <w:spacing w:line="276" w:lineRule="auto"/>
              <w:rPr>
                <w:color w:val="000000"/>
                <w:sz w:val="20"/>
                <w:szCs w:val="20"/>
              </w:rPr>
            </w:pPr>
            <w:r w:rsidRPr="00724BBB">
              <w:rPr>
                <w:color w:val="000000"/>
                <w:sz w:val="20"/>
                <w:szCs w:val="20"/>
              </w:rPr>
              <w:t>d = (b x c) x 80%</w:t>
            </w:r>
          </w:p>
        </w:tc>
        <w:tc>
          <w:tcPr>
            <w:tcW w:w="1134" w:type="dxa"/>
            <w:vAlign w:val="center"/>
            <w:hideMark/>
          </w:tcPr>
          <w:p w14:paraId="23D632BD" w14:textId="77777777" w:rsidR="006903A5" w:rsidRPr="00724BBB" w:rsidRDefault="006903A5">
            <w:pPr>
              <w:spacing w:line="276" w:lineRule="auto"/>
              <w:jc w:val="right"/>
              <w:rPr>
                <w:color w:val="000000"/>
                <w:sz w:val="20"/>
                <w:szCs w:val="20"/>
              </w:rPr>
            </w:pPr>
            <w:r w:rsidRPr="00724BBB">
              <w:rPr>
                <w:color w:val="000000"/>
                <w:sz w:val="20"/>
                <w:szCs w:val="20"/>
              </w:rPr>
              <w:t>55,761</w:t>
            </w:r>
          </w:p>
        </w:tc>
        <w:tc>
          <w:tcPr>
            <w:tcW w:w="1134" w:type="dxa"/>
            <w:vAlign w:val="center"/>
            <w:hideMark/>
          </w:tcPr>
          <w:p w14:paraId="6B653228" w14:textId="77777777" w:rsidR="006903A5" w:rsidRPr="00724BBB" w:rsidRDefault="006903A5">
            <w:pPr>
              <w:spacing w:line="276" w:lineRule="auto"/>
              <w:jc w:val="right"/>
              <w:rPr>
                <w:color w:val="000000"/>
                <w:sz w:val="20"/>
                <w:szCs w:val="20"/>
              </w:rPr>
            </w:pPr>
            <w:r w:rsidRPr="00724BBB">
              <w:rPr>
                <w:color w:val="000000"/>
                <w:sz w:val="20"/>
                <w:szCs w:val="20"/>
              </w:rPr>
              <w:t>73,740</w:t>
            </w:r>
          </w:p>
        </w:tc>
        <w:tc>
          <w:tcPr>
            <w:tcW w:w="1134" w:type="dxa"/>
            <w:vAlign w:val="center"/>
            <w:hideMark/>
          </w:tcPr>
          <w:p w14:paraId="24421CE6" w14:textId="77777777" w:rsidR="006903A5" w:rsidRPr="00724BBB" w:rsidRDefault="006903A5">
            <w:pPr>
              <w:spacing w:line="276" w:lineRule="auto"/>
              <w:jc w:val="right"/>
              <w:rPr>
                <w:color w:val="000000"/>
                <w:sz w:val="20"/>
                <w:szCs w:val="20"/>
              </w:rPr>
            </w:pPr>
            <w:r w:rsidRPr="00724BBB">
              <w:rPr>
                <w:color w:val="000000"/>
                <w:sz w:val="20"/>
                <w:szCs w:val="20"/>
              </w:rPr>
              <w:t>66,115</w:t>
            </w:r>
          </w:p>
        </w:tc>
        <w:tc>
          <w:tcPr>
            <w:tcW w:w="1560" w:type="dxa"/>
            <w:vAlign w:val="center"/>
            <w:hideMark/>
          </w:tcPr>
          <w:p w14:paraId="175B5A7B" w14:textId="77777777" w:rsidR="006903A5" w:rsidRPr="00724BBB" w:rsidRDefault="006903A5">
            <w:pPr>
              <w:spacing w:line="276" w:lineRule="auto"/>
              <w:jc w:val="right"/>
              <w:rPr>
                <w:color w:val="000000"/>
                <w:sz w:val="20"/>
                <w:szCs w:val="20"/>
              </w:rPr>
            </w:pPr>
            <w:r w:rsidRPr="00724BBB">
              <w:rPr>
                <w:color w:val="000000"/>
                <w:sz w:val="20"/>
                <w:szCs w:val="20"/>
              </w:rPr>
              <w:t>195,616</w:t>
            </w:r>
          </w:p>
        </w:tc>
      </w:tr>
      <w:tr w:rsidR="006903A5" w:rsidRPr="00724BBB" w14:paraId="4A648B28" w14:textId="77777777">
        <w:trPr>
          <w:trHeight w:val="397"/>
        </w:trPr>
        <w:tc>
          <w:tcPr>
            <w:tcW w:w="3256" w:type="dxa"/>
            <w:vAlign w:val="center"/>
            <w:hideMark/>
          </w:tcPr>
          <w:p w14:paraId="036BD121" w14:textId="77777777" w:rsidR="006903A5" w:rsidRPr="00724BBB" w:rsidRDefault="006903A5" w:rsidP="006903A5">
            <w:pPr>
              <w:spacing w:line="276" w:lineRule="auto"/>
              <w:rPr>
                <w:color w:val="000000"/>
                <w:sz w:val="20"/>
                <w:szCs w:val="20"/>
              </w:rPr>
            </w:pPr>
            <w:r w:rsidRPr="00724BBB">
              <w:rPr>
                <w:color w:val="000000"/>
                <w:sz w:val="20"/>
                <w:szCs w:val="20"/>
              </w:rPr>
              <w:t>HRQoL decrement associated with gambler's PGSI</w:t>
            </w:r>
          </w:p>
        </w:tc>
        <w:tc>
          <w:tcPr>
            <w:tcW w:w="1275" w:type="dxa"/>
            <w:vAlign w:val="center"/>
            <w:hideMark/>
          </w:tcPr>
          <w:p w14:paraId="5A429815" w14:textId="77777777" w:rsidR="006903A5" w:rsidRPr="00724BBB" w:rsidRDefault="006903A5">
            <w:pPr>
              <w:spacing w:line="276" w:lineRule="auto"/>
              <w:rPr>
                <w:color w:val="000000"/>
                <w:sz w:val="20"/>
                <w:szCs w:val="20"/>
              </w:rPr>
            </w:pPr>
            <w:r w:rsidRPr="00724BBB">
              <w:rPr>
                <w:color w:val="000000"/>
                <w:sz w:val="20"/>
                <w:szCs w:val="20"/>
              </w:rPr>
              <w:t>e</w:t>
            </w:r>
          </w:p>
        </w:tc>
        <w:tc>
          <w:tcPr>
            <w:tcW w:w="1134" w:type="dxa"/>
            <w:vAlign w:val="center"/>
            <w:hideMark/>
          </w:tcPr>
          <w:p w14:paraId="47D14734" w14:textId="77777777" w:rsidR="006903A5" w:rsidRPr="00724BBB" w:rsidRDefault="006903A5">
            <w:pPr>
              <w:spacing w:line="276" w:lineRule="auto"/>
              <w:jc w:val="right"/>
              <w:rPr>
                <w:color w:val="000000"/>
                <w:sz w:val="20"/>
                <w:szCs w:val="20"/>
              </w:rPr>
            </w:pPr>
            <w:r w:rsidRPr="00724BBB">
              <w:rPr>
                <w:color w:val="000000"/>
                <w:sz w:val="20"/>
                <w:szCs w:val="20"/>
              </w:rPr>
              <w:t>0.05</w:t>
            </w:r>
          </w:p>
        </w:tc>
        <w:tc>
          <w:tcPr>
            <w:tcW w:w="1134" w:type="dxa"/>
            <w:vAlign w:val="center"/>
            <w:hideMark/>
          </w:tcPr>
          <w:p w14:paraId="42A56D1B" w14:textId="77777777" w:rsidR="006903A5" w:rsidRPr="00724BBB" w:rsidRDefault="006903A5">
            <w:pPr>
              <w:spacing w:line="276" w:lineRule="auto"/>
              <w:jc w:val="right"/>
              <w:rPr>
                <w:color w:val="000000"/>
                <w:sz w:val="20"/>
                <w:szCs w:val="20"/>
              </w:rPr>
            </w:pPr>
            <w:r w:rsidRPr="00724BBB">
              <w:rPr>
                <w:color w:val="000000"/>
                <w:sz w:val="20"/>
                <w:szCs w:val="20"/>
              </w:rPr>
              <w:t>0.15</w:t>
            </w:r>
          </w:p>
        </w:tc>
        <w:tc>
          <w:tcPr>
            <w:tcW w:w="1134" w:type="dxa"/>
            <w:vAlign w:val="center"/>
            <w:hideMark/>
          </w:tcPr>
          <w:p w14:paraId="5F578F21" w14:textId="77777777" w:rsidR="006903A5" w:rsidRPr="00724BBB" w:rsidRDefault="006903A5">
            <w:pPr>
              <w:spacing w:line="276" w:lineRule="auto"/>
              <w:jc w:val="right"/>
              <w:rPr>
                <w:color w:val="000000"/>
                <w:sz w:val="20"/>
                <w:szCs w:val="20"/>
              </w:rPr>
            </w:pPr>
            <w:r w:rsidRPr="00724BBB">
              <w:rPr>
                <w:color w:val="000000"/>
                <w:sz w:val="20"/>
                <w:szCs w:val="20"/>
              </w:rPr>
              <w:t>0.40</w:t>
            </w:r>
          </w:p>
        </w:tc>
        <w:tc>
          <w:tcPr>
            <w:tcW w:w="1560" w:type="dxa"/>
            <w:vAlign w:val="center"/>
            <w:hideMark/>
          </w:tcPr>
          <w:p w14:paraId="3D1ADB86" w14:textId="77777777" w:rsidR="006903A5" w:rsidRPr="00724BBB" w:rsidRDefault="006903A5">
            <w:pPr>
              <w:spacing w:line="276" w:lineRule="auto"/>
              <w:jc w:val="right"/>
              <w:rPr>
                <w:color w:val="000000"/>
                <w:sz w:val="20"/>
                <w:szCs w:val="20"/>
              </w:rPr>
            </w:pPr>
            <w:r w:rsidRPr="00724BBB">
              <w:rPr>
                <w:color w:val="000000"/>
                <w:sz w:val="20"/>
                <w:szCs w:val="20"/>
              </w:rPr>
              <w:t> </w:t>
            </w:r>
          </w:p>
        </w:tc>
      </w:tr>
      <w:tr w:rsidR="006903A5" w:rsidRPr="00724BBB" w14:paraId="638F7452" w14:textId="77777777">
        <w:trPr>
          <w:trHeight w:val="397"/>
        </w:trPr>
        <w:tc>
          <w:tcPr>
            <w:tcW w:w="3256" w:type="dxa"/>
            <w:vAlign w:val="center"/>
            <w:hideMark/>
          </w:tcPr>
          <w:p w14:paraId="0E3B5174" w14:textId="77777777" w:rsidR="006903A5" w:rsidRPr="00724BBB" w:rsidRDefault="006903A5">
            <w:pPr>
              <w:spacing w:line="276" w:lineRule="auto"/>
              <w:rPr>
                <w:color w:val="000000"/>
                <w:sz w:val="20"/>
                <w:szCs w:val="20"/>
              </w:rPr>
            </w:pPr>
            <w:r w:rsidRPr="00724BBB">
              <w:rPr>
                <w:color w:val="000000"/>
                <w:sz w:val="20"/>
                <w:szCs w:val="20"/>
              </w:rPr>
              <w:t>Estimated Years Lived with a Disability (YLD) burden</w:t>
            </w:r>
          </w:p>
        </w:tc>
        <w:tc>
          <w:tcPr>
            <w:tcW w:w="1275" w:type="dxa"/>
            <w:vAlign w:val="center"/>
            <w:hideMark/>
          </w:tcPr>
          <w:p w14:paraId="14B09367" w14:textId="77777777" w:rsidR="006903A5" w:rsidRPr="00724BBB" w:rsidRDefault="006903A5">
            <w:pPr>
              <w:spacing w:line="276" w:lineRule="auto"/>
              <w:rPr>
                <w:color w:val="000000"/>
                <w:sz w:val="20"/>
                <w:szCs w:val="20"/>
              </w:rPr>
            </w:pPr>
            <w:r w:rsidRPr="00724BBB">
              <w:rPr>
                <w:color w:val="000000"/>
                <w:sz w:val="20"/>
                <w:szCs w:val="20"/>
              </w:rPr>
              <w:t>f = d x e</w:t>
            </w:r>
          </w:p>
        </w:tc>
        <w:tc>
          <w:tcPr>
            <w:tcW w:w="1134" w:type="dxa"/>
            <w:vAlign w:val="center"/>
            <w:hideMark/>
          </w:tcPr>
          <w:p w14:paraId="55139C1A" w14:textId="77777777" w:rsidR="006903A5" w:rsidRPr="00724BBB" w:rsidRDefault="006903A5">
            <w:pPr>
              <w:spacing w:line="276" w:lineRule="auto"/>
              <w:jc w:val="right"/>
              <w:rPr>
                <w:color w:val="000000"/>
                <w:sz w:val="20"/>
                <w:szCs w:val="20"/>
              </w:rPr>
            </w:pPr>
            <w:r w:rsidRPr="00724BBB">
              <w:rPr>
                <w:color w:val="000000"/>
                <w:sz w:val="20"/>
                <w:szCs w:val="20"/>
              </w:rPr>
              <w:t>2,974</w:t>
            </w:r>
          </w:p>
        </w:tc>
        <w:tc>
          <w:tcPr>
            <w:tcW w:w="1134" w:type="dxa"/>
            <w:vAlign w:val="center"/>
            <w:hideMark/>
          </w:tcPr>
          <w:p w14:paraId="6C58686F" w14:textId="77777777" w:rsidR="006903A5" w:rsidRPr="00724BBB" w:rsidRDefault="006903A5">
            <w:pPr>
              <w:spacing w:line="276" w:lineRule="auto"/>
              <w:jc w:val="right"/>
              <w:rPr>
                <w:color w:val="000000"/>
                <w:sz w:val="20"/>
                <w:szCs w:val="20"/>
              </w:rPr>
            </w:pPr>
            <w:r w:rsidRPr="00724BBB">
              <w:rPr>
                <w:color w:val="000000"/>
                <w:sz w:val="20"/>
                <w:szCs w:val="20"/>
              </w:rPr>
              <w:t>11,143</w:t>
            </w:r>
          </w:p>
        </w:tc>
        <w:tc>
          <w:tcPr>
            <w:tcW w:w="1134" w:type="dxa"/>
            <w:vAlign w:val="center"/>
            <w:hideMark/>
          </w:tcPr>
          <w:p w14:paraId="16AB661C" w14:textId="77777777" w:rsidR="006903A5" w:rsidRPr="00724BBB" w:rsidRDefault="006903A5">
            <w:pPr>
              <w:spacing w:line="276" w:lineRule="auto"/>
              <w:jc w:val="right"/>
              <w:rPr>
                <w:color w:val="000000"/>
                <w:sz w:val="20"/>
                <w:szCs w:val="20"/>
              </w:rPr>
            </w:pPr>
            <w:r w:rsidRPr="00724BBB">
              <w:rPr>
                <w:color w:val="000000"/>
                <w:sz w:val="20"/>
                <w:szCs w:val="20"/>
              </w:rPr>
              <w:t>26,446</w:t>
            </w:r>
          </w:p>
        </w:tc>
        <w:tc>
          <w:tcPr>
            <w:tcW w:w="1560" w:type="dxa"/>
            <w:vAlign w:val="center"/>
            <w:hideMark/>
          </w:tcPr>
          <w:p w14:paraId="4878F658" w14:textId="77777777" w:rsidR="006903A5" w:rsidRPr="00724BBB" w:rsidRDefault="006903A5">
            <w:pPr>
              <w:spacing w:line="276" w:lineRule="auto"/>
              <w:jc w:val="right"/>
              <w:rPr>
                <w:color w:val="000000"/>
                <w:sz w:val="20"/>
                <w:szCs w:val="20"/>
              </w:rPr>
            </w:pPr>
            <w:r w:rsidRPr="00724BBB">
              <w:rPr>
                <w:color w:val="000000"/>
                <w:sz w:val="20"/>
                <w:szCs w:val="20"/>
              </w:rPr>
              <w:t>40,563</w:t>
            </w:r>
          </w:p>
        </w:tc>
      </w:tr>
      <w:tr w:rsidR="006903A5" w:rsidRPr="00724BBB" w14:paraId="3778D651" w14:textId="77777777" w:rsidTr="00841D8C">
        <w:trPr>
          <w:trHeight w:val="397"/>
        </w:trPr>
        <w:tc>
          <w:tcPr>
            <w:tcW w:w="3256" w:type="dxa"/>
            <w:vAlign w:val="center"/>
            <w:hideMark/>
          </w:tcPr>
          <w:p w14:paraId="116E4C47" w14:textId="77777777" w:rsidR="006903A5" w:rsidRPr="00724BBB" w:rsidRDefault="006903A5">
            <w:pPr>
              <w:spacing w:line="276" w:lineRule="auto"/>
              <w:rPr>
                <w:color w:val="000000"/>
                <w:sz w:val="20"/>
                <w:szCs w:val="20"/>
              </w:rPr>
            </w:pPr>
            <w:r w:rsidRPr="00724BBB">
              <w:rPr>
                <w:color w:val="000000"/>
                <w:sz w:val="20"/>
                <w:szCs w:val="20"/>
              </w:rPr>
              <w:t>Cost per YLD</w:t>
            </w:r>
          </w:p>
        </w:tc>
        <w:tc>
          <w:tcPr>
            <w:tcW w:w="1275" w:type="dxa"/>
            <w:vAlign w:val="center"/>
            <w:hideMark/>
          </w:tcPr>
          <w:p w14:paraId="4F70F524" w14:textId="77777777" w:rsidR="006903A5" w:rsidRPr="00724BBB" w:rsidRDefault="006903A5">
            <w:pPr>
              <w:spacing w:line="276" w:lineRule="auto"/>
              <w:rPr>
                <w:color w:val="000000"/>
                <w:sz w:val="20"/>
                <w:szCs w:val="20"/>
              </w:rPr>
            </w:pPr>
            <w:r w:rsidRPr="00724BBB">
              <w:rPr>
                <w:color w:val="000000"/>
                <w:sz w:val="20"/>
                <w:szCs w:val="20"/>
              </w:rPr>
              <w:t>g</w:t>
            </w:r>
          </w:p>
        </w:tc>
        <w:tc>
          <w:tcPr>
            <w:tcW w:w="4962" w:type="dxa"/>
            <w:gridSpan w:val="4"/>
            <w:vAlign w:val="center"/>
            <w:hideMark/>
          </w:tcPr>
          <w:p w14:paraId="3B794C81" w14:textId="6B4C8E28" w:rsidR="006903A5" w:rsidRPr="00724BBB" w:rsidRDefault="006903A5" w:rsidP="00841D8C">
            <w:pPr>
              <w:spacing w:line="276" w:lineRule="auto"/>
              <w:jc w:val="center"/>
              <w:rPr>
                <w:color w:val="000000"/>
                <w:sz w:val="20"/>
                <w:szCs w:val="20"/>
              </w:rPr>
            </w:pPr>
            <w:r w:rsidRPr="00724BBB">
              <w:rPr>
                <w:color w:val="000000"/>
                <w:sz w:val="20"/>
                <w:szCs w:val="20"/>
              </w:rPr>
              <w:t>$78,613</w:t>
            </w:r>
          </w:p>
        </w:tc>
      </w:tr>
      <w:tr w:rsidR="006903A5" w:rsidRPr="00724BBB" w14:paraId="4DE40D40" w14:textId="77777777">
        <w:trPr>
          <w:trHeight w:val="397"/>
        </w:trPr>
        <w:tc>
          <w:tcPr>
            <w:tcW w:w="3256" w:type="dxa"/>
            <w:shd w:val="clear" w:color="auto" w:fill="F2F2F2" w:themeFill="background1" w:themeFillShade="F2"/>
            <w:vAlign w:val="center"/>
            <w:hideMark/>
          </w:tcPr>
          <w:p w14:paraId="31C2B905" w14:textId="77777777" w:rsidR="006903A5" w:rsidRPr="00724BBB" w:rsidRDefault="006903A5">
            <w:pPr>
              <w:spacing w:line="276" w:lineRule="auto"/>
              <w:rPr>
                <w:b/>
                <w:bCs/>
                <w:color w:val="000000"/>
                <w:sz w:val="20"/>
                <w:szCs w:val="20"/>
              </w:rPr>
            </w:pPr>
            <w:r w:rsidRPr="00724BBB">
              <w:rPr>
                <w:b/>
                <w:bCs/>
                <w:color w:val="000000"/>
                <w:sz w:val="20"/>
                <w:szCs w:val="20"/>
              </w:rPr>
              <w:t xml:space="preserve">Total HRQoL cost </w:t>
            </w:r>
            <w:r w:rsidRPr="00724BBB">
              <w:rPr>
                <w:b/>
                <w:bCs/>
                <w:color w:val="000000"/>
                <w:sz w:val="20"/>
                <w:szCs w:val="20"/>
              </w:rPr>
              <w:br/>
              <w:t>(all harm domains)</w:t>
            </w:r>
          </w:p>
        </w:tc>
        <w:tc>
          <w:tcPr>
            <w:tcW w:w="1275" w:type="dxa"/>
            <w:shd w:val="clear" w:color="auto" w:fill="F2F2F2" w:themeFill="background1" w:themeFillShade="F2"/>
            <w:vAlign w:val="center"/>
            <w:hideMark/>
          </w:tcPr>
          <w:p w14:paraId="1640B542" w14:textId="77777777" w:rsidR="006903A5" w:rsidRPr="00724BBB" w:rsidRDefault="006903A5">
            <w:pPr>
              <w:spacing w:line="276" w:lineRule="auto"/>
              <w:rPr>
                <w:b/>
                <w:bCs/>
                <w:color w:val="000000"/>
                <w:sz w:val="20"/>
                <w:szCs w:val="20"/>
              </w:rPr>
            </w:pPr>
            <w:r w:rsidRPr="00724BBB">
              <w:rPr>
                <w:b/>
                <w:bCs/>
                <w:color w:val="000000"/>
                <w:sz w:val="20"/>
                <w:szCs w:val="20"/>
              </w:rPr>
              <w:t>h = f x g</w:t>
            </w:r>
          </w:p>
        </w:tc>
        <w:tc>
          <w:tcPr>
            <w:tcW w:w="1134" w:type="dxa"/>
            <w:shd w:val="clear" w:color="auto" w:fill="F2F2F2" w:themeFill="background1" w:themeFillShade="F2"/>
            <w:vAlign w:val="center"/>
            <w:hideMark/>
          </w:tcPr>
          <w:p w14:paraId="4B76608B" w14:textId="77777777" w:rsidR="006903A5" w:rsidRPr="00724BBB" w:rsidRDefault="006903A5">
            <w:pPr>
              <w:spacing w:line="276" w:lineRule="auto"/>
              <w:jc w:val="right"/>
              <w:rPr>
                <w:b/>
                <w:bCs/>
                <w:color w:val="000000"/>
                <w:sz w:val="20"/>
                <w:szCs w:val="20"/>
              </w:rPr>
            </w:pPr>
            <w:r w:rsidRPr="00724BBB">
              <w:rPr>
                <w:b/>
                <w:bCs/>
                <w:color w:val="000000"/>
                <w:sz w:val="20"/>
                <w:szCs w:val="20"/>
              </w:rPr>
              <w:t>$233.8M</w:t>
            </w:r>
          </w:p>
        </w:tc>
        <w:tc>
          <w:tcPr>
            <w:tcW w:w="1134" w:type="dxa"/>
            <w:shd w:val="clear" w:color="auto" w:fill="F2F2F2" w:themeFill="background1" w:themeFillShade="F2"/>
            <w:vAlign w:val="center"/>
            <w:hideMark/>
          </w:tcPr>
          <w:p w14:paraId="17629DD9" w14:textId="77777777" w:rsidR="006903A5" w:rsidRPr="00724BBB" w:rsidRDefault="006903A5">
            <w:pPr>
              <w:spacing w:line="276" w:lineRule="auto"/>
              <w:jc w:val="right"/>
              <w:rPr>
                <w:b/>
                <w:bCs/>
                <w:color w:val="000000"/>
                <w:sz w:val="20"/>
                <w:szCs w:val="20"/>
              </w:rPr>
            </w:pPr>
            <w:r w:rsidRPr="00724BBB">
              <w:rPr>
                <w:b/>
                <w:bCs/>
                <w:color w:val="000000"/>
                <w:sz w:val="20"/>
                <w:szCs w:val="20"/>
              </w:rPr>
              <w:t>$876.0M</w:t>
            </w:r>
          </w:p>
        </w:tc>
        <w:tc>
          <w:tcPr>
            <w:tcW w:w="1134" w:type="dxa"/>
            <w:shd w:val="clear" w:color="auto" w:fill="F2F2F2" w:themeFill="background1" w:themeFillShade="F2"/>
            <w:vAlign w:val="center"/>
            <w:hideMark/>
          </w:tcPr>
          <w:p w14:paraId="3D4E5025" w14:textId="77777777" w:rsidR="006903A5" w:rsidRPr="00724BBB" w:rsidRDefault="006903A5">
            <w:pPr>
              <w:spacing w:line="276" w:lineRule="auto"/>
              <w:jc w:val="right"/>
              <w:rPr>
                <w:b/>
                <w:bCs/>
                <w:color w:val="000000"/>
                <w:sz w:val="20"/>
                <w:szCs w:val="20"/>
              </w:rPr>
            </w:pPr>
            <w:r w:rsidRPr="00724BBB">
              <w:rPr>
                <w:b/>
                <w:bCs/>
                <w:color w:val="000000"/>
                <w:sz w:val="20"/>
                <w:szCs w:val="20"/>
              </w:rPr>
              <w:t>$2,079.0M</w:t>
            </w:r>
          </w:p>
        </w:tc>
        <w:tc>
          <w:tcPr>
            <w:tcW w:w="1560" w:type="dxa"/>
            <w:shd w:val="clear" w:color="auto" w:fill="F2F2F2" w:themeFill="background1" w:themeFillShade="F2"/>
            <w:vAlign w:val="center"/>
            <w:hideMark/>
          </w:tcPr>
          <w:p w14:paraId="00656BC5" w14:textId="77777777" w:rsidR="006903A5" w:rsidRPr="00724BBB" w:rsidRDefault="006903A5">
            <w:pPr>
              <w:spacing w:line="276" w:lineRule="auto"/>
              <w:jc w:val="right"/>
              <w:rPr>
                <w:b/>
                <w:bCs/>
                <w:color w:val="000000"/>
                <w:sz w:val="20"/>
                <w:szCs w:val="20"/>
              </w:rPr>
            </w:pPr>
            <w:r w:rsidRPr="00724BBB">
              <w:rPr>
                <w:b/>
                <w:bCs/>
                <w:color w:val="000000"/>
                <w:sz w:val="20"/>
                <w:szCs w:val="20"/>
              </w:rPr>
              <w:t>$3,188.739,803</w:t>
            </w:r>
          </w:p>
        </w:tc>
      </w:tr>
      <w:tr w:rsidR="006903A5" w:rsidRPr="00724BBB" w14:paraId="0AB615CA" w14:textId="77777777">
        <w:trPr>
          <w:trHeight w:val="397"/>
        </w:trPr>
        <w:tc>
          <w:tcPr>
            <w:tcW w:w="7933" w:type="dxa"/>
            <w:gridSpan w:val="5"/>
            <w:vAlign w:val="center"/>
            <w:hideMark/>
          </w:tcPr>
          <w:p w14:paraId="40DD424B" w14:textId="77777777" w:rsidR="006903A5" w:rsidRPr="00724BBB" w:rsidRDefault="006903A5" w:rsidP="006903A5">
            <w:pPr>
              <w:spacing w:line="276" w:lineRule="auto"/>
              <w:rPr>
                <w:color w:val="000000"/>
                <w:sz w:val="20"/>
                <w:szCs w:val="20"/>
              </w:rPr>
            </w:pPr>
            <w:r w:rsidRPr="00724BBB">
              <w:rPr>
                <w:color w:val="000000"/>
                <w:sz w:val="20"/>
                <w:szCs w:val="20"/>
              </w:rPr>
              <w:t xml:space="preserve">Proportion of estimated costs attributable to harms associated with financial deprivation, relationships, health, socially deviate consequential behaviour, and work or study </w:t>
            </w:r>
            <w:r w:rsidRPr="00724BBB">
              <w:rPr>
                <w:color w:val="000000"/>
                <w:sz w:val="20"/>
                <w:szCs w:val="20"/>
              </w:rPr>
              <w:br/>
              <w:t>issues (70.7%) (i) </w:t>
            </w:r>
          </w:p>
        </w:tc>
        <w:tc>
          <w:tcPr>
            <w:tcW w:w="1560" w:type="dxa"/>
            <w:vAlign w:val="center"/>
            <w:hideMark/>
          </w:tcPr>
          <w:p w14:paraId="03450AA5" w14:textId="77777777" w:rsidR="006903A5" w:rsidRPr="00724BBB" w:rsidRDefault="006903A5">
            <w:pPr>
              <w:spacing w:line="276" w:lineRule="auto"/>
              <w:jc w:val="right"/>
              <w:rPr>
                <w:color w:val="000000"/>
                <w:sz w:val="20"/>
                <w:szCs w:val="20"/>
              </w:rPr>
            </w:pPr>
            <w:r w:rsidRPr="00724BBB">
              <w:rPr>
                <w:color w:val="000000"/>
                <w:sz w:val="20"/>
                <w:szCs w:val="20"/>
              </w:rPr>
              <w:t>$2,254,439,040</w:t>
            </w:r>
          </w:p>
        </w:tc>
      </w:tr>
      <w:tr w:rsidR="006903A5" w:rsidRPr="00724BBB" w14:paraId="1CC0DE3E" w14:textId="77777777">
        <w:trPr>
          <w:trHeight w:val="397"/>
        </w:trPr>
        <w:tc>
          <w:tcPr>
            <w:tcW w:w="7933" w:type="dxa"/>
            <w:gridSpan w:val="5"/>
            <w:vAlign w:val="center"/>
            <w:hideMark/>
          </w:tcPr>
          <w:p w14:paraId="066EA28E" w14:textId="77777777" w:rsidR="006903A5" w:rsidRPr="00724BBB" w:rsidRDefault="006903A5">
            <w:pPr>
              <w:spacing w:line="276" w:lineRule="auto"/>
              <w:rPr>
                <w:b/>
                <w:bCs/>
                <w:color w:val="000000"/>
                <w:sz w:val="20"/>
                <w:szCs w:val="20"/>
              </w:rPr>
            </w:pPr>
            <w:r w:rsidRPr="00724BBB">
              <w:rPr>
                <w:b/>
                <w:bCs/>
                <w:color w:val="000000"/>
                <w:sz w:val="20"/>
                <w:szCs w:val="20"/>
              </w:rPr>
              <w:t>Subtotal - HRQoL cost attributable to emotional/psychological harm (j = h – i) </w:t>
            </w:r>
          </w:p>
        </w:tc>
        <w:tc>
          <w:tcPr>
            <w:tcW w:w="1560" w:type="dxa"/>
            <w:vAlign w:val="center"/>
            <w:hideMark/>
          </w:tcPr>
          <w:p w14:paraId="5D5EE696" w14:textId="77777777" w:rsidR="006903A5" w:rsidRPr="00724BBB" w:rsidRDefault="006903A5">
            <w:pPr>
              <w:spacing w:line="276" w:lineRule="auto"/>
              <w:jc w:val="right"/>
              <w:rPr>
                <w:b/>
                <w:bCs/>
                <w:color w:val="000000"/>
                <w:sz w:val="20"/>
                <w:szCs w:val="20"/>
              </w:rPr>
            </w:pPr>
            <w:r w:rsidRPr="00724BBB">
              <w:rPr>
                <w:b/>
                <w:bCs/>
                <w:color w:val="000000"/>
                <w:sz w:val="20"/>
                <w:szCs w:val="20"/>
              </w:rPr>
              <w:t>$934,300,762</w:t>
            </w:r>
          </w:p>
        </w:tc>
      </w:tr>
      <w:tr w:rsidR="006903A5" w:rsidRPr="00724BBB" w14:paraId="68733F6B" w14:textId="77777777">
        <w:trPr>
          <w:trHeight w:val="397"/>
        </w:trPr>
        <w:tc>
          <w:tcPr>
            <w:tcW w:w="7933" w:type="dxa"/>
            <w:gridSpan w:val="5"/>
            <w:vAlign w:val="center"/>
            <w:hideMark/>
          </w:tcPr>
          <w:p w14:paraId="2E1AA3A0" w14:textId="77777777" w:rsidR="006903A5" w:rsidRPr="00724BBB" w:rsidRDefault="006903A5">
            <w:pPr>
              <w:spacing w:line="276" w:lineRule="auto"/>
              <w:rPr>
                <w:color w:val="000000"/>
                <w:sz w:val="20"/>
                <w:szCs w:val="20"/>
              </w:rPr>
            </w:pPr>
            <w:r w:rsidRPr="00724BBB">
              <w:rPr>
                <w:color w:val="000000"/>
                <w:sz w:val="20"/>
                <w:szCs w:val="20"/>
              </w:rPr>
              <w:t>Less emotional distress associated with suicide attempts (costed elsewhere) (k) </w:t>
            </w:r>
          </w:p>
        </w:tc>
        <w:tc>
          <w:tcPr>
            <w:tcW w:w="1560" w:type="dxa"/>
            <w:vAlign w:val="center"/>
            <w:hideMark/>
          </w:tcPr>
          <w:p w14:paraId="4F040651" w14:textId="77777777" w:rsidR="006903A5" w:rsidRPr="00724BBB" w:rsidRDefault="006903A5">
            <w:pPr>
              <w:spacing w:line="276" w:lineRule="auto"/>
              <w:jc w:val="right"/>
              <w:rPr>
                <w:color w:val="000000"/>
                <w:sz w:val="20"/>
                <w:szCs w:val="20"/>
              </w:rPr>
            </w:pPr>
            <w:r w:rsidRPr="00724BBB">
              <w:rPr>
                <w:color w:val="000000"/>
                <w:sz w:val="20"/>
                <w:szCs w:val="20"/>
              </w:rPr>
              <w:t>$82,114,699</w:t>
            </w:r>
          </w:p>
        </w:tc>
      </w:tr>
      <w:tr w:rsidR="006903A5" w:rsidRPr="00724BBB" w14:paraId="2A767A79" w14:textId="77777777">
        <w:trPr>
          <w:trHeight w:val="397"/>
        </w:trPr>
        <w:tc>
          <w:tcPr>
            <w:tcW w:w="7933" w:type="dxa"/>
            <w:gridSpan w:val="5"/>
            <w:shd w:val="clear" w:color="auto" w:fill="F2F2F2" w:themeFill="background1" w:themeFillShade="F2"/>
            <w:vAlign w:val="center"/>
            <w:hideMark/>
          </w:tcPr>
          <w:p w14:paraId="2854DE97" w14:textId="77777777" w:rsidR="006903A5" w:rsidRPr="00724BBB" w:rsidRDefault="006903A5">
            <w:pPr>
              <w:spacing w:line="276" w:lineRule="auto"/>
              <w:rPr>
                <w:b/>
                <w:bCs/>
                <w:color w:val="000000"/>
                <w:sz w:val="20"/>
                <w:szCs w:val="20"/>
              </w:rPr>
            </w:pPr>
            <w:r w:rsidRPr="00724BBB">
              <w:rPr>
                <w:b/>
                <w:bCs/>
                <w:color w:val="000000"/>
                <w:sz w:val="20"/>
                <w:szCs w:val="20"/>
              </w:rPr>
              <w:t>Total HRQoL cost of emotional and psychological harm to affected others (excluding domains costed elsewhere) (l = j – k)</w:t>
            </w:r>
          </w:p>
        </w:tc>
        <w:tc>
          <w:tcPr>
            <w:tcW w:w="1560" w:type="dxa"/>
            <w:shd w:val="clear" w:color="auto" w:fill="F2F2F2" w:themeFill="background1" w:themeFillShade="F2"/>
            <w:vAlign w:val="center"/>
            <w:hideMark/>
          </w:tcPr>
          <w:p w14:paraId="5AEBFDDA" w14:textId="77777777" w:rsidR="006903A5" w:rsidRPr="00724BBB" w:rsidRDefault="006903A5">
            <w:pPr>
              <w:spacing w:line="276" w:lineRule="auto"/>
              <w:jc w:val="right"/>
              <w:rPr>
                <w:b/>
                <w:bCs/>
                <w:color w:val="000000"/>
                <w:sz w:val="20"/>
                <w:szCs w:val="20"/>
              </w:rPr>
            </w:pPr>
            <w:r w:rsidRPr="00724BBB">
              <w:rPr>
                <w:b/>
                <w:bCs/>
                <w:color w:val="000000"/>
                <w:sz w:val="20"/>
                <w:szCs w:val="20"/>
              </w:rPr>
              <w:t>$852,186,063</w:t>
            </w:r>
          </w:p>
        </w:tc>
      </w:tr>
      <w:tr w:rsidR="006903A5" w:rsidRPr="00724BBB" w14:paraId="715B6B6F" w14:textId="77777777">
        <w:trPr>
          <w:trHeight w:val="397"/>
        </w:trPr>
        <w:tc>
          <w:tcPr>
            <w:tcW w:w="7933" w:type="dxa"/>
            <w:gridSpan w:val="5"/>
            <w:vAlign w:val="center"/>
            <w:hideMark/>
          </w:tcPr>
          <w:p w14:paraId="1E454B7A" w14:textId="77777777" w:rsidR="006903A5" w:rsidRPr="00724BBB" w:rsidRDefault="006903A5">
            <w:pPr>
              <w:spacing w:line="276" w:lineRule="auto"/>
              <w:rPr>
                <w:color w:val="000000"/>
                <w:sz w:val="20"/>
                <w:szCs w:val="20"/>
              </w:rPr>
            </w:pPr>
            <w:r w:rsidRPr="00724BBB">
              <w:rPr>
                <w:color w:val="000000"/>
                <w:sz w:val="20"/>
                <w:szCs w:val="20"/>
              </w:rPr>
              <w:t>Lower bound</w:t>
            </w:r>
          </w:p>
        </w:tc>
        <w:tc>
          <w:tcPr>
            <w:tcW w:w="1560" w:type="dxa"/>
            <w:vAlign w:val="center"/>
            <w:hideMark/>
          </w:tcPr>
          <w:p w14:paraId="636D40CA" w14:textId="77777777" w:rsidR="006903A5" w:rsidRPr="00724BBB" w:rsidRDefault="006903A5">
            <w:pPr>
              <w:spacing w:line="276" w:lineRule="auto"/>
              <w:jc w:val="right"/>
              <w:rPr>
                <w:color w:val="000000"/>
                <w:sz w:val="20"/>
                <w:szCs w:val="20"/>
              </w:rPr>
            </w:pPr>
            <w:r w:rsidRPr="00724BBB">
              <w:rPr>
                <w:color w:val="000000"/>
                <w:sz w:val="20"/>
                <w:szCs w:val="20"/>
              </w:rPr>
              <w:t>$385,035,682</w:t>
            </w:r>
          </w:p>
        </w:tc>
      </w:tr>
      <w:tr w:rsidR="006903A5" w:rsidRPr="00724BBB" w14:paraId="30EF90A3" w14:textId="77777777">
        <w:trPr>
          <w:trHeight w:val="397"/>
        </w:trPr>
        <w:tc>
          <w:tcPr>
            <w:tcW w:w="7933" w:type="dxa"/>
            <w:gridSpan w:val="5"/>
            <w:vAlign w:val="center"/>
            <w:hideMark/>
          </w:tcPr>
          <w:p w14:paraId="5B356A4C" w14:textId="77777777" w:rsidR="006903A5" w:rsidRPr="00724BBB" w:rsidRDefault="006903A5">
            <w:pPr>
              <w:spacing w:line="276" w:lineRule="auto"/>
              <w:rPr>
                <w:color w:val="000000"/>
                <w:sz w:val="20"/>
                <w:szCs w:val="20"/>
              </w:rPr>
            </w:pPr>
            <w:r w:rsidRPr="00724BBB">
              <w:rPr>
                <w:color w:val="000000"/>
                <w:sz w:val="20"/>
                <w:szCs w:val="20"/>
              </w:rPr>
              <w:t>Upper bound</w:t>
            </w:r>
          </w:p>
        </w:tc>
        <w:tc>
          <w:tcPr>
            <w:tcW w:w="1560" w:type="dxa"/>
            <w:vAlign w:val="center"/>
            <w:hideMark/>
          </w:tcPr>
          <w:p w14:paraId="2B3BD1E2" w14:textId="77777777" w:rsidR="006903A5" w:rsidRPr="00724BBB" w:rsidRDefault="006903A5">
            <w:pPr>
              <w:spacing w:line="276" w:lineRule="auto"/>
              <w:jc w:val="right"/>
              <w:rPr>
                <w:color w:val="000000"/>
                <w:sz w:val="20"/>
                <w:szCs w:val="20"/>
              </w:rPr>
            </w:pPr>
            <w:r w:rsidRPr="00724BBB">
              <w:rPr>
                <w:color w:val="000000"/>
                <w:sz w:val="20"/>
                <w:szCs w:val="20"/>
              </w:rPr>
              <w:t>$1,319,336,444</w:t>
            </w:r>
          </w:p>
        </w:tc>
      </w:tr>
      <w:tr w:rsidR="006903A5" w:rsidRPr="00724BBB" w14:paraId="3707E2BA" w14:textId="77777777">
        <w:trPr>
          <w:trHeight w:val="397"/>
        </w:trPr>
        <w:tc>
          <w:tcPr>
            <w:tcW w:w="9493" w:type="dxa"/>
            <w:gridSpan w:val="6"/>
            <w:noWrap/>
            <w:vAlign w:val="center"/>
            <w:hideMark/>
          </w:tcPr>
          <w:p w14:paraId="718C8644" w14:textId="77777777" w:rsidR="006903A5" w:rsidRPr="00724BBB" w:rsidRDefault="006903A5">
            <w:pPr>
              <w:spacing w:line="276" w:lineRule="auto"/>
              <w:rPr>
                <w:i/>
                <w:iCs/>
                <w:color w:val="242424"/>
                <w:sz w:val="20"/>
                <w:szCs w:val="20"/>
              </w:rPr>
            </w:pPr>
            <w:r w:rsidRPr="00724BBB">
              <w:rPr>
                <w:i/>
                <w:iCs/>
                <w:color w:val="242424"/>
                <w:sz w:val="20"/>
                <w:szCs w:val="20"/>
              </w:rPr>
              <w:t xml:space="preserve">Note: </w:t>
            </w:r>
            <w:r w:rsidRPr="00724BBB">
              <w:rPr>
                <w:i/>
                <w:iCs/>
                <w:sz w:val="20"/>
                <w:szCs w:val="20"/>
              </w:rPr>
              <w:t xml:space="preserve">LR (low-risk gambling), MR (moderate-risk gambling), and problem gambling. </w:t>
            </w:r>
            <w:r w:rsidRPr="00724BBB">
              <w:rPr>
                <w:i/>
                <w:iCs/>
                <w:color w:val="242424"/>
                <w:sz w:val="20"/>
                <w:szCs w:val="20"/>
              </w:rPr>
              <w:t>Totals may not match exactly due to rounding. Calculations are based on the original unrounded figures to ensure accuracy.</w:t>
            </w:r>
          </w:p>
        </w:tc>
      </w:tr>
    </w:tbl>
    <w:p w14:paraId="2FDD6179" w14:textId="77777777" w:rsidR="00DB689D" w:rsidRDefault="00DB689D" w:rsidP="00367A8D">
      <w:pPr>
        <w:spacing w:line="360" w:lineRule="auto"/>
        <w:rPr>
          <w:color w:val="0E101A"/>
          <w:highlight w:val="yellow"/>
        </w:rPr>
      </w:pPr>
    </w:p>
    <w:p w14:paraId="19EC5A1D" w14:textId="77777777" w:rsidR="00724BBB" w:rsidRDefault="00724BBB" w:rsidP="00367A8D">
      <w:pPr>
        <w:spacing w:line="360" w:lineRule="auto"/>
        <w:rPr>
          <w:color w:val="0E101A"/>
          <w:highlight w:val="yellow"/>
        </w:rPr>
      </w:pPr>
    </w:p>
    <w:p w14:paraId="5AA2627F" w14:textId="77777777" w:rsidR="00724BBB" w:rsidRDefault="00724BBB" w:rsidP="00367A8D">
      <w:pPr>
        <w:spacing w:line="360" w:lineRule="auto"/>
        <w:rPr>
          <w:color w:val="0E101A"/>
          <w:highlight w:val="yellow"/>
        </w:rPr>
      </w:pPr>
    </w:p>
    <w:p w14:paraId="19AA3CF4" w14:textId="77777777" w:rsidR="00724BBB" w:rsidRDefault="00724BBB" w:rsidP="00367A8D">
      <w:pPr>
        <w:spacing w:line="360" w:lineRule="auto"/>
        <w:rPr>
          <w:color w:val="0E101A"/>
          <w:highlight w:val="yellow"/>
        </w:rPr>
      </w:pPr>
    </w:p>
    <w:p w14:paraId="1AE3E0A3" w14:textId="77777777" w:rsidR="00724BBB" w:rsidRDefault="00724BBB" w:rsidP="00367A8D">
      <w:pPr>
        <w:spacing w:line="360" w:lineRule="auto"/>
        <w:rPr>
          <w:color w:val="0E101A"/>
          <w:highlight w:val="yellow"/>
        </w:rPr>
      </w:pPr>
    </w:p>
    <w:p w14:paraId="09E484A3" w14:textId="77777777" w:rsidR="00724BBB" w:rsidRDefault="00724BBB" w:rsidP="00367A8D">
      <w:pPr>
        <w:spacing w:line="360" w:lineRule="auto"/>
        <w:rPr>
          <w:color w:val="0E101A"/>
          <w:highlight w:val="yellow"/>
        </w:rPr>
      </w:pPr>
    </w:p>
    <w:p w14:paraId="5AF11E92" w14:textId="68B82176" w:rsidR="00DB689D" w:rsidRDefault="00310A10" w:rsidP="00C30E1A">
      <w:pPr>
        <w:pStyle w:val="Heading3"/>
      </w:pPr>
      <w:bookmarkStart w:id="455" w:name="_6anokkaky80f" w:colFirst="0" w:colLast="0"/>
      <w:bookmarkStart w:id="456" w:name="_Toc201572463"/>
      <w:bookmarkStart w:id="457" w:name="_Toc207195981"/>
      <w:bookmarkEnd w:id="455"/>
      <w:r>
        <w:t>New Zealand Health System</w:t>
      </w:r>
      <w:bookmarkEnd w:id="456"/>
      <w:bookmarkEnd w:id="457"/>
    </w:p>
    <w:p w14:paraId="6F2EA90B" w14:textId="77777777" w:rsidR="00DB689D" w:rsidRDefault="00310A10" w:rsidP="00367A8D">
      <w:pPr>
        <w:spacing w:line="360" w:lineRule="auto"/>
      </w:pPr>
      <w:r>
        <w:t>Health-related costs arising from gambling harm place a burden on New Zealand’s public health system, both in terms of direct service provision and indirect impacts such as increased demand for mental health, addiction, and general medical care. All public funding for health services, whether related to physical health, mental health, or addiction, comes from a single appropriation, Vote Health, which allocates government expenditure across the entire health sector. For this reason, and because individuals experiencing gambling-related harm often present with multiple co-occurring health concerns across both domains, this costing combines mental and general health costs rather than reporting them separately.</w:t>
      </w:r>
    </w:p>
    <w:p w14:paraId="6C17FB50" w14:textId="77777777" w:rsidR="00DB689D" w:rsidRDefault="00DB689D" w:rsidP="00367A8D">
      <w:pPr>
        <w:spacing w:line="360" w:lineRule="auto"/>
      </w:pPr>
    </w:p>
    <w:p w14:paraId="6F1110B0" w14:textId="77777777" w:rsidR="00DB689D" w:rsidRDefault="00310A10" w:rsidP="00367A8D">
      <w:pPr>
        <w:spacing w:line="360" w:lineRule="auto"/>
      </w:pPr>
      <w:r>
        <w:t>To estimate the proportion of government health expenditure attributable to gambling harm, this study applies prevalence-based harm attribution methods to the total Vote Health budget. This involves estimating the number of adults with physical or wellbeing issues attributed to gambling (adjusted for causality), calculating their share of the adult population, and applying that proportion to the adult component of Vote Health expenditure. Vote Health refers to the annual appropriation allocated by the New Zealand Government to fund the delivery of health services, including primary care, hospital services, public health programmes, mental health and addiction services, and other health infrastructure. By applying gambling harm attribution rates to the total Vote Health expenditure, this analysis provides a consolidated estimate of the healthcare system burden linked to gambling-related health concerns in New Zealand.</w:t>
      </w:r>
    </w:p>
    <w:p w14:paraId="7CBA2E0A" w14:textId="77777777" w:rsidR="00DB689D" w:rsidRDefault="00DB689D" w:rsidP="00367A8D">
      <w:pPr>
        <w:spacing w:line="360" w:lineRule="auto"/>
      </w:pPr>
    </w:p>
    <w:p w14:paraId="48BA3825" w14:textId="165105CD" w:rsidR="00DB689D" w:rsidRDefault="00310A10" w:rsidP="00212ED7">
      <w:pPr>
        <w:spacing w:line="360" w:lineRule="auto"/>
      </w:pPr>
      <w:r>
        <w:t>This approach avoids potential double counting and provides a more accurate reflection of how gambling harm contributes to overall health system demand. This section does not include government-borne health-related costs to affected others due to the absence of sufficiently detailed and quantifiable data. Although affected others may experience significant health impacts, these were excluded to avoid speculative estimation.</w:t>
      </w:r>
    </w:p>
    <w:p w14:paraId="7DF14785" w14:textId="77777777" w:rsidR="00724BBB" w:rsidRDefault="00724BBB" w:rsidP="00212ED7">
      <w:pPr>
        <w:spacing w:line="360" w:lineRule="auto"/>
      </w:pPr>
    </w:p>
    <w:p w14:paraId="1AC00884" w14:textId="77777777" w:rsidR="00724BBB" w:rsidRDefault="00724BBB" w:rsidP="00212ED7">
      <w:pPr>
        <w:spacing w:line="360" w:lineRule="auto"/>
      </w:pPr>
    </w:p>
    <w:p w14:paraId="099D64D2" w14:textId="77777777" w:rsidR="00724BBB" w:rsidRDefault="00724BBB" w:rsidP="00212ED7">
      <w:pPr>
        <w:spacing w:line="360" w:lineRule="auto"/>
      </w:pPr>
    </w:p>
    <w:p w14:paraId="673B2EA1" w14:textId="77777777" w:rsidR="00724BBB" w:rsidRDefault="00724BBB" w:rsidP="00212ED7">
      <w:pPr>
        <w:spacing w:line="360" w:lineRule="auto"/>
      </w:pPr>
    </w:p>
    <w:p w14:paraId="055C14D4" w14:textId="77777777" w:rsidR="00724BBB" w:rsidRDefault="00724BBB" w:rsidP="00212ED7">
      <w:pPr>
        <w:spacing w:line="360" w:lineRule="auto"/>
      </w:pPr>
    </w:p>
    <w:p w14:paraId="31467284" w14:textId="77777777" w:rsidR="00724BBB" w:rsidRDefault="00724BBB" w:rsidP="00212ED7">
      <w:pPr>
        <w:spacing w:line="360" w:lineRule="auto"/>
      </w:pPr>
    </w:p>
    <w:p w14:paraId="7E7D188E" w14:textId="77777777" w:rsidR="00212ED7" w:rsidRPr="00212ED7" w:rsidRDefault="00212ED7" w:rsidP="00212ED7">
      <w:pPr>
        <w:spacing w:line="360" w:lineRule="auto"/>
      </w:pPr>
    </w:p>
    <w:tbl>
      <w:tblPr>
        <w:tblStyle w:val="ae"/>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B689D" w14:paraId="3C6AC54E" w14:textId="77777777">
        <w:tc>
          <w:tcPr>
            <w:tcW w:w="9026" w:type="dxa"/>
            <w:shd w:val="clear" w:color="auto" w:fill="F3F3F3"/>
            <w:tcMar>
              <w:top w:w="100" w:type="dxa"/>
              <w:left w:w="100" w:type="dxa"/>
              <w:bottom w:w="100" w:type="dxa"/>
              <w:right w:w="100" w:type="dxa"/>
            </w:tcMar>
          </w:tcPr>
          <w:p w14:paraId="2B08D064" w14:textId="77777777" w:rsidR="00DB689D" w:rsidRDefault="00310A10" w:rsidP="00843927">
            <w:pPr>
              <w:widowControl w:val="0"/>
              <w:pBdr>
                <w:top w:val="nil"/>
                <w:left w:val="nil"/>
                <w:bottom w:val="nil"/>
                <w:right w:val="nil"/>
                <w:between w:val="nil"/>
              </w:pBdr>
              <w:spacing w:line="276" w:lineRule="auto"/>
              <w:rPr>
                <w:color w:val="0E101A"/>
              </w:rPr>
            </w:pPr>
            <w:r>
              <w:rPr>
                <w:color w:val="0E101A"/>
              </w:rPr>
              <w:t>The cost to the New Zealand Health System related to gambling problems was calculated using:</w:t>
            </w:r>
          </w:p>
          <w:p w14:paraId="0C2F43DA" w14:textId="77777777" w:rsidR="00DB689D" w:rsidRDefault="00DB689D" w:rsidP="00843927">
            <w:pPr>
              <w:widowControl w:val="0"/>
              <w:pBdr>
                <w:top w:val="nil"/>
                <w:left w:val="nil"/>
                <w:bottom w:val="nil"/>
                <w:right w:val="nil"/>
                <w:between w:val="nil"/>
              </w:pBdr>
              <w:spacing w:line="276" w:lineRule="auto"/>
              <w:rPr>
                <w:i/>
                <w:color w:val="0E101A"/>
              </w:rPr>
            </w:pPr>
          </w:p>
          <w:p w14:paraId="0C4ACC87" w14:textId="77777777" w:rsidR="00DB689D" w:rsidRDefault="00310A10" w:rsidP="00843927">
            <w:pPr>
              <w:widowControl w:val="0"/>
              <w:pBdr>
                <w:top w:val="nil"/>
                <w:left w:val="nil"/>
                <w:bottom w:val="nil"/>
                <w:right w:val="nil"/>
                <w:between w:val="nil"/>
              </w:pBdr>
              <w:spacing w:line="276" w:lineRule="auto"/>
              <w:rPr>
                <w:i/>
                <w:color w:val="0E101A"/>
              </w:rPr>
            </w:pPr>
            <w:r>
              <w:rPr>
                <w:i/>
                <w:color w:val="0E101A"/>
              </w:rPr>
              <w:t>Rate of physical or wellbeing issues related to gambling</w:t>
            </w:r>
          </w:p>
          <w:p w14:paraId="2C9511B7" w14:textId="03408360" w:rsidR="00DB689D" w:rsidRDefault="00310A10" w:rsidP="00843927">
            <w:pPr>
              <w:numPr>
                <w:ilvl w:val="0"/>
                <w:numId w:val="1"/>
              </w:numPr>
              <w:spacing w:before="120" w:line="276" w:lineRule="auto"/>
              <w:rPr>
                <w:color w:val="0E101A"/>
              </w:rPr>
            </w:pPr>
            <w:r>
              <w:rPr>
                <w:color w:val="0E101A"/>
              </w:rPr>
              <w:t xml:space="preserve">The harm attribution rate was calculated using </w:t>
            </w:r>
            <w:r>
              <w:t xml:space="preserve">was drawn from the </w:t>
            </w:r>
            <w:r>
              <w:rPr>
                <w:i/>
              </w:rPr>
              <w:t>Measuring the Burden of Gambling Harm in New Zealand Survey Report</w:t>
            </w:r>
            <w:r>
              <w:t xml:space="preserve"> </w:t>
            </w:r>
            <w:r w:rsidR="00DB2449">
              <w:rPr>
                <w:noProof/>
                <w:color w:val="000000"/>
              </w:rPr>
              <w:t>(</w:t>
            </w:r>
            <w:r w:rsidR="002A3095">
              <w:rPr>
                <w:noProof/>
                <w:color w:val="000000"/>
              </w:rPr>
              <w:t>Browne, Greer et al., 2017</w:t>
            </w:r>
            <w:r w:rsidR="00DB2449">
              <w:rPr>
                <w:noProof/>
                <w:color w:val="000000"/>
              </w:rPr>
              <w:t>)</w:t>
            </w:r>
            <w:r>
              <w:rPr>
                <w:color w:val="0E101A"/>
              </w:rPr>
              <w:t>, based on the proportion of individuals in each PGSI risk group who reported experiencing either physical or wellbeing-related health issues linked to their gambling.</w:t>
            </w:r>
          </w:p>
          <w:p w14:paraId="6DD55592" w14:textId="77777777" w:rsidR="00DB689D" w:rsidRDefault="00310A10" w:rsidP="00843927">
            <w:pPr>
              <w:numPr>
                <w:ilvl w:val="0"/>
                <w:numId w:val="1"/>
              </w:numPr>
              <w:spacing w:line="276" w:lineRule="auto"/>
              <w:rPr>
                <w:color w:val="0E101A"/>
              </w:rPr>
            </w:pPr>
            <w:r>
              <w:rPr>
                <w:color w:val="0E101A"/>
              </w:rPr>
              <w:t xml:space="preserve">The physical health component included respondents who selected ‘neglected medical needs (including failure to take prescribed medications)’, ‘increased use of health services due to gambling-related health issues’, ‘required emergency medical treatment due to gambling’, or ‘stress-related health problems’. </w:t>
            </w:r>
          </w:p>
          <w:p w14:paraId="2C40B5CE" w14:textId="77777777" w:rsidR="00DB689D" w:rsidRDefault="00310A10" w:rsidP="00843927">
            <w:pPr>
              <w:numPr>
                <w:ilvl w:val="0"/>
                <w:numId w:val="1"/>
              </w:numPr>
              <w:spacing w:after="240" w:line="276" w:lineRule="auto"/>
              <w:rPr>
                <w:color w:val="0E101A"/>
              </w:rPr>
            </w:pPr>
            <w:r>
              <w:rPr>
                <w:color w:val="0E101A"/>
              </w:rPr>
              <w:t>The psychological component was captured using the item ‘extreme distress’, which serves as a broad indicator of wellbeing impact. ‘Attempted suicide’’ was excluded from this calculation, as it is separately captured in the mental health component of the broader healthcare costing.</w:t>
            </w:r>
          </w:p>
          <w:p w14:paraId="498B6BBD" w14:textId="77777777" w:rsidR="00DB689D" w:rsidRDefault="00310A10" w:rsidP="00843927">
            <w:pPr>
              <w:spacing w:before="120" w:after="240" w:line="276" w:lineRule="auto"/>
              <w:rPr>
                <w:i/>
                <w:color w:val="0E101A"/>
              </w:rPr>
            </w:pPr>
            <w:r>
              <w:rPr>
                <w:i/>
                <w:color w:val="0E101A"/>
              </w:rPr>
              <w:t>Proportion of New Zealand adult population with physical or wellbeing issues related to gambling</w:t>
            </w:r>
          </w:p>
          <w:p w14:paraId="04B10B94" w14:textId="77777777" w:rsidR="00DB689D" w:rsidRDefault="00310A10" w:rsidP="00843927">
            <w:pPr>
              <w:numPr>
                <w:ilvl w:val="0"/>
                <w:numId w:val="6"/>
              </w:numPr>
              <w:spacing w:before="120" w:after="240" w:line="276" w:lineRule="auto"/>
              <w:rPr>
                <w:color w:val="0E101A"/>
              </w:rPr>
            </w:pPr>
            <w:r>
              <w:rPr>
                <w:color w:val="0E101A"/>
              </w:rPr>
              <w:t>The number of people experiencing gambling-related physical or wellbeing issues was estimated by multiplying the harm attribution rate for each PGSI risk group by the estimated number of New Zealand adults in each respective PGSI group. These figures were then divided by the total adult population to calculate the percentage of the general New Zealand population within each PGSI group who experience physical or wellbeing-related health issues linked to gambling.</w:t>
            </w:r>
          </w:p>
          <w:p w14:paraId="1715DF0C" w14:textId="77777777" w:rsidR="00DB689D" w:rsidRDefault="00310A10" w:rsidP="00843927">
            <w:pPr>
              <w:spacing w:before="120" w:after="240" w:line="276" w:lineRule="auto"/>
              <w:rPr>
                <w:color w:val="0E101A"/>
              </w:rPr>
            </w:pPr>
            <w:r>
              <w:rPr>
                <w:i/>
                <w:color w:val="0E101A"/>
              </w:rPr>
              <w:t>Proportion of Vote Health Funding apportioned to adults</w:t>
            </w:r>
          </w:p>
          <w:p w14:paraId="3D1A7E44" w14:textId="254E5060" w:rsidR="00DB689D" w:rsidRDefault="00310A10" w:rsidP="00843927">
            <w:pPr>
              <w:numPr>
                <w:ilvl w:val="0"/>
                <w:numId w:val="28"/>
              </w:numPr>
              <w:spacing w:before="120" w:after="240" w:line="276" w:lineRule="auto"/>
              <w:rPr>
                <w:color w:val="0E101A"/>
              </w:rPr>
            </w:pPr>
            <w:r>
              <w:rPr>
                <w:color w:val="0E101A"/>
              </w:rPr>
              <w:t xml:space="preserve">Approximately 20% of the New Zealand population is under the age of 16 </w:t>
            </w:r>
            <w:r w:rsidR="0038398B">
              <w:rPr>
                <w:noProof/>
                <w:color w:val="000000"/>
              </w:rPr>
              <w:t>(New Zealand Government, 2024b)</w:t>
            </w:r>
            <w:r>
              <w:rPr>
                <w:color w:val="0E101A"/>
              </w:rPr>
              <w:t xml:space="preserve">. Therefore, the total Vote Health funding of $26.5 billion </w:t>
            </w:r>
            <w:r w:rsidR="00DB2449">
              <w:rPr>
                <w:noProof/>
                <w:color w:val="000000"/>
              </w:rPr>
              <w:t>(New Zealand Treasury, 2024)</w:t>
            </w:r>
            <w:r>
              <w:rPr>
                <w:color w:val="0E101A"/>
              </w:rPr>
              <w:t xml:space="preserve"> was discounted by 20% to estimate the total attributable to the adult population, which was $21.2 billion. </w:t>
            </w:r>
          </w:p>
        </w:tc>
      </w:tr>
    </w:tbl>
    <w:p w14:paraId="0A0FAE57" w14:textId="77777777" w:rsidR="00724BBB" w:rsidRDefault="00724BBB" w:rsidP="00367A8D">
      <w:pPr>
        <w:spacing w:line="360" w:lineRule="auto"/>
        <w:rPr>
          <w:color w:val="0E101A"/>
        </w:rPr>
      </w:pPr>
    </w:p>
    <w:p w14:paraId="531BDD69" w14:textId="76A3EEDE" w:rsidR="00DB689D" w:rsidRDefault="00310A10" w:rsidP="00367A8D">
      <w:pPr>
        <w:spacing w:line="360" w:lineRule="auto"/>
      </w:pPr>
      <w:r>
        <w:t xml:space="preserve">The estimated cost associated with the provision of health and primary mental health services attributable to gambling was around $130.1 million </w:t>
      </w:r>
      <w:r w:rsidRPr="00212ED7">
        <w:t>(</w:t>
      </w:r>
      <w:r w:rsidRPr="006903A5">
        <w:t>Table 2</w:t>
      </w:r>
      <w:r w:rsidR="001D7B0D">
        <w:t>3</w:t>
      </w:r>
      <w:r w:rsidRPr="006903A5">
        <w:t>)</w:t>
      </w:r>
      <w:r>
        <w:t xml:space="preserve">. </w:t>
      </w:r>
    </w:p>
    <w:p w14:paraId="6F09E7E6" w14:textId="77777777" w:rsidR="00DB689D" w:rsidRDefault="00DB689D" w:rsidP="00367A8D">
      <w:pPr>
        <w:spacing w:before="120" w:after="240" w:line="360" w:lineRule="auto"/>
        <w:rPr>
          <w:b/>
        </w:rPr>
      </w:pPr>
    </w:p>
    <w:p w14:paraId="500908D7" w14:textId="2E855C54" w:rsidR="006903A5" w:rsidRDefault="006903A5" w:rsidP="00DB094D">
      <w:pPr>
        <w:pStyle w:val="Caption"/>
      </w:pPr>
      <w:bookmarkStart w:id="458" w:name="_Toc207619065"/>
      <w:r>
        <w:t xml:space="preserve">Table </w:t>
      </w:r>
      <w:r>
        <w:fldChar w:fldCharType="begin"/>
      </w:r>
      <w:r>
        <w:instrText xml:space="preserve"> SEQ Table \* ARABIC </w:instrText>
      </w:r>
      <w:r>
        <w:fldChar w:fldCharType="separate"/>
      </w:r>
      <w:r w:rsidR="00986A0D">
        <w:rPr>
          <w:noProof/>
        </w:rPr>
        <w:t>23</w:t>
      </w:r>
      <w:r>
        <w:fldChar w:fldCharType="end"/>
      </w:r>
      <w:r>
        <w:t xml:space="preserve">. </w:t>
      </w:r>
      <w:r w:rsidRPr="00857B98">
        <w:t>Share of total health and human service expenditure to the New Zealand government due to gambling problems (2023-24)</w:t>
      </w:r>
      <w:bookmarkEnd w:id="458"/>
    </w:p>
    <w:tbl>
      <w:tblPr>
        <w:tblStyle w:val="TableGridLight"/>
        <w:tblW w:w="9493" w:type="dxa"/>
        <w:tblLayout w:type="fixed"/>
        <w:tblLook w:val="04A0" w:firstRow="1" w:lastRow="0" w:firstColumn="1" w:lastColumn="0" w:noHBand="0" w:noVBand="1"/>
      </w:tblPr>
      <w:tblGrid>
        <w:gridCol w:w="3823"/>
        <w:gridCol w:w="1275"/>
        <w:gridCol w:w="993"/>
        <w:gridCol w:w="992"/>
        <w:gridCol w:w="992"/>
        <w:gridCol w:w="1418"/>
      </w:tblGrid>
      <w:tr w:rsidR="006903A5" w:rsidRPr="00724BBB" w14:paraId="68A1696F" w14:textId="77777777">
        <w:trPr>
          <w:trHeight w:val="397"/>
        </w:trPr>
        <w:tc>
          <w:tcPr>
            <w:tcW w:w="3823" w:type="dxa"/>
            <w:shd w:val="clear" w:color="auto" w:fill="F2F2F2" w:themeFill="background1" w:themeFillShade="F2"/>
            <w:noWrap/>
            <w:vAlign w:val="center"/>
            <w:hideMark/>
          </w:tcPr>
          <w:p w14:paraId="05A505DD" w14:textId="77777777" w:rsidR="006903A5" w:rsidRPr="00724BBB" w:rsidRDefault="006903A5">
            <w:pPr>
              <w:spacing w:line="276" w:lineRule="auto"/>
              <w:rPr>
                <w:b/>
                <w:bCs/>
                <w:color w:val="000000"/>
                <w:sz w:val="20"/>
                <w:szCs w:val="20"/>
              </w:rPr>
            </w:pPr>
            <w:r w:rsidRPr="00724BBB">
              <w:rPr>
                <w:b/>
                <w:bCs/>
                <w:color w:val="000000"/>
                <w:sz w:val="20"/>
                <w:szCs w:val="20"/>
              </w:rPr>
              <w:t>Variable</w:t>
            </w:r>
          </w:p>
        </w:tc>
        <w:tc>
          <w:tcPr>
            <w:tcW w:w="1275" w:type="dxa"/>
            <w:shd w:val="clear" w:color="auto" w:fill="F2F2F2" w:themeFill="background1" w:themeFillShade="F2"/>
            <w:vAlign w:val="center"/>
            <w:hideMark/>
          </w:tcPr>
          <w:p w14:paraId="26DE9606" w14:textId="77777777" w:rsidR="006903A5" w:rsidRPr="00724BBB" w:rsidRDefault="006903A5">
            <w:pPr>
              <w:spacing w:line="276" w:lineRule="auto"/>
              <w:jc w:val="center"/>
              <w:rPr>
                <w:b/>
                <w:bCs/>
                <w:color w:val="000000"/>
                <w:sz w:val="20"/>
                <w:szCs w:val="20"/>
              </w:rPr>
            </w:pPr>
            <w:r w:rsidRPr="00724BBB">
              <w:rPr>
                <w:b/>
                <w:bCs/>
                <w:color w:val="000000"/>
                <w:sz w:val="20"/>
                <w:szCs w:val="20"/>
              </w:rPr>
              <w:t>Calculation</w:t>
            </w:r>
          </w:p>
        </w:tc>
        <w:tc>
          <w:tcPr>
            <w:tcW w:w="993" w:type="dxa"/>
            <w:shd w:val="clear" w:color="auto" w:fill="F2F2F2" w:themeFill="background1" w:themeFillShade="F2"/>
            <w:vAlign w:val="center"/>
            <w:hideMark/>
          </w:tcPr>
          <w:p w14:paraId="442E3A7F" w14:textId="77777777" w:rsidR="006903A5" w:rsidRPr="00724BBB" w:rsidRDefault="006903A5">
            <w:pPr>
              <w:spacing w:line="276" w:lineRule="auto"/>
              <w:jc w:val="center"/>
              <w:rPr>
                <w:b/>
                <w:bCs/>
                <w:color w:val="000000"/>
                <w:sz w:val="20"/>
                <w:szCs w:val="20"/>
              </w:rPr>
            </w:pPr>
            <w:r w:rsidRPr="00724BBB">
              <w:rPr>
                <w:b/>
                <w:bCs/>
                <w:color w:val="000000"/>
                <w:sz w:val="20"/>
                <w:szCs w:val="20"/>
              </w:rPr>
              <w:t>LR</w:t>
            </w:r>
          </w:p>
        </w:tc>
        <w:tc>
          <w:tcPr>
            <w:tcW w:w="992" w:type="dxa"/>
            <w:shd w:val="clear" w:color="auto" w:fill="F2F2F2" w:themeFill="background1" w:themeFillShade="F2"/>
            <w:vAlign w:val="center"/>
            <w:hideMark/>
          </w:tcPr>
          <w:p w14:paraId="3C86FD91" w14:textId="77777777" w:rsidR="006903A5" w:rsidRPr="00724BBB" w:rsidRDefault="006903A5">
            <w:pPr>
              <w:spacing w:line="276" w:lineRule="auto"/>
              <w:jc w:val="center"/>
              <w:rPr>
                <w:b/>
                <w:bCs/>
                <w:color w:val="000000"/>
                <w:sz w:val="20"/>
                <w:szCs w:val="20"/>
              </w:rPr>
            </w:pPr>
            <w:r w:rsidRPr="00724BBB">
              <w:rPr>
                <w:b/>
                <w:bCs/>
                <w:color w:val="000000"/>
                <w:sz w:val="20"/>
                <w:szCs w:val="20"/>
              </w:rPr>
              <w:t>MR</w:t>
            </w:r>
          </w:p>
        </w:tc>
        <w:tc>
          <w:tcPr>
            <w:tcW w:w="992" w:type="dxa"/>
            <w:shd w:val="clear" w:color="auto" w:fill="F2F2F2" w:themeFill="background1" w:themeFillShade="F2"/>
            <w:vAlign w:val="center"/>
            <w:hideMark/>
          </w:tcPr>
          <w:p w14:paraId="21BA7EF1" w14:textId="77777777" w:rsidR="006903A5" w:rsidRPr="00724BBB" w:rsidRDefault="006903A5">
            <w:pPr>
              <w:spacing w:line="276" w:lineRule="auto"/>
              <w:jc w:val="center"/>
              <w:rPr>
                <w:b/>
                <w:bCs/>
                <w:color w:val="000000"/>
                <w:sz w:val="20"/>
                <w:szCs w:val="20"/>
              </w:rPr>
            </w:pPr>
            <w:r w:rsidRPr="00724BBB">
              <w:rPr>
                <w:b/>
                <w:bCs/>
                <w:color w:val="000000"/>
                <w:sz w:val="20"/>
                <w:szCs w:val="20"/>
              </w:rPr>
              <w:t>PG</w:t>
            </w:r>
          </w:p>
        </w:tc>
        <w:tc>
          <w:tcPr>
            <w:tcW w:w="1418" w:type="dxa"/>
            <w:shd w:val="clear" w:color="auto" w:fill="F2F2F2" w:themeFill="background1" w:themeFillShade="F2"/>
            <w:vAlign w:val="center"/>
            <w:hideMark/>
          </w:tcPr>
          <w:p w14:paraId="0AA4A02C" w14:textId="77777777" w:rsidR="006903A5" w:rsidRPr="00724BBB" w:rsidRDefault="006903A5">
            <w:pPr>
              <w:spacing w:line="276" w:lineRule="auto"/>
              <w:jc w:val="center"/>
              <w:rPr>
                <w:b/>
                <w:bCs/>
                <w:color w:val="000000"/>
                <w:sz w:val="20"/>
                <w:szCs w:val="20"/>
              </w:rPr>
            </w:pPr>
            <w:r w:rsidRPr="00724BBB">
              <w:rPr>
                <w:b/>
                <w:bCs/>
                <w:color w:val="000000"/>
                <w:sz w:val="20"/>
                <w:szCs w:val="20"/>
              </w:rPr>
              <w:t>Total Gambling Problems</w:t>
            </w:r>
          </w:p>
        </w:tc>
      </w:tr>
      <w:tr w:rsidR="006903A5" w:rsidRPr="00724BBB" w14:paraId="0522CD14" w14:textId="77777777">
        <w:trPr>
          <w:trHeight w:val="397"/>
        </w:trPr>
        <w:tc>
          <w:tcPr>
            <w:tcW w:w="3823" w:type="dxa"/>
            <w:vAlign w:val="center"/>
            <w:hideMark/>
          </w:tcPr>
          <w:p w14:paraId="1356C309" w14:textId="77777777" w:rsidR="006903A5" w:rsidRPr="00724BBB" w:rsidRDefault="006903A5">
            <w:pPr>
              <w:spacing w:line="276" w:lineRule="auto"/>
              <w:rPr>
                <w:color w:val="000000"/>
                <w:sz w:val="20"/>
                <w:szCs w:val="20"/>
              </w:rPr>
            </w:pPr>
            <w:r w:rsidRPr="00724BBB">
              <w:rPr>
                <w:color w:val="000000"/>
                <w:sz w:val="20"/>
                <w:szCs w:val="20"/>
              </w:rPr>
              <w:t>New Zealand adult population</w:t>
            </w:r>
          </w:p>
        </w:tc>
        <w:tc>
          <w:tcPr>
            <w:tcW w:w="1275" w:type="dxa"/>
            <w:vAlign w:val="center"/>
            <w:hideMark/>
          </w:tcPr>
          <w:p w14:paraId="0284DF7A" w14:textId="77777777" w:rsidR="006903A5" w:rsidRPr="00724BBB" w:rsidRDefault="006903A5">
            <w:pPr>
              <w:spacing w:line="276" w:lineRule="auto"/>
              <w:rPr>
                <w:color w:val="000000"/>
                <w:sz w:val="20"/>
                <w:szCs w:val="20"/>
              </w:rPr>
            </w:pPr>
            <w:r w:rsidRPr="00724BBB">
              <w:rPr>
                <w:color w:val="000000"/>
                <w:sz w:val="20"/>
                <w:szCs w:val="20"/>
              </w:rPr>
              <w:t>a</w:t>
            </w:r>
          </w:p>
        </w:tc>
        <w:tc>
          <w:tcPr>
            <w:tcW w:w="4395" w:type="dxa"/>
            <w:gridSpan w:val="4"/>
            <w:vAlign w:val="center"/>
            <w:hideMark/>
          </w:tcPr>
          <w:p w14:paraId="3E7E0F6E" w14:textId="77777777" w:rsidR="006903A5" w:rsidRPr="00724BBB" w:rsidRDefault="006903A5">
            <w:pPr>
              <w:spacing w:line="276" w:lineRule="auto"/>
              <w:jc w:val="right"/>
              <w:rPr>
                <w:color w:val="000000"/>
                <w:sz w:val="20"/>
                <w:szCs w:val="20"/>
              </w:rPr>
            </w:pPr>
            <w:r w:rsidRPr="00724BBB">
              <w:rPr>
                <w:color w:val="000000"/>
                <w:sz w:val="20"/>
                <w:szCs w:val="20"/>
              </w:rPr>
              <w:t>4,305,930</w:t>
            </w:r>
          </w:p>
        </w:tc>
      </w:tr>
      <w:tr w:rsidR="006903A5" w:rsidRPr="00724BBB" w14:paraId="0DA1D943" w14:textId="77777777">
        <w:trPr>
          <w:trHeight w:val="397"/>
        </w:trPr>
        <w:tc>
          <w:tcPr>
            <w:tcW w:w="3823" w:type="dxa"/>
            <w:vAlign w:val="center"/>
            <w:hideMark/>
          </w:tcPr>
          <w:p w14:paraId="232221C7" w14:textId="77777777" w:rsidR="006903A5" w:rsidRPr="00724BBB" w:rsidRDefault="006903A5">
            <w:pPr>
              <w:spacing w:line="276" w:lineRule="auto"/>
              <w:rPr>
                <w:color w:val="000000"/>
                <w:sz w:val="20"/>
                <w:szCs w:val="20"/>
              </w:rPr>
            </w:pPr>
            <w:r w:rsidRPr="00724BBB">
              <w:rPr>
                <w:color w:val="000000"/>
                <w:sz w:val="20"/>
                <w:szCs w:val="20"/>
              </w:rPr>
              <w:t xml:space="preserve"> Number of New Zealand population with gambling problems</w:t>
            </w:r>
          </w:p>
        </w:tc>
        <w:tc>
          <w:tcPr>
            <w:tcW w:w="1275" w:type="dxa"/>
            <w:vAlign w:val="center"/>
            <w:hideMark/>
          </w:tcPr>
          <w:p w14:paraId="6F769AE5" w14:textId="77777777" w:rsidR="006903A5" w:rsidRPr="00724BBB" w:rsidRDefault="006903A5">
            <w:pPr>
              <w:spacing w:line="276" w:lineRule="auto"/>
              <w:rPr>
                <w:color w:val="000000"/>
                <w:sz w:val="20"/>
                <w:szCs w:val="20"/>
              </w:rPr>
            </w:pPr>
            <w:r w:rsidRPr="00724BBB">
              <w:rPr>
                <w:color w:val="000000"/>
                <w:sz w:val="20"/>
                <w:szCs w:val="20"/>
              </w:rPr>
              <w:t>b</w:t>
            </w:r>
          </w:p>
        </w:tc>
        <w:tc>
          <w:tcPr>
            <w:tcW w:w="993" w:type="dxa"/>
            <w:vAlign w:val="center"/>
            <w:hideMark/>
          </w:tcPr>
          <w:p w14:paraId="34212799" w14:textId="77777777" w:rsidR="006903A5" w:rsidRPr="00724BBB" w:rsidRDefault="006903A5">
            <w:pPr>
              <w:spacing w:line="276" w:lineRule="auto"/>
              <w:jc w:val="right"/>
              <w:rPr>
                <w:color w:val="000000"/>
                <w:sz w:val="20"/>
                <w:szCs w:val="20"/>
              </w:rPr>
            </w:pPr>
            <w:r w:rsidRPr="00724BBB">
              <w:rPr>
                <w:color w:val="000000"/>
                <w:sz w:val="20"/>
                <w:szCs w:val="20"/>
              </w:rPr>
              <w:t>255,318</w:t>
            </w:r>
          </w:p>
        </w:tc>
        <w:tc>
          <w:tcPr>
            <w:tcW w:w="992" w:type="dxa"/>
            <w:vAlign w:val="center"/>
            <w:hideMark/>
          </w:tcPr>
          <w:p w14:paraId="76F8DB57" w14:textId="77777777" w:rsidR="006903A5" w:rsidRPr="00724BBB" w:rsidRDefault="006903A5">
            <w:pPr>
              <w:spacing w:line="276" w:lineRule="auto"/>
              <w:jc w:val="right"/>
              <w:rPr>
                <w:color w:val="000000"/>
                <w:sz w:val="20"/>
                <w:szCs w:val="20"/>
              </w:rPr>
            </w:pPr>
            <w:r w:rsidRPr="00724BBB">
              <w:rPr>
                <w:color w:val="000000"/>
                <w:sz w:val="20"/>
                <w:szCs w:val="20"/>
              </w:rPr>
              <w:t>83,492</w:t>
            </w:r>
          </w:p>
        </w:tc>
        <w:tc>
          <w:tcPr>
            <w:tcW w:w="992" w:type="dxa"/>
            <w:vAlign w:val="center"/>
            <w:hideMark/>
          </w:tcPr>
          <w:p w14:paraId="440392BD" w14:textId="77777777" w:rsidR="006903A5" w:rsidRPr="00724BBB" w:rsidRDefault="006903A5">
            <w:pPr>
              <w:spacing w:line="276" w:lineRule="auto"/>
              <w:jc w:val="right"/>
              <w:rPr>
                <w:color w:val="000000"/>
                <w:sz w:val="20"/>
                <w:szCs w:val="20"/>
              </w:rPr>
            </w:pPr>
            <w:r w:rsidRPr="00724BBB">
              <w:rPr>
                <w:color w:val="000000"/>
                <w:sz w:val="20"/>
                <w:szCs w:val="20"/>
              </w:rPr>
              <w:t>20,436</w:t>
            </w:r>
          </w:p>
        </w:tc>
        <w:tc>
          <w:tcPr>
            <w:tcW w:w="1418" w:type="dxa"/>
            <w:vAlign w:val="center"/>
            <w:hideMark/>
          </w:tcPr>
          <w:p w14:paraId="58213958" w14:textId="77777777" w:rsidR="006903A5" w:rsidRPr="00724BBB" w:rsidRDefault="006903A5">
            <w:pPr>
              <w:spacing w:line="276" w:lineRule="auto"/>
              <w:jc w:val="right"/>
              <w:rPr>
                <w:color w:val="000000"/>
                <w:sz w:val="20"/>
                <w:szCs w:val="20"/>
              </w:rPr>
            </w:pPr>
            <w:r w:rsidRPr="00724BBB">
              <w:rPr>
                <w:color w:val="000000"/>
                <w:sz w:val="20"/>
                <w:szCs w:val="20"/>
              </w:rPr>
              <w:t>359,246</w:t>
            </w:r>
          </w:p>
        </w:tc>
      </w:tr>
      <w:tr w:rsidR="006903A5" w:rsidRPr="00724BBB" w14:paraId="7134273D" w14:textId="77777777">
        <w:trPr>
          <w:trHeight w:val="397"/>
        </w:trPr>
        <w:tc>
          <w:tcPr>
            <w:tcW w:w="3823" w:type="dxa"/>
            <w:vAlign w:val="center"/>
            <w:hideMark/>
          </w:tcPr>
          <w:p w14:paraId="15188F39" w14:textId="77777777" w:rsidR="006903A5" w:rsidRPr="00724BBB" w:rsidRDefault="006903A5">
            <w:pPr>
              <w:spacing w:line="276" w:lineRule="auto"/>
              <w:rPr>
                <w:color w:val="000000"/>
                <w:sz w:val="20"/>
                <w:szCs w:val="20"/>
              </w:rPr>
            </w:pPr>
            <w:r w:rsidRPr="00724BBB">
              <w:rPr>
                <w:color w:val="000000"/>
                <w:sz w:val="20"/>
                <w:szCs w:val="20"/>
              </w:rPr>
              <w:t>Rate (%) of PGSI group with any physical or wellbeing issues related to their gambling</w:t>
            </w:r>
          </w:p>
        </w:tc>
        <w:tc>
          <w:tcPr>
            <w:tcW w:w="1275" w:type="dxa"/>
            <w:vAlign w:val="center"/>
            <w:hideMark/>
          </w:tcPr>
          <w:p w14:paraId="6A3B33CE" w14:textId="77777777" w:rsidR="006903A5" w:rsidRPr="00724BBB" w:rsidRDefault="006903A5">
            <w:pPr>
              <w:spacing w:line="276" w:lineRule="auto"/>
              <w:rPr>
                <w:color w:val="000000"/>
                <w:sz w:val="20"/>
                <w:szCs w:val="20"/>
              </w:rPr>
            </w:pPr>
            <w:r w:rsidRPr="00724BBB">
              <w:rPr>
                <w:color w:val="000000"/>
                <w:sz w:val="20"/>
                <w:szCs w:val="20"/>
              </w:rPr>
              <w:t>c</w:t>
            </w:r>
          </w:p>
        </w:tc>
        <w:tc>
          <w:tcPr>
            <w:tcW w:w="993" w:type="dxa"/>
            <w:vAlign w:val="center"/>
            <w:hideMark/>
          </w:tcPr>
          <w:p w14:paraId="7C3F4537" w14:textId="77777777" w:rsidR="006903A5" w:rsidRPr="00724BBB" w:rsidRDefault="006903A5">
            <w:pPr>
              <w:spacing w:line="276" w:lineRule="auto"/>
              <w:jc w:val="right"/>
              <w:rPr>
                <w:color w:val="000000"/>
                <w:sz w:val="20"/>
                <w:szCs w:val="20"/>
              </w:rPr>
            </w:pPr>
            <w:r w:rsidRPr="00724BBB">
              <w:rPr>
                <w:color w:val="000000"/>
                <w:sz w:val="20"/>
                <w:szCs w:val="20"/>
              </w:rPr>
              <w:t>2.5%</w:t>
            </w:r>
          </w:p>
        </w:tc>
        <w:tc>
          <w:tcPr>
            <w:tcW w:w="992" w:type="dxa"/>
            <w:vAlign w:val="center"/>
            <w:hideMark/>
          </w:tcPr>
          <w:p w14:paraId="224F57F4" w14:textId="77777777" w:rsidR="006903A5" w:rsidRPr="00724BBB" w:rsidRDefault="006903A5">
            <w:pPr>
              <w:spacing w:line="276" w:lineRule="auto"/>
              <w:jc w:val="right"/>
              <w:rPr>
                <w:color w:val="000000"/>
                <w:sz w:val="20"/>
                <w:szCs w:val="20"/>
              </w:rPr>
            </w:pPr>
            <w:r w:rsidRPr="00724BBB">
              <w:rPr>
                <w:color w:val="000000"/>
                <w:sz w:val="20"/>
                <w:szCs w:val="20"/>
              </w:rPr>
              <w:t>18.0%</w:t>
            </w:r>
          </w:p>
        </w:tc>
        <w:tc>
          <w:tcPr>
            <w:tcW w:w="992" w:type="dxa"/>
            <w:vAlign w:val="center"/>
            <w:hideMark/>
          </w:tcPr>
          <w:p w14:paraId="58EDE09D" w14:textId="77777777" w:rsidR="006903A5" w:rsidRPr="00724BBB" w:rsidRDefault="006903A5">
            <w:pPr>
              <w:spacing w:line="276" w:lineRule="auto"/>
              <w:jc w:val="right"/>
              <w:rPr>
                <w:color w:val="000000"/>
                <w:sz w:val="20"/>
                <w:szCs w:val="20"/>
              </w:rPr>
            </w:pPr>
            <w:r w:rsidRPr="00724BBB">
              <w:rPr>
                <w:color w:val="000000"/>
                <w:sz w:val="20"/>
                <w:szCs w:val="20"/>
              </w:rPr>
              <w:t>56.8%</w:t>
            </w:r>
          </w:p>
        </w:tc>
        <w:tc>
          <w:tcPr>
            <w:tcW w:w="1418" w:type="dxa"/>
            <w:vAlign w:val="center"/>
            <w:hideMark/>
          </w:tcPr>
          <w:p w14:paraId="38CED0FC" w14:textId="77777777" w:rsidR="006903A5" w:rsidRPr="00724BBB" w:rsidRDefault="006903A5">
            <w:pPr>
              <w:spacing w:line="276" w:lineRule="auto"/>
              <w:jc w:val="right"/>
              <w:rPr>
                <w:color w:val="000000"/>
                <w:sz w:val="20"/>
                <w:szCs w:val="20"/>
              </w:rPr>
            </w:pPr>
            <w:r w:rsidRPr="00724BBB">
              <w:rPr>
                <w:color w:val="000000"/>
                <w:sz w:val="20"/>
                <w:szCs w:val="20"/>
              </w:rPr>
              <w:t> </w:t>
            </w:r>
          </w:p>
        </w:tc>
      </w:tr>
      <w:tr w:rsidR="006903A5" w:rsidRPr="00724BBB" w14:paraId="4554E734" w14:textId="77777777">
        <w:trPr>
          <w:trHeight w:val="397"/>
        </w:trPr>
        <w:tc>
          <w:tcPr>
            <w:tcW w:w="3823" w:type="dxa"/>
            <w:vAlign w:val="center"/>
            <w:hideMark/>
          </w:tcPr>
          <w:p w14:paraId="78D24B3D" w14:textId="77777777" w:rsidR="006903A5" w:rsidRPr="00724BBB" w:rsidRDefault="006903A5">
            <w:pPr>
              <w:spacing w:line="276" w:lineRule="auto"/>
              <w:rPr>
                <w:color w:val="000000"/>
                <w:sz w:val="20"/>
                <w:szCs w:val="20"/>
              </w:rPr>
            </w:pPr>
            <w:r w:rsidRPr="00724BBB">
              <w:rPr>
                <w:color w:val="000000"/>
                <w:sz w:val="20"/>
                <w:szCs w:val="20"/>
              </w:rPr>
              <w:t>Number of PGSI group with any physical or wellbeing issues related to their gambling (less 20% causality discount)</w:t>
            </w:r>
          </w:p>
        </w:tc>
        <w:tc>
          <w:tcPr>
            <w:tcW w:w="1275" w:type="dxa"/>
            <w:vAlign w:val="center"/>
            <w:hideMark/>
          </w:tcPr>
          <w:p w14:paraId="369D5B92" w14:textId="77777777" w:rsidR="006903A5" w:rsidRPr="00724BBB" w:rsidRDefault="006903A5">
            <w:pPr>
              <w:spacing w:line="276" w:lineRule="auto"/>
              <w:rPr>
                <w:color w:val="000000"/>
                <w:sz w:val="20"/>
                <w:szCs w:val="20"/>
              </w:rPr>
            </w:pPr>
            <w:r w:rsidRPr="00724BBB">
              <w:rPr>
                <w:color w:val="000000"/>
                <w:sz w:val="20"/>
                <w:szCs w:val="20"/>
              </w:rPr>
              <w:t>d = b x c x 80%</w:t>
            </w:r>
          </w:p>
        </w:tc>
        <w:tc>
          <w:tcPr>
            <w:tcW w:w="993" w:type="dxa"/>
            <w:vAlign w:val="center"/>
            <w:hideMark/>
          </w:tcPr>
          <w:p w14:paraId="4DCEC5FB" w14:textId="77777777" w:rsidR="006903A5" w:rsidRPr="00724BBB" w:rsidRDefault="006903A5">
            <w:pPr>
              <w:spacing w:line="276" w:lineRule="auto"/>
              <w:jc w:val="right"/>
              <w:rPr>
                <w:color w:val="000000"/>
                <w:sz w:val="20"/>
                <w:szCs w:val="20"/>
              </w:rPr>
            </w:pPr>
            <w:r w:rsidRPr="00724BBB">
              <w:rPr>
                <w:color w:val="000000"/>
                <w:sz w:val="20"/>
                <w:szCs w:val="20"/>
              </w:rPr>
              <w:t>5,106</w:t>
            </w:r>
          </w:p>
        </w:tc>
        <w:tc>
          <w:tcPr>
            <w:tcW w:w="992" w:type="dxa"/>
            <w:vAlign w:val="center"/>
            <w:hideMark/>
          </w:tcPr>
          <w:p w14:paraId="108E1523" w14:textId="77777777" w:rsidR="006903A5" w:rsidRPr="00724BBB" w:rsidRDefault="006903A5">
            <w:pPr>
              <w:spacing w:line="276" w:lineRule="auto"/>
              <w:jc w:val="right"/>
              <w:rPr>
                <w:color w:val="000000"/>
                <w:sz w:val="20"/>
                <w:szCs w:val="20"/>
              </w:rPr>
            </w:pPr>
            <w:r w:rsidRPr="00724BBB">
              <w:rPr>
                <w:color w:val="000000"/>
                <w:sz w:val="20"/>
                <w:szCs w:val="20"/>
              </w:rPr>
              <w:t>12,023</w:t>
            </w:r>
          </w:p>
        </w:tc>
        <w:tc>
          <w:tcPr>
            <w:tcW w:w="992" w:type="dxa"/>
            <w:vAlign w:val="center"/>
            <w:hideMark/>
          </w:tcPr>
          <w:p w14:paraId="35CDA938" w14:textId="77777777" w:rsidR="006903A5" w:rsidRPr="00724BBB" w:rsidRDefault="006903A5">
            <w:pPr>
              <w:spacing w:line="276" w:lineRule="auto"/>
              <w:jc w:val="right"/>
              <w:rPr>
                <w:color w:val="000000"/>
                <w:sz w:val="20"/>
                <w:szCs w:val="20"/>
              </w:rPr>
            </w:pPr>
            <w:r w:rsidRPr="00724BBB">
              <w:rPr>
                <w:color w:val="000000"/>
                <w:sz w:val="20"/>
                <w:szCs w:val="20"/>
              </w:rPr>
              <w:t>9,286</w:t>
            </w:r>
          </w:p>
        </w:tc>
        <w:tc>
          <w:tcPr>
            <w:tcW w:w="1418" w:type="dxa"/>
            <w:vAlign w:val="center"/>
            <w:hideMark/>
          </w:tcPr>
          <w:p w14:paraId="2DE1AA74" w14:textId="77777777" w:rsidR="006903A5" w:rsidRPr="00724BBB" w:rsidRDefault="006903A5">
            <w:pPr>
              <w:spacing w:line="276" w:lineRule="auto"/>
              <w:jc w:val="right"/>
              <w:rPr>
                <w:color w:val="000000"/>
                <w:sz w:val="20"/>
                <w:szCs w:val="20"/>
              </w:rPr>
            </w:pPr>
            <w:r w:rsidRPr="00724BBB">
              <w:rPr>
                <w:color w:val="000000"/>
                <w:sz w:val="20"/>
                <w:szCs w:val="20"/>
              </w:rPr>
              <w:t>26,415</w:t>
            </w:r>
          </w:p>
        </w:tc>
      </w:tr>
      <w:tr w:rsidR="006903A5" w:rsidRPr="00724BBB" w14:paraId="522C1F5F" w14:textId="77777777">
        <w:trPr>
          <w:trHeight w:val="397"/>
        </w:trPr>
        <w:tc>
          <w:tcPr>
            <w:tcW w:w="3823" w:type="dxa"/>
            <w:vAlign w:val="center"/>
            <w:hideMark/>
          </w:tcPr>
          <w:p w14:paraId="65367F2B" w14:textId="77777777" w:rsidR="006903A5" w:rsidRPr="00724BBB" w:rsidRDefault="006903A5">
            <w:pPr>
              <w:spacing w:line="276" w:lineRule="auto"/>
              <w:rPr>
                <w:color w:val="000000"/>
                <w:sz w:val="20"/>
                <w:szCs w:val="20"/>
              </w:rPr>
            </w:pPr>
            <w:r w:rsidRPr="00724BBB">
              <w:rPr>
                <w:color w:val="000000"/>
                <w:sz w:val="20"/>
                <w:szCs w:val="20"/>
              </w:rPr>
              <w:t>Proportion of the New Zealand adult population accessing healthcare services due to gambling</w:t>
            </w:r>
          </w:p>
        </w:tc>
        <w:tc>
          <w:tcPr>
            <w:tcW w:w="1275" w:type="dxa"/>
            <w:vAlign w:val="center"/>
            <w:hideMark/>
          </w:tcPr>
          <w:p w14:paraId="76B9872F" w14:textId="77777777" w:rsidR="006903A5" w:rsidRPr="00724BBB" w:rsidRDefault="006903A5">
            <w:pPr>
              <w:spacing w:line="276" w:lineRule="auto"/>
              <w:rPr>
                <w:color w:val="000000"/>
                <w:sz w:val="20"/>
                <w:szCs w:val="20"/>
              </w:rPr>
            </w:pPr>
            <w:r w:rsidRPr="00724BBB">
              <w:rPr>
                <w:color w:val="000000"/>
                <w:sz w:val="20"/>
                <w:szCs w:val="20"/>
              </w:rPr>
              <w:t>e = d / a</w:t>
            </w:r>
          </w:p>
        </w:tc>
        <w:tc>
          <w:tcPr>
            <w:tcW w:w="993" w:type="dxa"/>
            <w:vAlign w:val="center"/>
            <w:hideMark/>
          </w:tcPr>
          <w:p w14:paraId="46840BDD" w14:textId="77777777" w:rsidR="006903A5" w:rsidRPr="00724BBB" w:rsidRDefault="006903A5">
            <w:pPr>
              <w:spacing w:line="276" w:lineRule="auto"/>
              <w:jc w:val="right"/>
              <w:rPr>
                <w:color w:val="000000"/>
                <w:sz w:val="20"/>
                <w:szCs w:val="20"/>
              </w:rPr>
            </w:pPr>
            <w:r w:rsidRPr="00724BBB">
              <w:rPr>
                <w:color w:val="000000"/>
                <w:sz w:val="20"/>
                <w:szCs w:val="20"/>
              </w:rPr>
              <w:t>0.1%</w:t>
            </w:r>
          </w:p>
        </w:tc>
        <w:tc>
          <w:tcPr>
            <w:tcW w:w="992" w:type="dxa"/>
            <w:vAlign w:val="center"/>
            <w:hideMark/>
          </w:tcPr>
          <w:p w14:paraId="52C7E571" w14:textId="77777777" w:rsidR="006903A5" w:rsidRPr="00724BBB" w:rsidRDefault="006903A5">
            <w:pPr>
              <w:spacing w:line="276" w:lineRule="auto"/>
              <w:jc w:val="right"/>
              <w:rPr>
                <w:color w:val="000000"/>
                <w:sz w:val="20"/>
                <w:szCs w:val="20"/>
              </w:rPr>
            </w:pPr>
            <w:r w:rsidRPr="00724BBB">
              <w:rPr>
                <w:color w:val="000000"/>
                <w:sz w:val="20"/>
                <w:szCs w:val="20"/>
              </w:rPr>
              <w:t>0.3%</w:t>
            </w:r>
          </w:p>
        </w:tc>
        <w:tc>
          <w:tcPr>
            <w:tcW w:w="992" w:type="dxa"/>
            <w:vAlign w:val="center"/>
            <w:hideMark/>
          </w:tcPr>
          <w:p w14:paraId="59B9F6D1" w14:textId="77777777" w:rsidR="006903A5" w:rsidRPr="00724BBB" w:rsidRDefault="006903A5">
            <w:pPr>
              <w:spacing w:line="276" w:lineRule="auto"/>
              <w:jc w:val="right"/>
              <w:rPr>
                <w:color w:val="000000"/>
                <w:sz w:val="20"/>
                <w:szCs w:val="20"/>
              </w:rPr>
            </w:pPr>
            <w:r w:rsidRPr="00724BBB">
              <w:rPr>
                <w:color w:val="000000"/>
                <w:sz w:val="20"/>
                <w:szCs w:val="20"/>
              </w:rPr>
              <w:t>0.2%</w:t>
            </w:r>
          </w:p>
        </w:tc>
        <w:tc>
          <w:tcPr>
            <w:tcW w:w="1418" w:type="dxa"/>
            <w:vAlign w:val="center"/>
            <w:hideMark/>
          </w:tcPr>
          <w:p w14:paraId="4E3E96CD" w14:textId="77777777" w:rsidR="006903A5" w:rsidRPr="00724BBB" w:rsidRDefault="006903A5">
            <w:pPr>
              <w:spacing w:line="276" w:lineRule="auto"/>
              <w:jc w:val="right"/>
              <w:rPr>
                <w:color w:val="000000"/>
                <w:sz w:val="20"/>
                <w:szCs w:val="20"/>
              </w:rPr>
            </w:pPr>
            <w:r w:rsidRPr="00724BBB">
              <w:rPr>
                <w:color w:val="000000"/>
                <w:sz w:val="20"/>
                <w:szCs w:val="20"/>
              </w:rPr>
              <w:t>0.6%</w:t>
            </w:r>
          </w:p>
        </w:tc>
      </w:tr>
      <w:tr w:rsidR="006903A5" w:rsidRPr="00724BBB" w14:paraId="5727002E" w14:textId="77777777" w:rsidTr="00841D8C">
        <w:trPr>
          <w:trHeight w:val="397"/>
        </w:trPr>
        <w:tc>
          <w:tcPr>
            <w:tcW w:w="3823" w:type="dxa"/>
            <w:vAlign w:val="center"/>
            <w:hideMark/>
          </w:tcPr>
          <w:p w14:paraId="01BC64BE" w14:textId="77777777" w:rsidR="006903A5" w:rsidRPr="00724BBB" w:rsidRDefault="006903A5">
            <w:pPr>
              <w:spacing w:line="276" w:lineRule="auto"/>
              <w:rPr>
                <w:color w:val="000000"/>
                <w:sz w:val="20"/>
                <w:szCs w:val="20"/>
              </w:rPr>
            </w:pPr>
            <w:r w:rsidRPr="00724BBB">
              <w:rPr>
                <w:color w:val="000000"/>
                <w:sz w:val="20"/>
                <w:szCs w:val="20"/>
              </w:rPr>
              <w:t>Total Vote Health funding</w:t>
            </w:r>
          </w:p>
        </w:tc>
        <w:tc>
          <w:tcPr>
            <w:tcW w:w="1275" w:type="dxa"/>
            <w:vAlign w:val="center"/>
            <w:hideMark/>
          </w:tcPr>
          <w:p w14:paraId="33718FB6" w14:textId="77777777" w:rsidR="006903A5" w:rsidRPr="00724BBB" w:rsidRDefault="006903A5">
            <w:pPr>
              <w:spacing w:line="276" w:lineRule="auto"/>
              <w:rPr>
                <w:color w:val="000000"/>
                <w:sz w:val="20"/>
                <w:szCs w:val="20"/>
              </w:rPr>
            </w:pPr>
            <w:r w:rsidRPr="00724BBB">
              <w:rPr>
                <w:color w:val="000000"/>
                <w:sz w:val="20"/>
                <w:szCs w:val="20"/>
              </w:rPr>
              <w:t>f</w:t>
            </w:r>
          </w:p>
        </w:tc>
        <w:tc>
          <w:tcPr>
            <w:tcW w:w="4395" w:type="dxa"/>
            <w:gridSpan w:val="4"/>
            <w:vAlign w:val="center"/>
            <w:hideMark/>
          </w:tcPr>
          <w:p w14:paraId="26A305EC" w14:textId="77777777" w:rsidR="006903A5" w:rsidRPr="00724BBB" w:rsidRDefault="006903A5" w:rsidP="00841D8C">
            <w:pPr>
              <w:spacing w:line="276" w:lineRule="auto"/>
              <w:jc w:val="center"/>
              <w:rPr>
                <w:color w:val="000000"/>
                <w:sz w:val="20"/>
                <w:szCs w:val="20"/>
              </w:rPr>
            </w:pPr>
            <w:r w:rsidRPr="00724BBB">
              <w:rPr>
                <w:color w:val="000000"/>
                <w:sz w:val="20"/>
                <w:szCs w:val="20"/>
              </w:rPr>
              <w:t>$26,510,000,000</w:t>
            </w:r>
          </w:p>
        </w:tc>
      </w:tr>
      <w:tr w:rsidR="006903A5" w:rsidRPr="00724BBB" w14:paraId="39273A62" w14:textId="77777777" w:rsidTr="00841D8C">
        <w:trPr>
          <w:trHeight w:val="397"/>
        </w:trPr>
        <w:tc>
          <w:tcPr>
            <w:tcW w:w="3823" w:type="dxa"/>
            <w:vAlign w:val="center"/>
            <w:hideMark/>
          </w:tcPr>
          <w:p w14:paraId="0E3ECF90" w14:textId="77777777" w:rsidR="006903A5" w:rsidRPr="00724BBB" w:rsidRDefault="006903A5">
            <w:pPr>
              <w:spacing w:line="276" w:lineRule="auto"/>
              <w:rPr>
                <w:color w:val="000000"/>
                <w:sz w:val="20"/>
                <w:szCs w:val="20"/>
              </w:rPr>
            </w:pPr>
            <w:r w:rsidRPr="00724BBB">
              <w:rPr>
                <w:color w:val="000000"/>
                <w:sz w:val="20"/>
                <w:szCs w:val="20"/>
              </w:rPr>
              <w:t>Proportion of Vote Heath funding apportioned to adult population</w:t>
            </w:r>
          </w:p>
        </w:tc>
        <w:tc>
          <w:tcPr>
            <w:tcW w:w="1275" w:type="dxa"/>
            <w:vAlign w:val="center"/>
            <w:hideMark/>
          </w:tcPr>
          <w:p w14:paraId="1AAD7B8A" w14:textId="77777777" w:rsidR="006903A5" w:rsidRPr="00724BBB" w:rsidRDefault="006903A5">
            <w:pPr>
              <w:spacing w:line="276" w:lineRule="auto"/>
              <w:rPr>
                <w:color w:val="000000"/>
                <w:sz w:val="20"/>
                <w:szCs w:val="20"/>
              </w:rPr>
            </w:pPr>
            <w:r w:rsidRPr="00724BBB">
              <w:rPr>
                <w:color w:val="000000"/>
                <w:sz w:val="20"/>
                <w:szCs w:val="20"/>
              </w:rPr>
              <w:t>g = f x 80% *</w:t>
            </w:r>
          </w:p>
        </w:tc>
        <w:tc>
          <w:tcPr>
            <w:tcW w:w="4395" w:type="dxa"/>
            <w:gridSpan w:val="4"/>
            <w:vAlign w:val="center"/>
            <w:hideMark/>
          </w:tcPr>
          <w:p w14:paraId="0C6927C4" w14:textId="77777777" w:rsidR="006903A5" w:rsidRPr="00724BBB" w:rsidRDefault="006903A5" w:rsidP="00841D8C">
            <w:pPr>
              <w:spacing w:line="276" w:lineRule="auto"/>
              <w:jc w:val="center"/>
              <w:rPr>
                <w:color w:val="000000"/>
                <w:sz w:val="20"/>
                <w:szCs w:val="20"/>
              </w:rPr>
            </w:pPr>
            <w:r w:rsidRPr="00724BBB">
              <w:rPr>
                <w:color w:val="000000"/>
                <w:sz w:val="20"/>
                <w:szCs w:val="20"/>
              </w:rPr>
              <w:t>$21,208,000,000</w:t>
            </w:r>
          </w:p>
        </w:tc>
      </w:tr>
      <w:tr w:rsidR="006903A5" w:rsidRPr="00724BBB" w14:paraId="747F360F" w14:textId="77777777">
        <w:trPr>
          <w:trHeight w:val="397"/>
        </w:trPr>
        <w:tc>
          <w:tcPr>
            <w:tcW w:w="3823" w:type="dxa"/>
            <w:shd w:val="clear" w:color="auto" w:fill="F2F2F2" w:themeFill="background1" w:themeFillShade="F2"/>
            <w:vAlign w:val="center"/>
            <w:hideMark/>
          </w:tcPr>
          <w:p w14:paraId="30F79393" w14:textId="77777777" w:rsidR="006903A5" w:rsidRPr="00724BBB" w:rsidRDefault="006903A5">
            <w:pPr>
              <w:spacing w:line="276" w:lineRule="auto"/>
              <w:rPr>
                <w:b/>
                <w:bCs/>
                <w:color w:val="000000"/>
                <w:sz w:val="20"/>
                <w:szCs w:val="20"/>
              </w:rPr>
            </w:pPr>
            <w:r w:rsidRPr="00724BBB">
              <w:rPr>
                <w:b/>
                <w:bCs/>
                <w:color w:val="000000"/>
                <w:sz w:val="20"/>
                <w:szCs w:val="20"/>
              </w:rPr>
              <w:t>Apportioned health cost due to gambling (population share method)</w:t>
            </w:r>
          </w:p>
        </w:tc>
        <w:tc>
          <w:tcPr>
            <w:tcW w:w="1275" w:type="dxa"/>
            <w:shd w:val="clear" w:color="auto" w:fill="F2F2F2" w:themeFill="background1" w:themeFillShade="F2"/>
            <w:vAlign w:val="center"/>
            <w:hideMark/>
          </w:tcPr>
          <w:p w14:paraId="24E53D4E" w14:textId="77777777" w:rsidR="006903A5" w:rsidRPr="00724BBB" w:rsidRDefault="006903A5">
            <w:pPr>
              <w:spacing w:line="276" w:lineRule="auto"/>
              <w:rPr>
                <w:b/>
                <w:bCs/>
                <w:color w:val="000000"/>
                <w:sz w:val="20"/>
                <w:szCs w:val="20"/>
              </w:rPr>
            </w:pPr>
            <w:r w:rsidRPr="00724BBB">
              <w:rPr>
                <w:b/>
                <w:bCs/>
                <w:color w:val="000000"/>
                <w:sz w:val="20"/>
                <w:szCs w:val="20"/>
              </w:rPr>
              <w:t>h = e x g</w:t>
            </w:r>
          </w:p>
        </w:tc>
        <w:tc>
          <w:tcPr>
            <w:tcW w:w="993" w:type="dxa"/>
            <w:shd w:val="clear" w:color="auto" w:fill="F2F2F2" w:themeFill="background1" w:themeFillShade="F2"/>
            <w:vAlign w:val="center"/>
            <w:hideMark/>
          </w:tcPr>
          <w:p w14:paraId="096D9715" w14:textId="77777777" w:rsidR="006903A5" w:rsidRPr="00724BBB" w:rsidRDefault="006903A5">
            <w:pPr>
              <w:spacing w:line="276" w:lineRule="auto"/>
              <w:jc w:val="right"/>
              <w:rPr>
                <w:b/>
                <w:bCs/>
                <w:color w:val="000000"/>
                <w:sz w:val="20"/>
                <w:szCs w:val="20"/>
              </w:rPr>
            </w:pPr>
            <w:r w:rsidRPr="00724BBB">
              <w:rPr>
                <w:b/>
                <w:bCs/>
                <w:color w:val="000000"/>
                <w:sz w:val="20"/>
                <w:szCs w:val="20"/>
              </w:rPr>
              <w:t>$25.1M</w:t>
            </w:r>
          </w:p>
        </w:tc>
        <w:tc>
          <w:tcPr>
            <w:tcW w:w="992" w:type="dxa"/>
            <w:shd w:val="clear" w:color="auto" w:fill="F2F2F2" w:themeFill="background1" w:themeFillShade="F2"/>
            <w:vAlign w:val="center"/>
            <w:hideMark/>
          </w:tcPr>
          <w:p w14:paraId="4C49A784" w14:textId="77777777" w:rsidR="006903A5" w:rsidRPr="00724BBB" w:rsidRDefault="006903A5">
            <w:pPr>
              <w:spacing w:line="276" w:lineRule="auto"/>
              <w:jc w:val="right"/>
              <w:rPr>
                <w:b/>
                <w:bCs/>
                <w:color w:val="000000"/>
                <w:sz w:val="20"/>
                <w:szCs w:val="20"/>
              </w:rPr>
            </w:pPr>
            <w:r w:rsidRPr="00724BBB">
              <w:rPr>
                <w:b/>
                <w:bCs/>
                <w:color w:val="000000"/>
                <w:sz w:val="20"/>
                <w:szCs w:val="20"/>
              </w:rPr>
              <w:t>$59.2M</w:t>
            </w:r>
          </w:p>
        </w:tc>
        <w:tc>
          <w:tcPr>
            <w:tcW w:w="992" w:type="dxa"/>
            <w:shd w:val="clear" w:color="auto" w:fill="F2F2F2" w:themeFill="background1" w:themeFillShade="F2"/>
            <w:vAlign w:val="center"/>
            <w:hideMark/>
          </w:tcPr>
          <w:p w14:paraId="40AC5735" w14:textId="77777777" w:rsidR="006903A5" w:rsidRPr="00724BBB" w:rsidRDefault="006903A5">
            <w:pPr>
              <w:spacing w:line="276" w:lineRule="auto"/>
              <w:jc w:val="right"/>
              <w:rPr>
                <w:b/>
                <w:bCs/>
                <w:color w:val="000000"/>
                <w:sz w:val="20"/>
                <w:szCs w:val="20"/>
              </w:rPr>
            </w:pPr>
            <w:r w:rsidRPr="00724BBB">
              <w:rPr>
                <w:b/>
                <w:bCs/>
                <w:color w:val="000000"/>
                <w:sz w:val="20"/>
                <w:szCs w:val="20"/>
              </w:rPr>
              <w:t>$45.7M</w:t>
            </w:r>
          </w:p>
        </w:tc>
        <w:tc>
          <w:tcPr>
            <w:tcW w:w="1418" w:type="dxa"/>
            <w:shd w:val="clear" w:color="auto" w:fill="F2F2F2" w:themeFill="background1" w:themeFillShade="F2"/>
            <w:vAlign w:val="center"/>
            <w:hideMark/>
          </w:tcPr>
          <w:p w14:paraId="2E9A6771" w14:textId="77777777" w:rsidR="006903A5" w:rsidRPr="00724BBB" w:rsidRDefault="006903A5">
            <w:pPr>
              <w:spacing w:line="276" w:lineRule="auto"/>
              <w:jc w:val="right"/>
              <w:rPr>
                <w:b/>
                <w:bCs/>
                <w:color w:val="000000"/>
                <w:sz w:val="20"/>
                <w:szCs w:val="20"/>
              </w:rPr>
            </w:pPr>
            <w:r w:rsidRPr="00724BBB">
              <w:rPr>
                <w:b/>
                <w:bCs/>
                <w:color w:val="000000"/>
                <w:sz w:val="20"/>
                <w:szCs w:val="20"/>
              </w:rPr>
              <w:t>$130,103,425</w:t>
            </w:r>
          </w:p>
        </w:tc>
      </w:tr>
      <w:tr w:rsidR="006903A5" w:rsidRPr="00724BBB" w14:paraId="51C754CE" w14:textId="77777777">
        <w:trPr>
          <w:trHeight w:val="397"/>
        </w:trPr>
        <w:tc>
          <w:tcPr>
            <w:tcW w:w="8075" w:type="dxa"/>
            <w:gridSpan w:val="5"/>
            <w:vAlign w:val="center"/>
            <w:hideMark/>
          </w:tcPr>
          <w:p w14:paraId="4F49DFC0" w14:textId="77777777" w:rsidR="006903A5" w:rsidRPr="00724BBB" w:rsidRDefault="006903A5">
            <w:pPr>
              <w:spacing w:line="276" w:lineRule="auto"/>
              <w:rPr>
                <w:color w:val="000000"/>
                <w:sz w:val="20"/>
                <w:szCs w:val="20"/>
              </w:rPr>
            </w:pPr>
            <w:r w:rsidRPr="00724BBB">
              <w:rPr>
                <w:color w:val="000000"/>
                <w:sz w:val="20"/>
                <w:szCs w:val="20"/>
              </w:rPr>
              <w:t>Lower Estimate</w:t>
            </w:r>
          </w:p>
        </w:tc>
        <w:tc>
          <w:tcPr>
            <w:tcW w:w="1418" w:type="dxa"/>
            <w:vAlign w:val="center"/>
            <w:hideMark/>
          </w:tcPr>
          <w:p w14:paraId="60199DCB" w14:textId="77777777" w:rsidR="006903A5" w:rsidRPr="00724BBB" w:rsidRDefault="006903A5">
            <w:pPr>
              <w:spacing w:line="276" w:lineRule="auto"/>
              <w:jc w:val="right"/>
              <w:rPr>
                <w:color w:val="000000"/>
                <w:sz w:val="20"/>
                <w:szCs w:val="20"/>
              </w:rPr>
            </w:pPr>
            <w:r w:rsidRPr="00724BBB">
              <w:rPr>
                <w:color w:val="000000"/>
                <w:sz w:val="20"/>
                <w:szCs w:val="20"/>
              </w:rPr>
              <w:t>$123,598,254</w:t>
            </w:r>
          </w:p>
        </w:tc>
      </w:tr>
      <w:tr w:rsidR="006903A5" w:rsidRPr="00724BBB" w14:paraId="03D6F55D" w14:textId="77777777">
        <w:trPr>
          <w:trHeight w:val="397"/>
        </w:trPr>
        <w:tc>
          <w:tcPr>
            <w:tcW w:w="8075" w:type="dxa"/>
            <w:gridSpan w:val="5"/>
            <w:vAlign w:val="center"/>
            <w:hideMark/>
          </w:tcPr>
          <w:p w14:paraId="670D376E" w14:textId="77777777" w:rsidR="006903A5" w:rsidRPr="00724BBB" w:rsidRDefault="006903A5">
            <w:pPr>
              <w:spacing w:line="276" w:lineRule="auto"/>
              <w:rPr>
                <w:color w:val="000000"/>
                <w:sz w:val="20"/>
                <w:szCs w:val="20"/>
              </w:rPr>
            </w:pPr>
            <w:r w:rsidRPr="00724BBB">
              <w:rPr>
                <w:color w:val="000000"/>
                <w:sz w:val="20"/>
                <w:szCs w:val="20"/>
              </w:rPr>
              <w:t>Upper Estimate</w:t>
            </w:r>
          </w:p>
        </w:tc>
        <w:tc>
          <w:tcPr>
            <w:tcW w:w="1418" w:type="dxa"/>
            <w:vAlign w:val="center"/>
            <w:hideMark/>
          </w:tcPr>
          <w:p w14:paraId="01145394" w14:textId="77777777" w:rsidR="006903A5" w:rsidRPr="00724BBB" w:rsidRDefault="006903A5">
            <w:pPr>
              <w:spacing w:line="276" w:lineRule="auto"/>
              <w:jc w:val="right"/>
              <w:rPr>
                <w:color w:val="000000"/>
                <w:sz w:val="20"/>
                <w:szCs w:val="20"/>
              </w:rPr>
            </w:pPr>
            <w:r w:rsidRPr="00724BBB">
              <w:rPr>
                <w:color w:val="000000"/>
                <w:sz w:val="20"/>
                <w:szCs w:val="20"/>
              </w:rPr>
              <w:t>$136,608,597</w:t>
            </w:r>
          </w:p>
        </w:tc>
      </w:tr>
      <w:tr w:rsidR="006903A5" w:rsidRPr="00724BBB" w14:paraId="69B19A9B" w14:textId="77777777">
        <w:trPr>
          <w:trHeight w:val="397"/>
        </w:trPr>
        <w:tc>
          <w:tcPr>
            <w:tcW w:w="9493" w:type="dxa"/>
            <w:gridSpan w:val="6"/>
            <w:noWrap/>
            <w:vAlign w:val="center"/>
            <w:hideMark/>
          </w:tcPr>
          <w:p w14:paraId="688FA4C9" w14:textId="77777777" w:rsidR="006903A5" w:rsidRPr="00724BBB" w:rsidRDefault="006903A5">
            <w:pPr>
              <w:spacing w:line="276" w:lineRule="auto"/>
              <w:rPr>
                <w:i/>
                <w:iCs/>
                <w:color w:val="242424"/>
                <w:sz w:val="20"/>
                <w:szCs w:val="20"/>
              </w:rPr>
            </w:pPr>
            <w:r w:rsidRPr="00724BBB">
              <w:rPr>
                <w:i/>
                <w:iCs/>
                <w:color w:val="242424"/>
                <w:sz w:val="20"/>
                <w:szCs w:val="20"/>
              </w:rPr>
              <w:t xml:space="preserve">Note: </w:t>
            </w:r>
            <w:r w:rsidRPr="00724BBB">
              <w:rPr>
                <w:i/>
                <w:iCs/>
                <w:sz w:val="20"/>
                <w:szCs w:val="20"/>
              </w:rPr>
              <w:t xml:space="preserve">LR (low-risk gambling), MR (moderate-risk gambling), and problem gambling. </w:t>
            </w:r>
            <w:r w:rsidRPr="00724BBB">
              <w:rPr>
                <w:i/>
                <w:iCs/>
                <w:color w:val="242424"/>
                <w:sz w:val="20"/>
                <w:szCs w:val="20"/>
              </w:rPr>
              <w:t>Totals may not match exactly due to rounding. Calculations are based on the original unrounded figures to ensure accuracy. * Based on ~20% of population under 16.</w:t>
            </w:r>
            <w:r w:rsidRPr="00724BBB">
              <w:rPr>
                <w:i/>
                <w:iCs/>
                <w:color w:val="000000"/>
                <w:sz w:val="20"/>
                <w:szCs w:val="20"/>
              </w:rPr>
              <w:t> </w:t>
            </w:r>
          </w:p>
        </w:tc>
      </w:tr>
    </w:tbl>
    <w:p w14:paraId="5D851DE6" w14:textId="77777777" w:rsidR="006903A5" w:rsidRPr="00D850CC" w:rsidRDefault="006903A5" w:rsidP="006903A5">
      <w:pPr>
        <w:spacing w:line="276" w:lineRule="auto"/>
        <w:rPr>
          <w:b/>
          <w:sz w:val="18"/>
          <w:szCs w:val="18"/>
        </w:rPr>
      </w:pPr>
    </w:p>
    <w:p w14:paraId="56D8E87B" w14:textId="77777777" w:rsidR="006903A5" w:rsidRDefault="006903A5" w:rsidP="006903A5">
      <w:pPr>
        <w:spacing w:line="276" w:lineRule="auto"/>
        <w:rPr>
          <w:sz w:val="18"/>
          <w:szCs w:val="18"/>
        </w:rPr>
      </w:pPr>
    </w:p>
    <w:p w14:paraId="44C1A96C" w14:textId="77777777" w:rsidR="00212ED7" w:rsidRDefault="00212ED7" w:rsidP="00212ED7">
      <w:pPr>
        <w:spacing w:line="360" w:lineRule="auto"/>
      </w:pPr>
      <w:r>
        <w:t>The estimated cost of health and primary mental health service provision attributable to gambling harm is between a lower bound of $123.6 million and an upper bound of $136.6 million. This range reflects uncertainty in the estimates, which are based on self-report survey responses and broad population data. However, it is likely that the true cost is higher, as this estimate does not capture the health and primary mental health service costs experienced by affected others due to limited available data.</w:t>
      </w:r>
    </w:p>
    <w:p w14:paraId="1278F0FC" w14:textId="77777777" w:rsidR="00212ED7" w:rsidRDefault="00212ED7" w:rsidP="006903A5">
      <w:pPr>
        <w:spacing w:line="276" w:lineRule="auto"/>
        <w:rPr>
          <w:sz w:val="18"/>
          <w:szCs w:val="18"/>
        </w:rPr>
      </w:pPr>
    </w:p>
    <w:p w14:paraId="6320763B" w14:textId="77777777" w:rsidR="0083600D" w:rsidRPr="00D850CC" w:rsidRDefault="0083600D" w:rsidP="006903A5">
      <w:pPr>
        <w:spacing w:line="276" w:lineRule="auto"/>
        <w:rPr>
          <w:sz w:val="18"/>
          <w:szCs w:val="18"/>
        </w:rPr>
      </w:pPr>
    </w:p>
    <w:p w14:paraId="1F5DDE5F" w14:textId="216E86D0" w:rsidR="00DB689D" w:rsidRDefault="00310A10" w:rsidP="00657824">
      <w:pPr>
        <w:pStyle w:val="Heading2"/>
      </w:pPr>
      <w:bookmarkStart w:id="459" w:name="_a0wwbbdpdaop" w:colFirst="0" w:colLast="0"/>
      <w:bookmarkStart w:id="460" w:name="_Toc201572464"/>
      <w:bookmarkStart w:id="461" w:name="_Toc207195982"/>
      <w:bookmarkEnd w:id="459"/>
      <w:r>
        <w:t>Work or study impacts</w:t>
      </w:r>
      <w:bookmarkEnd w:id="460"/>
      <w:bookmarkEnd w:id="461"/>
    </w:p>
    <w:p w14:paraId="083EE0D6" w14:textId="1F9FB90B" w:rsidR="00DB689D" w:rsidRDefault="00310A10" w:rsidP="00367A8D">
      <w:pPr>
        <w:spacing w:line="360" w:lineRule="auto"/>
      </w:pPr>
      <w:r>
        <w:t xml:space="preserve">Gambling-related harm can significantly impact an individual’s work or study performance, </w:t>
      </w:r>
      <w:r w:rsidR="00DB2449">
        <w:rPr>
          <w:noProof/>
          <w:color w:val="000000"/>
        </w:rPr>
        <w:t>(Bellringer et al., 2019; Browne et al., 2016)</w:t>
      </w:r>
      <w:r>
        <w:t xml:space="preserve">. This study includes estimates of three key areas of impact - productivity loss, absenteeism and job loss. </w:t>
      </w:r>
    </w:p>
    <w:p w14:paraId="6F443301" w14:textId="77777777" w:rsidR="00DB689D" w:rsidRDefault="00310A10" w:rsidP="00C30E1A">
      <w:pPr>
        <w:pStyle w:val="Heading3"/>
      </w:pPr>
      <w:bookmarkStart w:id="462" w:name="_4n18guke9quo" w:colFirst="0" w:colLast="0"/>
      <w:bookmarkStart w:id="463" w:name="_Toc201572465"/>
      <w:bookmarkStart w:id="464" w:name="_Toc207195983"/>
      <w:bookmarkEnd w:id="462"/>
      <w:r>
        <w:t>Productivity loss to business</w:t>
      </w:r>
      <w:bookmarkEnd w:id="463"/>
      <w:bookmarkEnd w:id="464"/>
      <w:r>
        <w:t xml:space="preserve"> </w:t>
      </w:r>
    </w:p>
    <w:p w14:paraId="26658F39" w14:textId="7C6EBF52" w:rsidR="00DB689D" w:rsidRDefault="00310A10" w:rsidP="00367A8D">
      <w:pPr>
        <w:spacing w:line="360" w:lineRule="auto"/>
      </w:pPr>
      <w:r>
        <w:t xml:space="preserve">A study of 1,721 workers in Canada, found that nearly half (43.8%) had gambled at work </w:t>
      </w:r>
      <w:r w:rsidR="0038398B">
        <w:rPr>
          <w:noProof/>
          <w:color w:val="000000"/>
        </w:rPr>
        <w:t>(Hudson Breen et al., 2024)</w:t>
      </w:r>
      <w:r>
        <w:t>. People who gambled at work were almost seven times more likely to meet the criteria for gambling disorders; 42.8% were categorised as problem or pathological gambling, and 30.8% as at-risk gambling. Over a quarter (26.4%) were classified as recreational gambling, a group that is not included in the current costing, demonstrating a conservative approach. Almost half the participants (46%) believed they would face disciplinary action if their employer were aware of the behaviour; 16% had been disciplined, and 13% (mainly classified as pathological gambling) had lost a job due to workplace gambling. Qualitative interviews highlighted productivity losses due to preoccupation, distraction, and reduced work efficiency, including extended breaks and rushed tasks.</w:t>
      </w:r>
    </w:p>
    <w:p w14:paraId="213439BA" w14:textId="643A0B60" w:rsidR="00DB689D" w:rsidRDefault="00310A10" w:rsidP="00367A8D">
      <w:pPr>
        <w:spacing w:line="360" w:lineRule="auto"/>
      </w:pPr>
      <w:r>
        <w:br/>
        <w:t xml:space="preserve">In New Zealand, the </w:t>
      </w:r>
      <w:r>
        <w:rPr>
          <w:i/>
        </w:rPr>
        <w:t>Measuring the Burden of Gambling Harm Study</w:t>
      </w:r>
      <w:r>
        <w:t xml:space="preserve"> </w:t>
      </w:r>
      <w:r w:rsidR="00DB2449">
        <w:rPr>
          <w:noProof/>
          <w:color w:val="000000"/>
        </w:rPr>
        <w:t>(</w:t>
      </w:r>
      <w:r w:rsidR="002A3095">
        <w:rPr>
          <w:noProof/>
          <w:color w:val="000000"/>
        </w:rPr>
        <w:t>Browne, Greer et al., 2017</w:t>
      </w:r>
      <w:r w:rsidR="00DB2449">
        <w:rPr>
          <w:noProof/>
          <w:color w:val="000000"/>
        </w:rPr>
        <w:t>)</w:t>
      </w:r>
      <w:r>
        <w:t xml:space="preserve">, found that approximately 1 in 3 people categorised as problem gambling reported reduced performance at work. Affected others also experienced workplace impacts: around 1 in 4 people close to someone with a severe gambling problem reported reduced work performance. Australian research similarly found that affected others are more likely to report high levels of psychological distress that disrupts their capacity to work </w:t>
      </w:r>
      <w:r w:rsidR="00DB2449">
        <w:rPr>
          <w:noProof/>
          <w:color w:val="000000"/>
        </w:rPr>
        <w:t>(Tulloch et al., 2023)</w:t>
      </w:r>
      <w:r>
        <w:t>.</w:t>
      </w:r>
    </w:p>
    <w:p w14:paraId="6B975B00" w14:textId="77777777" w:rsidR="00DB689D" w:rsidRDefault="00DB689D" w:rsidP="00367A8D">
      <w:pPr>
        <w:spacing w:line="360" w:lineRule="auto"/>
      </w:pPr>
    </w:p>
    <w:p w14:paraId="288B0550" w14:textId="6A1A343F" w:rsidR="00DB689D" w:rsidRDefault="00310A10" w:rsidP="00367A8D">
      <w:pPr>
        <w:spacing w:line="360" w:lineRule="auto"/>
      </w:pPr>
      <w:r>
        <w:t xml:space="preserve">However, despite the evidence that this is an issue, there is currently no reliable estimate of the number of work hours lost due to gambling-related impairment. Therefore, in line with the results of the Community Consultation </w:t>
      </w:r>
      <w:r w:rsidRPr="006903A5">
        <w:t>(</w:t>
      </w:r>
      <w:r w:rsidR="006903A5" w:rsidRPr="006903A5">
        <w:t>s</w:t>
      </w:r>
      <w:r w:rsidRPr="006903A5">
        <w:t xml:space="preserve">ee </w:t>
      </w:r>
      <w:r w:rsidR="006903A5" w:rsidRPr="006903A5">
        <w:t>c</w:t>
      </w:r>
      <w:r w:rsidRPr="006903A5">
        <w:t>hapter 4)</w:t>
      </w:r>
      <w:r>
        <w:t>, productivity loss was estimated as one day per week (20%) for people with gambling problems and one-quarter of a day per week (5%) for affected others, reflecting partial presenteeism and reduced work performance. This was deemed to be a relatively conservative estimate, particularly for affected others.</w:t>
      </w:r>
    </w:p>
    <w:p w14:paraId="54BD2701" w14:textId="77777777" w:rsidR="00DB689D" w:rsidRDefault="00310A10" w:rsidP="00367A8D">
      <w:pPr>
        <w:spacing w:before="120" w:after="240" w:line="360" w:lineRule="auto"/>
      </w:pPr>
      <w:r>
        <w:t xml:space="preserve">Productivity losses to business were calculated in two sections:  </w:t>
      </w:r>
    </w:p>
    <w:p w14:paraId="778E36BD" w14:textId="77777777" w:rsidR="00DB689D" w:rsidRDefault="00310A10" w:rsidP="00367A8D">
      <w:pPr>
        <w:numPr>
          <w:ilvl w:val="0"/>
          <w:numId w:val="31"/>
        </w:numPr>
        <w:spacing w:before="120" w:line="360" w:lineRule="auto"/>
      </w:pPr>
      <w:r>
        <w:t>Losses associated with people who gamble</w:t>
      </w:r>
    </w:p>
    <w:p w14:paraId="40818FDD" w14:textId="358F4E7A" w:rsidR="00DB689D" w:rsidRDefault="00310A10" w:rsidP="00536773">
      <w:pPr>
        <w:numPr>
          <w:ilvl w:val="0"/>
          <w:numId w:val="31"/>
        </w:numPr>
        <w:spacing w:after="120" w:line="360" w:lineRule="auto"/>
        <w:ind w:right="280"/>
      </w:pPr>
      <w:r>
        <w:t xml:space="preserve">Losses associated with affected others </w:t>
      </w:r>
    </w:p>
    <w:tbl>
      <w:tblPr>
        <w:tblStyle w:val="af"/>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B689D" w14:paraId="55D541EA" w14:textId="77777777">
        <w:tc>
          <w:tcPr>
            <w:tcW w:w="9026" w:type="dxa"/>
            <w:shd w:val="clear" w:color="auto" w:fill="F3F3F3"/>
            <w:tcMar>
              <w:top w:w="100" w:type="dxa"/>
              <w:left w:w="100" w:type="dxa"/>
              <w:bottom w:w="100" w:type="dxa"/>
              <w:right w:w="100" w:type="dxa"/>
            </w:tcMar>
          </w:tcPr>
          <w:p w14:paraId="4578F2D7" w14:textId="77777777" w:rsidR="00DB689D" w:rsidRDefault="00310A10" w:rsidP="00843927">
            <w:pPr>
              <w:spacing w:before="120" w:after="240" w:line="276" w:lineRule="auto"/>
            </w:pPr>
            <w:r>
              <w:t xml:space="preserve">The economic impact of productivity loss to business associated with gambling problem was calculated using: </w:t>
            </w:r>
          </w:p>
          <w:p w14:paraId="4C090EFA" w14:textId="77777777" w:rsidR="00DB689D" w:rsidRDefault="00310A10" w:rsidP="00843927">
            <w:pPr>
              <w:spacing w:before="120" w:after="120" w:line="276" w:lineRule="auto"/>
              <w:ind w:right="280"/>
              <w:rPr>
                <w:i/>
              </w:rPr>
            </w:pPr>
            <w:r>
              <w:rPr>
                <w:i/>
              </w:rPr>
              <w:t>Prevalence - people who gamble</w:t>
            </w:r>
          </w:p>
          <w:p w14:paraId="129063BD" w14:textId="44EDB05F" w:rsidR="00DB689D" w:rsidRDefault="00310A10" w:rsidP="00843927">
            <w:pPr>
              <w:numPr>
                <w:ilvl w:val="0"/>
                <w:numId w:val="42"/>
              </w:numPr>
              <w:spacing w:before="120" w:line="276" w:lineRule="auto"/>
              <w:ind w:right="280"/>
            </w:pPr>
            <w:r>
              <w:t xml:space="preserve">The prevalence of reduced workplace or study performance due to gambling was drawn from </w:t>
            </w:r>
            <w:r>
              <w:rPr>
                <w:i/>
              </w:rPr>
              <w:t>Measuring the Burden of Gambling Harm in New Zealand</w:t>
            </w:r>
            <w:r>
              <w:t xml:space="preserve"> </w:t>
            </w:r>
            <w:r w:rsidR="00DB2449">
              <w:rPr>
                <w:noProof/>
                <w:color w:val="000000"/>
              </w:rPr>
              <w:t>(</w:t>
            </w:r>
            <w:r w:rsidR="002A3095">
              <w:rPr>
                <w:noProof/>
                <w:color w:val="000000"/>
              </w:rPr>
              <w:t>Browne, Greer et al., 2017</w:t>
            </w:r>
            <w:r w:rsidR="00DB2449">
              <w:rPr>
                <w:noProof/>
                <w:color w:val="000000"/>
              </w:rPr>
              <w:t>)</w:t>
            </w:r>
            <w:r>
              <w:t xml:space="preserve">. </w:t>
            </w:r>
          </w:p>
          <w:p w14:paraId="484F181C" w14:textId="77777777" w:rsidR="00DB689D" w:rsidRDefault="00310A10" w:rsidP="00843927">
            <w:pPr>
              <w:numPr>
                <w:ilvl w:val="0"/>
                <w:numId w:val="42"/>
              </w:numPr>
              <w:spacing w:line="276" w:lineRule="auto"/>
              <w:ind w:right="280"/>
            </w:pPr>
            <w:r>
              <w:t xml:space="preserve">These estimates were applied to the New Zealand population in each PGSI category (NZGS, 2023) to identify the total number of New Zealanders experiencing reduced performance at work or study due to their gambling. </w:t>
            </w:r>
          </w:p>
          <w:p w14:paraId="1D5CCAD5" w14:textId="1F1E45C6" w:rsidR="00DB689D" w:rsidRDefault="00310A10" w:rsidP="00843927">
            <w:pPr>
              <w:numPr>
                <w:ilvl w:val="0"/>
                <w:numId w:val="42"/>
              </w:numPr>
              <w:spacing w:after="120" w:line="276" w:lineRule="auto"/>
              <w:ind w:right="280"/>
            </w:pPr>
            <w:r>
              <w:t xml:space="preserve">A 20% causality discount was applied as per the Australian Productivity Commission </w:t>
            </w:r>
            <w:r w:rsidR="0038398B">
              <w:rPr>
                <w:noProof/>
                <w:color w:val="000000"/>
              </w:rPr>
              <w:t>(1999)</w:t>
            </w:r>
            <w:r>
              <w:t xml:space="preserve">. </w:t>
            </w:r>
          </w:p>
          <w:p w14:paraId="0BDE0CFF" w14:textId="77777777" w:rsidR="00DB689D" w:rsidRDefault="00310A10" w:rsidP="00843927">
            <w:pPr>
              <w:spacing w:before="120" w:after="120" w:line="276" w:lineRule="auto"/>
              <w:ind w:right="280"/>
            </w:pPr>
            <w:r>
              <w:rPr>
                <w:i/>
              </w:rPr>
              <w:t xml:space="preserve">Prevalence - </w:t>
            </w:r>
            <w:r>
              <w:t>affected others</w:t>
            </w:r>
          </w:p>
          <w:p w14:paraId="60A54E47" w14:textId="09A5D10C" w:rsidR="00DB689D" w:rsidRDefault="00310A10" w:rsidP="00843927">
            <w:pPr>
              <w:numPr>
                <w:ilvl w:val="0"/>
                <w:numId w:val="42"/>
              </w:numPr>
              <w:spacing w:before="120" w:line="276" w:lineRule="auto"/>
              <w:ind w:right="280"/>
            </w:pPr>
            <w:r>
              <w:t xml:space="preserve">The number of affected others was estimated using 1 person affected by each individual categorised as low-risk gambling, 3 for moderate-risk, and 6 for problem gambling </w:t>
            </w:r>
            <w:r w:rsidR="00DB2449">
              <w:rPr>
                <w:noProof/>
                <w:color w:val="000000"/>
              </w:rPr>
              <w:t>(Goodwin et al., 2017)</w:t>
            </w:r>
            <w:r>
              <w:t>.</w:t>
            </w:r>
          </w:p>
          <w:p w14:paraId="40B8EA1C" w14:textId="5FE49D79" w:rsidR="00DB689D" w:rsidRDefault="00310A10" w:rsidP="00843927">
            <w:pPr>
              <w:numPr>
                <w:ilvl w:val="0"/>
                <w:numId w:val="42"/>
              </w:numPr>
              <w:spacing w:line="276" w:lineRule="auto"/>
              <w:ind w:right="280"/>
            </w:pPr>
            <w:r>
              <w:t xml:space="preserve">The percentage of affected others who reported reduced performance at work or study due to another person’s gambling was sourced from the </w:t>
            </w:r>
            <w:r>
              <w:rPr>
                <w:i/>
              </w:rPr>
              <w:t>Measuring the Burden of Gambling Harm in New Zealand Survey Report</w:t>
            </w:r>
            <w:r>
              <w:t xml:space="preserve"> </w:t>
            </w:r>
            <w:r w:rsidR="00DB2449">
              <w:rPr>
                <w:noProof/>
                <w:color w:val="000000"/>
              </w:rPr>
              <w:t>(</w:t>
            </w:r>
            <w:r w:rsidR="002A3095">
              <w:rPr>
                <w:noProof/>
                <w:color w:val="000000"/>
              </w:rPr>
              <w:t>Browne, Greer et al., 2017</w:t>
            </w:r>
            <w:r w:rsidR="00DB2449">
              <w:rPr>
                <w:noProof/>
                <w:color w:val="000000"/>
              </w:rPr>
              <w:t>)</w:t>
            </w:r>
            <w:r>
              <w:t xml:space="preserve">. </w:t>
            </w:r>
          </w:p>
          <w:p w14:paraId="10FA18BB" w14:textId="77777777" w:rsidR="00DB689D" w:rsidRDefault="00310A10" w:rsidP="00843927">
            <w:pPr>
              <w:numPr>
                <w:ilvl w:val="0"/>
                <w:numId w:val="42"/>
              </w:numPr>
              <w:spacing w:line="276" w:lineRule="auto"/>
              <w:ind w:right="280"/>
            </w:pPr>
            <w:r>
              <w:t xml:space="preserve">These percentages were projected onto the total number of affected others to identify the total number of New Zealanders experiencing reduced performance at work or study due to another person’s gambling. </w:t>
            </w:r>
          </w:p>
          <w:p w14:paraId="65936844" w14:textId="5BFF047F" w:rsidR="00DB689D" w:rsidRDefault="00310A10" w:rsidP="00843927">
            <w:pPr>
              <w:numPr>
                <w:ilvl w:val="0"/>
                <w:numId w:val="42"/>
              </w:numPr>
              <w:spacing w:after="120" w:line="276" w:lineRule="auto"/>
              <w:ind w:right="280"/>
            </w:pPr>
            <w:r>
              <w:t xml:space="preserve">A 20% causality discount was applied as per the Australian Productivity Commission </w:t>
            </w:r>
            <w:r w:rsidR="0038398B">
              <w:rPr>
                <w:noProof/>
                <w:color w:val="000000"/>
              </w:rPr>
              <w:t>(1999)</w:t>
            </w:r>
            <w:r>
              <w:t xml:space="preserve">. </w:t>
            </w:r>
          </w:p>
          <w:p w14:paraId="6313EA98" w14:textId="77777777" w:rsidR="00DB689D" w:rsidRDefault="00310A10" w:rsidP="00843927">
            <w:pPr>
              <w:spacing w:before="120" w:after="120" w:line="276" w:lineRule="auto"/>
              <w:ind w:right="280"/>
            </w:pPr>
            <w:r>
              <w:rPr>
                <w:i/>
              </w:rPr>
              <w:t>Cost of lost productivity</w:t>
            </w:r>
            <w:r>
              <w:t xml:space="preserve"> </w:t>
            </w:r>
          </w:p>
          <w:p w14:paraId="0E1BA6A8" w14:textId="324C1C1A" w:rsidR="00DB689D" w:rsidRDefault="00310A10" w:rsidP="00843927">
            <w:pPr>
              <w:numPr>
                <w:ilvl w:val="0"/>
                <w:numId w:val="42"/>
              </w:numPr>
              <w:spacing w:before="120" w:after="120" w:line="276" w:lineRule="auto"/>
              <w:ind w:right="280"/>
            </w:pPr>
            <w:r>
              <w:t xml:space="preserve">The cost of lost productivity to business was based on the average annualised earning ($69,836) </w:t>
            </w:r>
            <w:r w:rsidR="00DB2449">
              <w:rPr>
                <w:noProof/>
                <w:color w:val="000000"/>
              </w:rPr>
              <w:t>(New Zealand Government, 2024e)</w:t>
            </w:r>
            <w:r>
              <w:t xml:space="preserve"> which was increased by 20% to reflect on-costs to the business ($83,803). As described above, an assumption was made that people with gambling problems lost an average of 1 day per week, and affected others, ¼ of a day per week.</w:t>
            </w:r>
          </w:p>
        </w:tc>
      </w:tr>
    </w:tbl>
    <w:p w14:paraId="714E8166" w14:textId="77777777" w:rsidR="00DB689D" w:rsidRDefault="00DB689D" w:rsidP="00367A8D">
      <w:pPr>
        <w:spacing w:line="360" w:lineRule="auto"/>
        <w:rPr>
          <w:b/>
        </w:rPr>
      </w:pPr>
    </w:p>
    <w:p w14:paraId="177BFCDA" w14:textId="7A1E63E5" w:rsidR="00A0657F" w:rsidRDefault="00310A10" w:rsidP="00A0657F">
      <w:pPr>
        <w:spacing w:line="360" w:lineRule="auto"/>
      </w:pPr>
      <w:r w:rsidRPr="00001C68">
        <w:rPr>
          <w:b/>
          <w:bCs/>
        </w:rPr>
        <w:t>T</w:t>
      </w:r>
      <w:r w:rsidRPr="00590FFA">
        <w:rPr>
          <w:b/>
          <w:bCs/>
        </w:rPr>
        <w:t>h</w:t>
      </w:r>
      <w:r>
        <w:rPr>
          <w:b/>
        </w:rPr>
        <w:t>e estimated cost associated with productivity loss to business associated with gambling problems in New Zealand is around $588 million (</w:t>
      </w:r>
      <w:r w:rsidRPr="006903A5">
        <w:rPr>
          <w:b/>
        </w:rPr>
        <w:t>Table 2</w:t>
      </w:r>
      <w:r w:rsidR="001D7B0D">
        <w:rPr>
          <w:b/>
        </w:rPr>
        <w:t>4</w:t>
      </w:r>
      <w:r>
        <w:rPr>
          <w:b/>
        </w:rPr>
        <w:t>)</w:t>
      </w:r>
      <w:r w:rsidRPr="006903A5">
        <w:rPr>
          <w:b/>
        </w:rPr>
        <w:t>.</w:t>
      </w:r>
      <w:r>
        <w:t xml:space="preserve"> </w:t>
      </w:r>
      <w:r w:rsidR="00A0657F">
        <w:t>To account for uncertainty, upper and lower bounds were calculated. For the lower bound, it was assumed that only affected others of people categorised as problem gambling experience productivity loss (0.25 days per week). For the upper bound, in line with feedback from the Community Consultation (detailed in Chapter 4), affected others of people categorised as problem gambling were assumed to lose a greater amount of time per week (0.5 days), with affected others impacted by moderate- and low-risk gambling remaining at 0.25 days per week.</w:t>
      </w:r>
      <w:r w:rsidR="00536773">
        <w:t xml:space="preserve"> </w:t>
      </w:r>
      <w:r w:rsidR="00A0657F">
        <w:t>Therefore, the estimated cost of gambling-related productivity loss to business in New Zealand ranges from $357 million to $690 million.</w:t>
      </w:r>
    </w:p>
    <w:p w14:paraId="6BC72CA0" w14:textId="0A9FE62E" w:rsidR="00DB689D" w:rsidRDefault="00DB689D" w:rsidP="00367A8D">
      <w:pPr>
        <w:spacing w:before="120" w:after="240" w:line="360" w:lineRule="auto"/>
        <w:rPr>
          <w:color w:val="0E101A"/>
          <w:highlight w:val="yellow"/>
        </w:rPr>
      </w:pPr>
    </w:p>
    <w:tbl>
      <w:tblPr>
        <w:tblW w:w="9923" w:type="dxa"/>
        <w:tblBorders>
          <w:top w:val="nil"/>
          <w:left w:val="nil"/>
          <w:bottom w:val="nil"/>
          <w:right w:val="nil"/>
          <w:insideH w:val="nil"/>
          <w:insideV w:val="nil"/>
        </w:tblBorders>
        <w:tblLayout w:type="fixed"/>
        <w:tblLook w:val="0600" w:firstRow="0" w:lastRow="0" w:firstColumn="0" w:lastColumn="0" w:noHBand="1" w:noVBand="1"/>
      </w:tblPr>
      <w:tblGrid>
        <w:gridCol w:w="9923"/>
      </w:tblGrid>
      <w:tr w:rsidR="006903A5" w:rsidRPr="00D850CC" w14:paraId="616FFFB0" w14:textId="77777777">
        <w:trPr>
          <w:trHeight w:val="520"/>
        </w:trPr>
        <w:tc>
          <w:tcPr>
            <w:tcW w:w="9923" w:type="dxa"/>
            <w:tcBorders>
              <w:top w:val="nil"/>
              <w:left w:val="nil"/>
              <w:bottom w:val="nil"/>
              <w:right w:val="nil"/>
            </w:tcBorders>
            <w:tcMar>
              <w:top w:w="20" w:type="dxa"/>
              <w:left w:w="20" w:type="dxa"/>
              <w:bottom w:w="100" w:type="dxa"/>
              <w:right w:w="20" w:type="dxa"/>
            </w:tcMar>
            <w:vAlign w:val="bottom"/>
          </w:tcPr>
          <w:p w14:paraId="006ACE55" w14:textId="7D625D52" w:rsidR="006903A5" w:rsidRDefault="006903A5" w:rsidP="00DB094D">
            <w:pPr>
              <w:pStyle w:val="Caption"/>
            </w:pPr>
            <w:bookmarkStart w:id="465" w:name="_Toc207619066"/>
            <w:r>
              <w:t xml:space="preserve">Table </w:t>
            </w:r>
            <w:r>
              <w:fldChar w:fldCharType="begin"/>
            </w:r>
            <w:r>
              <w:instrText xml:space="preserve"> SEQ Table \* ARABIC </w:instrText>
            </w:r>
            <w:r>
              <w:fldChar w:fldCharType="separate"/>
            </w:r>
            <w:r w:rsidR="00986A0D">
              <w:rPr>
                <w:noProof/>
              </w:rPr>
              <w:t>24</w:t>
            </w:r>
            <w:r>
              <w:fldChar w:fldCharType="end"/>
            </w:r>
            <w:r>
              <w:t xml:space="preserve">. </w:t>
            </w:r>
            <w:r w:rsidRPr="009D34F5">
              <w:t>Cost of productivity loss due to gambling problems in New Zealand (2023-24)</w:t>
            </w:r>
            <w:bookmarkEnd w:id="465"/>
          </w:p>
          <w:tbl>
            <w:tblPr>
              <w:tblStyle w:val="TableGridLight"/>
              <w:tblW w:w="9478" w:type="dxa"/>
              <w:tblLayout w:type="fixed"/>
              <w:tblLook w:val="04A0" w:firstRow="1" w:lastRow="0" w:firstColumn="1" w:lastColumn="0" w:noHBand="0" w:noVBand="1"/>
            </w:tblPr>
            <w:tblGrid>
              <w:gridCol w:w="3808"/>
              <w:gridCol w:w="1276"/>
              <w:gridCol w:w="993"/>
              <w:gridCol w:w="991"/>
              <w:gridCol w:w="990"/>
              <w:gridCol w:w="1420"/>
            </w:tblGrid>
            <w:tr w:rsidR="006903A5" w:rsidRPr="00724BBB" w14:paraId="67568C4F" w14:textId="77777777">
              <w:trPr>
                <w:trHeight w:val="397"/>
              </w:trPr>
              <w:tc>
                <w:tcPr>
                  <w:tcW w:w="2009" w:type="pct"/>
                  <w:shd w:val="clear" w:color="auto" w:fill="F2F2F2" w:themeFill="background1" w:themeFillShade="F2"/>
                  <w:vAlign w:val="center"/>
                  <w:hideMark/>
                </w:tcPr>
                <w:p w14:paraId="1C7A4502" w14:textId="77777777" w:rsidR="006903A5" w:rsidRPr="00724BBB" w:rsidRDefault="006903A5">
                  <w:pPr>
                    <w:spacing w:line="276" w:lineRule="auto"/>
                    <w:rPr>
                      <w:b/>
                      <w:bCs/>
                      <w:color w:val="000000"/>
                      <w:sz w:val="20"/>
                      <w:szCs w:val="20"/>
                    </w:rPr>
                  </w:pPr>
                  <w:r w:rsidRPr="00724BBB">
                    <w:rPr>
                      <w:b/>
                      <w:bCs/>
                      <w:color w:val="000000"/>
                      <w:sz w:val="20"/>
                      <w:szCs w:val="20"/>
                    </w:rPr>
                    <w:t>Variable</w:t>
                  </w:r>
                </w:p>
              </w:tc>
              <w:tc>
                <w:tcPr>
                  <w:tcW w:w="673" w:type="pct"/>
                  <w:shd w:val="clear" w:color="auto" w:fill="F2F2F2" w:themeFill="background1" w:themeFillShade="F2"/>
                  <w:vAlign w:val="center"/>
                  <w:hideMark/>
                </w:tcPr>
                <w:p w14:paraId="19B62510" w14:textId="77777777" w:rsidR="006903A5" w:rsidRPr="00724BBB" w:rsidRDefault="006903A5">
                  <w:pPr>
                    <w:spacing w:line="276" w:lineRule="auto"/>
                    <w:jc w:val="center"/>
                    <w:rPr>
                      <w:b/>
                      <w:bCs/>
                      <w:color w:val="000000"/>
                      <w:sz w:val="20"/>
                      <w:szCs w:val="20"/>
                    </w:rPr>
                  </w:pPr>
                  <w:r w:rsidRPr="00724BBB">
                    <w:rPr>
                      <w:b/>
                      <w:bCs/>
                      <w:color w:val="000000"/>
                      <w:sz w:val="20"/>
                      <w:szCs w:val="20"/>
                    </w:rPr>
                    <w:t>Calculation</w:t>
                  </w:r>
                </w:p>
              </w:tc>
              <w:tc>
                <w:tcPr>
                  <w:tcW w:w="524" w:type="pct"/>
                  <w:shd w:val="clear" w:color="auto" w:fill="F2F2F2" w:themeFill="background1" w:themeFillShade="F2"/>
                  <w:vAlign w:val="center"/>
                  <w:hideMark/>
                </w:tcPr>
                <w:p w14:paraId="7BB892CA" w14:textId="77777777" w:rsidR="006903A5" w:rsidRPr="00724BBB" w:rsidRDefault="006903A5">
                  <w:pPr>
                    <w:spacing w:line="276" w:lineRule="auto"/>
                    <w:jc w:val="center"/>
                    <w:rPr>
                      <w:b/>
                      <w:bCs/>
                      <w:color w:val="000000"/>
                      <w:sz w:val="20"/>
                      <w:szCs w:val="20"/>
                    </w:rPr>
                  </w:pPr>
                  <w:r w:rsidRPr="00724BBB">
                    <w:rPr>
                      <w:b/>
                      <w:bCs/>
                      <w:color w:val="000000"/>
                      <w:sz w:val="20"/>
                      <w:szCs w:val="20"/>
                    </w:rPr>
                    <w:t>LR</w:t>
                  </w:r>
                </w:p>
              </w:tc>
              <w:tc>
                <w:tcPr>
                  <w:tcW w:w="523" w:type="pct"/>
                  <w:shd w:val="clear" w:color="auto" w:fill="F2F2F2" w:themeFill="background1" w:themeFillShade="F2"/>
                  <w:vAlign w:val="center"/>
                  <w:hideMark/>
                </w:tcPr>
                <w:p w14:paraId="72E44BE0" w14:textId="77777777" w:rsidR="006903A5" w:rsidRPr="00724BBB" w:rsidRDefault="006903A5">
                  <w:pPr>
                    <w:spacing w:line="276" w:lineRule="auto"/>
                    <w:jc w:val="center"/>
                    <w:rPr>
                      <w:b/>
                      <w:bCs/>
                      <w:color w:val="000000"/>
                      <w:sz w:val="20"/>
                      <w:szCs w:val="20"/>
                    </w:rPr>
                  </w:pPr>
                  <w:r w:rsidRPr="00724BBB">
                    <w:rPr>
                      <w:b/>
                      <w:bCs/>
                      <w:color w:val="000000"/>
                      <w:sz w:val="20"/>
                      <w:szCs w:val="20"/>
                    </w:rPr>
                    <w:t>MR</w:t>
                  </w:r>
                </w:p>
              </w:tc>
              <w:tc>
                <w:tcPr>
                  <w:tcW w:w="522" w:type="pct"/>
                  <w:shd w:val="clear" w:color="auto" w:fill="F2F2F2" w:themeFill="background1" w:themeFillShade="F2"/>
                  <w:vAlign w:val="center"/>
                  <w:hideMark/>
                </w:tcPr>
                <w:p w14:paraId="3B3FB59B" w14:textId="77777777" w:rsidR="006903A5" w:rsidRPr="00724BBB" w:rsidRDefault="006903A5">
                  <w:pPr>
                    <w:spacing w:line="276" w:lineRule="auto"/>
                    <w:jc w:val="center"/>
                    <w:rPr>
                      <w:b/>
                      <w:bCs/>
                      <w:color w:val="000000"/>
                      <w:sz w:val="20"/>
                      <w:szCs w:val="20"/>
                    </w:rPr>
                  </w:pPr>
                  <w:r w:rsidRPr="00724BBB">
                    <w:rPr>
                      <w:b/>
                      <w:bCs/>
                      <w:color w:val="000000"/>
                      <w:sz w:val="20"/>
                      <w:szCs w:val="20"/>
                    </w:rPr>
                    <w:t>PG</w:t>
                  </w:r>
                </w:p>
              </w:tc>
              <w:tc>
                <w:tcPr>
                  <w:tcW w:w="749" w:type="pct"/>
                  <w:shd w:val="clear" w:color="auto" w:fill="F2F2F2" w:themeFill="background1" w:themeFillShade="F2"/>
                  <w:vAlign w:val="center"/>
                  <w:hideMark/>
                </w:tcPr>
                <w:p w14:paraId="1626BE13" w14:textId="77777777" w:rsidR="006903A5" w:rsidRPr="00724BBB" w:rsidRDefault="006903A5">
                  <w:pPr>
                    <w:spacing w:line="276" w:lineRule="auto"/>
                    <w:jc w:val="center"/>
                    <w:rPr>
                      <w:b/>
                      <w:bCs/>
                      <w:color w:val="000000"/>
                      <w:sz w:val="20"/>
                      <w:szCs w:val="20"/>
                    </w:rPr>
                  </w:pPr>
                  <w:r w:rsidRPr="00724BBB">
                    <w:rPr>
                      <w:b/>
                      <w:bCs/>
                      <w:color w:val="000000"/>
                      <w:sz w:val="20"/>
                      <w:szCs w:val="20"/>
                    </w:rPr>
                    <w:t>Total Gambling Problems</w:t>
                  </w:r>
                </w:p>
              </w:tc>
            </w:tr>
            <w:tr w:rsidR="006903A5" w:rsidRPr="00724BBB" w14:paraId="04C06798" w14:textId="77777777">
              <w:trPr>
                <w:trHeight w:val="397"/>
              </w:trPr>
              <w:tc>
                <w:tcPr>
                  <w:tcW w:w="2009" w:type="pct"/>
                  <w:vAlign w:val="center"/>
                  <w:hideMark/>
                </w:tcPr>
                <w:p w14:paraId="7E518F62" w14:textId="77777777" w:rsidR="006903A5" w:rsidRPr="00724BBB" w:rsidRDefault="006903A5">
                  <w:pPr>
                    <w:spacing w:line="276" w:lineRule="auto"/>
                    <w:rPr>
                      <w:color w:val="000000"/>
                      <w:sz w:val="20"/>
                      <w:szCs w:val="20"/>
                    </w:rPr>
                  </w:pPr>
                  <w:r w:rsidRPr="00724BBB">
                    <w:rPr>
                      <w:color w:val="000000"/>
                      <w:sz w:val="20"/>
                      <w:szCs w:val="20"/>
                    </w:rPr>
                    <w:t>New Zealand population by PGSI</w:t>
                  </w:r>
                </w:p>
              </w:tc>
              <w:tc>
                <w:tcPr>
                  <w:tcW w:w="673" w:type="pct"/>
                  <w:noWrap/>
                  <w:vAlign w:val="center"/>
                  <w:hideMark/>
                </w:tcPr>
                <w:p w14:paraId="19F696E5" w14:textId="77777777" w:rsidR="006903A5" w:rsidRPr="00724BBB" w:rsidRDefault="006903A5">
                  <w:pPr>
                    <w:spacing w:line="276" w:lineRule="auto"/>
                    <w:rPr>
                      <w:color w:val="000000"/>
                      <w:sz w:val="20"/>
                      <w:szCs w:val="20"/>
                    </w:rPr>
                  </w:pPr>
                  <w:r w:rsidRPr="00724BBB">
                    <w:rPr>
                      <w:color w:val="000000"/>
                      <w:sz w:val="20"/>
                      <w:szCs w:val="20"/>
                    </w:rPr>
                    <w:t>n</w:t>
                  </w:r>
                </w:p>
              </w:tc>
              <w:tc>
                <w:tcPr>
                  <w:tcW w:w="524" w:type="pct"/>
                  <w:vAlign w:val="center"/>
                  <w:hideMark/>
                </w:tcPr>
                <w:p w14:paraId="24077F13" w14:textId="77777777" w:rsidR="006903A5" w:rsidRPr="00724BBB" w:rsidRDefault="006903A5">
                  <w:pPr>
                    <w:spacing w:line="276" w:lineRule="auto"/>
                    <w:jc w:val="right"/>
                    <w:rPr>
                      <w:color w:val="000000"/>
                      <w:sz w:val="20"/>
                      <w:szCs w:val="20"/>
                    </w:rPr>
                  </w:pPr>
                  <w:r w:rsidRPr="00724BBB">
                    <w:rPr>
                      <w:color w:val="000000"/>
                      <w:sz w:val="20"/>
                      <w:szCs w:val="20"/>
                    </w:rPr>
                    <w:t>255,318</w:t>
                  </w:r>
                </w:p>
              </w:tc>
              <w:tc>
                <w:tcPr>
                  <w:tcW w:w="523" w:type="pct"/>
                  <w:vAlign w:val="center"/>
                  <w:hideMark/>
                </w:tcPr>
                <w:p w14:paraId="4EA2B200" w14:textId="77777777" w:rsidR="006903A5" w:rsidRPr="00724BBB" w:rsidRDefault="006903A5">
                  <w:pPr>
                    <w:spacing w:line="276" w:lineRule="auto"/>
                    <w:jc w:val="right"/>
                    <w:rPr>
                      <w:color w:val="000000"/>
                      <w:sz w:val="20"/>
                      <w:szCs w:val="20"/>
                    </w:rPr>
                  </w:pPr>
                  <w:r w:rsidRPr="00724BBB">
                    <w:rPr>
                      <w:color w:val="000000"/>
                      <w:sz w:val="20"/>
                      <w:szCs w:val="20"/>
                    </w:rPr>
                    <w:t>83,492</w:t>
                  </w:r>
                </w:p>
              </w:tc>
              <w:tc>
                <w:tcPr>
                  <w:tcW w:w="522" w:type="pct"/>
                  <w:vAlign w:val="center"/>
                  <w:hideMark/>
                </w:tcPr>
                <w:p w14:paraId="52938962" w14:textId="77777777" w:rsidR="006903A5" w:rsidRPr="00724BBB" w:rsidRDefault="006903A5">
                  <w:pPr>
                    <w:spacing w:line="276" w:lineRule="auto"/>
                    <w:jc w:val="right"/>
                    <w:rPr>
                      <w:color w:val="000000"/>
                      <w:sz w:val="20"/>
                      <w:szCs w:val="20"/>
                    </w:rPr>
                  </w:pPr>
                  <w:r w:rsidRPr="00724BBB">
                    <w:rPr>
                      <w:color w:val="000000"/>
                      <w:sz w:val="20"/>
                      <w:szCs w:val="20"/>
                    </w:rPr>
                    <w:t>20,436</w:t>
                  </w:r>
                </w:p>
              </w:tc>
              <w:tc>
                <w:tcPr>
                  <w:tcW w:w="749" w:type="pct"/>
                  <w:vAlign w:val="center"/>
                  <w:hideMark/>
                </w:tcPr>
                <w:p w14:paraId="010A5736" w14:textId="77777777" w:rsidR="006903A5" w:rsidRPr="00724BBB" w:rsidRDefault="006903A5">
                  <w:pPr>
                    <w:spacing w:line="276" w:lineRule="auto"/>
                    <w:jc w:val="right"/>
                    <w:rPr>
                      <w:color w:val="000000"/>
                      <w:sz w:val="20"/>
                      <w:szCs w:val="20"/>
                    </w:rPr>
                  </w:pPr>
                  <w:r w:rsidRPr="00724BBB">
                    <w:rPr>
                      <w:color w:val="000000"/>
                      <w:sz w:val="20"/>
                      <w:szCs w:val="20"/>
                    </w:rPr>
                    <w:t>359,246</w:t>
                  </w:r>
                </w:p>
              </w:tc>
            </w:tr>
            <w:tr w:rsidR="006903A5" w:rsidRPr="00724BBB" w14:paraId="5DACBF08" w14:textId="77777777">
              <w:trPr>
                <w:trHeight w:val="397"/>
              </w:trPr>
              <w:tc>
                <w:tcPr>
                  <w:tcW w:w="5000" w:type="pct"/>
                  <w:gridSpan w:val="6"/>
                  <w:noWrap/>
                  <w:vAlign w:val="center"/>
                  <w:hideMark/>
                </w:tcPr>
                <w:p w14:paraId="6452F5CE" w14:textId="77777777" w:rsidR="006903A5" w:rsidRPr="00724BBB" w:rsidRDefault="006903A5">
                  <w:pPr>
                    <w:spacing w:line="276" w:lineRule="auto"/>
                    <w:rPr>
                      <w:b/>
                      <w:bCs/>
                      <w:i/>
                      <w:iCs/>
                      <w:color w:val="000000"/>
                      <w:sz w:val="20"/>
                      <w:szCs w:val="20"/>
                    </w:rPr>
                  </w:pPr>
                  <w:r w:rsidRPr="00724BBB">
                    <w:rPr>
                      <w:b/>
                      <w:bCs/>
                      <w:i/>
                      <w:iCs/>
                      <w:color w:val="000000"/>
                      <w:sz w:val="20"/>
                      <w:szCs w:val="20"/>
                    </w:rPr>
                    <w:t>Productivity loss to business - people with gambling problems</w:t>
                  </w:r>
                </w:p>
              </w:tc>
            </w:tr>
            <w:tr w:rsidR="006903A5" w:rsidRPr="00724BBB" w14:paraId="5652F7AD" w14:textId="77777777">
              <w:trPr>
                <w:trHeight w:val="397"/>
              </w:trPr>
              <w:tc>
                <w:tcPr>
                  <w:tcW w:w="2009" w:type="pct"/>
                  <w:vAlign w:val="center"/>
                  <w:hideMark/>
                </w:tcPr>
                <w:p w14:paraId="47297A4F" w14:textId="77777777" w:rsidR="006903A5" w:rsidRPr="00724BBB" w:rsidRDefault="006903A5">
                  <w:pPr>
                    <w:spacing w:line="276" w:lineRule="auto"/>
                    <w:rPr>
                      <w:color w:val="000000"/>
                      <w:sz w:val="20"/>
                      <w:szCs w:val="20"/>
                    </w:rPr>
                  </w:pPr>
                  <w:r w:rsidRPr="00724BBB">
                    <w:rPr>
                      <w:color w:val="000000"/>
                      <w:sz w:val="20"/>
                      <w:szCs w:val="20"/>
                    </w:rPr>
                    <w:t>Rate (%) of PGSI group whose gambling was associated with reduced performance</w:t>
                  </w:r>
                </w:p>
              </w:tc>
              <w:tc>
                <w:tcPr>
                  <w:tcW w:w="673" w:type="pct"/>
                  <w:noWrap/>
                  <w:vAlign w:val="center"/>
                  <w:hideMark/>
                </w:tcPr>
                <w:p w14:paraId="1D4611D3" w14:textId="77777777" w:rsidR="006903A5" w:rsidRPr="00724BBB" w:rsidRDefault="006903A5">
                  <w:pPr>
                    <w:spacing w:line="276" w:lineRule="auto"/>
                    <w:rPr>
                      <w:color w:val="000000"/>
                      <w:sz w:val="20"/>
                      <w:szCs w:val="20"/>
                    </w:rPr>
                  </w:pPr>
                  <w:r w:rsidRPr="00724BBB">
                    <w:rPr>
                      <w:color w:val="000000"/>
                      <w:sz w:val="20"/>
                      <w:szCs w:val="20"/>
                    </w:rPr>
                    <w:t>a</w:t>
                  </w:r>
                </w:p>
              </w:tc>
              <w:tc>
                <w:tcPr>
                  <w:tcW w:w="524" w:type="pct"/>
                  <w:noWrap/>
                  <w:vAlign w:val="center"/>
                  <w:hideMark/>
                </w:tcPr>
                <w:p w14:paraId="24269F6D" w14:textId="77777777" w:rsidR="006903A5" w:rsidRPr="00724BBB" w:rsidRDefault="006903A5">
                  <w:pPr>
                    <w:spacing w:line="276" w:lineRule="auto"/>
                    <w:jc w:val="right"/>
                    <w:rPr>
                      <w:color w:val="000000"/>
                      <w:sz w:val="20"/>
                      <w:szCs w:val="20"/>
                    </w:rPr>
                  </w:pPr>
                  <w:r w:rsidRPr="00724BBB">
                    <w:rPr>
                      <w:color w:val="000000"/>
                      <w:sz w:val="20"/>
                      <w:szCs w:val="20"/>
                    </w:rPr>
                    <w:t>0.8%</w:t>
                  </w:r>
                </w:p>
              </w:tc>
              <w:tc>
                <w:tcPr>
                  <w:tcW w:w="523" w:type="pct"/>
                  <w:noWrap/>
                  <w:vAlign w:val="center"/>
                  <w:hideMark/>
                </w:tcPr>
                <w:p w14:paraId="78BECEEB" w14:textId="77777777" w:rsidR="006903A5" w:rsidRPr="00724BBB" w:rsidRDefault="006903A5">
                  <w:pPr>
                    <w:spacing w:line="276" w:lineRule="auto"/>
                    <w:jc w:val="right"/>
                    <w:rPr>
                      <w:color w:val="000000"/>
                      <w:sz w:val="20"/>
                      <w:szCs w:val="20"/>
                    </w:rPr>
                  </w:pPr>
                  <w:r w:rsidRPr="00724BBB">
                    <w:rPr>
                      <w:color w:val="000000"/>
                      <w:sz w:val="20"/>
                      <w:szCs w:val="20"/>
                    </w:rPr>
                    <w:t>11.7%</w:t>
                  </w:r>
                </w:p>
              </w:tc>
              <w:tc>
                <w:tcPr>
                  <w:tcW w:w="522" w:type="pct"/>
                  <w:noWrap/>
                  <w:vAlign w:val="center"/>
                  <w:hideMark/>
                </w:tcPr>
                <w:p w14:paraId="4B1501A9" w14:textId="77777777" w:rsidR="006903A5" w:rsidRPr="00724BBB" w:rsidRDefault="006903A5">
                  <w:pPr>
                    <w:spacing w:line="276" w:lineRule="auto"/>
                    <w:jc w:val="right"/>
                    <w:rPr>
                      <w:color w:val="000000"/>
                      <w:sz w:val="20"/>
                      <w:szCs w:val="20"/>
                    </w:rPr>
                  </w:pPr>
                  <w:r w:rsidRPr="00724BBB">
                    <w:rPr>
                      <w:color w:val="000000"/>
                      <w:sz w:val="20"/>
                      <w:szCs w:val="20"/>
                    </w:rPr>
                    <w:t>35.1%</w:t>
                  </w:r>
                </w:p>
              </w:tc>
              <w:tc>
                <w:tcPr>
                  <w:tcW w:w="749" w:type="pct"/>
                  <w:noWrap/>
                  <w:vAlign w:val="center"/>
                  <w:hideMark/>
                </w:tcPr>
                <w:p w14:paraId="7FED86A2" w14:textId="77777777" w:rsidR="006903A5" w:rsidRPr="00724BBB" w:rsidRDefault="006903A5">
                  <w:pPr>
                    <w:spacing w:line="276" w:lineRule="auto"/>
                    <w:jc w:val="right"/>
                    <w:rPr>
                      <w:color w:val="000000"/>
                      <w:sz w:val="20"/>
                      <w:szCs w:val="20"/>
                    </w:rPr>
                  </w:pPr>
                  <w:r w:rsidRPr="00724BBB">
                    <w:rPr>
                      <w:color w:val="000000"/>
                      <w:sz w:val="20"/>
                      <w:szCs w:val="20"/>
                    </w:rPr>
                    <w:t> </w:t>
                  </w:r>
                </w:p>
              </w:tc>
            </w:tr>
            <w:tr w:rsidR="006903A5" w:rsidRPr="00724BBB" w14:paraId="10823DDE" w14:textId="77777777">
              <w:trPr>
                <w:trHeight w:val="397"/>
              </w:trPr>
              <w:tc>
                <w:tcPr>
                  <w:tcW w:w="2009" w:type="pct"/>
                  <w:vAlign w:val="center"/>
                  <w:hideMark/>
                </w:tcPr>
                <w:p w14:paraId="47F4873B" w14:textId="77777777" w:rsidR="006903A5" w:rsidRPr="00724BBB" w:rsidRDefault="006903A5">
                  <w:pPr>
                    <w:spacing w:line="276" w:lineRule="auto"/>
                    <w:rPr>
                      <w:color w:val="000000"/>
                      <w:sz w:val="20"/>
                      <w:szCs w:val="20"/>
                    </w:rPr>
                  </w:pPr>
                  <w:r w:rsidRPr="00724BBB">
                    <w:rPr>
                      <w:color w:val="000000"/>
                      <w:sz w:val="20"/>
                      <w:szCs w:val="20"/>
                    </w:rPr>
                    <w:t>Number with reduced productivity (inc. 20% discount)</w:t>
                  </w:r>
                </w:p>
              </w:tc>
              <w:tc>
                <w:tcPr>
                  <w:tcW w:w="673" w:type="pct"/>
                  <w:noWrap/>
                  <w:vAlign w:val="center"/>
                  <w:hideMark/>
                </w:tcPr>
                <w:p w14:paraId="0AF4C50B" w14:textId="77777777" w:rsidR="006903A5" w:rsidRPr="00724BBB" w:rsidRDefault="006903A5">
                  <w:pPr>
                    <w:spacing w:line="276" w:lineRule="auto"/>
                    <w:rPr>
                      <w:color w:val="000000"/>
                      <w:sz w:val="20"/>
                      <w:szCs w:val="20"/>
                    </w:rPr>
                  </w:pPr>
                  <w:r w:rsidRPr="00724BBB">
                    <w:rPr>
                      <w:color w:val="000000"/>
                      <w:sz w:val="20"/>
                      <w:szCs w:val="20"/>
                    </w:rPr>
                    <w:t>b = (a x n) x 80%</w:t>
                  </w:r>
                </w:p>
              </w:tc>
              <w:tc>
                <w:tcPr>
                  <w:tcW w:w="524" w:type="pct"/>
                  <w:noWrap/>
                  <w:vAlign w:val="center"/>
                  <w:hideMark/>
                </w:tcPr>
                <w:p w14:paraId="6B37EBF8" w14:textId="77777777" w:rsidR="006903A5" w:rsidRPr="00724BBB" w:rsidRDefault="006903A5">
                  <w:pPr>
                    <w:spacing w:line="276" w:lineRule="auto"/>
                    <w:jc w:val="right"/>
                    <w:rPr>
                      <w:color w:val="000000"/>
                      <w:sz w:val="20"/>
                      <w:szCs w:val="20"/>
                    </w:rPr>
                  </w:pPr>
                  <w:r w:rsidRPr="00724BBB">
                    <w:rPr>
                      <w:color w:val="000000"/>
                      <w:sz w:val="20"/>
                      <w:szCs w:val="20"/>
                    </w:rPr>
                    <w:t>1,634</w:t>
                  </w:r>
                </w:p>
              </w:tc>
              <w:tc>
                <w:tcPr>
                  <w:tcW w:w="523" w:type="pct"/>
                  <w:noWrap/>
                  <w:vAlign w:val="center"/>
                  <w:hideMark/>
                </w:tcPr>
                <w:p w14:paraId="5B64730A" w14:textId="77777777" w:rsidR="006903A5" w:rsidRPr="00724BBB" w:rsidRDefault="006903A5">
                  <w:pPr>
                    <w:spacing w:line="276" w:lineRule="auto"/>
                    <w:jc w:val="right"/>
                    <w:rPr>
                      <w:color w:val="000000"/>
                      <w:sz w:val="20"/>
                      <w:szCs w:val="20"/>
                    </w:rPr>
                  </w:pPr>
                  <w:r w:rsidRPr="00724BBB">
                    <w:rPr>
                      <w:color w:val="000000"/>
                      <w:sz w:val="20"/>
                      <w:szCs w:val="20"/>
                    </w:rPr>
                    <w:t>7,815</w:t>
                  </w:r>
                </w:p>
              </w:tc>
              <w:tc>
                <w:tcPr>
                  <w:tcW w:w="522" w:type="pct"/>
                  <w:noWrap/>
                  <w:vAlign w:val="center"/>
                  <w:hideMark/>
                </w:tcPr>
                <w:p w14:paraId="379E40B1" w14:textId="77777777" w:rsidR="006903A5" w:rsidRPr="00724BBB" w:rsidRDefault="006903A5">
                  <w:pPr>
                    <w:spacing w:line="276" w:lineRule="auto"/>
                    <w:jc w:val="right"/>
                    <w:rPr>
                      <w:color w:val="000000"/>
                      <w:sz w:val="20"/>
                      <w:szCs w:val="20"/>
                    </w:rPr>
                  </w:pPr>
                  <w:r w:rsidRPr="00724BBB">
                    <w:rPr>
                      <w:color w:val="000000"/>
                      <w:sz w:val="20"/>
                      <w:szCs w:val="20"/>
                    </w:rPr>
                    <w:t>5,738</w:t>
                  </w:r>
                </w:p>
              </w:tc>
              <w:tc>
                <w:tcPr>
                  <w:tcW w:w="749" w:type="pct"/>
                  <w:noWrap/>
                  <w:vAlign w:val="center"/>
                  <w:hideMark/>
                </w:tcPr>
                <w:p w14:paraId="4D249C05" w14:textId="77777777" w:rsidR="006903A5" w:rsidRPr="00724BBB" w:rsidRDefault="006903A5">
                  <w:pPr>
                    <w:spacing w:line="276" w:lineRule="auto"/>
                    <w:jc w:val="right"/>
                    <w:rPr>
                      <w:color w:val="000000"/>
                      <w:sz w:val="20"/>
                      <w:szCs w:val="20"/>
                    </w:rPr>
                  </w:pPr>
                  <w:r w:rsidRPr="00724BBB">
                    <w:rPr>
                      <w:color w:val="000000"/>
                      <w:sz w:val="20"/>
                      <w:szCs w:val="20"/>
                    </w:rPr>
                    <w:t>15,187</w:t>
                  </w:r>
                </w:p>
              </w:tc>
            </w:tr>
            <w:tr w:rsidR="006903A5" w:rsidRPr="00724BBB" w14:paraId="1C61266D" w14:textId="77777777" w:rsidTr="00724BBB">
              <w:trPr>
                <w:trHeight w:val="397"/>
              </w:trPr>
              <w:tc>
                <w:tcPr>
                  <w:tcW w:w="2009" w:type="pct"/>
                  <w:vAlign w:val="center"/>
                  <w:hideMark/>
                </w:tcPr>
                <w:p w14:paraId="6F8C1D27" w14:textId="77777777" w:rsidR="006903A5" w:rsidRPr="00724BBB" w:rsidRDefault="006903A5">
                  <w:pPr>
                    <w:spacing w:line="276" w:lineRule="auto"/>
                    <w:rPr>
                      <w:color w:val="000000"/>
                      <w:sz w:val="20"/>
                      <w:szCs w:val="20"/>
                    </w:rPr>
                  </w:pPr>
                  <w:r w:rsidRPr="00724BBB">
                    <w:rPr>
                      <w:color w:val="000000"/>
                      <w:sz w:val="20"/>
                      <w:szCs w:val="20"/>
                    </w:rPr>
                    <w:t>Average weekly earnings annualised</w:t>
                  </w:r>
                </w:p>
              </w:tc>
              <w:tc>
                <w:tcPr>
                  <w:tcW w:w="673" w:type="pct"/>
                  <w:noWrap/>
                  <w:vAlign w:val="center"/>
                  <w:hideMark/>
                </w:tcPr>
                <w:p w14:paraId="6D474126" w14:textId="77777777" w:rsidR="006903A5" w:rsidRPr="00724BBB" w:rsidRDefault="006903A5">
                  <w:pPr>
                    <w:spacing w:line="276" w:lineRule="auto"/>
                    <w:rPr>
                      <w:color w:val="000000"/>
                      <w:sz w:val="20"/>
                      <w:szCs w:val="20"/>
                    </w:rPr>
                  </w:pPr>
                  <w:r w:rsidRPr="00724BBB">
                    <w:rPr>
                      <w:color w:val="000000"/>
                      <w:sz w:val="20"/>
                      <w:szCs w:val="20"/>
                    </w:rPr>
                    <w:t>c</w:t>
                  </w:r>
                </w:p>
              </w:tc>
              <w:tc>
                <w:tcPr>
                  <w:tcW w:w="2318" w:type="pct"/>
                  <w:gridSpan w:val="4"/>
                  <w:noWrap/>
                  <w:vAlign w:val="center"/>
                  <w:hideMark/>
                </w:tcPr>
                <w:p w14:paraId="619B42DE" w14:textId="77777777" w:rsidR="006903A5" w:rsidRPr="00724BBB" w:rsidRDefault="006903A5" w:rsidP="00724BBB">
                  <w:pPr>
                    <w:spacing w:line="276" w:lineRule="auto"/>
                    <w:jc w:val="center"/>
                    <w:rPr>
                      <w:color w:val="000000"/>
                      <w:sz w:val="20"/>
                      <w:szCs w:val="20"/>
                    </w:rPr>
                  </w:pPr>
                  <w:r w:rsidRPr="00724BBB">
                    <w:rPr>
                      <w:color w:val="000000"/>
                      <w:sz w:val="20"/>
                      <w:szCs w:val="20"/>
                    </w:rPr>
                    <w:t>$83,803</w:t>
                  </w:r>
                </w:p>
              </w:tc>
            </w:tr>
            <w:tr w:rsidR="006903A5" w:rsidRPr="00724BBB" w14:paraId="33701262" w14:textId="77777777" w:rsidTr="00724BBB">
              <w:trPr>
                <w:trHeight w:val="397"/>
              </w:trPr>
              <w:tc>
                <w:tcPr>
                  <w:tcW w:w="2009" w:type="pct"/>
                  <w:vAlign w:val="center"/>
                  <w:hideMark/>
                </w:tcPr>
                <w:p w14:paraId="560BED07" w14:textId="77777777" w:rsidR="006903A5" w:rsidRPr="00724BBB" w:rsidRDefault="006903A5">
                  <w:pPr>
                    <w:spacing w:line="276" w:lineRule="auto"/>
                    <w:rPr>
                      <w:color w:val="000000"/>
                      <w:sz w:val="20"/>
                      <w:szCs w:val="20"/>
                    </w:rPr>
                  </w:pPr>
                  <w:r w:rsidRPr="00724BBB">
                    <w:rPr>
                      <w:color w:val="000000"/>
                      <w:sz w:val="20"/>
                      <w:szCs w:val="20"/>
                    </w:rPr>
                    <w:t>Average weekly earnings annualised (reduced to 1 day per week of lost productivity)</w:t>
                  </w:r>
                </w:p>
              </w:tc>
              <w:tc>
                <w:tcPr>
                  <w:tcW w:w="673" w:type="pct"/>
                  <w:noWrap/>
                  <w:vAlign w:val="center"/>
                  <w:hideMark/>
                </w:tcPr>
                <w:p w14:paraId="2290FFAF" w14:textId="77777777" w:rsidR="006903A5" w:rsidRPr="00724BBB" w:rsidRDefault="006903A5">
                  <w:pPr>
                    <w:spacing w:line="276" w:lineRule="auto"/>
                    <w:rPr>
                      <w:color w:val="000000"/>
                      <w:sz w:val="20"/>
                      <w:szCs w:val="20"/>
                    </w:rPr>
                  </w:pPr>
                  <w:r w:rsidRPr="00724BBB">
                    <w:rPr>
                      <w:color w:val="000000"/>
                      <w:sz w:val="20"/>
                      <w:szCs w:val="20"/>
                    </w:rPr>
                    <w:t>d = c x 20%</w:t>
                  </w:r>
                </w:p>
              </w:tc>
              <w:tc>
                <w:tcPr>
                  <w:tcW w:w="2318" w:type="pct"/>
                  <w:gridSpan w:val="4"/>
                  <w:noWrap/>
                  <w:vAlign w:val="center"/>
                  <w:hideMark/>
                </w:tcPr>
                <w:p w14:paraId="2FADA3C2" w14:textId="77777777" w:rsidR="006903A5" w:rsidRPr="00724BBB" w:rsidRDefault="006903A5" w:rsidP="00724BBB">
                  <w:pPr>
                    <w:spacing w:line="276" w:lineRule="auto"/>
                    <w:jc w:val="center"/>
                    <w:rPr>
                      <w:color w:val="000000"/>
                      <w:sz w:val="20"/>
                      <w:szCs w:val="20"/>
                    </w:rPr>
                  </w:pPr>
                  <w:r w:rsidRPr="00724BBB">
                    <w:rPr>
                      <w:color w:val="000000"/>
                      <w:sz w:val="20"/>
                      <w:szCs w:val="20"/>
                    </w:rPr>
                    <w:t>$16,761</w:t>
                  </w:r>
                </w:p>
              </w:tc>
            </w:tr>
            <w:tr w:rsidR="006903A5" w:rsidRPr="00724BBB" w14:paraId="115340CD" w14:textId="77777777">
              <w:trPr>
                <w:trHeight w:val="397"/>
              </w:trPr>
              <w:tc>
                <w:tcPr>
                  <w:tcW w:w="2009" w:type="pct"/>
                  <w:shd w:val="clear" w:color="auto" w:fill="F2F2F2" w:themeFill="background1" w:themeFillShade="F2"/>
                  <w:vAlign w:val="center"/>
                  <w:hideMark/>
                </w:tcPr>
                <w:p w14:paraId="6D7E0953" w14:textId="77777777" w:rsidR="006903A5" w:rsidRPr="00724BBB" w:rsidRDefault="006903A5">
                  <w:pPr>
                    <w:spacing w:line="276" w:lineRule="auto"/>
                    <w:rPr>
                      <w:b/>
                      <w:bCs/>
                      <w:color w:val="000000"/>
                      <w:sz w:val="20"/>
                      <w:szCs w:val="20"/>
                    </w:rPr>
                  </w:pPr>
                  <w:r w:rsidRPr="00724BBB">
                    <w:rPr>
                      <w:b/>
                      <w:bCs/>
                      <w:color w:val="000000"/>
                      <w:sz w:val="20"/>
                      <w:szCs w:val="20"/>
                    </w:rPr>
                    <w:t>Total cost (people who gamble)</w:t>
                  </w:r>
                </w:p>
              </w:tc>
              <w:tc>
                <w:tcPr>
                  <w:tcW w:w="673" w:type="pct"/>
                  <w:shd w:val="clear" w:color="auto" w:fill="F2F2F2" w:themeFill="background1" w:themeFillShade="F2"/>
                  <w:noWrap/>
                  <w:vAlign w:val="center"/>
                  <w:hideMark/>
                </w:tcPr>
                <w:p w14:paraId="1738992F" w14:textId="77777777" w:rsidR="006903A5" w:rsidRPr="00724BBB" w:rsidRDefault="006903A5">
                  <w:pPr>
                    <w:spacing w:line="276" w:lineRule="auto"/>
                    <w:rPr>
                      <w:b/>
                      <w:bCs/>
                      <w:color w:val="000000"/>
                      <w:sz w:val="20"/>
                      <w:szCs w:val="20"/>
                    </w:rPr>
                  </w:pPr>
                  <w:r w:rsidRPr="00724BBB">
                    <w:rPr>
                      <w:b/>
                      <w:bCs/>
                      <w:color w:val="000000"/>
                      <w:sz w:val="20"/>
                      <w:szCs w:val="20"/>
                    </w:rPr>
                    <w:t>e = b x d</w:t>
                  </w:r>
                </w:p>
              </w:tc>
              <w:tc>
                <w:tcPr>
                  <w:tcW w:w="524" w:type="pct"/>
                  <w:shd w:val="clear" w:color="auto" w:fill="F2F2F2" w:themeFill="background1" w:themeFillShade="F2"/>
                  <w:noWrap/>
                  <w:vAlign w:val="center"/>
                  <w:hideMark/>
                </w:tcPr>
                <w:p w14:paraId="7159666E" w14:textId="77777777" w:rsidR="006903A5" w:rsidRPr="00724BBB" w:rsidRDefault="006903A5">
                  <w:pPr>
                    <w:spacing w:line="276" w:lineRule="auto"/>
                    <w:jc w:val="right"/>
                    <w:rPr>
                      <w:b/>
                      <w:bCs/>
                      <w:color w:val="000000"/>
                      <w:sz w:val="20"/>
                      <w:szCs w:val="20"/>
                    </w:rPr>
                  </w:pPr>
                  <w:r w:rsidRPr="00724BBB">
                    <w:rPr>
                      <w:b/>
                      <w:bCs/>
                      <w:color w:val="000000"/>
                      <w:sz w:val="20"/>
                      <w:szCs w:val="20"/>
                    </w:rPr>
                    <w:t>$27.4M</w:t>
                  </w:r>
                </w:p>
              </w:tc>
              <w:tc>
                <w:tcPr>
                  <w:tcW w:w="523" w:type="pct"/>
                  <w:shd w:val="clear" w:color="auto" w:fill="F2F2F2" w:themeFill="background1" w:themeFillShade="F2"/>
                  <w:noWrap/>
                  <w:vAlign w:val="center"/>
                  <w:hideMark/>
                </w:tcPr>
                <w:p w14:paraId="0DBB794F" w14:textId="77777777" w:rsidR="006903A5" w:rsidRPr="00724BBB" w:rsidRDefault="006903A5">
                  <w:pPr>
                    <w:spacing w:line="276" w:lineRule="auto"/>
                    <w:jc w:val="right"/>
                    <w:rPr>
                      <w:b/>
                      <w:bCs/>
                      <w:color w:val="000000"/>
                      <w:sz w:val="20"/>
                      <w:szCs w:val="20"/>
                    </w:rPr>
                  </w:pPr>
                  <w:r w:rsidRPr="00724BBB">
                    <w:rPr>
                      <w:b/>
                      <w:bCs/>
                      <w:color w:val="000000"/>
                      <w:sz w:val="20"/>
                      <w:szCs w:val="20"/>
                    </w:rPr>
                    <w:t>$131.0M</w:t>
                  </w:r>
                </w:p>
              </w:tc>
              <w:tc>
                <w:tcPr>
                  <w:tcW w:w="522" w:type="pct"/>
                  <w:shd w:val="clear" w:color="auto" w:fill="F2F2F2" w:themeFill="background1" w:themeFillShade="F2"/>
                  <w:noWrap/>
                  <w:vAlign w:val="center"/>
                  <w:hideMark/>
                </w:tcPr>
                <w:p w14:paraId="6C297C07" w14:textId="77777777" w:rsidR="006903A5" w:rsidRPr="00724BBB" w:rsidRDefault="006903A5">
                  <w:pPr>
                    <w:spacing w:line="276" w:lineRule="auto"/>
                    <w:jc w:val="right"/>
                    <w:rPr>
                      <w:b/>
                      <w:bCs/>
                      <w:color w:val="000000"/>
                      <w:sz w:val="20"/>
                      <w:szCs w:val="20"/>
                    </w:rPr>
                  </w:pPr>
                  <w:r w:rsidRPr="00724BBB">
                    <w:rPr>
                      <w:b/>
                      <w:bCs/>
                      <w:color w:val="000000"/>
                      <w:sz w:val="20"/>
                      <w:szCs w:val="20"/>
                    </w:rPr>
                    <w:t>$96.2M</w:t>
                  </w:r>
                </w:p>
              </w:tc>
              <w:tc>
                <w:tcPr>
                  <w:tcW w:w="749" w:type="pct"/>
                  <w:shd w:val="clear" w:color="auto" w:fill="F2F2F2" w:themeFill="background1" w:themeFillShade="F2"/>
                  <w:noWrap/>
                  <w:vAlign w:val="center"/>
                  <w:hideMark/>
                </w:tcPr>
                <w:p w14:paraId="0E87F874" w14:textId="77777777" w:rsidR="006903A5" w:rsidRPr="00724BBB" w:rsidRDefault="006903A5">
                  <w:pPr>
                    <w:spacing w:line="276" w:lineRule="auto"/>
                    <w:jc w:val="right"/>
                    <w:rPr>
                      <w:b/>
                      <w:bCs/>
                      <w:color w:val="000000"/>
                      <w:sz w:val="20"/>
                      <w:szCs w:val="20"/>
                    </w:rPr>
                  </w:pPr>
                  <w:r w:rsidRPr="00724BBB">
                    <w:rPr>
                      <w:b/>
                      <w:bCs/>
                      <w:color w:val="000000"/>
                      <w:sz w:val="20"/>
                      <w:szCs w:val="20"/>
                    </w:rPr>
                    <w:t>$254,549,123</w:t>
                  </w:r>
                </w:p>
              </w:tc>
            </w:tr>
            <w:tr w:rsidR="006903A5" w:rsidRPr="00724BBB" w14:paraId="3E1CE7F0" w14:textId="77777777">
              <w:trPr>
                <w:trHeight w:val="397"/>
              </w:trPr>
              <w:tc>
                <w:tcPr>
                  <w:tcW w:w="5000" w:type="pct"/>
                  <w:gridSpan w:val="6"/>
                  <w:vAlign w:val="center"/>
                  <w:hideMark/>
                </w:tcPr>
                <w:p w14:paraId="41E9B6F7" w14:textId="77777777" w:rsidR="006903A5" w:rsidRPr="00724BBB" w:rsidRDefault="006903A5">
                  <w:pPr>
                    <w:spacing w:line="276" w:lineRule="auto"/>
                    <w:rPr>
                      <w:b/>
                      <w:bCs/>
                      <w:color w:val="000000"/>
                      <w:sz w:val="20"/>
                      <w:szCs w:val="20"/>
                    </w:rPr>
                  </w:pPr>
                  <w:r w:rsidRPr="00724BBB">
                    <w:rPr>
                      <w:b/>
                      <w:bCs/>
                      <w:i/>
                      <w:iCs/>
                      <w:color w:val="000000"/>
                      <w:sz w:val="20"/>
                      <w:szCs w:val="20"/>
                    </w:rPr>
                    <w:t>Productivity loss to business – affected other</w:t>
                  </w:r>
                  <w:r w:rsidRPr="00724BBB">
                    <w:rPr>
                      <w:b/>
                      <w:bCs/>
                      <w:color w:val="000000"/>
                      <w:sz w:val="20"/>
                      <w:szCs w:val="20"/>
                    </w:rPr>
                    <w:t> </w:t>
                  </w:r>
                </w:p>
              </w:tc>
            </w:tr>
            <w:tr w:rsidR="006903A5" w:rsidRPr="00724BBB" w14:paraId="46FB3432" w14:textId="77777777">
              <w:trPr>
                <w:trHeight w:val="397"/>
              </w:trPr>
              <w:tc>
                <w:tcPr>
                  <w:tcW w:w="2009" w:type="pct"/>
                  <w:vAlign w:val="center"/>
                  <w:hideMark/>
                </w:tcPr>
                <w:p w14:paraId="75FAC397" w14:textId="77777777" w:rsidR="006903A5" w:rsidRPr="00724BBB" w:rsidRDefault="006903A5">
                  <w:pPr>
                    <w:spacing w:line="276" w:lineRule="auto"/>
                    <w:rPr>
                      <w:color w:val="000000"/>
                      <w:sz w:val="20"/>
                      <w:szCs w:val="20"/>
                    </w:rPr>
                  </w:pPr>
                  <w:r w:rsidRPr="00724BBB">
                    <w:rPr>
                      <w:color w:val="000000"/>
                      <w:sz w:val="20"/>
                      <w:szCs w:val="20"/>
                    </w:rPr>
                    <w:t>Number of affected others per person with a gambling problem</w:t>
                  </w:r>
                </w:p>
              </w:tc>
              <w:tc>
                <w:tcPr>
                  <w:tcW w:w="673" w:type="pct"/>
                  <w:noWrap/>
                  <w:vAlign w:val="center"/>
                  <w:hideMark/>
                </w:tcPr>
                <w:p w14:paraId="302E7D27" w14:textId="77777777" w:rsidR="006903A5" w:rsidRPr="00724BBB" w:rsidRDefault="006903A5">
                  <w:pPr>
                    <w:spacing w:line="276" w:lineRule="auto"/>
                    <w:rPr>
                      <w:color w:val="000000"/>
                      <w:sz w:val="20"/>
                      <w:szCs w:val="20"/>
                    </w:rPr>
                  </w:pPr>
                  <w:r w:rsidRPr="00724BBB">
                    <w:rPr>
                      <w:color w:val="000000"/>
                      <w:sz w:val="20"/>
                      <w:szCs w:val="20"/>
                    </w:rPr>
                    <w:t>f</w:t>
                  </w:r>
                </w:p>
              </w:tc>
              <w:tc>
                <w:tcPr>
                  <w:tcW w:w="524" w:type="pct"/>
                  <w:noWrap/>
                  <w:vAlign w:val="center"/>
                  <w:hideMark/>
                </w:tcPr>
                <w:p w14:paraId="02842068" w14:textId="77777777" w:rsidR="006903A5" w:rsidRPr="00724BBB" w:rsidRDefault="006903A5">
                  <w:pPr>
                    <w:spacing w:line="276" w:lineRule="auto"/>
                    <w:jc w:val="right"/>
                    <w:rPr>
                      <w:color w:val="000000"/>
                      <w:sz w:val="20"/>
                      <w:szCs w:val="20"/>
                    </w:rPr>
                  </w:pPr>
                  <w:r w:rsidRPr="00724BBB">
                    <w:rPr>
                      <w:color w:val="000000"/>
                      <w:sz w:val="20"/>
                      <w:szCs w:val="20"/>
                    </w:rPr>
                    <w:t>1</w:t>
                  </w:r>
                </w:p>
              </w:tc>
              <w:tc>
                <w:tcPr>
                  <w:tcW w:w="523" w:type="pct"/>
                  <w:noWrap/>
                  <w:vAlign w:val="center"/>
                  <w:hideMark/>
                </w:tcPr>
                <w:p w14:paraId="21DBE417" w14:textId="77777777" w:rsidR="006903A5" w:rsidRPr="00724BBB" w:rsidRDefault="006903A5">
                  <w:pPr>
                    <w:spacing w:line="276" w:lineRule="auto"/>
                    <w:jc w:val="right"/>
                    <w:rPr>
                      <w:color w:val="000000"/>
                      <w:sz w:val="20"/>
                      <w:szCs w:val="20"/>
                    </w:rPr>
                  </w:pPr>
                  <w:r w:rsidRPr="00724BBB">
                    <w:rPr>
                      <w:color w:val="000000"/>
                      <w:sz w:val="20"/>
                      <w:szCs w:val="20"/>
                    </w:rPr>
                    <w:t>3</w:t>
                  </w:r>
                </w:p>
              </w:tc>
              <w:tc>
                <w:tcPr>
                  <w:tcW w:w="522" w:type="pct"/>
                  <w:noWrap/>
                  <w:vAlign w:val="center"/>
                  <w:hideMark/>
                </w:tcPr>
                <w:p w14:paraId="0BCA0394" w14:textId="77777777" w:rsidR="006903A5" w:rsidRPr="00724BBB" w:rsidRDefault="006903A5">
                  <w:pPr>
                    <w:spacing w:line="276" w:lineRule="auto"/>
                    <w:jc w:val="right"/>
                    <w:rPr>
                      <w:color w:val="000000"/>
                      <w:sz w:val="20"/>
                      <w:szCs w:val="20"/>
                    </w:rPr>
                  </w:pPr>
                  <w:r w:rsidRPr="00724BBB">
                    <w:rPr>
                      <w:color w:val="000000"/>
                      <w:sz w:val="20"/>
                      <w:szCs w:val="20"/>
                    </w:rPr>
                    <w:t>6</w:t>
                  </w:r>
                </w:p>
              </w:tc>
              <w:tc>
                <w:tcPr>
                  <w:tcW w:w="749" w:type="pct"/>
                  <w:noWrap/>
                  <w:vAlign w:val="center"/>
                  <w:hideMark/>
                </w:tcPr>
                <w:p w14:paraId="5FF7F83D" w14:textId="77777777" w:rsidR="006903A5" w:rsidRPr="00724BBB" w:rsidRDefault="006903A5">
                  <w:pPr>
                    <w:spacing w:line="276" w:lineRule="auto"/>
                    <w:jc w:val="right"/>
                    <w:rPr>
                      <w:color w:val="000000"/>
                      <w:sz w:val="20"/>
                      <w:szCs w:val="20"/>
                    </w:rPr>
                  </w:pPr>
                  <w:r w:rsidRPr="00724BBB">
                    <w:rPr>
                      <w:color w:val="000000"/>
                      <w:sz w:val="20"/>
                      <w:szCs w:val="20"/>
                    </w:rPr>
                    <w:t> </w:t>
                  </w:r>
                </w:p>
              </w:tc>
            </w:tr>
            <w:tr w:rsidR="006903A5" w:rsidRPr="00724BBB" w14:paraId="554C839E" w14:textId="77777777">
              <w:trPr>
                <w:trHeight w:val="397"/>
              </w:trPr>
              <w:tc>
                <w:tcPr>
                  <w:tcW w:w="2009" w:type="pct"/>
                  <w:vAlign w:val="center"/>
                  <w:hideMark/>
                </w:tcPr>
                <w:p w14:paraId="2E0E3B8E" w14:textId="77777777" w:rsidR="006903A5" w:rsidRPr="00724BBB" w:rsidRDefault="006903A5">
                  <w:pPr>
                    <w:spacing w:line="276" w:lineRule="auto"/>
                    <w:rPr>
                      <w:color w:val="000000"/>
                      <w:sz w:val="20"/>
                      <w:szCs w:val="20"/>
                    </w:rPr>
                  </w:pPr>
                  <w:r w:rsidRPr="00724BBB">
                    <w:rPr>
                      <w:color w:val="000000"/>
                      <w:sz w:val="20"/>
                      <w:szCs w:val="20"/>
                    </w:rPr>
                    <w:t>Total number of people in the population who might experience harm from another person's gambling</w:t>
                  </w:r>
                </w:p>
              </w:tc>
              <w:tc>
                <w:tcPr>
                  <w:tcW w:w="673" w:type="pct"/>
                  <w:noWrap/>
                  <w:vAlign w:val="center"/>
                  <w:hideMark/>
                </w:tcPr>
                <w:p w14:paraId="730F84CF" w14:textId="77777777" w:rsidR="006903A5" w:rsidRPr="00724BBB" w:rsidRDefault="006903A5">
                  <w:pPr>
                    <w:spacing w:line="276" w:lineRule="auto"/>
                    <w:rPr>
                      <w:color w:val="000000"/>
                      <w:sz w:val="20"/>
                      <w:szCs w:val="20"/>
                    </w:rPr>
                  </w:pPr>
                  <w:r w:rsidRPr="00724BBB">
                    <w:rPr>
                      <w:color w:val="000000"/>
                      <w:sz w:val="20"/>
                      <w:szCs w:val="20"/>
                    </w:rPr>
                    <w:t>g = n x f</w:t>
                  </w:r>
                </w:p>
              </w:tc>
              <w:tc>
                <w:tcPr>
                  <w:tcW w:w="524" w:type="pct"/>
                  <w:noWrap/>
                  <w:vAlign w:val="center"/>
                  <w:hideMark/>
                </w:tcPr>
                <w:p w14:paraId="3566EB51" w14:textId="77777777" w:rsidR="006903A5" w:rsidRPr="00724BBB" w:rsidRDefault="006903A5">
                  <w:pPr>
                    <w:spacing w:line="276" w:lineRule="auto"/>
                    <w:jc w:val="right"/>
                    <w:rPr>
                      <w:color w:val="000000"/>
                      <w:sz w:val="20"/>
                      <w:szCs w:val="20"/>
                    </w:rPr>
                  </w:pPr>
                  <w:r w:rsidRPr="00724BBB">
                    <w:rPr>
                      <w:color w:val="000000"/>
                      <w:sz w:val="20"/>
                      <w:szCs w:val="20"/>
                    </w:rPr>
                    <w:t>255,318</w:t>
                  </w:r>
                </w:p>
              </w:tc>
              <w:tc>
                <w:tcPr>
                  <w:tcW w:w="523" w:type="pct"/>
                  <w:noWrap/>
                  <w:vAlign w:val="center"/>
                  <w:hideMark/>
                </w:tcPr>
                <w:p w14:paraId="485E4E7A" w14:textId="77777777" w:rsidR="006903A5" w:rsidRPr="00724BBB" w:rsidRDefault="006903A5">
                  <w:pPr>
                    <w:spacing w:line="276" w:lineRule="auto"/>
                    <w:jc w:val="right"/>
                    <w:rPr>
                      <w:color w:val="000000"/>
                      <w:sz w:val="20"/>
                      <w:szCs w:val="20"/>
                    </w:rPr>
                  </w:pPr>
                  <w:r w:rsidRPr="00724BBB">
                    <w:rPr>
                      <w:color w:val="000000"/>
                      <w:sz w:val="20"/>
                      <w:szCs w:val="20"/>
                    </w:rPr>
                    <w:t>250,476</w:t>
                  </w:r>
                </w:p>
              </w:tc>
              <w:tc>
                <w:tcPr>
                  <w:tcW w:w="522" w:type="pct"/>
                  <w:noWrap/>
                  <w:vAlign w:val="center"/>
                  <w:hideMark/>
                </w:tcPr>
                <w:p w14:paraId="64F5862B" w14:textId="77777777" w:rsidR="006903A5" w:rsidRPr="00724BBB" w:rsidRDefault="006903A5">
                  <w:pPr>
                    <w:spacing w:line="276" w:lineRule="auto"/>
                    <w:jc w:val="right"/>
                    <w:rPr>
                      <w:color w:val="000000"/>
                      <w:sz w:val="20"/>
                      <w:szCs w:val="20"/>
                    </w:rPr>
                  </w:pPr>
                  <w:r w:rsidRPr="00724BBB">
                    <w:rPr>
                      <w:color w:val="000000"/>
                      <w:sz w:val="20"/>
                      <w:szCs w:val="20"/>
                    </w:rPr>
                    <w:t>122,616</w:t>
                  </w:r>
                </w:p>
              </w:tc>
              <w:tc>
                <w:tcPr>
                  <w:tcW w:w="749" w:type="pct"/>
                  <w:noWrap/>
                  <w:vAlign w:val="center"/>
                  <w:hideMark/>
                </w:tcPr>
                <w:p w14:paraId="3A291662" w14:textId="77777777" w:rsidR="006903A5" w:rsidRPr="00724BBB" w:rsidRDefault="006903A5">
                  <w:pPr>
                    <w:spacing w:line="276" w:lineRule="auto"/>
                    <w:jc w:val="right"/>
                    <w:rPr>
                      <w:color w:val="000000"/>
                      <w:sz w:val="20"/>
                      <w:szCs w:val="20"/>
                    </w:rPr>
                  </w:pPr>
                  <w:r w:rsidRPr="00724BBB">
                    <w:rPr>
                      <w:color w:val="000000"/>
                      <w:sz w:val="20"/>
                      <w:szCs w:val="20"/>
                    </w:rPr>
                    <w:t>628,410</w:t>
                  </w:r>
                </w:p>
              </w:tc>
            </w:tr>
            <w:tr w:rsidR="006903A5" w:rsidRPr="00724BBB" w14:paraId="54669578" w14:textId="77777777">
              <w:trPr>
                <w:trHeight w:val="397"/>
              </w:trPr>
              <w:tc>
                <w:tcPr>
                  <w:tcW w:w="2009" w:type="pct"/>
                  <w:vAlign w:val="center"/>
                  <w:hideMark/>
                </w:tcPr>
                <w:p w14:paraId="73623251" w14:textId="77777777" w:rsidR="006903A5" w:rsidRPr="00724BBB" w:rsidRDefault="006903A5">
                  <w:pPr>
                    <w:spacing w:line="276" w:lineRule="auto"/>
                    <w:rPr>
                      <w:color w:val="000000"/>
                      <w:sz w:val="20"/>
                      <w:szCs w:val="20"/>
                    </w:rPr>
                  </w:pPr>
                  <w:r w:rsidRPr="00724BBB">
                    <w:rPr>
                      <w:color w:val="000000"/>
                      <w:sz w:val="20"/>
                      <w:szCs w:val="20"/>
                    </w:rPr>
                    <w:t>Proportion reporting reduced performance due to another person's gambling</w:t>
                  </w:r>
                </w:p>
              </w:tc>
              <w:tc>
                <w:tcPr>
                  <w:tcW w:w="673" w:type="pct"/>
                  <w:noWrap/>
                  <w:vAlign w:val="center"/>
                  <w:hideMark/>
                </w:tcPr>
                <w:p w14:paraId="1931392D" w14:textId="77777777" w:rsidR="006903A5" w:rsidRPr="00724BBB" w:rsidRDefault="006903A5">
                  <w:pPr>
                    <w:spacing w:line="276" w:lineRule="auto"/>
                    <w:rPr>
                      <w:color w:val="000000"/>
                      <w:sz w:val="20"/>
                      <w:szCs w:val="20"/>
                    </w:rPr>
                  </w:pPr>
                  <w:r w:rsidRPr="00724BBB">
                    <w:rPr>
                      <w:color w:val="000000"/>
                      <w:sz w:val="20"/>
                      <w:szCs w:val="20"/>
                    </w:rPr>
                    <w:t>h</w:t>
                  </w:r>
                </w:p>
              </w:tc>
              <w:tc>
                <w:tcPr>
                  <w:tcW w:w="524" w:type="pct"/>
                  <w:noWrap/>
                  <w:vAlign w:val="center"/>
                  <w:hideMark/>
                </w:tcPr>
                <w:p w14:paraId="106B2E78" w14:textId="77777777" w:rsidR="006903A5" w:rsidRPr="00724BBB" w:rsidRDefault="006903A5">
                  <w:pPr>
                    <w:spacing w:line="276" w:lineRule="auto"/>
                    <w:jc w:val="right"/>
                    <w:rPr>
                      <w:color w:val="000000"/>
                      <w:sz w:val="20"/>
                      <w:szCs w:val="20"/>
                    </w:rPr>
                  </w:pPr>
                  <w:r w:rsidRPr="00724BBB">
                    <w:rPr>
                      <w:color w:val="000000"/>
                      <w:sz w:val="20"/>
                      <w:szCs w:val="20"/>
                    </w:rPr>
                    <w:t>12.5%</w:t>
                  </w:r>
                </w:p>
              </w:tc>
              <w:tc>
                <w:tcPr>
                  <w:tcW w:w="523" w:type="pct"/>
                  <w:noWrap/>
                  <w:vAlign w:val="center"/>
                  <w:hideMark/>
                </w:tcPr>
                <w:p w14:paraId="7AE27121" w14:textId="77777777" w:rsidR="006903A5" w:rsidRPr="00724BBB" w:rsidRDefault="006903A5">
                  <w:pPr>
                    <w:spacing w:line="276" w:lineRule="auto"/>
                    <w:jc w:val="right"/>
                    <w:rPr>
                      <w:color w:val="000000"/>
                      <w:sz w:val="20"/>
                      <w:szCs w:val="20"/>
                    </w:rPr>
                  </w:pPr>
                  <w:r w:rsidRPr="00724BBB">
                    <w:rPr>
                      <w:color w:val="000000"/>
                      <w:sz w:val="20"/>
                      <w:szCs w:val="20"/>
                    </w:rPr>
                    <w:t>14.8%</w:t>
                  </w:r>
                </w:p>
              </w:tc>
              <w:tc>
                <w:tcPr>
                  <w:tcW w:w="522" w:type="pct"/>
                  <w:noWrap/>
                  <w:vAlign w:val="center"/>
                  <w:hideMark/>
                </w:tcPr>
                <w:p w14:paraId="5C1B0063" w14:textId="77777777" w:rsidR="006903A5" w:rsidRPr="00724BBB" w:rsidRDefault="006903A5">
                  <w:pPr>
                    <w:spacing w:line="276" w:lineRule="auto"/>
                    <w:jc w:val="right"/>
                    <w:rPr>
                      <w:color w:val="000000"/>
                      <w:sz w:val="20"/>
                      <w:szCs w:val="20"/>
                    </w:rPr>
                  </w:pPr>
                  <w:r w:rsidRPr="00724BBB">
                    <w:rPr>
                      <w:color w:val="000000"/>
                      <w:sz w:val="20"/>
                      <w:szCs w:val="20"/>
                    </w:rPr>
                    <w:t>24.9%</w:t>
                  </w:r>
                </w:p>
              </w:tc>
              <w:tc>
                <w:tcPr>
                  <w:tcW w:w="749" w:type="pct"/>
                  <w:noWrap/>
                  <w:vAlign w:val="center"/>
                  <w:hideMark/>
                </w:tcPr>
                <w:p w14:paraId="12EACA7B" w14:textId="77777777" w:rsidR="006903A5" w:rsidRPr="00724BBB" w:rsidRDefault="006903A5">
                  <w:pPr>
                    <w:spacing w:line="276" w:lineRule="auto"/>
                    <w:jc w:val="right"/>
                    <w:rPr>
                      <w:color w:val="000000"/>
                      <w:sz w:val="20"/>
                      <w:szCs w:val="20"/>
                    </w:rPr>
                  </w:pPr>
                  <w:r w:rsidRPr="00724BBB">
                    <w:rPr>
                      <w:color w:val="000000"/>
                      <w:sz w:val="20"/>
                      <w:szCs w:val="20"/>
                    </w:rPr>
                    <w:t> </w:t>
                  </w:r>
                </w:p>
              </w:tc>
            </w:tr>
            <w:tr w:rsidR="006903A5" w:rsidRPr="00724BBB" w14:paraId="49C6B501" w14:textId="77777777">
              <w:trPr>
                <w:trHeight w:val="397"/>
              </w:trPr>
              <w:tc>
                <w:tcPr>
                  <w:tcW w:w="2009" w:type="pct"/>
                  <w:vAlign w:val="center"/>
                  <w:hideMark/>
                </w:tcPr>
                <w:p w14:paraId="7E80ECB0" w14:textId="77777777" w:rsidR="006903A5" w:rsidRPr="00724BBB" w:rsidRDefault="006903A5">
                  <w:pPr>
                    <w:spacing w:line="276" w:lineRule="auto"/>
                    <w:rPr>
                      <w:color w:val="000000"/>
                      <w:sz w:val="20"/>
                      <w:szCs w:val="20"/>
                    </w:rPr>
                  </w:pPr>
                  <w:r w:rsidRPr="00724BBB">
                    <w:rPr>
                      <w:color w:val="000000"/>
                      <w:sz w:val="20"/>
                      <w:szCs w:val="20"/>
                    </w:rPr>
                    <w:t>Estimated number of affected others with reduced performance (inc. 20% discount)</w:t>
                  </w:r>
                </w:p>
              </w:tc>
              <w:tc>
                <w:tcPr>
                  <w:tcW w:w="673" w:type="pct"/>
                  <w:noWrap/>
                  <w:vAlign w:val="center"/>
                  <w:hideMark/>
                </w:tcPr>
                <w:p w14:paraId="330522CF" w14:textId="77777777" w:rsidR="006903A5" w:rsidRPr="00724BBB" w:rsidRDefault="006903A5">
                  <w:pPr>
                    <w:spacing w:line="276" w:lineRule="auto"/>
                    <w:rPr>
                      <w:color w:val="000000"/>
                      <w:sz w:val="20"/>
                      <w:szCs w:val="20"/>
                    </w:rPr>
                  </w:pPr>
                  <w:r w:rsidRPr="00724BBB">
                    <w:rPr>
                      <w:color w:val="000000"/>
                      <w:sz w:val="20"/>
                      <w:szCs w:val="20"/>
                    </w:rPr>
                    <w:t>i = (g x h) x 80%</w:t>
                  </w:r>
                </w:p>
              </w:tc>
              <w:tc>
                <w:tcPr>
                  <w:tcW w:w="524" w:type="pct"/>
                  <w:noWrap/>
                  <w:vAlign w:val="center"/>
                  <w:hideMark/>
                </w:tcPr>
                <w:p w14:paraId="6715373D" w14:textId="77777777" w:rsidR="006903A5" w:rsidRPr="00724BBB" w:rsidRDefault="006903A5">
                  <w:pPr>
                    <w:spacing w:line="276" w:lineRule="auto"/>
                    <w:jc w:val="right"/>
                    <w:rPr>
                      <w:color w:val="000000"/>
                      <w:sz w:val="20"/>
                      <w:szCs w:val="20"/>
                    </w:rPr>
                  </w:pPr>
                  <w:r w:rsidRPr="00724BBB">
                    <w:rPr>
                      <w:color w:val="000000"/>
                      <w:sz w:val="20"/>
                      <w:szCs w:val="20"/>
                    </w:rPr>
                    <w:t>25,532</w:t>
                  </w:r>
                </w:p>
              </w:tc>
              <w:tc>
                <w:tcPr>
                  <w:tcW w:w="523" w:type="pct"/>
                  <w:noWrap/>
                  <w:vAlign w:val="center"/>
                  <w:hideMark/>
                </w:tcPr>
                <w:p w14:paraId="33F50969" w14:textId="77777777" w:rsidR="006903A5" w:rsidRPr="00724BBB" w:rsidRDefault="006903A5">
                  <w:pPr>
                    <w:spacing w:line="276" w:lineRule="auto"/>
                    <w:jc w:val="right"/>
                    <w:rPr>
                      <w:color w:val="000000"/>
                      <w:sz w:val="20"/>
                      <w:szCs w:val="20"/>
                    </w:rPr>
                  </w:pPr>
                  <w:r w:rsidRPr="00724BBB">
                    <w:rPr>
                      <w:color w:val="000000"/>
                      <w:sz w:val="20"/>
                      <w:szCs w:val="20"/>
                    </w:rPr>
                    <w:t>29,656</w:t>
                  </w:r>
                </w:p>
              </w:tc>
              <w:tc>
                <w:tcPr>
                  <w:tcW w:w="522" w:type="pct"/>
                  <w:noWrap/>
                  <w:vAlign w:val="center"/>
                  <w:hideMark/>
                </w:tcPr>
                <w:p w14:paraId="5A76CA59" w14:textId="77777777" w:rsidR="006903A5" w:rsidRPr="00724BBB" w:rsidRDefault="006903A5">
                  <w:pPr>
                    <w:spacing w:line="276" w:lineRule="auto"/>
                    <w:jc w:val="right"/>
                    <w:rPr>
                      <w:color w:val="000000"/>
                      <w:sz w:val="20"/>
                      <w:szCs w:val="20"/>
                    </w:rPr>
                  </w:pPr>
                  <w:r w:rsidRPr="00724BBB">
                    <w:rPr>
                      <w:color w:val="000000"/>
                      <w:sz w:val="20"/>
                      <w:szCs w:val="20"/>
                    </w:rPr>
                    <w:t>24,425</w:t>
                  </w:r>
                </w:p>
              </w:tc>
              <w:tc>
                <w:tcPr>
                  <w:tcW w:w="749" w:type="pct"/>
                  <w:noWrap/>
                  <w:vAlign w:val="center"/>
                  <w:hideMark/>
                </w:tcPr>
                <w:p w14:paraId="1A3DA3EF" w14:textId="77777777" w:rsidR="006903A5" w:rsidRPr="00724BBB" w:rsidRDefault="006903A5">
                  <w:pPr>
                    <w:spacing w:line="276" w:lineRule="auto"/>
                    <w:jc w:val="right"/>
                    <w:rPr>
                      <w:color w:val="000000"/>
                      <w:sz w:val="20"/>
                      <w:szCs w:val="20"/>
                    </w:rPr>
                  </w:pPr>
                  <w:r w:rsidRPr="00724BBB">
                    <w:rPr>
                      <w:color w:val="000000"/>
                      <w:sz w:val="20"/>
                      <w:szCs w:val="20"/>
                    </w:rPr>
                    <w:t>79,613</w:t>
                  </w:r>
                </w:p>
              </w:tc>
            </w:tr>
            <w:tr w:rsidR="006903A5" w:rsidRPr="00724BBB" w14:paraId="6C488890" w14:textId="77777777" w:rsidTr="00724BBB">
              <w:trPr>
                <w:trHeight w:val="397"/>
              </w:trPr>
              <w:tc>
                <w:tcPr>
                  <w:tcW w:w="2009" w:type="pct"/>
                  <w:vAlign w:val="center"/>
                  <w:hideMark/>
                </w:tcPr>
                <w:p w14:paraId="671AD581" w14:textId="77777777" w:rsidR="006903A5" w:rsidRPr="00724BBB" w:rsidRDefault="006903A5">
                  <w:pPr>
                    <w:spacing w:line="276" w:lineRule="auto"/>
                    <w:rPr>
                      <w:color w:val="000000"/>
                      <w:sz w:val="20"/>
                      <w:szCs w:val="20"/>
                    </w:rPr>
                  </w:pPr>
                  <w:r w:rsidRPr="00724BBB">
                    <w:rPr>
                      <w:color w:val="000000"/>
                      <w:sz w:val="20"/>
                      <w:szCs w:val="20"/>
                    </w:rPr>
                    <w:t>Average weekly earnings annualised (including on-costs)</w:t>
                  </w:r>
                </w:p>
              </w:tc>
              <w:tc>
                <w:tcPr>
                  <w:tcW w:w="673" w:type="pct"/>
                  <w:noWrap/>
                  <w:vAlign w:val="center"/>
                  <w:hideMark/>
                </w:tcPr>
                <w:p w14:paraId="0B7DB685" w14:textId="77777777" w:rsidR="006903A5" w:rsidRPr="00724BBB" w:rsidRDefault="006903A5">
                  <w:pPr>
                    <w:spacing w:line="276" w:lineRule="auto"/>
                    <w:rPr>
                      <w:color w:val="000000"/>
                      <w:sz w:val="20"/>
                      <w:szCs w:val="20"/>
                    </w:rPr>
                  </w:pPr>
                  <w:r w:rsidRPr="00724BBB">
                    <w:rPr>
                      <w:color w:val="000000"/>
                      <w:sz w:val="20"/>
                      <w:szCs w:val="20"/>
                    </w:rPr>
                    <w:t>j</w:t>
                  </w:r>
                </w:p>
              </w:tc>
              <w:tc>
                <w:tcPr>
                  <w:tcW w:w="2318" w:type="pct"/>
                  <w:gridSpan w:val="4"/>
                  <w:noWrap/>
                  <w:vAlign w:val="center"/>
                  <w:hideMark/>
                </w:tcPr>
                <w:p w14:paraId="70CFBB12" w14:textId="77777777" w:rsidR="006903A5" w:rsidRPr="00724BBB" w:rsidRDefault="006903A5" w:rsidP="00724BBB">
                  <w:pPr>
                    <w:spacing w:line="276" w:lineRule="auto"/>
                    <w:jc w:val="center"/>
                    <w:rPr>
                      <w:color w:val="000000"/>
                      <w:sz w:val="20"/>
                      <w:szCs w:val="20"/>
                    </w:rPr>
                  </w:pPr>
                  <w:r w:rsidRPr="00724BBB">
                    <w:rPr>
                      <w:color w:val="000000"/>
                      <w:sz w:val="20"/>
                      <w:szCs w:val="20"/>
                    </w:rPr>
                    <w:t>$83,803</w:t>
                  </w:r>
                </w:p>
              </w:tc>
            </w:tr>
            <w:tr w:rsidR="006903A5" w:rsidRPr="00724BBB" w14:paraId="65EBDAED" w14:textId="77777777" w:rsidTr="00724BBB">
              <w:trPr>
                <w:trHeight w:val="397"/>
              </w:trPr>
              <w:tc>
                <w:tcPr>
                  <w:tcW w:w="2009" w:type="pct"/>
                  <w:vAlign w:val="center"/>
                  <w:hideMark/>
                </w:tcPr>
                <w:p w14:paraId="35ABF33A" w14:textId="77777777" w:rsidR="006903A5" w:rsidRPr="00724BBB" w:rsidRDefault="006903A5">
                  <w:pPr>
                    <w:spacing w:line="276" w:lineRule="auto"/>
                    <w:rPr>
                      <w:color w:val="000000"/>
                      <w:sz w:val="20"/>
                      <w:szCs w:val="20"/>
                    </w:rPr>
                  </w:pPr>
                  <w:r w:rsidRPr="00724BBB">
                    <w:rPr>
                      <w:color w:val="000000"/>
                      <w:sz w:val="20"/>
                      <w:szCs w:val="20"/>
                    </w:rPr>
                    <w:t xml:space="preserve">Average weekly earnings annualised (reduced to 0.25 day per week of lost productivity) </w:t>
                  </w:r>
                </w:p>
              </w:tc>
              <w:tc>
                <w:tcPr>
                  <w:tcW w:w="673" w:type="pct"/>
                  <w:noWrap/>
                  <w:vAlign w:val="center"/>
                  <w:hideMark/>
                </w:tcPr>
                <w:p w14:paraId="209EB5BD" w14:textId="77777777" w:rsidR="006903A5" w:rsidRPr="00724BBB" w:rsidRDefault="006903A5">
                  <w:pPr>
                    <w:spacing w:line="276" w:lineRule="auto"/>
                    <w:rPr>
                      <w:color w:val="000000"/>
                      <w:sz w:val="20"/>
                      <w:szCs w:val="20"/>
                    </w:rPr>
                  </w:pPr>
                  <w:r w:rsidRPr="00724BBB">
                    <w:rPr>
                      <w:color w:val="000000"/>
                      <w:sz w:val="20"/>
                      <w:szCs w:val="20"/>
                    </w:rPr>
                    <w:t>k = j x 5%</w:t>
                  </w:r>
                </w:p>
              </w:tc>
              <w:tc>
                <w:tcPr>
                  <w:tcW w:w="2318" w:type="pct"/>
                  <w:gridSpan w:val="4"/>
                  <w:noWrap/>
                  <w:vAlign w:val="center"/>
                  <w:hideMark/>
                </w:tcPr>
                <w:p w14:paraId="03AED9F2" w14:textId="77777777" w:rsidR="006903A5" w:rsidRPr="00724BBB" w:rsidRDefault="006903A5" w:rsidP="00724BBB">
                  <w:pPr>
                    <w:spacing w:line="276" w:lineRule="auto"/>
                    <w:jc w:val="center"/>
                    <w:rPr>
                      <w:color w:val="000000"/>
                      <w:sz w:val="20"/>
                      <w:szCs w:val="20"/>
                    </w:rPr>
                  </w:pPr>
                  <w:r w:rsidRPr="00724BBB">
                    <w:rPr>
                      <w:color w:val="000000"/>
                      <w:sz w:val="20"/>
                      <w:szCs w:val="20"/>
                    </w:rPr>
                    <w:t>$4,190</w:t>
                  </w:r>
                </w:p>
              </w:tc>
            </w:tr>
            <w:tr w:rsidR="006903A5" w:rsidRPr="00724BBB" w14:paraId="123BD8B2" w14:textId="77777777">
              <w:trPr>
                <w:trHeight w:val="397"/>
              </w:trPr>
              <w:tc>
                <w:tcPr>
                  <w:tcW w:w="2009" w:type="pct"/>
                  <w:shd w:val="clear" w:color="auto" w:fill="F2F2F2" w:themeFill="background1" w:themeFillShade="F2"/>
                  <w:vAlign w:val="center"/>
                  <w:hideMark/>
                </w:tcPr>
                <w:p w14:paraId="243A90EA" w14:textId="77777777" w:rsidR="006903A5" w:rsidRPr="00724BBB" w:rsidRDefault="006903A5">
                  <w:pPr>
                    <w:spacing w:line="276" w:lineRule="auto"/>
                    <w:rPr>
                      <w:b/>
                      <w:bCs/>
                      <w:color w:val="000000"/>
                      <w:sz w:val="20"/>
                      <w:szCs w:val="20"/>
                    </w:rPr>
                  </w:pPr>
                  <w:r w:rsidRPr="00724BBB">
                    <w:rPr>
                      <w:b/>
                      <w:bCs/>
                      <w:color w:val="000000"/>
                      <w:sz w:val="20"/>
                      <w:szCs w:val="20"/>
                    </w:rPr>
                    <w:t>Total cost (affected others)</w:t>
                  </w:r>
                </w:p>
              </w:tc>
              <w:tc>
                <w:tcPr>
                  <w:tcW w:w="673" w:type="pct"/>
                  <w:shd w:val="clear" w:color="auto" w:fill="F2F2F2" w:themeFill="background1" w:themeFillShade="F2"/>
                  <w:noWrap/>
                  <w:vAlign w:val="center"/>
                  <w:hideMark/>
                </w:tcPr>
                <w:p w14:paraId="75D61A2D" w14:textId="77777777" w:rsidR="006903A5" w:rsidRPr="00724BBB" w:rsidRDefault="006903A5">
                  <w:pPr>
                    <w:spacing w:line="276" w:lineRule="auto"/>
                    <w:rPr>
                      <w:b/>
                      <w:bCs/>
                      <w:color w:val="000000"/>
                      <w:sz w:val="20"/>
                      <w:szCs w:val="20"/>
                    </w:rPr>
                  </w:pPr>
                  <w:r w:rsidRPr="00724BBB">
                    <w:rPr>
                      <w:b/>
                      <w:bCs/>
                      <w:color w:val="000000"/>
                      <w:sz w:val="20"/>
                      <w:szCs w:val="20"/>
                    </w:rPr>
                    <w:t>l = i x k</w:t>
                  </w:r>
                </w:p>
              </w:tc>
              <w:tc>
                <w:tcPr>
                  <w:tcW w:w="524" w:type="pct"/>
                  <w:shd w:val="clear" w:color="auto" w:fill="F2F2F2" w:themeFill="background1" w:themeFillShade="F2"/>
                  <w:noWrap/>
                  <w:vAlign w:val="center"/>
                  <w:hideMark/>
                </w:tcPr>
                <w:p w14:paraId="31B720E4" w14:textId="77777777" w:rsidR="006903A5" w:rsidRPr="00724BBB" w:rsidRDefault="006903A5">
                  <w:pPr>
                    <w:spacing w:line="276" w:lineRule="auto"/>
                    <w:jc w:val="right"/>
                    <w:rPr>
                      <w:b/>
                      <w:bCs/>
                      <w:color w:val="000000"/>
                      <w:sz w:val="20"/>
                      <w:szCs w:val="20"/>
                    </w:rPr>
                  </w:pPr>
                  <w:r w:rsidRPr="00724BBB">
                    <w:rPr>
                      <w:b/>
                      <w:bCs/>
                      <w:color w:val="000000"/>
                      <w:sz w:val="20"/>
                      <w:szCs w:val="20"/>
                    </w:rPr>
                    <w:t>$107.0M</w:t>
                  </w:r>
                </w:p>
              </w:tc>
              <w:tc>
                <w:tcPr>
                  <w:tcW w:w="523" w:type="pct"/>
                  <w:shd w:val="clear" w:color="auto" w:fill="F2F2F2" w:themeFill="background1" w:themeFillShade="F2"/>
                  <w:noWrap/>
                  <w:vAlign w:val="center"/>
                  <w:hideMark/>
                </w:tcPr>
                <w:p w14:paraId="59759DEC" w14:textId="77777777" w:rsidR="006903A5" w:rsidRPr="00724BBB" w:rsidRDefault="006903A5">
                  <w:pPr>
                    <w:spacing w:line="276" w:lineRule="auto"/>
                    <w:jc w:val="right"/>
                    <w:rPr>
                      <w:b/>
                      <w:bCs/>
                      <w:color w:val="000000"/>
                      <w:sz w:val="20"/>
                      <w:szCs w:val="20"/>
                    </w:rPr>
                  </w:pPr>
                  <w:r w:rsidRPr="00724BBB">
                    <w:rPr>
                      <w:b/>
                      <w:bCs/>
                      <w:color w:val="000000"/>
                      <w:sz w:val="20"/>
                      <w:szCs w:val="20"/>
                    </w:rPr>
                    <w:t>$124.2M</w:t>
                  </w:r>
                </w:p>
              </w:tc>
              <w:tc>
                <w:tcPr>
                  <w:tcW w:w="522" w:type="pct"/>
                  <w:shd w:val="clear" w:color="auto" w:fill="F2F2F2" w:themeFill="background1" w:themeFillShade="F2"/>
                  <w:noWrap/>
                  <w:vAlign w:val="center"/>
                  <w:hideMark/>
                </w:tcPr>
                <w:p w14:paraId="1038516F" w14:textId="77777777" w:rsidR="006903A5" w:rsidRPr="00724BBB" w:rsidRDefault="006903A5">
                  <w:pPr>
                    <w:spacing w:line="276" w:lineRule="auto"/>
                    <w:jc w:val="right"/>
                    <w:rPr>
                      <w:b/>
                      <w:bCs/>
                      <w:color w:val="000000"/>
                      <w:sz w:val="20"/>
                      <w:szCs w:val="20"/>
                    </w:rPr>
                  </w:pPr>
                  <w:r w:rsidRPr="00724BBB">
                    <w:rPr>
                      <w:b/>
                      <w:bCs/>
                      <w:color w:val="000000"/>
                      <w:sz w:val="20"/>
                      <w:szCs w:val="20"/>
                    </w:rPr>
                    <w:t>$102.3M</w:t>
                  </w:r>
                </w:p>
              </w:tc>
              <w:tc>
                <w:tcPr>
                  <w:tcW w:w="749" w:type="pct"/>
                  <w:shd w:val="clear" w:color="auto" w:fill="F2F2F2" w:themeFill="background1" w:themeFillShade="F2"/>
                  <w:noWrap/>
                  <w:vAlign w:val="center"/>
                  <w:hideMark/>
                </w:tcPr>
                <w:p w14:paraId="5B98DBF9" w14:textId="77777777" w:rsidR="006903A5" w:rsidRPr="00724BBB" w:rsidRDefault="006903A5">
                  <w:pPr>
                    <w:spacing w:line="276" w:lineRule="auto"/>
                    <w:jc w:val="right"/>
                    <w:rPr>
                      <w:b/>
                      <w:bCs/>
                      <w:color w:val="000000"/>
                      <w:sz w:val="20"/>
                      <w:szCs w:val="20"/>
                    </w:rPr>
                  </w:pPr>
                  <w:r w:rsidRPr="00724BBB">
                    <w:rPr>
                      <w:b/>
                      <w:bCs/>
                      <w:color w:val="000000"/>
                      <w:sz w:val="20"/>
                      <w:szCs w:val="20"/>
                    </w:rPr>
                    <w:t>$333,592,321</w:t>
                  </w:r>
                </w:p>
              </w:tc>
            </w:tr>
            <w:tr w:rsidR="006903A5" w:rsidRPr="00724BBB" w14:paraId="76F92B9F" w14:textId="77777777">
              <w:trPr>
                <w:trHeight w:val="397"/>
              </w:trPr>
              <w:tc>
                <w:tcPr>
                  <w:tcW w:w="2009" w:type="pct"/>
                  <w:shd w:val="clear" w:color="auto" w:fill="F2F2F2" w:themeFill="background1" w:themeFillShade="F2"/>
                  <w:noWrap/>
                  <w:vAlign w:val="center"/>
                  <w:hideMark/>
                </w:tcPr>
                <w:p w14:paraId="1CF4D419" w14:textId="77777777" w:rsidR="006903A5" w:rsidRPr="00724BBB" w:rsidRDefault="006903A5">
                  <w:pPr>
                    <w:spacing w:line="276" w:lineRule="auto"/>
                    <w:rPr>
                      <w:b/>
                      <w:bCs/>
                      <w:color w:val="000000"/>
                      <w:sz w:val="20"/>
                      <w:szCs w:val="20"/>
                    </w:rPr>
                  </w:pPr>
                  <w:r w:rsidRPr="00724BBB">
                    <w:rPr>
                      <w:b/>
                      <w:bCs/>
                      <w:color w:val="000000"/>
                      <w:sz w:val="20"/>
                      <w:szCs w:val="20"/>
                    </w:rPr>
                    <w:t>Total cost of productivity loss</w:t>
                  </w:r>
                </w:p>
              </w:tc>
              <w:tc>
                <w:tcPr>
                  <w:tcW w:w="673" w:type="pct"/>
                  <w:shd w:val="clear" w:color="auto" w:fill="F2F2F2" w:themeFill="background1" w:themeFillShade="F2"/>
                  <w:noWrap/>
                  <w:vAlign w:val="center"/>
                  <w:hideMark/>
                </w:tcPr>
                <w:p w14:paraId="777975BB" w14:textId="77777777" w:rsidR="006903A5" w:rsidRPr="00724BBB" w:rsidRDefault="006903A5">
                  <w:pPr>
                    <w:spacing w:line="276" w:lineRule="auto"/>
                    <w:rPr>
                      <w:color w:val="000000"/>
                      <w:sz w:val="20"/>
                      <w:szCs w:val="20"/>
                    </w:rPr>
                  </w:pPr>
                  <w:r w:rsidRPr="00724BBB">
                    <w:rPr>
                      <w:color w:val="000000"/>
                      <w:sz w:val="20"/>
                      <w:szCs w:val="20"/>
                    </w:rPr>
                    <w:t>m = e + l</w:t>
                  </w:r>
                </w:p>
              </w:tc>
              <w:tc>
                <w:tcPr>
                  <w:tcW w:w="524" w:type="pct"/>
                  <w:shd w:val="clear" w:color="auto" w:fill="F2F2F2" w:themeFill="background1" w:themeFillShade="F2"/>
                  <w:noWrap/>
                  <w:vAlign w:val="center"/>
                  <w:hideMark/>
                </w:tcPr>
                <w:p w14:paraId="09A67F0C" w14:textId="77777777" w:rsidR="006903A5" w:rsidRPr="00724BBB" w:rsidRDefault="006903A5">
                  <w:pPr>
                    <w:spacing w:line="276" w:lineRule="auto"/>
                    <w:jc w:val="right"/>
                    <w:rPr>
                      <w:b/>
                      <w:bCs/>
                      <w:color w:val="000000"/>
                      <w:sz w:val="20"/>
                      <w:szCs w:val="20"/>
                    </w:rPr>
                  </w:pPr>
                  <w:r w:rsidRPr="00724BBB">
                    <w:rPr>
                      <w:b/>
                      <w:bCs/>
                      <w:color w:val="000000"/>
                      <w:sz w:val="20"/>
                      <w:szCs w:val="20"/>
                    </w:rPr>
                    <w:t> </w:t>
                  </w:r>
                </w:p>
              </w:tc>
              <w:tc>
                <w:tcPr>
                  <w:tcW w:w="523" w:type="pct"/>
                  <w:shd w:val="clear" w:color="auto" w:fill="F2F2F2" w:themeFill="background1" w:themeFillShade="F2"/>
                  <w:noWrap/>
                  <w:vAlign w:val="center"/>
                  <w:hideMark/>
                </w:tcPr>
                <w:p w14:paraId="5364A96E" w14:textId="77777777" w:rsidR="006903A5" w:rsidRPr="00724BBB" w:rsidRDefault="006903A5">
                  <w:pPr>
                    <w:spacing w:line="276" w:lineRule="auto"/>
                    <w:jc w:val="right"/>
                    <w:rPr>
                      <w:b/>
                      <w:bCs/>
                      <w:color w:val="000000"/>
                      <w:sz w:val="20"/>
                      <w:szCs w:val="20"/>
                    </w:rPr>
                  </w:pPr>
                  <w:r w:rsidRPr="00724BBB">
                    <w:rPr>
                      <w:b/>
                      <w:bCs/>
                      <w:color w:val="000000"/>
                      <w:sz w:val="20"/>
                      <w:szCs w:val="20"/>
                    </w:rPr>
                    <w:t> </w:t>
                  </w:r>
                </w:p>
              </w:tc>
              <w:tc>
                <w:tcPr>
                  <w:tcW w:w="522" w:type="pct"/>
                  <w:shd w:val="clear" w:color="auto" w:fill="F2F2F2" w:themeFill="background1" w:themeFillShade="F2"/>
                  <w:noWrap/>
                  <w:vAlign w:val="center"/>
                  <w:hideMark/>
                </w:tcPr>
                <w:p w14:paraId="57C4B208" w14:textId="77777777" w:rsidR="006903A5" w:rsidRPr="00724BBB" w:rsidRDefault="006903A5">
                  <w:pPr>
                    <w:spacing w:line="276" w:lineRule="auto"/>
                    <w:jc w:val="right"/>
                    <w:rPr>
                      <w:b/>
                      <w:bCs/>
                      <w:color w:val="000000"/>
                      <w:sz w:val="20"/>
                      <w:szCs w:val="20"/>
                    </w:rPr>
                  </w:pPr>
                  <w:r w:rsidRPr="00724BBB">
                    <w:rPr>
                      <w:b/>
                      <w:bCs/>
                      <w:color w:val="000000"/>
                      <w:sz w:val="20"/>
                      <w:szCs w:val="20"/>
                    </w:rPr>
                    <w:t> </w:t>
                  </w:r>
                </w:p>
              </w:tc>
              <w:tc>
                <w:tcPr>
                  <w:tcW w:w="749" w:type="pct"/>
                  <w:shd w:val="clear" w:color="auto" w:fill="F2F2F2" w:themeFill="background1" w:themeFillShade="F2"/>
                  <w:noWrap/>
                  <w:vAlign w:val="center"/>
                  <w:hideMark/>
                </w:tcPr>
                <w:p w14:paraId="2FEECB47" w14:textId="77777777" w:rsidR="006903A5" w:rsidRPr="00724BBB" w:rsidRDefault="006903A5">
                  <w:pPr>
                    <w:spacing w:line="276" w:lineRule="auto"/>
                    <w:jc w:val="right"/>
                    <w:rPr>
                      <w:b/>
                      <w:bCs/>
                      <w:color w:val="000000"/>
                      <w:sz w:val="20"/>
                      <w:szCs w:val="20"/>
                    </w:rPr>
                  </w:pPr>
                  <w:r w:rsidRPr="00724BBB">
                    <w:rPr>
                      <w:b/>
                      <w:bCs/>
                      <w:color w:val="000000"/>
                      <w:sz w:val="20"/>
                      <w:szCs w:val="20"/>
                    </w:rPr>
                    <w:t>$588,141,444</w:t>
                  </w:r>
                </w:p>
              </w:tc>
            </w:tr>
            <w:tr w:rsidR="006903A5" w:rsidRPr="00724BBB" w14:paraId="0547BC9C" w14:textId="77777777">
              <w:trPr>
                <w:trHeight w:val="397"/>
              </w:trPr>
              <w:tc>
                <w:tcPr>
                  <w:tcW w:w="4251" w:type="pct"/>
                  <w:gridSpan w:val="5"/>
                  <w:vAlign w:val="center"/>
                  <w:hideMark/>
                </w:tcPr>
                <w:p w14:paraId="500B61E1" w14:textId="77777777" w:rsidR="006903A5" w:rsidRPr="00724BBB" w:rsidRDefault="006903A5">
                  <w:pPr>
                    <w:spacing w:line="276" w:lineRule="auto"/>
                    <w:rPr>
                      <w:color w:val="000000"/>
                      <w:sz w:val="20"/>
                      <w:szCs w:val="20"/>
                    </w:rPr>
                  </w:pPr>
                  <w:r w:rsidRPr="00724BBB">
                    <w:rPr>
                      <w:color w:val="000000"/>
                      <w:sz w:val="20"/>
                      <w:szCs w:val="20"/>
                    </w:rPr>
                    <w:t>Lower bound</w:t>
                  </w:r>
                </w:p>
              </w:tc>
              <w:tc>
                <w:tcPr>
                  <w:tcW w:w="749" w:type="pct"/>
                  <w:vAlign w:val="center"/>
                  <w:hideMark/>
                </w:tcPr>
                <w:p w14:paraId="5FB6DCF6" w14:textId="77777777" w:rsidR="006903A5" w:rsidRPr="00724BBB" w:rsidRDefault="006903A5">
                  <w:pPr>
                    <w:spacing w:line="276" w:lineRule="auto"/>
                    <w:jc w:val="right"/>
                    <w:rPr>
                      <w:color w:val="000000"/>
                      <w:sz w:val="20"/>
                      <w:szCs w:val="20"/>
                    </w:rPr>
                  </w:pPr>
                  <w:r w:rsidRPr="00724BBB">
                    <w:rPr>
                      <w:color w:val="000000"/>
                      <w:sz w:val="20"/>
                      <w:szCs w:val="20"/>
                    </w:rPr>
                    <w:t>$356,894,230</w:t>
                  </w:r>
                </w:p>
              </w:tc>
            </w:tr>
            <w:tr w:rsidR="006903A5" w:rsidRPr="00724BBB" w14:paraId="46D2085F" w14:textId="77777777">
              <w:trPr>
                <w:trHeight w:val="397"/>
              </w:trPr>
              <w:tc>
                <w:tcPr>
                  <w:tcW w:w="4251" w:type="pct"/>
                  <w:gridSpan w:val="5"/>
                  <w:vAlign w:val="center"/>
                  <w:hideMark/>
                </w:tcPr>
                <w:p w14:paraId="2C1B6E16" w14:textId="77777777" w:rsidR="006903A5" w:rsidRPr="00724BBB" w:rsidRDefault="006903A5">
                  <w:pPr>
                    <w:spacing w:line="276" w:lineRule="auto"/>
                    <w:rPr>
                      <w:color w:val="000000"/>
                      <w:sz w:val="20"/>
                      <w:szCs w:val="20"/>
                    </w:rPr>
                  </w:pPr>
                  <w:r w:rsidRPr="00724BBB">
                    <w:rPr>
                      <w:color w:val="000000"/>
                      <w:sz w:val="20"/>
                      <w:szCs w:val="20"/>
                    </w:rPr>
                    <w:t>Upper bound</w:t>
                  </w:r>
                </w:p>
              </w:tc>
              <w:tc>
                <w:tcPr>
                  <w:tcW w:w="749" w:type="pct"/>
                  <w:vAlign w:val="center"/>
                  <w:hideMark/>
                </w:tcPr>
                <w:p w14:paraId="335B0B6C" w14:textId="77777777" w:rsidR="006903A5" w:rsidRPr="00724BBB" w:rsidRDefault="006903A5">
                  <w:pPr>
                    <w:spacing w:line="276" w:lineRule="auto"/>
                    <w:jc w:val="right"/>
                    <w:rPr>
                      <w:color w:val="000000"/>
                      <w:sz w:val="20"/>
                      <w:szCs w:val="20"/>
                    </w:rPr>
                  </w:pPr>
                  <w:r w:rsidRPr="00724BBB">
                    <w:rPr>
                      <w:color w:val="000000"/>
                      <w:sz w:val="20"/>
                      <w:szCs w:val="20"/>
                    </w:rPr>
                    <w:t>$690,486,551</w:t>
                  </w:r>
                </w:p>
              </w:tc>
            </w:tr>
            <w:tr w:rsidR="006903A5" w:rsidRPr="00724BBB" w14:paraId="1EF9925B" w14:textId="77777777">
              <w:trPr>
                <w:trHeight w:val="397"/>
              </w:trPr>
              <w:tc>
                <w:tcPr>
                  <w:tcW w:w="5000" w:type="pct"/>
                  <w:gridSpan w:val="6"/>
                  <w:noWrap/>
                  <w:vAlign w:val="center"/>
                  <w:hideMark/>
                </w:tcPr>
                <w:p w14:paraId="02981210" w14:textId="77777777" w:rsidR="006903A5" w:rsidRPr="00724BBB" w:rsidRDefault="006903A5">
                  <w:pPr>
                    <w:spacing w:line="276" w:lineRule="auto"/>
                    <w:rPr>
                      <w:i/>
                      <w:iCs/>
                      <w:color w:val="242424"/>
                      <w:sz w:val="20"/>
                      <w:szCs w:val="20"/>
                    </w:rPr>
                  </w:pPr>
                  <w:r w:rsidRPr="00724BBB">
                    <w:rPr>
                      <w:i/>
                      <w:iCs/>
                      <w:color w:val="242424"/>
                      <w:sz w:val="20"/>
                      <w:szCs w:val="20"/>
                    </w:rPr>
                    <w:t xml:space="preserve">Note: </w:t>
                  </w:r>
                  <w:r w:rsidRPr="00724BBB">
                    <w:rPr>
                      <w:i/>
                      <w:iCs/>
                      <w:sz w:val="20"/>
                      <w:szCs w:val="20"/>
                    </w:rPr>
                    <w:t xml:space="preserve">LR (low-risk gambling), MR (moderate-risk gambling), and problem gambling. </w:t>
                  </w:r>
                  <w:r w:rsidRPr="00724BBB">
                    <w:rPr>
                      <w:i/>
                      <w:iCs/>
                      <w:color w:val="242424"/>
                      <w:sz w:val="20"/>
                      <w:szCs w:val="20"/>
                    </w:rPr>
                    <w:t>Totals may not match exactly due to rounding. Calculations are based on the original unrounded figures to ensure accuracy.</w:t>
                  </w:r>
                </w:p>
              </w:tc>
            </w:tr>
          </w:tbl>
          <w:p w14:paraId="67707CC8" w14:textId="77777777" w:rsidR="006903A5" w:rsidRPr="00D850CC" w:rsidRDefault="006903A5">
            <w:pPr>
              <w:spacing w:line="276" w:lineRule="auto"/>
              <w:rPr>
                <w:b/>
                <w:sz w:val="18"/>
                <w:szCs w:val="18"/>
              </w:rPr>
            </w:pPr>
          </w:p>
        </w:tc>
      </w:tr>
    </w:tbl>
    <w:p w14:paraId="48072D55" w14:textId="77777777" w:rsidR="00DB689D" w:rsidRPr="006903A5" w:rsidRDefault="00310A10" w:rsidP="00C30E1A">
      <w:pPr>
        <w:pStyle w:val="Heading3"/>
      </w:pPr>
      <w:bookmarkStart w:id="466" w:name="_n5s634e3qi7j" w:colFirst="0" w:colLast="0"/>
      <w:bookmarkStart w:id="467" w:name="_Toc201572466"/>
      <w:bookmarkStart w:id="468" w:name="_Toc207195984"/>
      <w:bookmarkEnd w:id="466"/>
      <w:r>
        <w:t>Cost of absenteeism</w:t>
      </w:r>
      <w:bookmarkEnd w:id="467"/>
      <w:bookmarkEnd w:id="468"/>
      <w:r>
        <w:t xml:space="preserve"> </w:t>
      </w:r>
    </w:p>
    <w:p w14:paraId="2DF1E7BD" w14:textId="3B497C55" w:rsidR="00DB689D" w:rsidRDefault="00310A10" w:rsidP="00A0657F">
      <w:pPr>
        <w:spacing w:line="360" w:lineRule="auto"/>
      </w:pPr>
      <w:r>
        <w:t xml:space="preserve">Absenteeism from work or study may result from gambling due to factors such as time spent gambling, fatigue, or gambling-related physical or mental health issues </w:t>
      </w:r>
      <w:r w:rsidR="00DB2449">
        <w:rPr>
          <w:noProof/>
          <w:color w:val="000000"/>
        </w:rPr>
        <w:t>(Browne et al., 2016)</w:t>
      </w:r>
      <w:r>
        <w:t>. Unlike productivity loss, which reflects reduced performance while present at work or study, absenteeism refers to time entirely missed, leading to distinct economic consequences. Affected others were not separately included in the absenteeism costing, as their work impacts were deemed to be captured within the broader productivity loss estimates where supporting data was available.</w:t>
      </w:r>
      <w:r w:rsidR="00724BBB">
        <w:br/>
      </w:r>
    </w:p>
    <w:tbl>
      <w:tblPr>
        <w:tblStyle w:val="af1"/>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B689D" w14:paraId="407BB00E" w14:textId="77777777">
        <w:tc>
          <w:tcPr>
            <w:tcW w:w="9026" w:type="dxa"/>
            <w:shd w:val="clear" w:color="auto" w:fill="F3F3F3"/>
            <w:tcMar>
              <w:top w:w="100" w:type="dxa"/>
              <w:left w:w="100" w:type="dxa"/>
              <w:bottom w:w="100" w:type="dxa"/>
              <w:right w:w="100" w:type="dxa"/>
            </w:tcMar>
          </w:tcPr>
          <w:p w14:paraId="34541301" w14:textId="77777777" w:rsidR="00DB689D" w:rsidRDefault="00310A10" w:rsidP="00843927">
            <w:pPr>
              <w:spacing w:before="120" w:after="240" w:line="276" w:lineRule="auto"/>
            </w:pPr>
            <w:r>
              <w:t xml:space="preserve">The economic impact of absenteeism due to gambling problem was calculated using: </w:t>
            </w:r>
          </w:p>
          <w:p w14:paraId="1869E2EF" w14:textId="77777777" w:rsidR="00DB689D" w:rsidRDefault="00310A10" w:rsidP="00843927">
            <w:pPr>
              <w:spacing w:before="120" w:after="120" w:line="276" w:lineRule="auto"/>
              <w:ind w:right="280"/>
              <w:rPr>
                <w:i/>
              </w:rPr>
            </w:pPr>
            <w:r>
              <w:rPr>
                <w:i/>
              </w:rPr>
              <w:t xml:space="preserve">Prevalence </w:t>
            </w:r>
          </w:p>
          <w:p w14:paraId="3133AEEF" w14:textId="46E57773" w:rsidR="00DB689D" w:rsidRDefault="00310A10" w:rsidP="00843927">
            <w:pPr>
              <w:numPr>
                <w:ilvl w:val="0"/>
                <w:numId w:val="42"/>
              </w:numPr>
              <w:spacing w:before="120" w:line="276" w:lineRule="auto"/>
              <w:ind w:right="280"/>
            </w:pPr>
            <w:r>
              <w:t xml:space="preserve">The prevalence of absenteeism due to gambling was drawn from </w:t>
            </w:r>
            <w:r>
              <w:rPr>
                <w:i/>
              </w:rPr>
              <w:t>Measuring the Burden of Gambling Harm in New Zealand</w:t>
            </w:r>
            <w:r>
              <w:t xml:space="preserve"> </w:t>
            </w:r>
            <w:r w:rsidR="00DB2449">
              <w:rPr>
                <w:noProof/>
                <w:color w:val="000000"/>
              </w:rPr>
              <w:t>(</w:t>
            </w:r>
            <w:r w:rsidR="002A3095">
              <w:rPr>
                <w:noProof/>
                <w:color w:val="000000"/>
              </w:rPr>
              <w:t>Browne, Greer et al., 2017</w:t>
            </w:r>
            <w:r w:rsidR="00DB2449">
              <w:rPr>
                <w:noProof/>
                <w:color w:val="000000"/>
              </w:rPr>
              <w:t>)</w:t>
            </w:r>
            <w:r>
              <w:t xml:space="preserve">. </w:t>
            </w:r>
          </w:p>
          <w:p w14:paraId="26CAE4F0" w14:textId="77777777" w:rsidR="00DB689D" w:rsidRDefault="00310A10" w:rsidP="00843927">
            <w:pPr>
              <w:numPr>
                <w:ilvl w:val="0"/>
                <w:numId w:val="42"/>
              </w:numPr>
              <w:spacing w:line="276" w:lineRule="auto"/>
              <w:ind w:right="280"/>
            </w:pPr>
            <w:r>
              <w:t xml:space="preserve">These estimates were applied to the New Zealand population in each PGSI category (NZGS, 2023) to identify the total number of New Zealanders who reported being absent from work due to their gambling. </w:t>
            </w:r>
          </w:p>
          <w:p w14:paraId="50BD840F" w14:textId="468978EC" w:rsidR="00DB689D" w:rsidRDefault="00310A10" w:rsidP="00843927">
            <w:pPr>
              <w:numPr>
                <w:ilvl w:val="0"/>
                <w:numId w:val="42"/>
              </w:numPr>
              <w:spacing w:after="120" w:line="276" w:lineRule="auto"/>
              <w:ind w:right="280"/>
            </w:pPr>
            <w:r>
              <w:t xml:space="preserve">A 20% causality discount was applied as per the Australian Productivity Commission </w:t>
            </w:r>
            <w:r w:rsidR="0097369F">
              <w:rPr>
                <w:noProof/>
                <w:color w:val="000000"/>
              </w:rPr>
              <w:t>(1999)</w:t>
            </w:r>
            <w:r>
              <w:t xml:space="preserve">. </w:t>
            </w:r>
          </w:p>
          <w:p w14:paraId="1180081F" w14:textId="77777777" w:rsidR="00DB689D" w:rsidRDefault="00310A10" w:rsidP="00843927">
            <w:pPr>
              <w:spacing w:before="120" w:after="120" w:line="276" w:lineRule="auto"/>
              <w:ind w:right="280"/>
            </w:pPr>
            <w:r>
              <w:rPr>
                <w:i/>
              </w:rPr>
              <w:t xml:space="preserve">Cost of absenteeism </w:t>
            </w:r>
            <w:r>
              <w:t xml:space="preserve"> </w:t>
            </w:r>
          </w:p>
          <w:p w14:paraId="77C44A7A" w14:textId="0CDC1A9E" w:rsidR="00DB689D" w:rsidRDefault="00310A10" w:rsidP="00843927">
            <w:pPr>
              <w:numPr>
                <w:ilvl w:val="0"/>
                <w:numId w:val="42"/>
              </w:numPr>
              <w:spacing w:before="120" w:line="276" w:lineRule="auto"/>
              <w:ind w:right="280"/>
            </w:pPr>
            <w:r>
              <w:t xml:space="preserve">The median cost of absenteeism per employee per year was drawn from relevant New Zealand employment data sources and estimated at $1,235 </w:t>
            </w:r>
            <w:r w:rsidR="00DB2449">
              <w:rPr>
                <w:noProof/>
                <w:color w:val="000000"/>
              </w:rPr>
              <w:t>(Southern Cross Health Insurance &amp; BusinessNZ, 2023)</w:t>
            </w:r>
            <w:r>
              <w:t>. This reflects lost productivity losses and other costs to employers when workers are absent.</w:t>
            </w:r>
          </w:p>
          <w:p w14:paraId="406A1385" w14:textId="77777777" w:rsidR="00DB689D" w:rsidRDefault="00310A10" w:rsidP="00843927">
            <w:pPr>
              <w:numPr>
                <w:ilvl w:val="0"/>
                <w:numId w:val="42"/>
              </w:numPr>
              <w:spacing w:after="120" w:line="276" w:lineRule="auto"/>
              <w:ind w:right="280"/>
            </w:pPr>
            <w:r>
              <w:t>The number of people estimated to be absent due to gambling was multiplied by the median annual cost of absenteeism per person to estimate the total cost to business.</w:t>
            </w:r>
          </w:p>
        </w:tc>
      </w:tr>
    </w:tbl>
    <w:p w14:paraId="641DE1A6" w14:textId="77777777" w:rsidR="00DB689D" w:rsidRDefault="00DB689D" w:rsidP="00367A8D">
      <w:pPr>
        <w:spacing w:line="360" w:lineRule="auto"/>
        <w:rPr>
          <w:b/>
        </w:rPr>
      </w:pPr>
    </w:p>
    <w:p w14:paraId="696691F7" w14:textId="2BDA21D1" w:rsidR="00DB689D" w:rsidRDefault="00310A10" w:rsidP="00367A8D">
      <w:pPr>
        <w:spacing w:before="120" w:after="240" w:line="360" w:lineRule="auto"/>
      </w:pPr>
      <w:r>
        <w:t>T</w:t>
      </w:r>
      <w:r>
        <w:rPr>
          <w:b/>
        </w:rPr>
        <w:t>he estimated cost associated with gambling-related absenteeism to business in New Zealand is around $19.8 million (</w:t>
      </w:r>
      <w:r w:rsidRPr="006903A5">
        <w:rPr>
          <w:b/>
        </w:rPr>
        <w:t>Table 2</w:t>
      </w:r>
      <w:r w:rsidR="001D7B0D">
        <w:rPr>
          <w:b/>
        </w:rPr>
        <w:t>5</w:t>
      </w:r>
      <w:r>
        <w:rPr>
          <w:b/>
        </w:rPr>
        <w:t>)</w:t>
      </w:r>
      <w:r w:rsidRPr="006903A5">
        <w:rPr>
          <w:b/>
        </w:rPr>
        <w:t>.</w:t>
      </w:r>
      <w:r>
        <w:t xml:space="preserve"> </w:t>
      </w:r>
    </w:p>
    <w:p w14:paraId="1AF8A502" w14:textId="0D338D4B" w:rsidR="00DB689D" w:rsidRPr="005D6CDF" w:rsidRDefault="00310A10" w:rsidP="005D6CDF">
      <w:pPr>
        <w:spacing w:line="360" w:lineRule="auto"/>
        <w:rPr>
          <w:b/>
        </w:rPr>
      </w:pPr>
      <w:r>
        <w:t>To account for uncertainty, upper and lower bounds were calculated</w:t>
      </w:r>
      <w:r w:rsidR="005D6CDF">
        <w:t xml:space="preserve">. </w:t>
      </w:r>
      <w:r>
        <w:t xml:space="preserve">The lower bound applied a cost per employee of $1,000, reflecting average absenteeism costs in larger businesses (50+ staff) </w:t>
      </w:r>
      <w:r w:rsidR="0038398B">
        <w:rPr>
          <w:noProof/>
          <w:color w:val="000000"/>
        </w:rPr>
        <w:t>(Southern Cross Health Insurance &amp; BusinessNZ, 2023)</w:t>
      </w:r>
      <w:r>
        <w:t>.</w:t>
      </w:r>
      <w:r w:rsidR="005D6CDF">
        <w:t xml:space="preserve"> </w:t>
      </w:r>
      <w:r>
        <w:t xml:space="preserve">The upper bound used a cost of $1,487 per employee, consistent with estimates for smaller businesses (fewer than 50 staff) </w:t>
      </w:r>
      <w:r w:rsidR="0038398B">
        <w:rPr>
          <w:noProof/>
          <w:color w:val="000000"/>
        </w:rPr>
        <w:t>(Southern Cross Health Insurance &amp; BusinessNZ, 2023)</w:t>
      </w:r>
      <w:r>
        <w:t>, where absences can have a more pronounced operational impact.</w:t>
      </w:r>
      <w:r w:rsidR="005D6CDF">
        <w:t xml:space="preserve"> </w:t>
      </w:r>
      <w:r>
        <w:t>Therefore, the estimated cost of gambling-related absenteeism to business in New Zealand ranges from $16.1 million to $23.8 million.</w:t>
      </w:r>
      <w:r w:rsidR="00724BBB">
        <w:br/>
      </w:r>
    </w:p>
    <w:tbl>
      <w:tblPr>
        <w:tblW w:w="9716" w:type="dxa"/>
        <w:tblBorders>
          <w:top w:val="nil"/>
          <w:left w:val="nil"/>
          <w:bottom w:val="nil"/>
          <w:right w:val="nil"/>
          <w:insideH w:val="nil"/>
          <w:insideV w:val="nil"/>
        </w:tblBorders>
        <w:tblLayout w:type="fixed"/>
        <w:tblLook w:val="0600" w:firstRow="0" w:lastRow="0" w:firstColumn="0" w:lastColumn="0" w:noHBand="1" w:noVBand="1"/>
      </w:tblPr>
      <w:tblGrid>
        <w:gridCol w:w="9716"/>
      </w:tblGrid>
      <w:tr w:rsidR="006903A5" w:rsidRPr="00A447F9" w14:paraId="177651B5" w14:textId="77777777">
        <w:trPr>
          <w:trHeight w:val="520"/>
        </w:trPr>
        <w:tc>
          <w:tcPr>
            <w:tcW w:w="9716" w:type="dxa"/>
            <w:tcBorders>
              <w:top w:val="nil"/>
              <w:left w:val="nil"/>
              <w:bottom w:val="nil"/>
              <w:right w:val="nil"/>
            </w:tcBorders>
            <w:tcMar>
              <w:top w:w="20" w:type="dxa"/>
              <w:left w:w="20" w:type="dxa"/>
              <w:bottom w:w="100" w:type="dxa"/>
              <w:right w:w="20" w:type="dxa"/>
            </w:tcMar>
            <w:vAlign w:val="bottom"/>
          </w:tcPr>
          <w:p w14:paraId="1BAC249B" w14:textId="01BE3D4E" w:rsidR="006903A5" w:rsidRPr="00A447F9" w:rsidRDefault="006903A5" w:rsidP="00DB094D">
            <w:pPr>
              <w:pStyle w:val="Caption"/>
            </w:pPr>
            <w:bookmarkStart w:id="469" w:name="_4mg7pi97vpot" w:colFirst="0" w:colLast="0"/>
            <w:bookmarkStart w:id="470" w:name="_Toc207619067"/>
            <w:bookmarkEnd w:id="469"/>
            <w:r w:rsidRPr="00A447F9">
              <w:t xml:space="preserve">Table </w:t>
            </w:r>
            <w:r w:rsidRPr="00A447F9">
              <w:fldChar w:fldCharType="begin"/>
            </w:r>
            <w:r w:rsidRPr="00A447F9">
              <w:instrText xml:space="preserve"> SEQ Table \* ARABIC </w:instrText>
            </w:r>
            <w:r w:rsidRPr="00A447F9">
              <w:fldChar w:fldCharType="separate"/>
            </w:r>
            <w:r w:rsidR="00986A0D">
              <w:rPr>
                <w:noProof/>
              </w:rPr>
              <w:t>25</w:t>
            </w:r>
            <w:r w:rsidRPr="00A447F9">
              <w:fldChar w:fldCharType="end"/>
            </w:r>
            <w:r w:rsidRPr="00A447F9">
              <w:t>. Cost of absenteeism due to gambling problems in New Zealand (2023-24)</w:t>
            </w:r>
            <w:bookmarkEnd w:id="470"/>
          </w:p>
          <w:tbl>
            <w:tblPr>
              <w:tblStyle w:val="TableGridLight"/>
              <w:tblW w:w="9618" w:type="dxa"/>
              <w:tblInd w:w="9" w:type="dxa"/>
              <w:tblLayout w:type="fixed"/>
              <w:tblLook w:val="04A0" w:firstRow="1" w:lastRow="0" w:firstColumn="1" w:lastColumn="0" w:noHBand="0" w:noVBand="1"/>
            </w:tblPr>
            <w:tblGrid>
              <w:gridCol w:w="3941"/>
              <w:gridCol w:w="1277"/>
              <w:gridCol w:w="1135"/>
              <w:gridCol w:w="989"/>
              <w:gridCol w:w="995"/>
              <w:gridCol w:w="1273"/>
              <w:gridCol w:w="8"/>
            </w:tblGrid>
            <w:tr w:rsidR="006903A5" w:rsidRPr="00724BBB" w14:paraId="23817901" w14:textId="77777777">
              <w:trPr>
                <w:gridAfter w:val="1"/>
                <w:wAfter w:w="4" w:type="pct"/>
                <w:trHeight w:val="397"/>
              </w:trPr>
              <w:tc>
                <w:tcPr>
                  <w:tcW w:w="2049" w:type="pct"/>
                  <w:shd w:val="clear" w:color="auto" w:fill="F2F2F2" w:themeFill="background1" w:themeFillShade="F2"/>
                  <w:vAlign w:val="center"/>
                  <w:hideMark/>
                </w:tcPr>
                <w:p w14:paraId="36051B09" w14:textId="77777777" w:rsidR="006903A5" w:rsidRPr="00724BBB" w:rsidRDefault="006903A5">
                  <w:pPr>
                    <w:spacing w:line="276" w:lineRule="auto"/>
                    <w:rPr>
                      <w:b/>
                      <w:bCs/>
                      <w:color w:val="000000"/>
                      <w:sz w:val="20"/>
                      <w:szCs w:val="20"/>
                    </w:rPr>
                  </w:pPr>
                  <w:r w:rsidRPr="00724BBB">
                    <w:rPr>
                      <w:b/>
                      <w:bCs/>
                      <w:color w:val="000000"/>
                      <w:sz w:val="20"/>
                      <w:szCs w:val="20"/>
                    </w:rPr>
                    <w:t>Variable</w:t>
                  </w:r>
                </w:p>
              </w:tc>
              <w:tc>
                <w:tcPr>
                  <w:tcW w:w="664" w:type="pct"/>
                  <w:shd w:val="clear" w:color="auto" w:fill="F2F2F2" w:themeFill="background1" w:themeFillShade="F2"/>
                  <w:vAlign w:val="center"/>
                  <w:hideMark/>
                </w:tcPr>
                <w:p w14:paraId="7CEB021B" w14:textId="77777777" w:rsidR="006903A5" w:rsidRPr="00724BBB" w:rsidRDefault="006903A5">
                  <w:pPr>
                    <w:spacing w:line="276" w:lineRule="auto"/>
                    <w:jc w:val="center"/>
                    <w:rPr>
                      <w:b/>
                      <w:bCs/>
                      <w:color w:val="000000"/>
                      <w:sz w:val="20"/>
                      <w:szCs w:val="20"/>
                    </w:rPr>
                  </w:pPr>
                  <w:r w:rsidRPr="00724BBB">
                    <w:rPr>
                      <w:b/>
                      <w:bCs/>
                      <w:color w:val="000000"/>
                      <w:sz w:val="20"/>
                      <w:szCs w:val="20"/>
                    </w:rPr>
                    <w:t>Calculation</w:t>
                  </w:r>
                </w:p>
              </w:tc>
              <w:tc>
                <w:tcPr>
                  <w:tcW w:w="590" w:type="pct"/>
                  <w:shd w:val="clear" w:color="auto" w:fill="F2F2F2" w:themeFill="background1" w:themeFillShade="F2"/>
                  <w:vAlign w:val="center"/>
                  <w:hideMark/>
                </w:tcPr>
                <w:p w14:paraId="5EBCBDD8" w14:textId="77777777" w:rsidR="006903A5" w:rsidRPr="00724BBB" w:rsidRDefault="006903A5">
                  <w:pPr>
                    <w:spacing w:line="276" w:lineRule="auto"/>
                    <w:jc w:val="center"/>
                    <w:rPr>
                      <w:b/>
                      <w:bCs/>
                      <w:color w:val="000000"/>
                      <w:sz w:val="20"/>
                      <w:szCs w:val="20"/>
                    </w:rPr>
                  </w:pPr>
                  <w:r w:rsidRPr="00724BBB">
                    <w:rPr>
                      <w:b/>
                      <w:bCs/>
                      <w:color w:val="000000"/>
                      <w:sz w:val="20"/>
                      <w:szCs w:val="20"/>
                    </w:rPr>
                    <w:t>LR</w:t>
                  </w:r>
                </w:p>
              </w:tc>
              <w:tc>
                <w:tcPr>
                  <w:tcW w:w="514" w:type="pct"/>
                  <w:shd w:val="clear" w:color="auto" w:fill="F2F2F2" w:themeFill="background1" w:themeFillShade="F2"/>
                  <w:vAlign w:val="center"/>
                  <w:hideMark/>
                </w:tcPr>
                <w:p w14:paraId="09CBE0DD" w14:textId="77777777" w:rsidR="006903A5" w:rsidRPr="00724BBB" w:rsidRDefault="006903A5">
                  <w:pPr>
                    <w:spacing w:line="276" w:lineRule="auto"/>
                    <w:jc w:val="center"/>
                    <w:rPr>
                      <w:b/>
                      <w:bCs/>
                      <w:color w:val="000000"/>
                      <w:sz w:val="20"/>
                      <w:szCs w:val="20"/>
                    </w:rPr>
                  </w:pPr>
                  <w:r w:rsidRPr="00724BBB">
                    <w:rPr>
                      <w:b/>
                      <w:bCs/>
                      <w:color w:val="000000"/>
                      <w:sz w:val="20"/>
                      <w:szCs w:val="20"/>
                    </w:rPr>
                    <w:t>MR</w:t>
                  </w:r>
                </w:p>
              </w:tc>
              <w:tc>
                <w:tcPr>
                  <w:tcW w:w="517" w:type="pct"/>
                  <w:shd w:val="clear" w:color="auto" w:fill="F2F2F2" w:themeFill="background1" w:themeFillShade="F2"/>
                  <w:vAlign w:val="center"/>
                  <w:hideMark/>
                </w:tcPr>
                <w:p w14:paraId="6D7E2625" w14:textId="77777777" w:rsidR="006903A5" w:rsidRPr="00724BBB" w:rsidRDefault="006903A5">
                  <w:pPr>
                    <w:spacing w:line="276" w:lineRule="auto"/>
                    <w:jc w:val="center"/>
                    <w:rPr>
                      <w:b/>
                      <w:bCs/>
                      <w:color w:val="000000"/>
                      <w:sz w:val="20"/>
                      <w:szCs w:val="20"/>
                    </w:rPr>
                  </w:pPr>
                  <w:r w:rsidRPr="00724BBB">
                    <w:rPr>
                      <w:b/>
                      <w:bCs/>
                      <w:color w:val="000000"/>
                      <w:sz w:val="20"/>
                      <w:szCs w:val="20"/>
                    </w:rPr>
                    <w:t>PG</w:t>
                  </w:r>
                </w:p>
              </w:tc>
              <w:tc>
                <w:tcPr>
                  <w:tcW w:w="662" w:type="pct"/>
                  <w:shd w:val="clear" w:color="auto" w:fill="F2F2F2" w:themeFill="background1" w:themeFillShade="F2"/>
                  <w:vAlign w:val="center"/>
                  <w:hideMark/>
                </w:tcPr>
                <w:p w14:paraId="1B8A4B8F" w14:textId="77777777" w:rsidR="006903A5" w:rsidRPr="00724BBB" w:rsidRDefault="006903A5">
                  <w:pPr>
                    <w:spacing w:line="276" w:lineRule="auto"/>
                    <w:jc w:val="center"/>
                    <w:rPr>
                      <w:b/>
                      <w:bCs/>
                      <w:color w:val="000000"/>
                      <w:sz w:val="20"/>
                      <w:szCs w:val="20"/>
                    </w:rPr>
                  </w:pPr>
                  <w:r w:rsidRPr="00724BBB">
                    <w:rPr>
                      <w:b/>
                      <w:bCs/>
                      <w:color w:val="000000"/>
                      <w:sz w:val="20"/>
                      <w:szCs w:val="20"/>
                    </w:rPr>
                    <w:t>Total Gambling Problems</w:t>
                  </w:r>
                </w:p>
              </w:tc>
            </w:tr>
            <w:tr w:rsidR="006903A5" w:rsidRPr="00724BBB" w14:paraId="07E44821" w14:textId="77777777">
              <w:trPr>
                <w:gridAfter w:val="1"/>
                <w:wAfter w:w="4" w:type="pct"/>
                <w:trHeight w:val="397"/>
              </w:trPr>
              <w:tc>
                <w:tcPr>
                  <w:tcW w:w="2049" w:type="pct"/>
                  <w:vAlign w:val="center"/>
                  <w:hideMark/>
                </w:tcPr>
                <w:p w14:paraId="390BDCDA" w14:textId="77777777" w:rsidR="006903A5" w:rsidRPr="00724BBB" w:rsidRDefault="006903A5">
                  <w:pPr>
                    <w:spacing w:line="276" w:lineRule="auto"/>
                    <w:rPr>
                      <w:color w:val="000000"/>
                      <w:sz w:val="20"/>
                      <w:szCs w:val="20"/>
                    </w:rPr>
                  </w:pPr>
                  <w:r w:rsidRPr="00724BBB">
                    <w:rPr>
                      <w:color w:val="000000"/>
                      <w:sz w:val="20"/>
                      <w:szCs w:val="20"/>
                    </w:rPr>
                    <w:t>New Zealand population with gambling problems by PGSI group (n)</w:t>
                  </w:r>
                </w:p>
              </w:tc>
              <w:tc>
                <w:tcPr>
                  <w:tcW w:w="664" w:type="pct"/>
                  <w:noWrap/>
                  <w:vAlign w:val="center"/>
                  <w:hideMark/>
                </w:tcPr>
                <w:p w14:paraId="17246799" w14:textId="77777777" w:rsidR="006903A5" w:rsidRPr="00724BBB" w:rsidRDefault="006903A5">
                  <w:pPr>
                    <w:spacing w:line="276" w:lineRule="auto"/>
                    <w:rPr>
                      <w:color w:val="000000"/>
                      <w:sz w:val="20"/>
                      <w:szCs w:val="20"/>
                    </w:rPr>
                  </w:pPr>
                  <w:r w:rsidRPr="00724BBB">
                    <w:rPr>
                      <w:color w:val="000000"/>
                      <w:sz w:val="20"/>
                      <w:szCs w:val="20"/>
                    </w:rPr>
                    <w:t>a</w:t>
                  </w:r>
                </w:p>
              </w:tc>
              <w:tc>
                <w:tcPr>
                  <w:tcW w:w="590" w:type="pct"/>
                  <w:vAlign w:val="center"/>
                  <w:hideMark/>
                </w:tcPr>
                <w:p w14:paraId="6AA7083C" w14:textId="77777777" w:rsidR="006903A5" w:rsidRPr="00724BBB" w:rsidRDefault="006903A5">
                  <w:pPr>
                    <w:spacing w:line="276" w:lineRule="auto"/>
                    <w:jc w:val="right"/>
                    <w:rPr>
                      <w:color w:val="000000"/>
                      <w:sz w:val="20"/>
                      <w:szCs w:val="20"/>
                    </w:rPr>
                  </w:pPr>
                  <w:r w:rsidRPr="00724BBB">
                    <w:rPr>
                      <w:color w:val="000000"/>
                      <w:sz w:val="20"/>
                      <w:szCs w:val="20"/>
                    </w:rPr>
                    <w:t>255,318</w:t>
                  </w:r>
                </w:p>
              </w:tc>
              <w:tc>
                <w:tcPr>
                  <w:tcW w:w="514" w:type="pct"/>
                  <w:vAlign w:val="center"/>
                  <w:hideMark/>
                </w:tcPr>
                <w:p w14:paraId="24F3D3B8" w14:textId="77777777" w:rsidR="006903A5" w:rsidRPr="00724BBB" w:rsidRDefault="006903A5">
                  <w:pPr>
                    <w:spacing w:line="276" w:lineRule="auto"/>
                    <w:jc w:val="right"/>
                    <w:rPr>
                      <w:color w:val="000000"/>
                      <w:sz w:val="20"/>
                      <w:szCs w:val="20"/>
                    </w:rPr>
                  </w:pPr>
                  <w:r w:rsidRPr="00724BBB">
                    <w:rPr>
                      <w:color w:val="000000"/>
                      <w:sz w:val="20"/>
                      <w:szCs w:val="20"/>
                    </w:rPr>
                    <w:t>83,492</w:t>
                  </w:r>
                </w:p>
              </w:tc>
              <w:tc>
                <w:tcPr>
                  <w:tcW w:w="517" w:type="pct"/>
                  <w:vAlign w:val="center"/>
                  <w:hideMark/>
                </w:tcPr>
                <w:p w14:paraId="390DFF3A" w14:textId="77777777" w:rsidR="006903A5" w:rsidRPr="00724BBB" w:rsidRDefault="006903A5">
                  <w:pPr>
                    <w:spacing w:line="276" w:lineRule="auto"/>
                    <w:jc w:val="right"/>
                    <w:rPr>
                      <w:color w:val="000000"/>
                      <w:sz w:val="20"/>
                      <w:szCs w:val="20"/>
                    </w:rPr>
                  </w:pPr>
                  <w:r w:rsidRPr="00724BBB">
                    <w:rPr>
                      <w:color w:val="000000"/>
                      <w:sz w:val="20"/>
                      <w:szCs w:val="20"/>
                    </w:rPr>
                    <w:t>20,436</w:t>
                  </w:r>
                </w:p>
              </w:tc>
              <w:tc>
                <w:tcPr>
                  <w:tcW w:w="662" w:type="pct"/>
                  <w:vAlign w:val="center"/>
                  <w:hideMark/>
                </w:tcPr>
                <w:p w14:paraId="6905358D" w14:textId="77777777" w:rsidR="006903A5" w:rsidRPr="00724BBB" w:rsidRDefault="006903A5">
                  <w:pPr>
                    <w:spacing w:line="276" w:lineRule="auto"/>
                    <w:jc w:val="right"/>
                    <w:rPr>
                      <w:color w:val="000000"/>
                      <w:sz w:val="20"/>
                      <w:szCs w:val="20"/>
                    </w:rPr>
                  </w:pPr>
                  <w:r w:rsidRPr="00724BBB">
                    <w:rPr>
                      <w:color w:val="000000"/>
                      <w:sz w:val="20"/>
                      <w:szCs w:val="20"/>
                    </w:rPr>
                    <w:t>359,246</w:t>
                  </w:r>
                </w:p>
              </w:tc>
            </w:tr>
            <w:tr w:rsidR="006903A5" w:rsidRPr="00724BBB" w14:paraId="797EC7C5" w14:textId="77777777">
              <w:trPr>
                <w:gridAfter w:val="1"/>
                <w:wAfter w:w="4" w:type="pct"/>
                <w:trHeight w:val="397"/>
              </w:trPr>
              <w:tc>
                <w:tcPr>
                  <w:tcW w:w="2049" w:type="pct"/>
                  <w:noWrap/>
                  <w:vAlign w:val="center"/>
                  <w:hideMark/>
                </w:tcPr>
                <w:p w14:paraId="5BAFCEA9" w14:textId="77777777" w:rsidR="006903A5" w:rsidRPr="00724BBB" w:rsidRDefault="006903A5">
                  <w:pPr>
                    <w:spacing w:line="276" w:lineRule="auto"/>
                    <w:rPr>
                      <w:color w:val="000000"/>
                      <w:sz w:val="20"/>
                      <w:szCs w:val="20"/>
                    </w:rPr>
                  </w:pPr>
                  <w:r w:rsidRPr="00724BBB">
                    <w:rPr>
                      <w:color w:val="000000"/>
                      <w:sz w:val="20"/>
                      <w:szCs w:val="20"/>
                    </w:rPr>
                    <w:t>Rate (%) of PGSI group who were absent due to gambling</w:t>
                  </w:r>
                </w:p>
              </w:tc>
              <w:tc>
                <w:tcPr>
                  <w:tcW w:w="664" w:type="pct"/>
                  <w:noWrap/>
                  <w:vAlign w:val="center"/>
                  <w:hideMark/>
                </w:tcPr>
                <w:p w14:paraId="02981DD6" w14:textId="77777777" w:rsidR="006903A5" w:rsidRPr="00724BBB" w:rsidRDefault="006903A5">
                  <w:pPr>
                    <w:spacing w:line="276" w:lineRule="auto"/>
                    <w:rPr>
                      <w:color w:val="000000"/>
                      <w:sz w:val="20"/>
                      <w:szCs w:val="20"/>
                    </w:rPr>
                  </w:pPr>
                  <w:r w:rsidRPr="00724BBB">
                    <w:rPr>
                      <w:color w:val="000000"/>
                      <w:sz w:val="20"/>
                      <w:szCs w:val="20"/>
                    </w:rPr>
                    <w:t>b</w:t>
                  </w:r>
                </w:p>
              </w:tc>
              <w:tc>
                <w:tcPr>
                  <w:tcW w:w="590" w:type="pct"/>
                  <w:noWrap/>
                  <w:vAlign w:val="center"/>
                  <w:hideMark/>
                </w:tcPr>
                <w:p w14:paraId="20BD588F" w14:textId="77777777" w:rsidR="006903A5" w:rsidRPr="00724BBB" w:rsidRDefault="006903A5">
                  <w:pPr>
                    <w:spacing w:line="276" w:lineRule="auto"/>
                    <w:jc w:val="right"/>
                    <w:rPr>
                      <w:color w:val="000000"/>
                      <w:sz w:val="20"/>
                      <w:szCs w:val="20"/>
                    </w:rPr>
                  </w:pPr>
                  <w:r w:rsidRPr="00724BBB">
                    <w:rPr>
                      <w:color w:val="000000"/>
                      <w:sz w:val="20"/>
                      <w:szCs w:val="20"/>
                    </w:rPr>
                    <w:t>4.9%</w:t>
                  </w:r>
                </w:p>
              </w:tc>
              <w:tc>
                <w:tcPr>
                  <w:tcW w:w="514" w:type="pct"/>
                  <w:noWrap/>
                  <w:vAlign w:val="center"/>
                  <w:hideMark/>
                </w:tcPr>
                <w:p w14:paraId="1AFB3A2C" w14:textId="77777777" w:rsidR="006903A5" w:rsidRPr="00724BBB" w:rsidRDefault="006903A5">
                  <w:pPr>
                    <w:spacing w:line="276" w:lineRule="auto"/>
                    <w:jc w:val="right"/>
                    <w:rPr>
                      <w:color w:val="000000"/>
                      <w:sz w:val="20"/>
                      <w:szCs w:val="20"/>
                    </w:rPr>
                  </w:pPr>
                  <w:r w:rsidRPr="00724BBB">
                    <w:rPr>
                      <w:color w:val="000000"/>
                      <w:sz w:val="20"/>
                      <w:szCs w:val="20"/>
                    </w:rPr>
                    <w:t>4.2%</w:t>
                  </w:r>
                </w:p>
              </w:tc>
              <w:tc>
                <w:tcPr>
                  <w:tcW w:w="517" w:type="pct"/>
                  <w:noWrap/>
                  <w:vAlign w:val="center"/>
                  <w:hideMark/>
                </w:tcPr>
                <w:p w14:paraId="32F37AC2" w14:textId="77777777" w:rsidR="006903A5" w:rsidRPr="00724BBB" w:rsidRDefault="006903A5">
                  <w:pPr>
                    <w:spacing w:line="276" w:lineRule="auto"/>
                    <w:jc w:val="right"/>
                    <w:rPr>
                      <w:color w:val="000000"/>
                      <w:sz w:val="20"/>
                      <w:szCs w:val="20"/>
                    </w:rPr>
                  </w:pPr>
                  <w:r w:rsidRPr="00724BBB">
                    <w:rPr>
                      <w:color w:val="000000"/>
                      <w:sz w:val="20"/>
                      <w:szCs w:val="20"/>
                    </w:rPr>
                    <w:t>19.8%</w:t>
                  </w:r>
                </w:p>
              </w:tc>
              <w:tc>
                <w:tcPr>
                  <w:tcW w:w="662" w:type="pct"/>
                  <w:noWrap/>
                  <w:vAlign w:val="center"/>
                  <w:hideMark/>
                </w:tcPr>
                <w:p w14:paraId="41B936F9" w14:textId="77777777" w:rsidR="006903A5" w:rsidRPr="00724BBB" w:rsidRDefault="006903A5">
                  <w:pPr>
                    <w:spacing w:line="276" w:lineRule="auto"/>
                    <w:jc w:val="right"/>
                    <w:rPr>
                      <w:color w:val="000000"/>
                      <w:sz w:val="20"/>
                      <w:szCs w:val="20"/>
                    </w:rPr>
                  </w:pPr>
                  <w:r w:rsidRPr="00724BBB">
                    <w:rPr>
                      <w:color w:val="000000"/>
                      <w:sz w:val="20"/>
                      <w:szCs w:val="20"/>
                    </w:rPr>
                    <w:t> </w:t>
                  </w:r>
                </w:p>
              </w:tc>
            </w:tr>
            <w:tr w:rsidR="006903A5" w:rsidRPr="00724BBB" w14:paraId="7E1E9828" w14:textId="77777777">
              <w:trPr>
                <w:gridAfter w:val="1"/>
                <w:wAfter w:w="4" w:type="pct"/>
                <w:trHeight w:val="397"/>
              </w:trPr>
              <w:tc>
                <w:tcPr>
                  <w:tcW w:w="2049" w:type="pct"/>
                  <w:noWrap/>
                  <w:vAlign w:val="center"/>
                  <w:hideMark/>
                </w:tcPr>
                <w:p w14:paraId="0FC2BE31" w14:textId="77777777" w:rsidR="006903A5" w:rsidRPr="00724BBB" w:rsidRDefault="006903A5">
                  <w:pPr>
                    <w:spacing w:line="276" w:lineRule="auto"/>
                    <w:rPr>
                      <w:color w:val="000000"/>
                      <w:sz w:val="20"/>
                      <w:szCs w:val="20"/>
                    </w:rPr>
                  </w:pPr>
                  <w:r w:rsidRPr="00724BBB">
                    <w:rPr>
                      <w:color w:val="000000"/>
                      <w:sz w:val="20"/>
                      <w:szCs w:val="20"/>
                    </w:rPr>
                    <w:t xml:space="preserve">Number who were absent due to gambling, less 20% causality discount </w:t>
                  </w:r>
                </w:p>
              </w:tc>
              <w:tc>
                <w:tcPr>
                  <w:tcW w:w="664" w:type="pct"/>
                  <w:noWrap/>
                  <w:vAlign w:val="center"/>
                  <w:hideMark/>
                </w:tcPr>
                <w:p w14:paraId="3D070763" w14:textId="77777777" w:rsidR="006903A5" w:rsidRPr="00724BBB" w:rsidRDefault="006903A5">
                  <w:pPr>
                    <w:spacing w:line="276" w:lineRule="auto"/>
                    <w:rPr>
                      <w:color w:val="000000"/>
                      <w:sz w:val="20"/>
                      <w:szCs w:val="20"/>
                    </w:rPr>
                  </w:pPr>
                  <w:r w:rsidRPr="00724BBB">
                    <w:rPr>
                      <w:color w:val="000000"/>
                      <w:sz w:val="20"/>
                      <w:szCs w:val="20"/>
                    </w:rPr>
                    <w:t>c = a x b x 80%</w:t>
                  </w:r>
                </w:p>
              </w:tc>
              <w:tc>
                <w:tcPr>
                  <w:tcW w:w="590" w:type="pct"/>
                  <w:noWrap/>
                  <w:vAlign w:val="center"/>
                  <w:hideMark/>
                </w:tcPr>
                <w:p w14:paraId="51B33389" w14:textId="77777777" w:rsidR="006903A5" w:rsidRPr="00724BBB" w:rsidRDefault="006903A5">
                  <w:pPr>
                    <w:spacing w:line="276" w:lineRule="auto"/>
                    <w:jc w:val="right"/>
                    <w:rPr>
                      <w:color w:val="000000"/>
                      <w:sz w:val="20"/>
                      <w:szCs w:val="20"/>
                    </w:rPr>
                  </w:pPr>
                  <w:r w:rsidRPr="00724BBB">
                    <w:rPr>
                      <w:color w:val="000000"/>
                      <w:sz w:val="20"/>
                      <w:szCs w:val="20"/>
                    </w:rPr>
                    <w:t>10,008</w:t>
                  </w:r>
                </w:p>
              </w:tc>
              <w:tc>
                <w:tcPr>
                  <w:tcW w:w="514" w:type="pct"/>
                  <w:noWrap/>
                  <w:vAlign w:val="center"/>
                  <w:hideMark/>
                </w:tcPr>
                <w:p w14:paraId="62CCEF0D" w14:textId="77777777" w:rsidR="006903A5" w:rsidRPr="00724BBB" w:rsidRDefault="006903A5">
                  <w:pPr>
                    <w:spacing w:line="276" w:lineRule="auto"/>
                    <w:jc w:val="right"/>
                    <w:rPr>
                      <w:color w:val="000000"/>
                      <w:sz w:val="20"/>
                      <w:szCs w:val="20"/>
                    </w:rPr>
                  </w:pPr>
                  <w:r w:rsidRPr="00724BBB">
                    <w:rPr>
                      <w:color w:val="000000"/>
                      <w:sz w:val="20"/>
                      <w:szCs w:val="20"/>
                    </w:rPr>
                    <w:t>2,805</w:t>
                  </w:r>
                </w:p>
              </w:tc>
              <w:tc>
                <w:tcPr>
                  <w:tcW w:w="517" w:type="pct"/>
                  <w:noWrap/>
                  <w:vAlign w:val="center"/>
                  <w:hideMark/>
                </w:tcPr>
                <w:p w14:paraId="6AFBAF38" w14:textId="77777777" w:rsidR="006903A5" w:rsidRPr="00724BBB" w:rsidRDefault="006903A5">
                  <w:pPr>
                    <w:spacing w:line="276" w:lineRule="auto"/>
                    <w:jc w:val="right"/>
                    <w:rPr>
                      <w:color w:val="000000"/>
                      <w:sz w:val="20"/>
                      <w:szCs w:val="20"/>
                    </w:rPr>
                  </w:pPr>
                  <w:r w:rsidRPr="00724BBB">
                    <w:rPr>
                      <w:color w:val="000000"/>
                      <w:sz w:val="20"/>
                      <w:szCs w:val="20"/>
                    </w:rPr>
                    <w:t>3,237</w:t>
                  </w:r>
                </w:p>
              </w:tc>
              <w:tc>
                <w:tcPr>
                  <w:tcW w:w="662" w:type="pct"/>
                  <w:noWrap/>
                  <w:vAlign w:val="center"/>
                  <w:hideMark/>
                </w:tcPr>
                <w:p w14:paraId="547DEDF4" w14:textId="77777777" w:rsidR="006903A5" w:rsidRPr="00724BBB" w:rsidRDefault="006903A5">
                  <w:pPr>
                    <w:spacing w:line="276" w:lineRule="auto"/>
                    <w:jc w:val="right"/>
                    <w:rPr>
                      <w:color w:val="000000"/>
                      <w:sz w:val="20"/>
                      <w:szCs w:val="20"/>
                    </w:rPr>
                  </w:pPr>
                  <w:r w:rsidRPr="00724BBB">
                    <w:rPr>
                      <w:color w:val="000000"/>
                      <w:sz w:val="20"/>
                      <w:szCs w:val="20"/>
                    </w:rPr>
                    <w:t>16,051</w:t>
                  </w:r>
                </w:p>
              </w:tc>
            </w:tr>
            <w:tr w:rsidR="006903A5" w:rsidRPr="00A447F9" w14:paraId="386F34D4" w14:textId="77777777" w:rsidTr="00724BBB">
              <w:trPr>
                <w:trHeight w:val="397"/>
              </w:trPr>
              <w:tc>
                <w:tcPr>
                  <w:tcW w:w="2049" w:type="pct"/>
                  <w:noWrap/>
                  <w:vAlign w:val="center"/>
                  <w:hideMark/>
                </w:tcPr>
                <w:p w14:paraId="76C033A9" w14:textId="77777777" w:rsidR="006903A5" w:rsidRPr="00724BBB" w:rsidRDefault="006903A5">
                  <w:pPr>
                    <w:spacing w:line="276" w:lineRule="auto"/>
                    <w:rPr>
                      <w:color w:val="000000"/>
                      <w:sz w:val="20"/>
                      <w:szCs w:val="20"/>
                    </w:rPr>
                  </w:pPr>
                  <w:r w:rsidRPr="00724BBB">
                    <w:rPr>
                      <w:color w:val="000000"/>
                      <w:sz w:val="20"/>
                      <w:szCs w:val="20"/>
                    </w:rPr>
                    <w:t>Median annual cost of absenteeism per employee per year</w:t>
                  </w:r>
                </w:p>
              </w:tc>
              <w:tc>
                <w:tcPr>
                  <w:tcW w:w="664" w:type="pct"/>
                  <w:noWrap/>
                  <w:vAlign w:val="center"/>
                  <w:hideMark/>
                </w:tcPr>
                <w:p w14:paraId="468AC145" w14:textId="77777777" w:rsidR="006903A5" w:rsidRPr="00724BBB" w:rsidRDefault="006903A5">
                  <w:pPr>
                    <w:spacing w:line="276" w:lineRule="auto"/>
                    <w:rPr>
                      <w:color w:val="000000"/>
                      <w:sz w:val="20"/>
                      <w:szCs w:val="20"/>
                    </w:rPr>
                  </w:pPr>
                  <w:r w:rsidRPr="00724BBB">
                    <w:rPr>
                      <w:color w:val="000000"/>
                      <w:sz w:val="20"/>
                      <w:szCs w:val="20"/>
                    </w:rPr>
                    <w:t>d</w:t>
                  </w:r>
                </w:p>
              </w:tc>
              <w:tc>
                <w:tcPr>
                  <w:tcW w:w="2287" w:type="pct"/>
                  <w:gridSpan w:val="5"/>
                  <w:noWrap/>
                  <w:vAlign w:val="center"/>
                  <w:hideMark/>
                </w:tcPr>
                <w:p w14:paraId="54255D0A" w14:textId="77777777" w:rsidR="006903A5" w:rsidRPr="00724BBB" w:rsidRDefault="006903A5" w:rsidP="00724BBB">
                  <w:pPr>
                    <w:spacing w:line="276" w:lineRule="auto"/>
                    <w:jc w:val="center"/>
                    <w:rPr>
                      <w:color w:val="000000"/>
                      <w:sz w:val="20"/>
                      <w:szCs w:val="20"/>
                    </w:rPr>
                  </w:pPr>
                  <w:r w:rsidRPr="00724BBB">
                    <w:rPr>
                      <w:color w:val="000000"/>
                      <w:sz w:val="20"/>
                      <w:szCs w:val="20"/>
                    </w:rPr>
                    <w:t>$1,235</w:t>
                  </w:r>
                </w:p>
              </w:tc>
            </w:tr>
            <w:tr w:rsidR="006903A5" w:rsidRPr="00724BBB" w14:paraId="3BEB12A4" w14:textId="77777777">
              <w:trPr>
                <w:gridAfter w:val="1"/>
                <w:wAfter w:w="4" w:type="pct"/>
                <w:trHeight w:val="397"/>
              </w:trPr>
              <w:tc>
                <w:tcPr>
                  <w:tcW w:w="2049" w:type="pct"/>
                  <w:shd w:val="clear" w:color="auto" w:fill="F2F2F2" w:themeFill="background1" w:themeFillShade="F2"/>
                  <w:noWrap/>
                  <w:vAlign w:val="center"/>
                  <w:hideMark/>
                </w:tcPr>
                <w:p w14:paraId="1D4A8DF2" w14:textId="77777777" w:rsidR="006903A5" w:rsidRPr="00724BBB" w:rsidRDefault="006903A5">
                  <w:pPr>
                    <w:spacing w:line="276" w:lineRule="auto"/>
                    <w:rPr>
                      <w:b/>
                      <w:bCs/>
                      <w:color w:val="000000"/>
                      <w:sz w:val="20"/>
                      <w:szCs w:val="20"/>
                    </w:rPr>
                  </w:pPr>
                  <w:r w:rsidRPr="00724BBB">
                    <w:rPr>
                      <w:b/>
                      <w:bCs/>
                      <w:color w:val="000000"/>
                      <w:sz w:val="20"/>
                      <w:szCs w:val="20"/>
                    </w:rPr>
                    <w:t>Total cost of absenteeism to business</w:t>
                  </w:r>
                </w:p>
              </w:tc>
              <w:tc>
                <w:tcPr>
                  <w:tcW w:w="664" w:type="pct"/>
                  <w:shd w:val="clear" w:color="auto" w:fill="F2F2F2" w:themeFill="background1" w:themeFillShade="F2"/>
                  <w:noWrap/>
                  <w:vAlign w:val="center"/>
                  <w:hideMark/>
                </w:tcPr>
                <w:p w14:paraId="50344A17" w14:textId="77777777" w:rsidR="006903A5" w:rsidRPr="00724BBB" w:rsidRDefault="006903A5">
                  <w:pPr>
                    <w:spacing w:line="276" w:lineRule="auto"/>
                    <w:rPr>
                      <w:b/>
                      <w:bCs/>
                      <w:color w:val="000000"/>
                      <w:sz w:val="20"/>
                      <w:szCs w:val="20"/>
                    </w:rPr>
                  </w:pPr>
                  <w:r w:rsidRPr="00724BBB">
                    <w:rPr>
                      <w:b/>
                      <w:bCs/>
                      <w:color w:val="000000"/>
                      <w:sz w:val="20"/>
                      <w:szCs w:val="20"/>
                    </w:rPr>
                    <w:t>e = c x d</w:t>
                  </w:r>
                </w:p>
              </w:tc>
              <w:tc>
                <w:tcPr>
                  <w:tcW w:w="590" w:type="pct"/>
                  <w:shd w:val="clear" w:color="auto" w:fill="F2F2F2" w:themeFill="background1" w:themeFillShade="F2"/>
                  <w:noWrap/>
                  <w:vAlign w:val="center"/>
                  <w:hideMark/>
                </w:tcPr>
                <w:p w14:paraId="010B31A5" w14:textId="77777777" w:rsidR="006903A5" w:rsidRPr="00724BBB" w:rsidRDefault="006903A5">
                  <w:pPr>
                    <w:spacing w:line="276" w:lineRule="auto"/>
                    <w:jc w:val="right"/>
                    <w:rPr>
                      <w:b/>
                      <w:bCs/>
                      <w:color w:val="000000"/>
                      <w:sz w:val="20"/>
                      <w:szCs w:val="20"/>
                    </w:rPr>
                  </w:pPr>
                  <w:r w:rsidRPr="00724BBB">
                    <w:rPr>
                      <w:b/>
                      <w:bCs/>
                      <w:color w:val="000000"/>
                      <w:sz w:val="20"/>
                      <w:szCs w:val="20"/>
                    </w:rPr>
                    <w:t>$12.4M</w:t>
                  </w:r>
                </w:p>
              </w:tc>
              <w:tc>
                <w:tcPr>
                  <w:tcW w:w="514" w:type="pct"/>
                  <w:shd w:val="clear" w:color="auto" w:fill="F2F2F2" w:themeFill="background1" w:themeFillShade="F2"/>
                  <w:noWrap/>
                  <w:vAlign w:val="center"/>
                  <w:hideMark/>
                </w:tcPr>
                <w:p w14:paraId="257C3FE4" w14:textId="77777777" w:rsidR="006903A5" w:rsidRPr="00724BBB" w:rsidRDefault="006903A5">
                  <w:pPr>
                    <w:spacing w:line="276" w:lineRule="auto"/>
                    <w:jc w:val="right"/>
                    <w:rPr>
                      <w:b/>
                      <w:bCs/>
                      <w:color w:val="000000"/>
                      <w:sz w:val="20"/>
                      <w:szCs w:val="20"/>
                    </w:rPr>
                  </w:pPr>
                  <w:r w:rsidRPr="00724BBB">
                    <w:rPr>
                      <w:b/>
                      <w:bCs/>
                      <w:color w:val="000000"/>
                      <w:sz w:val="20"/>
                      <w:szCs w:val="20"/>
                    </w:rPr>
                    <w:t>$3.5M</w:t>
                  </w:r>
                </w:p>
              </w:tc>
              <w:tc>
                <w:tcPr>
                  <w:tcW w:w="517" w:type="pct"/>
                  <w:shd w:val="clear" w:color="auto" w:fill="F2F2F2" w:themeFill="background1" w:themeFillShade="F2"/>
                  <w:noWrap/>
                  <w:vAlign w:val="center"/>
                  <w:hideMark/>
                </w:tcPr>
                <w:p w14:paraId="2AABC31B" w14:textId="77777777" w:rsidR="006903A5" w:rsidRPr="00724BBB" w:rsidRDefault="006903A5">
                  <w:pPr>
                    <w:spacing w:line="276" w:lineRule="auto"/>
                    <w:jc w:val="right"/>
                    <w:rPr>
                      <w:b/>
                      <w:bCs/>
                      <w:color w:val="000000"/>
                      <w:sz w:val="20"/>
                      <w:szCs w:val="20"/>
                    </w:rPr>
                  </w:pPr>
                  <w:r w:rsidRPr="00724BBB">
                    <w:rPr>
                      <w:b/>
                      <w:bCs/>
                      <w:color w:val="000000"/>
                      <w:sz w:val="20"/>
                      <w:szCs w:val="20"/>
                    </w:rPr>
                    <w:t>$4.0M</w:t>
                  </w:r>
                </w:p>
              </w:tc>
              <w:tc>
                <w:tcPr>
                  <w:tcW w:w="662" w:type="pct"/>
                  <w:shd w:val="clear" w:color="auto" w:fill="F2F2F2" w:themeFill="background1" w:themeFillShade="F2"/>
                  <w:noWrap/>
                  <w:vAlign w:val="center"/>
                  <w:hideMark/>
                </w:tcPr>
                <w:p w14:paraId="1A68A768" w14:textId="77777777" w:rsidR="006903A5" w:rsidRPr="00724BBB" w:rsidRDefault="006903A5">
                  <w:pPr>
                    <w:spacing w:line="276" w:lineRule="auto"/>
                    <w:jc w:val="right"/>
                    <w:rPr>
                      <w:b/>
                      <w:bCs/>
                      <w:color w:val="000000"/>
                      <w:sz w:val="20"/>
                      <w:szCs w:val="20"/>
                    </w:rPr>
                  </w:pPr>
                  <w:r w:rsidRPr="00724BBB">
                    <w:rPr>
                      <w:b/>
                      <w:bCs/>
                      <w:color w:val="000000"/>
                      <w:sz w:val="20"/>
                      <w:szCs w:val="20"/>
                    </w:rPr>
                    <w:t>$19,822,811</w:t>
                  </w:r>
                </w:p>
              </w:tc>
            </w:tr>
            <w:tr w:rsidR="006903A5" w:rsidRPr="00724BBB" w14:paraId="74600B0B" w14:textId="77777777">
              <w:trPr>
                <w:gridAfter w:val="1"/>
                <w:wAfter w:w="4" w:type="pct"/>
                <w:trHeight w:val="397"/>
              </w:trPr>
              <w:tc>
                <w:tcPr>
                  <w:tcW w:w="4334" w:type="pct"/>
                  <w:gridSpan w:val="5"/>
                  <w:vAlign w:val="center"/>
                  <w:hideMark/>
                </w:tcPr>
                <w:p w14:paraId="4436F535" w14:textId="77777777" w:rsidR="006903A5" w:rsidRPr="00724BBB" w:rsidRDefault="006903A5">
                  <w:pPr>
                    <w:spacing w:line="276" w:lineRule="auto"/>
                    <w:rPr>
                      <w:color w:val="000000"/>
                      <w:sz w:val="20"/>
                      <w:szCs w:val="20"/>
                    </w:rPr>
                  </w:pPr>
                  <w:r w:rsidRPr="00724BBB">
                    <w:rPr>
                      <w:color w:val="000000"/>
                      <w:sz w:val="20"/>
                      <w:szCs w:val="20"/>
                    </w:rPr>
                    <w:t>Lower bound</w:t>
                  </w:r>
                </w:p>
              </w:tc>
              <w:tc>
                <w:tcPr>
                  <w:tcW w:w="662" w:type="pct"/>
                  <w:vAlign w:val="center"/>
                  <w:hideMark/>
                </w:tcPr>
                <w:p w14:paraId="0B69C966" w14:textId="77777777" w:rsidR="006903A5" w:rsidRPr="00724BBB" w:rsidRDefault="006903A5">
                  <w:pPr>
                    <w:spacing w:line="276" w:lineRule="auto"/>
                    <w:jc w:val="right"/>
                    <w:rPr>
                      <w:color w:val="000000"/>
                      <w:sz w:val="20"/>
                      <w:szCs w:val="20"/>
                    </w:rPr>
                  </w:pPr>
                  <w:r w:rsidRPr="00724BBB">
                    <w:rPr>
                      <w:color w:val="000000"/>
                      <w:sz w:val="20"/>
                      <w:szCs w:val="20"/>
                    </w:rPr>
                    <w:t>$16,050,859</w:t>
                  </w:r>
                </w:p>
              </w:tc>
            </w:tr>
            <w:tr w:rsidR="006903A5" w:rsidRPr="00724BBB" w14:paraId="63362CE0" w14:textId="77777777">
              <w:trPr>
                <w:gridAfter w:val="1"/>
                <w:wAfter w:w="4" w:type="pct"/>
                <w:trHeight w:val="397"/>
              </w:trPr>
              <w:tc>
                <w:tcPr>
                  <w:tcW w:w="4334" w:type="pct"/>
                  <w:gridSpan w:val="5"/>
                  <w:vAlign w:val="center"/>
                  <w:hideMark/>
                </w:tcPr>
                <w:p w14:paraId="23949FA8" w14:textId="77777777" w:rsidR="006903A5" w:rsidRPr="00724BBB" w:rsidRDefault="006903A5">
                  <w:pPr>
                    <w:spacing w:line="276" w:lineRule="auto"/>
                    <w:rPr>
                      <w:color w:val="000000"/>
                      <w:sz w:val="20"/>
                      <w:szCs w:val="20"/>
                    </w:rPr>
                  </w:pPr>
                  <w:r w:rsidRPr="00724BBB">
                    <w:rPr>
                      <w:color w:val="000000"/>
                      <w:sz w:val="20"/>
                      <w:szCs w:val="20"/>
                    </w:rPr>
                    <w:t>Upper bound</w:t>
                  </w:r>
                </w:p>
              </w:tc>
              <w:tc>
                <w:tcPr>
                  <w:tcW w:w="662" w:type="pct"/>
                  <w:vAlign w:val="center"/>
                  <w:hideMark/>
                </w:tcPr>
                <w:p w14:paraId="17BDB0D9" w14:textId="77777777" w:rsidR="006903A5" w:rsidRPr="00724BBB" w:rsidRDefault="006903A5">
                  <w:pPr>
                    <w:spacing w:line="276" w:lineRule="auto"/>
                    <w:jc w:val="right"/>
                    <w:rPr>
                      <w:color w:val="000000"/>
                      <w:sz w:val="20"/>
                      <w:szCs w:val="20"/>
                    </w:rPr>
                  </w:pPr>
                  <w:r w:rsidRPr="00724BBB">
                    <w:rPr>
                      <w:color w:val="000000"/>
                      <w:sz w:val="20"/>
                      <w:szCs w:val="20"/>
                    </w:rPr>
                    <w:t>$23,867,628</w:t>
                  </w:r>
                </w:p>
              </w:tc>
            </w:tr>
            <w:tr w:rsidR="006903A5" w:rsidRPr="00A447F9" w14:paraId="1BD4C13C" w14:textId="77777777">
              <w:trPr>
                <w:trHeight w:val="397"/>
              </w:trPr>
              <w:tc>
                <w:tcPr>
                  <w:tcW w:w="5000" w:type="pct"/>
                  <w:gridSpan w:val="7"/>
                  <w:noWrap/>
                  <w:vAlign w:val="center"/>
                  <w:hideMark/>
                </w:tcPr>
                <w:p w14:paraId="3064887C" w14:textId="77777777" w:rsidR="006903A5" w:rsidRPr="00724BBB" w:rsidRDefault="006903A5">
                  <w:pPr>
                    <w:spacing w:line="276" w:lineRule="auto"/>
                    <w:rPr>
                      <w:i/>
                      <w:iCs/>
                      <w:color w:val="242424"/>
                      <w:sz w:val="20"/>
                      <w:szCs w:val="20"/>
                    </w:rPr>
                  </w:pPr>
                  <w:r w:rsidRPr="00724BBB">
                    <w:rPr>
                      <w:i/>
                      <w:iCs/>
                      <w:color w:val="242424"/>
                      <w:sz w:val="20"/>
                      <w:szCs w:val="20"/>
                    </w:rPr>
                    <w:t xml:space="preserve">Note: </w:t>
                  </w:r>
                  <w:r w:rsidRPr="00724BBB">
                    <w:rPr>
                      <w:i/>
                      <w:iCs/>
                      <w:sz w:val="20"/>
                      <w:szCs w:val="20"/>
                    </w:rPr>
                    <w:t xml:space="preserve">LR (low-risk gambling), MR (moderate-risk gambling), and problem gambling. </w:t>
                  </w:r>
                  <w:r w:rsidRPr="00724BBB">
                    <w:rPr>
                      <w:i/>
                      <w:iCs/>
                      <w:color w:val="242424"/>
                      <w:sz w:val="20"/>
                      <w:szCs w:val="20"/>
                    </w:rPr>
                    <w:t>Totals may not match exactly due to rounding. Calculations are based on the original unrounded figures to ensure accuracy.</w:t>
                  </w:r>
                </w:p>
              </w:tc>
            </w:tr>
          </w:tbl>
          <w:p w14:paraId="4C05D983" w14:textId="77777777" w:rsidR="006903A5" w:rsidRPr="00A447F9" w:rsidRDefault="006903A5">
            <w:pPr>
              <w:spacing w:line="276" w:lineRule="auto"/>
              <w:rPr>
                <w:color w:val="0E101A"/>
                <w:sz w:val="18"/>
                <w:szCs w:val="18"/>
              </w:rPr>
            </w:pPr>
          </w:p>
        </w:tc>
      </w:tr>
    </w:tbl>
    <w:p w14:paraId="0F458107" w14:textId="77777777" w:rsidR="00724BBB" w:rsidRDefault="00724BBB" w:rsidP="00724BBB">
      <w:bookmarkStart w:id="471" w:name="_Toc201572467"/>
    </w:p>
    <w:p w14:paraId="1F1EDA9E" w14:textId="365C5569" w:rsidR="00724BBB" w:rsidRPr="00724BBB" w:rsidRDefault="00310A10" w:rsidP="00724BBB">
      <w:pPr>
        <w:pStyle w:val="Heading3"/>
      </w:pPr>
      <w:bookmarkStart w:id="472" w:name="_Toc207195985"/>
      <w:r>
        <w:t>Cost of job loss</w:t>
      </w:r>
      <w:bookmarkEnd w:id="471"/>
      <w:bookmarkEnd w:id="472"/>
      <w:r>
        <w:t xml:space="preserve"> </w:t>
      </w:r>
    </w:p>
    <w:p w14:paraId="5F3C434E" w14:textId="48F90647" w:rsidR="00DB689D" w:rsidRDefault="00310A10" w:rsidP="00367A8D">
      <w:pPr>
        <w:spacing w:line="360" w:lineRule="auto"/>
      </w:pPr>
      <w:r>
        <w:t xml:space="preserve">Job loss due to gambling harm affects not only individuals, but also employers and government services through lost income, reduced productivity, and increased reliance on unemployment benefits </w:t>
      </w:r>
      <w:r w:rsidR="00DB2449">
        <w:rPr>
          <w:noProof/>
          <w:color w:val="000000"/>
        </w:rPr>
        <w:t>(</w:t>
      </w:r>
      <w:r w:rsidR="002A3095">
        <w:rPr>
          <w:noProof/>
          <w:color w:val="000000"/>
        </w:rPr>
        <w:t>Browne, Greer et al., 2017</w:t>
      </w:r>
      <w:r w:rsidR="00DB2449">
        <w:rPr>
          <w:noProof/>
          <w:color w:val="000000"/>
        </w:rPr>
        <w:t>; Langham et al., 2016)</w:t>
      </w:r>
      <w:r>
        <w:t xml:space="preserve">. Although not commonly reported across all gambling risk levels, it is significantly more prevalent among those experiencing problem gambling. Browne et al. 's </w:t>
      </w:r>
      <w:r w:rsidR="0038398B">
        <w:rPr>
          <w:noProof/>
          <w:color w:val="000000"/>
        </w:rPr>
        <w:t>(2017)</w:t>
      </w:r>
      <w:r>
        <w:t xml:space="preserve"> </w:t>
      </w:r>
      <w:r>
        <w:rPr>
          <w:i/>
        </w:rPr>
        <w:t>Measuring the Burden of Gambling Harm in New Zealand</w:t>
      </w:r>
      <w:r>
        <w:t xml:space="preserve"> study found that 8.5% of individuals in the problem gambling group reported losing a job due to their gambling, while no job loss was reported among those in the moderate- or low-risk groups. This figure was used to estimate the cost using national data on earnings, unemployment duration, and benefit payments. </w:t>
      </w:r>
    </w:p>
    <w:p w14:paraId="25EF031F" w14:textId="77777777" w:rsidR="00DB689D" w:rsidRDefault="00DB689D" w:rsidP="00367A8D">
      <w:pPr>
        <w:spacing w:line="360" w:lineRule="auto"/>
      </w:pPr>
    </w:p>
    <w:p w14:paraId="7ECDF2AC" w14:textId="3B2CC248" w:rsidR="00DB689D" w:rsidRDefault="00310A10" w:rsidP="00536773">
      <w:pPr>
        <w:spacing w:line="360" w:lineRule="auto"/>
      </w:pPr>
      <w:r>
        <w:t xml:space="preserve">The same study also found that 2.9% of people close to someone categorised as problem gambling reported losing their job due to that person’s gambling. However, this was not included in the final costing due to the difficulty in reliably estimating the number of affected others exposed to harm at this severity. </w:t>
      </w:r>
    </w:p>
    <w:p w14:paraId="352E47BD" w14:textId="77777777" w:rsidR="00536773" w:rsidRPr="00536773" w:rsidRDefault="00536773" w:rsidP="00536773">
      <w:pPr>
        <w:spacing w:line="360" w:lineRule="auto"/>
      </w:pPr>
    </w:p>
    <w:tbl>
      <w:tblPr>
        <w:tblStyle w:val="af3"/>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B689D" w14:paraId="1D0F01E0" w14:textId="77777777">
        <w:tc>
          <w:tcPr>
            <w:tcW w:w="9026" w:type="dxa"/>
            <w:shd w:val="clear" w:color="auto" w:fill="F3F3F3"/>
            <w:tcMar>
              <w:top w:w="100" w:type="dxa"/>
              <w:left w:w="100" w:type="dxa"/>
              <w:bottom w:w="100" w:type="dxa"/>
              <w:right w:w="100" w:type="dxa"/>
            </w:tcMar>
          </w:tcPr>
          <w:p w14:paraId="63B059AA" w14:textId="297DBC2D" w:rsidR="00DB689D" w:rsidRDefault="00310A10" w:rsidP="00843927">
            <w:pPr>
              <w:widowControl w:val="0"/>
              <w:spacing w:line="276" w:lineRule="auto"/>
              <w:rPr>
                <w:color w:val="0E101A"/>
              </w:rPr>
            </w:pPr>
            <w:r>
              <w:rPr>
                <w:color w:val="0E101A"/>
              </w:rPr>
              <w:t>The economic impact of gambling-related job loss on individuals, employers, and the government was estimated using the following components:</w:t>
            </w:r>
            <w:r w:rsidR="005D6CDF">
              <w:rPr>
                <w:color w:val="0E101A"/>
              </w:rPr>
              <w:br/>
            </w:r>
          </w:p>
          <w:p w14:paraId="7F6CBC26" w14:textId="77777777" w:rsidR="00DB689D" w:rsidRDefault="00310A10" w:rsidP="00843927">
            <w:pPr>
              <w:widowControl w:val="0"/>
              <w:pBdr>
                <w:top w:val="nil"/>
                <w:left w:val="nil"/>
                <w:bottom w:val="nil"/>
                <w:right w:val="nil"/>
                <w:between w:val="nil"/>
              </w:pBdr>
              <w:spacing w:line="276" w:lineRule="auto"/>
              <w:rPr>
                <w:i/>
                <w:color w:val="0E101A"/>
              </w:rPr>
            </w:pPr>
            <w:r>
              <w:rPr>
                <w:i/>
                <w:color w:val="0E101A"/>
              </w:rPr>
              <w:t>Estimated number of job losses due to gambling</w:t>
            </w:r>
          </w:p>
          <w:p w14:paraId="097B0581" w14:textId="0C5D8C7A" w:rsidR="00DB689D" w:rsidRDefault="00310A10" w:rsidP="00843927">
            <w:pPr>
              <w:widowControl w:val="0"/>
              <w:numPr>
                <w:ilvl w:val="0"/>
                <w:numId w:val="5"/>
              </w:numPr>
              <w:spacing w:before="240" w:line="276" w:lineRule="auto"/>
              <w:rPr>
                <w:color w:val="0E101A"/>
              </w:rPr>
            </w:pPr>
            <w:r>
              <w:rPr>
                <w:color w:val="0E101A"/>
              </w:rPr>
              <w:t xml:space="preserve">The harm prevalence rate was drawn from the </w:t>
            </w:r>
            <w:r>
              <w:rPr>
                <w:i/>
                <w:color w:val="0E101A"/>
              </w:rPr>
              <w:t xml:space="preserve">Measuring the Burden of Gambling Harm in New Zealand study </w:t>
            </w:r>
            <w:r w:rsidR="00DB2449">
              <w:rPr>
                <w:noProof/>
                <w:color w:val="000000"/>
              </w:rPr>
              <w:t>(</w:t>
            </w:r>
            <w:r w:rsidR="002A3095">
              <w:rPr>
                <w:noProof/>
                <w:color w:val="000000"/>
              </w:rPr>
              <w:t>Browne, Greer et al., 2017</w:t>
            </w:r>
            <w:r w:rsidR="00DB2449">
              <w:rPr>
                <w:noProof/>
                <w:color w:val="000000"/>
              </w:rPr>
              <w:t>)</w:t>
            </w:r>
            <w:r>
              <w:rPr>
                <w:color w:val="0E101A"/>
              </w:rPr>
              <w:t>, which found that 8.5% of individuals in the problem gambling group reported losing a job due to their gambling, while no job loss was reported among those in the moderate- or low-risk groups.</w:t>
            </w:r>
          </w:p>
          <w:p w14:paraId="4F8ED78A" w14:textId="77777777" w:rsidR="00DB689D" w:rsidRDefault="00310A10" w:rsidP="00843927">
            <w:pPr>
              <w:widowControl w:val="0"/>
              <w:numPr>
                <w:ilvl w:val="0"/>
                <w:numId w:val="5"/>
              </w:numPr>
              <w:spacing w:after="240" w:line="276" w:lineRule="auto"/>
              <w:rPr>
                <w:color w:val="0E101A"/>
              </w:rPr>
            </w:pPr>
            <w:r>
              <w:rPr>
                <w:color w:val="0E101A"/>
              </w:rPr>
              <w:t>This rate was applied to the number of adults classified in the problem gambling category, as reported in the 2024 NZGS, and adjusted by a 20% causality discount to account for other contributing factors that may have influenced reported job losses. All reported job losses were associated with individuals in the problem gambling group.</w:t>
            </w:r>
          </w:p>
          <w:p w14:paraId="35EFB362" w14:textId="77777777" w:rsidR="00DB689D" w:rsidRDefault="00310A10" w:rsidP="00843927">
            <w:pPr>
              <w:widowControl w:val="0"/>
              <w:spacing w:before="240" w:after="240" w:line="276" w:lineRule="auto"/>
              <w:rPr>
                <w:i/>
                <w:color w:val="0E101A"/>
              </w:rPr>
            </w:pPr>
            <w:r>
              <w:rPr>
                <w:i/>
                <w:color w:val="0E101A"/>
              </w:rPr>
              <w:t>Lost income to individuals</w:t>
            </w:r>
          </w:p>
          <w:p w14:paraId="47C17FCE" w14:textId="5F8639D9" w:rsidR="00DB689D" w:rsidRDefault="00310A10" w:rsidP="00843927">
            <w:pPr>
              <w:widowControl w:val="0"/>
              <w:numPr>
                <w:ilvl w:val="0"/>
                <w:numId w:val="21"/>
              </w:numPr>
              <w:spacing w:before="240" w:line="276" w:lineRule="auto"/>
              <w:rPr>
                <w:color w:val="0E101A"/>
              </w:rPr>
            </w:pPr>
            <w:r>
              <w:rPr>
                <w:color w:val="0E101A"/>
              </w:rPr>
              <w:t xml:space="preserve">The average duration of unemployment (4.1 months) was based on data from the Household Labour Force Survey </w:t>
            </w:r>
            <w:r w:rsidR="0038398B">
              <w:rPr>
                <w:noProof/>
                <w:color w:val="000000"/>
              </w:rPr>
              <w:t>(New Zealand Government, 2024d)</w:t>
            </w:r>
            <w:r>
              <w:rPr>
                <w:color w:val="0E101A"/>
              </w:rPr>
              <w:t>.</w:t>
            </w:r>
          </w:p>
          <w:p w14:paraId="6550ED6E" w14:textId="55F9600F" w:rsidR="00DB689D" w:rsidRDefault="00310A10" w:rsidP="00843927">
            <w:pPr>
              <w:widowControl w:val="0"/>
              <w:numPr>
                <w:ilvl w:val="0"/>
                <w:numId w:val="21"/>
              </w:numPr>
              <w:spacing w:line="276" w:lineRule="auto"/>
              <w:rPr>
                <w:color w:val="0E101A"/>
              </w:rPr>
            </w:pPr>
            <w:r>
              <w:rPr>
                <w:color w:val="0E101A"/>
              </w:rPr>
              <w:t xml:space="preserve">Median monthly earnings from wages and salaries were $5,820, as reported in the Labour Market Income Statistics June 2024 quarter </w:t>
            </w:r>
            <w:r w:rsidR="0038398B">
              <w:rPr>
                <w:noProof/>
                <w:color w:val="000000"/>
              </w:rPr>
              <w:t>(New Zealand Government, 2024e)</w:t>
            </w:r>
            <w:r>
              <w:rPr>
                <w:color w:val="0E101A"/>
              </w:rPr>
              <w:t>.</w:t>
            </w:r>
          </w:p>
          <w:p w14:paraId="6CB18EDE" w14:textId="77777777" w:rsidR="00DB689D" w:rsidRDefault="00310A10" w:rsidP="00843927">
            <w:pPr>
              <w:widowControl w:val="0"/>
              <w:numPr>
                <w:ilvl w:val="0"/>
                <w:numId w:val="21"/>
              </w:numPr>
              <w:spacing w:after="240" w:line="276" w:lineRule="auto"/>
              <w:rPr>
                <w:color w:val="0E101A"/>
              </w:rPr>
            </w:pPr>
            <w:r>
              <w:rPr>
                <w:color w:val="0E101A"/>
              </w:rPr>
              <w:t>The total loss of income to individuals was $32.9 million.</w:t>
            </w:r>
          </w:p>
          <w:p w14:paraId="72C2C8CA" w14:textId="77777777" w:rsidR="00DB689D" w:rsidRDefault="00310A10" w:rsidP="00843927">
            <w:pPr>
              <w:widowControl w:val="0"/>
              <w:spacing w:before="240" w:after="240" w:line="276" w:lineRule="auto"/>
              <w:rPr>
                <w:i/>
                <w:color w:val="0E101A"/>
              </w:rPr>
            </w:pPr>
            <w:r>
              <w:rPr>
                <w:i/>
                <w:color w:val="0E101A"/>
              </w:rPr>
              <w:t>Job search costs</w:t>
            </w:r>
          </w:p>
          <w:p w14:paraId="359DEE09" w14:textId="6E37CC8A" w:rsidR="00DB689D" w:rsidRDefault="00310A10" w:rsidP="00843927">
            <w:pPr>
              <w:widowControl w:val="0"/>
              <w:numPr>
                <w:ilvl w:val="0"/>
                <w:numId w:val="40"/>
              </w:numPr>
              <w:spacing w:before="240" w:line="276" w:lineRule="auto"/>
              <w:rPr>
                <w:color w:val="0E101A"/>
              </w:rPr>
            </w:pPr>
            <w:r>
              <w:rPr>
                <w:color w:val="0E101A"/>
              </w:rPr>
              <w:t xml:space="preserve">Job search costs were estimated using inflation-adjusted figures from the </w:t>
            </w:r>
            <w:r>
              <w:rPr>
                <w:i/>
                <w:color w:val="0E101A"/>
              </w:rPr>
              <w:t xml:space="preserve">Victorian Competition and Efficiency Commission </w:t>
            </w:r>
            <w:r w:rsidR="0038398B" w:rsidRPr="0038398B">
              <w:rPr>
                <w:noProof/>
                <w:color w:val="000000"/>
              </w:rPr>
              <w:t>(2012)</w:t>
            </w:r>
            <w:r>
              <w:rPr>
                <w:color w:val="0E101A"/>
              </w:rPr>
              <w:t>, which include expenses such as travel to interviews, application preparation, communication costs, and other out-of-pocket expenditures incurred while seeking new employment.</w:t>
            </w:r>
          </w:p>
          <w:p w14:paraId="06C1A478" w14:textId="77777777" w:rsidR="00DB689D" w:rsidRDefault="00310A10" w:rsidP="00843927">
            <w:pPr>
              <w:widowControl w:val="0"/>
              <w:numPr>
                <w:ilvl w:val="0"/>
                <w:numId w:val="40"/>
              </w:numPr>
              <w:spacing w:line="276" w:lineRule="auto"/>
              <w:rPr>
                <w:color w:val="0E101A"/>
              </w:rPr>
            </w:pPr>
            <w:r>
              <w:rPr>
                <w:color w:val="0E101A"/>
              </w:rPr>
              <w:t>These historical figures were adjusted for inflation and converted to 2024 New Zealand dollars to ensure relevance to the current economic context.</w:t>
            </w:r>
          </w:p>
          <w:p w14:paraId="5CC21791" w14:textId="0C2CCF96" w:rsidR="00DB689D" w:rsidRPr="00724BBB" w:rsidRDefault="00310A10" w:rsidP="00724BBB">
            <w:pPr>
              <w:widowControl w:val="0"/>
              <w:numPr>
                <w:ilvl w:val="0"/>
                <w:numId w:val="40"/>
              </w:numPr>
              <w:spacing w:after="240" w:line="276" w:lineRule="auto"/>
              <w:rPr>
                <w:color w:val="0E101A"/>
              </w:rPr>
            </w:pPr>
            <w:r>
              <w:rPr>
                <w:color w:val="0E101A"/>
              </w:rPr>
              <w:t>The total cost of job searching for those who gamble was $7.0 million.</w:t>
            </w:r>
          </w:p>
        </w:tc>
      </w:tr>
    </w:tbl>
    <w:p w14:paraId="4725F135" w14:textId="77777777" w:rsidR="00724BBB" w:rsidRDefault="00724BBB" w:rsidP="005D6CDF">
      <w:pPr>
        <w:spacing w:line="360" w:lineRule="auto"/>
        <w:rPr>
          <w:b/>
          <w:bCs/>
          <w:color w:val="000000"/>
        </w:rPr>
      </w:pPr>
    </w:p>
    <w:p w14:paraId="03551FA8" w14:textId="77777777" w:rsidR="00724BBB" w:rsidRDefault="00724BBB" w:rsidP="00724BBB">
      <w:pPr>
        <w:spacing w:line="360" w:lineRule="auto"/>
      </w:pPr>
    </w:p>
    <w:p w14:paraId="0EB5BC3B" w14:textId="77777777" w:rsidR="00432E0E" w:rsidRDefault="00432E0E" w:rsidP="00724BBB">
      <w:pPr>
        <w:spacing w:line="360" w:lineRule="auto"/>
      </w:pPr>
    </w:p>
    <w:p w14:paraId="4419223B" w14:textId="77777777" w:rsidR="00724BBB" w:rsidRDefault="00724BBB" w:rsidP="00724BBB">
      <w:pPr>
        <w:spacing w:line="360" w:lineRule="auto"/>
      </w:pPr>
    </w:p>
    <w:p w14:paraId="73AC1199" w14:textId="77777777" w:rsidR="00724BBB" w:rsidRPr="00536773" w:rsidRDefault="00724BBB" w:rsidP="00724BBB">
      <w:pPr>
        <w:spacing w:line="360" w:lineRule="auto"/>
      </w:pPr>
    </w:p>
    <w:tbl>
      <w:tblPr>
        <w:tblStyle w:val="af3"/>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724BBB" w14:paraId="3CDD0C85" w14:textId="77777777">
        <w:tc>
          <w:tcPr>
            <w:tcW w:w="9026" w:type="dxa"/>
            <w:shd w:val="clear" w:color="auto" w:fill="F3F3F3"/>
            <w:tcMar>
              <w:top w:w="100" w:type="dxa"/>
              <w:left w:w="100" w:type="dxa"/>
              <w:bottom w:w="100" w:type="dxa"/>
              <w:right w:w="100" w:type="dxa"/>
            </w:tcMar>
          </w:tcPr>
          <w:p w14:paraId="4C80989B" w14:textId="77777777" w:rsidR="00724BBB" w:rsidRDefault="00724BBB">
            <w:pPr>
              <w:widowControl w:val="0"/>
              <w:spacing w:before="240" w:after="240" w:line="276" w:lineRule="auto"/>
              <w:rPr>
                <w:i/>
                <w:color w:val="0E101A"/>
              </w:rPr>
            </w:pPr>
            <w:r>
              <w:rPr>
                <w:i/>
                <w:color w:val="0E101A"/>
              </w:rPr>
              <w:t>Employer replacement costs</w:t>
            </w:r>
          </w:p>
          <w:p w14:paraId="7C6B5A4E" w14:textId="77777777" w:rsidR="00724BBB" w:rsidRDefault="00724BBB">
            <w:pPr>
              <w:widowControl w:val="0"/>
              <w:numPr>
                <w:ilvl w:val="0"/>
                <w:numId w:val="39"/>
              </w:numPr>
              <w:spacing w:before="240" w:line="276" w:lineRule="auto"/>
              <w:rPr>
                <w:color w:val="0E101A"/>
              </w:rPr>
            </w:pPr>
            <w:r>
              <w:rPr>
                <w:color w:val="0E101A"/>
              </w:rPr>
              <w:t xml:space="preserve">Employer costs associated with replacing staff were based on average recruitment and onboarding expenses, including advertising, interviewing, administrative processing, and training of new hires. This was informed by the </w:t>
            </w:r>
            <w:r>
              <w:rPr>
                <w:i/>
                <w:color w:val="0E101A"/>
              </w:rPr>
              <w:t xml:space="preserve">ELMO Software 2024 HR Industry Benchmark Report </w:t>
            </w:r>
            <w:r>
              <w:rPr>
                <w:noProof/>
                <w:color w:val="000000"/>
              </w:rPr>
              <w:t>(ELMO Software, 2024)</w:t>
            </w:r>
            <w:r>
              <w:rPr>
                <w:color w:val="0E101A"/>
              </w:rPr>
              <w:t>, which estimates the average cost of replacing an employee in New Zealand to be $20,000.</w:t>
            </w:r>
          </w:p>
          <w:p w14:paraId="3D746709" w14:textId="77777777" w:rsidR="00724BBB" w:rsidRDefault="00724BBB">
            <w:pPr>
              <w:widowControl w:val="0"/>
              <w:numPr>
                <w:ilvl w:val="0"/>
                <w:numId w:val="39"/>
              </w:numPr>
              <w:spacing w:after="240" w:line="276" w:lineRule="auto"/>
              <w:rPr>
                <w:color w:val="0E101A"/>
              </w:rPr>
            </w:pPr>
            <w:r>
              <w:rPr>
                <w:color w:val="0E101A"/>
              </w:rPr>
              <w:t>The total cost to employers was $27.8 million.</w:t>
            </w:r>
          </w:p>
          <w:p w14:paraId="35A1921F" w14:textId="77777777" w:rsidR="00724BBB" w:rsidRDefault="00724BBB">
            <w:pPr>
              <w:widowControl w:val="0"/>
              <w:spacing w:before="240" w:after="240" w:line="276" w:lineRule="auto"/>
              <w:rPr>
                <w:i/>
                <w:color w:val="0E101A"/>
              </w:rPr>
            </w:pPr>
            <w:r>
              <w:rPr>
                <w:i/>
                <w:color w:val="0E101A"/>
              </w:rPr>
              <w:t>Unemployment benefits</w:t>
            </w:r>
          </w:p>
          <w:p w14:paraId="126F7E8A" w14:textId="77777777" w:rsidR="00724BBB" w:rsidRDefault="00724BBB">
            <w:pPr>
              <w:widowControl w:val="0"/>
              <w:numPr>
                <w:ilvl w:val="0"/>
                <w:numId w:val="15"/>
              </w:numPr>
              <w:spacing w:before="240" w:line="276" w:lineRule="auto"/>
              <w:rPr>
                <w:color w:val="0E101A"/>
              </w:rPr>
            </w:pPr>
            <w:r>
              <w:rPr>
                <w:color w:val="0E101A"/>
              </w:rPr>
              <w:t xml:space="preserve">The cost of unemployment support was calculated using the proportion of individuals likely to be eligible for Jobseeker benefits, estimated at 32% </w:t>
            </w:r>
            <w:r>
              <w:rPr>
                <w:noProof/>
                <w:color w:val="000000"/>
              </w:rPr>
              <w:t>(Stats New Zealand, 2023)</w:t>
            </w:r>
            <w:r>
              <w:rPr>
                <w:color w:val="0E101A"/>
              </w:rPr>
              <w:t xml:space="preserve">. </w:t>
            </w:r>
          </w:p>
          <w:p w14:paraId="5A562E5A" w14:textId="77777777" w:rsidR="00724BBB" w:rsidRDefault="00724BBB">
            <w:pPr>
              <w:widowControl w:val="0"/>
              <w:numPr>
                <w:ilvl w:val="0"/>
                <w:numId w:val="15"/>
              </w:numPr>
              <w:spacing w:line="276" w:lineRule="auto"/>
              <w:rPr>
                <w:color w:val="0E101A"/>
              </w:rPr>
            </w:pPr>
            <w:r>
              <w:rPr>
                <w:color w:val="0E101A"/>
              </w:rPr>
              <w:t xml:space="preserve">The average benefit payment was based on the mean monthly Jobseeker Support rate of $1,755 </w:t>
            </w:r>
            <w:r>
              <w:rPr>
                <w:noProof/>
                <w:color w:val="000000"/>
              </w:rPr>
              <w:t>(Ministry of Social Development, 2024)</w:t>
            </w:r>
            <w:r>
              <w:rPr>
                <w:color w:val="0E101A"/>
              </w:rPr>
              <w:t xml:space="preserve">, with payments assumed to continue for the average unemployment duration of 4.1 months </w:t>
            </w:r>
            <w:r>
              <w:rPr>
                <w:noProof/>
                <w:color w:val="000000"/>
              </w:rPr>
              <w:t>(New Zealand Government, 2024d)</w:t>
            </w:r>
            <w:r>
              <w:rPr>
                <w:color w:val="0E101A"/>
              </w:rPr>
              <w:t>.</w:t>
            </w:r>
          </w:p>
          <w:p w14:paraId="373D11B5" w14:textId="77777777" w:rsidR="00724BBB" w:rsidRDefault="00724BBB">
            <w:pPr>
              <w:widowControl w:val="0"/>
              <w:numPr>
                <w:ilvl w:val="0"/>
                <w:numId w:val="15"/>
              </w:numPr>
              <w:spacing w:after="240" w:line="276" w:lineRule="auto"/>
              <w:rPr>
                <w:color w:val="0E101A"/>
              </w:rPr>
            </w:pPr>
            <w:r>
              <w:rPr>
                <w:color w:val="0E101A"/>
              </w:rPr>
              <w:t>The total cost of unemployment benefits to the government was $3.2 million.</w:t>
            </w:r>
          </w:p>
        </w:tc>
      </w:tr>
    </w:tbl>
    <w:p w14:paraId="073613E6" w14:textId="77777777" w:rsidR="00724BBB" w:rsidRDefault="00724BBB" w:rsidP="00724BBB">
      <w:pPr>
        <w:spacing w:line="360" w:lineRule="auto"/>
        <w:rPr>
          <w:b/>
          <w:bCs/>
          <w:color w:val="000000"/>
        </w:rPr>
      </w:pPr>
    </w:p>
    <w:p w14:paraId="670D9940" w14:textId="77777777" w:rsidR="00724BBB" w:rsidRDefault="00724BBB" w:rsidP="005D6CDF">
      <w:pPr>
        <w:spacing w:line="360" w:lineRule="auto"/>
        <w:rPr>
          <w:b/>
          <w:bCs/>
          <w:color w:val="000000"/>
        </w:rPr>
      </w:pPr>
    </w:p>
    <w:p w14:paraId="4AE977EC" w14:textId="38B085E6" w:rsidR="00A0657F" w:rsidRDefault="00A91E61" w:rsidP="005D6CDF">
      <w:pPr>
        <w:spacing w:line="360" w:lineRule="auto"/>
      </w:pPr>
      <w:r w:rsidRPr="00A91E61">
        <w:rPr>
          <w:b/>
          <w:bCs/>
          <w:color w:val="000000"/>
        </w:rPr>
        <w:t>Th</w:t>
      </w:r>
      <w:r>
        <w:rPr>
          <w:b/>
          <w:bCs/>
          <w:color w:val="000000"/>
        </w:rPr>
        <w:t>e estimated cost of job losses associated with gambling problems in New Zealand is around $70.9 million (Table 2</w:t>
      </w:r>
      <w:r w:rsidR="001D7B0D">
        <w:rPr>
          <w:b/>
          <w:bCs/>
          <w:color w:val="000000"/>
        </w:rPr>
        <w:t>6</w:t>
      </w:r>
      <w:r>
        <w:rPr>
          <w:b/>
          <w:bCs/>
          <w:color w:val="000000"/>
        </w:rPr>
        <w:t>)</w:t>
      </w:r>
      <w:r w:rsidR="00536773">
        <w:rPr>
          <w:color w:val="000000"/>
        </w:rPr>
        <w:t xml:space="preserve"> and </w:t>
      </w:r>
      <w:r>
        <w:t>between a lower bound of $61.1 million and an upper bound of $90.7 million. This range reflects uncertainty in the estimates, including limitations in the availability of up-to-date local data on job search costs. The lower bound was calculated using the lowest weekly unemployment benefit rate, while the upper bound applied the mean benefit rate. This approach accounts for variability in individual eligibility and benefit payments across different claimant profiles.</w:t>
      </w:r>
    </w:p>
    <w:p w14:paraId="1025364F" w14:textId="77777777" w:rsidR="00724BBB" w:rsidRDefault="00724BBB" w:rsidP="005D6CDF">
      <w:pPr>
        <w:spacing w:line="360" w:lineRule="auto"/>
      </w:pPr>
    </w:p>
    <w:p w14:paraId="08D6C948" w14:textId="77777777" w:rsidR="00724BBB" w:rsidRDefault="00724BBB" w:rsidP="005D6CDF">
      <w:pPr>
        <w:spacing w:line="360" w:lineRule="auto"/>
      </w:pPr>
    </w:p>
    <w:p w14:paraId="67C8E398" w14:textId="77777777" w:rsidR="00724BBB" w:rsidRDefault="00724BBB" w:rsidP="005D6CDF">
      <w:pPr>
        <w:spacing w:line="360" w:lineRule="auto"/>
      </w:pPr>
    </w:p>
    <w:p w14:paraId="6B2EFDFF" w14:textId="77777777" w:rsidR="00724BBB" w:rsidRDefault="00724BBB" w:rsidP="005D6CDF">
      <w:pPr>
        <w:spacing w:line="360" w:lineRule="auto"/>
      </w:pPr>
    </w:p>
    <w:p w14:paraId="31095D68" w14:textId="77777777" w:rsidR="00724BBB" w:rsidRDefault="00724BBB" w:rsidP="005D6CDF">
      <w:pPr>
        <w:spacing w:line="360" w:lineRule="auto"/>
      </w:pPr>
    </w:p>
    <w:p w14:paraId="798022BC" w14:textId="77777777" w:rsidR="00724BBB" w:rsidRDefault="00724BBB" w:rsidP="005D6CDF">
      <w:pPr>
        <w:spacing w:line="360" w:lineRule="auto"/>
      </w:pPr>
    </w:p>
    <w:p w14:paraId="6ED3B664" w14:textId="77777777" w:rsidR="00724BBB" w:rsidRDefault="00724BBB" w:rsidP="005D6CDF">
      <w:pPr>
        <w:spacing w:line="360" w:lineRule="auto"/>
      </w:pPr>
    </w:p>
    <w:p w14:paraId="33D36D0A" w14:textId="77777777" w:rsidR="00724BBB" w:rsidRDefault="00724BBB" w:rsidP="005D6CDF">
      <w:pPr>
        <w:spacing w:line="360" w:lineRule="auto"/>
      </w:pPr>
    </w:p>
    <w:p w14:paraId="7A16E347" w14:textId="77777777" w:rsidR="005D6CDF" w:rsidRPr="005D6CDF" w:rsidRDefault="005D6CDF" w:rsidP="005D6CDF">
      <w:pPr>
        <w:spacing w:line="360" w:lineRule="auto"/>
      </w:pPr>
    </w:p>
    <w:p w14:paraId="5CE19D49" w14:textId="7A0C9B9B" w:rsidR="006903A5" w:rsidRDefault="006903A5" w:rsidP="00DB094D">
      <w:pPr>
        <w:pStyle w:val="Caption"/>
      </w:pPr>
      <w:bookmarkStart w:id="473" w:name="_Toc207619068"/>
      <w:r>
        <w:t xml:space="preserve">Table </w:t>
      </w:r>
      <w:r>
        <w:fldChar w:fldCharType="begin"/>
      </w:r>
      <w:r>
        <w:instrText xml:space="preserve"> SEQ Table \* ARABIC </w:instrText>
      </w:r>
      <w:r>
        <w:fldChar w:fldCharType="separate"/>
      </w:r>
      <w:r w:rsidR="00986A0D">
        <w:rPr>
          <w:noProof/>
        </w:rPr>
        <w:t>26</w:t>
      </w:r>
      <w:r>
        <w:fldChar w:fldCharType="end"/>
      </w:r>
      <w:r>
        <w:t xml:space="preserve">. </w:t>
      </w:r>
      <w:r w:rsidRPr="00366C51">
        <w:t>Cost of job loss due to gambling problems in New Zealand (2023-24)</w:t>
      </w:r>
      <w:bookmarkEnd w:id="473"/>
    </w:p>
    <w:tbl>
      <w:tblPr>
        <w:tblStyle w:val="TableGridLight"/>
        <w:tblW w:w="5203" w:type="pct"/>
        <w:tblLook w:val="04A0" w:firstRow="1" w:lastRow="0" w:firstColumn="1" w:lastColumn="0" w:noHBand="0" w:noVBand="1"/>
      </w:tblPr>
      <w:tblGrid>
        <w:gridCol w:w="3726"/>
        <w:gridCol w:w="1595"/>
        <w:gridCol w:w="866"/>
        <w:gridCol w:w="766"/>
        <w:gridCol w:w="1216"/>
        <w:gridCol w:w="1216"/>
      </w:tblGrid>
      <w:tr w:rsidR="006903A5" w:rsidRPr="00724BBB" w14:paraId="4C8E14B2" w14:textId="77777777">
        <w:trPr>
          <w:trHeight w:val="397"/>
        </w:trPr>
        <w:tc>
          <w:tcPr>
            <w:tcW w:w="2046" w:type="pct"/>
            <w:shd w:val="clear" w:color="auto" w:fill="F2F2F2" w:themeFill="background1" w:themeFillShade="F2"/>
            <w:vAlign w:val="center"/>
            <w:hideMark/>
          </w:tcPr>
          <w:p w14:paraId="565BE6FD" w14:textId="77777777" w:rsidR="006903A5" w:rsidRPr="00724BBB" w:rsidRDefault="006903A5">
            <w:pPr>
              <w:spacing w:line="276" w:lineRule="auto"/>
              <w:rPr>
                <w:b/>
                <w:bCs/>
                <w:color w:val="000000"/>
                <w:sz w:val="20"/>
                <w:szCs w:val="20"/>
              </w:rPr>
            </w:pPr>
            <w:r w:rsidRPr="00724BBB">
              <w:rPr>
                <w:b/>
                <w:bCs/>
                <w:color w:val="000000"/>
                <w:sz w:val="20"/>
                <w:szCs w:val="20"/>
              </w:rPr>
              <w:t>Variable</w:t>
            </w:r>
          </w:p>
        </w:tc>
        <w:tc>
          <w:tcPr>
            <w:tcW w:w="788" w:type="pct"/>
            <w:shd w:val="clear" w:color="auto" w:fill="F2F2F2" w:themeFill="background1" w:themeFillShade="F2"/>
            <w:vAlign w:val="center"/>
            <w:hideMark/>
          </w:tcPr>
          <w:p w14:paraId="1EB96036" w14:textId="77777777" w:rsidR="006903A5" w:rsidRPr="00724BBB" w:rsidRDefault="006903A5">
            <w:pPr>
              <w:spacing w:line="276" w:lineRule="auto"/>
              <w:jc w:val="center"/>
              <w:rPr>
                <w:b/>
                <w:bCs/>
                <w:color w:val="000000"/>
                <w:sz w:val="20"/>
                <w:szCs w:val="20"/>
              </w:rPr>
            </w:pPr>
            <w:r w:rsidRPr="00724BBB">
              <w:rPr>
                <w:b/>
                <w:bCs/>
                <w:color w:val="000000"/>
                <w:sz w:val="20"/>
                <w:szCs w:val="20"/>
              </w:rPr>
              <w:t>Calculation</w:t>
            </w:r>
          </w:p>
        </w:tc>
        <w:tc>
          <w:tcPr>
            <w:tcW w:w="447" w:type="pct"/>
            <w:shd w:val="clear" w:color="auto" w:fill="F2F2F2" w:themeFill="background1" w:themeFillShade="F2"/>
            <w:vAlign w:val="center"/>
            <w:hideMark/>
          </w:tcPr>
          <w:p w14:paraId="48ACCB76" w14:textId="77777777" w:rsidR="006903A5" w:rsidRPr="00724BBB" w:rsidRDefault="006903A5">
            <w:pPr>
              <w:spacing w:line="276" w:lineRule="auto"/>
              <w:jc w:val="center"/>
              <w:rPr>
                <w:b/>
                <w:bCs/>
                <w:color w:val="000000"/>
                <w:sz w:val="20"/>
                <w:szCs w:val="20"/>
              </w:rPr>
            </w:pPr>
            <w:r w:rsidRPr="00724BBB">
              <w:rPr>
                <w:b/>
                <w:bCs/>
                <w:color w:val="000000"/>
                <w:sz w:val="20"/>
                <w:szCs w:val="20"/>
              </w:rPr>
              <w:t>LR</w:t>
            </w:r>
          </w:p>
        </w:tc>
        <w:tc>
          <w:tcPr>
            <w:tcW w:w="396" w:type="pct"/>
            <w:shd w:val="clear" w:color="auto" w:fill="F2F2F2" w:themeFill="background1" w:themeFillShade="F2"/>
            <w:vAlign w:val="center"/>
            <w:hideMark/>
          </w:tcPr>
          <w:p w14:paraId="28065186" w14:textId="77777777" w:rsidR="006903A5" w:rsidRPr="00724BBB" w:rsidRDefault="006903A5">
            <w:pPr>
              <w:spacing w:line="276" w:lineRule="auto"/>
              <w:jc w:val="center"/>
              <w:rPr>
                <w:b/>
                <w:bCs/>
                <w:color w:val="000000"/>
                <w:sz w:val="20"/>
                <w:szCs w:val="20"/>
              </w:rPr>
            </w:pPr>
            <w:r w:rsidRPr="00724BBB">
              <w:rPr>
                <w:b/>
                <w:bCs/>
                <w:color w:val="000000"/>
                <w:sz w:val="20"/>
                <w:szCs w:val="20"/>
              </w:rPr>
              <w:t>MR</w:t>
            </w:r>
          </w:p>
        </w:tc>
        <w:tc>
          <w:tcPr>
            <w:tcW w:w="628" w:type="pct"/>
            <w:shd w:val="clear" w:color="auto" w:fill="F2F2F2" w:themeFill="background1" w:themeFillShade="F2"/>
            <w:vAlign w:val="center"/>
            <w:hideMark/>
          </w:tcPr>
          <w:p w14:paraId="15724B7D" w14:textId="77777777" w:rsidR="006903A5" w:rsidRPr="00724BBB" w:rsidRDefault="006903A5">
            <w:pPr>
              <w:spacing w:line="276" w:lineRule="auto"/>
              <w:jc w:val="center"/>
              <w:rPr>
                <w:b/>
                <w:bCs/>
                <w:color w:val="000000"/>
                <w:sz w:val="20"/>
                <w:szCs w:val="20"/>
              </w:rPr>
            </w:pPr>
            <w:r w:rsidRPr="00724BBB">
              <w:rPr>
                <w:b/>
                <w:bCs/>
                <w:color w:val="000000"/>
                <w:sz w:val="20"/>
                <w:szCs w:val="20"/>
              </w:rPr>
              <w:t>PG</w:t>
            </w:r>
          </w:p>
        </w:tc>
        <w:tc>
          <w:tcPr>
            <w:tcW w:w="696" w:type="pct"/>
            <w:shd w:val="clear" w:color="auto" w:fill="F2F2F2" w:themeFill="background1" w:themeFillShade="F2"/>
            <w:vAlign w:val="center"/>
            <w:hideMark/>
          </w:tcPr>
          <w:p w14:paraId="5CC6AAAA" w14:textId="77777777" w:rsidR="006903A5" w:rsidRPr="00724BBB" w:rsidRDefault="006903A5">
            <w:pPr>
              <w:spacing w:line="276" w:lineRule="auto"/>
              <w:jc w:val="center"/>
              <w:rPr>
                <w:b/>
                <w:bCs/>
                <w:color w:val="000000"/>
                <w:sz w:val="20"/>
                <w:szCs w:val="20"/>
              </w:rPr>
            </w:pPr>
            <w:r w:rsidRPr="00724BBB">
              <w:rPr>
                <w:b/>
                <w:bCs/>
                <w:color w:val="000000"/>
                <w:sz w:val="20"/>
                <w:szCs w:val="20"/>
              </w:rPr>
              <w:t>Total Gambling Problems</w:t>
            </w:r>
          </w:p>
        </w:tc>
      </w:tr>
      <w:tr w:rsidR="006903A5" w:rsidRPr="00724BBB" w14:paraId="378A3D21" w14:textId="77777777">
        <w:trPr>
          <w:trHeight w:val="397"/>
        </w:trPr>
        <w:tc>
          <w:tcPr>
            <w:tcW w:w="2046" w:type="pct"/>
            <w:vAlign w:val="center"/>
            <w:hideMark/>
          </w:tcPr>
          <w:p w14:paraId="01BCE1CF" w14:textId="77777777" w:rsidR="006903A5" w:rsidRPr="00724BBB" w:rsidRDefault="006903A5" w:rsidP="00536773">
            <w:pPr>
              <w:spacing w:line="276" w:lineRule="auto"/>
              <w:rPr>
                <w:color w:val="000000"/>
                <w:sz w:val="20"/>
                <w:szCs w:val="20"/>
              </w:rPr>
            </w:pPr>
            <w:r w:rsidRPr="00724BBB">
              <w:rPr>
                <w:color w:val="000000"/>
                <w:sz w:val="20"/>
                <w:szCs w:val="20"/>
              </w:rPr>
              <w:t>New Zealand population with gambling problems by PGSI group (n)</w:t>
            </w:r>
          </w:p>
        </w:tc>
        <w:tc>
          <w:tcPr>
            <w:tcW w:w="788" w:type="pct"/>
            <w:vAlign w:val="center"/>
            <w:hideMark/>
          </w:tcPr>
          <w:p w14:paraId="462F8051" w14:textId="77777777" w:rsidR="006903A5" w:rsidRPr="00724BBB" w:rsidRDefault="006903A5">
            <w:pPr>
              <w:spacing w:line="276" w:lineRule="auto"/>
              <w:rPr>
                <w:color w:val="000000"/>
                <w:sz w:val="20"/>
                <w:szCs w:val="20"/>
              </w:rPr>
            </w:pPr>
            <w:r w:rsidRPr="00724BBB">
              <w:rPr>
                <w:color w:val="000000"/>
                <w:sz w:val="20"/>
                <w:szCs w:val="20"/>
              </w:rPr>
              <w:t>a</w:t>
            </w:r>
          </w:p>
        </w:tc>
        <w:tc>
          <w:tcPr>
            <w:tcW w:w="447" w:type="pct"/>
            <w:vAlign w:val="center"/>
            <w:hideMark/>
          </w:tcPr>
          <w:p w14:paraId="275A6D29" w14:textId="77777777" w:rsidR="006903A5" w:rsidRPr="00724BBB" w:rsidRDefault="006903A5">
            <w:pPr>
              <w:spacing w:line="276" w:lineRule="auto"/>
              <w:jc w:val="right"/>
              <w:rPr>
                <w:color w:val="000000"/>
                <w:sz w:val="20"/>
                <w:szCs w:val="20"/>
              </w:rPr>
            </w:pPr>
            <w:r w:rsidRPr="00724BBB">
              <w:rPr>
                <w:color w:val="000000"/>
                <w:sz w:val="20"/>
                <w:szCs w:val="20"/>
              </w:rPr>
              <w:t>255,318</w:t>
            </w:r>
          </w:p>
        </w:tc>
        <w:tc>
          <w:tcPr>
            <w:tcW w:w="396" w:type="pct"/>
            <w:vAlign w:val="center"/>
            <w:hideMark/>
          </w:tcPr>
          <w:p w14:paraId="531A7E2F" w14:textId="77777777" w:rsidR="006903A5" w:rsidRPr="00724BBB" w:rsidRDefault="006903A5">
            <w:pPr>
              <w:spacing w:line="276" w:lineRule="auto"/>
              <w:jc w:val="right"/>
              <w:rPr>
                <w:color w:val="000000"/>
                <w:sz w:val="20"/>
                <w:szCs w:val="20"/>
              </w:rPr>
            </w:pPr>
            <w:r w:rsidRPr="00724BBB">
              <w:rPr>
                <w:color w:val="000000"/>
                <w:sz w:val="20"/>
                <w:szCs w:val="20"/>
              </w:rPr>
              <w:t>83,492</w:t>
            </w:r>
          </w:p>
        </w:tc>
        <w:tc>
          <w:tcPr>
            <w:tcW w:w="628" w:type="pct"/>
            <w:vAlign w:val="center"/>
            <w:hideMark/>
          </w:tcPr>
          <w:p w14:paraId="3A67A512" w14:textId="77777777" w:rsidR="006903A5" w:rsidRPr="00724BBB" w:rsidRDefault="006903A5">
            <w:pPr>
              <w:spacing w:line="276" w:lineRule="auto"/>
              <w:jc w:val="right"/>
              <w:rPr>
                <w:color w:val="000000"/>
                <w:sz w:val="20"/>
                <w:szCs w:val="20"/>
              </w:rPr>
            </w:pPr>
            <w:r w:rsidRPr="00724BBB">
              <w:rPr>
                <w:color w:val="000000"/>
                <w:sz w:val="20"/>
                <w:szCs w:val="20"/>
              </w:rPr>
              <w:t>20,436</w:t>
            </w:r>
          </w:p>
        </w:tc>
        <w:tc>
          <w:tcPr>
            <w:tcW w:w="696" w:type="pct"/>
            <w:vAlign w:val="center"/>
            <w:hideMark/>
          </w:tcPr>
          <w:p w14:paraId="35346EC5" w14:textId="77777777" w:rsidR="006903A5" w:rsidRPr="00724BBB" w:rsidRDefault="006903A5">
            <w:pPr>
              <w:spacing w:line="276" w:lineRule="auto"/>
              <w:jc w:val="right"/>
              <w:rPr>
                <w:color w:val="000000"/>
                <w:sz w:val="20"/>
                <w:szCs w:val="20"/>
              </w:rPr>
            </w:pPr>
            <w:r w:rsidRPr="00724BBB">
              <w:rPr>
                <w:color w:val="000000"/>
                <w:sz w:val="20"/>
                <w:szCs w:val="20"/>
              </w:rPr>
              <w:t>359,246</w:t>
            </w:r>
          </w:p>
        </w:tc>
      </w:tr>
      <w:tr w:rsidR="006903A5" w:rsidRPr="00724BBB" w14:paraId="41F95EF5" w14:textId="77777777">
        <w:trPr>
          <w:trHeight w:val="397"/>
        </w:trPr>
        <w:tc>
          <w:tcPr>
            <w:tcW w:w="5000" w:type="pct"/>
            <w:gridSpan w:val="6"/>
            <w:vAlign w:val="center"/>
            <w:hideMark/>
          </w:tcPr>
          <w:p w14:paraId="4D57F25B" w14:textId="77777777" w:rsidR="006903A5" w:rsidRPr="00724BBB" w:rsidRDefault="006903A5" w:rsidP="00536773">
            <w:pPr>
              <w:spacing w:line="276" w:lineRule="auto"/>
              <w:rPr>
                <w:b/>
                <w:bCs/>
                <w:i/>
                <w:iCs/>
                <w:color w:val="000000"/>
                <w:sz w:val="20"/>
                <w:szCs w:val="20"/>
              </w:rPr>
            </w:pPr>
            <w:r w:rsidRPr="00724BBB">
              <w:rPr>
                <w:b/>
                <w:bCs/>
                <w:i/>
                <w:iCs/>
                <w:color w:val="000000"/>
                <w:sz w:val="20"/>
                <w:szCs w:val="20"/>
              </w:rPr>
              <w:t>Job loss</w:t>
            </w:r>
          </w:p>
        </w:tc>
      </w:tr>
      <w:tr w:rsidR="006903A5" w:rsidRPr="00724BBB" w14:paraId="6EA8FE7F" w14:textId="77777777">
        <w:trPr>
          <w:trHeight w:val="397"/>
        </w:trPr>
        <w:tc>
          <w:tcPr>
            <w:tcW w:w="2046" w:type="pct"/>
            <w:vAlign w:val="center"/>
            <w:hideMark/>
          </w:tcPr>
          <w:p w14:paraId="16BCA4F0" w14:textId="77777777" w:rsidR="006903A5" w:rsidRPr="00724BBB" w:rsidRDefault="006903A5" w:rsidP="00536773">
            <w:pPr>
              <w:spacing w:line="276" w:lineRule="auto"/>
              <w:rPr>
                <w:color w:val="000000"/>
                <w:sz w:val="20"/>
                <w:szCs w:val="20"/>
              </w:rPr>
            </w:pPr>
            <w:r w:rsidRPr="00724BBB">
              <w:rPr>
                <w:color w:val="000000"/>
                <w:sz w:val="20"/>
                <w:szCs w:val="20"/>
              </w:rPr>
              <w:t>Rate of job loss by PGSI</w:t>
            </w:r>
          </w:p>
        </w:tc>
        <w:tc>
          <w:tcPr>
            <w:tcW w:w="788" w:type="pct"/>
            <w:vAlign w:val="center"/>
            <w:hideMark/>
          </w:tcPr>
          <w:p w14:paraId="5E104D0C" w14:textId="77777777" w:rsidR="006903A5" w:rsidRPr="00724BBB" w:rsidRDefault="006903A5">
            <w:pPr>
              <w:spacing w:line="276" w:lineRule="auto"/>
              <w:rPr>
                <w:color w:val="000000"/>
                <w:sz w:val="20"/>
                <w:szCs w:val="20"/>
              </w:rPr>
            </w:pPr>
            <w:r w:rsidRPr="00724BBB">
              <w:rPr>
                <w:color w:val="000000"/>
                <w:sz w:val="20"/>
                <w:szCs w:val="20"/>
              </w:rPr>
              <w:t>b</w:t>
            </w:r>
          </w:p>
        </w:tc>
        <w:tc>
          <w:tcPr>
            <w:tcW w:w="447" w:type="pct"/>
            <w:vAlign w:val="center"/>
            <w:hideMark/>
          </w:tcPr>
          <w:p w14:paraId="3268B89A" w14:textId="77777777" w:rsidR="006903A5" w:rsidRPr="00724BBB" w:rsidRDefault="006903A5">
            <w:pPr>
              <w:spacing w:line="276" w:lineRule="auto"/>
              <w:jc w:val="right"/>
              <w:rPr>
                <w:color w:val="000000"/>
                <w:sz w:val="20"/>
                <w:szCs w:val="20"/>
              </w:rPr>
            </w:pPr>
            <w:r w:rsidRPr="00724BBB">
              <w:rPr>
                <w:color w:val="000000"/>
                <w:sz w:val="20"/>
                <w:szCs w:val="20"/>
              </w:rPr>
              <w:t>0.0%*</w:t>
            </w:r>
          </w:p>
        </w:tc>
        <w:tc>
          <w:tcPr>
            <w:tcW w:w="396" w:type="pct"/>
            <w:vAlign w:val="center"/>
            <w:hideMark/>
          </w:tcPr>
          <w:p w14:paraId="767EAD5B" w14:textId="77777777" w:rsidR="006903A5" w:rsidRPr="00724BBB" w:rsidRDefault="006903A5">
            <w:pPr>
              <w:spacing w:line="276" w:lineRule="auto"/>
              <w:jc w:val="right"/>
              <w:rPr>
                <w:color w:val="000000"/>
                <w:sz w:val="20"/>
                <w:szCs w:val="20"/>
              </w:rPr>
            </w:pPr>
            <w:r w:rsidRPr="00724BBB">
              <w:rPr>
                <w:color w:val="000000"/>
                <w:sz w:val="20"/>
                <w:szCs w:val="20"/>
              </w:rPr>
              <w:t>0.0%*</w:t>
            </w:r>
          </w:p>
        </w:tc>
        <w:tc>
          <w:tcPr>
            <w:tcW w:w="628" w:type="pct"/>
            <w:vAlign w:val="center"/>
            <w:hideMark/>
          </w:tcPr>
          <w:p w14:paraId="74CD6BD9" w14:textId="77777777" w:rsidR="006903A5" w:rsidRPr="00724BBB" w:rsidRDefault="006903A5">
            <w:pPr>
              <w:spacing w:line="276" w:lineRule="auto"/>
              <w:jc w:val="right"/>
              <w:rPr>
                <w:color w:val="000000"/>
                <w:sz w:val="20"/>
                <w:szCs w:val="20"/>
              </w:rPr>
            </w:pPr>
            <w:r w:rsidRPr="00724BBB">
              <w:rPr>
                <w:color w:val="000000"/>
                <w:sz w:val="20"/>
                <w:szCs w:val="20"/>
              </w:rPr>
              <w:t>8.5%</w:t>
            </w:r>
          </w:p>
        </w:tc>
        <w:tc>
          <w:tcPr>
            <w:tcW w:w="696" w:type="pct"/>
            <w:vAlign w:val="center"/>
            <w:hideMark/>
          </w:tcPr>
          <w:p w14:paraId="07AF6456" w14:textId="77777777" w:rsidR="006903A5" w:rsidRPr="00724BBB" w:rsidRDefault="006903A5">
            <w:pPr>
              <w:spacing w:line="276" w:lineRule="auto"/>
              <w:jc w:val="right"/>
              <w:rPr>
                <w:color w:val="000000"/>
                <w:sz w:val="20"/>
                <w:szCs w:val="20"/>
              </w:rPr>
            </w:pPr>
            <w:r w:rsidRPr="00724BBB">
              <w:rPr>
                <w:color w:val="000000"/>
                <w:sz w:val="20"/>
                <w:szCs w:val="20"/>
              </w:rPr>
              <w:t> </w:t>
            </w:r>
          </w:p>
        </w:tc>
      </w:tr>
      <w:tr w:rsidR="006903A5" w:rsidRPr="00724BBB" w14:paraId="38AAF417" w14:textId="77777777">
        <w:trPr>
          <w:trHeight w:val="397"/>
        </w:trPr>
        <w:tc>
          <w:tcPr>
            <w:tcW w:w="2046" w:type="pct"/>
            <w:vAlign w:val="center"/>
            <w:hideMark/>
          </w:tcPr>
          <w:p w14:paraId="6438445F" w14:textId="77777777" w:rsidR="006903A5" w:rsidRPr="00724BBB" w:rsidRDefault="006903A5" w:rsidP="00536773">
            <w:pPr>
              <w:spacing w:line="276" w:lineRule="auto"/>
              <w:rPr>
                <w:color w:val="000000"/>
                <w:sz w:val="20"/>
                <w:szCs w:val="20"/>
              </w:rPr>
            </w:pPr>
            <w:r w:rsidRPr="00724BBB">
              <w:rPr>
                <w:color w:val="000000"/>
                <w:sz w:val="20"/>
                <w:szCs w:val="20"/>
              </w:rPr>
              <w:t xml:space="preserve">Number of job losses due to gambling, less 20% causality discount </w:t>
            </w:r>
          </w:p>
        </w:tc>
        <w:tc>
          <w:tcPr>
            <w:tcW w:w="788" w:type="pct"/>
            <w:vAlign w:val="center"/>
            <w:hideMark/>
          </w:tcPr>
          <w:p w14:paraId="5DA3E27A" w14:textId="77777777" w:rsidR="006903A5" w:rsidRPr="00724BBB" w:rsidRDefault="006903A5">
            <w:pPr>
              <w:spacing w:line="276" w:lineRule="auto"/>
              <w:rPr>
                <w:color w:val="000000"/>
                <w:sz w:val="20"/>
                <w:szCs w:val="20"/>
              </w:rPr>
            </w:pPr>
            <w:r w:rsidRPr="00724BBB">
              <w:rPr>
                <w:color w:val="000000"/>
                <w:sz w:val="20"/>
                <w:szCs w:val="20"/>
              </w:rPr>
              <w:t>c = a x b x 80%</w:t>
            </w:r>
          </w:p>
        </w:tc>
        <w:tc>
          <w:tcPr>
            <w:tcW w:w="447" w:type="pct"/>
            <w:vAlign w:val="center"/>
            <w:hideMark/>
          </w:tcPr>
          <w:p w14:paraId="733446B9" w14:textId="77777777" w:rsidR="006903A5" w:rsidRPr="00724BBB" w:rsidRDefault="006903A5">
            <w:pPr>
              <w:spacing w:line="276" w:lineRule="auto"/>
              <w:jc w:val="right"/>
              <w:rPr>
                <w:color w:val="000000"/>
                <w:sz w:val="20"/>
                <w:szCs w:val="20"/>
              </w:rPr>
            </w:pPr>
            <w:r w:rsidRPr="00724BBB">
              <w:rPr>
                <w:color w:val="000000"/>
                <w:sz w:val="20"/>
                <w:szCs w:val="20"/>
              </w:rPr>
              <w:t>0</w:t>
            </w:r>
          </w:p>
        </w:tc>
        <w:tc>
          <w:tcPr>
            <w:tcW w:w="396" w:type="pct"/>
            <w:vAlign w:val="center"/>
            <w:hideMark/>
          </w:tcPr>
          <w:p w14:paraId="378A1055" w14:textId="77777777" w:rsidR="006903A5" w:rsidRPr="00724BBB" w:rsidRDefault="006903A5">
            <w:pPr>
              <w:spacing w:line="276" w:lineRule="auto"/>
              <w:jc w:val="right"/>
              <w:rPr>
                <w:color w:val="000000"/>
                <w:sz w:val="20"/>
                <w:szCs w:val="20"/>
              </w:rPr>
            </w:pPr>
            <w:r w:rsidRPr="00724BBB">
              <w:rPr>
                <w:color w:val="000000"/>
                <w:sz w:val="20"/>
                <w:szCs w:val="20"/>
              </w:rPr>
              <w:t>0</w:t>
            </w:r>
          </w:p>
        </w:tc>
        <w:tc>
          <w:tcPr>
            <w:tcW w:w="628" w:type="pct"/>
            <w:vAlign w:val="center"/>
            <w:hideMark/>
          </w:tcPr>
          <w:p w14:paraId="46A160B9" w14:textId="77777777" w:rsidR="006903A5" w:rsidRPr="00724BBB" w:rsidRDefault="006903A5">
            <w:pPr>
              <w:spacing w:line="276" w:lineRule="auto"/>
              <w:jc w:val="right"/>
              <w:rPr>
                <w:color w:val="000000"/>
                <w:sz w:val="20"/>
                <w:szCs w:val="20"/>
              </w:rPr>
            </w:pPr>
            <w:r w:rsidRPr="00724BBB">
              <w:rPr>
                <w:color w:val="000000"/>
                <w:sz w:val="20"/>
                <w:szCs w:val="20"/>
              </w:rPr>
              <w:t>1,390</w:t>
            </w:r>
          </w:p>
        </w:tc>
        <w:tc>
          <w:tcPr>
            <w:tcW w:w="696" w:type="pct"/>
            <w:vAlign w:val="center"/>
            <w:hideMark/>
          </w:tcPr>
          <w:p w14:paraId="38087CDD" w14:textId="77777777" w:rsidR="006903A5" w:rsidRPr="00724BBB" w:rsidRDefault="006903A5">
            <w:pPr>
              <w:spacing w:line="276" w:lineRule="auto"/>
              <w:jc w:val="right"/>
              <w:rPr>
                <w:color w:val="000000"/>
                <w:sz w:val="20"/>
                <w:szCs w:val="20"/>
              </w:rPr>
            </w:pPr>
            <w:r w:rsidRPr="00724BBB">
              <w:rPr>
                <w:color w:val="000000"/>
                <w:sz w:val="20"/>
                <w:szCs w:val="20"/>
              </w:rPr>
              <w:t>1,390</w:t>
            </w:r>
          </w:p>
        </w:tc>
      </w:tr>
      <w:tr w:rsidR="006903A5" w:rsidRPr="00724BBB" w14:paraId="1B29E566" w14:textId="77777777">
        <w:trPr>
          <w:trHeight w:val="397"/>
        </w:trPr>
        <w:tc>
          <w:tcPr>
            <w:tcW w:w="5000" w:type="pct"/>
            <w:gridSpan w:val="6"/>
            <w:vAlign w:val="center"/>
            <w:hideMark/>
          </w:tcPr>
          <w:p w14:paraId="1162ECFA" w14:textId="77777777" w:rsidR="006903A5" w:rsidRPr="00724BBB" w:rsidRDefault="006903A5" w:rsidP="00536773">
            <w:pPr>
              <w:spacing w:line="276" w:lineRule="auto"/>
              <w:rPr>
                <w:b/>
                <w:bCs/>
                <w:i/>
                <w:iCs/>
                <w:color w:val="000000"/>
                <w:sz w:val="20"/>
                <w:szCs w:val="20"/>
              </w:rPr>
            </w:pPr>
            <w:r w:rsidRPr="00724BBB">
              <w:rPr>
                <w:b/>
                <w:bCs/>
                <w:i/>
                <w:iCs/>
                <w:color w:val="000000"/>
                <w:sz w:val="20"/>
                <w:szCs w:val="20"/>
              </w:rPr>
              <w:t>Loss of income to those who gamble</w:t>
            </w:r>
          </w:p>
        </w:tc>
      </w:tr>
      <w:tr w:rsidR="006903A5" w:rsidRPr="00724BBB" w14:paraId="3722D67D" w14:textId="77777777" w:rsidTr="00724BBB">
        <w:trPr>
          <w:trHeight w:val="397"/>
        </w:trPr>
        <w:tc>
          <w:tcPr>
            <w:tcW w:w="2046" w:type="pct"/>
            <w:vAlign w:val="center"/>
            <w:hideMark/>
          </w:tcPr>
          <w:p w14:paraId="315244D6" w14:textId="77777777" w:rsidR="006903A5" w:rsidRPr="00724BBB" w:rsidRDefault="006903A5" w:rsidP="00536773">
            <w:pPr>
              <w:spacing w:line="276" w:lineRule="auto"/>
              <w:rPr>
                <w:color w:val="000000"/>
                <w:sz w:val="20"/>
                <w:szCs w:val="20"/>
              </w:rPr>
            </w:pPr>
            <w:r w:rsidRPr="00724BBB">
              <w:rPr>
                <w:color w:val="000000"/>
                <w:sz w:val="20"/>
                <w:szCs w:val="20"/>
              </w:rPr>
              <w:t xml:space="preserve">Average duration of unemployment - months </w:t>
            </w:r>
          </w:p>
        </w:tc>
        <w:tc>
          <w:tcPr>
            <w:tcW w:w="788" w:type="pct"/>
            <w:vAlign w:val="center"/>
            <w:hideMark/>
          </w:tcPr>
          <w:p w14:paraId="3C2783DC" w14:textId="77777777" w:rsidR="006903A5" w:rsidRPr="00724BBB" w:rsidRDefault="006903A5">
            <w:pPr>
              <w:spacing w:line="276" w:lineRule="auto"/>
              <w:rPr>
                <w:color w:val="000000"/>
                <w:sz w:val="20"/>
                <w:szCs w:val="20"/>
              </w:rPr>
            </w:pPr>
            <w:r w:rsidRPr="00724BBB">
              <w:rPr>
                <w:color w:val="000000"/>
                <w:sz w:val="20"/>
                <w:szCs w:val="20"/>
              </w:rPr>
              <w:t>d</w:t>
            </w:r>
          </w:p>
        </w:tc>
        <w:tc>
          <w:tcPr>
            <w:tcW w:w="1470" w:type="pct"/>
            <w:gridSpan w:val="3"/>
            <w:vAlign w:val="center"/>
            <w:hideMark/>
          </w:tcPr>
          <w:p w14:paraId="52FA58A7" w14:textId="77777777" w:rsidR="006903A5" w:rsidRPr="00724BBB" w:rsidRDefault="006903A5" w:rsidP="00724BBB">
            <w:pPr>
              <w:spacing w:line="276" w:lineRule="auto"/>
              <w:jc w:val="center"/>
              <w:rPr>
                <w:color w:val="000000"/>
                <w:sz w:val="20"/>
                <w:szCs w:val="20"/>
              </w:rPr>
            </w:pPr>
            <w:r w:rsidRPr="00724BBB">
              <w:rPr>
                <w:color w:val="000000"/>
                <w:sz w:val="20"/>
                <w:szCs w:val="20"/>
              </w:rPr>
              <w:t>4.1</w:t>
            </w:r>
          </w:p>
        </w:tc>
        <w:tc>
          <w:tcPr>
            <w:tcW w:w="696" w:type="pct"/>
            <w:vAlign w:val="center"/>
            <w:hideMark/>
          </w:tcPr>
          <w:p w14:paraId="6927CE51" w14:textId="77777777" w:rsidR="006903A5" w:rsidRPr="00724BBB" w:rsidRDefault="006903A5">
            <w:pPr>
              <w:spacing w:line="276" w:lineRule="auto"/>
              <w:jc w:val="right"/>
              <w:rPr>
                <w:color w:val="000000"/>
                <w:sz w:val="20"/>
                <w:szCs w:val="20"/>
              </w:rPr>
            </w:pPr>
            <w:r w:rsidRPr="00724BBB">
              <w:rPr>
                <w:color w:val="000000"/>
                <w:sz w:val="20"/>
                <w:szCs w:val="20"/>
              </w:rPr>
              <w:t>-</w:t>
            </w:r>
          </w:p>
        </w:tc>
      </w:tr>
      <w:tr w:rsidR="006903A5" w:rsidRPr="00724BBB" w14:paraId="0124B7F0" w14:textId="77777777" w:rsidTr="00724BBB">
        <w:trPr>
          <w:trHeight w:val="397"/>
        </w:trPr>
        <w:tc>
          <w:tcPr>
            <w:tcW w:w="2046" w:type="pct"/>
            <w:vAlign w:val="center"/>
            <w:hideMark/>
          </w:tcPr>
          <w:p w14:paraId="4E8B43D0" w14:textId="42CDE6CD" w:rsidR="006903A5" w:rsidRPr="00724BBB" w:rsidRDefault="006903A5" w:rsidP="00536773">
            <w:pPr>
              <w:spacing w:line="276" w:lineRule="auto"/>
              <w:rPr>
                <w:color w:val="000000"/>
                <w:sz w:val="20"/>
                <w:szCs w:val="20"/>
              </w:rPr>
            </w:pPr>
            <w:r w:rsidRPr="00724BBB">
              <w:rPr>
                <w:color w:val="000000"/>
                <w:sz w:val="20"/>
                <w:szCs w:val="20"/>
              </w:rPr>
              <w:t xml:space="preserve">Median monthly earnings </w:t>
            </w:r>
          </w:p>
        </w:tc>
        <w:tc>
          <w:tcPr>
            <w:tcW w:w="788" w:type="pct"/>
            <w:vAlign w:val="center"/>
            <w:hideMark/>
          </w:tcPr>
          <w:p w14:paraId="4FB56A90" w14:textId="77777777" w:rsidR="006903A5" w:rsidRPr="00724BBB" w:rsidRDefault="006903A5">
            <w:pPr>
              <w:spacing w:line="276" w:lineRule="auto"/>
              <w:rPr>
                <w:color w:val="000000"/>
                <w:sz w:val="20"/>
                <w:szCs w:val="20"/>
              </w:rPr>
            </w:pPr>
            <w:r w:rsidRPr="00724BBB">
              <w:rPr>
                <w:color w:val="000000"/>
                <w:sz w:val="20"/>
                <w:szCs w:val="20"/>
              </w:rPr>
              <w:t>e</w:t>
            </w:r>
          </w:p>
        </w:tc>
        <w:tc>
          <w:tcPr>
            <w:tcW w:w="1470" w:type="pct"/>
            <w:gridSpan w:val="3"/>
            <w:vAlign w:val="center"/>
            <w:hideMark/>
          </w:tcPr>
          <w:p w14:paraId="7DC5F4A5" w14:textId="77777777" w:rsidR="006903A5" w:rsidRPr="00724BBB" w:rsidRDefault="006903A5" w:rsidP="00724BBB">
            <w:pPr>
              <w:spacing w:line="276" w:lineRule="auto"/>
              <w:jc w:val="center"/>
              <w:rPr>
                <w:color w:val="000000"/>
                <w:sz w:val="20"/>
                <w:szCs w:val="20"/>
              </w:rPr>
            </w:pPr>
            <w:r w:rsidRPr="00724BBB">
              <w:rPr>
                <w:color w:val="000000"/>
                <w:sz w:val="20"/>
                <w:szCs w:val="20"/>
              </w:rPr>
              <w:t>$5,820</w:t>
            </w:r>
          </w:p>
        </w:tc>
        <w:tc>
          <w:tcPr>
            <w:tcW w:w="696" w:type="pct"/>
            <w:vAlign w:val="center"/>
            <w:hideMark/>
          </w:tcPr>
          <w:p w14:paraId="2E475215" w14:textId="77777777" w:rsidR="006903A5" w:rsidRPr="00724BBB" w:rsidRDefault="006903A5">
            <w:pPr>
              <w:spacing w:line="276" w:lineRule="auto"/>
              <w:jc w:val="right"/>
              <w:rPr>
                <w:color w:val="000000"/>
                <w:sz w:val="20"/>
                <w:szCs w:val="20"/>
              </w:rPr>
            </w:pPr>
            <w:r w:rsidRPr="00724BBB">
              <w:rPr>
                <w:color w:val="000000"/>
                <w:sz w:val="20"/>
                <w:szCs w:val="20"/>
              </w:rPr>
              <w:t>-</w:t>
            </w:r>
          </w:p>
        </w:tc>
      </w:tr>
      <w:tr w:rsidR="006903A5" w:rsidRPr="00724BBB" w14:paraId="19F04393" w14:textId="77777777">
        <w:trPr>
          <w:trHeight w:val="397"/>
        </w:trPr>
        <w:tc>
          <w:tcPr>
            <w:tcW w:w="2046" w:type="pct"/>
            <w:shd w:val="clear" w:color="auto" w:fill="F2F2F2" w:themeFill="background1" w:themeFillShade="F2"/>
            <w:vAlign w:val="center"/>
            <w:hideMark/>
          </w:tcPr>
          <w:p w14:paraId="78B13086" w14:textId="77777777" w:rsidR="006903A5" w:rsidRPr="00724BBB" w:rsidRDefault="006903A5" w:rsidP="00536773">
            <w:pPr>
              <w:spacing w:line="276" w:lineRule="auto"/>
              <w:rPr>
                <w:b/>
                <w:bCs/>
                <w:color w:val="000000"/>
                <w:sz w:val="20"/>
                <w:szCs w:val="20"/>
              </w:rPr>
            </w:pPr>
            <w:r w:rsidRPr="00724BBB">
              <w:rPr>
                <w:b/>
                <w:bCs/>
                <w:color w:val="000000"/>
                <w:sz w:val="20"/>
                <w:szCs w:val="20"/>
              </w:rPr>
              <w:t>Total cost of loss of income</w:t>
            </w:r>
          </w:p>
        </w:tc>
        <w:tc>
          <w:tcPr>
            <w:tcW w:w="788" w:type="pct"/>
            <w:shd w:val="clear" w:color="auto" w:fill="F2F2F2" w:themeFill="background1" w:themeFillShade="F2"/>
            <w:vAlign w:val="center"/>
            <w:hideMark/>
          </w:tcPr>
          <w:p w14:paraId="409F89AE" w14:textId="77777777" w:rsidR="006903A5" w:rsidRPr="00724BBB" w:rsidRDefault="006903A5">
            <w:pPr>
              <w:spacing w:line="276" w:lineRule="auto"/>
              <w:rPr>
                <w:b/>
                <w:bCs/>
                <w:color w:val="000000"/>
                <w:sz w:val="20"/>
                <w:szCs w:val="20"/>
              </w:rPr>
            </w:pPr>
            <w:r w:rsidRPr="00724BBB">
              <w:rPr>
                <w:b/>
                <w:bCs/>
                <w:color w:val="000000"/>
                <w:sz w:val="20"/>
                <w:szCs w:val="20"/>
              </w:rPr>
              <w:t>f = c x d x e</w:t>
            </w:r>
          </w:p>
        </w:tc>
        <w:tc>
          <w:tcPr>
            <w:tcW w:w="447" w:type="pct"/>
            <w:shd w:val="clear" w:color="auto" w:fill="F2F2F2" w:themeFill="background1" w:themeFillShade="F2"/>
            <w:vAlign w:val="center"/>
            <w:hideMark/>
          </w:tcPr>
          <w:p w14:paraId="4371A6F6" w14:textId="77777777" w:rsidR="006903A5" w:rsidRPr="00724BBB" w:rsidRDefault="006903A5">
            <w:pPr>
              <w:spacing w:line="276" w:lineRule="auto"/>
              <w:jc w:val="right"/>
              <w:rPr>
                <w:b/>
                <w:bCs/>
                <w:color w:val="000000"/>
                <w:sz w:val="20"/>
                <w:szCs w:val="20"/>
              </w:rPr>
            </w:pPr>
            <w:r w:rsidRPr="00724BBB">
              <w:rPr>
                <w:b/>
                <w:bCs/>
                <w:color w:val="000000"/>
                <w:sz w:val="20"/>
                <w:szCs w:val="20"/>
              </w:rPr>
              <w:t>$0</w:t>
            </w:r>
          </w:p>
        </w:tc>
        <w:tc>
          <w:tcPr>
            <w:tcW w:w="396" w:type="pct"/>
            <w:shd w:val="clear" w:color="auto" w:fill="F2F2F2" w:themeFill="background1" w:themeFillShade="F2"/>
            <w:vAlign w:val="center"/>
            <w:hideMark/>
          </w:tcPr>
          <w:p w14:paraId="7A1F0188" w14:textId="77777777" w:rsidR="006903A5" w:rsidRPr="00724BBB" w:rsidRDefault="006903A5">
            <w:pPr>
              <w:spacing w:line="276" w:lineRule="auto"/>
              <w:jc w:val="right"/>
              <w:rPr>
                <w:b/>
                <w:bCs/>
                <w:color w:val="000000"/>
                <w:sz w:val="20"/>
                <w:szCs w:val="20"/>
              </w:rPr>
            </w:pPr>
            <w:r w:rsidRPr="00724BBB">
              <w:rPr>
                <w:b/>
                <w:bCs/>
                <w:color w:val="000000"/>
                <w:sz w:val="20"/>
                <w:szCs w:val="20"/>
              </w:rPr>
              <w:t>$0</w:t>
            </w:r>
          </w:p>
        </w:tc>
        <w:tc>
          <w:tcPr>
            <w:tcW w:w="628" w:type="pct"/>
            <w:shd w:val="clear" w:color="auto" w:fill="F2F2F2" w:themeFill="background1" w:themeFillShade="F2"/>
            <w:vAlign w:val="center"/>
            <w:hideMark/>
          </w:tcPr>
          <w:p w14:paraId="128ABA44" w14:textId="77777777" w:rsidR="006903A5" w:rsidRPr="00724BBB" w:rsidRDefault="006903A5">
            <w:pPr>
              <w:spacing w:line="276" w:lineRule="auto"/>
              <w:jc w:val="right"/>
              <w:rPr>
                <w:b/>
                <w:bCs/>
                <w:color w:val="000000"/>
                <w:sz w:val="20"/>
                <w:szCs w:val="20"/>
              </w:rPr>
            </w:pPr>
            <w:r w:rsidRPr="00724BBB">
              <w:rPr>
                <w:b/>
                <w:bCs/>
                <w:color w:val="000000"/>
                <w:sz w:val="20"/>
                <w:szCs w:val="20"/>
              </w:rPr>
              <w:t>$32,873,214</w:t>
            </w:r>
          </w:p>
        </w:tc>
        <w:tc>
          <w:tcPr>
            <w:tcW w:w="696" w:type="pct"/>
            <w:shd w:val="clear" w:color="auto" w:fill="F2F2F2" w:themeFill="background1" w:themeFillShade="F2"/>
            <w:vAlign w:val="center"/>
            <w:hideMark/>
          </w:tcPr>
          <w:p w14:paraId="6F187FEB" w14:textId="77777777" w:rsidR="006903A5" w:rsidRPr="00724BBB" w:rsidRDefault="006903A5">
            <w:pPr>
              <w:spacing w:line="276" w:lineRule="auto"/>
              <w:jc w:val="right"/>
              <w:rPr>
                <w:b/>
                <w:bCs/>
                <w:color w:val="000000"/>
                <w:sz w:val="20"/>
                <w:szCs w:val="20"/>
              </w:rPr>
            </w:pPr>
            <w:r w:rsidRPr="00724BBB">
              <w:rPr>
                <w:b/>
                <w:bCs/>
                <w:color w:val="000000"/>
                <w:sz w:val="20"/>
                <w:szCs w:val="20"/>
              </w:rPr>
              <w:t>$32,873,214</w:t>
            </w:r>
          </w:p>
        </w:tc>
      </w:tr>
      <w:tr w:rsidR="006903A5" w:rsidRPr="00724BBB" w14:paraId="5AA634DB" w14:textId="77777777">
        <w:trPr>
          <w:trHeight w:val="397"/>
        </w:trPr>
        <w:tc>
          <w:tcPr>
            <w:tcW w:w="5000" w:type="pct"/>
            <w:gridSpan w:val="6"/>
            <w:vAlign w:val="center"/>
            <w:hideMark/>
          </w:tcPr>
          <w:p w14:paraId="315D12C7" w14:textId="77777777" w:rsidR="006903A5" w:rsidRPr="00724BBB" w:rsidRDefault="006903A5" w:rsidP="00536773">
            <w:pPr>
              <w:spacing w:line="276" w:lineRule="auto"/>
              <w:rPr>
                <w:b/>
                <w:bCs/>
                <w:i/>
                <w:iCs/>
                <w:color w:val="000000"/>
                <w:sz w:val="20"/>
                <w:szCs w:val="20"/>
              </w:rPr>
            </w:pPr>
            <w:r w:rsidRPr="00724BBB">
              <w:rPr>
                <w:b/>
                <w:bCs/>
                <w:i/>
                <w:iCs/>
                <w:color w:val="000000"/>
                <w:sz w:val="20"/>
                <w:szCs w:val="20"/>
              </w:rPr>
              <w:t>Job search to those who gamble</w:t>
            </w:r>
          </w:p>
        </w:tc>
      </w:tr>
      <w:tr w:rsidR="006903A5" w:rsidRPr="00724BBB" w14:paraId="77517904" w14:textId="77777777" w:rsidTr="00724BBB">
        <w:trPr>
          <w:trHeight w:val="397"/>
        </w:trPr>
        <w:tc>
          <w:tcPr>
            <w:tcW w:w="2046" w:type="pct"/>
            <w:vAlign w:val="center"/>
            <w:hideMark/>
          </w:tcPr>
          <w:p w14:paraId="3546AA39" w14:textId="77777777" w:rsidR="006903A5" w:rsidRPr="00724BBB" w:rsidRDefault="006903A5" w:rsidP="00536773">
            <w:pPr>
              <w:spacing w:line="276" w:lineRule="auto"/>
              <w:rPr>
                <w:color w:val="000000"/>
                <w:sz w:val="20"/>
                <w:szCs w:val="20"/>
              </w:rPr>
            </w:pPr>
            <w:r w:rsidRPr="00724BBB">
              <w:rPr>
                <w:color w:val="000000"/>
                <w:sz w:val="20"/>
                <w:szCs w:val="20"/>
              </w:rPr>
              <w:t xml:space="preserve">Cost of job search </w:t>
            </w:r>
          </w:p>
        </w:tc>
        <w:tc>
          <w:tcPr>
            <w:tcW w:w="788" w:type="pct"/>
            <w:vAlign w:val="center"/>
            <w:hideMark/>
          </w:tcPr>
          <w:p w14:paraId="72FD1F6D" w14:textId="77777777" w:rsidR="006903A5" w:rsidRPr="00724BBB" w:rsidRDefault="006903A5">
            <w:pPr>
              <w:spacing w:line="276" w:lineRule="auto"/>
              <w:rPr>
                <w:color w:val="000000"/>
                <w:sz w:val="20"/>
                <w:szCs w:val="20"/>
              </w:rPr>
            </w:pPr>
            <w:r w:rsidRPr="00724BBB">
              <w:rPr>
                <w:color w:val="000000"/>
                <w:sz w:val="20"/>
                <w:szCs w:val="20"/>
              </w:rPr>
              <w:t>g</w:t>
            </w:r>
          </w:p>
        </w:tc>
        <w:tc>
          <w:tcPr>
            <w:tcW w:w="1470" w:type="pct"/>
            <w:gridSpan w:val="3"/>
            <w:vAlign w:val="center"/>
            <w:hideMark/>
          </w:tcPr>
          <w:p w14:paraId="73AB86D0" w14:textId="77777777" w:rsidR="006903A5" w:rsidRPr="00724BBB" w:rsidRDefault="006903A5" w:rsidP="00724BBB">
            <w:pPr>
              <w:spacing w:line="276" w:lineRule="auto"/>
              <w:jc w:val="center"/>
              <w:rPr>
                <w:color w:val="000000"/>
                <w:sz w:val="20"/>
                <w:szCs w:val="20"/>
              </w:rPr>
            </w:pPr>
            <w:r w:rsidRPr="00724BBB">
              <w:rPr>
                <w:color w:val="000000"/>
                <w:sz w:val="20"/>
                <w:szCs w:val="20"/>
              </w:rPr>
              <w:t>$5,056</w:t>
            </w:r>
          </w:p>
        </w:tc>
        <w:tc>
          <w:tcPr>
            <w:tcW w:w="696" w:type="pct"/>
            <w:vAlign w:val="center"/>
            <w:hideMark/>
          </w:tcPr>
          <w:p w14:paraId="165FE143" w14:textId="77777777" w:rsidR="006903A5" w:rsidRPr="00724BBB" w:rsidRDefault="006903A5">
            <w:pPr>
              <w:spacing w:line="276" w:lineRule="auto"/>
              <w:jc w:val="right"/>
              <w:rPr>
                <w:color w:val="000000"/>
                <w:sz w:val="20"/>
                <w:szCs w:val="20"/>
              </w:rPr>
            </w:pPr>
            <w:r w:rsidRPr="00724BBB">
              <w:rPr>
                <w:color w:val="000000"/>
                <w:sz w:val="20"/>
                <w:szCs w:val="20"/>
              </w:rPr>
              <w:t>-</w:t>
            </w:r>
          </w:p>
        </w:tc>
      </w:tr>
      <w:tr w:rsidR="006903A5" w:rsidRPr="00724BBB" w14:paraId="208D8979" w14:textId="77777777">
        <w:trPr>
          <w:trHeight w:val="397"/>
        </w:trPr>
        <w:tc>
          <w:tcPr>
            <w:tcW w:w="2046" w:type="pct"/>
            <w:shd w:val="clear" w:color="auto" w:fill="F2F2F2" w:themeFill="background1" w:themeFillShade="F2"/>
            <w:vAlign w:val="center"/>
            <w:hideMark/>
          </w:tcPr>
          <w:p w14:paraId="0B9C78B4" w14:textId="77777777" w:rsidR="006903A5" w:rsidRPr="00724BBB" w:rsidRDefault="006903A5" w:rsidP="00536773">
            <w:pPr>
              <w:spacing w:line="276" w:lineRule="auto"/>
              <w:rPr>
                <w:b/>
                <w:bCs/>
                <w:color w:val="000000"/>
                <w:sz w:val="20"/>
                <w:szCs w:val="20"/>
              </w:rPr>
            </w:pPr>
            <w:r w:rsidRPr="00724BBB">
              <w:rPr>
                <w:b/>
                <w:bCs/>
                <w:color w:val="000000"/>
                <w:sz w:val="20"/>
                <w:szCs w:val="20"/>
              </w:rPr>
              <w:t xml:space="preserve">Total cost of job search </w:t>
            </w:r>
          </w:p>
        </w:tc>
        <w:tc>
          <w:tcPr>
            <w:tcW w:w="788" w:type="pct"/>
            <w:shd w:val="clear" w:color="auto" w:fill="F2F2F2" w:themeFill="background1" w:themeFillShade="F2"/>
            <w:vAlign w:val="center"/>
            <w:hideMark/>
          </w:tcPr>
          <w:p w14:paraId="0CCF5A99" w14:textId="77777777" w:rsidR="006903A5" w:rsidRPr="00724BBB" w:rsidRDefault="006903A5">
            <w:pPr>
              <w:spacing w:line="276" w:lineRule="auto"/>
              <w:rPr>
                <w:b/>
                <w:bCs/>
                <w:color w:val="000000"/>
                <w:sz w:val="20"/>
                <w:szCs w:val="20"/>
              </w:rPr>
            </w:pPr>
            <w:r w:rsidRPr="00724BBB">
              <w:rPr>
                <w:b/>
                <w:bCs/>
                <w:color w:val="000000"/>
                <w:sz w:val="20"/>
                <w:szCs w:val="20"/>
              </w:rPr>
              <w:t>h = c x g</w:t>
            </w:r>
          </w:p>
        </w:tc>
        <w:tc>
          <w:tcPr>
            <w:tcW w:w="447" w:type="pct"/>
            <w:shd w:val="clear" w:color="auto" w:fill="F2F2F2" w:themeFill="background1" w:themeFillShade="F2"/>
            <w:vAlign w:val="center"/>
            <w:hideMark/>
          </w:tcPr>
          <w:p w14:paraId="09D364D2" w14:textId="77777777" w:rsidR="006903A5" w:rsidRPr="00724BBB" w:rsidRDefault="006903A5">
            <w:pPr>
              <w:spacing w:line="276" w:lineRule="auto"/>
              <w:jc w:val="right"/>
              <w:rPr>
                <w:b/>
                <w:bCs/>
                <w:color w:val="000000"/>
                <w:sz w:val="20"/>
                <w:szCs w:val="20"/>
              </w:rPr>
            </w:pPr>
            <w:r w:rsidRPr="00724BBB">
              <w:rPr>
                <w:b/>
                <w:bCs/>
                <w:color w:val="000000"/>
                <w:sz w:val="20"/>
                <w:szCs w:val="20"/>
              </w:rPr>
              <w:t>$0</w:t>
            </w:r>
          </w:p>
        </w:tc>
        <w:tc>
          <w:tcPr>
            <w:tcW w:w="396" w:type="pct"/>
            <w:shd w:val="clear" w:color="auto" w:fill="F2F2F2" w:themeFill="background1" w:themeFillShade="F2"/>
            <w:vAlign w:val="center"/>
            <w:hideMark/>
          </w:tcPr>
          <w:p w14:paraId="0DCF7979" w14:textId="77777777" w:rsidR="006903A5" w:rsidRPr="00724BBB" w:rsidRDefault="006903A5">
            <w:pPr>
              <w:spacing w:line="276" w:lineRule="auto"/>
              <w:jc w:val="right"/>
              <w:rPr>
                <w:b/>
                <w:bCs/>
                <w:color w:val="000000"/>
                <w:sz w:val="20"/>
                <w:szCs w:val="20"/>
              </w:rPr>
            </w:pPr>
            <w:r w:rsidRPr="00724BBB">
              <w:rPr>
                <w:b/>
                <w:bCs/>
                <w:color w:val="000000"/>
                <w:sz w:val="20"/>
                <w:szCs w:val="20"/>
              </w:rPr>
              <w:t>$0</w:t>
            </w:r>
          </w:p>
        </w:tc>
        <w:tc>
          <w:tcPr>
            <w:tcW w:w="628" w:type="pct"/>
            <w:shd w:val="clear" w:color="auto" w:fill="F2F2F2" w:themeFill="background1" w:themeFillShade="F2"/>
            <w:vAlign w:val="center"/>
            <w:hideMark/>
          </w:tcPr>
          <w:p w14:paraId="6B73DEBC" w14:textId="77777777" w:rsidR="006903A5" w:rsidRPr="00724BBB" w:rsidRDefault="006903A5">
            <w:pPr>
              <w:spacing w:line="276" w:lineRule="auto"/>
              <w:jc w:val="right"/>
              <w:rPr>
                <w:b/>
                <w:bCs/>
                <w:color w:val="000000"/>
                <w:sz w:val="20"/>
                <w:szCs w:val="20"/>
              </w:rPr>
            </w:pPr>
            <w:r w:rsidRPr="00724BBB">
              <w:rPr>
                <w:b/>
                <w:bCs/>
                <w:color w:val="000000"/>
                <w:sz w:val="20"/>
                <w:szCs w:val="20"/>
              </w:rPr>
              <w:t>$7,026,060</w:t>
            </w:r>
          </w:p>
        </w:tc>
        <w:tc>
          <w:tcPr>
            <w:tcW w:w="696" w:type="pct"/>
            <w:shd w:val="clear" w:color="auto" w:fill="F2F2F2" w:themeFill="background1" w:themeFillShade="F2"/>
            <w:vAlign w:val="center"/>
            <w:hideMark/>
          </w:tcPr>
          <w:p w14:paraId="5734D2F3" w14:textId="77777777" w:rsidR="006903A5" w:rsidRPr="00724BBB" w:rsidRDefault="006903A5">
            <w:pPr>
              <w:spacing w:line="276" w:lineRule="auto"/>
              <w:jc w:val="right"/>
              <w:rPr>
                <w:b/>
                <w:bCs/>
                <w:color w:val="000000"/>
                <w:sz w:val="20"/>
                <w:szCs w:val="20"/>
              </w:rPr>
            </w:pPr>
            <w:r w:rsidRPr="00724BBB">
              <w:rPr>
                <w:b/>
                <w:bCs/>
                <w:color w:val="000000"/>
                <w:sz w:val="20"/>
                <w:szCs w:val="20"/>
              </w:rPr>
              <w:t>$7,026,060</w:t>
            </w:r>
          </w:p>
        </w:tc>
      </w:tr>
      <w:tr w:rsidR="006903A5" w:rsidRPr="00724BBB" w14:paraId="5039A335" w14:textId="77777777">
        <w:trPr>
          <w:trHeight w:val="397"/>
        </w:trPr>
        <w:tc>
          <w:tcPr>
            <w:tcW w:w="5000" w:type="pct"/>
            <w:gridSpan w:val="6"/>
            <w:vAlign w:val="center"/>
            <w:hideMark/>
          </w:tcPr>
          <w:p w14:paraId="70DFAE96" w14:textId="77777777" w:rsidR="006903A5" w:rsidRPr="00724BBB" w:rsidRDefault="006903A5" w:rsidP="00536773">
            <w:pPr>
              <w:spacing w:line="276" w:lineRule="auto"/>
              <w:rPr>
                <w:b/>
                <w:bCs/>
                <w:i/>
                <w:iCs/>
                <w:color w:val="000000"/>
                <w:sz w:val="20"/>
                <w:szCs w:val="20"/>
              </w:rPr>
            </w:pPr>
            <w:r w:rsidRPr="00724BBB">
              <w:rPr>
                <w:b/>
                <w:bCs/>
                <w:i/>
                <w:iCs/>
                <w:color w:val="000000"/>
                <w:sz w:val="20"/>
                <w:szCs w:val="20"/>
              </w:rPr>
              <w:t>Employee replacement costs</w:t>
            </w:r>
          </w:p>
        </w:tc>
      </w:tr>
      <w:tr w:rsidR="006903A5" w:rsidRPr="00724BBB" w14:paraId="6A3D0E00" w14:textId="77777777" w:rsidTr="00724BBB">
        <w:trPr>
          <w:trHeight w:val="397"/>
        </w:trPr>
        <w:tc>
          <w:tcPr>
            <w:tcW w:w="2046" w:type="pct"/>
            <w:vAlign w:val="center"/>
            <w:hideMark/>
          </w:tcPr>
          <w:p w14:paraId="4E3705B0" w14:textId="77777777" w:rsidR="006903A5" w:rsidRPr="00724BBB" w:rsidRDefault="006903A5" w:rsidP="00536773">
            <w:pPr>
              <w:spacing w:line="276" w:lineRule="auto"/>
              <w:rPr>
                <w:color w:val="000000"/>
                <w:sz w:val="20"/>
                <w:szCs w:val="20"/>
              </w:rPr>
            </w:pPr>
            <w:r w:rsidRPr="00724BBB">
              <w:rPr>
                <w:color w:val="000000"/>
                <w:sz w:val="20"/>
                <w:szCs w:val="20"/>
              </w:rPr>
              <w:t>Employer staff replacement per candidate</w:t>
            </w:r>
          </w:p>
        </w:tc>
        <w:tc>
          <w:tcPr>
            <w:tcW w:w="788" w:type="pct"/>
            <w:vAlign w:val="center"/>
            <w:hideMark/>
          </w:tcPr>
          <w:p w14:paraId="2FE21E2F" w14:textId="77777777" w:rsidR="006903A5" w:rsidRPr="00724BBB" w:rsidRDefault="006903A5">
            <w:pPr>
              <w:spacing w:line="276" w:lineRule="auto"/>
              <w:rPr>
                <w:color w:val="000000"/>
                <w:sz w:val="20"/>
                <w:szCs w:val="20"/>
              </w:rPr>
            </w:pPr>
            <w:r w:rsidRPr="00724BBB">
              <w:rPr>
                <w:color w:val="000000"/>
                <w:sz w:val="20"/>
                <w:szCs w:val="20"/>
              </w:rPr>
              <w:t>i</w:t>
            </w:r>
          </w:p>
        </w:tc>
        <w:tc>
          <w:tcPr>
            <w:tcW w:w="1470" w:type="pct"/>
            <w:gridSpan w:val="3"/>
            <w:vAlign w:val="center"/>
            <w:hideMark/>
          </w:tcPr>
          <w:p w14:paraId="10ACC479" w14:textId="77777777" w:rsidR="006903A5" w:rsidRPr="00724BBB" w:rsidRDefault="006903A5" w:rsidP="00724BBB">
            <w:pPr>
              <w:spacing w:line="276" w:lineRule="auto"/>
              <w:jc w:val="center"/>
              <w:rPr>
                <w:color w:val="000000"/>
                <w:sz w:val="20"/>
                <w:szCs w:val="20"/>
              </w:rPr>
            </w:pPr>
            <w:r w:rsidRPr="00724BBB">
              <w:rPr>
                <w:color w:val="000000"/>
                <w:sz w:val="20"/>
                <w:szCs w:val="20"/>
              </w:rPr>
              <w:t>$20,000</w:t>
            </w:r>
          </w:p>
        </w:tc>
        <w:tc>
          <w:tcPr>
            <w:tcW w:w="696" w:type="pct"/>
            <w:vAlign w:val="center"/>
            <w:hideMark/>
          </w:tcPr>
          <w:p w14:paraId="4EFA0FCD" w14:textId="77777777" w:rsidR="006903A5" w:rsidRPr="00724BBB" w:rsidRDefault="006903A5">
            <w:pPr>
              <w:spacing w:line="276" w:lineRule="auto"/>
              <w:jc w:val="right"/>
              <w:rPr>
                <w:color w:val="000000"/>
                <w:sz w:val="20"/>
                <w:szCs w:val="20"/>
              </w:rPr>
            </w:pPr>
            <w:r w:rsidRPr="00724BBB">
              <w:rPr>
                <w:color w:val="000000"/>
                <w:sz w:val="20"/>
                <w:szCs w:val="20"/>
              </w:rPr>
              <w:t>-</w:t>
            </w:r>
          </w:p>
        </w:tc>
      </w:tr>
      <w:tr w:rsidR="006903A5" w:rsidRPr="00724BBB" w14:paraId="60AFA80C" w14:textId="77777777">
        <w:trPr>
          <w:trHeight w:val="397"/>
        </w:trPr>
        <w:tc>
          <w:tcPr>
            <w:tcW w:w="2046" w:type="pct"/>
            <w:shd w:val="clear" w:color="auto" w:fill="F2F2F2" w:themeFill="background1" w:themeFillShade="F2"/>
            <w:vAlign w:val="center"/>
            <w:hideMark/>
          </w:tcPr>
          <w:p w14:paraId="434F10BC" w14:textId="77777777" w:rsidR="006903A5" w:rsidRPr="00724BBB" w:rsidRDefault="006903A5" w:rsidP="00536773">
            <w:pPr>
              <w:spacing w:line="276" w:lineRule="auto"/>
              <w:rPr>
                <w:b/>
                <w:bCs/>
                <w:color w:val="000000"/>
                <w:sz w:val="20"/>
                <w:szCs w:val="20"/>
              </w:rPr>
            </w:pPr>
            <w:r w:rsidRPr="00724BBB">
              <w:rPr>
                <w:b/>
                <w:bCs/>
                <w:color w:val="000000"/>
                <w:sz w:val="20"/>
                <w:szCs w:val="20"/>
              </w:rPr>
              <w:t>Total cost of employer replacement</w:t>
            </w:r>
          </w:p>
        </w:tc>
        <w:tc>
          <w:tcPr>
            <w:tcW w:w="788" w:type="pct"/>
            <w:shd w:val="clear" w:color="auto" w:fill="F2F2F2" w:themeFill="background1" w:themeFillShade="F2"/>
            <w:vAlign w:val="center"/>
            <w:hideMark/>
          </w:tcPr>
          <w:p w14:paraId="4B41C401" w14:textId="77777777" w:rsidR="006903A5" w:rsidRPr="00724BBB" w:rsidRDefault="006903A5">
            <w:pPr>
              <w:spacing w:line="276" w:lineRule="auto"/>
              <w:rPr>
                <w:b/>
                <w:bCs/>
                <w:color w:val="000000"/>
                <w:sz w:val="20"/>
                <w:szCs w:val="20"/>
              </w:rPr>
            </w:pPr>
            <w:r w:rsidRPr="00724BBB">
              <w:rPr>
                <w:b/>
                <w:bCs/>
                <w:color w:val="000000"/>
                <w:sz w:val="20"/>
                <w:szCs w:val="20"/>
              </w:rPr>
              <w:t>j = c x i</w:t>
            </w:r>
          </w:p>
        </w:tc>
        <w:tc>
          <w:tcPr>
            <w:tcW w:w="447" w:type="pct"/>
            <w:shd w:val="clear" w:color="auto" w:fill="F2F2F2" w:themeFill="background1" w:themeFillShade="F2"/>
            <w:vAlign w:val="center"/>
            <w:hideMark/>
          </w:tcPr>
          <w:p w14:paraId="35092DAF" w14:textId="77777777" w:rsidR="006903A5" w:rsidRPr="00724BBB" w:rsidRDefault="006903A5">
            <w:pPr>
              <w:spacing w:line="276" w:lineRule="auto"/>
              <w:jc w:val="right"/>
              <w:rPr>
                <w:b/>
                <w:bCs/>
                <w:color w:val="000000"/>
                <w:sz w:val="20"/>
                <w:szCs w:val="20"/>
              </w:rPr>
            </w:pPr>
            <w:r w:rsidRPr="00724BBB">
              <w:rPr>
                <w:b/>
                <w:bCs/>
                <w:color w:val="000000"/>
                <w:sz w:val="20"/>
                <w:szCs w:val="20"/>
              </w:rPr>
              <w:t>$0</w:t>
            </w:r>
          </w:p>
        </w:tc>
        <w:tc>
          <w:tcPr>
            <w:tcW w:w="396" w:type="pct"/>
            <w:shd w:val="clear" w:color="auto" w:fill="F2F2F2" w:themeFill="background1" w:themeFillShade="F2"/>
            <w:vAlign w:val="center"/>
            <w:hideMark/>
          </w:tcPr>
          <w:p w14:paraId="3C2A6BD0" w14:textId="77777777" w:rsidR="006903A5" w:rsidRPr="00724BBB" w:rsidRDefault="006903A5">
            <w:pPr>
              <w:spacing w:line="276" w:lineRule="auto"/>
              <w:jc w:val="right"/>
              <w:rPr>
                <w:b/>
                <w:bCs/>
                <w:color w:val="000000"/>
                <w:sz w:val="20"/>
                <w:szCs w:val="20"/>
              </w:rPr>
            </w:pPr>
            <w:r w:rsidRPr="00724BBB">
              <w:rPr>
                <w:b/>
                <w:bCs/>
                <w:color w:val="000000"/>
                <w:sz w:val="20"/>
                <w:szCs w:val="20"/>
              </w:rPr>
              <w:t>$0</w:t>
            </w:r>
          </w:p>
        </w:tc>
        <w:tc>
          <w:tcPr>
            <w:tcW w:w="628" w:type="pct"/>
            <w:shd w:val="clear" w:color="auto" w:fill="F2F2F2" w:themeFill="background1" w:themeFillShade="F2"/>
            <w:vAlign w:val="center"/>
            <w:hideMark/>
          </w:tcPr>
          <w:p w14:paraId="4276F137" w14:textId="77777777" w:rsidR="006903A5" w:rsidRPr="00724BBB" w:rsidRDefault="006903A5">
            <w:pPr>
              <w:spacing w:line="276" w:lineRule="auto"/>
              <w:jc w:val="right"/>
              <w:rPr>
                <w:b/>
                <w:bCs/>
                <w:color w:val="000000"/>
                <w:sz w:val="20"/>
                <w:szCs w:val="20"/>
              </w:rPr>
            </w:pPr>
            <w:r w:rsidRPr="00724BBB">
              <w:rPr>
                <w:b/>
                <w:bCs/>
                <w:color w:val="000000"/>
                <w:sz w:val="20"/>
                <w:szCs w:val="20"/>
              </w:rPr>
              <w:t>$27,792,960</w:t>
            </w:r>
          </w:p>
        </w:tc>
        <w:tc>
          <w:tcPr>
            <w:tcW w:w="696" w:type="pct"/>
            <w:shd w:val="clear" w:color="auto" w:fill="F2F2F2" w:themeFill="background1" w:themeFillShade="F2"/>
            <w:vAlign w:val="center"/>
            <w:hideMark/>
          </w:tcPr>
          <w:p w14:paraId="68109EF9" w14:textId="77777777" w:rsidR="006903A5" w:rsidRPr="00724BBB" w:rsidRDefault="006903A5">
            <w:pPr>
              <w:spacing w:line="276" w:lineRule="auto"/>
              <w:jc w:val="right"/>
              <w:rPr>
                <w:b/>
                <w:bCs/>
                <w:color w:val="000000"/>
                <w:sz w:val="20"/>
                <w:szCs w:val="20"/>
              </w:rPr>
            </w:pPr>
            <w:r w:rsidRPr="00724BBB">
              <w:rPr>
                <w:b/>
                <w:bCs/>
                <w:color w:val="000000"/>
                <w:sz w:val="20"/>
                <w:szCs w:val="20"/>
              </w:rPr>
              <w:t>$27,792,960</w:t>
            </w:r>
          </w:p>
        </w:tc>
      </w:tr>
      <w:tr w:rsidR="006903A5" w:rsidRPr="00724BBB" w14:paraId="0F1A13E4" w14:textId="77777777">
        <w:trPr>
          <w:trHeight w:val="397"/>
        </w:trPr>
        <w:tc>
          <w:tcPr>
            <w:tcW w:w="5000" w:type="pct"/>
            <w:gridSpan w:val="6"/>
            <w:vAlign w:val="center"/>
            <w:hideMark/>
          </w:tcPr>
          <w:p w14:paraId="4DCEBC49" w14:textId="77777777" w:rsidR="006903A5" w:rsidRPr="00724BBB" w:rsidRDefault="006903A5" w:rsidP="00536773">
            <w:pPr>
              <w:spacing w:line="276" w:lineRule="auto"/>
              <w:rPr>
                <w:b/>
                <w:bCs/>
                <w:i/>
                <w:iCs/>
                <w:color w:val="000000"/>
                <w:sz w:val="20"/>
                <w:szCs w:val="20"/>
              </w:rPr>
            </w:pPr>
            <w:r w:rsidRPr="00724BBB">
              <w:rPr>
                <w:b/>
                <w:bCs/>
                <w:i/>
                <w:iCs/>
                <w:color w:val="000000"/>
                <w:sz w:val="20"/>
                <w:szCs w:val="20"/>
              </w:rPr>
              <w:t xml:space="preserve">Unemployment benefits </w:t>
            </w:r>
          </w:p>
        </w:tc>
      </w:tr>
      <w:tr w:rsidR="006903A5" w:rsidRPr="00724BBB" w14:paraId="3A479844" w14:textId="77777777" w:rsidTr="00724BBB">
        <w:trPr>
          <w:trHeight w:val="397"/>
        </w:trPr>
        <w:tc>
          <w:tcPr>
            <w:tcW w:w="2046" w:type="pct"/>
            <w:vAlign w:val="center"/>
            <w:hideMark/>
          </w:tcPr>
          <w:p w14:paraId="7679BD5C" w14:textId="77777777" w:rsidR="006903A5" w:rsidRPr="00724BBB" w:rsidRDefault="006903A5" w:rsidP="00536773">
            <w:pPr>
              <w:spacing w:line="276" w:lineRule="auto"/>
              <w:rPr>
                <w:color w:val="000000"/>
                <w:sz w:val="20"/>
                <w:szCs w:val="20"/>
              </w:rPr>
            </w:pPr>
            <w:r w:rsidRPr="00724BBB">
              <w:rPr>
                <w:color w:val="000000"/>
                <w:sz w:val="20"/>
                <w:szCs w:val="20"/>
              </w:rPr>
              <w:t>Proportion of people who lost their job that are eligible for unemployment benefits</w:t>
            </w:r>
          </w:p>
        </w:tc>
        <w:tc>
          <w:tcPr>
            <w:tcW w:w="788" w:type="pct"/>
            <w:vAlign w:val="center"/>
            <w:hideMark/>
          </w:tcPr>
          <w:p w14:paraId="376260B8" w14:textId="77777777" w:rsidR="006903A5" w:rsidRPr="00724BBB" w:rsidRDefault="006903A5">
            <w:pPr>
              <w:spacing w:line="276" w:lineRule="auto"/>
              <w:rPr>
                <w:color w:val="000000"/>
                <w:sz w:val="20"/>
                <w:szCs w:val="20"/>
              </w:rPr>
            </w:pPr>
            <w:r w:rsidRPr="00724BBB">
              <w:rPr>
                <w:color w:val="000000"/>
                <w:sz w:val="20"/>
                <w:szCs w:val="20"/>
              </w:rPr>
              <w:t>k</w:t>
            </w:r>
          </w:p>
        </w:tc>
        <w:tc>
          <w:tcPr>
            <w:tcW w:w="1470" w:type="pct"/>
            <w:gridSpan w:val="3"/>
            <w:vAlign w:val="center"/>
            <w:hideMark/>
          </w:tcPr>
          <w:p w14:paraId="542534B4" w14:textId="77777777" w:rsidR="006903A5" w:rsidRPr="00724BBB" w:rsidRDefault="006903A5" w:rsidP="00724BBB">
            <w:pPr>
              <w:spacing w:line="276" w:lineRule="auto"/>
              <w:jc w:val="center"/>
              <w:rPr>
                <w:color w:val="000000"/>
                <w:sz w:val="20"/>
                <w:szCs w:val="20"/>
              </w:rPr>
            </w:pPr>
            <w:r w:rsidRPr="00724BBB">
              <w:rPr>
                <w:color w:val="000000"/>
                <w:sz w:val="20"/>
                <w:szCs w:val="20"/>
              </w:rPr>
              <w:t>32%</w:t>
            </w:r>
          </w:p>
        </w:tc>
        <w:tc>
          <w:tcPr>
            <w:tcW w:w="696" w:type="pct"/>
            <w:vAlign w:val="center"/>
            <w:hideMark/>
          </w:tcPr>
          <w:p w14:paraId="3263D0A2" w14:textId="77777777" w:rsidR="006903A5" w:rsidRPr="00724BBB" w:rsidRDefault="006903A5">
            <w:pPr>
              <w:spacing w:line="276" w:lineRule="auto"/>
              <w:jc w:val="right"/>
              <w:rPr>
                <w:color w:val="000000"/>
                <w:sz w:val="20"/>
                <w:szCs w:val="20"/>
              </w:rPr>
            </w:pPr>
            <w:r w:rsidRPr="00724BBB">
              <w:rPr>
                <w:color w:val="000000"/>
                <w:sz w:val="20"/>
                <w:szCs w:val="20"/>
              </w:rPr>
              <w:t>-</w:t>
            </w:r>
          </w:p>
        </w:tc>
      </w:tr>
      <w:tr w:rsidR="006903A5" w:rsidRPr="00724BBB" w14:paraId="4E91515E" w14:textId="77777777" w:rsidTr="00724BBB">
        <w:trPr>
          <w:trHeight w:val="397"/>
        </w:trPr>
        <w:tc>
          <w:tcPr>
            <w:tcW w:w="2046" w:type="pct"/>
            <w:vAlign w:val="center"/>
            <w:hideMark/>
          </w:tcPr>
          <w:p w14:paraId="67A93221" w14:textId="77777777" w:rsidR="006903A5" w:rsidRPr="00724BBB" w:rsidRDefault="006903A5" w:rsidP="00536773">
            <w:pPr>
              <w:spacing w:line="276" w:lineRule="auto"/>
              <w:rPr>
                <w:color w:val="000000"/>
                <w:sz w:val="20"/>
                <w:szCs w:val="20"/>
              </w:rPr>
            </w:pPr>
            <w:r w:rsidRPr="00724BBB">
              <w:rPr>
                <w:color w:val="000000"/>
                <w:sz w:val="20"/>
                <w:szCs w:val="20"/>
              </w:rPr>
              <w:t>Mean Monthly Unemployment payment</w:t>
            </w:r>
          </w:p>
        </w:tc>
        <w:tc>
          <w:tcPr>
            <w:tcW w:w="788" w:type="pct"/>
            <w:vAlign w:val="center"/>
            <w:hideMark/>
          </w:tcPr>
          <w:p w14:paraId="60F51C7D" w14:textId="77777777" w:rsidR="006903A5" w:rsidRPr="00724BBB" w:rsidRDefault="006903A5">
            <w:pPr>
              <w:spacing w:line="276" w:lineRule="auto"/>
              <w:rPr>
                <w:color w:val="000000"/>
                <w:sz w:val="20"/>
                <w:szCs w:val="20"/>
              </w:rPr>
            </w:pPr>
            <w:r w:rsidRPr="00724BBB">
              <w:rPr>
                <w:color w:val="000000"/>
                <w:sz w:val="20"/>
                <w:szCs w:val="20"/>
              </w:rPr>
              <w:t>l</w:t>
            </w:r>
          </w:p>
        </w:tc>
        <w:tc>
          <w:tcPr>
            <w:tcW w:w="1470" w:type="pct"/>
            <w:gridSpan w:val="3"/>
            <w:vAlign w:val="center"/>
            <w:hideMark/>
          </w:tcPr>
          <w:p w14:paraId="3652D4F5" w14:textId="77777777" w:rsidR="006903A5" w:rsidRPr="00724BBB" w:rsidRDefault="006903A5" w:rsidP="00724BBB">
            <w:pPr>
              <w:spacing w:line="276" w:lineRule="auto"/>
              <w:jc w:val="center"/>
              <w:rPr>
                <w:color w:val="000000"/>
                <w:sz w:val="20"/>
                <w:szCs w:val="20"/>
              </w:rPr>
            </w:pPr>
            <w:r w:rsidRPr="00724BBB">
              <w:rPr>
                <w:color w:val="000000"/>
                <w:sz w:val="20"/>
                <w:szCs w:val="20"/>
              </w:rPr>
              <w:t>$1,755</w:t>
            </w:r>
          </w:p>
        </w:tc>
        <w:tc>
          <w:tcPr>
            <w:tcW w:w="696" w:type="pct"/>
            <w:vAlign w:val="center"/>
            <w:hideMark/>
          </w:tcPr>
          <w:p w14:paraId="22C083E9" w14:textId="77777777" w:rsidR="006903A5" w:rsidRPr="00724BBB" w:rsidRDefault="006903A5">
            <w:pPr>
              <w:spacing w:line="276" w:lineRule="auto"/>
              <w:jc w:val="right"/>
              <w:rPr>
                <w:color w:val="000000"/>
                <w:sz w:val="20"/>
                <w:szCs w:val="20"/>
              </w:rPr>
            </w:pPr>
            <w:r w:rsidRPr="00724BBB">
              <w:rPr>
                <w:color w:val="000000"/>
                <w:sz w:val="20"/>
                <w:szCs w:val="20"/>
              </w:rPr>
              <w:t>-</w:t>
            </w:r>
          </w:p>
        </w:tc>
      </w:tr>
      <w:tr w:rsidR="006903A5" w:rsidRPr="00724BBB" w14:paraId="2BD3C1F6" w14:textId="77777777">
        <w:trPr>
          <w:trHeight w:val="397"/>
        </w:trPr>
        <w:tc>
          <w:tcPr>
            <w:tcW w:w="2046" w:type="pct"/>
            <w:vAlign w:val="center"/>
            <w:hideMark/>
          </w:tcPr>
          <w:p w14:paraId="37EB672E" w14:textId="77777777" w:rsidR="006903A5" w:rsidRPr="00724BBB" w:rsidRDefault="006903A5" w:rsidP="00536773">
            <w:pPr>
              <w:spacing w:line="276" w:lineRule="auto"/>
              <w:rPr>
                <w:color w:val="000000"/>
                <w:sz w:val="20"/>
                <w:szCs w:val="20"/>
              </w:rPr>
            </w:pPr>
            <w:r w:rsidRPr="00724BBB">
              <w:rPr>
                <w:color w:val="000000"/>
                <w:sz w:val="20"/>
                <w:szCs w:val="20"/>
              </w:rPr>
              <w:t xml:space="preserve">Total cost of unemployment benefits  </w:t>
            </w:r>
          </w:p>
        </w:tc>
        <w:tc>
          <w:tcPr>
            <w:tcW w:w="788" w:type="pct"/>
            <w:vAlign w:val="center"/>
            <w:hideMark/>
          </w:tcPr>
          <w:p w14:paraId="5CE215FE" w14:textId="77777777" w:rsidR="006903A5" w:rsidRPr="00724BBB" w:rsidRDefault="006903A5">
            <w:pPr>
              <w:spacing w:line="276" w:lineRule="auto"/>
              <w:rPr>
                <w:color w:val="000000"/>
                <w:sz w:val="20"/>
                <w:szCs w:val="20"/>
              </w:rPr>
            </w:pPr>
            <w:r w:rsidRPr="00724BBB">
              <w:rPr>
                <w:color w:val="000000"/>
                <w:sz w:val="20"/>
                <w:szCs w:val="20"/>
              </w:rPr>
              <w:t>m = c x d x k x l</w:t>
            </w:r>
          </w:p>
        </w:tc>
        <w:tc>
          <w:tcPr>
            <w:tcW w:w="447" w:type="pct"/>
            <w:vAlign w:val="center"/>
            <w:hideMark/>
          </w:tcPr>
          <w:p w14:paraId="687299A5" w14:textId="77777777" w:rsidR="006903A5" w:rsidRPr="00724BBB" w:rsidRDefault="006903A5">
            <w:pPr>
              <w:spacing w:line="276" w:lineRule="auto"/>
              <w:jc w:val="right"/>
              <w:rPr>
                <w:color w:val="000000"/>
                <w:sz w:val="20"/>
                <w:szCs w:val="20"/>
              </w:rPr>
            </w:pPr>
            <w:r w:rsidRPr="00724BBB">
              <w:rPr>
                <w:color w:val="000000"/>
                <w:sz w:val="20"/>
                <w:szCs w:val="20"/>
              </w:rPr>
              <w:t>$0</w:t>
            </w:r>
          </w:p>
        </w:tc>
        <w:tc>
          <w:tcPr>
            <w:tcW w:w="396" w:type="pct"/>
            <w:vAlign w:val="center"/>
            <w:hideMark/>
          </w:tcPr>
          <w:p w14:paraId="0F7D501F" w14:textId="77777777" w:rsidR="006903A5" w:rsidRPr="00724BBB" w:rsidRDefault="006903A5">
            <w:pPr>
              <w:spacing w:line="276" w:lineRule="auto"/>
              <w:jc w:val="right"/>
              <w:rPr>
                <w:color w:val="000000"/>
                <w:sz w:val="20"/>
                <w:szCs w:val="20"/>
              </w:rPr>
            </w:pPr>
            <w:r w:rsidRPr="00724BBB">
              <w:rPr>
                <w:color w:val="000000"/>
                <w:sz w:val="20"/>
                <w:szCs w:val="20"/>
              </w:rPr>
              <w:t>$0</w:t>
            </w:r>
          </w:p>
        </w:tc>
        <w:tc>
          <w:tcPr>
            <w:tcW w:w="628" w:type="pct"/>
            <w:vAlign w:val="center"/>
            <w:hideMark/>
          </w:tcPr>
          <w:p w14:paraId="55776E6E" w14:textId="77777777" w:rsidR="006903A5" w:rsidRPr="00724BBB" w:rsidRDefault="006903A5">
            <w:pPr>
              <w:spacing w:line="276" w:lineRule="auto"/>
              <w:jc w:val="right"/>
              <w:rPr>
                <w:color w:val="000000"/>
                <w:sz w:val="20"/>
                <w:szCs w:val="20"/>
              </w:rPr>
            </w:pPr>
            <w:r w:rsidRPr="00724BBB">
              <w:rPr>
                <w:color w:val="000000"/>
                <w:sz w:val="20"/>
                <w:szCs w:val="20"/>
              </w:rPr>
              <w:t>$3,172,512</w:t>
            </w:r>
          </w:p>
        </w:tc>
        <w:tc>
          <w:tcPr>
            <w:tcW w:w="696" w:type="pct"/>
            <w:vAlign w:val="center"/>
            <w:hideMark/>
          </w:tcPr>
          <w:p w14:paraId="61D46280" w14:textId="77777777" w:rsidR="006903A5" w:rsidRPr="00724BBB" w:rsidRDefault="006903A5">
            <w:pPr>
              <w:spacing w:line="276" w:lineRule="auto"/>
              <w:jc w:val="right"/>
              <w:rPr>
                <w:color w:val="000000"/>
                <w:sz w:val="20"/>
                <w:szCs w:val="20"/>
              </w:rPr>
            </w:pPr>
            <w:r w:rsidRPr="00724BBB">
              <w:rPr>
                <w:color w:val="000000"/>
                <w:sz w:val="20"/>
                <w:szCs w:val="20"/>
              </w:rPr>
              <w:t>$3,172,512</w:t>
            </w:r>
          </w:p>
        </w:tc>
      </w:tr>
      <w:tr w:rsidR="006903A5" w:rsidRPr="00724BBB" w14:paraId="1E5D3C77" w14:textId="77777777">
        <w:trPr>
          <w:trHeight w:val="397"/>
        </w:trPr>
        <w:tc>
          <w:tcPr>
            <w:tcW w:w="2046" w:type="pct"/>
            <w:shd w:val="clear" w:color="auto" w:fill="F2F2F2" w:themeFill="background1" w:themeFillShade="F2"/>
            <w:noWrap/>
            <w:vAlign w:val="center"/>
            <w:hideMark/>
          </w:tcPr>
          <w:p w14:paraId="75C4BEB3" w14:textId="77777777" w:rsidR="006903A5" w:rsidRPr="00724BBB" w:rsidRDefault="006903A5">
            <w:pPr>
              <w:spacing w:line="276" w:lineRule="auto"/>
              <w:rPr>
                <w:b/>
                <w:bCs/>
                <w:color w:val="000000"/>
                <w:sz w:val="20"/>
                <w:szCs w:val="20"/>
              </w:rPr>
            </w:pPr>
            <w:r w:rsidRPr="00724BBB">
              <w:rPr>
                <w:b/>
                <w:bCs/>
                <w:color w:val="000000"/>
                <w:sz w:val="20"/>
                <w:szCs w:val="20"/>
              </w:rPr>
              <w:t xml:space="preserve">Total cost of job loss </w:t>
            </w:r>
          </w:p>
        </w:tc>
        <w:tc>
          <w:tcPr>
            <w:tcW w:w="788" w:type="pct"/>
            <w:shd w:val="clear" w:color="auto" w:fill="F2F2F2" w:themeFill="background1" w:themeFillShade="F2"/>
            <w:noWrap/>
            <w:vAlign w:val="center"/>
            <w:hideMark/>
          </w:tcPr>
          <w:p w14:paraId="17D4CC0C" w14:textId="77777777" w:rsidR="006903A5" w:rsidRPr="00724BBB" w:rsidRDefault="006903A5">
            <w:pPr>
              <w:spacing w:line="276" w:lineRule="auto"/>
              <w:rPr>
                <w:b/>
                <w:bCs/>
                <w:color w:val="000000"/>
                <w:sz w:val="20"/>
                <w:szCs w:val="20"/>
              </w:rPr>
            </w:pPr>
            <w:r w:rsidRPr="00724BBB">
              <w:rPr>
                <w:b/>
                <w:bCs/>
                <w:color w:val="000000"/>
                <w:sz w:val="20"/>
                <w:szCs w:val="20"/>
              </w:rPr>
              <w:t>n = f + h + j + m</w:t>
            </w:r>
          </w:p>
        </w:tc>
        <w:tc>
          <w:tcPr>
            <w:tcW w:w="447" w:type="pct"/>
            <w:shd w:val="clear" w:color="auto" w:fill="F2F2F2" w:themeFill="background1" w:themeFillShade="F2"/>
            <w:noWrap/>
            <w:vAlign w:val="center"/>
            <w:hideMark/>
          </w:tcPr>
          <w:p w14:paraId="59A494F1" w14:textId="77777777" w:rsidR="006903A5" w:rsidRPr="00724BBB" w:rsidRDefault="006903A5">
            <w:pPr>
              <w:spacing w:line="276" w:lineRule="auto"/>
              <w:jc w:val="right"/>
              <w:rPr>
                <w:b/>
                <w:bCs/>
                <w:color w:val="000000"/>
                <w:sz w:val="20"/>
                <w:szCs w:val="20"/>
              </w:rPr>
            </w:pPr>
            <w:r w:rsidRPr="00724BBB">
              <w:rPr>
                <w:b/>
                <w:bCs/>
                <w:color w:val="000000"/>
                <w:sz w:val="20"/>
                <w:szCs w:val="20"/>
              </w:rPr>
              <w:t>$0</w:t>
            </w:r>
          </w:p>
        </w:tc>
        <w:tc>
          <w:tcPr>
            <w:tcW w:w="396" w:type="pct"/>
            <w:shd w:val="clear" w:color="auto" w:fill="F2F2F2" w:themeFill="background1" w:themeFillShade="F2"/>
            <w:noWrap/>
            <w:vAlign w:val="center"/>
            <w:hideMark/>
          </w:tcPr>
          <w:p w14:paraId="19F2BE51" w14:textId="77777777" w:rsidR="006903A5" w:rsidRPr="00724BBB" w:rsidRDefault="006903A5">
            <w:pPr>
              <w:spacing w:line="276" w:lineRule="auto"/>
              <w:jc w:val="right"/>
              <w:rPr>
                <w:b/>
                <w:bCs/>
                <w:color w:val="000000"/>
                <w:sz w:val="20"/>
                <w:szCs w:val="20"/>
              </w:rPr>
            </w:pPr>
            <w:r w:rsidRPr="00724BBB">
              <w:rPr>
                <w:b/>
                <w:bCs/>
                <w:color w:val="000000"/>
                <w:sz w:val="20"/>
                <w:szCs w:val="20"/>
              </w:rPr>
              <w:t>$0</w:t>
            </w:r>
          </w:p>
        </w:tc>
        <w:tc>
          <w:tcPr>
            <w:tcW w:w="628" w:type="pct"/>
            <w:shd w:val="clear" w:color="auto" w:fill="F2F2F2" w:themeFill="background1" w:themeFillShade="F2"/>
            <w:noWrap/>
            <w:vAlign w:val="center"/>
            <w:hideMark/>
          </w:tcPr>
          <w:p w14:paraId="107BD7F6" w14:textId="77777777" w:rsidR="006903A5" w:rsidRPr="00724BBB" w:rsidRDefault="006903A5">
            <w:pPr>
              <w:spacing w:line="276" w:lineRule="auto"/>
              <w:jc w:val="right"/>
              <w:rPr>
                <w:b/>
                <w:bCs/>
                <w:color w:val="000000"/>
                <w:sz w:val="20"/>
                <w:szCs w:val="20"/>
              </w:rPr>
            </w:pPr>
            <w:r w:rsidRPr="00724BBB">
              <w:rPr>
                <w:b/>
                <w:bCs/>
                <w:color w:val="000000"/>
                <w:sz w:val="20"/>
                <w:szCs w:val="20"/>
              </w:rPr>
              <w:t>$70,864,746</w:t>
            </w:r>
          </w:p>
        </w:tc>
        <w:tc>
          <w:tcPr>
            <w:tcW w:w="696" w:type="pct"/>
            <w:shd w:val="clear" w:color="auto" w:fill="F2F2F2" w:themeFill="background1" w:themeFillShade="F2"/>
            <w:noWrap/>
            <w:vAlign w:val="center"/>
            <w:hideMark/>
          </w:tcPr>
          <w:p w14:paraId="7A18A41F" w14:textId="77777777" w:rsidR="006903A5" w:rsidRPr="00724BBB" w:rsidRDefault="006903A5">
            <w:pPr>
              <w:spacing w:line="276" w:lineRule="auto"/>
              <w:jc w:val="right"/>
              <w:rPr>
                <w:b/>
                <w:bCs/>
                <w:color w:val="000000"/>
                <w:sz w:val="20"/>
                <w:szCs w:val="20"/>
              </w:rPr>
            </w:pPr>
            <w:r w:rsidRPr="00724BBB">
              <w:rPr>
                <w:b/>
                <w:bCs/>
                <w:color w:val="000000"/>
                <w:sz w:val="20"/>
                <w:szCs w:val="20"/>
              </w:rPr>
              <w:t>$70,864,746</w:t>
            </w:r>
          </w:p>
        </w:tc>
      </w:tr>
      <w:tr w:rsidR="006903A5" w:rsidRPr="00724BBB" w14:paraId="262C44ED" w14:textId="77777777">
        <w:trPr>
          <w:trHeight w:val="397"/>
        </w:trPr>
        <w:tc>
          <w:tcPr>
            <w:tcW w:w="4304" w:type="pct"/>
            <w:gridSpan w:val="5"/>
            <w:vAlign w:val="center"/>
            <w:hideMark/>
          </w:tcPr>
          <w:p w14:paraId="79E556CD" w14:textId="77777777" w:rsidR="006903A5" w:rsidRPr="00724BBB" w:rsidRDefault="006903A5">
            <w:pPr>
              <w:spacing w:line="276" w:lineRule="auto"/>
              <w:rPr>
                <w:color w:val="000000"/>
                <w:sz w:val="20"/>
                <w:szCs w:val="20"/>
              </w:rPr>
            </w:pPr>
            <w:r w:rsidRPr="00724BBB">
              <w:rPr>
                <w:color w:val="000000"/>
                <w:sz w:val="20"/>
                <w:szCs w:val="20"/>
              </w:rPr>
              <w:t>Lower Bound</w:t>
            </w:r>
          </w:p>
        </w:tc>
        <w:tc>
          <w:tcPr>
            <w:tcW w:w="696" w:type="pct"/>
            <w:vAlign w:val="center"/>
            <w:hideMark/>
          </w:tcPr>
          <w:p w14:paraId="6E3FF1CD" w14:textId="77777777" w:rsidR="006903A5" w:rsidRPr="00724BBB" w:rsidRDefault="006903A5">
            <w:pPr>
              <w:spacing w:line="276" w:lineRule="auto"/>
              <w:jc w:val="right"/>
              <w:rPr>
                <w:color w:val="000000"/>
                <w:sz w:val="20"/>
                <w:szCs w:val="20"/>
              </w:rPr>
            </w:pPr>
            <w:r w:rsidRPr="00724BBB">
              <w:rPr>
                <w:color w:val="000000"/>
                <w:sz w:val="20"/>
                <w:szCs w:val="20"/>
              </w:rPr>
              <w:t>$61,061,469</w:t>
            </w:r>
          </w:p>
        </w:tc>
      </w:tr>
      <w:tr w:rsidR="006903A5" w:rsidRPr="00724BBB" w14:paraId="025C07D9" w14:textId="77777777">
        <w:trPr>
          <w:trHeight w:val="397"/>
        </w:trPr>
        <w:tc>
          <w:tcPr>
            <w:tcW w:w="4304" w:type="pct"/>
            <w:gridSpan w:val="5"/>
            <w:vAlign w:val="center"/>
            <w:hideMark/>
          </w:tcPr>
          <w:p w14:paraId="0B5D10E4" w14:textId="77777777" w:rsidR="006903A5" w:rsidRPr="00724BBB" w:rsidRDefault="006903A5">
            <w:pPr>
              <w:spacing w:line="276" w:lineRule="auto"/>
              <w:rPr>
                <w:color w:val="000000"/>
                <w:sz w:val="20"/>
                <w:szCs w:val="20"/>
              </w:rPr>
            </w:pPr>
            <w:r w:rsidRPr="00724BBB">
              <w:rPr>
                <w:color w:val="000000"/>
                <w:sz w:val="20"/>
                <w:szCs w:val="20"/>
              </w:rPr>
              <w:t>Upper Bound</w:t>
            </w:r>
          </w:p>
        </w:tc>
        <w:tc>
          <w:tcPr>
            <w:tcW w:w="696" w:type="pct"/>
            <w:vAlign w:val="center"/>
            <w:hideMark/>
          </w:tcPr>
          <w:p w14:paraId="0C5DB7AC" w14:textId="77777777" w:rsidR="006903A5" w:rsidRPr="00724BBB" w:rsidRDefault="006903A5">
            <w:pPr>
              <w:spacing w:line="276" w:lineRule="auto"/>
              <w:jc w:val="right"/>
              <w:rPr>
                <w:color w:val="000000"/>
                <w:sz w:val="20"/>
                <w:szCs w:val="20"/>
              </w:rPr>
            </w:pPr>
            <w:r w:rsidRPr="00724BBB">
              <w:rPr>
                <w:color w:val="000000"/>
                <w:sz w:val="20"/>
                <w:szCs w:val="20"/>
              </w:rPr>
              <w:t>$90,659,788</w:t>
            </w:r>
          </w:p>
        </w:tc>
      </w:tr>
      <w:tr w:rsidR="006903A5" w:rsidRPr="00724BBB" w14:paraId="32BBBC79" w14:textId="77777777">
        <w:trPr>
          <w:trHeight w:val="397"/>
        </w:trPr>
        <w:tc>
          <w:tcPr>
            <w:tcW w:w="5000" w:type="pct"/>
            <w:gridSpan w:val="6"/>
            <w:vAlign w:val="center"/>
            <w:hideMark/>
          </w:tcPr>
          <w:p w14:paraId="1FA5B274" w14:textId="77777777" w:rsidR="006903A5" w:rsidRPr="00724BBB" w:rsidRDefault="006903A5">
            <w:pPr>
              <w:spacing w:line="276" w:lineRule="auto"/>
              <w:rPr>
                <w:i/>
                <w:iCs/>
                <w:color w:val="242424"/>
                <w:sz w:val="20"/>
                <w:szCs w:val="20"/>
              </w:rPr>
            </w:pPr>
            <w:r w:rsidRPr="00724BBB">
              <w:rPr>
                <w:i/>
                <w:iCs/>
                <w:color w:val="242424"/>
                <w:sz w:val="20"/>
                <w:szCs w:val="20"/>
              </w:rPr>
              <w:t xml:space="preserve">Note: </w:t>
            </w:r>
            <w:r w:rsidRPr="00724BBB">
              <w:rPr>
                <w:i/>
                <w:iCs/>
                <w:sz w:val="20"/>
                <w:szCs w:val="20"/>
              </w:rPr>
              <w:t xml:space="preserve">LR (low-risk gambling), MR (moderate-risk gambling), and problem gambling. </w:t>
            </w:r>
            <w:r w:rsidRPr="00724BBB">
              <w:rPr>
                <w:i/>
                <w:iCs/>
                <w:color w:val="242424"/>
                <w:sz w:val="20"/>
                <w:szCs w:val="20"/>
              </w:rPr>
              <w:t>Totals may not match exactly due to rounding. Calculations are based on the original unrounded figures to ensure accuracy. No job losses associated with low-risk and moderate-risk gambling were reported in the source data.</w:t>
            </w:r>
          </w:p>
        </w:tc>
      </w:tr>
    </w:tbl>
    <w:p w14:paraId="7DF035D4" w14:textId="77777777" w:rsidR="00724BBB" w:rsidRDefault="00724BBB" w:rsidP="00724BBB">
      <w:bookmarkStart w:id="474" w:name="_efjmf9tb2che" w:colFirst="0" w:colLast="0"/>
      <w:bookmarkStart w:id="475" w:name="_7l753888ex2t" w:colFirst="0" w:colLast="0"/>
      <w:bookmarkStart w:id="476" w:name="_Toc201572468"/>
      <w:bookmarkEnd w:id="474"/>
      <w:bookmarkEnd w:id="475"/>
    </w:p>
    <w:p w14:paraId="2B615B61" w14:textId="77777777" w:rsidR="00724BBB" w:rsidRDefault="00724BBB" w:rsidP="00724BBB"/>
    <w:p w14:paraId="57743089" w14:textId="77777777" w:rsidR="00724BBB" w:rsidRDefault="00724BBB" w:rsidP="00724BBB"/>
    <w:p w14:paraId="0A1A850D" w14:textId="77777777" w:rsidR="00724BBB" w:rsidRDefault="00724BBB" w:rsidP="00724BBB"/>
    <w:p w14:paraId="5B86C042" w14:textId="77777777" w:rsidR="00724BBB" w:rsidRDefault="00724BBB" w:rsidP="00724BBB"/>
    <w:p w14:paraId="6A8DF228" w14:textId="77777777" w:rsidR="00724BBB" w:rsidRDefault="00724BBB" w:rsidP="00724BBB"/>
    <w:p w14:paraId="439E7FF7" w14:textId="77777777" w:rsidR="00724BBB" w:rsidRDefault="00724BBB" w:rsidP="00724BBB"/>
    <w:p w14:paraId="3CD8AE84" w14:textId="77777777" w:rsidR="00724BBB" w:rsidRDefault="00724BBB" w:rsidP="00724BBB"/>
    <w:p w14:paraId="280C9B83" w14:textId="53DA6F64" w:rsidR="00DB689D" w:rsidRDefault="00310A10" w:rsidP="00657824">
      <w:pPr>
        <w:pStyle w:val="Heading2"/>
      </w:pPr>
      <w:bookmarkStart w:id="477" w:name="_Toc207195986"/>
      <w:r>
        <w:t>Criminal activity</w:t>
      </w:r>
      <w:bookmarkEnd w:id="476"/>
      <w:bookmarkEnd w:id="477"/>
    </w:p>
    <w:p w14:paraId="06B6C2A4" w14:textId="77777777" w:rsidR="00DB689D" w:rsidRDefault="00310A10" w:rsidP="00367A8D">
      <w:pPr>
        <w:spacing w:line="360" w:lineRule="auto"/>
      </w:pPr>
      <w:r>
        <w:t xml:space="preserve"> </w:t>
      </w:r>
    </w:p>
    <w:p w14:paraId="6F8E8AA9" w14:textId="59B13058" w:rsidR="00DB689D" w:rsidRDefault="00310A10" w:rsidP="00367A8D">
      <w:pPr>
        <w:spacing w:line="360" w:lineRule="auto"/>
      </w:pPr>
      <w:r>
        <w:t xml:space="preserve">Criminal activity linked to gambling harm can result in costs to both the justice system and the wider community. In New Zealand, the </w:t>
      </w:r>
      <w:r>
        <w:rPr>
          <w:i/>
        </w:rPr>
        <w:t>Assessment of the Social Impacts of Gambling in New Zealand</w:t>
      </w:r>
      <w:r>
        <w:t xml:space="preserve"> study estimated that about 10,000 people committed illegal activities in the past year due to gambling </w:t>
      </w:r>
      <w:r w:rsidR="0038398B">
        <w:rPr>
          <w:noProof/>
          <w:color w:val="000000"/>
        </w:rPr>
        <w:t>(Centre for Social and Health Outcomes Research and Evaluation &amp; Te Ropu Whariki, 2008)</w:t>
      </w:r>
      <w:r>
        <w:t>.</w:t>
      </w:r>
    </w:p>
    <w:p w14:paraId="4A6A5620" w14:textId="77777777" w:rsidR="00DB689D" w:rsidRDefault="00DB689D" w:rsidP="00367A8D">
      <w:pPr>
        <w:spacing w:line="360" w:lineRule="auto"/>
      </w:pPr>
    </w:p>
    <w:p w14:paraId="20AC6396" w14:textId="77777777" w:rsidR="00CB5C8B" w:rsidRDefault="00310A10" w:rsidP="00367A8D">
      <w:pPr>
        <w:spacing w:line="360" w:lineRule="auto"/>
      </w:pPr>
      <w:r>
        <w:t xml:space="preserve">A large population survey in New Zealand found that 1.3% of adults had engaged in illegal activity, mainly theft and fraud, in the past year, with one-quarter attributing their actions to gambling. This equates to an estimated 0.33% of the population engaging in illegal activity due to gambling </w:t>
      </w:r>
      <w:r w:rsidR="0038398B">
        <w:rPr>
          <w:noProof/>
          <w:color w:val="000000"/>
        </w:rPr>
        <w:t>(Lin et al., 2010)</w:t>
      </w:r>
      <w:r>
        <w:t>.</w:t>
      </w:r>
      <w:r w:rsidR="00CB5C8B">
        <w:t xml:space="preserve"> </w:t>
      </w:r>
    </w:p>
    <w:p w14:paraId="7E33F4EB" w14:textId="77777777" w:rsidR="00CB5C8B" w:rsidRDefault="00CB5C8B" w:rsidP="00367A8D">
      <w:pPr>
        <w:spacing w:line="360" w:lineRule="auto"/>
      </w:pPr>
    </w:p>
    <w:p w14:paraId="144EE452" w14:textId="10754710" w:rsidR="00DB689D" w:rsidRDefault="00310A10" w:rsidP="00367A8D">
      <w:pPr>
        <w:spacing w:line="360" w:lineRule="auto"/>
      </w:pPr>
      <w:r>
        <w:t xml:space="preserve">A study of 357 recently sentenced male prisoners in New Zealand found that nearly one in five had, at some point, been imprisoned for a gambling-related offence, most commonly non-violent or property-related crimes </w:t>
      </w:r>
      <w:r w:rsidR="0038398B">
        <w:rPr>
          <w:noProof/>
          <w:color w:val="000000"/>
        </w:rPr>
        <w:t>(Abbott et al., 2005)</w:t>
      </w:r>
      <w:r>
        <w:t xml:space="preserve">. Among those classified as experiencing pathological gambling in the six months prior to imprisonment, over half (51%) had committed a gambling-related offence, and 25% had been imprisoned for such a crime. Abbott et al. concluded that 'approximately five percent of inmates are in prison primarily or exclusively for gambling-related convictions.' </w:t>
      </w:r>
    </w:p>
    <w:p w14:paraId="3199D8D5" w14:textId="77777777" w:rsidR="00DB689D" w:rsidRDefault="00DB689D" w:rsidP="00367A8D">
      <w:pPr>
        <w:spacing w:line="360" w:lineRule="auto"/>
      </w:pPr>
    </w:p>
    <w:p w14:paraId="7620424F" w14:textId="792D618B" w:rsidR="00DB689D" w:rsidRDefault="00310A10" w:rsidP="00367A8D">
      <w:pPr>
        <w:spacing w:line="360" w:lineRule="auto"/>
      </w:pPr>
      <w:r>
        <w:t xml:space="preserve">The 2012 National Gambling Study found that 1.5% of New Zealanders reported that the main effect of someone else’s gambling was theft or stealing of money </w:t>
      </w:r>
      <w:r w:rsidR="0038398B">
        <w:rPr>
          <w:noProof/>
          <w:color w:val="000000"/>
        </w:rPr>
        <w:t>(Abbott et al., 2014)</w:t>
      </w:r>
      <w:r>
        <w:t xml:space="preserve">. This was reflected in the Community Consultation (Chapter 4), which identified that most of the crime </w:t>
      </w:r>
      <w:r w:rsidR="006A1508">
        <w:t>scene</w:t>
      </w:r>
      <w:r>
        <w:t xml:space="preserve"> by the participants of the consultation was stealing from family and friends - which does not get reported. However, harms to affected others, such as financial losses or emotional distress, are not costed here due to data limitations.</w:t>
      </w:r>
    </w:p>
    <w:p w14:paraId="4E9CD639" w14:textId="77777777" w:rsidR="00DB689D" w:rsidRDefault="00DB689D" w:rsidP="00367A8D">
      <w:pPr>
        <w:spacing w:line="360" w:lineRule="auto"/>
      </w:pPr>
    </w:p>
    <w:p w14:paraId="67463907" w14:textId="364A0E5A" w:rsidR="00CB5C8B" w:rsidRDefault="00310A10" w:rsidP="00367A8D">
      <w:pPr>
        <w:spacing w:line="360" w:lineRule="auto"/>
      </w:pPr>
      <w:r>
        <w:t xml:space="preserve">This section includes estimated costs to police, courts, and corrections, as well as business losses from theft and fraud. </w:t>
      </w:r>
    </w:p>
    <w:p w14:paraId="183FB47B" w14:textId="77777777" w:rsidR="00CB5C8B" w:rsidRDefault="00CB5C8B">
      <w:pPr>
        <w:rPr>
          <w:color w:val="434343"/>
          <w:sz w:val="28"/>
          <w:szCs w:val="28"/>
        </w:rPr>
      </w:pPr>
      <w:bookmarkStart w:id="478" w:name="_bl4svv4lheet" w:colFirst="0" w:colLast="0"/>
      <w:bookmarkStart w:id="479" w:name="_Toc201572469"/>
      <w:bookmarkEnd w:id="478"/>
      <w:r>
        <w:br w:type="page"/>
      </w:r>
    </w:p>
    <w:p w14:paraId="4F010682" w14:textId="52155A8D" w:rsidR="00DB689D" w:rsidRDefault="00310A10" w:rsidP="00C30E1A">
      <w:pPr>
        <w:pStyle w:val="Heading3"/>
      </w:pPr>
      <w:bookmarkStart w:id="480" w:name="_Toc207195987"/>
      <w:r>
        <w:t>Costs to the New Zealand Justice system</w:t>
      </w:r>
      <w:bookmarkEnd w:id="479"/>
      <w:bookmarkEnd w:id="480"/>
    </w:p>
    <w:p w14:paraId="7563877C" w14:textId="77777777" w:rsidR="00DB689D" w:rsidRDefault="00310A10" w:rsidP="00367A8D">
      <w:pPr>
        <w:spacing w:before="120" w:after="240" w:line="360" w:lineRule="auto"/>
      </w:pPr>
      <w:r>
        <w:t xml:space="preserve">The costs to the New Zealand Justice system related to gambling-related crime was costed across three areas:  </w:t>
      </w:r>
    </w:p>
    <w:p w14:paraId="06518D39" w14:textId="77777777" w:rsidR="00DB689D" w:rsidRDefault="00310A10" w:rsidP="00367A8D">
      <w:pPr>
        <w:numPr>
          <w:ilvl w:val="0"/>
          <w:numId w:val="31"/>
        </w:numPr>
        <w:spacing w:line="360" w:lineRule="auto"/>
      </w:pPr>
      <w:r>
        <w:t>Police System costs</w:t>
      </w:r>
    </w:p>
    <w:p w14:paraId="01A369DA" w14:textId="77777777" w:rsidR="00DB689D" w:rsidRDefault="00310A10" w:rsidP="00367A8D">
      <w:pPr>
        <w:numPr>
          <w:ilvl w:val="0"/>
          <w:numId w:val="31"/>
        </w:numPr>
        <w:spacing w:line="360" w:lineRule="auto"/>
      </w:pPr>
      <w:r>
        <w:t>Court system costs</w:t>
      </w:r>
    </w:p>
    <w:p w14:paraId="75206EC3" w14:textId="77777777" w:rsidR="00DB689D" w:rsidRDefault="00310A10" w:rsidP="00367A8D">
      <w:pPr>
        <w:numPr>
          <w:ilvl w:val="0"/>
          <w:numId w:val="31"/>
        </w:numPr>
        <w:spacing w:line="360" w:lineRule="auto"/>
      </w:pPr>
      <w:r>
        <w:t>Correction system costs</w:t>
      </w:r>
    </w:p>
    <w:p w14:paraId="38288EE4" w14:textId="3E21E4AB" w:rsidR="00DB689D" w:rsidRDefault="00310A10" w:rsidP="00367A8D">
      <w:pPr>
        <w:spacing w:before="120" w:after="240" w:line="360" w:lineRule="auto"/>
        <w:rPr>
          <w:color w:val="0E101A"/>
        </w:rPr>
      </w:pPr>
      <w:r>
        <w:rPr>
          <w:color w:val="0E101A"/>
        </w:rPr>
        <w:t>Each component is presented individually, followed by a combined summary table.</w:t>
      </w:r>
    </w:p>
    <w:p w14:paraId="06FE91AE" w14:textId="77777777" w:rsidR="00DB689D" w:rsidRDefault="00310A10" w:rsidP="00367A8D">
      <w:pPr>
        <w:pStyle w:val="Heading4"/>
        <w:spacing w:after="160" w:line="360" w:lineRule="auto"/>
        <w:rPr>
          <w:color w:val="0E101A"/>
        </w:rPr>
      </w:pPr>
      <w:bookmarkStart w:id="481" w:name="_j07gkcqkc3vg" w:colFirst="0" w:colLast="0"/>
      <w:bookmarkEnd w:id="481"/>
      <w:r>
        <w:t xml:space="preserve">Police system </w:t>
      </w:r>
    </w:p>
    <w:tbl>
      <w:tblPr>
        <w:tblStyle w:val="af4"/>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B689D" w14:paraId="6567003B" w14:textId="77777777">
        <w:tc>
          <w:tcPr>
            <w:tcW w:w="9026" w:type="dxa"/>
            <w:shd w:val="clear" w:color="auto" w:fill="F3F3F3"/>
            <w:tcMar>
              <w:top w:w="100" w:type="dxa"/>
              <w:left w:w="100" w:type="dxa"/>
              <w:bottom w:w="100" w:type="dxa"/>
              <w:right w:w="100" w:type="dxa"/>
            </w:tcMar>
          </w:tcPr>
          <w:p w14:paraId="6F27734F" w14:textId="77777777" w:rsidR="00DB689D" w:rsidRDefault="00310A10" w:rsidP="00843927">
            <w:pPr>
              <w:spacing w:before="120" w:after="240" w:line="276" w:lineRule="auto"/>
            </w:pPr>
            <w:r>
              <w:t xml:space="preserve">The economic impact of crime to the New Zealand police system associated with gambling problems was calculated using: </w:t>
            </w:r>
          </w:p>
          <w:p w14:paraId="577F9941" w14:textId="77777777" w:rsidR="00DB689D" w:rsidRDefault="00310A10" w:rsidP="00843927">
            <w:pPr>
              <w:spacing w:before="120" w:after="120" w:line="276" w:lineRule="auto"/>
              <w:ind w:right="280"/>
            </w:pPr>
            <w:r>
              <w:rPr>
                <w:i/>
              </w:rPr>
              <w:t>Prevalence</w:t>
            </w:r>
            <w:r>
              <w:t xml:space="preserve"> </w:t>
            </w:r>
          </w:p>
          <w:p w14:paraId="552740AF" w14:textId="5EF80978" w:rsidR="00DB689D" w:rsidRDefault="00310A10" w:rsidP="00843927">
            <w:pPr>
              <w:numPr>
                <w:ilvl w:val="0"/>
                <w:numId w:val="42"/>
              </w:numPr>
              <w:spacing w:before="120" w:line="276" w:lineRule="auto"/>
              <w:ind w:right="280"/>
            </w:pPr>
            <w:r>
              <w:t xml:space="preserve">The percentage of people who gamble who reported either </w:t>
            </w:r>
            <w:r>
              <w:rPr>
                <w:i/>
              </w:rPr>
              <w:t>feeling compelled or forced to commit a crime</w:t>
            </w:r>
            <w:r>
              <w:t xml:space="preserve"> </w:t>
            </w:r>
            <w:r>
              <w:rPr>
                <w:i/>
              </w:rPr>
              <w:t>or steal to fund gambling or pay debts</w:t>
            </w:r>
            <w:r>
              <w:t xml:space="preserve"> or </w:t>
            </w:r>
            <w:r>
              <w:rPr>
                <w:i/>
              </w:rPr>
              <w:t>having committed petty theft or dishonesty in respect to government, business or other people (not family/wh</w:t>
            </w:r>
            <w:r w:rsidR="00463767">
              <w:t>ā</w:t>
            </w:r>
            <w:r>
              <w:rPr>
                <w:i/>
              </w:rPr>
              <w:t>nau/friends)</w:t>
            </w:r>
            <w:r>
              <w:t xml:space="preserve"> was sourced from the </w:t>
            </w:r>
            <w:r>
              <w:rPr>
                <w:i/>
              </w:rPr>
              <w:t>Measuring the Burden of Gambling Harm in New Zealand Survey Report</w:t>
            </w:r>
            <w:r>
              <w:t xml:space="preserve"> </w:t>
            </w:r>
            <w:r w:rsidR="00DB2449">
              <w:rPr>
                <w:noProof/>
                <w:color w:val="000000"/>
              </w:rPr>
              <w:t>(</w:t>
            </w:r>
            <w:r w:rsidR="002A3095">
              <w:rPr>
                <w:noProof/>
                <w:color w:val="000000"/>
              </w:rPr>
              <w:t>Browne, Greer et al., 2017</w:t>
            </w:r>
            <w:r w:rsidR="00DB2449">
              <w:rPr>
                <w:noProof/>
                <w:color w:val="000000"/>
              </w:rPr>
              <w:t>)</w:t>
            </w:r>
            <w:r>
              <w:t xml:space="preserve">. </w:t>
            </w:r>
          </w:p>
          <w:p w14:paraId="5DE94CE5" w14:textId="77777777" w:rsidR="00DB689D" w:rsidRDefault="00310A10" w:rsidP="00843927">
            <w:pPr>
              <w:numPr>
                <w:ilvl w:val="0"/>
                <w:numId w:val="42"/>
              </w:numPr>
              <w:spacing w:line="276" w:lineRule="auto"/>
              <w:ind w:right="280"/>
            </w:pPr>
            <w:r>
              <w:t xml:space="preserve">These percentages were projected onto the number of New Zealanders in each of the PGSI risk categories (NZGS, 2023) to get a total number of New Zealanders participating in criminal behaviour due to their gambling. </w:t>
            </w:r>
          </w:p>
          <w:p w14:paraId="5A37C66E" w14:textId="57D60A53" w:rsidR="00DB689D" w:rsidRDefault="00310A10" w:rsidP="00843927">
            <w:pPr>
              <w:numPr>
                <w:ilvl w:val="0"/>
                <w:numId w:val="42"/>
              </w:numPr>
              <w:spacing w:after="120" w:line="276" w:lineRule="auto"/>
              <w:ind w:right="280"/>
            </w:pPr>
            <w:r>
              <w:t xml:space="preserve">A 20% causality discount </w:t>
            </w:r>
            <w:r w:rsidR="00CB5C8B">
              <w:t>(</w:t>
            </w:r>
            <w:r>
              <w:t>Australian Productivity Commission</w:t>
            </w:r>
            <w:r w:rsidR="00CB5C8B">
              <w:t xml:space="preserve">, </w:t>
            </w:r>
            <w:r w:rsidR="0038398B">
              <w:rPr>
                <w:noProof/>
                <w:color w:val="000000"/>
              </w:rPr>
              <w:t>1999)</w:t>
            </w:r>
            <w:r>
              <w:t xml:space="preserve">. </w:t>
            </w:r>
          </w:p>
          <w:p w14:paraId="28C4509D" w14:textId="77777777" w:rsidR="00DB689D" w:rsidRDefault="00310A10" w:rsidP="00843927">
            <w:pPr>
              <w:spacing w:before="120" w:after="120" w:line="276" w:lineRule="auto"/>
              <w:ind w:right="280"/>
            </w:pPr>
            <w:r>
              <w:rPr>
                <w:i/>
              </w:rPr>
              <w:t>Police system costs</w:t>
            </w:r>
            <w:r>
              <w:t xml:space="preserve"> </w:t>
            </w:r>
          </w:p>
          <w:p w14:paraId="0E556B08" w14:textId="7288A4CD" w:rsidR="00DB689D" w:rsidRDefault="00310A10" w:rsidP="00843927">
            <w:pPr>
              <w:numPr>
                <w:ilvl w:val="0"/>
                <w:numId w:val="42"/>
              </w:numPr>
              <w:spacing w:before="120" w:line="276" w:lineRule="auto"/>
              <w:ind w:right="280"/>
            </w:pPr>
            <w:r>
              <w:t xml:space="preserve">The number of people reporting criminal behaviour (above) was multiplied by the average incidence of crime reporting to the police (theft - 31.6%) </w:t>
            </w:r>
            <w:r w:rsidR="0038398B">
              <w:rPr>
                <w:noProof/>
                <w:color w:val="000000"/>
              </w:rPr>
              <w:t>(Ministry of Justice, 2023a)</w:t>
            </w:r>
            <w:r>
              <w:t xml:space="preserve">. This resulted in 2,558 people with police contact due to gambling-related crime. </w:t>
            </w:r>
          </w:p>
          <w:p w14:paraId="7DF7DD21" w14:textId="1DE9C64F" w:rsidR="00DB689D" w:rsidRDefault="00310A10" w:rsidP="00843927">
            <w:pPr>
              <w:numPr>
                <w:ilvl w:val="1"/>
                <w:numId w:val="42"/>
              </w:numPr>
              <w:spacing w:line="276" w:lineRule="auto"/>
              <w:ind w:right="280"/>
            </w:pPr>
            <w:r>
              <w:t xml:space="preserve">During 2023-24 there were a total of 239,400 police incidents due to any cause </w:t>
            </w:r>
            <w:r w:rsidR="00DB2449">
              <w:rPr>
                <w:noProof/>
                <w:color w:val="000000"/>
              </w:rPr>
              <w:t>(New Zealand Police, 2024a)</w:t>
            </w:r>
            <w:r>
              <w:t xml:space="preserve">. Therefore, it is estimated that around 1.1% of all police incidents in New Zealand were gambling related. </w:t>
            </w:r>
          </w:p>
          <w:p w14:paraId="28EB4947" w14:textId="67F74834" w:rsidR="00DB689D" w:rsidRDefault="00310A10" w:rsidP="00843927">
            <w:pPr>
              <w:numPr>
                <w:ilvl w:val="0"/>
                <w:numId w:val="42"/>
              </w:numPr>
              <w:spacing w:after="120" w:line="276" w:lineRule="auto"/>
              <w:ind w:right="280"/>
            </w:pPr>
            <w:r>
              <w:t xml:space="preserve">The average cost per police incident (theft) in 2003-04 ($129.94) </w:t>
            </w:r>
            <w:r w:rsidR="0038398B">
              <w:rPr>
                <w:noProof/>
                <w:color w:val="000000"/>
              </w:rPr>
              <w:t>(Roper &amp; Thompson, 2006)</w:t>
            </w:r>
            <w:r>
              <w:t xml:space="preserve"> was inflated to 2024 - $219.24.</w:t>
            </w:r>
          </w:p>
        </w:tc>
      </w:tr>
    </w:tbl>
    <w:p w14:paraId="3B80D6AA" w14:textId="77777777" w:rsidR="00DB689D" w:rsidRDefault="00DB689D" w:rsidP="00367A8D">
      <w:pPr>
        <w:spacing w:line="360" w:lineRule="auto"/>
        <w:rPr>
          <w:b/>
        </w:rPr>
      </w:pPr>
    </w:p>
    <w:p w14:paraId="58B7FB91" w14:textId="15DB4100" w:rsidR="00DB689D" w:rsidRDefault="00310A10" w:rsidP="00367A8D">
      <w:pPr>
        <w:spacing w:before="120" w:after="240" w:line="360" w:lineRule="auto"/>
        <w:rPr>
          <w:color w:val="0E101A"/>
          <w:highlight w:val="yellow"/>
        </w:rPr>
      </w:pPr>
      <w:r>
        <w:t xml:space="preserve">The estimated economic impact of crime to the New Zealand police system associated with gambling problems is $560,891 </w:t>
      </w:r>
      <w:r w:rsidRPr="00A91E61">
        <w:t>(Table 2</w:t>
      </w:r>
      <w:r w:rsidR="001D7B0D">
        <w:t>7</w:t>
      </w:r>
      <w:r w:rsidRPr="00A91E61">
        <w:t>).</w:t>
      </w:r>
      <w:r>
        <w:rPr>
          <w:highlight w:val="yellow"/>
        </w:rPr>
        <w:t xml:space="preserve"> </w:t>
      </w:r>
    </w:p>
    <w:p w14:paraId="253AD247" w14:textId="77777777" w:rsidR="00DB689D" w:rsidRDefault="00DB689D" w:rsidP="00367A8D">
      <w:pPr>
        <w:spacing w:line="360" w:lineRule="auto"/>
        <w:rPr>
          <w:b/>
        </w:rPr>
      </w:pPr>
    </w:p>
    <w:p w14:paraId="471170DE" w14:textId="0A9324F1" w:rsidR="00A91E61" w:rsidRDefault="00A91E61" w:rsidP="00DB094D">
      <w:pPr>
        <w:pStyle w:val="Caption"/>
      </w:pPr>
      <w:bookmarkStart w:id="482" w:name="_Toc207619069"/>
      <w:r>
        <w:t xml:space="preserve">Table </w:t>
      </w:r>
      <w:r>
        <w:fldChar w:fldCharType="begin"/>
      </w:r>
      <w:r>
        <w:instrText xml:space="preserve"> SEQ Table \* ARABIC </w:instrText>
      </w:r>
      <w:r>
        <w:fldChar w:fldCharType="separate"/>
      </w:r>
      <w:r w:rsidR="00986A0D">
        <w:rPr>
          <w:noProof/>
        </w:rPr>
        <w:t>27</w:t>
      </w:r>
      <w:r>
        <w:fldChar w:fldCharType="end"/>
      </w:r>
      <w:r>
        <w:t xml:space="preserve">. </w:t>
      </w:r>
      <w:r w:rsidRPr="007C4175">
        <w:t>Cost of crime to New Zealand police system due to gambling problems (2023-24)</w:t>
      </w:r>
      <w:bookmarkEnd w:id="482"/>
    </w:p>
    <w:tbl>
      <w:tblPr>
        <w:tblStyle w:val="TableGridLight"/>
        <w:tblW w:w="9067" w:type="dxa"/>
        <w:tblLayout w:type="fixed"/>
        <w:tblLook w:val="04A0" w:firstRow="1" w:lastRow="0" w:firstColumn="1" w:lastColumn="0" w:noHBand="0" w:noVBand="1"/>
      </w:tblPr>
      <w:tblGrid>
        <w:gridCol w:w="3681"/>
        <w:gridCol w:w="1276"/>
        <w:gridCol w:w="992"/>
        <w:gridCol w:w="992"/>
        <w:gridCol w:w="992"/>
        <w:gridCol w:w="1134"/>
      </w:tblGrid>
      <w:tr w:rsidR="00A91E61" w:rsidRPr="00A60E71" w14:paraId="553AD94C" w14:textId="77777777" w:rsidTr="00841D8C">
        <w:trPr>
          <w:trHeight w:val="397"/>
        </w:trPr>
        <w:tc>
          <w:tcPr>
            <w:tcW w:w="3681" w:type="dxa"/>
            <w:shd w:val="clear" w:color="auto" w:fill="F2F2F2" w:themeFill="background1" w:themeFillShade="F2"/>
            <w:vAlign w:val="center"/>
            <w:hideMark/>
          </w:tcPr>
          <w:p w14:paraId="0323C31A" w14:textId="77777777" w:rsidR="00A91E61" w:rsidRPr="00724BBB" w:rsidRDefault="00A91E61">
            <w:pPr>
              <w:rPr>
                <w:b/>
                <w:bCs/>
                <w:color w:val="000000"/>
                <w:sz w:val="20"/>
                <w:szCs w:val="20"/>
              </w:rPr>
            </w:pPr>
            <w:r w:rsidRPr="00724BBB">
              <w:rPr>
                <w:b/>
                <w:bCs/>
                <w:color w:val="000000"/>
                <w:sz w:val="20"/>
                <w:szCs w:val="20"/>
              </w:rPr>
              <w:t>Variable</w:t>
            </w:r>
          </w:p>
        </w:tc>
        <w:tc>
          <w:tcPr>
            <w:tcW w:w="1276" w:type="dxa"/>
            <w:shd w:val="clear" w:color="auto" w:fill="F2F2F2" w:themeFill="background1" w:themeFillShade="F2"/>
            <w:vAlign w:val="center"/>
            <w:hideMark/>
          </w:tcPr>
          <w:p w14:paraId="0E0076BE" w14:textId="77777777" w:rsidR="00A91E61" w:rsidRPr="00724BBB" w:rsidRDefault="00A91E61">
            <w:pPr>
              <w:jc w:val="center"/>
              <w:rPr>
                <w:b/>
                <w:bCs/>
                <w:color w:val="000000"/>
                <w:sz w:val="20"/>
                <w:szCs w:val="20"/>
              </w:rPr>
            </w:pPr>
            <w:r w:rsidRPr="00724BBB">
              <w:rPr>
                <w:b/>
                <w:bCs/>
                <w:color w:val="000000"/>
                <w:sz w:val="20"/>
                <w:szCs w:val="20"/>
              </w:rPr>
              <w:t>Calculation</w:t>
            </w:r>
          </w:p>
        </w:tc>
        <w:tc>
          <w:tcPr>
            <w:tcW w:w="992" w:type="dxa"/>
            <w:shd w:val="clear" w:color="auto" w:fill="F2F2F2" w:themeFill="background1" w:themeFillShade="F2"/>
            <w:vAlign w:val="center"/>
            <w:hideMark/>
          </w:tcPr>
          <w:p w14:paraId="42D816A4" w14:textId="77777777" w:rsidR="00A91E61" w:rsidRPr="00724BBB" w:rsidRDefault="00A91E61">
            <w:pPr>
              <w:jc w:val="center"/>
              <w:rPr>
                <w:b/>
                <w:bCs/>
                <w:color w:val="000000"/>
                <w:sz w:val="20"/>
                <w:szCs w:val="20"/>
              </w:rPr>
            </w:pPr>
            <w:r w:rsidRPr="00724BBB">
              <w:rPr>
                <w:b/>
                <w:bCs/>
                <w:color w:val="000000"/>
                <w:sz w:val="20"/>
                <w:szCs w:val="20"/>
              </w:rPr>
              <w:t>LR</w:t>
            </w:r>
          </w:p>
        </w:tc>
        <w:tc>
          <w:tcPr>
            <w:tcW w:w="992" w:type="dxa"/>
            <w:shd w:val="clear" w:color="auto" w:fill="F2F2F2" w:themeFill="background1" w:themeFillShade="F2"/>
            <w:vAlign w:val="center"/>
            <w:hideMark/>
          </w:tcPr>
          <w:p w14:paraId="76E96439" w14:textId="77777777" w:rsidR="00A91E61" w:rsidRPr="00724BBB" w:rsidRDefault="00A91E61">
            <w:pPr>
              <w:jc w:val="center"/>
              <w:rPr>
                <w:b/>
                <w:bCs/>
                <w:color w:val="000000"/>
                <w:sz w:val="20"/>
                <w:szCs w:val="20"/>
              </w:rPr>
            </w:pPr>
            <w:r w:rsidRPr="00724BBB">
              <w:rPr>
                <w:b/>
                <w:bCs/>
                <w:color w:val="000000"/>
                <w:sz w:val="20"/>
                <w:szCs w:val="20"/>
              </w:rPr>
              <w:t>MR</w:t>
            </w:r>
          </w:p>
        </w:tc>
        <w:tc>
          <w:tcPr>
            <w:tcW w:w="992" w:type="dxa"/>
            <w:shd w:val="clear" w:color="auto" w:fill="F2F2F2" w:themeFill="background1" w:themeFillShade="F2"/>
            <w:vAlign w:val="center"/>
            <w:hideMark/>
          </w:tcPr>
          <w:p w14:paraId="72B6C5F5" w14:textId="77777777" w:rsidR="00A91E61" w:rsidRPr="00724BBB" w:rsidRDefault="00A91E61">
            <w:pPr>
              <w:jc w:val="center"/>
              <w:rPr>
                <w:b/>
                <w:bCs/>
                <w:color w:val="000000"/>
                <w:sz w:val="20"/>
                <w:szCs w:val="20"/>
              </w:rPr>
            </w:pPr>
            <w:r w:rsidRPr="00724BBB">
              <w:rPr>
                <w:b/>
                <w:bCs/>
                <w:color w:val="000000"/>
                <w:sz w:val="20"/>
                <w:szCs w:val="20"/>
              </w:rPr>
              <w:t>PG</w:t>
            </w:r>
          </w:p>
        </w:tc>
        <w:tc>
          <w:tcPr>
            <w:tcW w:w="1134" w:type="dxa"/>
            <w:shd w:val="clear" w:color="auto" w:fill="F2F2F2" w:themeFill="background1" w:themeFillShade="F2"/>
            <w:vAlign w:val="center"/>
            <w:hideMark/>
          </w:tcPr>
          <w:p w14:paraId="68D52D61" w14:textId="77777777" w:rsidR="00A91E61" w:rsidRPr="00724BBB" w:rsidRDefault="00A91E61">
            <w:pPr>
              <w:jc w:val="center"/>
              <w:rPr>
                <w:b/>
                <w:bCs/>
                <w:color w:val="000000"/>
                <w:sz w:val="20"/>
                <w:szCs w:val="20"/>
              </w:rPr>
            </w:pPr>
            <w:r w:rsidRPr="00724BBB">
              <w:rPr>
                <w:b/>
                <w:bCs/>
                <w:color w:val="000000"/>
                <w:sz w:val="20"/>
                <w:szCs w:val="20"/>
              </w:rPr>
              <w:t>Total Gambling Problems</w:t>
            </w:r>
          </w:p>
        </w:tc>
      </w:tr>
      <w:tr w:rsidR="00A91E61" w:rsidRPr="00A60E71" w14:paraId="0FAD370F" w14:textId="77777777" w:rsidTr="00841D8C">
        <w:trPr>
          <w:trHeight w:val="397"/>
        </w:trPr>
        <w:tc>
          <w:tcPr>
            <w:tcW w:w="3681" w:type="dxa"/>
            <w:vAlign w:val="center"/>
            <w:hideMark/>
          </w:tcPr>
          <w:p w14:paraId="4DAF2A80" w14:textId="77777777" w:rsidR="00A91E61" w:rsidRPr="00724BBB" w:rsidRDefault="00A91E61">
            <w:pPr>
              <w:rPr>
                <w:color w:val="000000"/>
                <w:sz w:val="20"/>
                <w:szCs w:val="20"/>
              </w:rPr>
            </w:pPr>
            <w:r w:rsidRPr="00724BBB">
              <w:rPr>
                <w:color w:val="000000"/>
                <w:sz w:val="20"/>
                <w:szCs w:val="20"/>
              </w:rPr>
              <w:t>New Zealand population by PGSI</w:t>
            </w:r>
          </w:p>
        </w:tc>
        <w:tc>
          <w:tcPr>
            <w:tcW w:w="1276" w:type="dxa"/>
            <w:noWrap/>
            <w:vAlign w:val="center"/>
            <w:hideMark/>
          </w:tcPr>
          <w:p w14:paraId="53FE4DEF" w14:textId="77777777" w:rsidR="00A91E61" w:rsidRPr="00724BBB" w:rsidRDefault="00A91E61">
            <w:pPr>
              <w:rPr>
                <w:color w:val="000000"/>
                <w:sz w:val="20"/>
                <w:szCs w:val="20"/>
              </w:rPr>
            </w:pPr>
            <w:r w:rsidRPr="00724BBB">
              <w:rPr>
                <w:color w:val="000000"/>
                <w:sz w:val="20"/>
                <w:szCs w:val="20"/>
              </w:rPr>
              <w:t>n</w:t>
            </w:r>
          </w:p>
        </w:tc>
        <w:tc>
          <w:tcPr>
            <w:tcW w:w="992" w:type="dxa"/>
            <w:hideMark/>
          </w:tcPr>
          <w:p w14:paraId="5E00B711" w14:textId="77777777" w:rsidR="00A91E61" w:rsidRPr="00724BBB" w:rsidRDefault="00A91E61">
            <w:pPr>
              <w:jc w:val="right"/>
              <w:rPr>
                <w:color w:val="000000"/>
                <w:sz w:val="20"/>
                <w:szCs w:val="20"/>
              </w:rPr>
            </w:pPr>
            <w:r w:rsidRPr="00724BBB">
              <w:rPr>
                <w:color w:val="000000"/>
                <w:sz w:val="20"/>
                <w:szCs w:val="20"/>
              </w:rPr>
              <w:t>255,318</w:t>
            </w:r>
          </w:p>
        </w:tc>
        <w:tc>
          <w:tcPr>
            <w:tcW w:w="992" w:type="dxa"/>
            <w:hideMark/>
          </w:tcPr>
          <w:p w14:paraId="5C7C00EF" w14:textId="77777777" w:rsidR="00A91E61" w:rsidRPr="00724BBB" w:rsidRDefault="00A91E61">
            <w:pPr>
              <w:jc w:val="right"/>
              <w:rPr>
                <w:color w:val="000000"/>
                <w:sz w:val="20"/>
                <w:szCs w:val="20"/>
              </w:rPr>
            </w:pPr>
            <w:r w:rsidRPr="00724BBB">
              <w:rPr>
                <w:color w:val="000000"/>
                <w:sz w:val="20"/>
                <w:szCs w:val="20"/>
              </w:rPr>
              <w:t>83,492</w:t>
            </w:r>
          </w:p>
        </w:tc>
        <w:tc>
          <w:tcPr>
            <w:tcW w:w="992" w:type="dxa"/>
            <w:hideMark/>
          </w:tcPr>
          <w:p w14:paraId="1C3CB109" w14:textId="77777777" w:rsidR="00A91E61" w:rsidRPr="00724BBB" w:rsidRDefault="00A91E61">
            <w:pPr>
              <w:jc w:val="right"/>
              <w:rPr>
                <w:color w:val="000000"/>
                <w:sz w:val="20"/>
                <w:szCs w:val="20"/>
              </w:rPr>
            </w:pPr>
            <w:r w:rsidRPr="00724BBB">
              <w:rPr>
                <w:color w:val="000000"/>
                <w:sz w:val="20"/>
                <w:szCs w:val="20"/>
              </w:rPr>
              <w:t>20,436</w:t>
            </w:r>
          </w:p>
        </w:tc>
        <w:tc>
          <w:tcPr>
            <w:tcW w:w="1134" w:type="dxa"/>
            <w:hideMark/>
          </w:tcPr>
          <w:p w14:paraId="5F60626F" w14:textId="77777777" w:rsidR="00A91E61" w:rsidRPr="00724BBB" w:rsidRDefault="00A91E61">
            <w:pPr>
              <w:jc w:val="right"/>
              <w:rPr>
                <w:color w:val="000000"/>
                <w:sz w:val="20"/>
                <w:szCs w:val="20"/>
              </w:rPr>
            </w:pPr>
            <w:r w:rsidRPr="00724BBB">
              <w:rPr>
                <w:color w:val="000000"/>
                <w:sz w:val="20"/>
                <w:szCs w:val="20"/>
              </w:rPr>
              <w:t>359,246</w:t>
            </w:r>
          </w:p>
        </w:tc>
      </w:tr>
      <w:tr w:rsidR="00A91E61" w:rsidRPr="00A60E71" w14:paraId="642D8BDA" w14:textId="77777777" w:rsidTr="00841D8C">
        <w:trPr>
          <w:trHeight w:val="397"/>
        </w:trPr>
        <w:tc>
          <w:tcPr>
            <w:tcW w:w="9067" w:type="dxa"/>
            <w:gridSpan w:val="6"/>
            <w:noWrap/>
            <w:vAlign w:val="center"/>
            <w:hideMark/>
          </w:tcPr>
          <w:p w14:paraId="03260229" w14:textId="77777777" w:rsidR="00A91E61" w:rsidRPr="00724BBB" w:rsidRDefault="00A91E61">
            <w:pPr>
              <w:rPr>
                <w:b/>
                <w:bCs/>
                <w:i/>
                <w:iCs/>
                <w:color w:val="000000"/>
                <w:sz w:val="20"/>
                <w:szCs w:val="20"/>
              </w:rPr>
            </w:pPr>
            <w:r w:rsidRPr="00724BBB">
              <w:rPr>
                <w:b/>
                <w:bCs/>
                <w:i/>
                <w:iCs/>
                <w:color w:val="000000"/>
                <w:sz w:val="20"/>
                <w:szCs w:val="20"/>
              </w:rPr>
              <w:t>Criminal behaviour</w:t>
            </w:r>
          </w:p>
        </w:tc>
      </w:tr>
      <w:tr w:rsidR="00A91E61" w:rsidRPr="00A60E71" w14:paraId="58A6F82A" w14:textId="77777777" w:rsidTr="00841D8C">
        <w:trPr>
          <w:trHeight w:val="397"/>
        </w:trPr>
        <w:tc>
          <w:tcPr>
            <w:tcW w:w="3681" w:type="dxa"/>
            <w:vAlign w:val="center"/>
            <w:hideMark/>
          </w:tcPr>
          <w:p w14:paraId="425B0370" w14:textId="77777777" w:rsidR="00A91E61" w:rsidRPr="00724BBB" w:rsidRDefault="00A91E61">
            <w:pPr>
              <w:rPr>
                <w:color w:val="000000"/>
                <w:sz w:val="20"/>
                <w:szCs w:val="20"/>
              </w:rPr>
            </w:pPr>
            <w:r w:rsidRPr="00724BBB">
              <w:rPr>
                <w:color w:val="000000"/>
                <w:sz w:val="20"/>
                <w:szCs w:val="20"/>
              </w:rPr>
              <w:t>Proportion of PGSI group who engaged in criminal behaviour due to gambling</w:t>
            </w:r>
          </w:p>
        </w:tc>
        <w:tc>
          <w:tcPr>
            <w:tcW w:w="1276" w:type="dxa"/>
            <w:noWrap/>
            <w:vAlign w:val="center"/>
            <w:hideMark/>
          </w:tcPr>
          <w:p w14:paraId="389FB6FB" w14:textId="77777777" w:rsidR="00A91E61" w:rsidRPr="00724BBB" w:rsidRDefault="00A91E61">
            <w:pPr>
              <w:rPr>
                <w:color w:val="000000"/>
                <w:sz w:val="20"/>
                <w:szCs w:val="20"/>
              </w:rPr>
            </w:pPr>
            <w:r w:rsidRPr="00724BBB">
              <w:rPr>
                <w:color w:val="000000"/>
                <w:sz w:val="20"/>
                <w:szCs w:val="20"/>
              </w:rPr>
              <w:t>a</w:t>
            </w:r>
          </w:p>
        </w:tc>
        <w:tc>
          <w:tcPr>
            <w:tcW w:w="992" w:type="dxa"/>
            <w:noWrap/>
            <w:vAlign w:val="center"/>
            <w:hideMark/>
          </w:tcPr>
          <w:p w14:paraId="623B861C" w14:textId="77777777" w:rsidR="00A91E61" w:rsidRPr="00724BBB" w:rsidRDefault="00A91E61">
            <w:pPr>
              <w:jc w:val="right"/>
              <w:rPr>
                <w:color w:val="000000"/>
                <w:sz w:val="20"/>
                <w:szCs w:val="20"/>
              </w:rPr>
            </w:pPr>
            <w:r w:rsidRPr="00724BBB">
              <w:rPr>
                <w:color w:val="000000"/>
                <w:sz w:val="20"/>
                <w:szCs w:val="20"/>
              </w:rPr>
              <w:t>1.6%</w:t>
            </w:r>
          </w:p>
        </w:tc>
        <w:tc>
          <w:tcPr>
            <w:tcW w:w="992" w:type="dxa"/>
            <w:noWrap/>
            <w:vAlign w:val="center"/>
            <w:hideMark/>
          </w:tcPr>
          <w:p w14:paraId="2094D297" w14:textId="77777777" w:rsidR="00A91E61" w:rsidRPr="00724BBB" w:rsidRDefault="00A91E61">
            <w:pPr>
              <w:jc w:val="right"/>
              <w:rPr>
                <w:color w:val="000000"/>
                <w:sz w:val="20"/>
                <w:szCs w:val="20"/>
              </w:rPr>
            </w:pPr>
            <w:r w:rsidRPr="00724BBB">
              <w:rPr>
                <w:color w:val="000000"/>
                <w:sz w:val="20"/>
                <w:szCs w:val="20"/>
              </w:rPr>
              <w:t>2.7%</w:t>
            </w:r>
          </w:p>
        </w:tc>
        <w:tc>
          <w:tcPr>
            <w:tcW w:w="992" w:type="dxa"/>
            <w:noWrap/>
            <w:vAlign w:val="center"/>
            <w:hideMark/>
          </w:tcPr>
          <w:p w14:paraId="085FAC59" w14:textId="77777777" w:rsidR="00A91E61" w:rsidRPr="00724BBB" w:rsidRDefault="00A91E61">
            <w:pPr>
              <w:jc w:val="right"/>
              <w:rPr>
                <w:color w:val="000000"/>
                <w:sz w:val="20"/>
                <w:szCs w:val="20"/>
              </w:rPr>
            </w:pPr>
            <w:r w:rsidRPr="00724BBB">
              <w:rPr>
                <w:color w:val="000000"/>
                <w:sz w:val="20"/>
                <w:szCs w:val="20"/>
              </w:rPr>
              <w:t>18.5%</w:t>
            </w:r>
          </w:p>
        </w:tc>
        <w:tc>
          <w:tcPr>
            <w:tcW w:w="1134" w:type="dxa"/>
            <w:noWrap/>
            <w:vAlign w:val="center"/>
            <w:hideMark/>
          </w:tcPr>
          <w:p w14:paraId="59637C5E" w14:textId="77777777" w:rsidR="00A91E61" w:rsidRPr="00724BBB" w:rsidRDefault="00A91E61">
            <w:pPr>
              <w:jc w:val="right"/>
              <w:rPr>
                <w:color w:val="000000"/>
                <w:sz w:val="20"/>
                <w:szCs w:val="20"/>
              </w:rPr>
            </w:pPr>
            <w:r w:rsidRPr="00724BBB">
              <w:rPr>
                <w:color w:val="000000"/>
                <w:sz w:val="20"/>
                <w:szCs w:val="20"/>
              </w:rPr>
              <w:t> </w:t>
            </w:r>
          </w:p>
        </w:tc>
      </w:tr>
      <w:tr w:rsidR="00A91E61" w:rsidRPr="00A60E71" w14:paraId="36C67915" w14:textId="77777777" w:rsidTr="00841D8C">
        <w:trPr>
          <w:trHeight w:val="397"/>
        </w:trPr>
        <w:tc>
          <w:tcPr>
            <w:tcW w:w="3681" w:type="dxa"/>
            <w:vAlign w:val="center"/>
            <w:hideMark/>
          </w:tcPr>
          <w:p w14:paraId="188B512E" w14:textId="77777777" w:rsidR="00A91E61" w:rsidRPr="00724BBB" w:rsidRDefault="00A91E61">
            <w:pPr>
              <w:rPr>
                <w:color w:val="000000"/>
                <w:sz w:val="20"/>
                <w:szCs w:val="20"/>
              </w:rPr>
            </w:pPr>
            <w:r w:rsidRPr="00724BBB">
              <w:rPr>
                <w:color w:val="000000"/>
                <w:sz w:val="20"/>
                <w:szCs w:val="20"/>
              </w:rPr>
              <w:t>Number who engaged in criminal behaviour due to gambling, less 20% causality discount</w:t>
            </w:r>
          </w:p>
        </w:tc>
        <w:tc>
          <w:tcPr>
            <w:tcW w:w="1276" w:type="dxa"/>
            <w:noWrap/>
            <w:vAlign w:val="center"/>
            <w:hideMark/>
          </w:tcPr>
          <w:p w14:paraId="33B61718" w14:textId="77777777" w:rsidR="00A91E61" w:rsidRPr="00724BBB" w:rsidRDefault="00A91E61">
            <w:pPr>
              <w:rPr>
                <w:color w:val="000000"/>
                <w:sz w:val="20"/>
                <w:szCs w:val="20"/>
              </w:rPr>
            </w:pPr>
            <w:r w:rsidRPr="00724BBB">
              <w:rPr>
                <w:color w:val="000000"/>
                <w:sz w:val="20"/>
                <w:szCs w:val="20"/>
              </w:rPr>
              <w:t>b = (a x n) x 80%</w:t>
            </w:r>
          </w:p>
        </w:tc>
        <w:tc>
          <w:tcPr>
            <w:tcW w:w="992" w:type="dxa"/>
            <w:noWrap/>
            <w:vAlign w:val="center"/>
            <w:hideMark/>
          </w:tcPr>
          <w:p w14:paraId="6BA0D533" w14:textId="77777777" w:rsidR="00A91E61" w:rsidRPr="00724BBB" w:rsidRDefault="00A91E61">
            <w:pPr>
              <w:jc w:val="right"/>
              <w:rPr>
                <w:color w:val="000000"/>
                <w:sz w:val="20"/>
                <w:szCs w:val="20"/>
              </w:rPr>
            </w:pPr>
            <w:r w:rsidRPr="00724BBB">
              <w:rPr>
                <w:color w:val="000000"/>
                <w:sz w:val="20"/>
                <w:szCs w:val="20"/>
              </w:rPr>
              <w:t>3,268</w:t>
            </w:r>
          </w:p>
        </w:tc>
        <w:tc>
          <w:tcPr>
            <w:tcW w:w="992" w:type="dxa"/>
            <w:noWrap/>
            <w:vAlign w:val="center"/>
            <w:hideMark/>
          </w:tcPr>
          <w:p w14:paraId="141FEB6F" w14:textId="77777777" w:rsidR="00A91E61" w:rsidRPr="00724BBB" w:rsidRDefault="00A91E61">
            <w:pPr>
              <w:jc w:val="right"/>
              <w:rPr>
                <w:color w:val="000000"/>
                <w:sz w:val="20"/>
                <w:szCs w:val="20"/>
              </w:rPr>
            </w:pPr>
            <w:r w:rsidRPr="00724BBB">
              <w:rPr>
                <w:color w:val="000000"/>
                <w:sz w:val="20"/>
                <w:szCs w:val="20"/>
              </w:rPr>
              <w:t>1,803</w:t>
            </w:r>
          </w:p>
        </w:tc>
        <w:tc>
          <w:tcPr>
            <w:tcW w:w="992" w:type="dxa"/>
            <w:noWrap/>
            <w:vAlign w:val="center"/>
            <w:hideMark/>
          </w:tcPr>
          <w:p w14:paraId="2797B600" w14:textId="77777777" w:rsidR="00A91E61" w:rsidRPr="00724BBB" w:rsidRDefault="00A91E61">
            <w:pPr>
              <w:jc w:val="right"/>
              <w:rPr>
                <w:color w:val="000000"/>
                <w:sz w:val="20"/>
                <w:szCs w:val="20"/>
              </w:rPr>
            </w:pPr>
            <w:r w:rsidRPr="00724BBB">
              <w:rPr>
                <w:color w:val="000000"/>
                <w:sz w:val="20"/>
                <w:szCs w:val="20"/>
              </w:rPr>
              <w:t>3,025</w:t>
            </w:r>
          </w:p>
        </w:tc>
        <w:tc>
          <w:tcPr>
            <w:tcW w:w="1134" w:type="dxa"/>
            <w:noWrap/>
            <w:vAlign w:val="center"/>
            <w:hideMark/>
          </w:tcPr>
          <w:p w14:paraId="022DEC14" w14:textId="77777777" w:rsidR="00A91E61" w:rsidRPr="00724BBB" w:rsidRDefault="00A91E61">
            <w:pPr>
              <w:jc w:val="right"/>
              <w:rPr>
                <w:color w:val="000000"/>
                <w:sz w:val="20"/>
                <w:szCs w:val="20"/>
              </w:rPr>
            </w:pPr>
            <w:r w:rsidRPr="00724BBB">
              <w:rPr>
                <w:color w:val="000000"/>
                <w:sz w:val="20"/>
                <w:szCs w:val="20"/>
              </w:rPr>
              <w:t>8,096</w:t>
            </w:r>
          </w:p>
        </w:tc>
      </w:tr>
      <w:tr w:rsidR="00A91E61" w:rsidRPr="00A60E71" w14:paraId="1F1AF1F8" w14:textId="77777777" w:rsidTr="00841D8C">
        <w:trPr>
          <w:trHeight w:val="397"/>
        </w:trPr>
        <w:tc>
          <w:tcPr>
            <w:tcW w:w="9067" w:type="dxa"/>
            <w:gridSpan w:val="6"/>
            <w:noWrap/>
            <w:vAlign w:val="center"/>
            <w:hideMark/>
          </w:tcPr>
          <w:p w14:paraId="771FEED9" w14:textId="77777777" w:rsidR="00A91E61" w:rsidRPr="00724BBB" w:rsidRDefault="00A91E61">
            <w:pPr>
              <w:rPr>
                <w:b/>
                <w:bCs/>
                <w:i/>
                <w:iCs/>
                <w:color w:val="000000"/>
                <w:sz w:val="20"/>
                <w:szCs w:val="20"/>
              </w:rPr>
            </w:pPr>
            <w:r w:rsidRPr="00724BBB">
              <w:rPr>
                <w:b/>
                <w:bCs/>
                <w:i/>
                <w:iCs/>
                <w:color w:val="000000"/>
                <w:sz w:val="20"/>
                <w:szCs w:val="20"/>
              </w:rPr>
              <w:t>Police system</w:t>
            </w:r>
          </w:p>
        </w:tc>
      </w:tr>
      <w:tr w:rsidR="00A91E61" w:rsidRPr="00A60E71" w14:paraId="7BF61465" w14:textId="77777777" w:rsidTr="00841D8C">
        <w:trPr>
          <w:trHeight w:val="397"/>
        </w:trPr>
        <w:tc>
          <w:tcPr>
            <w:tcW w:w="3681" w:type="dxa"/>
            <w:noWrap/>
            <w:vAlign w:val="center"/>
            <w:hideMark/>
          </w:tcPr>
          <w:p w14:paraId="67C18996" w14:textId="77777777" w:rsidR="00A91E61" w:rsidRPr="00724BBB" w:rsidRDefault="00A91E61">
            <w:pPr>
              <w:rPr>
                <w:color w:val="000000"/>
                <w:sz w:val="20"/>
                <w:szCs w:val="20"/>
              </w:rPr>
            </w:pPr>
            <w:r w:rsidRPr="00724BBB">
              <w:rPr>
                <w:color w:val="000000"/>
                <w:sz w:val="20"/>
                <w:szCs w:val="20"/>
              </w:rPr>
              <w:t>Proportion of crimes reported to the police</w:t>
            </w:r>
          </w:p>
        </w:tc>
        <w:tc>
          <w:tcPr>
            <w:tcW w:w="1276" w:type="dxa"/>
            <w:noWrap/>
            <w:vAlign w:val="center"/>
            <w:hideMark/>
          </w:tcPr>
          <w:p w14:paraId="06C83F2C" w14:textId="77777777" w:rsidR="00A91E61" w:rsidRPr="00724BBB" w:rsidRDefault="00A91E61">
            <w:pPr>
              <w:rPr>
                <w:color w:val="000000"/>
                <w:sz w:val="20"/>
                <w:szCs w:val="20"/>
              </w:rPr>
            </w:pPr>
            <w:r w:rsidRPr="00724BBB">
              <w:rPr>
                <w:color w:val="000000"/>
                <w:sz w:val="20"/>
                <w:szCs w:val="20"/>
              </w:rPr>
              <w:t xml:space="preserve">c </w:t>
            </w:r>
          </w:p>
        </w:tc>
        <w:tc>
          <w:tcPr>
            <w:tcW w:w="4110" w:type="dxa"/>
            <w:gridSpan w:val="4"/>
            <w:noWrap/>
            <w:vAlign w:val="center"/>
            <w:hideMark/>
          </w:tcPr>
          <w:p w14:paraId="4B2C423E" w14:textId="77777777" w:rsidR="00A91E61" w:rsidRPr="00724BBB" w:rsidRDefault="00A91E61" w:rsidP="00724BBB">
            <w:pPr>
              <w:jc w:val="center"/>
              <w:rPr>
                <w:color w:val="000000"/>
                <w:sz w:val="20"/>
                <w:szCs w:val="20"/>
              </w:rPr>
            </w:pPr>
            <w:r w:rsidRPr="00724BBB">
              <w:rPr>
                <w:color w:val="000000"/>
                <w:sz w:val="20"/>
                <w:szCs w:val="20"/>
              </w:rPr>
              <w:t>31.6%</w:t>
            </w:r>
          </w:p>
        </w:tc>
      </w:tr>
      <w:tr w:rsidR="00A91E61" w:rsidRPr="00A60E71" w14:paraId="5540CA2B" w14:textId="77777777" w:rsidTr="00841D8C">
        <w:trPr>
          <w:trHeight w:val="397"/>
        </w:trPr>
        <w:tc>
          <w:tcPr>
            <w:tcW w:w="3681" w:type="dxa"/>
            <w:noWrap/>
            <w:vAlign w:val="center"/>
            <w:hideMark/>
          </w:tcPr>
          <w:p w14:paraId="2A7958A9" w14:textId="77777777" w:rsidR="00A91E61" w:rsidRPr="00724BBB" w:rsidRDefault="00A91E61">
            <w:pPr>
              <w:rPr>
                <w:color w:val="000000"/>
                <w:sz w:val="20"/>
                <w:szCs w:val="20"/>
              </w:rPr>
            </w:pPr>
            <w:r w:rsidRPr="00724BBB">
              <w:rPr>
                <w:color w:val="000000"/>
                <w:sz w:val="20"/>
                <w:szCs w:val="20"/>
              </w:rPr>
              <w:t>Total number of police incidents due to gambling</w:t>
            </w:r>
          </w:p>
        </w:tc>
        <w:tc>
          <w:tcPr>
            <w:tcW w:w="1276" w:type="dxa"/>
            <w:noWrap/>
            <w:vAlign w:val="center"/>
            <w:hideMark/>
          </w:tcPr>
          <w:p w14:paraId="0C4B0983" w14:textId="77777777" w:rsidR="00A91E61" w:rsidRPr="00724BBB" w:rsidRDefault="00A91E61">
            <w:pPr>
              <w:rPr>
                <w:color w:val="000000"/>
                <w:sz w:val="20"/>
                <w:szCs w:val="20"/>
              </w:rPr>
            </w:pPr>
            <w:r w:rsidRPr="00724BBB">
              <w:rPr>
                <w:color w:val="000000"/>
                <w:sz w:val="20"/>
                <w:szCs w:val="20"/>
              </w:rPr>
              <w:t>d = b * c</w:t>
            </w:r>
          </w:p>
        </w:tc>
        <w:tc>
          <w:tcPr>
            <w:tcW w:w="992" w:type="dxa"/>
            <w:noWrap/>
            <w:vAlign w:val="center"/>
            <w:hideMark/>
          </w:tcPr>
          <w:p w14:paraId="35B8B052" w14:textId="77777777" w:rsidR="00A91E61" w:rsidRPr="00724BBB" w:rsidRDefault="00A91E61">
            <w:pPr>
              <w:jc w:val="right"/>
              <w:rPr>
                <w:color w:val="000000"/>
                <w:sz w:val="20"/>
                <w:szCs w:val="20"/>
              </w:rPr>
            </w:pPr>
            <w:r w:rsidRPr="00724BBB">
              <w:rPr>
                <w:color w:val="000000"/>
                <w:sz w:val="20"/>
                <w:szCs w:val="20"/>
              </w:rPr>
              <w:t>1,033</w:t>
            </w:r>
          </w:p>
        </w:tc>
        <w:tc>
          <w:tcPr>
            <w:tcW w:w="992" w:type="dxa"/>
            <w:noWrap/>
            <w:vAlign w:val="center"/>
            <w:hideMark/>
          </w:tcPr>
          <w:p w14:paraId="09510971" w14:textId="77777777" w:rsidR="00A91E61" w:rsidRPr="00724BBB" w:rsidRDefault="00A91E61">
            <w:pPr>
              <w:jc w:val="right"/>
              <w:rPr>
                <w:color w:val="000000"/>
                <w:sz w:val="20"/>
                <w:szCs w:val="20"/>
              </w:rPr>
            </w:pPr>
            <w:r w:rsidRPr="00724BBB">
              <w:rPr>
                <w:color w:val="000000"/>
                <w:sz w:val="20"/>
                <w:szCs w:val="20"/>
              </w:rPr>
              <w:t>570</w:t>
            </w:r>
          </w:p>
        </w:tc>
        <w:tc>
          <w:tcPr>
            <w:tcW w:w="992" w:type="dxa"/>
            <w:noWrap/>
            <w:vAlign w:val="center"/>
            <w:hideMark/>
          </w:tcPr>
          <w:p w14:paraId="04E3EAC1" w14:textId="77777777" w:rsidR="00A91E61" w:rsidRPr="00724BBB" w:rsidRDefault="00A91E61">
            <w:pPr>
              <w:jc w:val="right"/>
              <w:rPr>
                <w:color w:val="000000"/>
                <w:sz w:val="20"/>
                <w:szCs w:val="20"/>
              </w:rPr>
            </w:pPr>
            <w:r w:rsidRPr="00724BBB">
              <w:rPr>
                <w:color w:val="000000"/>
                <w:sz w:val="20"/>
                <w:szCs w:val="20"/>
              </w:rPr>
              <w:t>956</w:t>
            </w:r>
          </w:p>
        </w:tc>
        <w:tc>
          <w:tcPr>
            <w:tcW w:w="1134" w:type="dxa"/>
            <w:noWrap/>
            <w:vAlign w:val="center"/>
            <w:hideMark/>
          </w:tcPr>
          <w:p w14:paraId="36B19228" w14:textId="77777777" w:rsidR="00A91E61" w:rsidRPr="00724BBB" w:rsidRDefault="00A91E61">
            <w:pPr>
              <w:jc w:val="right"/>
              <w:rPr>
                <w:color w:val="000000"/>
                <w:sz w:val="20"/>
                <w:szCs w:val="20"/>
              </w:rPr>
            </w:pPr>
            <w:r w:rsidRPr="00724BBB">
              <w:rPr>
                <w:color w:val="000000"/>
                <w:sz w:val="20"/>
                <w:szCs w:val="20"/>
              </w:rPr>
              <w:t>2,558</w:t>
            </w:r>
          </w:p>
        </w:tc>
      </w:tr>
      <w:tr w:rsidR="00A91E61" w:rsidRPr="00A60E71" w14:paraId="5BD19B12" w14:textId="77777777" w:rsidTr="00841D8C">
        <w:trPr>
          <w:trHeight w:val="397"/>
        </w:trPr>
        <w:tc>
          <w:tcPr>
            <w:tcW w:w="3681" w:type="dxa"/>
            <w:noWrap/>
            <w:vAlign w:val="center"/>
            <w:hideMark/>
          </w:tcPr>
          <w:p w14:paraId="3198B1F5" w14:textId="77777777" w:rsidR="00A91E61" w:rsidRPr="00724BBB" w:rsidRDefault="00A91E61">
            <w:pPr>
              <w:rPr>
                <w:color w:val="000000"/>
                <w:sz w:val="20"/>
                <w:szCs w:val="20"/>
              </w:rPr>
            </w:pPr>
            <w:r w:rsidRPr="00724BBB">
              <w:rPr>
                <w:color w:val="000000"/>
                <w:sz w:val="20"/>
                <w:szCs w:val="20"/>
              </w:rPr>
              <w:t>Cost per police incident</w:t>
            </w:r>
          </w:p>
        </w:tc>
        <w:tc>
          <w:tcPr>
            <w:tcW w:w="1276" w:type="dxa"/>
            <w:noWrap/>
            <w:vAlign w:val="center"/>
            <w:hideMark/>
          </w:tcPr>
          <w:p w14:paraId="49EFD1C7" w14:textId="77777777" w:rsidR="00A91E61" w:rsidRPr="00724BBB" w:rsidRDefault="00A91E61">
            <w:pPr>
              <w:rPr>
                <w:color w:val="000000"/>
                <w:sz w:val="20"/>
                <w:szCs w:val="20"/>
              </w:rPr>
            </w:pPr>
            <w:r w:rsidRPr="00724BBB">
              <w:rPr>
                <w:color w:val="000000"/>
                <w:sz w:val="20"/>
                <w:szCs w:val="20"/>
              </w:rPr>
              <w:t>e</w:t>
            </w:r>
          </w:p>
        </w:tc>
        <w:tc>
          <w:tcPr>
            <w:tcW w:w="4110" w:type="dxa"/>
            <w:gridSpan w:val="4"/>
            <w:noWrap/>
            <w:vAlign w:val="center"/>
            <w:hideMark/>
          </w:tcPr>
          <w:p w14:paraId="104FADF7" w14:textId="77777777" w:rsidR="00A91E61" w:rsidRPr="00724BBB" w:rsidRDefault="00A91E61" w:rsidP="00724BBB">
            <w:pPr>
              <w:jc w:val="center"/>
              <w:rPr>
                <w:color w:val="000000"/>
                <w:sz w:val="20"/>
                <w:szCs w:val="20"/>
              </w:rPr>
            </w:pPr>
            <w:r w:rsidRPr="00724BBB">
              <w:rPr>
                <w:color w:val="000000"/>
                <w:sz w:val="20"/>
                <w:szCs w:val="20"/>
              </w:rPr>
              <w:t>$219</w:t>
            </w:r>
          </w:p>
        </w:tc>
      </w:tr>
      <w:tr w:rsidR="00A91E61" w:rsidRPr="00A60E71" w14:paraId="29024E9B" w14:textId="77777777" w:rsidTr="00841D8C">
        <w:trPr>
          <w:trHeight w:val="397"/>
        </w:trPr>
        <w:tc>
          <w:tcPr>
            <w:tcW w:w="3681" w:type="dxa"/>
            <w:shd w:val="clear" w:color="auto" w:fill="F2F2F2" w:themeFill="background1" w:themeFillShade="F2"/>
            <w:noWrap/>
            <w:vAlign w:val="center"/>
            <w:hideMark/>
          </w:tcPr>
          <w:p w14:paraId="1336E02D" w14:textId="77777777" w:rsidR="00A91E61" w:rsidRPr="00724BBB" w:rsidRDefault="00A91E61">
            <w:pPr>
              <w:rPr>
                <w:b/>
                <w:bCs/>
                <w:color w:val="000000"/>
                <w:sz w:val="20"/>
                <w:szCs w:val="20"/>
              </w:rPr>
            </w:pPr>
            <w:r w:rsidRPr="00724BBB">
              <w:rPr>
                <w:b/>
                <w:bCs/>
                <w:color w:val="000000"/>
                <w:sz w:val="20"/>
                <w:szCs w:val="20"/>
              </w:rPr>
              <w:t>Total police system cost</w:t>
            </w:r>
          </w:p>
        </w:tc>
        <w:tc>
          <w:tcPr>
            <w:tcW w:w="1276" w:type="dxa"/>
            <w:shd w:val="clear" w:color="auto" w:fill="F2F2F2" w:themeFill="background1" w:themeFillShade="F2"/>
            <w:noWrap/>
            <w:vAlign w:val="center"/>
            <w:hideMark/>
          </w:tcPr>
          <w:p w14:paraId="3B42E1A2" w14:textId="77777777" w:rsidR="00A91E61" w:rsidRPr="00724BBB" w:rsidRDefault="00A91E61">
            <w:pPr>
              <w:rPr>
                <w:b/>
                <w:bCs/>
                <w:color w:val="000000"/>
                <w:sz w:val="20"/>
                <w:szCs w:val="20"/>
              </w:rPr>
            </w:pPr>
            <w:r w:rsidRPr="00724BBB">
              <w:rPr>
                <w:b/>
                <w:bCs/>
                <w:color w:val="000000"/>
                <w:sz w:val="20"/>
                <w:szCs w:val="20"/>
              </w:rPr>
              <w:t>f = d x e</w:t>
            </w:r>
          </w:p>
        </w:tc>
        <w:tc>
          <w:tcPr>
            <w:tcW w:w="992" w:type="dxa"/>
            <w:shd w:val="clear" w:color="auto" w:fill="F2F2F2" w:themeFill="background1" w:themeFillShade="F2"/>
            <w:noWrap/>
            <w:vAlign w:val="center"/>
            <w:hideMark/>
          </w:tcPr>
          <w:p w14:paraId="0FD6E20A" w14:textId="77777777" w:rsidR="00A91E61" w:rsidRPr="00724BBB" w:rsidRDefault="00A91E61">
            <w:pPr>
              <w:jc w:val="right"/>
              <w:rPr>
                <w:b/>
                <w:bCs/>
                <w:color w:val="000000"/>
                <w:sz w:val="20"/>
                <w:szCs w:val="20"/>
              </w:rPr>
            </w:pPr>
            <w:r w:rsidRPr="00724BBB">
              <w:rPr>
                <w:b/>
                <w:bCs/>
                <w:color w:val="000000"/>
                <w:sz w:val="20"/>
                <w:szCs w:val="20"/>
              </w:rPr>
              <w:t>$226,411</w:t>
            </w:r>
          </w:p>
        </w:tc>
        <w:tc>
          <w:tcPr>
            <w:tcW w:w="992" w:type="dxa"/>
            <w:shd w:val="clear" w:color="auto" w:fill="F2F2F2" w:themeFill="background1" w:themeFillShade="F2"/>
            <w:noWrap/>
            <w:vAlign w:val="center"/>
            <w:hideMark/>
          </w:tcPr>
          <w:p w14:paraId="41AA5979" w14:textId="77777777" w:rsidR="00A91E61" w:rsidRPr="00724BBB" w:rsidRDefault="00A91E61">
            <w:pPr>
              <w:jc w:val="right"/>
              <w:rPr>
                <w:b/>
                <w:bCs/>
                <w:color w:val="000000"/>
                <w:sz w:val="20"/>
                <w:szCs w:val="20"/>
              </w:rPr>
            </w:pPr>
            <w:r w:rsidRPr="00724BBB">
              <w:rPr>
                <w:b/>
                <w:bCs/>
                <w:color w:val="000000"/>
                <w:sz w:val="20"/>
                <w:szCs w:val="20"/>
              </w:rPr>
              <w:t>$124,941</w:t>
            </w:r>
          </w:p>
        </w:tc>
        <w:tc>
          <w:tcPr>
            <w:tcW w:w="992" w:type="dxa"/>
            <w:shd w:val="clear" w:color="auto" w:fill="F2F2F2" w:themeFill="background1" w:themeFillShade="F2"/>
            <w:noWrap/>
            <w:vAlign w:val="center"/>
            <w:hideMark/>
          </w:tcPr>
          <w:p w14:paraId="3F374781" w14:textId="77777777" w:rsidR="00A91E61" w:rsidRPr="00724BBB" w:rsidRDefault="00A91E61">
            <w:pPr>
              <w:jc w:val="right"/>
              <w:rPr>
                <w:b/>
                <w:bCs/>
                <w:color w:val="000000"/>
                <w:sz w:val="20"/>
                <w:szCs w:val="20"/>
              </w:rPr>
            </w:pPr>
            <w:r w:rsidRPr="00724BBB">
              <w:rPr>
                <w:b/>
                <w:bCs/>
                <w:color w:val="000000"/>
                <w:sz w:val="20"/>
                <w:szCs w:val="20"/>
              </w:rPr>
              <w:t>$209,539</w:t>
            </w:r>
          </w:p>
        </w:tc>
        <w:tc>
          <w:tcPr>
            <w:tcW w:w="1134" w:type="dxa"/>
            <w:shd w:val="clear" w:color="auto" w:fill="F2F2F2" w:themeFill="background1" w:themeFillShade="F2"/>
            <w:noWrap/>
            <w:vAlign w:val="center"/>
            <w:hideMark/>
          </w:tcPr>
          <w:p w14:paraId="46BF03D1" w14:textId="77777777" w:rsidR="00A91E61" w:rsidRPr="00724BBB" w:rsidRDefault="00A91E61">
            <w:pPr>
              <w:jc w:val="right"/>
              <w:rPr>
                <w:b/>
                <w:bCs/>
                <w:color w:val="000000"/>
                <w:sz w:val="20"/>
                <w:szCs w:val="20"/>
              </w:rPr>
            </w:pPr>
            <w:r w:rsidRPr="00724BBB">
              <w:rPr>
                <w:b/>
                <w:bCs/>
                <w:color w:val="000000"/>
                <w:sz w:val="20"/>
                <w:szCs w:val="20"/>
              </w:rPr>
              <w:t>$560,891</w:t>
            </w:r>
          </w:p>
        </w:tc>
      </w:tr>
      <w:tr w:rsidR="00A91E61" w:rsidRPr="00A60E71" w14:paraId="6797077D" w14:textId="77777777" w:rsidTr="00841D8C">
        <w:trPr>
          <w:trHeight w:val="397"/>
        </w:trPr>
        <w:tc>
          <w:tcPr>
            <w:tcW w:w="9067" w:type="dxa"/>
            <w:gridSpan w:val="6"/>
            <w:noWrap/>
            <w:vAlign w:val="center"/>
          </w:tcPr>
          <w:p w14:paraId="588E5671" w14:textId="77777777" w:rsidR="00A91E61" w:rsidRPr="00724BBB" w:rsidRDefault="00A91E61">
            <w:pPr>
              <w:rPr>
                <w:b/>
                <w:bCs/>
                <w:i/>
                <w:iCs/>
                <w:color w:val="000000"/>
                <w:sz w:val="20"/>
                <w:szCs w:val="20"/>
              </w:rPr>
            </w:pPr>
            <w:r w:rsidRPr="00724BBB">
              <w:rPr>
                <w:i/>
                <w:iCs/>
                <w:color w:val="242424"/>
                <w:sz w:val="20"/>
                <w:szCs w:val="20"/>
              </w:rPr>
              <w:t xml:space="preserve">Note: </w:t>
            </w:r>
            <w:r w:rsidRPr="00724BBB">
              <w:rPr>
                <w:i/>
                <w:iCs/>
                <w:sz w:val="20"/>
                <w:szCs w:val="20"/>
              </w:rPr>
              <w:t xml:space="preserve">LR (low-risk gambling), MR (moderate-risk gambling), and problem gambling. </w:t>
            </w:r>
            <w:r w:rsidRPr="00724BBB">
              <w:rPr>
                <w:i/>
                <w:iCs/>
                <w:color w:val="242424"/>
                <w:sz w:val="20"/>
                <w:szCs w:val="20"/>
              </w:rPr>
              <w:t>Totals may not match exactly due to rounding. Calculations are based on the original unrounded figures to ensure accuracy.</w:t>
            </w:r>
          </w:p>
        </w:tc>
      </w:tr>
    </w:tbl>
    <w:p w14:paraId="5897E51F" w14:textId="77777777" w:rsidR="00DB689D" w:rsidRDefault="00DB689D" w:rsidP="00367A8D">
      <w:pPr>
        <w:spacing w:before="120" w:after="240" w:line="360" w:lineRule="auto"/>
        <w:rPr>
          <w:color w:val="0E101A"/>
        </w:rPr>
      </w:pPr>
    </w:p>
    <w:p w14:paraId="563DC528" w14:textId="77777777" w:rsidR="00DB689D" w:rsidRDefault="00310A10" w:rsidP="00367A8D">
      <w:pPr>
        <w:pStyle w:val="Heading4"/>
        <w:spacing w:after="160" w:line="360" w:lineRule="auto"/>
      </w:pPr>
      <w:bookmarkStart w:id="483" w:name="_jk3m27fol0d1" w:colFirst="0" w:colLast="0"/>
      <w:bookmarkEnd w:id="483"/>
      <w:r>
        <w:t xml:space="preserve">Court system </w:t>
      </w:r>
    </w:p>
    <w:tbl>
      <w:tblPr>
        <w:tblStyle w:val="af5"/>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B689D" w:rsidRPr="004A7DB0" w14:paraId="118C74EF" w14:textId="77777777">
        <w:tc>
          <w:tcPr>
            <w:tcW w:w="9026" w:type="dxa"/>
            <w:shd w:val="clear" w:color="auto" w:fill="F3F3F3"/>
            <w:tcMar>
              <w:top w:w="100" w:type="dxa"/>
              <w:left w:w="100" w:type="dxa"/>
              <w:bottom w:w="100" w:type="dxa"/>
              <w:right w:w="100" w:type="dxa"/>
            </w:tcMar>
          </w:tcPr>
          <w:p w14:paraId="1AC162C7" w14:textId="77777777" w:rsidR="00DB689D" w:rsidRPr="004A7DB0" w:rsidRDefault="00310A10" w:rsidP="00843927">
            <w:pPr>
              <w:spacing w:before="120" w:after="240" w:line="276" w:lineRule="auto"/>
              <w:rPr>
                <w:sz w:val="20"/>
                <w:szCs w:val="20"/>
              </w:rPr>
            </w:pPr>
            <w:r w:rsidRPr="004A7DB0">
              <w:rPr>
                <w:sz w:val="20"/>
                <w:szCs w:val="20"/>
              </w:rPr>
              <w:t xml:space="preserve">The economic impact of crime to the New Zealand court system associated with gambling problems was calculated using: </w:t>
            </w:r>
          </w:p>
          <w:p w14:paraId="07F73E91" w14:textId="77777777" w:rsidR="00DB689D" w:rsidRPr="004A7DB0" w:rsidRDefault="00310A10" w:rsidP="00843927">
            <w:pPr>
              <w:spacing w:before="120" w:after="120" w:line="276" w:lineRule="auto"/>
              <w:ind w:right="280"/>
              <w:rPr>
                <w:sz w:val="20"/>
                <w:szCs w:val="20"/>
              </w:rPr>
            </w:pPr>
            <w:r w:rsidRPr="004A7DB0">
              <w:rPr>
                <w:i/>
                <w:sz w:val="20"/>
                <w:szCs w:val="20"/>
              </w:rPr>
              <w:t>Prevalence</w:t>
            </w:r>
            <w:r w:rsidRPr="004A7DB0">
              <w:rPr>
                <w:sz w:val="20"/>
                <w:szCs w:val="20"/>
              </w:rPr>
              <w:t xml:space="preserve"> </w:t>
            </w:r>
          </w:p>
          <w:p w14:paraId="33280516" w14:textId="6E8BCE5B" w:rsidR="00DB689D" w:rsidRPr="004A7DB0" w:rsidRDefault="00310A10" w:rsidP="00843927">
            <w:pPr>
              <w:numPr>
                <w:ilvl w:val="0"/>
                <w:numId w:val="48"/>
              </w:numPr>
              <w:spacing w:before="120" w:line="276" w:lineRule="auto"/>
              <w:ind w:right="280"/>
              <w:rPr>
                <w:sz w:val="20"/>
                <w:szCs w:val="20"/>
              </w:rPr>
            </w:pPr>
            <w:r w:rsidRPr="004A7DB0">
              <w:rPr>
                <w:sz w:val="20"/>
                <w:szCs w:val="20"/>
              </w:rPr>
              <w:t xml:space="preserve">The number of police incidents due to gambling (Table 26 above) was multiplied by the proportion of gambling-related crimes (theft) investigated by police that results in a court appearance </w:t>
            </w:r>
            <w:r w:rsidR="0038398B" w:rsidRPr="004A7DB0">
              <w:rPr>
                <w:noProof/>
                <w:color w:val="000000"/>
                <w:sz w:val="20"/>
                <w:szCs w:val="20"/>
              </w:rPr>
              <w:t>(70%; New Zealand Police, 2024b)</w:t>
            </w:r>
            <w:r w:rsidRPr="004A7DB0">
              <w:rPr>
                <w:sz w:val="20"/>
                <w:szCs w:val="20"/>
              </w:rPr>
              <w:t xml:space="preserve"> </w:t>
            </w:r>
          </w:p>
          <w:p w14:paraId="2157F09D" w14:textId="77777777" w:rsidR="00DB689D" w:rsidRPr="004A7DB0" w:rsidRDefault="00310A10" w:rsidP="00843927">
            <w:pPr>
              <w:numPr>
                <w:ilvl w:val="1"/>
                <w:numId w:val="48"/>
              </w:numPr>
              <w:spacing w:after="120" w:line="276" w:lineRule="auto"/>
              <w:ind w:right="280"/>
              <w:rPr>
                <w:sz w:val="20"/>
                <w:szCs w:val="20"/>
              </w:rPr>
            </w:pPr>
            <w:r w:rsidRPr="004A7DB0">
              <w:rPr>
                <w:sz w:val="20"/>
                <w:szCs w:val="20"/>
              </w:rPr>
              <w:t xml:space="preserve">During 2023-24 there were a total of 189,500 court cases for any reason recorded by the court system of New Zealand. Therefore around 0.95% of all court cases in New Zealand were estimated to be gambling related. </w:t>
            </w:r>
          </w:p>
          <w:p w14:paraId="45B685C9" w14:textId="77777777" w:rsidR="00DB689D" w:rsidRPr="004A7DB0" w:rsidRDefault="00310A10" w:rsidP="00843927">
            <w:pPr>
              <w:spacing w:before="120" w:after="120" w:line="276" w:lineRule="auto"/>
              <w:ind w:right="280"/>
              <w:rPr>
                <w:sz w:val="20"/>
                <w:szCs w:val="20"/>
              </w:rPr>
            </w:pPr>
            <w:r w:rsidRPr="004A7DB0">
              <w:rPr>
                <w:i/>
                <w:sz w:val="20"/>
                <w:szCs w:val="20"/>
              </w:rPr>
              <w:t>Court system costs</w:t>
            </w:r>
            <w:r w:rsidRPr="004A7DB0">
              <w:rPr>
                <w:sz w:val="20"/>
                <w:szCs w:val="20"/>
              </w:rPr>
              <w:t xml:space="preserve"> </w:t>
            </w:r>
          </w:p>
          <w:p w14:paraId="06374631" w14:textId="1D1B8DBA" w:rsidR="00DB689D" w:rsidRPr="004A7DB0" w:rsidRDefault="00310A10" w:rsidP="00843927">
            <w:pPr>
              <w:numPr>
                <w:ilvl w:val="0"/>
                <w:numId w:val="42"/>
              </w:numPr>
              <w:spacing w:before="120" w:after="120" w:line="276" w:lineRule="auto"/>
              <w:ind w:right="280"/>
              <w:rPr>
                <w:sz w:val="20"/>
                <w:szCs w:val="20"/>
              </w:rPr>
            </w:pPr>
            <w:r w:rsidRPr="004A7DB0">
              <w:rPr>
                <w:sz w:val="20"/>
                <w:szCs w:val="20"/>
              </w:rPr>
              <w:t xml:space="preserve">The average cost per court case 2003-04 ($870.71) </w:t>
            </w:r>
            <w:r w:rsidR="0038398B" w:rsidRPr="004A7DB0">
              <w:rPr>
                <w:noProof/>
                <w:color w:val="000000"/>
                <w:sz w:val="20"/>
                <w:szCs w:val="20"/>
              </w:rPr>
              <w:t>(Roper &amp; Thompson, 2006)</w:t>
            </w:r>
            <w:r w:rsidRPr="004A7DB0">
              <w:rPr>
                <w:sz w:val="20"/>
                <w:szCs w:val="20"/>
              </w:rPr>
              <w:t xml:space="preserve"> was inflated to 2024 - $1,469.07.</w:t>
            </w:r>
          </w:p>
        </w:tc>
      </w:tr>
    </w:tbl>
    <w:p w14:paraId="546EB1F7" w14:textId="77777777" w:rsidR="00DB689D" w:rsidRDefault="00DB689D" w:rsidP="00367A8D">
      <w:pPr>
        <w:spacing w:line="360" w:lineRule="auto"/>
        <w:rPr>
          <w:b/>
        </w:rPr>
      </w:pPr>
    </w:p>
    <w:p w14:paraId="35AE32F6" w14:textId="756C5E6E" w:rsidR="00DB689D" w:rsidRDefault="00310A10" w:rsidP="00367A8D">
      <w:pPr>
        <w:spacing w:before="120" w:after="240" w:line="360" w:lineRule="auto"/>
      </w:pPr>
      <w:r>
        <w:t>The estimated economic impact of crime to the New Zealand court system associated with gambling problems is around $2.6 million (</w:t>
      </w:r>
      <w:r w:rsidRPr="00A91E61">
        <w:t>Table 2</w:t>
      </w:r>
      <w:r w:rsidR="001D7B0D">
        <w:t>8</w:t>
      </w:r>
      <w:r>
        <w:t xml:space="preserve">). </w:t>
      </w:r>
    </w:p>
    <w:p w14:paraId="76E5E639" w14:textId="77777777" w:rsidR="00DB689D" w:rsidRDefault="00DB689D" w:rsidP="00367A8D">
      <w:pPr>
        <w:spacing w:before="120" w:after="240" w:line="360" w:lineRule="auto"/>
      </w:pPr>
    </w:p>
    <w:p w14:paraId="013EC0C1" w14:textId="06CE9D63" w:rsidR="00A91E61" w:rsidRDefault="00A91E61" w:rsidP="00DB094D">
      <w:pPr>
        <w:pStyle w:val="Caption"/>
      </w:pPr>
      <w:bookmarkStart w:id="484" w:name="_Toc207619070"/>
      <w:r>
        <w:t xml:space="preserve">Table </w:t>
      </w:r>
      <w:r>
        <w:fldChar w:fldCharType="begin"/>
      </w:r>
      <w:r>
        <w:instrText xml:space="preserve"> SEQ Table \* ARABIC </w:instrText>
      </w:r>
      <w:r>
        <w:fldChar w:fldCharType="separate"/>
      </w:r>
      <w:r w:rsidR="00986A0D">
        <w:rPr>
          <w:noProof/>
        </w:rPr>
        <w:t>28</w:t>
      </w:r>
      <w:r>
        <w:fldChar w:fldCharType="end"/>
      </w:r>
      <w:r>
        <w:t xml:space="preserve">. </w:t>
      </w:r>
      <w:r w:rsidRPr="00E864C7">
        <w:t>Cost of crime to New Zealand court system due to gambling problems (2023-24)</w:t>
      </w:r>
      <w:bookmarkEnd w:id="484"/>
    </w:p>
    <w:tbl>
      <w:tblPr>
        <w:tblStyle w:val="TableGridLight"/>
        <w:tblW w:w="9067" w:type="dxa"/>
        <w:tblLayout w:type="fixed"/>
        <w:tblLook w:val="04A0" w:firstRow="1" w:lastRow="0" w:firstColumn="1" w:lastColumn="0" w:noHBand="0" w:noVBand="1"/>
      </w:tblPr>
      <w:tblGrid>
        <w:gridCol w:w="3397"/>
        <w:gridCol w:w="1276"/>
        <w:gridCol w:w="1134"/>
        <w:gridCol w:w="992"/>
        <w:gridCol w:w="993"/>
        <w:gridCol w:w="1275"/>
      </w:tblGrid>
      <w:tr w:rsidR="00A91E61" w:rsidRPr="00724BBB" w14:paraId="62FDBCCC" w14:textId="77777777" w:rsidTr="00841D8C">
        <w:trPr>
          <w:trHeight w:val="397"/>
        </w:trPr>
        <w:tc>
          <w:tcPr>
            <w:tcW w:w="3397" w:type="dxa"/>
            <w:shd w:val="clear" w:color="auto" w:fill="F2F2F2" w:themeFill="background1" w:themeFillShade="F2"/>
            <w:vAlign w:val="center"/>
            <w:hideMark/>
          </w:tcPr>
          <w:p w14:paraId="5F755B64" w14:textId="77777777" w:rsidR="00A91E61" w:rsidRPr="00724BBB" w:rsidRDefault="00A91E61">
            <w:pPr>
              <w:rPr>
                <w:b/>
                <w:bCs/>
                <w:color w:val="000000"/>
                <w:sz w:val="20"/>
                <w:szCs w:val="20"/>
              </w:rPr>
            </w:pPr>
            <w:bookmarkStart w:id="485" w:name="_Toc199420896"/>
            <w:bookmarkStart w:id="486" w:name="_Toc199420897"/>
            <w:bookmarkEnd w:id="485"/>
            <w:bookmarkEnd w:id="486"/>
            <w:r w:rsidRPr="00724BBB">
              <w:rPr>
                <w:b/>
                <w:bCs/>
                <w:color w:val="000000"/>
                <w:sz w:val="20"/>
                <w:szCs w:val="20"/>
              </w:rPr>
              <w:t>Variable</w:t>
            </w:r>
          </w:p>
        </w:tc>
        <w:tc>
          <w:tcPr>
            <w:tcW w:w="1276" w:type="dxa"/>
            <w:shd w:val="clear" w:color="auto" w:fill="F2F2F2" w:themeFill="background1" w:themeFillShade="F2"/>
            <w:vAlign w:val="center"/>
            <w:hideMark/>
          </w:tcPr>
          <w:p w14:paraId="343FFCC6" w14:textId="77777777" w:rsidR="00A91E61" w:rsidRPr="00724BBB" w:rsidRDefault="00A91E61">
            <w:pPr>
              <w:jc w:val="center"/>
              <w:rPr>
                <w:b/>
                <w:bCs/>
                <w:color w:val="000000"/>
                <w:sz w:val="20"/>
                <w:szCs w:val="20"/>
              </w:rPr>
            </w:pPr>
            <w:r w:rsidRPr="00724BBB">
              <w:rPr>
                <w:b/>
                <w:bCs/>
                <w:color w:val="000000"/>
                <w:sz w:val="20"/>
                <w:szCs w:val="20"/>
              </w:rPr>
              <w:t>Calculation</w:t>
            </w:r>
          </w:p>
        </w:tc>
        <w:tc>
          <w:tcPr>
            <w:tcW w:w="1134" w:type="dxa"/>
            <w:shd w:val="clear" w:color="auto" w:fill="F2F2F2" w:themeFill="background1" w:themeFillShade="F2"/>
            <w:vAlign w:val="center"/>
            <w:hideMark/>
          </w:tcPr>
          <w:p w14:paraId="15D0F706" w14:textId="77777777" w:rsidR="00A91E61" w:rsidRPr="00724BBB" w:rsidRDefault="00A91E61">
            <w:pPr>
              <w:jc w:val="center"/>
              <w:rPr>
                <w:b/>
                <w:bCs/>
                <w:color w:val="000000"/>
                <w:sz w:val="20"/>
                <w:szCs w:val="20"/>
              </w:rPr>
            </w:pPr>
            <w:r w:rsidRPr="00724BBB">
              <w:rPr>
                <w:b/>
                <w:bCs/>
                <w:color w:val="000000"/>
                <w:sz w:val="20"/>
                <w:szCs w:val="20"/>
              </w:rPr>
              <w:t>LR</w:t>
            </w:r>
          </w:p>
        </w:tc>
        <w:tc>
          <w:tcPr>
            <w:tcW w:w="992" w:type="dxa"/>
            <w:shd w:val="clear" w:color="auto" w:fill="F2F2F2" w:themeFill="background1" w:themeFillShade="F2"/>
            <w:vAlign w:val="center"/>
            <w:hideMark/>
          </w:tcPr>
          <w:p w14:paraId="0CA15269" w14:textId="77777777" w:rsidR="00A91E61" w:rsidRPr="00724BBB" w:rsidRDefault="00A91E61">
            <w:pPr>
              <w:jc w:val="center"/>
              <w:rPr>
                <w:b/>
                <w:bCs/>
                <w:color w:val="000000"/>
                <w:sz w:val="20"/>
                <w:szCs w:val="20"/>
              </w:rPr>
            </w:pPr>
            <w:r w:rsidRPr="00724BBB">
              <w:rPr>
                <w:b/>
                <w:bCs/>
                <w:color w:val="000000"/>
                <w:sz w:val="20"/>
                <w:szCs w:val="20"/>
              </w:rPr>
              <w:t>MR</w:t>
            </w:r>
          </w:p>
        </w:tc>
        <w:tc>
          <w:tcPr>
            <w:tcW w:w="993" w:type="dxa"/>
            <w:shd w:val="clear" w:color="auto" w:fill="F2F2F2" w:themeFill="background1" w:themeFillShade="F2"/>
            <w:vAlign w:val="center"/>
            <w:hideMark/>
          </w:tcPr>
          <w:p w14:paraId="23E34696" w14:textId="77777777" w:rsidR="00A91E61" w:rsidRPr="00724BBB" w:rsidRDefault="00A91E61">
            <w:pPr>
              <w:jc w:val="center"/>
              <w:rPr>
                <w:b/>
                <w:bCs/>
                <w:color w:val="000000"/>
                <w:sz w:val="20"/>
                <w:szCs w:val="20"/>
              </w:rPr>
            </w:pPr>
            <w:r w:rsidRPr="00724BBB">
              <w:rPr>
                <w:b/>
                <w:bCs/>
                <w:color w:val="000000"/>
                <w:sz w:val="20"/>
                <w:szCs w:val="20"/>
              </w:rPr>
              <w:t>PG</w:t>
            </w:r>
          </w:p>
        </w:tc>
        <w:tc>
          <w:tcPr>
            <w:tcW w:w="1275" w:type="dxa"/>
            <w:shd w:val="clear" w:color="auto" w:fill="F2F2F2" w:themeFill="background1" w:themeFillShade="F2"/>
            <w:vAlign w:val="center"/>
            <w:hideMark/>
          </w:tcPr>
          <w:p w14:paraId="6117A40F" w14:textId="77777777" w:rsidR="00A91E61" w:rsidRPr="00724BBB" w:rsidRDefault="00A91E61">
            <w:pPr>
              <w:jc w:val="center"/>
              <w:rPr>
                <w:b/>
                <w:bCs/>
                <w:color w:val="000000"/>
                <w:sz w:val="20"/>
                <w:szCs w:val="20"/>
              </w:rPr>
            </w:pPr>
            <w:r w:rsidRPr="00724BBB">
              <w:rPr>
                <w:b/>
                <w:bCs/>
                <w:color w:val="000000"/>
                <w:sz w:val="20"/>
                <w:szCs w:val="20"/>
              </w:rPr>
              <w:t>Total Gambling Problems</w:t>
            </w:r>
          </w:p>
        </w:tc>
      </w:tr>
      <w:tr w:rsidR="00A91E61" w:rsidRPr="00724BBB" w14:paraId="71E60D8E" w14:textId="77777777" w:rsidTr="00841D8C">
        <w:trPr>
          <w:trHeight w:val="397"/>
        </w:trPr>
        <w:tc>
          <w:tcPr>
            <w:tcW w:w="3397" w:type="dxa"/>
            <w:vAlign w:val="center"/>
            <w:hideMark/>
          </w:tcPr>
          <w:p w14:paraId="3B40C6C9" w14:textId="77777777" w:rsidR="00A91E61" w:rsidRPr="00724BBB" w:rsidRDefault="00A91E61">
            <w:pPr>
              <w:rPr>
                <w:color w:val="000000"/>
                <w:sz w:val="20"/>
                <w:szCs w:val="20"/>
              </w:rPr>
            </w:pPr>
            <w:r w:rsidRPr="00724BBB">
              <w:rPr>
                <w:color w:val="000000"/>
                <w:sz w:val="20"/>
                <w:szCs w:val="20"/>
              </w:rPr>
              <w:t>Total number of police incidents due to gambling</w:t>
            </w:r>
          </w:p>
        </w:tc>
        <w:tc>
          <w:tcPr>
            <w:tcW w:w="1276" w:type="dxa"/>
            <w:noWrap/>
            <w:vAlign w:val="center"/>
            <w:hideMark/>
          </w:tcPr>
          <w:p w14:paraId="3F16DD58" w14:textId="77777777" w:rsidR="00A91E61" w:rsidRPr="00724BBB" w:rsidRDefault="00A91E61">
            <w:pPr>
              <w:rPr>
                <w:color w:val="000000"/>
                <w:sz w:val="20"/>
                <w:szCs w:val="20"/>
              </w:rPr>
            </w:pPr>
            <w:r w:rsidRPr="00724BBB">
              <w:rPr>
                <w:color w:val="000000"/>
                <w:sz w:val="20"/>
                <w:szCs w:val="20"/>
              </w:rPr>
              <w:t>n</w:t>
            </w:r>
          </w:p>
        </w:tc>
        <w:tc>
          <w:tcPr>
            <w:tcW w:w="1134" w:type="dxa"/>
            <w:vAlign w:val="center"/>
            <w:hideMark/>
          </w:tcPr>
          <w:p w14:paraId="6B364804" w14:textId="77777777" w:rsidR="00A91E61" w:rsidRPr="00724BBB" w:rsidRDefault="00A91E61">
            <w:pPr>
              <w:jc w:val="right"/>
              <w:rPr>
                <w:color w:val="000000"/>
                <w:sz w:val="20"/>
                <w:szCs w:val="20"/>
              </w:rPr>
            </w:pPr>
            <w:r w:rsidRPr="00724BBB">
              <w:rPr>
                <w:color w:val="000000"/>
                <w:sz w:val="20"/>
                <w:szCs w:val="20"/>
              </w:rPr>
              <w:t>1,033</w:t>
            </w:r>
          </w:p>
        </w:tc>
        <w:tc>
          <w:tcPr>
            <w:tcW w:w="992" w:type="dxa"/>
            <w:vAlign w:val="center"/>
            <w:hideMark/>
          </w:tcPr>
          <w:p w14:paraId="1C75B37F" w14:textId="77777777" w:rsidR="00A91E61" w:rsidRPr="00724BBB" w:rsidRDefault="00A91E61">
            <w:pPr>
              <w:jc w:val="right"/>
              <w:rPr>
                <w:color w:val="000000"/>
                <w:sz w:val="20"/>
                <w:szCs w:val="20"/>
              </w:rPr>
            </w:pPr>
            <w:r w:rsidRPr="00724BBB">
              <w:rPr>
                <w:color w:val="000000"/>
                <w:sz w:val="20"/>
                <w:szCs w:val="20"/>
              </w:rPr>
              <w:t>570</w:t>
            </w:r>
          </w:p>
        </w:tc>
        <w:tc>
          <w:tcPr>
            <w:tcW w:w="993" w:type="dxa"/>
            <w:vAlign w:val="center"/>
            <w:hideMark/>
          </w:tcPr>
          <w:p w14:paraId="6A73D425" w14:textId="77777777" w:rsidR="00A91E61" w:rsidRPr="00724BBB" w:rsidRDefault="00A91E61">
            <w:pPr>
              <w:jc w:val="right"/>
              <w:rPr>
                <w:color w:val="000000"/>
                <w:sz w:val="20"/>
                <w:szCs w:val="20"/>
              </w:rPr>
            </w:pPr>
            <w:r w:rsidRPr="00724BBB">
              <w:rPr>
                <w:color w:val="000000"/>
                <w:sz w:val="20"/>
                <w:szCs w:val="20"/>
              </w:rPr>
              <w:t>956</w:t>
            </w:r>
          </w:p>
        </w:tc>
        <w:tc>
          <w:tcPr>
            <w:tcW w:w="1275" w:type="dxa"/>
            <w:vAlign w:val="center"/>
            <w:hideMark/>
          </w:tcPr>
          <w:p w14:paraId="789E7471" w14:textId="77777777" w:rsidR="00A91E61" w:rsidRPr="00724BBB" w:rsidRDefault="00A91E61">
            <w:pPr>
              <w:jc w:val="right"/>
              <w:rPr>
                <w:color w:val="000000"/>
                <w:sz w:val="20"/>
                <w:szCs w:val="20"/>
              </w:rPr>
            </w:pPr>
            <w:r w:rsidRPr="00724BBB">
              <w:rPr>
                <w:color w:val="000000"/>
                <w:sz w:val="20"/>
                <w:szCs w:val="20"/>
              </w:rPr>
              <w:t>2,558</w:t>
            </w:r>
          </w:p>
        </w:tc>
      </w:tr>
      <w:tr w:rsidR="00A91E61" w:rsidRPr="00724BBB" w14:paraId="495BF7D0" w14:textId="77777777" w:rsidTr="00841D8C">
        <w:trPr>
          <w:trHeight w:val="397"/>
        </w:trPr>
        <w:tc>
          <w:tcPr>
            <w:tcW w:w="3397" w:type="dxa"/>
            <w:vAlign w:val="center"/>
            <w:hideMark/>
          </w:tcPr>
          <w:p w14:paraId="21A30031" w14:textId="77777777" w:rsidR="00A91E61" w:rsidRPr="00724BBB" w:rsidRDefault="00A91E61">
            <w:pPr>
              <w:rPr>
                <w:color w:val="000000"/>
                <w:sz w:val="20"/>
                <w:szCs w:val="20"/>
              </w:rPr>
            </w:pPr>
            <w:r w:rsidRPr="00724BBB">
              <w:rPr>
                <w:color w:val="000000"/>
                <w:sz w:val="20"/>
                <w:szCs w:val="20"/>
              </w:rPr>
              <w:t>Proportion of crimes resulting in a court appearance</w:t>
            </w:r>
          </w:p>
        </w:tc>
        <w:tc>
          <w:tcPr>
            <w:tcW w:w="1276" w:type="dxa"/>
            <w:noWrap/>
            <w:vAlign w:val="center"/>
            <w:hideMark/>
          </w:tcPr>
          <w:p w14:paraId="054B182B" w14:textId="77777777" w:rsidR="00A91E61" w:rsidRPr="00724BBB" w:rsidRDefault="00A91E61">
            <w:pPr>
              <w:rPr>
                <w:color w:val="000000"/>
                <w:sz w:val="20"/>
                <w:szCs w:val="20"/>
              </w:rPr>
            </w:pPr>
            <w:r w:rsidRPr="00724BBB">
              <w:rPr>
                <w:color w:val="000000"/>
                <w:sz w:val="20"/>
                <w:szCs w:val="20"/>
              </w:rPr>
              <w:t>a</w:t>
            </w:r>
          </w:p>
        </w:tc>
        <w:tc>
          <w:tcPr>
            <w:tcW w:w="4394" w:type="dxa"/>
            <w:gridSpan w:val="4"/>
            <w:noWrap/>
            <w:vAlign w:val="center"/>
            <w:hideMark/>
          </w:tcPr>
          <w:p w14:paraId="2CEADE39" w14:textId="77777777" w:rsidR="00A91E61" w:rsidRPr="00724BBB" w:rsidRDefault="00A91E61" w:rsidP="00724BBB">
            <w:pPr>
              <w:jc w:val="center"/>
              <w:rPr>
                <w:color w:val="000000"/>
                <w:sz w:val="20"/>
                <w:szCs w:val="20"/>
              </w:rPr>
            </w:pPr>
            <w:r w:rsidRPr="00724BBB">
              <w:rPr>
                <w:color w:val="000000"/>
                <w:sz w:val="20"/>
                <w:szCs w:val="20"/>
              </w:rPr>
              <w:t>70.0%</w:t>
            </w:r>
          </w:p>
        </w:tc>
      </w:tr>
      <w:tr w:rsidR="00A91E61" w:rsidRPr="00724BBB" w14:paraId="2A6F601E" w14:textId="77777777" w:rsidTr="00841D8C">
        <w:trPr>
          <w:trHeight w:val="397"/>
        </w:trPr>
        <w:tc>
          <w:tcPr>
            <w:tcW w:w="3397" w:type="dxa"/>
            <w:noWrap/>
            <w:vAlign w:val="center"/>
            <w:hideMark/>
          </w:tcPr>
          <w:p w14:paraId="683ECEDC" w14:textId="77777777" w:rsidR="00A91E61" w:rsidRPr="00724BBB" w:rsidRDefault="00A91E61">
            <w:pPr>
              <w:rPr>
                <w:color w:val="000000"/>
                <w:sz w:val="20"/>
                <w:szCs w:val="20"/>
              </w:rPr>
            </w:pPr>
            <w:r w:rsidRPr="00724BBB">
              <w:rPr>
                <w:color w:val="000000"/>
                <w:sz w:val="20"/>
                <w:szCs w:val="20"/>
              </w:rPr>
              <w:t>Number of court cases due to gambling</w:t>
            </w:r>
          </w:p>
        </w:tc>
        <w:tc>
          <w:tcPr>
            <w:tcW w:w="1276" w:type="dxa"/>
            <w:noWrap/>
            <w:vAlign w:val="center"/>
            <w:hideMark/>
          </w:tcPr>
          <w:p w14:paraId="4C92C821" w14:textId="77777777" w:rsidR="00A91E61" w:rsidRPr="00724BBB" w:rsidRDefault="00A91E61">
            <w:pPr>
              <w:rPr>
                <w:color w:val="000000"/>
                <w:sz w:val="20"/>
                <w:szCs w:val="20"/>
              </w:rPr>
            </w:pPr>
            <w:r w:rsidRPr="00724BBB">
              <w:rPr>
                <w:color w:val="000000"/>
                <w:sz w:val="20"/>
                <w:szCs w:val="20"/>
              </w:rPr>
              <w:t>b = a x n</w:t>
            </w:r>
          </w:p>
        </w:tc>
        <w:tc>
          <w:tcPr>
            <w:tcW w:w="1134" w:type="dxa"/>
            <w:noWrap/>
            <w:vAlign w:val="center"/>
            <w:hideMark/>
          </w:tcPr>
          <w:p w14:paraId="36147DA5" w14:textId="77777777" w:rsidR="00A91E61" w:rsidRPr="00724BBB" w:rsidRDefault="00A91E61">
            <w:pPr>
              <w:jc w:val="right"/>
              <w:rPr>
                <w:color w:val="000000"/>
                <w:sz w:val="20"/>
                <w:szCs w:val="20"/>
              </w:rPr>
            </w:pPr>
            <w:r w:rsidRPr="00724BBB">
              <w:rPr>
                <w:color w:val="000000"/>
                <w:sz w:val="20"/>
                <w:szCs w:val="20"/>
              </w:rPr>
              <w:t>723</w:t>
            </w:r>
          </w:p>
        </w:tc>
        <w:tc>
          <w:tcPr>
            <w:tcW w:w="992" w:type="dxa"/>
            <w:noWrap/>
            <w:vAlign w:val="center"/>
            <w:hideMark/>
          </w:tcPr>
          <w:p w14:paraId="4B24ECBF" w14:textId="77777777" w:rsidR="00A91E61" w:rsidRPr="00724BBB" w:rsidRDefault="00A91E61">
            <w:pPr>
              <w:jc w:val="right"/>
              <w:rPr>
                <w:color w:val="000000"/>
                <w:sz w:val="20"/>
                <w:szCs w:val="20"/>
              </w:rPr>
            </w:pPr>
            <w:r w:rsidRPr="00724BBB">
              <w:rPr>
                <w:color w:val="000000"/>
                <w:sz w:val="20"/>
                <w:szCs w:val="20"/>
              </w:rPr>
              <w:t>399</w:t>
            </w:r>
          </w:p>
        </w:tc>
        <w:tc>
          <w:tcPr>
            <w:tcW w:w="993" w:type="dxa"/>
            <w:noWrap/>
            <w:vAlign w:val="center"/>
            <w:hideMark/>
          </w:tcPr>
          <w:p w14:paraId="629B3201" w14:textId="77777777" w:rsidR="00A91E61" w:rsidRPr="00724BBB" w:rsidRDefault="00A91E61">
            <w:pPr>
              <w:jc w:val="right"/>
              <w:rPr>
                <w:color w:val="000000"/>
                <w:sz w:val="20"/>
                <w:szCs w:val="20"/>
              </w:rPr>
            </w:pPr>
            <w:r w:rsidRPr="00724BBB">
              <w:rPr>
                <w:color w:val="000000"/>
                <w:sz w:val="20"/>
                <w:szCs w:val="20"/>
              </w:rPr>
              <w:t>669</w:t>
            </w:r>
          </w:p>
        </w:tc>
        <w:tc>
          <w:tcPr>
            <w:tcW w:w="1275" w:type="dxa"/>
            <w:noWrap/>
            <w:vAlign w:val="center"/>
            <w:hideMark/>
          </w:tcPr>
          <w:p w14:paraId="76DA294D" w14:textId="77777777" w:rsidR="00A91E61" w:rsidRPr="00724BBB" w:rsidRDefault="00A91E61">
            <w:pPr>
              <w:jc w:val="right"/>
              <w:rPr>
                <w:color w:val="000000"/>
                <w:sz w:val="20"/>
                <w:szCs w:val="20"/>
              </w:rPr>
            </w:pPr>
            <w:r w:rsidRPr="00724BBB">
              <w:rPr>
                <w:color w:val="000000"/>
                <w:sz w:val="20"/>
                <w:szCs w:val="20"/>
              </w:rPr>
              <w:t>1,791</w:t>
            </w:r>
          </w:p>
        </w:tc>
      </w:tr>
      <w:tr w:rsidR="00A91E61" w:rsidRPr="00724BBB" w14:paraId="1AE01445" w14:textId="77777777" w:rsidTr="00841D8C">
        <w:trPr>
          <w:trHeight w:val="397"/>
        </w:trPr>
        <w:tc>
          <w:tcPr>
            <w:tcW w:w="3397" w:type="dxa"/>
            <w:noWrap/>
            <w:vAlign w:val="center"/>
            <w:hideMark/>
          </w:tcPr>
          <w:p w14:paraId="0DC71D04" w14:textId="77777777" w:rsidR="00A91E61" w:rsidRPr="00724BBB" w:rsidRDefault="00A91E61">
            <w:pPr>
              <w:rPr>
                <w:color w:val="000000"/>
                <w:sz w:val="20"/>
                <w:szCs w:val="20"/>
              </w:rPr>
            </w:pPr>
            <w:r w:rsidRPr="00724BBB">
              <w:rPr>
                <w:color w:val="000000"/>
                <w:sz w:val="20"/>
                <w:szCs w:val="20"/>
              </w:rPr>
              <w:t>Cost per court matter</w:t>
            </w:r>
          </w:p>
        </w:tc>
        <w:tc>
          <w:tcPr>
            <w:tcW w:w="1276" w:type="dxa"/>
            <w:noWrap/>
            <w:vAlign w:val="center"/>
            <w:hideMark/>
          </w:tcPr>
          <w:p w14:paraId="2AB0EC2F" w14:textId="77777777" w:rsidR="00A91E61" w:rsidRPr="00724BBB" w:rsidRDefault="00A91E61">
            <w:pPr>
              <w:rPr>
                <w:color w:val="000000"/>
                <w:sz w:val="20"/>
                <w:szCs w:val="20"/>
              </w:rPr>
            </w:pPr>
            <w:r w:rsidRPr="00724BBB">
              <w:rPr>
                <w:color w:val="000000"/>
                <w:sz w:val="20"/>
                <w:szCs w:val="20"/>
              </w:rPr>
              <w:t>c</w:t>
            </w:r>
          </w:p>
        </w:tc>
        <w:tc>
          <w:tcPr>
            <w:tcW w:w="4394" w:type="dxa"/>
            <w:gridSpan w:val="4"/>
            <w:noWrap/>
            <w:vAlign w:val="center"/>
            <w:hideMark/>
          </w:tcPr>
          <w:p w14:paraId="606196B9" w14:textId="77777777" w:rsidR="00A91E61" w:rsidRPr="00724BBB" w:rsidRDefault="00A91E61" w:rsidP="00724BBB">
            <w:pPr>
              <w:jc w:val="center"/>
              <w:rPr>
                <w:color w:val="000000"/>
                <w:sz w:val="20"/>
                <w:szCs w:val="20"/>
              </w:rPr>
            </w:pPr>
            <w:r w:rsidRPr="00724BBB">
              <w:rPr>
                <w:color w:val="000000"/>
                <w:sz w:val="20"/>
                <w:szCs w:val="20"/>
              </w:rPr>
              <w:t>$1,469</w:t>
            </w:r>
          </w:p>
        </w:tc>
      </w:tr>
      <w:tr w:rsidR="00A91E61" w:rsidRPr="00724BBB" w14:paraId="41365315" w14:textId="77777777" w:rsidTr="00841D8C">
        <w:trPr>
          <w:trHeight w:val="397"/>
        </w:trPr>
        <w:tc>
          <w:tcPr>
            <w:tcW w:w="3397" w:type="dxa"/>
            <w:shd w:val="clear" w:color="auto" w:fill="F2F2F2" w:themeFill="background1" w:themeFillShade="F2"/>
            <w:noWrap/>
            <w:vAlign w:val="center"/>
            <w:hideMark/>
          </w:tcPr>
          <w:p w14:paraId="21766579" w14:textId="77777777" w:rsidR="00A91E61" w:rsidRPr="00724BBB" w:rsidRDefault="00A91E61">
            <w:pPr>
              <w:rPr>
                <w:b/>
                <w:bCs/>
                <w:color w:val="000000"/>
                <w:sz w:val="20"/>
                <w:szCs w:val="20"/>
              </w:rPr>
            </w:pPr>
            <w:r w:rsidRPr="00724BBB">
              <w:rPr>
                <w:b/>
                <w:bCs/>
                <w:color w:val="000000"/>
                <w:sz w:val="20"/>
                <w:szCs w:val="20"/>
              </w:rPr>
              <w:t>Total court system cost</w:t>
            </w:r>
          </w:p>
        </w:tc>
        <w:tc>
          <w:tcPr>
            <w:tcW w:w="1276" w:type="dxa"/>
            <w:shd w:val="clear" w:color="auto" w:fill="F2F2F2" w:themeFill="background1" w:themeFillShade="F2"/>
            <w:noWrap/>
            <w:vAlign w:val="center"/>
            <w:hideMark/>
          </w:tcPr>
          <w:p w14:paraId="561F9498" w14:textId="77777777" w:rsidR="00A91E61" w:rsidRPr="00724BBB" w:rsidRDefault="00A91E61">
            <w:pPr>
              <w:rPr>
                <w:b/>
                <w:bCs/>
                <w:color w:val="000000"/>
                <w:sz w:val="20"/>
                <w:szCs w:val="20"/>
              </w:rPr>
            </w:pPr>
            <w:r w:rsidRPr="00724BBB">
              <w:rPr>
                <w:b/>
                <w:bCs/>
                <w:color w:val="000000"/>
                <w:sz w:val="20"/>
                <w:szCs w:val="20"/>
              </w:rPr>
              <w:t>d = b * c</w:t>
            </w:r>
          </w:p>
        </w:tc>
        <w:tc>
          <w:tcPr>
            <w:tcW w:w="1134" w:type="dxa"/>
            <w:shd w:val="clear" w:color="auto" w:fill="F2F2F2" w:themeFill="background1" w:themeFillShade="F2"/>
            <w:noWrap/>
            <w:vAlign w:val="center"/>
            <w:hideMark/>
          </w:tcPr>
          <w:p w14:paraId="1494698E" w14:textId="77777777" w:rsidR="00A91E61" w:rsidRPr="00724BBB" w:rsidRDefault="00A91E61">
            <w:pPr>
              <w:jc w:val="right"/>
              <w:rPr>
                <w:b/>
                <w:bCs/>
                <w:color w:val="000000"/>
                <w:sz w:val="20"/>
                <w:szCs w:val="20"/>
              </w:rPr>
            </w:pPr>
            <w:r w:rsidRPr="00724BBB">
              <w:rPr>
                <w:b/>
                <w:bCs/>
                <w:color w:val="000000"/>
                <w:sz w:val="20"/>
                <w:szCs w:val="20"/>
              </w:rPr>
              <w:t>$1,061,936</w:t>
            </w:r>
          </w:p>
        </w:tc>
        <w:tc>
          <w:tcPr>
            <w:tcW w:w="992" w:type="dxa"/>
            <w:shd w:val="clear" w:color="auto" w:fill="F2F2F2" w:themeFill="background1" w:themeFillShade="F2"/>
            <w:noWrap/>
            <w:vAlign w:val="center"/>
            <w:hideMark/>
          </w:tcPr>
          <w:p w14:paraId="1CA23A5D" w14:textId="77777777" w:rsidR="00A91E61" w:rsidRPr="00724BBB" w:rsidRDefault="00A91E61">
            <w:pPr>
              <w:jc w:val="right"/>
              <w:rPr>
                <w:b/>
                <w:bCs/>
                <w:color w:val="000000"/>
                <w:sz w:val="20"/>
                <w:szCs w:val="20"/>
              </w:rPr>
            </w:pPr>
            <w:r w:rsidRPr="00724BBB">
              <w:rPr>
                <w:b/>
                <w:bCs/>
                <w:color w:val="000000"/>
                <w:sz w:val="20"/>
                <w:szCs w:val="20"/>
              </w:rPr>
              <w:t>$586,011</w:t>
            </w:r>
          </w:p>
        </w:tc>
        <w:tc>
          <w:tcPr>
            <w:tcW w:w="993" w:type="dxa"/>
            <w:shd w:val="clear" w:color="auto" w:fill="F2F2F2" w:themeFill="background1" w:themeFillShade="F2"/>
            <w:noWrap/>
            <w:vAlign w:val="center"/>
            <w:hideMark/>
          </w:tcPr>
          <w:p w14:paraId="16A5CA18" w14:textId="77777777" w:rsidR="00A91E61" w:rsidRPr="00724BBB" w:rsidRDefault="00A91E61">
            <w:pPr>
              <w:jc w:val="right"/>
              <w:rPr>
                <w:b/>
                <w:bCs/>
                <w:color w:val="000000"/>
                <w:sz w:val="20"/>
                <w:szCs w:val="20"/>
              </w:rPr>
            </w:pPr>
            <w:r w:rsidRPr="00724BBB">
              <w:rPr>
                <w:b/>
                <w:bCs/>
                <w:color w:val="000000"/>
                <w:sz w:val="20"/>
                <w:szCs w:val="20"/>
              </w:rPr>
              <w:t>$982,799</w:t>
            </w:r>
          </w:p>
        </w:tc>
        <w:tc>
          <w:tcPr>
            <w:tcW w:w="1275" w:type="dxa"/>
            <w:shd w:val="clear" w:color="auto" w:fill="F2F2F2" w:themeFill="background1" w:themeFillShade="F2"/>
            <w:noWrap/>
            <w:vAlign w:val="center"/>
            <w:hideMark/>
          </w:tcPr>
          <w:p w14:paraId="7146B90E" w14:textId="77777777" w:rsidR="00A91E61" w:rsidRPr="00724BBB" w:rsidRDefault="00A91E61">
            <w:pPr>
              <w:jc w:val="right"/>
              <w:rPr>
                <w:b/>
                <w:bCs/>
                <w:color w:val="000000"/>
                <w:sz w:val="20"/>
                <w:szCs w:val="20"/>
              </w:rPr>
            </w:pPr>
            <w:r w:rsidRPr="00724BBB">
              <w:rPr>
                <w:b/>
                <w:bCs/>
                <w:color w:val="000000"/>
                <w:sz w:val="20"/>
                <w:szCs w:val="20"/>
              </w:rPr>
              <w:t>$2,630,745</w:t>
            </w:r>
          </w:p>
        </w:tc>
      </w:tr>
      <w:tr w:rsidR="00A91E61" w:rsidRPr="00724BBB" w14:paraId="0E17FFDA" w14:textId="77777777" w:rsidTr="00841D8C">
        <w:trPr>
          <w:trHeight w:val="397"/>
        </w:trPr>
        <w:tc>
          <w:tcPr>
            <w:tcW w:w="9067" w:type="dxa"/>
            <w:gridSpan w:val="6"/>
            <w:noWrap/>
            <w:vAlign w:val="center"/>
          </w:tcPr>
          <w:p w14:paraId="5C1E365A" w14:textId="77777777" w:rsidR="00A91E61" w:rsidRPr="00724BBB" w:rsidRDefault="00A91E61">
            <w:pPr>
              <w:rPr>
                <w:b/>
                <w:bCs/>
                <w:i/>
                <w:iCs/>
                <w:color w:val="000000"/>
                <w:sz w:val="20"/>
                <w:szCs w:val="20"/>
              </w:rPr>
            </w:pPr>
            <w:r w:rsidRPr="00724BBB">
              <w:rPr>
                <w:i/>
                <w:iCs/>
                <w:color w:val="242424"/>
                <w:sz w:val="20"/>
                <w:szCs w:val="20"/>
              </w:rPr>
              <w:t xml:space="preserve">Note: </w:t>
            </w:r>
            <w:r w:rsidRPr="00724BBB">
              <w:rPr>
                <w:i/>
                <w:iCs/>
                <w:sz w:val="20"/>
                <w:szCs w:val="20"/>
              </w:rPr>
              <w:t xml:space="preserve">LR (low-risk gambling), MR (moderate-risk gambling), and problem gambling. </w:t>
            </w:r>
            <w:r w:rsidRPr="00724BBB">
              <w:rPr>
                <w:i/>
                <w:iCs/>
                <w:color w:val="242424"/>
                <w:sz w:val="20"/>
                <w:szCs w:val="20"/>
              </w:rPr>
              <w:t>Totals may not match exactly due to rounding. Calculations are based on the original unrounded figures to ensure accuracy.</w:t>
            </w:r>
          </w:p>
        </w:tc>
      </w:tr>
    </w:tbl>
    <w:p w14:paraId="3846E72B" w14:textId="77777777" w:rsidR="00DB689D" w:rsidRDefault="00DB689D" w:rsidP="00724BBB">
      <w:pPr>
        <w:spacing w:before="120" w:after="240"/>
        <w:rPr>
          <w:color w:val="0E101A"/>
        </w:rPr>
      </w:pPr>
      <w:bookmarkStart w:id="487" w:name="_y5im3h4elehz" w:colFirst="0" w:colLast="0"/>
      <w:bookmarkEnd w:id="487"/>
    </w:p>
    <w:p w14:paraId="131F2574" w14:textId="77777777" w:rsidR="00DB689D" w:rsidRDefault="00310A10" w:rsidP="00367A8D">
      <w:pPr>
        <w:pStyle w:val="Heading4"/>
        <w:spacing w:after="160" w:line="360" w:lineRule="auto"/>
      </w:pPr>
      <w:r>
        <w:t>Correctional system</w:t>
      </w:r>
    </w:p>
    <w:tbl>
      <w:tblPr>
        <w:tblStyle w:val="af6"/>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B689D" w14:paraId="365DAC60" w14:textId="77777777">
        <w:tc>
          <w:tcPr>
            <w:tcW w:w="9026" w:type="dxa"/>
            <w:shd w:val="clear" w:color="auto" w:fill="F3F3F3"/>
            <w:tcMar>
              <w:top w:w="100" w:type="dxa"/>
              <w:left w:w="100" w:type="dxa"/>
              <w:bottom w:w="100" w:type="dxa"/>
              <w:right w:w="100" w:type="dxa"/>
            </w:tcMar>
          </w:tcPr>
          <w:p w14:paraId="2CEC9BE6" w14:textId="77777777" w:rsidR="00DB689D" w:rsidRDefault="00310A10" w:rsidP="00843927">
            <w:pPr>
              <w:spacing w:before="120" w:after="240" w:line="276" w:lineRule="auto"/>
            </w:pPr>
            <w:r>
              <w:t xml:space="preserve">The economic impact of crime to the New Zealand corrections system associated with gambling problems was calculated using: </w:t>
            </w:r>
          </w:p>
          <w:p w14:paraId="0C258858" w14:textId="77777777" w:rsidR="00DB689D" w:rsidRDefault="00310A10" w:rsidP="00843927">
            <w:pPr>
              <w:spacing w:before="120" w:after="120" w:line="276" w:lineRule="auto"/>
              <w:ind w:right="280"/>
            </w:pPr>
            <w:r>
              <w:rPr>
                <w:i/>
              </w:rPr>
              <w:t>Prevalence</w:t>
            </w:r>
            <w:r>
              <w:t xml:space="preserve"> </w:t>
            </w:r>
          </w:p>
          <w:p w14:paraId="16EC5DE1" w14:textId="65838112" w:rsidR="00DB689D" w:rsidRDefault="00310A10" w:rsidP="00843927">
            <w:pPr>
              <w:numPr>
                <w:ilvl w:val="0"/>
                <w:numId w:val="42"/>
              </w:numPr>
              <w:spacing w:before="120" w:line="276" w:lineRule="auto"/>
              <w:ind w:right="280"/>
            </w:pPr>
            <w:r>
              <w:t xml:space="preserve">The number of court cases due to gambling </w:t>
            </w:r>
            <w:r w:rsidRPr="00A91E61">
              <w:t>(Table 27 above)</w:t>
            </w:r>
            <w:r>
              <w:t xml:space="preserve"> was multiplied by the proportion of gambling-related court cases (theft and fraud) that results in a conviction </w:t>
            </w:r>
            <w:r w:rsidR="0038398B">
              <w:rPr>
                <w:noProof/>
                <w:color w:val="000000"/>
              </w:rPr>
              <w:t>(67%; Ministry of Justice, 2023b)</w:t>
            </w:r>
            <w:r>
              <w:t xml:space="preserve"> </w:t>
            </w:r>
          </w:p>
          <w:p w14:paraId="04DA4647" w14:textId="77777777" w:rsidR="00DB689D" w:rsidRDefault="00310A10" w:rsidP="00843927">
            <w:pPr>
              <w:numPr>
                <w:ilvl w:val="1"/>
                <w:numId w:val="42"/>
              </w:numPr>
              <w:spacing w:line="276" w:lineRule="auto"/>
              <w:ind w:right="280"/>
            </w:pPr>
            <w:r>
              <w:t xml:space="preserve">During 2023-24 there were a total of 141,570 convictions for any reason recorded by the court system of New Zealand. Therefore, our estimate indicated that around 0.85% of all court convictions in New Zealand were gambling related. </w:t>
            </w:r>
          </w:p>
          <w:p w14:paraId="44C6B47C" w14:textId="497F0EF8" w:rsidR="00DB689D" w:rsidRDefault="00310A10" w:rsidP="00843927">
            <w:pPr>
              <w:numPr>
                <w:ilvl w:val="0"/>
                <w:numId w:val="42"/>
              </w:numPr>
              <w:spacing w:after="120" w:line="276" w:lineRule="auto"/>
              <w:ind w:right="280"/>
            </w:pPr>
            <w:r>
              <w:t xml:space="preserve">The number of gambling-related court convictions (above) was multiplied by the proportion of convictions (theft and fraud) that receive a custodial sentence </w:t>
            </w:r>
            <w:r w:rsidR="0038398B">
              <w:rPr>
                <w:noProof/>
                <w:color w:val="000000"/>
              </w:rPr>
              <w:t>(16.6%; New Zealand Government, 2024c)</w:t>
            </w:r>
            <w:r>
              <w:t>. This resulted in a total number of 199 New Zealanders receiving a custodial sentence due to gambling.</w:t>
            </w:r>
          </w:p>
          <w:p w14:paraId="1606D6B6" w14:textId="77777777" w:rsidR="00DB689D" w:rsidRDefault="00310A10" w:rsidP="00843927">
            <w:pPr>
              <w:spacing w:before="120" w:after="120" w:line="276" w:lineRule="auto"/>
              <w:ind w:right="280"/>
            </w:pPr>
            <w:r>
              <w:rPr>
                <w:i/>
              </w:rPr>
              <w:t>Correction system costs</w:t>
            </w:r>
            <w:r>
              <w:t xml:space="preserve"> </w:t>
            </w:r>
          </w:p>
          <w:p w14:paraId="1F67B98B" w14:textId="08525FBD" w:rsidR="00DB689D" w:rsidRDefault="00310A10" w:rsidP="00843927">
            <w:pPr>
              <w:numPr>
                <w:ilvl w:val="0"/>
                <w:numId w:val="42"/>
              </w:numPr>
              <w:spacing w:before="120" w:line="276" w:lineRule="auto"/>
              <w:ind w:right="280"/>
            </w:pPr>
            <w:r>
              <w:t xml:space="preserve">The average sentence length (theft and fraud) was identified as 0.95 of a year </w:t>
            </w:r>
            <w:r w:rsidR="0038398B">
              <w:rPr>
                <w:noProof/>
                <w:color w:val="000000"/>
              </w:rPr>
              <w:t>(Figure NZ, 2023)</w:t>
            </w:r>
            <w:r w:rsidR="00AF7D64">
              <w:rPr>
                <w:noProof/>
                <w:color w:val="000000"/>
              </w:rPr>
              <w:t>, with prisoners serving sentences of less than two years automatically released after serving half of their sentence</w:t>
            </w:r>
            <w:r w:rsidR="0091639E">
              <w:rPr>
                <w:noProof/>
                <w:color w:val="000000"/>
              </w:rPr>
              <w:t xml:space="preserve"> (Department of Corrections, 2025)</w:t>
            </w:r>
            <w:r w:rsidR="00C04197">
              <w:rPr>
                <w:noProof/>
                <w:color w:val="000000"/>
              </w:rPr>
              <w:t>.</w:t>
            </w:r>
            <w:r w:rsidR="00AF7D64">
              <w:rPr>
                <w:noProof/>
                <w:color w:val="000000"/>
              </w:rPr>
              <w:t xml:space="preserve"> </w:t>
            </w:r>
            <w:r>
              <w:t xml:space="preserve"> </w:t>
            </w:r>
          </w:p>
          <w:p w14:paraId="6945D087" w14:textId="1CD745D3" w:rsidR="00DB689D" w:rsidRDefault="00310A10" w:rsidP="00843927">
            <w:pPr>
              <w:numPr>
                <w:ilvl w:val="0"/>
                <w:numId w:val="42"/>
              </w:numPr>
              <w:spacing w:after="120" w:line="276" w:lineRule="auto"/>
              <w:ind w:right="280"/>
            </w:pPr>
            <w:r>
              <w:t xml:space="preserve">The average annual cost per offender ($555 per day = $202,575) </w:t>
            </w:r>
            <w:r w:rsidR="00DB2449">
              <w:rPr>
                <w:noProof/>
                <w:color w:val="000000"/>
              </w:rPr>
              <w:t>(Department of Corrections, 2023)</w:t>
            </w:r>
            <w:r>
              <w:t>.</w:t>
            </w:r>
          </w:p>
        </w:tc>
      </w:tr>
    </w:tbl>
    <w:p w14:paraId="42AAB6D7" w14:textId="77777777" w:rsidR="00DB689D" w:rsidRDefault="00DB689D" w:rsidP="00367A8D">
      <w:pPr>
        <w:spacing w:line="360" w:lineRule="auto"/>
        <w:rPr>
          <w:b/>
        </w:rPr>
      </w:pPr>
    </w:p>
    <w:p w14:paraId="2A353963" w14:textId="5B481B22" w:rsidR="00DB689D" w:rsidRDefault="00310A10" w:rsidP="00367A8D">
      <w:pPr>
        <w:spacing w:before="120" w:after="240" w:line="360" w:lineRule="auto"/>
      </w:pPr>
      <w:r>
        <w:t>The estimated economic impact of gambling-related crime to the New Zealand corrections system is around $</w:t>
      </w:r>
      <w:r w:rsidR="00B06FAA">
        <w:t>19.2</w:t>
      </w:r>
      <w:r>
        <w:t xml:space="preserve"> million (</w:t>
      </w:r>
      <w:r w:rsidRPr="00A91E61">
        <w:t>Table 2</w:t>
      </w:r>
      <w:r w:rsidR="001D7B0D">
        <w:t>9</w:t>
      </w:r>
      <w:r>
        <w:t xml:space="preserve">). </w:t>
      </w:r>
    </w:p>
    <w:p w14:paraId="58BA9272" w14:textId="510430CD" w:rsidR="00A91E61" w:rsidRDefault="00A91E61" w:rsidP="00DB094D">
      <w:pPr>
        <w:pStyle w:val="Caption"/>
      </w:pPr>
      <w:bookmarkStart w:id="488" w:name="_Toc207619071"/>
      <w:r>
        <w:t xml:space="preserve">Table </w:t>
      </w:r>
      <w:r>
        <w:fldChar w:fldCharType="begin"/>
      </w:r>
      <w:r>
        <w:instrText xml:space="preserve"> SEQ Table \* ARABIC </w:instrText>
      </w:r>
      <w:r>
        <w:fldChar w:fldCharType="separate"/>
      </w:r>
      <w:r w:rsidR="00986A0D">
        <w:rPr>
          <w:noProof/>
        </w:rPr>
        <w:t>29</w:t>
      </w:r>
      <w:r>
        <w:fldChar w:fldCharType="end"/>
      </w:r>
      <w:r>
        <w:t xml:space="preserve">. </w:t>
      </w:r>
      <w:r w:rsidRPr="00AC2474">
        <w:t>Cost of crime to New Zealand corrections system due to gambling problems (2023-24)</w:t>
      </w:r>
      <w:bookmarkEnd w:id="488"/>
    </w:p>
    <w:tbl>
      <w:tblPr>
        <w:tblStyle w:val="TableGridLight"/>
        <w:tblW w:w="9351" w:type="dxa"/>
        <w:tblLayout w:type="fixed"/>
        <w:tblLook w:val="04A0" w:firstRow="1" w:lastRow="0" w:firstColumn="1" w:lastColumn="0" w:noHBand="0" w:noVBand="1"/>
      </w:tblPr>
      <w:tblGrid>
        <w:gridCol w:w="3397"/>
        <w:gridCol w:w="1276"/>
        <w:gridCol w:w="1134"/>
        <w:gridCol w:w="1134"/>
        <w:gridCol w:w="1134"/>
        <w:gridCol w:w="1276"/>
      </w:tblGrid>
      <w:tr w:rsidR="00A91E61" w14:paraId="44F02269" w14:textId="77777777" w:rsidTr="00841D8C">
        <w:trPr>
          <w:trHeight w:val="397"/>
        </w:trPr>
        <w:tc>
          <w:tcPr>
            <w:tcW w:w="3397" w:type="dxa"/>
            <w:shd w:val="clear" w:color="auto" w:fill="F2F2F2" w:themeFill="background1" w:themeFillShade="F2"/>
            <w:vAlign w:val="center"/>
            <w:hideMark/>
          </w:tcPr>
          <w:p w14:paraId="089111E8" w14:textId="77777777" w:rsidR="00A91E61" w:rsidRPr="00724BBB" w:rsidRDefault="00A91E61">
            <w:pPr>
              <w:rPr>
                <w:b/>
                <w:bCs/>
                <w:color w:val="000000"/>
                <w:sz w:val="20"/>
                <w:szCs w:val="20"/>
              </w:rPr>
            </w:pPr>
            <w:r w:rsidRPr="00724BBB">
              <w:rPr>
                <w:b/>
                <w:bCs/>
                <w:color w:val="000000"/>
                <w:sz w:val="20"/>
                <w:szCs w:val="20"/>
              </w:rPr>
              <w:t>Variable</w:t>
            </w:r>
          </w:p>
        </w:tc>
        <w:tc>
          <w:tcPr>
            <w:tcW w:w="1276" w:type="dxa"/>
            <w:shd w:val="clear" w:color="auto" w:fill="F2F2F2" w:themeFill="background1" w:themeFillShade="F2"/>
            <w:vAlign w:val="center"/>
            <w:hideMark/>
          </w:tcPr>
          <w:p w14:paraId="4068B9BD" w14:textId="77777777" w:rsidR="00A91E61" w:rsidRPr="00724BBB" w:rsidRDefault="00A91E61">
            <w:pPr>
              <w:jc w:val="center"/>
              <w:rPr>
                <w:b/>
                <w:bCs/>
                <w:color w:val="000000"/>
                <w:sz w:val="20"/>
                <w:szCs w:val="20"/>
              </w:rPr>
            </w:pPr>
            <w:r w:rsidRPr="00724BBB">
              <w:rPr>
                <w:b/>
                <w:bCs/>
                <w:color w:val="000000"/>
                <w:sz w:val="20"/>
                <w:szCs w:val="20"/>
              </w:rPr>
              <w:t>Calculation</w:t>
            </w:r>
          </w:p>
        </w:tc>
        <w:tc>
          <w:tcPr>
            <w:tcW w:w="1134" w:type="dxa"/>
            <w:shd w:val="clear" w:color="auto" w:fill="F2F2F2" w:themeFill="background1" w:themeFillShade="F2"/>
            <w:vAlign w:val="center"/>
            <w:hideMark/>
          </w:tcPr>
          <w:p w14:paraId="0CAA53F1" w14:textId="77777777" w:rsidR="00A91E61" w:rsidRPr="00724BBB" w:rsidRDefault="00A91E61">
            <w:pPr>
              <w:jc w:val="center"/>
              <w:rPr>
                <w:b/>
                <w:bCs/>
                <w:color w:val="000000"/>
                <w:sz w:val="20"/>
                <w:szCs w:val="20"/>
              </w:rPr>
            </w:pPr>
            <w:r w:rsidRPr="00724BBB">
              <w:rPr>
                <w:b/>
                <w:bCs/>
                <w:color w:val="000000"/>
                <w:sz w:val="20"/>
                <w:szCs w:val="20"/>
              </w:rPr>
              <w:t>LR</w:t>
            </w:r>
          </w:p>
        </w:tc>
        <w:tc>
          <w:tcPr>
            <w:tcW w:w="1134" w:type="dxa"/>
            <w:shd w:val="clear" w:color="auto" w:fill="F2F2F2" w:themeFill="background1" w:themeFillShade="F2"/>
            <w:vAlign w:val="center"/>
            <w:hideMark/>
          </w:tcPr>
          <w:p w14:paraId="7D62F494" w14:textId="77777777" w:rsidR="00A91E61" w:rsidRPr="00724BBB" w:rsidRDefault="00A91E61">
            <w:pPr>
              <w:jc w:val="center"/>
              <w:rPr>
                <w:b/>
                <w:bCs/>
                <w:color w:val="000000"/>
                <w:sz w:val="20"/>
                <w:szCs w:val="20"/>
              </w:rPr>
            </w:pPr>
            <w:r w:rsidRPr="00724BBB">
              <w:rPr>
                <w:b/>
                <w:bCs/>
                <w:color w:val="000000"/>
                <w:sz w:val="20"/>
                <w:szCs w:val="20"/>
              </w:rPr>
              <w:t>MR</w:t>
            </w:r>
          </w:p>
        </w:tc>
        <w:tc>
          <w:tcPr>
            <w:tcW w:w="1134" w:type="dxa"/>
            <w:shd w:val="clear" w:color="auto" w:fill="F2F2F2" w:themeFill="background1" w:themeFillShade="F2"/>
            <w:vAlign w:val="center"/>
            <w:hideMark/>
          </w:tcPr>
          <w:p w14:paraId="584DBC2A" w14:textId="77777777" w:rsidR="00A91E61" w:rsidRPr="00724BBB" w:rsidRDefault="00A91E61">
            <w:pPr>
              <w:jc w:val="center"/>
              <w:rPr>
                <w:b/>
                <w:bCs/>
                <w:color w:val="000000"/>
                <w:sz w:val="20"/>
                <w:szCs w:val="20"/>
              </w:rPr>
            </w:pPr>
            <w:r w:rsidRPr="00724BBB">
              <w:rPr>
                <w:b/>
                <w:bCs/>
                <w:color w:val="000000"/>
                <w:sz w:val="20"/>
                <w:szCs w:val="20"/>
              </w:rPr>
              <w:t>PG</w:t>
            </w:r>
          </w:p>
        </w:tc>
        <w:tc>
          <w:tcPr>
            <w:tcW w:w="1276" w:type="dxa"/>
            <w:shd w:val="clear" w:color="auto" w:fill="F2F2F2" w:themeFill="background1" w:themeFillShade="F2"/>
            <w:vAlign w:val="center"/>
            <w:hideMark/>
          </w:tcPr>
          <w:p w14:paraId="39386E66" w14:textId="77777777" w:rsidR="00A91E61" w:rsidRPr="00724BBB" w:rsidRDefault="00A91E61">
            <w:pPr>
              <w:jc w:val="center"/>
              <w:rPr>
                <w:b/>
                <w:bCs/>
                <w:color w:val="000000"/>
                <w:sz w:val="20"/>
                <w:szCs w:val="20"/>
              </w:rPr>
            </w:pPr>
            <w:r w:rsidRPr="00724BBB">
              <w:rPr>
                <w:b/>
                <w:bCs/>
                <w:color w:val="000000"/>
                <w:sz w:val="20"/>
                <w:szCs w:val="20"/>
              </w:rPr>
              <w:t>Total Gambling Problems</w:t>
            </w:r>
          </w:p>
        </w:tc>
      </w:tr>
      <w:tr w:rsidR="00A91E61" w14:paraId="78E3FCB3" w14:textId="77777777" w:rsidTr="00841D8C">
        <w:trPr>
          <w:trHeight w:val="397"/>
        </w:trPr>
        <w:tc>
          <w:tcPr>
            <w:tcW w:w="3397" w:type="dxa"/>
            <w:vAlign w:val="center"/>
            <w:hideMark/>
          </w:tcPr>
          <w:p w14:paraId="4B64EA70" w14:textId="77777777" w:rsidR="00A91E61" w:rsidRPr="00724BBB" w:rsidRDefault="00A91E61">
            <w:pPr>
              <w:rPr>
                <w:color w:val="000000"/>
                <w:sz w:val="20"/>
                <w:szCs w:val="20"/>
              </w:rPr>
            </w:pPr>
            <w:r w:rsidRPr="00724BBB">
              <w:rPr>
                <w:color w:val="000000"/>
                <w:sz w:val="20"/>
                <w:szCs w:val="20"/>
              </w:rPr>
              <w:t>Number of court cases due to gambling</w:t>
            </w:r>
          </w:p>
        </w:tc>
        <w:tc>
          <w:tcPr>
            <w:tcW w:w="1276" w:type="dxa"/>
            <w:noWrap/>
            <w:vAlign w:val="center"/>
            <w:hideMark/>
          </w:tcPr>
          <w:p w14:paraId="7982B1C9" w14:textId="77777777" w:rsidR="00A91E61" w:rsidRPr="00724BBB" w:rsidRDefault="00A91E61">
            <w:pPr>
              <w:rPr>
                <w:color w:val="000000"/>
                <w:sz w:val="20"/>
                <w:szCs w:val="20"/>
              </w:rPr>
            </w:pPr>
            <w:r w:rsidRPr="00724BBB">
              <w:rPr>
                <w:color w:val="000000"/>
                <w:sz w:val="20"/>
                <w:szCs w:val="20"/>
              </w:rPr>
              <w:t>n</w:t>
            </w:r>
          </w:p>
        </w:tc>
        <w:tc>
          <w:tcPr>
            <w:tcW w:w="1134" w:type="dxa"/>
            <w:vAlign w:val="center"/>
            <w:hideMark/>
          </w:tcPr>
          <w:p w14:paraId="25EB69D3" w14:textId="77777777" w:rsidR="00A91E61" w:rsidRPr="00724BBB" w:rsidRDefault="00A91E61">
            <w:pPr>
              <w:jc w:val="right"/>
              <w:rPr>
                <w:color w:val="000000"/>
                <w:sz w:val="20"/>
                <w:szCs w:val="20"/>
              </w:rPr>
            </w:pPr>
            <w:r w:rsidRPr="00724BBB">
              <w:rPr>
                <w:color w:val="000000"/>
                <w:sz w:val="20"/>
                <w:szCs w:val="20"/>
              </w:rPr>
              <w:t>723</w:t>
            </w:r>
          </w:p>
        </w:tc>
        <w:tc>
          <w:tcPr>
            <w:tcW w:w="1134" w:type="dxa"/>
            <w:vAlign w:val="center"/>
            <w:hideMark/>
          </w:tcPr>
          <w:p w14:paraId="53479C97" w14:textId="77777777" w:rsidR="00A91E61" w:rsidRPr="00724BBB" w:rsidRDefault="00A91E61">
            <w:pPr>
              <w:jc w:val="right"/>
              <w:rPr>
                <w:color w:val="000000"/>
                <w:sz w:val="20"/>
                <w:szCs w:val="20"/>
              </w:rPr>
            </w:pPr>
            <w:r w:rsidRPr="00724BBB">
              <w:rPr>
                <w:color w:val="000000"/>
                <w:sz w:val="20"/>
                <w:szCs w:val="20"/>
              </w:rPr>
              <w:t>399</w:t>
            </w:r>
          </w:p>
        </w:tc>
        <w:tc>
          <w:tcPr>
            <w:tcW w:w="1134" w:type="dxa"/>
            <w:vAlign w:val="center"/>
            <w:hideMark/>
          </w:tcPr>
          <w:p w14:paraId="7D4F3DFE" w14:textId="77777777" w:rsidR="00A91E61" w:rsidRPr="00724BBB" w:rsidRDefault="00A91E61">
            <w:pPr>
              <w:jc w:val="right"/>
              <w:rPr>
                <w:color w:val="000000"/>
                <w:sz w:val="20"/>
                <w:szCs w:val="20"/>
              </w:rPr>
            </w:pPr>
            <w:r w:rsidRPr="00724BBB">
              <w:rPr>
                <w:color w:val="000000"/>
                <w:sz w:val="20"/>
                <w:szCs w:val="20"/>
              </w:rPr>
              <w:t>669</w:t>
            </w:r>
          </w:p>
        </w:tc>
        <w:tc>
          <w:tcPr>
            <w:tcW w:w="1276" w:type="dxa"/>
            <w:vAlign w:val="center"/>
            <w:hideMark/>
          </w:tcPr>
          <w:p w14:paraId="640A441D" w14:textId="77777777" w:rsidR="00A91E61" w:rsidRPr="00724BBB" w:rsidRDefault="00A91E61">
            <w:pPr>
              <w:jc w:val="right"/>
              <w:rPr>
                <w:color w:val="000000"/>
                <w:sz w:val="20"/>
                <w:szCs w:val="20"/>
              </w:rPr>
            </w:pPr>
            <w:r w:rsidRPr="00724BBB">
              <w:rPr>
                <w:color w:val="000000"/>
                <w:sz w:val="20"/>
                <w:szCs w:val="20"/>
              </w:rPr>
              <w:t>1,791</w:t>
            </w:r>
          </w:p>
        </w:tc>
      </w:tr>
      <w:tr w:rsidR="00A91E61" w14:paraId="374EB709" w14:textId="77777777" w:rsidTr="00841D8C">
        <w:trPr>
          <w:trHeight w:val="397"/>
        </w:trPr>
        <w:tc>
          <w:tcPr>
            <w:tcW w:w="3397" w:type="dxa"/>
            <w:vAlign w:val="center"/>
            <w:hideMark/>
          </w:tcPr>
          <w:p w14:paraId="5D625C02" w14:textId="77777777" w:rsidR="00A91E61" w:rsidRPr="00724BBB" w:rsidRDefault="00A91E61">
            <w:pPr>
              <w:rPr>
                <w:color w:val="000000"/>
                <w:sz w:val="20"/>
                <w:szCs w:val="20"/>
              </w:rPr>
            </w:pPr>
            <w:r w:rsidRPr="00724BBB">
              <w:rPr>
                <w:color w:val="000000"/>
                <w:sz w:val="20"/>
                <w:szCs w:val="20"/>
              </w:rPr>
              <w:t>Proportion of court cases ending in convictions</w:t>
            </w:r>
          </w:p>
        </w:tc>
        <w:tc>
          <w:tcPr>
            <w:tcW w:w="1276" w:type="dxa"/>
            <w:noWrap/>
            <w:vAlign w:val="center"/>
            <w:hideMark/>
          </w:tcPr>
          <w:p w14:paraId="217091AB" w14:textId="77777777" w:rsidR="00A91E61" w:rsidRPr="00724BBB" w:rsidRDefault="00A91E61">
            <w:pPr>
              <w:rPr>
                <w:color w:val="000000"/>
                <w:sz w:val="20"/>
                <w:szCs w:val="20"/>
              </w:rPr>
            </w:pPr>
            <w:r w:rsidRPr="00724BBB">
              <w:rPr>
                <w:color w:val="000000"/>
                <w:sz w:val="20"/>
                <w:szCs w:val="20"/>
              </w:rPr>
              <w:t>a</w:t>
            </w:r>
          </w:p>
        </w:tc>
        <w:tc>
          <w:tcPr>
            <w:tcW w:w="4678" w:type="dxa"/>
            <w:gridSpan w:val="4"/>
            <w:noWrap/>
            <w:vAlign w:val="center"/>
            <w:hideMark/>
          </w:tcPr>
          <w:p w14:paraId="769117E6" w14:textId="77777777" w:rsidR="00A91E61" w:rsidRPr="00724BBB" w:rsidRDefault="00A91E61" w:rsidP="00724BBB">
            <w:pPr>
              <w:jc w:val="center"/>
              <w:rPr>
                <w:color w:val="000000"/>
                <w:sz w:val="20"/>
                <w:szCs w:val="20"/>
              </w:rPr>
            </w:pPr>
            <w:r w:rsidRPr="00724BBB">
              <w:rPr>
                <w:color w:val="000000"/>
                <w:sz w:val="20"/>
                <w:szCs w:val="20"/>
              </w:rPr>
              <w:t>67.0%</w:t>
            </w:r>
          </w:p>
        </w:tc>
      </w:tr>
      <w:tr w:rsidR="00A91E61" w14:paraId="27DE27EE" w14:textId="77777777" w:rsidTr="00841D8C">
        <w:trPr>
          <w:trHeight w:val="397"/>
        </w:trPr>
        <w:tc>
          <w:tcPr>
            <w:tcW w:w="3397" w:type="dxa"/>
            <w:vAlign w:val="center"/>
            <w:hideMark/>
          </w:tcPr>
          <w:p w14:paraId="61D09E12" w14:textId="77777777" w:rsidR="00A91E61" w:rsidRPr="00724BBB" w:rsidRDefault="00A91E61">
            <w:pPr>
              <w:rPr>
                <w:color w:val="000000"/>
                <w:sz w:val="20"/>
                <w:szCs w:val="20"/>
              </w:rPr>
            </w:pPr>
            <w:r w:rsidRPr="00724BBB">
              <w:rPr>
                <w:color w:val="000000"/>
                <w:sz w:val="20"/>
                <w:szCs w:val="20"/>
              </w:rPr>
              <w:t>Number of convictions due to gambling</w:t>
            </w:r>
          </w:p>
        </w:tc>
        <w:tc>
          <w:tcPr>
            <w:tcW w:w="1276" w:type="dxa"/>
            <w:noWrap/>
            <w:vAlign w:val="center"/>
            <w:hideMark/>
          </w:tcPr>
          <w:p w14:paraId="1B4D1586" w14:textId="77777777" w:rsidR="00A91E61" w:rsidRPr="00724BBB" w:rsidRDefault="00A91E61">
            <w:pPr>
              <w:rPr>
                <w:color w:val="000000"/>
                <w:sz w:val="20"/>
                <w:szCs w:val="20"/>
              </w:rPr>
            </w:pPr>
            <w:r w:rsidRPr="00724BBB">
              <w:rPr>
                <w:color w:val="000000"/>
                <w:sz w:val="20"/>
                <w:szCs w:val="20"/>
              </w:rPr>
              <w:t>b = a x n</w:t>
            </w:r>
          </w:p>
        </w:tc>
        <w:tc>
          <w:tcPr>
            <w:tcW w:w="1134" w:type="dxa"/>
            <w:vAlign w:val="center"/>
            <w:hideMark/>
          </w:tcPr>
          <w:p w14:paraId="773F6841" w14:textId="77777777" w:rsidR="00A91E61" w:rsidRPr="00724BBB" w:rsidRDefault="00A91E61">
            <w:pPr>
              <w:jc w:val="right"/>
              <w:rPr>
                <w:color w:val="000000"/>
                <w:sz w:val="20"/>
                <w:szCs w:val="20"/>
              </w:rPr>
            </w:pPr>
            <w:r w:rsidRPr="00724BBB">
              <w:rPr>
                <w:color w:val="000000"/>
                <w:sz w:val="20"/>
                <w:szCs w:val="20"/>
              </w:rPr>
              <w:t>484</w:t>
            </w:r>
          </w:p>
        </w:tc>
        <w:tc>
          <w:tcPr>
            <w:tcW w:w="1134" w:type="dxa"/>
            <w:vAlign w:val="center"/>
            <w:hideMark/>
          </w:tcPr>
          <w:p w14:paraId="568F76C1" w14:textId="77777777" w:rsidR="00A91E61" w:rsidRPr="00724BBB" w:rsidRDefault="00A91E61">
            <w:pPr>
              <w:jc w:val="right"/>
              <w:rPr>
                <w:color w:val="000000"/>
                <w:sz w:val="20"/>
                <w:szCs w:val="20"/>
              </w:rPr>
            </w:pPr>
            <w:r w:rsidRPr="00724BBB">
              <w:rPr>
                <w:color w:val="000000"/>
                <w:sz w:val="20"/>
                <w:szCs w:val="20"/>
              </w:rPr>
              <w:t>267</w:t>
            </w:r>
          </w:p>
        </w:tc>
        <w:tc>
          <w:tcPr>
            <w:tcW w:w="1134" w:type="dxa"/>
            <w:vAlign w:val="center"/>
            <w:hideMark/>
          </w:tcPr>
          <w:p w14:paraId="58CBAE97" w14:textId="77777777" w:rsidR="00A91E61" w:rsidRPr="00724BBB" w:rsidRDefault="00A91E61">
            <w:pPr>
              <w:jc w:val="right"/>
              <w:rPr>
                <w:color w:val="000000"/>
                <w:sz w:val="20"/>
                <w:szCs w:val="20"/>
              </w:rPr>
            </w:pPr>
            <w:r w:rsidRPr="00724BBB">
              <w:rPr>
                <w:color w:val="000000"/>
                <w:sz w:val="20"/>
                <w:szCs w:val="20"/>
              </w:rPr>
              <w:t>448</w:t>
            </w:r>
          </w:p>
        </w:tc>
        <w:tc>
          <w:tcPr>
            <w:tcW w:w="1276" w:type="dxa"/>
            <w:vAlign w:val="center"/>
            <w:hideMark/>
          </w:tcPr>
          <w:p w14:paraId="18F5C6F3" w14:textId="77777777" w:rsidR="00A91E61" w:rsidRPr="00724BBB" w:rsidRDefault="00A91E61">
            <w:pPr>
              <w:jc w:val="right"/>
              <w:rPr>
                <w:color w:val="000000"/>
                <w:sz w:val="20"/>
                <w:szCs w:val="20"/>
              </w:rPr>
            </w:pPr>
            <w:r w:rsidRPr="00724BBB">
              <w:rPr>
                <w:color w:val="000000"/>
                <w:sz w:val="20"/>
                <w:szCs w:val="20"/>
              </w:rPr>
              <w:t>1,200</w:t>
            </w:r>
          </w:p>
        </w:tc>
      </w:tr>
      <w:tr w:rsidR="00A91E61" w14:paraId="3032E102" w14:textId="77777777" w:rsidTr="00841D8C">
        <w:trPr>
          <w:trHeight w:val="397"/>
        </w:trPr>
        <w:tc>
          <w:tcPr>
            <w:tcW w:w="3397" w:type="dxa"/>
            <w:noWrap/>
            <w:vAlign w:val="center"/>
            <w:hideMark/>
          </w:tcPr>
          <w:p w14:paraId="10AE8C29" w14:textId="77777777" w:rsidR="00A91E61" w:rsidRPr="00724BBB" w:rsidRDefault="00A91E61">
            <w:pPr>
              <w:rPr>
                <w:color w:val="000000"/>
                <w:sz w:val="20"/>
                <w:szCs w:val="20"/>
              </w:rPr>
            </w:pPr>
            <w:r w:rsidRPr="00724BBB">
              <w:rPr>
                <w:color w:val="000000"/>
                <w:sz w:val="20"/>
                <w:szCs w:val="20"/>
              </w:rPr>
              <w:t>Rate (%) of convictions resulting in a custodial sentence</w:t>
            </w:r>
          </w:p>
        </w:tc>
        <w:tc>
          <w:tcPr>
            <w:tcW w:w="1276" w:type="dxa"/>
            <w:noWrap/>
            <w:vAlign w:val="center"/>
            <w:hideMark/>
          </w:tcPr>
          <w:p w14:paraId="1343CB4D" w14:textId="77777777" w:rsidR="00A91E61" w:rsidRPr="00724BBB" w:rsidRDefault="00A91E61">
            <w:pPr>
              <w:rPr>
                <w:color w:val="000000"/>
                <w:sz w:val="20"/>
                <w:szCs w:val="20"/>
              </w:rPr>
            </w:pPr>
            <w:r w:rsidRPr="00724BBB">
              <w:rPr>
                <w:color w:val="000000"/>
                <w:sz w:val="20"/>
                <w:szCs w:val="20"/>
              </w:rPr>
              <w:t>c</w:t>
            </w:r>
          </w:p>
        </w:tc>
        <w:tc>
          <w:tcPr>
            <w:tcW w:w="4678" w:type="dxa"/>
            <w:gridSpan w:val="4"/>
            <w:noWrap/>
            <w:vAlign w:val="center"/>
            <w:hideMark/>
          </w:tcPr>
          <w:p w14:paraId="2ADB0A9D" w14:textId="77777777" w:rsidR="00A91E61" w:rsidRPr="00724BBB" w:rsidRDefault="00A91E61" w:rsidP="00724BBB">
            <w:pPr>
              <w:jc w:val="center"/>
              <w:rPr>
                <w:color w:val="000000"/>
                <w:sz w:val="20"/>
                <w:szCs w:val="20"/>
              </w:rPr>
            </w:pPr>
            <w:r w:rsidRPr="00724BBB">
              <w:rPr>
                <w:color w:val="000000"/>
                <w:sz w:val="20"/>
                <w:szCs w:val="20"/>
              </w:rPr>
              <w:t>16.6%</w:t>
            </w:r>
          </w:p>
        </w:tc>
      </w:tr>
      <w:tr w:rsidR="00A91E61" w14:paraId="5455389D" w14:textId="77777777" w:rsidTr="00841D8C">
        <w:trPr>
          <w:trHeight w:val="397"/>
        </w:trPr>
        <w:tc>
          <w:tcPr>
            <w:tcW w:w="3397" w:type="dxa"/>
            <w:noWrap/>
            <w:vAlign w:val="center"/>
            <w:hideMark/>
          </w:tcPr>
          <w:p w14:paraId="2AEED781" w14:textId="77777777" w:rsidR="00A91E61" w:rsidRPr="00724BBB" w:rsidRDefault="00A91E61">
            <w:pPr>
              <w:rPr>
                <w:color w:val="000000"/>
                <w:sz w:val="20"/>
                <w:szCs w:val="20"/>
              </w:rPr>
            </w:pPr>
            <w:r w:rsidRPr="00724BBB">
              <w:rPr>
                <w:color w:val="000000"/>
                <w:sz w:val="20"/>
                <w:szCs w:val="20"/>
              </w:rPr>
              <w:t>Number of imprisonments due to gambling</w:t>
            </w:r>
          </w:p>
        </w:tc>
        <w:tc>
          <w:tcPr>
            <w:tcW w:w="1276" w:type="dxa"/>
            <w:noWrap/>
            <w:vAlign w:val="center"/>
            <w:hideMark/>
          </w:tcPr>
          <w:p w14:paraId="27CE382C" w14:textId="77777777" w:rsidR="00A91E61" w:rsidRPr="00724BBB" w:rsidRDefault="00A91E61">
            <w:pPr>
              <w:rPr>
                <w:color w:val="000000"/>
                <w:sz w:val="20"/>
                <w:szCs w:val="20"/>
              </w:rPr>
            </w:pPr>
            <w:r w:rsidRPr="00724BBB">
              <w:rPr>
                <w:color w:val="000000"/>
                <w:sz w:val="20"/>
                <w:szCs w:val="20"/>
              </w:rPr>
              <w:t>d = b * c</w:t>
            </w:r>
          </w:p>
        </w:tc>
        <w:tc>
          <w:tcPr>
            <w:tcW w:w="1134" w:type="dxa"/>
            <w:noWrap/>
            <w:vAlign w:val="center"/>
            <w:hideMark/>
          </w:tcPr>
          <w:p w14:paraId="2D4DAE54" w14:textId="77777777" w:rsidR="00A91E61" w:rsidRPr="00724BBB" w:rsidRDefault="00A91E61">
            <w:pPr>
              <w:jc w:val="right"/>
              <w:rPr>
                <w:color w:val="000000"/>
                <w:sz w:val="20"/>
                <w:szCs w:val="20"/>
              </w:rPr>
            </w:pPr>
            <w:r w:rsidRPr="00724BBB">
              <w:rPr>
                <w:color w:val="000000"/>
                <w:sz w:val="20"/>
                <w:szCs w:val="20"/>
              </w:rPr>
              <w:t>80</w:t>
            </w:r>
          </w:p>
        </w:tc>
        <w:tc>
          <w:tcPr>
            <w:tcW w:w="1134" w:type="dxa"/>
            <w:noWrap/>
            <w:vAlign w:val="center"/>
            <w:hideMark/>
          </w:tcPr>
          <w:p w14:paraId="182584CA" w14:textId="77777777" w:rsidR="00A91E61" w:rsidRPr="00724BBB" w:rsidRDefault="00A91E61">
            <w:pPr>
              <w:jc w:val="right"/>
              <w:rPr>
                <w:color w:val="000000"/>
                <w:sz w:val="20"/>
                <w:szCs w:val="20"/>
              </w:rPr>
            </w:pPr>
            <w:r w:rsidRPr="00724BBB">
              <w:rPr>
                <w:color w:val="000000"/>
                <w:sz w:val="20"/>
                <w:szCs w:val="20"/>
              </w:rPr>
              <w:t>44</w:t>
            </w:r>
          </w:p>
        </w:tc>
        <w:tc>
          <w:tcPr>
            <w:tcW w:w="1134" w:type="dxa"/>
            <w:noWrap/>
            <w:vAlign w:val="center"/>
            <w:hideMark/>
          </w:tcPr>
          <w:p w14:paraId="7263FCAA" w14:textId="77777777" w:rsidR="00A91E61" w:rsidRPr="00724BBB" w:rsidRDefault="00A91E61">
            <w:pPr>
              <w:jc w:val="right"/>
              <w:rPr>
                <w:color w:val="000000"/>
                <w:sz w:val="20"/>
                <w:szCs w:val="20"/>
              </w:rPr>
            </w:pPr>
            <w:r w:rsidRPr="00724BBB">
              <w:rPr>
                <w:color w:val="000000"/>
                <w:sz w:val="20"/>
                <w:szCs w:val="20"/>
              </w:rPr>
              <w:t>74</w:t>
            </w:r>
          </w:p>
        </w:tc>
        <w:tc>
          <w:tcPr>
            <w:tcW w:w="1276" w:type="dxa"/>
            <w:noWrap/>
            <w:vAlign w:val="center"/>
            <w:hideMark/>
          </w:tcPr>
          <w:p w14:paraId="00E10A4F" w14:textId="77777777" w:rsidR="00A91E61" w:rsidRPr="00724BBB" w:rsidRDefault="00A91E61">
            <w:pPr>
              <w:jc w:val="right"/>
              <w:rPr>
                <w:color w:val="000000"/>
                <w:sz w:val="20"/>
                <w:szCs w:val="20"/>
              </w:rPr>
            </w:pPr>
            <w:r w:rsidRPr="00724BBB">
              <w:rPr>
                <w:color w:val="000000"/>
                <w:sz w:val="20"/>
                <w:szCs w:val="20"/>
              </w:rPr>
              <w:t>199</w:t>
            </w:r>
          </w:p>
        </w:tc>
      </w:tr>
      <w:tr w:rsidR="00A91E61" w14:paraId="47246AF6" w14:textId="77777777" w:rsidTr="00841D8C">
        <w:trPr>
          <w:trHeight w:val="397"/>
        </w:trPr>
        <w:tc>
          <w:tcPr>
            <w:tcW w:w="3397" w:type="dxa"/>
            <w:noWrap/>
            <w:vAlign w:val="center"/>
            <w:hideMark/>
          </w:tcPr>
          <w:p w14:paraId="6469B68D" w14:textId="2A26A6B1" w:rsidR="00A91E61" w:rsidRPr="00724BBB" w:rsidRDefault="00A91E61">
            <w:pPr>
              <w:rPr>
                <w:color w:val="000000"/>
                <w:sz w:val="20"/>
                <w:szCs w:val="20"/>
              </w:rPr>
            </w:pPr>
            <w:r w:rsidRPr="00724BBB">
              <w:rPr>
                <w:color w:val="000000"/>
                <w:sz w:val="20"/>
                <w:szCs w:val="20"/>
              </w:rPr>
              <w:t>Average sentence</w:t>
            </w:r>
            <w:r w:rsidR="00B06FAA" w:rsidRPr="00724BBB">
              <w:rPr>
                <w:color w:val="000000"/>
                <w:sz w:val="20"/>
                <w:szCs w:val="20"/>
              </w:rPr>
              <w:t xml:space="preserve"> served</w:t>
            </w:r>
            <w:r w:rsidRPr="00724BBB">
              <w:rPr>
                <w:color w:val="000000"/>
                <w:sz w:val="20"/>
                <w:szCs w:val="20"/>
              </w:rPr>
              <w:t xml:space="preserve"> (years)</w:t>
            </w:r>
          </w:p>
        </w:tc>
        <w:tc>
          <w:tcPr>
            <w:tcW w:w="1276" w:type="dxa"/>
            <w:noWrap/>
            <w:vAlign w:val="center"/>
            <w:hideMark/>
          </w:tcPr>
          <w:p w14:paraId="468D2A85" w14:textId="77777777" w:rsidR="00A91E61" w:rsidRPr="00724BBB" w:rsidRDefault="00A91E61">
            <w:pPr>
              <w:rPr>
                <w:color w:val="000000"/>
                <w:sz w:val="20"/>
                <w:szCs w:val="20"/>
              </w:rPr>
            </w:pPr>
            <w:r w:rsidRPr="00724BBB">
              <w:rPr>
                <w:color w:val="000000"/>
                <w:sz w:val="20"/>
                <w:szCs w:val="20"/>
              </w:rPr>
              <w:t>e</w:t>
            </w:r>
          </w:p>
        </w:tc>
        <w:tc>
          <w:tcPr>
            <w:tcW w:w="4678" w:type="dxa"/>
            <w:gridSpan w:val="4"/>
            <w:noWrap/>
            <w:vAlign w:val="center"/>
            <w:hideMark/>
          </w:tcPr>
          <w:p w14:paraId="30A50E5A" w14:textId="7845DBC9" w:rsidR="00A91E61" w:rsidRPr="00724BBB" w:rsidRDefault="00A91E61" w:rsidP="00724BBB">
            <w:pPr>
              <w:jc w:val="center"/>
              <w:rPr>
                <w:color w:val="000000"/>
                <w:sz w:val="20"/>
                <w:szCs w:val="20"/>
              </w:rPr>
            </w:pPr>
            <w:r w:rsidRPr="00724BBB">
              <w:rPr>
                <w:color w:val="000000"/>
                <w:sz w:val="20"/>
                <w:szCs w:val="20"/>
              </w:rPr>
              <w:t>0.</w:t>
            </w:r>
            <w:r w:rsidR="00C04197" w:rsidRPr="00724BBB">
              <w:rPr>
                <w:color w:val="000000"/>
                <w:sz w:val="20"/>
                <w:szCs w:val="20"/>
              </w:rPr>
              <w:t>48</w:t>
            </w:r>
          </w:p>
        </w:tc>
      </w:tr>
      <w:tr w:rsidR="00A91E61" w14:paraId="17838ECE" w14:textId="77777777" w:rsidTr="00841D8C">
        <w:trPr>
          <w:trHeight w:val="397"/>
        </w:trPr>
        <w:tc>
          <w:tcPr>
            <w:tcW w:w="3397" w:type="dxa"/>
            <w:noWrap/>
            <w:vAlign w:val="center"/>
            <w:hideMark/>
          </w:tcPr>
          <w:p w14:paraId="5B283828" w14:textId="77777777" w:rsidR="00A91E61" w:rsidRPr="00724BBB" w:rsidRDefault="00A91E61">
            <w:pPr>
              <w:rPr>
                <w:color w:val="000000"/>
                <w:sz w:val="20"/>
                <w:szCs w:val="20"/>
              </w:rPr>
            </w:pPr>
            <w:r w:rsidRPr="00724BBB">
              <w:rPr>
                <w:color w:val="000000"/>
                <w:sz w:val="20"/>
                <w:szCs w:val="20"/>
              </w:rPr>
              <w:t>Cost per prisoner/offender (per year)</w:t>
            </w:r>
          </w:p>
        </w:tc>
        <w:tc>
          <w:tcPr>
            <w:tcW w:w="1276" w:type="dxa"/>
            <w:noWrap/>
            <w:vAlign w:val="center"/>
            <w:hideMark/>
          </w:tcPr>
          <w:p w14:paraId="30FF39BD" w14:textId="77777777" w:rsidR="00A91E61" w:rsidRPr="00724BBB" w:rsidRDefault="00A91E61">
            <w:pPr>
              <w:rPr>
                <w:color w:val="000000"/>
                <w:sz w:val="20"/>
                <w:szCs w:val="20"/>
              </w:rPr>
            </w:pPr>
            <w:r w:rsidRPr="00724BBB">
              <w:rPr>
                <w:color w:val="000000"/>
                <w:sz w:val="20"/>
                <w:szCs w:val="20"/>
              </w:rPr>
              <w:t>f</w:t>
            </w:r>
          </w:p>
        </w:tc>
        <w:tc>
          <w:tcPr>
            <w:tcW w:w="4678" w:type="dxa"/>
            <w:gridSpan w:val="4"/>
            <w:noWrap/>
            <w:vAlign w:val="center"/>
            <w:hideMark/>
          </w:tcPr>
          <w:p w14:paraId="4A56CE04" w14:textId="77777777" w:rsidR="00A91E61" w:rsidRPr="00724BBB" w:rsidRDefault="00A91E61" w:rsidP="00724BBB">
            <w:pPr>
              <w:jc w:val="center"/>
              <w:rPr>
                <w:color w:val="000000"/>
                <w:sz w:val="20"/>
                <w:szCs w:val="20"/>
              </w:rPr>
            </w:pPr>
            <w:r w:rsidRPr="00724BBB">
              <w:rPr>
                <w:color w:val="000000"/>
                <w:sz w:val="20"/>
                <w:szCs w:val="20"/>
              </w:rPr>
              <w:t>$202,575</w:t>
            </w:r>
          </w:p>
          <w:p w14:paraId="7F2A5ECB" w14:textId="5FABDB03" w:rsidR="00A91E61" w:rsidRPr="00724BBB" w:rsidRDefault="00A91E61" w:rsidP="00724BBB">
            <w:pPr>
              <w:jc w:val="center"/>
              <w:rPr>
                <w:color w:val="000000"/>
                <w:sz w:val="20"/>
                <w:szCs w:val="20"/>
              </w:rPr>
            </w:pPr>
          </w:p>
        </w:tc>
      </w:tr>
      <w:tr w:rsidR="00A91E61" w14:paraId="7413D4EC" w14:textId="77777777" w:rsidTr="00841D8C">
        <w:trPr>
          <w:trHeight w:val="397"/>
        </w:trPr>
        <w:tc>
          <w:tcPr>
            <w:tcW w:w="3397" w:type="dxa"/>
            <w:shd w:val="clear" w:color="auto" w:fill="F2F2F2" w:themeFill="background1" w:themeFillShade="F2"/>
            <w:noWrap/>
            <w:vAlign w:val="center"/>
            <w:hideMark/>
          </w:tcPr>
          <w:p w14:paraId="2D0A2E75" w14:textId="77777777" w:rsidR="00A91E61" w:rsidRPr="00724BBB" w:rsidRDefault="00A91E61">
            <w:pPr>
              <w:rPr>
                <w:b/>
                <w:bCs/>
                <w:color w:val="000000"/>
                <w:sz w:val="20"/>
                <w:szCs w:val="20"/>
              </w:rPr>
            </w:pPr>
            <w:r w:rsidRPr="00724BBB">
              <w:rPr>
                <w:b/>
                <w:bCs/>
                <w:color w:val="000000"/>
                <w:sz w:val="20"/>
                <w:szCs w:val="20"/>
              </w:rPr>
              <w:t xml:space="preserve">Total corrections system cost </w:t>
            </w:r>
          </w:p>
        </w:tc>
        <w:tc>
          <w:tcPr>
            <w:tcW w:w="1276" w:type="dxa"/>
            <w:shd w:val="clear" w:color="auto" w:fill="F2F2F2" w:themeFill="background1" w:themeFillShade="F2"/>
            <w:noWrap/>
            <w:vAlign w:val="center"/>
            <w:hideMark/>
          </w:tcPr>
          <w:p w14:paraId="7AA50C20" w14:textId="77777777" w:rsidR="00A91E61" w:rsidRPr="00724BBB" w:rsidRDefault="00A91E61">
            <w:pPr>
              <w:rPr>
                <w:b/>
                <w:bCs/>
                <w:color w:val="000000"/>
                <w:sz w:val="20"/>
                <w:szCs w:val="20"/>
              </w:rPr>
            </w:pPr>
            <w:r w:rsidRPr="00724BBB">
              <w:rPr>
                <w:b/>
                <w:bCs/>
                <w:color w:val="000000"/>
                <w:sz w:val="20"/>
                <w:szCs w:val="20"/>
              </w:rPr>
              <w:t>g = d x e x f</w:t>
            </w:r>
          </w:p>
        </w:tc>
        <w:tc>
          <w:tcPr>
            <w:tcW w:w="1134" w:type="dxa"/>
            <w:shd w:val="clear" w:color="auto" w:fill="F2F2F2" w:themeFill="background1" w:themeFillShade="F2"/>
            <w:noWrap/>
            <w:vAlign w:val="center"/>
            <w:hideMark/>
          </w:tcPr>
          <w:p w14:paraId="28CF2EB9" w14:textId="2B0DB890" w:rsidR="00A91E61" w:rsidRPr="00724BBB" w:rsidRDefault="00A91E61">
            <w:pPr>
              <w:jc w:val="right"/>
              <w:rPr>
                <w:b/>
                <w:bCs/>
                <w:color w:val="000000"/>
                <w:sz w:val="20"/>
                <w:szCs w:val="20"/>
              </w:rPr>
            </w:pPr>
            <w:r w:rsidRPr="00724BBB">
              <w:rPr>
                <w:b/>
                <w:bCs/>
                <w:color w:val="000000"/>
                <w:sz w:val="20"/>
                <w:szCs w:val="20"/>
              </w:rPr>
              <w:t>$</w:t>
            </w:r>
            <w:r w:rsidR="00C04197" w:rsidRPr="00724BBB">
              <w:rPr>
                <w:b/>
                <w:bCs/>
                <w:color w:val="000000"/>
                <w:sz w:val="20"/>
                <w:szCs w:val="20"/>
              </w:rPr>
              <w:t>7,736,399</w:t>
            </w:r>
          </w:p>
        </w:tc>
        <w:tc>
          <w:tcPr>
            <w:tcW w:w="1134" w:type="dxa"/>
            <w:shd w:val="clear" w:color="auto" w:fill="F2F2F2" w:themeFill="background1" w:themeFillShade="F2"/>
            <w:noWrap/>
            <w:vAlign w:val="center"/>
            <w:hideMark/>
          </w:tcPr>
          <w:p w14:paraId="2F4035DE" w14:textId="486E409B" w:rsidR="00A91E61" w:rsidRPr="00724BBB" w:rsidRDefault="00A91E61">
            <w:pPr>
              <w:jc w:val="right"/>
              <w:rPr>
                <w:b/>
                <w:bCs/>
                <w:color w:val="000000"/>
                <w:sz w:val="20"/>
                <w:szCs w:val="20"/>
              </w:rPr>
            </w:pPr>
            <w:r w:rsidRPr="00724BBB">
              <w:rPr>
                <w:b/>
                <w:bCs/>
                <w:color w:val="000000"/>
                <w:sz w:val="20"/>
                <w:szCs w:val="20"/>
              </w:rPr>
              <w:t>$</w:t>
            </w:r>
            <w:r w:rsidR="00C04197" w:rsidRPr="00724BBB">
              <w:rPr>
                <w:b/>
                <w:bCs/>
                <w:color w:val="000000"/>
                <w:sz w:val="20"/>
                <w:szCs w:val="20"/>
              </w:rPr>
              <w:t>4,269,196</w:t>
            </w:r>
          </w:p>
        </w:tc>
        <w:tc>
          <w:tcPr>
            <w:tcW w:w="1134" w:type="dxa"/>
            <w:shd w:val="clear" w:color="auto" w:fill="F2F2F2" w:themeFill="background1" w:themeFillShade="F2"/>
            <w:noWrap/>
            <w:vAlign w:val="center"/>
            <w:hideMark/>
          </w:tcPr>
          <w:p w14:paraId="4D5F4423" w14:textId="48B16169" w:rsidR="00A91E61" w:rsidRPr="00724BBB" w:rsidRDefault="00A91E61">
            <w:pPr>
              <w:jc w:val="right"/>
              <w:rPr>
                <w:b/>
                <w:bCs/>
                <w:color w:val="000000"/>
                <w:sz w:val="20"/>
                <w:szCs w:val="20"/>
              </w:rPr>
            </w:pPr>
            <w:r w:rsidRPr="00724BBB">
              <w:rPr>
                <w:b/>
                <w:bCs/>
                <w:color w:val="000000"/>
                <w:sz w:val="20"/>
                <w:szCs w:val="20"/>
              </w:rPr>
              <w:t>$</w:t>
            </w:r>
            <w:r w:rsidR="00C04197" w:rsidRPr="00724BBB">
              <w:rPr>
                <w:b/>
                <w:bCs/>
                <w:color w:val="000000"/>
                <w:sz w:val="20"/>
                <w:szCs w:val="20"/>
              </w:rPr>
              <w:t>7,159,869</w:t>
            </w:r>
          </w:p>
        </w:tc>
        <w:tc>
          <w:tcPr>
            <w:tcW w:w="1276" w:type="dxa"/>
            <w:shd w:val="clear" w:color="auto" w:fill="F2F2F2" w:themeFill="background1" w:themeFillShade="F2"/>
            <w:noWrap/>
            <w:vAlign w:val="center"/>
            <w:hideMark/>
          </w:tcPr>
          <w:p w14:paraId="5AC5DF49" w14:textId="57F2D096" w:rsidR="00A91E61" w:rsidRPr="00724BBB" w:rsidRDefault="00A91E61">
            <w:pPr>
              <w:jc w:val="right"/>
              <w:rPr>
                <w:b/>
                <w:bCs/>
                <w:color w:val="000000"/>
                <w:sz w:val="20"/>
                <w:szCs w:val="20"/>
              </w:rPr>
            </w:pPr>
            <w:r w:rsidRPr="00724BBB">
              <w:rPr>
                <w:b/>
                <w:bCs/>
                <w:color w:val="000000"/>
                <w:sz w:val="20"/>
                <w:szCs w:val="20"/>
              </w:rPr>
              <w:t>$</w:t>
            </w:r>
            <w:r w:rsidR="00C04197" w:rsidRPr="00724BBB">
              <w:rPr>
                <w:b/>
                <w:bCs/>
                <w:color w:val="000000"/>
                <w:sz w:val="20"/>
                <w:szCs w:val="20"/>
              </w:rPr>
              <w:t>19,165,464</w:t>
            </w:r>
          </w:p>
        </w:tc>
      </w:tr>
      <w:tr w:rsidR="00A91E61" w14:paraId="1D697D24" w14:textId="77777777" w:rsidTr="00841D8C">
        <w:trPr>
          <w:trHeight w:val="580"/>
        </w:trPr>
        <w:tc>
          <w:tcPr>
            <w:tcW w:w="9351" w:type="dxa"/>
            <w:gridSpan w:val="6"/>
            <w:noWrap/>
            <w:vAlign w:val="center"/>
          </w:tcPr>
          <w:p w14:paraId="37DC6708" w14:textId="77777777" w:rsidR="00A91E61" w:rsidRPr="00724BBB" w:rsidRDefault="00A91E61">
            <w:pPr>
              <w:rPr>
                <w:b/>
                <w:bCs/>
                <w:i/>
                <w:iCs/>
                <w:color w:val="000000"/>
                <w:sz w:val="20"/>
                <w:szCs w:val="20"/>
              </w:rPr>
            </w:pPr>
            <w:r w:rsidRPr="00724BBB">
              <w:rPr>
                <w:i/>
                <w:iCs/>
                <w:color w:val="242424"/>
                <w:sz w:val="20"/>
                <w:szCs w:val="20"/>
              </w:rPr>
              <w:t xml:space="preserve">Note: </w:t>
            </w:r>
            <w:r w:rsidRPr="00724BBB">
              <w:rPr>
                <w:i/>
                <w:iCs/>
                <w:sz w:val="20"/>
                <w:szCs w:val="20"/>
              </w:rPr>
              <w:t xml:space="preserve">LR (low-risk gambling), MR (moderate-risk gambling), and problem gambling. </w:t>
            </w:r>
            <w:r w:rsidRPr="00724BBB">
              <w:rPr>
                <w:i/>
                <w:iCs/>
                <w:color w:val="242424"/>
                <w:sz w:val="20"/>
                <w:szCs w:val="20"/>
              </w:rPr>
              <w:t>Totals may not match exactly due to rounding. Calculations are based on the original unrounded figures to ensure accuracy.</w:t>
            </w:r>
          </w:p>
        </w:tc>
      </w:tr>
    </w:tbl>
    <w:p w14:paraId="72F2A2BF" w14:textId="77777777" w:rsidR="00A91E61" w:rsidRDefault="00A91E61" w:rsidP="00A91E61">
      <w:pPr>
        <w:spacing w:line="276" w:lineRule="auto"/>
        <w:ind w:right="-330"/>
        <w:rPr>
          <w:sz w:val="18"/>
          <w:szCs w:val="18"/>
        </w:rPr>
      </w:pPr>
    </w:p>
    <w:p w14:paraId="2A9FFE42" w14:textId="77777777" w:rsidR="00DB689D" w:rsidRDefault="00310A10" w:rsidP="00367A8D">
      <w:pPr>
        <w:pStyle w:val="Heading4"/>
        <w:spacing w:after="160" w:line="360" w:lineRule="auto"/>
      </w:pPr>
      <w:bookmarkStart w:id="489" w:name="_77ofml6lcd5y" w:colFirst="0" w:colLast="0"/>
      <w:bookmarkEnd w:id="489"/>
      <w:r>
        <w:t>Justice system - Total</w:t>
      </w:r>
    </w:p>
    <w:p w14:paraId="56E9EA57" w14:textId="1938E35C" w:rsidR="00DB689D" w:rsidRDefault="00310A10" w:rsidP="00367A8D">
      <w:pPr>
        <w:spacing w:line="360" w:lineRule="auto"/>
      </w:pPr>
      <w:r>
        <w:t xml:space="preserve">As shown in </w:t>
      </w:r>
      <w:r w:rsidRPr="00A91E61">
        <w:t xml:space="preserve">Table </w:t>
      </w:r>
      <w:r w:rsidR="001D7B0D">
        <w:t>30</w:t>
      </w:r>
      <w:r>
        <w:t>, the total estimated economic impact of crime to the New Zealand justice system associated with gambling problems is around $</w:t>
      </w:r>
      <w:r w:rsidR="00B06FAA">
        <w:t>22.4</w:t>
      </w:r>
      <w:r>
        <w:t xml:space="preserve"> million.</w:t>
      </w:r>
    </w:p>
    <w:p w14:paraId="68039C2C" w14:textId="77777777" w:rsidR="00724BBB" w:rsidRDefault="00724BBB" w:rsidP="00724BBB">
      <w:pPr>
        <w:spacing w:line="360" w:lineRule="auto"/>
      </w:pPr>
    </w:p>
    <w:p w14:paraId="134F5849" w14:textId="36474A8C" w:rsidR="00724BBB" w:rsidRDefault="00724BBB" w:rsidP="00724BBB">
      <w:pPr>
        <w:spacing w:line="360" w:lineRule="auto"/>
      </w:pPr>
      <w:r>
        <w:t xml:space="preserve">The study estimates that around 0.2% of the New Zealand population engaged in criminal behaviour due to gambling-slightly lower than the 0.33% reported by Lin et al. </w:t>
      </w:r>
      <w:r>
        <w:rPr>
          <w:noProof/>
          <w:color w:val="000000"/>
        </w:rPr>
        <w:t>(2010)</w:t>
      </w:r>
      <w:r>
        <w:t xml:space="preserve">. Cross-checking the estimated 199 people who received custodial sentences for gambling-related offences against the total number of imprisonments in 2024 (5,801) suggests that approximately 3.4% of all new imprisonments were gambling-related, also slightly lower than Abbott’s </w:t>
      </w:r>
      <w:r>
        <w:rPr>
          <w:noProof/>
          <w:color w:val="000000"/>
        </w:rPr>
        <w:t>(2005)</w:t>
      </w:r>
      <w:r>
        <w:t xml:space="preserve"> estimate of 5%. These estimates do not include the longer-term consequences of a criminal conviction, such as reduced employment opportunities or ongoing financial instability. Nor do they capture the impacts on affected others, including emotional distress, family disruption, or secondary loss of income.</w:t>
      </w:r>
    </w:p>
    <w:p w14:paraId="65FAA6DC" w14:textId="77777777" w:rsidR="00724BBB" w:rsidRDefault="00724BBB" w:rsidP="00724BBB">
      <w:pPr>
        <w:spacing w:line="360" w:lineRule="auto"/>
      </w:pPr>
    </w:p>
    <w:p w14:paraId="5BE0248E" w14:textId="72DC5D41" w:rsidR="00724BBB" w:rsidRDefault="00724BBB" w:rsidP="00724BBB">
      <w:pPr>
        <w:spacing w:line="360" w:lineRule="auto"/>
      </w:pPr>
      <w:r>
        <w:t xml:space="preserve">Given this, the current estimate is considered generally conservative. It is based on two items related to criminal behaviour in the </w:t>
      </w:r>
      <w:r>
        <w:rPr>
          <w:i/>
        </w:rPr>
        <w:t>Measuring the Burden of Gambling Harm in New Zealand Survey Report</w:t>
      </w:r>
      <w:r>
        <w:t xml:space="preserve">: 1) </w:t>
      </w:r>
      <w:r>
        <w:rPr>
          <w:i/>
        </w:rPr>
        <w:t>feeling compelled or forced to commit a crime or steal to fund gambling or pay debts</w:t>
      </w:r>
      <w:r>
        <w:t xml:space="preserve">, and 2) </w:t>
      </w:r>
      <w:r>
        <w:rPr>
          <w:i/>
        </w:rPr>
        <w:t>having committed petty theft or dishonesty in respect to government, business or other people (not family/wh</w:t>
      </w:r>
      <w:r w:rsidR="00463767">
        <w:t>ā</w:t>
      </w:r>
      <w:r>
        <w:rPr>
          <w:i/>
        </w:rPr>
        <w:t>nau/friends).</w:t>
      </w:r>
      <w:r>
        <w:t xml:space="preserve"> </w:t>
      </w:r>
    </w:p>
    <w:p w14:paraId="40E7453C" w14:textId="77777777" w:rsidR="00724BBB" w:rsidRDefault="00724BBB" w:rsidP="00724BBB">
      <w:pPr>
        <w:spacing w:line="360" w:lineRule="auto"/>
      </w:pPr>
    </w:p>
    <w:p w14:paraId="0357ECFC" w14:textId="77777777" w:rsidR="00724BBB" w:rsidRDefault="00724BBB" w:rsidP="00724BBB">
      <w:pPr>
        <w:spacing w:line="360" w:lineRule="auto"/>
      </w:pPr>
      <w:r>
        <w:t xml:space="preserve">For the upper bound, two additional criminal behaviours were included in the prevalence estimates: 1) </w:t>
      </w:r>
      <w:r>
        <w:rPr>
          <w:i/>
        </w:rPr>
        <w:t>Arrested for unsafe driving due to gambling</w:t>
      </w:r>
      <w:r>
        <w:t xml:space="preserve"> and 2) </w:t>
      </w:r>
      <w:r>
        <w:rPr>
          <w:i/>
        </w:rPr>
        <w:t>Took money or items from friends or family/whānau without asking first</w:t>
      </w:r>
      <w:r>
        <w:t xml:space="preserve">. Including these broader criminal behaviours resulted in an estimated prevalence of 1.6% of those categorised as low-risk gambling, 5.4% of moderate risk gambling, and 27.3% of problem gambling engaging in criminal behaviour. This less conservative approach equates to approximately 0.3% of the population engaging in criminal behaviour due to gambling, which is more closely aligned to the findings of Lin et al. </w:t>
      </w:r>
      <w:r>
        <w:rPr>
          <w:noProof/>
          <w:color w:val="000000"/>
        </w:rPr>
        <w:t>(2010)</w:t>
      </w:r>
      <w:r>
        <w:t xml:space="preserve">. </w:t>
      </w:r>
    </w:p>
    <w:p w14:paraId="5F2B3F62" w14:textId="77777777" w:rsidR="00724BBB" w:rsidRDefault="00724BBB" w:rsidP="00724BBB">
      <w:pPr>
        <w:spacing w:line="360" w:lineRule="auto"/>
      </w:pPr>
    </w:p>
    <w:p w14:paraId="192B8984" w14:textId="77777777" w:rsidR="00724BBB" w:rsidRDefault="00724BBB" w:rsidP="00724BBB">
      <w:pPr>
        <w:spacing w:line="360" w:lineRule="auto"/>
      </w:pPr>
      <w:r>
        <w:t xml:space="preserve">Therefore, the estimated cost of gambling-related crime to the New Zealand justice system is between a lower bound of $22.4 million and an upper bound of $31.3 million. </w:t>
      </w:r>
    </w:p>
    <w:p w14:paraId="26B89C42" w14:textId="77777777" w:rsidR="00724BBB" w:rsidRDefault="00724BBB" w:rsidP="00367A8D">
      <w:pPr>
        <w:spacing w:line="360" w:lineRule="auto"/>
      </w:pPr>
    </w:p>
    <w:p w14:paraId="66CFE691" w14:textId="77777777" w:rsidR="00DB689D" w:rsidRDefault="00DB689D" w:rsidP="00367A8D">
      <w:pPr>
        <w:spacing w:line="360" w:lineRule="auto"/>
      </w:pPr>
    </w:p>
    <w:p w14:paraId="4CC8BE0C" w14:textId="62FD1370" w:rsidR="00A91E61" w:rsidRDefault="00A91E61" w:rsidP="00DB094D">
      <w:pPr>
        <w:pStyle w:val="Caption"/>
      </w:pPr>
      <w:bookmarkStart w:id="490" w:name="_Toc207619072"/>
      <w:r>
        <w:t xml:space="preserve">Table </w:t>
      </w:r>
      <w:r>
        <w:fldChar w:fldCharType="begin"/>
      </w:r>
      <w:r>
        <w:instrText xml:space="preserve"> SEQ Table \* ARABIC </w:instrText>
      </w:r>
      <w:r>
        <w:fldChar w:fldCharType="separate"/>
      </w:r>
      <w:r w:rsidR="00986A0D">
        <w:rPr>
          <w:noProof/>
        </w:rPr>
        <w:t>30</w:t>
      </w:r>
      <w:r>
        <w:fldChar w:fldCharType="end"/>
      </w:r>
      <w:r>
        <w:t xml:space="preserve">. </w:t>
      </w:r>
      <w:r w:rsidRPr="00904A8A">
        <w:t>Total cost of crime to New Zealand justice system due to gambling problems (2023-24)</w:t>
      </w:r>
      <w:bookmarkEnd w:id="490"/>
    </w:p>
    <w:tbl>
      <w:tblPr>
        <w:tblStyle w:val="TableGridLight"/>
        <w:tblW w:w="5170" w:type="pct"/>
        <w:tblLook w:val="04A0" w:firstRow="1" w:lastRow="0" w:firstColumn="1" w:lastColumn="0" w:noHBand="0" w:noVBand="1"/>
      </w:tblPr>
      <w:tblGrid>
        <w:gridCol w:w="2992"/>
        <w:gridCol w:w="1270"/>
        <w:gridCol w:w="1214"/>
        <w:gridCol w:w="1112"/>
        <w:gridCol w:w="1218"/>
        <w:gridCol w:w="1520"/>
      </w:tblGrid>
      <w:tr w:rsidR="00A91E61" w:rsidRPr="00D850CC" w14:paraId="29F6ABAC" w14:textId="77777777" w:rsidTr="00841D8C">
        <w:trPr>
          <w:trHeight w:val="397"/>
        </w:trPr>
        <w:tc>
          <w:tcPr>
            <w:tcW w:w="1604" w:type="pct"/>
            <w:shd w:val="clear" w:color="auto" w:fill="F2F2F2" w:themeFill="background1" w:themeFillShade="F2"/>
            <w:vAlign w:val="center"/>
            <w:hideMark/>
          </w:tcPr>
          <w:p w14:paraId="4C2FBCE8" w14:textId="77777777" w:rsidR="00A91E61" w:rsidRPr="00724BBB" w:rsidRDefault="00A91E61">
            <w:pPr>
              <w:spacing w:line="276" w:lineRule="auto"/>
              <w:ind w:right="-330"/>
              <w:rPr>
                <w:b/>
                <w:bCs/>
                <w:color w:val="000000"/>
                <w:sz w:val="20"/>
                <w:szCs w:val="20"/>
              </w:rPr>
            </w:pPr>
            <w:r w:rsidRPr="00724BBB">
              <w:rPr>
                <w:b/>
                <w:bCs/>
                <w:color w:val="000000"/>
                <w:sz w:val="20"/>
                <w:szCs w:val="20"/>
              </w:rPr>
              <w:t>Variable</w:t>
            </w:r>
          </w:p>
        </w:tc>
        <w:tc>
          <w:tcPr>
            <w:tcW w:w="681" w:type="pct"/>
            <w:shd w:val="clear" w:color="auto" w:fill="F2F2F2" w:themeFill="background1" w:themeFillShade="F2"/>
            <w:vAlign w:val="center"/>
            <w:hideMark/>
          </w:tcPr>
          <w:p w14:paraId="5E6EF55C" w14:textId="77777777" w:rsidR="00A91E61" w:rsidRPr="00724BBB" w:rsidRDefault="00A91E61">
            <w:pPr>
              <w:spacing w:line="276" w:lineRule="auto"/>
              <w:ind w:right="32"/>
              <w:jc w:val="center"/>
              <w:rPr>
                <w:b/>
                <w:bCs/>
                <w:color w:val="000000"/>
                <w:sz w:val="20"/>
                <w:szCs w:val="20"/>
              </w:rPr>
            </w:pPr>
            <w:r w:rsidRPr="00724BBB">
              <w:rPr>
                <w:b/>
                <w:bCs/>
                <w:color w:val="000000"/>
                <w:sz w:val="20"/>
                <w:szCs w:val="20"/>
              </w:rPr>
              <w:t>Calculation</w:t>
            </w:r>
          </w:p>
        </w:tc>
        <w:tc>
          <w:tcPr>
            <w:tcW w:w="651" w:type="pct"/>
            <w:shd w:val="clear" w:color="auto" w:fill="F2F2F2" w:themeFill="background1" w:themeFillShade="F2"/>
            <w:vAlign w:val="center"/>
            <w:hideMark/>
          </w:tcPr>
          <w:p w14:paraId="61C7A588" w14:textId="77777777" w:rsidR="00A91E61" w:rsidRPr="00724BBB" w:rsidRDefault="00A91E61">
            <w:pPr>
              <w:spacing w:line="276" w:lineRule="auto"/>
              <w:ind w:right="32"/>
              <w:jc w:val="center"/>
              <w:rPr>
                <w:b/>
                <w:bCs/>
                <w:color w:val="000000"/>
                <w:sz w:val="20"/>
                <w:szCs w:val="20"/>
              </w:rPr>
            </w:pPr>
            <w:r w:rsidRPr="00724BBB">
              <w:rPr>
                <w:b/>
                <w:bCs/>
                <w:color w:val="000000"/>
                <w:sz w:val="20"/>
                <w:szCs w:val="20"/>
              </w:rPr>
              <w:t>LR</w:t>
            </w:r>
          </w:p>
        </w:tc>
        <w:tc>
          <w:tcPr>
            <w:tcW w:w="596" w:type="pct"/>
            <w:shd w:val="clear" w:color="auto" w:fill="F2F2F2" w:themeFill="background1" w:themeFillShade="F2"/>
            <w:vAlign w:val="center"/>
            <w:hideMark/>
          </w:tcPr>
          <w:p w14:paraId="43264DD0" w14:textId="77777777" w:rsidR="00A91E61" w:rsidRPr="00724BBB" w:rsidRDefault="00A91E61">
            <w:pPr>
              <w:spacing w:line="276" w:lineRule="auto"/>
              <w:ind w:right="32"/>
              <w:jc w:val="center"/>
              <w:rPr>
                <w:b/>
                <w:bCs/>
                <w:color w:val="000000"/>
                <w:sz w:val="20"/>
                <w:szCs w:val="20"/>
              </w:rPr>
            </w:pPr>
            <w:r w:rsidRPr="00724BBB">
              <w:rPr>
                <w:b/>
                <w:bCs/>
                <w:color w:val="000000"/>
                <w:sz w:val="20"/>
                <w:szCs w:val="20"/>
              </w:rPr>
              <w:t>MR</w:t>
            </w:r>
          </w:p>
        </w:tc>
        <w:tc>
          <w:tcPr>
            <w:tcW w:w="653" w:type="pct"/>
            <w:shd w:val="clear" w:color="auto" w:fill="F2F2F2" w:themeFill="background1" w:themeFillShade="F2"/>
            <w:vAlign w:val="center"/>
            <w:hideMark/>
          </w:tcPr>
          <w:p w14:paraId="2F84049F" w14:textId="77777777" w:rsidR="00A91E61" w:rsidRPr="00724BBB" w:rsidRDefault="00A91E61">
            <w:pPr>
              <w:spacing w:line="276" w:lineRule="auto"/>
              <w:ind w:right="32"/>
              <w:jc w:val="center"/>
              <w:rPr>
                <w:b/>
                <w:bCs/>
                <w:color w:val="000000"/>
                <w:sz w:val="20"/>
                <w:szCs w:val="20"/>
              </w:rPr>
            </w:pPr>
            <w:r w:rsidRPr="00724BBB">
              <w:rPr>
                <w:b/>
                <w:bCs/>
                <w:color w:val="000000"/>
                <w:sz w:val="20"/>
                <w:szCs w:val="20"/>
              </w:rPr>
              <w:t>PG</w:t>
            </w:r>
          </w:p>
        </w:tc>
        <w:tc>
          <w:tcPr>
            <w:tcW w:w="815" w:type="pct"/>
            <w:shd w:val="clear" w:color="auto" w:fill="F2F2F2" w:themeFill="background1" w:themeFillShade="F2"/>
            <w:vAlign w:val="center"/>
            <w:hideMark/>
          </w:tcPr>
          <w:p w14:paraId="76B21C5A" w14:textId="77777777" w:rsidR="00A91E61" w:rsidRPr="00724BBB" w:rsidRDefault="00A91E61">
            <w:pPr>
              <w:spacing w:line="276" w:lineRule="auto"/>
              <w:ind w:right="32"/>
              <w:jc w:val="center"/>
              <w:rPr>
                <w:b/>
                <w:bCs/>
                <w:color w:val="000000"/>
                <w:sz w:val="20"/>
                <w:szCs w:val="20"/>
              </w:rPr>
            </w:pPr>
            <w:r w:rsidRPr="00724BBB">
              <w:rPr>
                <w:b/>
                <w:bCs/>
                <w:color w:val="000000"/>
                <w:sz w:val="20"/>
                <w:szCs w:val="20"/>
              </w:rPr>
              <w:t>Total Gambling Problems</w:t>
            </w:r>
          </w:p>
        </w:tc>
      </w:tr>
      <w:tr w:rsidR="00A91E61" w:rsidRPr="00D850CC" w14:paraId="0B8F006E" w14:textId="77777777" w:rsidTr="00841D8C">
        <w:trPr>
          <w:trHeight w:val="397"/>
        </w:trPr>
        <w:tc>
          <w:tcPr>
            <w:tcW w:w="1604" w:type="pct"/>
            <w:noWrap/>
            <w:vAlign w:val="center"/>
            <w:hideMark/>
          </w:tcPr>
          <w:p w14:paraId="7724AC70" w14:textId="77777777" w:rsidR="00A91E61" w:rsidRPr="00724BBB" w:rsidRDefault="00A91E61">
            <w:pPr>
              <w:spacing w:line="276" w:lineRule="auto"/>
              <w:ind w:right="-330"/>
              <w:rPr>
                <w:color w:val="000000"/>
                <w:sz w:val="20"/>
                <w:szCs w:val="20"/>
              </w:rPr>
            </w:pPr>
            <w:r w:rsidRPr="00724BBB">
              <w:rPr>
                <w:color w:val="000000"/>
                <w:sz w:val="20"/>
                <w:szCs w:val="20"/>
              </w:rPr>
              <w:t>Total police system cost</w:t>
            </w:r>
          </w:p>
        </w:tc>
        <w:tc>
          <w:tcPr>
            <w:tcW w:w="681" w:type="pct"/>
            <w:noWrap/>
            <w:vAlign w:val="center"/>
            <w:hideMark/>
          </w:tcPr>
          <w:p w14:paraId="54F8456A" w14:textId="77777777" w:rsidR="00A91E61" w:rsidRPr="00724BBB" w:rsidRDefault="00A91E61">
            <w:pPr>
              <w:spacing w:line="276" w:lineRule="auto"/>
              <w:ind w:right="-330"/>
              <w:rPr>
                <w:color w:val="000000"/>
                <w:sz w:val="20"/>
                <w:szCs w:val="20"/>
              </w:rPr>
            </w:pPr>
            <w:r w:rsidRPr="00724BBB">
              <w:rPr>
                <w:color w:val="000000"/>
                <w:sz w:val="20"/>
                <w:szCs w:val="20"/>
              </w:rPr>
              <w:t>a</w:t>
            </w:r>
          </w:p>
        </w:tc>
        <w:tc>
          <w:tcPr>
            <w:tcW w:w="651" w:type="pct"/>
            <w:noWrap/>
            <w:vAlign w:val="center"/>
            <w:hideMark/>
          </w:tcPr>
          <w:p w14:paraId="538BCF98" w14:textId="77777777" w:rsidR="00A91E61" w:rsidRPr="00724BBB" w:rsidRDefault="00A91E61">
            <w:pPr>
              <w:spacing w:line="276" w:lineRule="auto"/>
              <w:ind w:right="32"/>
              <w:jc w:val="right"/>
              <w:rPr>
                <w:color w:val="000000"/>
                <w:sz w:val="20"/>
                <w:szCs w:val="20"/>
              </w:rPr>
            </w:pPr>
            <w:r w:rsidRPr="00724BBB">
              <w:rPr>
                <w:color w:val="000000"/>
                <w:sz w:val="20"/>
                <w:szCs w:val="20"/>
              </w:rPr>
              <w:t>$226,411</w:t>
            </w:r>
          </w:p>
        </w:tc>
        <w:tc>
          <w:tcPr>
            <w:tcW w:w="596" w:type="pct"/>
            <w:noWrap/>
            <w:vAlign w:val="center"/>
            <w:hideMark/>
          </w:tcPr>
          <w:p w14:paraId="35A7DD20" w14:textId="77777777" w:rsidR="00A91E61" w:rsidRPr="00724BBB" w:rsidRDefault="00A91E61">
            <w:pPr>
              <w:spacing w:line="276" w:lineRule="auto"/>
              <w:ind w:right="32"/>
              <w:jc w:val="right"/>
              <w:rPr>
                <w:color w:val="000000"/>
                <w:sz w:val="20"/>
                <w:szCs w:val="20"/>
              </w:rPr>
            </w:pPr>
            <w:r w:rsidRPr="00724BBB">
              <w:rPr>
                <w:color w:val="000000"/>
                <w:sz w:val="20"/>
                <w:szCs w:val="20"/>
              </w:rPr>
              <w:t>$124,941</w:t>
            </w:r>
          </w:p>
        </w:tc>
        <w:tc>
          <w:tcPr>
            <w:tcW w:w="653" w:type="pct"/>
            <w:noWrap/>
            <w:vAlign w:val="center"/>
            <w:hideMark/>
          </w:tcPr>
          <w:p w14:paraId="03DAE57A" w14:textId="77777777" w:rsidR="00A91E61" w:rsidRPr="00724BBB" w:rsidRDefault="00A91E61">
            <w:pPr>
              <w:spacing w:line="276" w:lineRule="auto"/>
              <w:ind w:right="32"/>
              <w:jc w:val="right"/>
              <w:rPr>
                <w:color w:val="000000"/>
                <w:sz w:val="20"/>
                <w:szCs w:val="20"/>
              </w:rPr>
            </w:pPr>
            <w:r w:rsidRPr="00724BBB">
              <w:rPr>
                <w:color w:val="000000"/>
                <w:sz w:val="20"/>
                <w:szCs w:val="20"/>
              </w:rPr>
              <w:t>$209,539</w:t>
            </w:r>
          </w:p>
        </w:tc>
        <w:tc>
          <w:tcPr>
            <w:tcW w:w="815" w:type="pct"/>
            <w:noWrap/>
            <w:vAlign w:val="center"/>
            <w:hideMark/>
          </w:tcPr>
          <w:p w14:paraId="7FA22C6B" w14:textId="77777777" w:rsidR="00A91E61" w:rsidRPr="00724BBB" w:rsidRDefault="00A91E61">
            <w:pPr>
              <w:spacing w:line="276" w:lineRule="auto"/>
              <w:ind w:right="32"/>
              <w:jc w:val="right"/>
              <w:rPr>
                <w:color w:val="000000"/>
                <w:sz w:val="20"/>
                <w:szCs w:val="20"/>
              </w:rPr>
            </w:pPr>
            <w:r w:rsidRPr="00724BBB">
              <w:rPr>
                <w:color w:val="000000"/>
                <w:sz w:val="20"/>
                <w:szCs w:val="20"/>
              </w:rPr>
              <w:t>$560,891</w:t>
            </w:r>
          </w:p>
        </w:tc>
      </w:tr>
      <w:tr w:rsidR="00A91E61" w:rsidRPr="00D850CC" w14:paraId="56798B42" w14:textId="77777777" w:rsidTr="00841D8C">
        <w:trPr>
          <w:trHeight w:val="397"/>
        </w:trPr>
        <w:tc>
          <w:tcPr>
            <w:tcW w:w="1604" w:type="pct"/>
            <w:noWrap/>
            <w:vAlign w:val="center"/>
            <w:hideMark/>
          </w:tcPr>
          <w:p w14:paraId="081043AC" w14:textId="77777777" w:rsidR="00A91E61" w:rsidRPr="00724BBB" w:rsidRDefault="00A91E61">
            <w:pPr>
              <w:spacing w:line="276" w:lineRule="auto"/>
              <w:ind w:right="-330"/>
              <w:rPr>
                <w:color w:val="000000"/>
                <w:sz w:val="20"/>
                <w:szCs w:val="20"/>
              </w:rPr>
            </w:pPr>
            <w:r w:rsidRPr="00724BBB">
              <w:rPr>
                <w:color w:val="000000"/>
                <w:sz w:val="20"/>
                <w:szCs w:val="20"/>
              </w:rPr>
              <w:t>Total court system cost</w:t>
            </w:r>
          </w:p>
        </w:tc>
        <w:tc>
          <w:tcPr>
            <w:tcW w:w="681" w:type="pct"/>
            <w:noWrap/>
            <w:vAlign w:val="center"/>
            <w:hideMark/>
          </w:tcPr>
          <w:p w14:paraId="7300CA70" w14:textId="77777777" w:rsidR="00A91E61" w:rsidRPr="00724BBB" w:rsidRDefault="00A91E61">
            <w:pPr>
              <w:spacing w:line="276" w:lineRule="auto"/>
              <w:ind w:right="-330"/>
              <w:rPr>
                <w:color w:val="000000"/>
                <w:sz w:val="20"/>
                <w:szCs w:val="20"/>
              </w:rPr>
            </w:pPr>
            <w:r w:rsidRPr="00724BBB">
              <w:rPr>
                <w:color w:val="000000"/>
                <w:sz w:val="20"/>
                <w:szCs w:val="20"/>
              </w:rPr>
              <w:t>b</w:t>
            </w:r>
          </w:p>
        </w:tc>
        <w:tc>
          <w:tcPr>
            <w:tcW w:w="651" w:type="pct"/>
            <w:noWrap/>
            <w:vAlign w:val="center"/>
            <w:hideMark/>
          </w:tcPr>
          <w:p w14:paraId="00632A4B" w14:textId="77777777" w:rsidR="00A91E61" w:rsidRPr="00724BBB" w:rsidRDefault="00A91E61">
            <w:pPr>
              <w:spacing w:line="276" w:lineRule="auto"/>
              <w:ind w:right="32"/>
              <w:jc w:val="right"/>
              <w:rPr>
                <w:color w:val="000000"/>
                <w:sz w:val="20"/>
                <w:szCs w:val="20"/>
              </w:rPr>
            </w:pPr>
            <w:r w:rsidRPr="00724BBB">
              <w:rPr>
                <w:color w:val="000000"/>
                <w:sz w:val="20"/>
                <w:szCs w:val="20"/>
              </w:rPr>
              <w:t>$1,061,936</w:t>
            </w:r>
          </w:p>
        </w:tc>
        <w:tc>
          <w:tcPr>
            <w:tcW w:w="596" w:type="pct"/>
            <w:noWrap/>
            <w:vAlign w:val="center"/>
            <w:hideMark/>
          </w:tcPr>
          <w:p w14:paraId="775A3F9B" w14:textId="77777777" w:rsidR="00A91E61" w:rsidRPr="00724BBB" w:rsidRDefault="00A91E61">
            <w:pPr>
              <w:spacing w:line="276" w:lineRule="auto"/>
              <w:ind w:right="32"/>
              <w:jc w:val="right"/>
              <w:rPr>
                <w:color w:val="000000"/>
                <w:sz w:val="20"/>
                <w:szCs w:val="20"/>
              </w:rPr>
            </w:pPr>
            <w:r w:rsidRPr="00724BBB">
              <w:rPr>
                <w:color w:val="000000"/>
                <w:sz w:val="20"/>
                <w:szCs w:val="20"/>
              </w:rPr>
              <w:t>$586,011</w:t>
            </w:r>
          </w:p>
        </w:tc>
        <w:tc>
          <w:tcPr>
            <w:tcW w:w="653" w:type="pct"/>
            <w:noWrap/>
            <w:vAlign w:val="center"/>
            <w:hideMark/>
          </w:tcPr>
          <w:p w14:paraId="5C471EA3" w14:textId="77777777" w:rsidR="00A91E61" w:rsidRPr="00724BBB" w:rsidRDefault="00A91E61">
            <w:pPr>
              <w:spacing w:line="276" w:lineRule="auto"/>
              <w:ind w:right="32"/>
              <w:jc w:val="right"/>
              <w:rPr>
                <w:color w:val="000000"/>
                <w:sz w:val="20"/>
                <w:szCs w:val="20"/>
              </w:rPr>
            </w:pPr>
            <w:r w:rsidRPr="00724BBB">
              <w:rPr>
                <w:color w:val="000000"/>
                <w:sz w:val="20"/>
                <w:szCs w:val="20"/>
              </w:rPr>
              <w:t>$982,799</w:t>
            </w:r>
          </w:p>
        </w:tc>
        <w:tc>
          <w:tcPr>
            <w:tcW w:w="815" w:type="pct"/>
            <w:noWrap/>
            <w:vAlign w:val="center"/>
            <w:hideMark/>
          </w:tcPr>
          <w:p w14:paraId="2F6F28B6" w14:textId="77777777" w:rsidR="00A91E61" w:rsidRPr="00724BBB" w:rsidRDefault="00A91E61">
            <w:pPr>
              <w:spacing w:line="276" w:lineRule="auto"/>
              <w:ind w:right="32"/>
              <w:jc w:val="right"/>
              <w:rPr>
                <w:color w:val="000000"/>
                <w:sz w:val="20"/>
                <w:szCs w:val="20"/>
              </w:rPr>
            </w:pPr>
            <w:r w:rsidRPr="00724BBB">
              <w:rPr>
                <w:color w:val="000000"/>
                <w:sz w:val="20"/>
                <w:szCs w:val="20"/>
              </w:rPr>
              <w:t>$2,630,745</w:t>
            </w:r>
          </w:p>
        </w:tc>
      </w:tr>
      <w:tr w:rsidR="00A91E61" w:rsidRPr="00D850CC" w14:paraId="67CBD9F4" w14:textId="77777777" w:rsidTr="00841D8C">
        <w:trPr>
          <w:trHeight w:val="397"/>
        </w:trPr>
        <w:tc>
          <w:tcPr>
            <w:tcW w:w="1604" w:type="pct"/>
            <w:noWrap/>
            <w:vAlign w:val="center"/>
            <w:hideMark/>
          </w:tcPr>
          <w:p w14:paraId="0FE04536" w14:textId="77777777" w:rsidR="00A91E61" w:rsidRPr="00724BBB" w:rsidRDefault="00A91E61">
            <w:pPr>
              <w:spacing w:line="276" w:lineRule="auto"/>
              <w:ind w:right="-330"/>
              <w:rPr>
                <w:color w:val="000000"/>
                <w:sz w:val="20"/>
                <w:szCs w:val="20"/>
              </w:rPr>
            </w:pPr>
            <w:r w:rsidRPr="00724BBB">
              <w:rPr>
                <w:color w:val="000000"/>
                <w:sz w:val="20"/>
                <w:szCs w:val="20"/>
              </w:rPr>
              <w:t xml:space="preserve">Total corrections system cost </w:t>
            </w:r>
          </w:p>
        </w:tc>
        <w:tc>
          <w:tcPr>
            <w:tcW w:w="681" w:type="pct"/>
            <w:noWrap/>
            <w:vAlign w:val="center"/>
            <w:hideMark/>
          </w:tcPr>
          <w:p w14:paraId="29CBE11D" w14:textId="77777777" w:rsidR="00A91E61" w:rsidRPr="00724BBB" w:rsidRDefault="00A91E61">
            <w:pPr>
              <w:spacing w:line="276" w:lineRule="auto"/>
              <w:ind w:right="-330"/>
              <w:rPr>
                <w:color w:val="000000"/>
                <w:sz w:val="20"/>
                <w:szCs w:val="20"/>
              </w:rPr>
            </w:pPr>
            <w:r w:rsidRPr="00724BBB">
              <w:rPr>
                <w:color w:val="000000"/>
                <w:sz w:val="20"/>
                <w:szCs w:val="20"/>
              </w:rPr>
              <w:t>c</w:t>
            </w:r>
          </w:p>
        </w:tc>
        <w:tc>
          <w:tcPr>
            <w:tcW w:w="651" w:type="pct"/>
            <w:noWrap/>
            <w:vAlign w:val="center"/>
            <w:hideMark/>
          </w:tcPr>
          <w:p w14:paraId="0D87EDBB" w14:textId="3677043C" w:rsidR="00A91E61" w:rsidRPr="00724BBB" w:rsidRDefault="00A91E61">
            <w:pPr>
              <w:spacing w:line="276" w:lineRule="auto"/>
              <w:ind w:right="32"/>
              <w:jc w:val="right"/>
              <w:rPr>
                <w:color w:val="000000"/>
                <w:sz w:val="20"/>
                <w:szCs w:val="20"/>
              </w:rPr>
            </w:pPr>
            <w:r w:rsidRPr="00724BBB">
              <w:rPr>
                <w:color w:val="000000"/>
                <w:sz w:val="20"/>
                <w:szCs w:val="20"/>
              </w:rPr>
              <w:t>$</w:t>
            </w:r>
            <w:r w:rsidR="00C04197" w:rsidRPr="00724BBB">
              <w:rPr>
                <w:color w:val="000000"/>
                <w:sz w:val="20"/>
                <w:szCs w:val="20"/>
              </w:rPr>
              <w:br/>
              <w:t>7,736,399</w:t>
            </w:r>
          </w:p>
        </w:tc>
        <w:tc>
          <w:tcPr>
            <w:tcW w:w="596" w:type="pct"/>
            <w:noWrap/>
            <w:vAlign w:val="center"/>
            <w:hideMark/>
          </w:tcPr>
          <w:p w14:paraId="32B7CA65" w14:textId="0EEA3409" w:rsidR="00A91E61" w:rsidRPr="00724BBB" w:rsidRDefault="00A91E61">
            <w:pPr>
              <w:spacing w:line="276" w:lineRule="auto"/>
              <w:ind w:right="32"/>
              <w:jc w:val="right"/>
              <w:rPr>
                <w:color w:val="000000"/>
                <w:sz w:val="20"/>
                <w:szCs w:val="20"/>
              </w:rPr>
            </w:pPr>
            <w:r w:rsidRPr="00724BBB">
              <w:rPr>
                <w:color w:val="000000"/>
                <w:sz w:val="20"/>
                <w:szCs w:val="20"/>
              </w:rPr>
              <w:t>$</w:t>
            </w:r>
            <w:r w:rsidR="00C04197" w:rsidRPr="00724BBB">
              <w:rPr>
                <w:color w:val="000000"/>
                <w:sz w:val="20"/>
                <w:szCs w:val="20"/>
              </w:rPr>
              <w:br/>
              <w:t>4,269,196</w:t>
            </w:r>
          </w:p>
        </w:tc>
        <w:tc>
          <w:tcPr>
            <w:tcW w:w="653" w:type="pct"/>
            <w:noWrap/>
            <w:vAlign w:val="center"/>
            <w:hideMark/>
          </w:tcPr>
          <w:p w14:paraId="4FDC45A7" w14:textId="49DB06A0" w:rsidR="00A91E61" w:rsidRPr="00724BBB" w:rsidRDefault="00A91E61">
            <w:pPr>
              <w:spacing w:line="276" w:lineRule="auto"/>
              <w:ind w:right="32"/>
              <w:jc w:val="right"/>
              <w:rPr>
                <w:color w:val="000000"/>
                <w:sz w:val="20"/>
                <w:szCs w:val="20"/>
              </w:rPr>
            </w:pPr>
            <w:r w:rsidRPr="00724BBB">
              <w:rPr>
                <w:color w:val="000000"/>
                <w:sz w:val="20"/>
                <w:szCs w:val="20"/>
              </w:rPr>
              <w:t>$</w:t>
            </w:r>
            <w:r w:rsidR="00C04197" w:rsidRPr="00724BBB">
              <w:rPr>
                <w:color w:val="000000"/>
                <w:sz w:val="20"/>
                <w:szCs w:val="20"/>
              </w:rPr>
              <w:br/>
              <w:t>8,352,206</w:t>
            </w:r>
          </w:p>
        </w:tc>
        <w:tc>
          <w:tcPr>
            <w:tcW w:w="815" w:type="pct"/>
            <w:noWrap/>
            <w:vAlign w:val="center"/>
            <w:hideMark/>
          </w:tcPr>
          <w:p w14:paraId="50690403" w14:textId="7299FB4B" w:rsidR="00A91E61" w:rsidRPr="00724BBB" w:rsidRDefault="00A91E61">
            <w:pPr>
              <w:spacing w:line="276" w:lineRule="auto"/>
              <w:ind w:right="32"/>
              <w:jc w:val="right"/>
              <w:rPr>
                <w:color w:val="000000"/>
                <w:sz w:val="20"/>
                <w:szCs w:val="20"/>
              </w:rPr>
            </w:pPr>
            <w:r w:rsidRPr="00724BBB">
              <w:rPr>
                <w:color w:val="000000"/>
                <w:sz w:val="20"/>
                <w:szCs w:val="20"/>
              </w:rPr>
              <w:t>$</w:t>
            </w:r>
            <w:r w:rsidR="00C04197" w:rsidRPr="00724BBB">
              <w:rPr>
                <w:color w:val="000000"/>
                <w:sz w:val="20"/>
                <w:szCs w:val="20"/>
              </w:rPr>
              <w:br/>
              <w:t>22,357101</w:t>
            </w:r>
          </w:p>
        </w:tc>
      </w:tr>
      <w:tr w:rsidR="00A91E61" w:rsidRPr="00D850CC" w14:paraId="41A40F3F" w14:textId="77777777" w:rsidTr="00841D8C">
        <w:trPr>
          <w:trHeight w:val="397"/>
        </w:trPr>
        <w:tc>
          <w:tcPr>
            <w:tcW w:w="1604" w:type="pct"/>
            <w:shd w:val="clear" w:color="auto" w:fill="F2F2F2" w:themeFill="background1" w:themeFillShade="F2"/>
            <w:vAlign w:val="center"/>
            <w:hideMark/>
          </w:tcPr>
          <w:p w14:paraId="127550F1" w14:textId="77777777" w:rsidR="00A91E61" w:rsidRPr="00724BBB" w:rsidRDefault="00A91E61">
            <w:pPr>
              <w:spacing w:line="276" w:lineRule="auto"/>
              <w:ind w:right="9"/>
              <w:rPr>
                <w:b/>
                <w:bCs/>
                <w:color w:val="000000"/>
                <w:sz w:val="20"/>
                <w:szCs w:val="20"/>
              </w:rPr>
            </w:pPr>
            <w:r w:rsidRPr="00724BBB">
              <w:rPr>
                <w:b/>
                <w:bCs/>
                <w:color w:val="000000"/>
                <w:sz w:val="20"/>
                <w:szCs w:val="20"/>
              </w:rPr>
              <w:t>Total cost to the New Zealand justice system (police, courts, and corrections)</w:t>
            </w:r>
          </w:p>
        </w:tc>
        <w:tc>
          <w:tcPr>
            <w:tcW w:w="681" w:type="pct"/>
            <w:shd w:val="clear" w:color="auto" w:fill="F2F2F2" w:themeFill="background1" w:themeFillShade="F2"/>
            <w:noWrap/>
            <w:vAlign w:val="center"/>
            <w:hideMark/>
          </w:tcPr>
          <w:p w14:paraId="39AEE539" w14:textId="77777777" w:rsidR="00A91E61" w:rsidRPr="00724BBB" w:rsidRDefault="00A91E61">
            <w:pPr>
              <w:spacing w:line="276" w:lineRule="auto"/>
              <w:ind w:right="-330"/>
              <w:rPr>
                <w:b/>
                <w:bCs/>
                <w:color w:val="000000"/>
                <w:sz w:val="20"/>
                <w:szCs w:val="20"/>
              </w:rPr>
            </w:pPr>
            <w:r w:rsidRPr="00724BBB">
              <w:rPr>
                <w:b/>
                <w:bCs/>
                <w:color w:val="000000"/>
                <w:sz w:val="20"/>
                <w:szCs w:val="20"/>
              </w:rPr>
              <w:t>d = a + b + c</w:t>
            </w:r>
          </w:p>
        </w:tc>
        <w:tc>
          <w:tcPr>
            <w:tcW w:w="651" w:type="pct"/>
            <w:shd w:val="clear" w:color="auto" w:fill="F2F2F2" w:themeFill="background1" w:themeFillShade="F2"/>
            <w:noWrap/>
            <w:vAlign w:val="center"/>
            <w:hideMark/>
          </w:tcPr>
          <w:p w14:paraId="059C93FA" w14:textId="184A5DEA" w:rsidR="00A91E61" w:rsidRPr="00724BBB" w:rsidRDefault="00A91E61">
            <w:pPr>
              <w:spacing w:line="276" w:lineRule="auto"/>
              <w:ind w:right="32"/>
              <w:jc w:val="right"/>
              <w:rPr>
                <w:b/>
                <w:bCs/>
                <w:color w:val="000000"/>
                <w:sz w:val="20"/>
                <w:szCs w:val="20"/>
              </w:rPr>
            </w:pPr>
            <w:r w:rsidRPr="00724BBB">
              <w:rPr>
                <w:b/>
                <w:bCs/>
                <w:color w:val="000000"/>
                <w:sz w:val="20"/>
                <w:szCs w:val="20"/>
              </w:rPr>
              <w:t>$</w:t>
            </w:r>
            <w:r w:rsidR="00C04197" w:rsidRPr="00724BBB">
              <w:rPr>
                <w:b/>
                <w:bCs/>
                <w:color w:val="000000"/>
                <w:sz w:val="20"/>
                <w:szCs w:val="20"/>
              </w:rPr>
              <w:br/>
              <w:t>9,024,747</w:t>
            </w:r>
          </w:p>
        </w:tc>
        <w:tc>
          <w:tcPr>
            <w:tcW w:w="596" w:type="pct"/>
            <w:shd w:val="clear" w:color="auto" w:fill="F2F2F2" w:themeFill="background1" w:themeFillShade="F2"/>
            <w:noWrap/>
            <w:vAlign w:val="center"/>
            <w:hideMark/>
          </w:tcPr>
          <w:p w14:paraId="62E5903F" w14:textId="7801A29C" w:rsidR="00A91E61" w:rsidRPr="00724BBB" w:rsidRDefault="00A91E61">
            <w:pPr>
              <w:spacing w:line="276" w:lineRule="auto"/>
              <w:ind w:right="32"/>
              <w:jc w:val="right"/>
              <w:rPr>
                <w:b/>
                <w:bCs/>
                <w:color w:val="000000"/>
                <w:sz w:val="20"/>
                <w:szCs w:val="20"/>
              </w:rPr>
            </w:pPr>
            <w:r w:rsidRPr="00724BBB">
              <w:rPr>
                <w:b/>
                <w:bCs/>
                <w:color w:val="000000"/>
                <w:sz w:val="20"/>
                <w:szCs w:val="20"/>
              </w:rPr>
              <w:t>$</w:t>
            </w:r>
            <w:r w:rsidR="00C04197" w:rsidRPr="00724BBB">
              <w:rPr>
                <w:b/>
                <w:bCs/>
                <w:color w:val="000000"/>
                <w:sz w:val="20"/>
                <w:szCs w:val="20"/>
              </w:rPr>
              <w:br/>
              <w:t>4,980,148</w:t>
            </w:r>
          </w:p>
        </w:tc>
        <w:tc>
          <w:tcPr>
            <w:tcW w:w="653" w:type="pct"/>
            <w:shd w:val="clear" w:color="auto" w:fill="F2F2F2" w:themeFill="background1" w:themeFillShade="F2"/>
            <w:noWrap/>
            <w:vAlign w:val="center"/>
            <w:hideMark/>
          </w:tcPr>
          <w:p w14:paraId="1BDBA418" w14:textId="71C83B3F" w:rsidR="00A91E61" w:rsidRPr="00724BBB" w:rsidRDefault="00A91E61">
            <w:pPr>
              <w:spacing w:line="276" w:lineRule="auto"/>
              <w:ind w:right="32"/>
              <w:jc w:val="right"/>
              <w:rPr>
                <w:b/>
                <w:bCs/>
                <w:color w:val="000000"/>
                <w:sz w:val="20"/>
                <w:szCs w:val="20"/>
              </w:rPr>
            </w:pPr>
            <w:r w:rsidRPr="00724BBB">
              <w:rPr>
                <w:b/>
                <w:bCs/>
                <w:color w:val="000000"/>
                <w:sz w:val="20"/>
                <w:szCs w:val="20"/>
              </w:rPr>
              <w:t>$</w:t>
            </w:r>
            <w:r w:rsidR="00C04197" w:rsidRPr="00724BBB">
              <w:rPr>
                <w:b/>
                <w:bCs/>
                <w:color w:val="000000"/>
                <w:sz w:val="20"/>
                <w:szCs w:val="20"/>
              </w:rPr>
              <w:br/>
              <w:t>8,352,206</w:t>
            </w:r>
          </w:p>
        </w:tc>
        <w:tc>
          <w:tcPr>
            <w:tcW w:w="815" w:type="pct"/>
            <w:shd w:val="clear" w:color="auto" w:fill="F2F2F2" w:themeFill="background1" w:themeFillShade="F2"/>
            <w:noWrap/>
            <w:vAlign w:val="center"/>
            <w:hideMark/>
          </w:tcPr>
          <w:p w14:paraId="5432F313" w14:textId="2995D467" w:rsidR="00A91E61" w:rsidRPr="00724BBB" w:rsidRDefault="00A91E61">
            <w:pPr>
              <w:spacing w:line="276" w:lineRule="auto"/>
              <w:ind w:right="32"/>
              <w:jc w:val="right"/>
              <w:rPr>
                <w:b/>
                <w:bCs/>
                <w:color w:val="000000"/>
                <w:sz w:val="20"/>
                <w:szCs w:val="20"/>
              </w:rPr>
            </w:pPr>
            <w:r w:rsidRPr="00724BBB">
              <w:rPr>
                <w:b/>
                <w:bCs/>
                <w:color w:val="000000"/>
                <w:sz w:val="20"/>
                <w:szCs w:val="20"/>
              </w:rPr>
              <w:t>$</w:t>
            </w:r>
            <w:r w:rsidR="00C04197" w:rsidRPr="00724BBB">
              <w:rPr>
                <w:b/>
                <w:bCs/>
                <w:color w:val="000000"/>
                <w:sz w:val="20"/>
                <w:szCs w:val="20"/>
              </w:rPr>
              <w:br/>
              <w:t>22,357,101</w:t>
            </w:r>
          </w:p>
        </w:tc>
      </w:tr>
      <w:tr w:rsidR="00A91E61" w:rsidRPr="00D850CC" w14:paraId="2BA57682" w14:textId="77777777" w:rsidTr="00841D8C">
        <w:trPr>
          <w:trHeight w:val="397"/>
        </w:trPr>
        <w:tc>
          <w:tcPr>
            <w:tcW w:w="4185" w:type="pct"/>
            <w:gridSpan w:val="5"/>
            <w:vAlign w:val="center"/>
            <w:hideMark/>
          </w:tcPr>
          <w:p w14:paraId="4DE9BA94" w14:textId="77777777" w:rsidR="00A91E61" w:rsidRPr="00724BBB" w:rsidRDefault="00A91E61">
            <w:pPr>
              <w:spacing w:line="276" w:lineRule="auto"/>
              <w:ind w:right="32"/>
              <w:rPr>
                <w:color w:val="000000"/>
                <w:sz w:val="20"/>
                <w:szCs w:val="20"/>
              </w:rPr>
            </w:pPr>
            <w:r w:rsidRPr="00724BBB">
              <w:rPr>
                <w:color w:val="000000"/>
                <w:sz w:val="20"/>
                <w:szCs w:val="20"/>
              </w:rPr>
              <w:t>Lower bound</w:t>
            </w:r>
          </w:p>
        </w:tc>
        <w:tc>
          <w:tcPr>
            <w:tcW w:w="815" w:type="pct"/>
            <w:vAlign w:val="center"/>
            <w:hideMark/>
          </w:tcPr>
          <w:p w14:paraId="1AA79FAD" w14:textId="74023846" w:rsidR="00A91E61" w:rsidRPr="00724BBB" w:rsidRDefault="00A91E61">
            <w:pPr>
              <w:spacing w:line="276" w:lineRule="auto"/>
              <w:ind w:right="32"/>
              <w:jc w:val="right"/>
              <w:rPr>
                <w:color w:val="000000"/>
                <w:sz w:val="20"/>
                <w:szCs w:val="20"/>
              </w:rPr>
            </w:pPr>
            <w:r w:rsidRPr="00724BBB">
              <w:rPr>
                <w:color w:val="000000"/>
                <w:sz w:val="20"/>
                <w:szCs w:val="20"/>
              </w:rPr>
              <w:t>$</w:t>
            </w:r>
            <w:r w:rsidR="00C04197" w:rsidRPr="00724BBB">
              <w:rPr>
                <w:color w:val="000000"/>
                <w:sz w:val="20"/>
                <w:szCs w:val="20"/>
              </w:rPr>
              <w:br/>
              <w:t>22,357,101</w:t>
            </w:r>
          </w:p>
        </w:tc>
      </w:tr>
      <w:tr w:rsidR="00A91E61" w:rsidRPr="00D850CC" w14:paraId="73BA3820" w14:textId="77777777" w:rsidTr="00841D8C">
        <w:trPr>
          <w:trHeight w:val="397"/>
        </w:trPr>
        <w:tc>
          <w:tcPr>
            <w:tcW w:w="4185" w:type="pct"/>
            <w:gridSpan w:val="5"/>
            <w:vAlign w:val="center"/>
            <w:hideMark/>
          </w:tcPr>
          <w:p w14:paraId="05C017B8" w14:textId="77777777" w:rsidR="00A91E61" w:rsidRPr="00724BBB" w:rsidRDefault="00A91E61">
            <w:pPr>
              <w:spacing w:line="276" w:lineRule="auto"/>
              <w:ind w:right="32"/>
              <w:rPr>
                <w:color w:val="000000"/>
                <w:sz w:val="20"/>
                <w:szCs w:val="20"/>
              </w:rPr>
            </w:pPr>
            <w:r w:rsidRPr="00724BBB">
              <w:rPr>
                <w:color w:val="000000"/>
                <w:sz w:val="20"/>
                <w:szCs w:val="20"/>
              </w:rPr>
              <w:t>Upper bound</w:t>
            </w:r>
          </w:p>
        </w:tc>
        <w:tc>
          <w:tcPr>
            <w:tcW w:w="815" w:type="pct"/>
            <w:vAlign w:val="center"/>
            <w:hideMark/>
          </w:tcPr>
          <w:p w14:paraId="355AB40D" w14:textId="1435D2DD" w:rsidR="00A91E61" w:rsidRPr="00724BBB" w:rsidRDefault="00A91E61">
            <w:pPr>
              <w:spacing w:line="276" w:lineRule="auto"/>
              <w:ind w:right="32"/>
              <w:jc w:val="right"/>
              <w:rPr>
                <w:color w:val="000000"/>
                <w:sz w:val="20"/>
                <w:szCs w:val="20"/>
              </w:rPr>
            </w:pPr>
            <w:r w:rsidRPr="00724BBB">
              <w:rPr>
                <w:color w:val="000000"/>
                <w:sz w:val="20"/>
                <w:szCs w:val="20"/>
              </w:rPr>
              <w:t>$</w:t>
            </w:r>
            <w:r w:rsidR="00C04197" w:rsidRPr="00724BBB">
              <w:rPr>
                <w:color w:val="000000"/>
                <w:sz w:val="20"/>
                <w:szCs w:val="20"/>
              </w:rPr>
              <w:br/>
              <w:t>31,310,190</w:t>
            </w:r>
          </w:p>
        </w:tc>
      </w:tr>
      <w:tr w:rsidR="00A91E61" w:rsidRPr="00D850CC" w14:paraId="3616C4F8" w14:textId="77777777">
        <w:trPr>
          <w:trHeight w:val="397"/>
        </w:trPr>
        <w:tc>
          <w:tcPr>
            <w:tcW w:w="5000" w:type="pct"/>
            <w:gridSpan w:val="6"/>
            <w:vAlign w:val="center"/>
            <w:hideMark/>
          </w:tcPr>
          <w:p w14:paraId="4A0828EC" w14:textId="77777777" w:rsidR="00A91E61" w:rsidRPr="00724BBB" w:rsidRDefault="00A91E61">
            <w:pPr>
              <w:spacing w:line="276" w:lineRule="auto"/>
              <w:ind w:right="5"/>
              <w:rPr>
                <w:i/>
                <w:iCs/>
                <w:color w:val="242424"/>
                <w:sz w:val="20"/>
                <w:szCs w:val="20"/>
              </w:rPr>
            </w:pPr>
            <w:r w:rsidRPr="00724BBB">
              <w:rPr>
                <w:i/>
                <w:iCs/>
                <w:color w:val="242424"/>
                <w:sz w:val="20"/>
                <w:szCs w:val="20"/>
              </w:rPr>
              <w:t xml:space="preserve">Note: </w:t>
            </w:r>
            <w:r w:rsidRPr="00724BBB">
              <w:rPr>
                <w:i/>
                <w:iCs/>
                <w:sz w:val="20"/>
                <w:szCs w:val="20"/>
              </w:rPr>
              <w:t xml:space="preserve">LR (low-risk gambling), MR (moderate-risk gambling), and problem gambling. </w:t>
            </w:r>
            <w:r w:rsidRPr="00724BBB">
              <w:rPr>
                <w:i/>
                <w:iCs/>
                <w:color w:val="242424"/>
                <w:sz w:val="20"/>
                <w:szCs w:val="20"/>
              </w:rPr>
              <w:t>Totals may not match exactly due to rounding. Calculations are based on the original unrounded figures to ensure accuracy. Estimates assume that 80% of identified gambling-related offending can reasonably be attributed to gambling, and follow the typical progression through police, court, and corrections systems based on national averages for reporting, prosecution, and sentencing.</w:t>
            </w:r>
          </w:p>
        </w:tc>
      </w:tr>
    </w:tbl>
    <w:p w14:paraId="228F32C4" w14:textId="77777777" w:rsidR="00A91E61" w:rsidRDefault="00A91E61" w:rsidP="00A91E61">
      <w:pPr>
        <w:spacing w:line="276" w:lineRule="auto"/>
        <w:ind w:right="-330"/>
        <w:rPr>
          <w:b/>
          <w:sz w:val="18"/>
          <w:szCs w:val="18"/>
        </w:rPr>
      </w:pPr>
    </w:p>
    <w:p w14:paraId="300C1D61" w14:textId="77777777" w:rsidR="00DB689D" w:rsidRDefault="00DB689D" w:rsidP="00367A8D">
      <w:pPr>
        <w:spacing w:before="120" w:after="120" w:line="360" w:lineRule="auto"/>
        <w:ind w:right="280"/>
      </w:pPr>
    </w:p>
    <w:p w14:paraId="4F6FFB5A" w14:textId="0F82103F" w:rsidR="00DB689D" w:rsidRDefault="00310A10" w:rsidP="00367A8D">
      <w:pPr>
        <w:pStyle w:val="Heading4"/>
        <w:keepNext w:val="0"/>
        <w:keepLines w:val="0"/>
        <w:spacing w:line="360" w:lineRule="auto"/>
      </w:pPr>
      <w:bookmarkStart w:id="491" w:name="_picyahu0yoie" w:colFirst="0" w:colLast="0"/>
      <w:bookmarkEnd w:id="491"/>
      <w:r>
        <w:t xml:space="preserve">Crime to business/community </w:t>
      </w:r>
    </w:p>
    <w:p w14:paraId="160A7F8B" w14:textId="77777777" w:rsidR="00DB689D" w:rsidRDefault="00310A10" w:rsidP="00367A8D">
      <w:pPr>
        <w:spacing w:before="120" w:after="240" w:line="360" w:lineRule="auto"/>
      </w:pPr>
      <w:r>
        <w:t xml:space="preserve">The costs to New Zealand’s business and community due to gambling-related crime was calculated for two areas:  </w:t>
      </w:r>
    </w:p>
    <w:p w14:paraId="2BCBB4CA" w14:textId="77777777" w:rsidR="00DB689D" w:rsidRDefault="00310A10" w:rsidP="00367A8D">
      <w:pPr>
        <w:numPr>
          <w:ilvl w:val="0"/>
          <w:numId w:val="31"/>
        </w:numPr>
        <w:spacing w:line="360" w:lineRule="auto"/>
      </w:pPr>
      <w:r>
        <w:t>Petty theft or dishonesty</w:t>
      </w:r>
    </w:p>
    <w:p w14:paraId="40E37330" w14:textId="77777777" w:rsidR="00DB689D" w:rsidRDefault="00310A10" w:rsidP="00367A8D">
      <w:pPr>
        <w:numPr>
          <w:ilvl w:val="0"/>
          <w:numId w:val="31"/>
        </w:numPr>
        <w:spacing w:line="360" w:lineRule="auto"/>
      </w:pPr>
      <w:r>
        <w:t>Major fraud</w:t>
      </w:r>
    </w:p>
    <w:p w14:paraId="70C6CF0D" w14:textId="77777777" w:rsidR="00DB689D" w:rsidRDefault="00310A10" w:rsidP="00367A8D">
      <w:pPr>
        <w:pStyle w:val="Heading5"/>
        <w:spacing w:line="360" w:lineRule="auto"/>
      </w:pPr>
      <w:bookmarkStart w:id="492" w:name="_akanhgs1wamg" w:colFirst="0" w:colLast="0"/>
      <w:bookmarkEnd w:id="492"/>
      <w:r>
        <w:t>Petty theft or dishonesty</w:t>
      </w:r>
    </w:p>
    <w:p w14:paraId="16022507" w14:textId="77777777" w:rsidR="00DB689D" w:rsidRDefault="00310A10" w:rsidP="00367A8D">
      <w:pPr>
        <w:spacing w:after="240" w:line="360" w:lineRule="auto"/>
      </w:pPr>
      <w:r>
        <w:t xml:space="preserve">Petty theft and dishonesty linked to gambling often involves low-value crimes such as stealing from employers, small businesses, or community organisations to fund gambling or repay debts. In this study, only the estimated cost to business was included, primarily due to the absence of reliable data. This means theft from friends, family, or within households, while likely common and often highly distressing, is not captured in the cost estimates. </w:t>
      </w:r>
    </w:p>
    <w:p w14:paraId="6B534865" w14:textId="77777777" w:rsidR="00DB689D" w:rsidRDefault="00310A10" w:rsidP="00367A8D">
      <w:pPr>
        <w:pStyle w:val="Heading5"/>
        <w:spacing w:line="360" w:lineRule="auto"/>
      </w:pPr>
      <w:bookmarkStart w:id="493" w:name="_8dgc8bag3y96" w:colFirst="0" w:colLast="0"/>
      <w:bookmarkEnd w:id="493"/>
      <w:r>
        <w:t>Major fraud</w:t>
      </w:r>
    </w:p>
    <w:p w14:paraId="750D3623" w14:textId="2AB79CE1" w:rsidR="00DB689D" w:rsidRDefault="00310A10" w:rsidP="00367A8D">
      <w:pPr>
        <w:spacing w:line="360" w:lineRule="auto"/>
      </w:pPr>
      <w:r>
        <w:t xml:space="preserve">Gambling is a common motivator in the commission of financial crime </w:t>
      </w:r>
      <w:r w:rsidR="0038398B">
        <w:rPr>
          <w:noProof/>
          <w:color w:val="000000"/>
        </w:rPr>
        <w:t>(Australian Institute of Criminology &amp; PricewaterhouseCoopers, 2003)</w:t>
      </w:r>
      <w:r>
        <w:t xml:space="preserve">. Several studies have examined this in relation to major fraud. One report examined major fraud in Australia and New Zealand from 2000 to 2002 </w:t>
      </w:r>
      <w:r w:rsidR="00DB2449">
        <w:rPr>
          <w:noProof/>
          <w:color w:val="000000"/>
        </w:rPr>
        <w:t>(Australian Institute of Criminology &amp; PricewaterhouseCoopers, 2003)</w:t>
      </w:r>
      <w:r>
        <w:t xml:space="preserve">. In total, across both jurisdictions, $260.5 million dollars was lost, from 155 cases. The total amount lost in New Zealand significantly exceeded that of both New South Wales and Victoria (coming 2nd and 3rd). The majority of victims were businesses (79.8%), with the rest individuals. In New Zealand, there were 45 people accused, 33 convicted, and 30 receiving custodial sentences, with the mean amount involved per case A$2,973,352. Of all those convicted, 23% were motivated by gambling, 35% spent the money on gambling, and 10.4% used gambling addiction as a mitigating factor at sentencing. The mean length of sentence was 25 months. </w:t>
      </w:r>
    </w:p>
    <w:p w14:paraId="16E2C8B0" w14:textId="77777777" w:rsidR="00DB689D" w:rsidRDefault="00DB689D" w:rsidP="00367A8D">
      <w:pPr>
        <w:spacing w:line="360" w:lineRule="auto"/>
      </w:pPr>
    </w:p>
    <w:p w14:paraId="1539D80A" w14:textId="5F7C18DC" w:rsidR="00DB689D" w:rsidRDefault="00310A10" w:rsidP="00367A8D">
      <w:pPr>
        <w:spacing w:line="360" w:lineRule="auto"/>
      </w:pPr>
      <w:r>
        <w:rPr>
          <w:i/>
        </w:rPr>
        <w:t>The Gambling Motivated fraud in Australia</w:t>
      </w:r>
      <w:r>
        <w:t xml:space="preserve"> report systematically identified all cases of gambling-related fraud in Australia from January 2011 to June 2016 </w:t>
      </w:r>
      <w:r w:rsidR="0038398B">
        <w:rPr>
          <w:noProof/>
          <w:color w:val="000000"/>
        </w:rPr>
        <w:t>(Warfield &amp; Associates, 2016)</w:t>
      </w:r>
      <w:r>
        <w:t xml:space="preserve">. Over this time there were 265 frauds accounting for a total loss exceeding A$104 million. This equates to around 48 major gambling-related frauds per year. </w:t>
      </w:r>
    </w:p>
    <w:p w14:paraId="6721B1C6" w14:textId="77777777" w:rsidR="00DB689D" w:rsidRDefault="00310A10" w:rsidP="00367A8D">
      <w:pPr>
        <w:spacing w:before="240" w:after="240" w:line="360" w:lineRule="auto"/>
      </w:pPr>
      <w:r>
        <w:t>As no equivalent dataset exists for New Zealand, this study applied a population-adjusted and gambling prevalence-weighted method to estimate the likely number of comparable cases. The Australian average of 48 annual cases was first adjusted to New Zealand’s population in 2016 (4.7 million vs. Australia’s 24.2 million), resulting in an estimate of 9.4 cases per year. This figure was then scaled by the relative burden of gambling harm in New Zealand compared to Australia, calculated using weighted proportions across PGSI categories (low-risk, moderate-risk, and problem gambling). This resulted in an estimated 6.6 major gambling-related fraud cases in New Zealand. The average loss per case, converted to New Zealand dollars and adjusted for inflation, was estimated at $546,348.</w:t>
      </w:r>
    </w:p>
    <w:p w14:paraId="12ADF756" w14:textId="77777777" w:rsidR="00DB689D" w:rsidRDefault="00310A10" w:rsidP="00367A8D">
      <w:pPr>
        <w:spacing w:line="360" w:lineRule="auto"/>
      </w:pPr>
      <w:r>
        <w:t>While no formal review has been conducted in New Zealand, some cases have been reported in the media. For example:</w:t>
      </w:r>
    </w:p>
    <w:p w14:paraId="36F66221" w14:textId="77777777" w:rsidR="00DB689D" w:rsidRDefault="00DB689D" w:rsidP="00367A8D">
      <w:pPr>
        <w:spacing w:line="360" w:lineRule="auto"/>
      </w:pPr>
    </w:p>
    <w:p w14:paraId="251F5532" w14:textId="509FF62A" w:rsidR="00DB689D" w:rsidRDefault="00310A10" w:rsidP="00367A8D">
      <w:pPr>
        <w:numPr>
          <w:ilvl w:val="0"/>
          <w:numId w:val="10"/>
        </w:numPr>
        <w:spacing w:line="360" w:lineRule="auto"/>
      </w:pPr>
      <w:r>
        <w:t xml:space="preserve">A </w:t>
      </w:r>
      <w:r w:rsidR="004D5F67">
        <w:t>41-year-old</w:t>
      </w:r>
      <w:r>
        <w:t xml:space="preserve"> woman reportedly stole $1,063,675 from her employer (a charity trust), some of which was directly used for online gambling services </w:t>
      </w:r>
      <w:r w:rsidR="0038398B">
        <w:rPr>
          <w:noProof/>
          <w:color w:val="000000"/>
        </w:rPr>
        <w:t>(Hutton, 2025)</w:t>
      </w:r>
    </w:p>
    <w:p w14:paraId="3E142466" w14:textId="3BB5C55B" w:rsidR="00DB689D" w:rsidRDefault="00310A10" w:rsidP="00367A8D">
      <w:pPr>
        <w:numPr>
          <w:ilvl w:val="0"/>
          <w:numId w:val="10"/>
        </w:numPr>
        <w:spacing w:line="360" w:lineRule="auto"/>
      </w:pPr>
      <w:r>
        <w:t xml:space="preserve">A </w:t>
      </w:r>
      <w:r w:rsidR="004D5F67">
        <w:t>37-year-old</w:t>
      </w:r>
      <w:r>
        <w:t xml:space="preserve"> woman reportedly stole $517,780 from her employer (a petroleum company), which was used to support her gambling addiction </w:t>
      </w:r>
      <w:r w:rsidR="00DB2449">
        <w:rPr>
          <w:noProof/>
          <w:color w:val="000000"/>
        </w:rPr>
        <w:t>(Stevens, 2024)</w:t>
      </w:r>
    </w:p>
    <w:p w14:paraId="25C5309A" w14:textId="6E00A906" w:rsidR="00DB689D" w:rsidRDefault="00310A10" w:rsidP="00367A8D">
      <w:pPr>
        <w:numPr>
          <w:ilvl w:val="0"/>
          <w:numId w:val="10"/>
        </w:numPr>
        <w:spacing w:line="360" w:lineRule="auto"/>
      </w:pPr>
      <w:r>
        <w:t xml:space="preserve">A </w:t>
      </w:r>
      <w:r w:rsidR="004D5F67">
        <w:t>25-year-old</w:t>
      </w:r>
      <w:r>
        <w:t xml:space="preserve"> man reportedly stole $262,000 from his employer (a bank), which was used to support his gambling addiction </w:t>
      </w:r>
      <w:r w:rsidR="0038398B">
        <w:rPr>
          <w:noProof/>
          <w:color w:val="000000"/>
        </w:rPr>
        <w:t>(Kapitan, 2024)</w:t>
      </w:r>
    </w:p>
    <w:p w14:paraId="18E64BBB" w14:textId="6D123456" w:rsidR="00DB689D" w:rsidRDefault="00310A10" w:rsidP="00367A8D">
      <w:pPr>
        <w:numPr>
          <w:ilvl w:val="0"/>
          <w:numId w:val="10"/>
        </w:numPr>
        <w:spacing w:line="360" w:lineRule="auto"/>
      </w:pPr>
      <w:r>
        <w:t xml:space="preserve">A </w:t>
      </w:r>
      <w:r w:rsidR="004D5F67">
        <w:t>28-year-old</w:t>
      </w:r>
      <w:r>
        <w:t xml:space="preserve"> woman reportedly stole $28,286 from her employer (a bank), which was used to support her gambling addiction </w:t>
      </w:r>
      <w:r w:rsidR="0038398B">
        <w:rPr>
          <w:noProof/>
          <w:color w:val="000000"/>
        </w:rPr>
        <w:t>(Shaskey, 2024)</w:t>
      </w:r>
    </w:p>
    <w:p w14:paraId="55F3F8DC" w14:textId="77777777" w:rsidR="00DB689D" w:rsidRDefault="00DB689D" w:rsidP="00367A8D">
      <w:pPr>
        <w:spacing w:line="360" w:lineRule="auto"/>
      </w:pPr>
    </w:p>
    <w:p w14:paraId="0B9EE50B" w14:textId="272EBCE5" w:rsidR="00DB689D" w:rsidRDefault="00310A10" w:rsidP="00367A8D">
      <w:pPr>
        <w:spacing w:line="360" w:lineRule="auto"/>
      </w:pPr>
      <w:r>
        <w:t xml:space="preserve">Other frauds, such as those from friends, may not be reported to the police. For example, another article describes a person posing as </w:t>
      </w:r>
      <w:r w:rsidR="004D5F67">
        <w:t>a</w:t>
      </w:r>
      <w:r>
        <w:t xml:space="preserve"> 'broker' taking $60,000 from friends to invest on their behalf. He later admitted to 'blowing the lot on sports betting' </w:t>
      </w:r>
      <w:r w:rsidR="0038398B">
        <w:rPr>
          <w:noProof/>
          <w:color w:val="000000"/>
        </w:rPr>
        <w:t>(Nichols, 2023)</w:t>
      </w:r>
      <w:r>
        <w:t>.</w:t>
      </w:r>
    </w:p>
    <w:p w14:paraId="69C597A8" w14:textId="77777777" w:rsidR="00DB689D" w:rsidRDefault="00DB689D" w:rsidP="00367A8D">
      <w:pPr>
        <w:spacing w:line="360" w:lineRule="auto"/>
      </w:pPr>
    </w:p>
    <w:p w14:paraId="36D967A3" w14:textId="18B02F24" w:rsidR="00DB689D" w:rsidRDefault="00310A10" w:rsidP="00CB5C8B">
      <w:pPr>
        <w:spacing w:line="360" w:lineRule="auto"/>
      </w:pPr>
      <w:r>
        <w:t xml:space="preserve">One article highlights the broader impacts of these types of crimes, describing the impacts on workmates: 'The trusted manager’s deceit and betrayal left her workmates with 'significant personal trauma' </w:t>
      </w:r>
      <w:r w:rsidR="00DB2449">
        <w:rPr>
          <w:noProof/>
          <w:color w:val="000000"/>
        </w:rPr>
        <w:t>(Stevens, 2024)</w:t>
      </w:r>
      <w:r>
        <w:t xml:space="preserve">. </w:t>
      </w:r>
      <w:r w:rsidR="00CB5C8B">
        <w:t>Unfortunately,</w:t>
      </w:r>
      <w:r>
        <w:t xml:space="preserve"> these impacts are difficult to quantify and are not included in this costing.</w:t>
      </w:r>
    </w:p>
    <w:p w14:paraId="44E89438" w14:textId="77777777" w:rsidR="00306B00" w:rsidRDefault="00306B00" w:rsidP="00CB5C8B">
      <w:pPr>
        <w:spacing w:line="360" w:lineRule="auto"/>
      </w:pPr>
    </w:p>
    <w:p w14:paraId="565DE58B" w14:textId="77777777" w:rsidR="00306B00" w:rsidRDefault="00306B00" w:rsidP="00CB5C8B">
      <w:pPr>
        <w:spacing w:line="360" w:lineRule="auto"/>
      </w:pPr>
    </w:p>
    <w:p w14:paraId="76FBA97C" w14:textId="77777777" w:rsidR="00306B00" w:rsidRDefault="00306B00" w:rsidP="00CB5C8B">
      <w:pPr>
        <w:spacing w:line="360" w:lineRule="auto"/>
      </w:pPr>
    </w:p>
    <w:p w14:paraId="70BD2104" w14:textId="77777777" w:rsidR="00306B00" w:rsidRDefault="00306B00" w:rsidP="00CB5C8B">
      <w:pPr>
        <w:spacing w:line="360" w:lineRule="auto"/>
      </w:pPr>
    </w:p>
    <w:p w14:paraId="43A2C13B" w14:textId="77777777" w:rsidR="00CB5C8B" w:rsidRPr="00CB5C8B" w:rsidRDefault="00CB5C8B" w:rsidP="00CB5C8B">
      <w:pPr>
        <w:spacing w:line="360" w:lineRule="auto"/>
      </w:pPr>
    </w:p>
    <w:tbl>
      <w:tblPr>
        <w:tblStyle w:val="af7"/>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B689D" w14:paraId="4777810F" w14:textId="77777777">
        <w:tc>
          <w:tcPr>
            <w:tcW w:w="9026" w:type="dxa"/>
            <w:shd w:val="clear" w:color="auto" w:fill="F3F3F3"/>
            <w:tcMar>
              <w:top w:w="100" w:type="dxa"/>
              <w:left w:w="100" w:type="dxa"/>
              <w:bottom w:w="100" w:type="dxa"/>
              <w:right w:w="100" w:type="dxa"/>
            </w:tcMar>
          </w:tcPr>
          <w:p w14:paraId="4D699BA6" w14:textId="77777777" w:rsidR="00DB689D" w:rsidRDefault="00310A10" w:rsidP="00843927">
            <w:pPr>
              <w:spacing w:before="120" w:after="240" w:line="276" w:lineRule="auto"/>
            </w:pPr>
            <w:r>
              <w:t xml:space="preserve">The economic impact of gambling-related crime to the New Zealand business and community was calculated using: </w:t>
            </w:r>
          </w:p>
          <w:p w14:paraId="67851B6D" w14:textId="77777777" w:rsidR="00DB689D" w:rsidRDefault="00310A10" w:rsidP="00843927">
            <w:pPr>
              <w:spacing w:before="120" w:after="120" w:line="276" w:lineRule="auto"/>
              <w:ind w:right="280"/>
              <w:rPr>
                <w:b/>
              </w:rPr>
            </w:pPr>
            <w:r>
              <w:rPr>
                <w:b/>
              </w:rPr>
              <w:t>Petty theft and dishonesty</w:t>
            </w:r>
          </w:p>
          <w:p w14:paraId="787A028E" w14:textId="77777777" w:rsidR="00DB689D" w:rsidRDefault="00310A10" w:rsidP="00843927">
            <w:pPr>
              <w:spacing w:before="120" w:after="120" w:line="276" w:lineRule="auto"/>
              <w:ind w:right="280"/>
            </w:pPr>
            <w:r>
              <w:rPr>
                <w:i/>
              </w:rPr>
              <w:t>Prevalence</w:t>
            </w:r>
            <w:r>
              <w:t xml:space="preserve"> </w:t>
            </w:r>
          </w:p>
          <w:p w14:paraId="7BC0F93E" w14:textId="160B0797" w:rsidR="00DB689D" w:rsidRDefault="00310A10" w:rsidP="00843927">
            <w:pPr>
              <w:numPr>
                <w:ilvl w:val="0"/>
                <w:numId w:val="42"/>
              </w:numPr>
              <w:spacing w:before="120" w:line="276" w:lineRule="auto"/>
              <w:ind w:right="280"/>
            </w:pPr>
            <w:r>
              <w:t>The percentage of people who gamble who reported feeling compelled or forced to commit a crime or steal to fund gambling or pay debts or having committed petty theft or dishonesty in respect to government, business or other people (not family/wh</w:t>
            </w:r>
            <w:r w:rsidR="00463767">
              <w:t>ā</w:t>
            </w:r>
            <w:r>
              <w:t xml:space="preserve">nau/friends) was sourced from the Measuring the Burden of Gambling Harm in New Zealand Survey Report </w:t>
            </w:r>
            <w:r w:rsidR="00DB2449">
              <w:rPr>
                <w:noProof/>
                <w:color w:val="000000"/>
              </w:rPr>
              <w:t>(</w:t>
            </w:r>
            <w:r w:rsidR="002A3095">
              <w:rPr>
                <w:noProof/>
                <w:color w:val="000000"/>
              </w:rPr>
              <w:t>Browne, Greer et al., 2017</w:t>
            </w:r>
            <w:r w:rsidR="00DB2449">
              <w:rPr>
                <w:noProof/>
                <w:color w:val="000000"/>
              </w:rPr>
              <w:t>)</w:t>
            </w:r>
            <w:r>
              <w:t xml:space="preserve">. </w:t>
            </w:r>
          </w:p>
          <w:p w14:paraId="3526C2E0" w14:textId="77777777" w:rsidR="00DB689D" w:rsidRDefault="00310A10" w:rsidP="00843927">
            <w:pPr>
              <w:numPr>
                <w:ilvl w:val="0"/>
                <w:numId w:val="42"/>
              </w:numPr>
              <w:spacing w:line="276" w:lineRule="auto"/>
              <w:ind w:right="280"/>
            </w:pPr>
            <w:r>
              <w:t xml:space="preserve">These percentages were projected onto the number of New Zealanders in each of the PGSI risk categories (NZGS, 2023) to get a total number of New Zealanders participating in criminal behaviour due to their gambling. </w:t>
            </w:r>
          </w:p>
          <w:p w14:paraId="2B0ECEE3" w14:textId="5941F188" w:rsidR="00DB689D" w:rsidRDefault="00310A10" w:rsidP="00843927">
            <w:pPr>
              <w:numPr>
                <w:ilvl w:val="0"/>
                <w:numId w:val="42"/>
              </w:numPr>
              <w:spacing w:after="120" w:line="276" w:lineRule="auto"/>
              <w:ind w:right="280"/>
            </w:pPr>
            <w:r>
              <w:t xml:space="preserve">A 20% causality discount was applied as per the Australian Productivity Commission </w:t>
            </w:r>
            <w:r w:rsidR="0038398B">
              <w:rPr>
                <w:noProof/>
                <w:color w:val="000000"/>
              </w:rPr>
              <w:t>(1999)</w:t>
            </w:r>
            <w:r>
              <w:t xml:space="preserve">. </w:t>
            </w:r>
          </w:p>
          <w:p w14:paraId="7223A730" w14:textId="77777777" w:rsidR="00DB689D" w:rsidRDefault="00310A10" w:rsidP="00843927">
            <w:pPr>
              <w:spacing w:before="120" w:after="120" w:line="276" w:lineRule="auto"/>
              <w:ind w:right="280"/>
            </w:pPr>
            <w:r>
              <w:rPr>
                <w:i/>
              </w:rPr>
              <w:t xml:space="preserve"> Cost to business/community</w:t>
            </w:r>
            <w:r>
              <w:t xml:space="preserve"> </w:t>
            </w:r>
          </w:p>
          <w:p w14:paraId="5CD1DCA3" w14:textId="7C245670" w:rsidR="00DB689D" w:rsidRDefault="00310A10" w:rsidP="00843927">
            <w:pPr>
              <w:numPr>
                <w:ilvl w:val="0"/>
                <w:numId w:val="42"/>
              </w:numPr>
              <w:spacing w:before="120" w:after="120" w:line="276" w:lineRule="auto"/>
              <w:ind w:right="280"/>
            </w:pPr>
            <w:r>
              <w:t xml:space="preserve">The median loss experienced by business from crime </w:t>
            </w:r>
            <w:r w:rsidR="00DB2449">
              <w:rPr>
                <w:noProof/>
                <w:color w:val="000000"/>
              </w:rPr>
              <w:t>(A$1,500; Perrone, 2000)</w:t>
            </w:r>
            <w:r>
              <w:t xml:space="preserve"> was converted to New Zealand dollars and inflated to 2024 - $3,508.</w:t>
            </w:r>
          </w:p>
          <w:p w14:paraId="6F2B8694" w14:textId="77777777" w:rsidR="00CB5C8B" w:rsidRDefault="00CB5C8B" w:rsidP="00843927">
            <w:pPr>
              <w:spacing w:before="120" w:after="120" w:line="276" w:lineRule="auto"/>
              <w:ind w:left="720" w:right="280"/>
            </w:pPr>
          </w:p>
          <w:p w14:paraId="7A0A5152" w14:textId="77777777" w:rsidR="00DB689D" w:rsidRDefault="00310A10" w:rsidP="00843927">
            <w:pPr>
              <w:spacing w:before="120" w:after="120" w:line="276" w:lineRule="auto"/>
              <w:ind w:right="280"/>
              <w:rPr>
                <w:b/>
              </w:rPr>
            </w:pPr>
            <w:r>
              <w:rPr>
                <w:b/>
              </w:rPr>
              <w:t>Major fraud</w:t>
            </w:r>
          </w:p>
          <w:p w14:paraId="78DEBD82" w14:textId="77777777" w:rsidR="00DB689D" w:rsidRDefault="00310A10" w:rsidP="00843927">
            <w:pPr>
              <w:spacing w:before="120" w:after="120" w:line="276" w:lineRule="auto"/>
              <w:ind w:right="280"/>
            </w:pPr>
            <w:r>
              <w:rPr>
                <w:i/>
              </w:rPr>
              <w:t>Prevalence</w:t>
            </w:r>
            <w:r>
              <w:t xml:space="preserve"> </w:t>
            </w:r>
          </w:p>
          <w:p w14:paraId="141914B2" w14:textId="54F89E8B" w:rsidR="00DB689D" w:rsidRDefault="00310A10" w:rsidP="00843927">
            <w:pPr>
              <w:numPr>
                <w:ilvl w:val="0"/>
                <w:numId w:val="42"/>
              </w:numPr>
              <w:spacing w:before="120" w:after="120" w:line="276" w:lineRule="auto"/>
              <w:ind w:right="280"/>
            </w:pPr>
            <w:r>
              <w:t xml:space="preserve">Between January 2011 and July 2016 in Australia (66 months) there were a total of 265 gambling-motivated major frauds </w:t>
            </w:r>
            <w:r w:rsidR="0038398B">
              <w:rPr>
                <w:noProof/>
                <w:color w:val="000000"/>
              </w:rPr>
              <w:t>(Warfield &amp; Associates, 2016)</w:t>
            </w:r>
            <w:r>
              <w:t>. Australia's gambling fraud number was adjusted by scaling it down based on New Zealand’s smaller population and lower gambling problem prevalence, resulting in an average of 6.6 gambling-related frauds in a single year.</w:t>
            </w:r>
          </w:p>
          <w:p w14:paraId="213BBCDE" w14:textId="77777777" w:rsidR="00DB689D" w:rsidRDefault="00310A10" w:rsidP="00843927">
            <w:pPr>
              <w:spacing w:before="120" w:after="120" w:line="276" w:lineRule="auto"/>
              <w:ind w:right="280"/>
            </w:pPr>
            <w:r>
              <w:rPr>
                <w:i/>
              </w:rPr>
              <w:t xml:space="preserve"> Cost to business community</w:t>
            </w:r>
            <w:r>
              <w:t xml:space="preserve"> </w:t>
            </w:r>
          </w:p>
          <w:p w14:paraId="0BC96013" w14:textId="1FAFEEA0" w:rsidR="00DB689D" w:rsidRDefault="00310A10" w:rsidP="00843927">
            <w:pPr>
              <w:numPr>
                <w:ilvl w:val="0"/>
                <w:numId w:val="42"/>
              </w:numPr>
              <w:spacing w:before="120" w:after="120" w:line="276" w:lineRule="auto"/>
              <w:ind w:right="280"/>
            </w:pPr>
            <w:r>
              <w:t xml:space="preserve">The average loss for gambling motivated fraud identified by Warfield and Associates </w:t>
            </w:r>
            <w:r w:rsidR="00DB2449">
              <w:rPr>
                <w:noProof/>
                <w:color w:val="000000"/>
              </w:rPr>
              <w:t>(2016)</w:t>
            </w:r>
            <w:r>
              <w:t xml:space="preserve"> was $392,995. This figure was converted to New Zealand dollars and adjusted for inflation, resulting in an average loss of $546,348 per incident. </w:t>
            </w:r>
          </w:p>
        </w:tc>
      </w:tr>
    </w:tbl>
    <w:p w14:paraId="4E9EF337" w14:textId="77777777" w:rsidR="00DB689D" w:rsidRDefault="00DB689D" w:rsidP="00367A8D">
      <w:pPr>
        <w:spacing w:line="360" w:lineRule="auto"/>
        <w:rPr>
          <w:color w:val="0E101A"/>
          <w:highlight w:val="yellow"/>
        </w:rPr>
      </w:pPr>
    </w:p>
    <w:p w14:paraId="50023233" w14:textId="77777777" w:rsidR="00CB5C8B" w:rsidRDefault="00CB5C8B" w:rsidP="00CB5C8B">
      <w:pPr>
        <w:spacing w:line="360" w:lineRule="auto"/>
        <w:rPr>
          <w:b/>
        </w:rPr>
      </w:pPr>
    </w:p>
    <w:p w14:paraId="7BD51740" w14:textId="1BA5BA8B" w:rsidR="00CB5C8B" w:rsidRDefault="00310A10" w:rsidP="00CB5C8B">
      <w:pPr>
        <w:spacing w:line="360" w:lineRule="auto"/>
      </w:pPr>
      <w:r>
        <w:rPr>
          <w:b/>
        </w:rPr>
        <w:t>The estimated economic impact of gambling-related crime to the New Zealand business community is around $32.0 million</w:t>
      </w:r>
      <w:r w:rsidR="00A91E61">
        <w:rPr>
          <w:b/>
        </w:rPr>
        <w:t xml:space="preserve"> (Table 3</w:t>
      </w:r>
      <w:r w:rsidR="001D7B0D">
        <w:rPr>
          <w:b/>
        </w:rPr>
        <w:t>1</w:t>
      </w:r>
      <w:r w:rsidR="00A91E61">
        <w:rPr>
          <w:b/>
        </w:rPr>
        <w:t>)</w:t>
      </w:r>
      <w:r>
        <w:t xml:space="preserve">. </w:t>
      </w:r>
      <w:r w:rsidR="00CB5C8B">
        <w:t xml:space="preserve">Given the uncertainty around the financial value of each incident of petty theft or dishonesty, upper and lower bound estimates were applied. For the lower bound, the average value of a retail theft incident in Australia and New Zealand </w:t>
      </w:r>
      <w:r w:rsidR="00CB5C8B">
        <w:rPr>
          <w:noProof/>
          <w:color w:val="000000"/>
        </w:rPr>
        <w:t>($A807.50; Townsley &amp; Hutchins, 2023)</w:t>
      </w:r>
      <w:r w:rsidR="00CB5C8B">
        <w:t xml:space="preserve"> was used. This figure was converted to New Zealand dollars and adjusted for inflation, resulting in an estimated value of $1,053 per incident. For the upper bound, a 5% margin of error was applied to account for potential sampling variation and underreporting.</w:t>
      </w:r>
    </w:p>
    <w:p w14:paraId="38E9F467" w14:textId="77777777" w:rsidR="00CB5C8B" w:rsidRDefault="00CB5C8B" w:rsidP="00CB5C8B">
      <w:pPr>
        <w:spacing w:line="360" w:lineRule="auto"/>
      </w:pPr>
    </w:p>
    <w:p w14:paraId="0251DA87" w14:textId="77777777" w:rsidR="00CB5C8B" w:rsidRDefault="00CB5C8B" w:rsidP="00CB5C8B">
      <w:pPr>
        <w:spacing w:line="360" w:lineRule="auto"/>
      </w:pPr>
      <w:r>
        <w:t xml:space="preserve">Therefore, the estimated cost of gambling-related crime to the New Zealand justice system is between a lower bound of $13.6 million and an upper bound $33.6 million. </w:t>
      </w:r>
    </w:p>
    <w:p w14:paraId="373B6D21" w14:textId="77777777" w:rsidR="00306B00" w:rsidRDefault="00306B00" w:rsidP="00DB094D">
      <w:pPr>
        <w:pStyle w:val="Caption"/>
      </w:pPr>
    </w:p>
    <w:p w14:paraId="6C2CD3F9" w14:textId="1CC62694" w:rsidR="00A91E61" w:rsidRDefault="00A91E61" w:rsidP="00DB094D">
      <w:pPr>
        <w:pStyle w:val="Caption"/>
      </w:pPr>
      <w:bookmarkStart w:id="494" w:name="_Toc207619073"/>
      <w:r>
        <w:t xml:space="preserve">Table </w:t>
      </w:r>
      <w:r>
        <w:fldChar w:fldCharType="begin"/>
      </w:r>
      <w:r>
        <w:instrText xml:space="preserve"> SEQ Table \* ARABIC </w:instrText>
      </w:r>
      <w:r>
        <w:fldChar w:fldCharType="separate"/>
      </w:r>
      <w:r w:rsidR="00986A0D">
        <w:rPr>
          <w:noProof/>
        </w:rPr>
        <w:t>31</w:t>
      </w:r>
      <w:r>
        <w:fldChar w:fldCharType="end"/>
      </w:r>
      <w:r>
        <w:t xml:space="preserve">. </w:t>
      </w:r>
      <w:r w:rsidRPr="0046647D">
        <w:t>Cost of crime to business and community due to gambling problems in New Zealand (2023-24)</w:t>
      </w:r>
      <w:bookmarkEnd w:id="494"/>
    </w:p>
    <w:tbl>
      <w:tblPr>
        <w:tblStyle w:val="TableGridLight"/>
        <w:tblW w:w="9209" w:type="dxa"/>
        <w:tblLayout w:type="fixed"/>
        <w:tblLook w:val="04A0" w:firstRow="1" w:lastRow="0" w:firstColumn="1" w:lastColumn="0" w:noHBand="0" w:noVBand="1"/>
      </w:tblPr>
      <w:tblGrid>
        <w:gridCol w:w="3681"/>
        <w:gridCol w:w="1276"/>
        <w:gridCol w:w="992"/>
        <w:gridCol w:w="850"/>
        <w:gridCol w:w="1134"/>
        <w:gridCol w:w="1276"/>
      </w:tblGrid>
      <w:tr w:rsidR="00A91E61" w:rsidRPr="00306B00" w14:paraId="6D9A9010" w14:textId="77777777" w:rsidTr="00841D8C">
        <w:trPr>
          <w:trHeight w:val="397"/>
        </w:trPr>
        <w:tc>
          <w:tcPr>
            <w:tcW w:w="3681" w:type="dxa"/>
            <w:shd w:val="clear" w:color="auto" w:fill="F2F2F2" w:themeFill="background1" w:themeFillShade="F2"/>
            <w:vAlign w:val="center"/>
            <w:hideMark/>
          </w:tcPr>
          <w:p w14:paraId="0ECCDC9D" w14:textId="77777777" w:rsidR="00A91E61" w:rsidRPr="00306B00" w:rsidRDefault="00A91E61">
            <w:pPr>
              <w:rPr>
                <w:b/>
                <w:bCs/>
                <w:color w:val="000000"/>
                <w:sz w:val="20"/>
                <w:szCs w:val="20"/>
              </w:rPr>
            </w:pPr>
            <w:r w:rsidRPr="00306B00">
              <w:rPr>
                <w:b/>
                <w:bCs/>
                <w:color w:val="000000"/>
                <w:sz w:val="20"/>
                <w:szCs w:val="20"/>
              </w:rPr>
              <w:t>Variable</w:t>
            </w:r>
          </w:p>
        </w:tc>
        <w:tc>
          <w:tcPr>
            <w:tcW w:w="1276" w:type="dxa"/>
            <w:shd w:val="clear" w:color="auto" w:fill="F2F2F2" w:themeFill="background1" w:themeFillShade="F2"/>
            <w:vAlign w:val="center"/>
            <w:hideMark/>
          </w:tcPr>
          <w:p w14:paraId="64382EC0" w14:textId="77777777" w:rsidR="00A91E61" w:rsidRPr="00306B00" w:rsidRDefault="00A91E61">
            <w:pPr>
              <w:jc w:val="center"/>
              <w:rPr>
                <w:b/>
                <w:bCs/>
                <w:color w:val="000000"/>
                <w:sz w:val="20"/>
                <w:szCs w:val="20"/>
              </w:rPr>
            </w:pPr>
            <w:r w:rsidRPr="00306B00">
              <w:rPr>
                <w:b/>
                <w:bCs/>
                <w:color w:val="000000"/>
                <w:sz w:val="20"/>
                <w:szCs w:val="20"/>
              </w:rPr>
              <w:t>Calculation</w:t>
            </w:r>
          </w:p>
        </w:tc>
        <w:tc>
          <w:tcPr>
            <w:tcW w:w="992" w:type="dxa"/>
            <w:shd w:val="clear" w:color="auto" w:fill="F2F2F2" w:themeFill="background1" w:themeFillShade="F2"/>
            <w:vAlign w:val="center"/>
            <w:hideMark/>
          </w:tcPr>
          <w:p w14:paraId="5A667309" w14:textId="77777777" w:rsidR="00A91E61" w:rsidRPr="00306B00" w:rsidRDefault="00A91E61">
            <w:pPr>
              <w:jc w:val="center"/>
              <w:rPr>
                <w:b/>
                <w:bCs/>
                <w:color w:val="000000"/>
                <w:sz w:val="20"/>
                <w:szCs w:val="20"/>
              </w:rPr>
            </w:pPr>
            <w:r w:rsidRPr="00306B00">
              <w:rPr>
                <w:b/>
                <w:bCs/>
                <w:color w:val="000000"/>
                <w:sz w:val="20"/>
                <w:szCs w:val="20"/>
              </w:rPr>
              <w:t>LR</w:t>
            </w:r>
          </w:p>
        </w:tc>
        <w:tc>
          <w:tcPr>
            <w:tcW w:w="850" w:type="dxa"/>
            <w:shd w:val="clear" w:color="auto" w:fill="F2F2F2" w:themeFill="background1" w:themeFillShade="F2"/>
            <w:vAlign w:val="center"/>
            <w:hideMark/>
          </w:tcPr>
          <w:p w14:paraId="275800B4" w14:textId="77777777" w:rsidR="00A91E61" w:rsidRPr="00306B00" w:rsidRDefault="00A91E61">
            <w:pPr>
              <w:jc w:val="center"/>
              <w:rPr>
                <w:b/>
                <w:bCs/>
                <w:color w:val="000000"/>
                <w:sz w:val="20"/>
                <w:szCs w:val="20"/>
              </w:rPr>
            </w:pPr>
            <w:r w:rsidRPr="00306B00">
              <w:rPr>
                <w:b/>
                <w:bCs/>
                <w:color w:val="000000"/>
                <w:sz w:val="20"/>
                <w:szCs w:val="20"/>
              </w:rPr>
              <w:t>MR</w:t>
            </w:r>
          </w:p>
        </w:tc>
        <w:tc>
          <w:tcPr>
            <w:tcW w:w="1134" w:type="dxa"/>
            <w:shd w:val="clear" w:color="auto" w:fill="F2F2F2" w:themeFill="background1" w:themeFillShade="F2"/>
            <w:vAlign w:val="center"/>
            <w:hideMark/>
          </w:tcPr>
          <w:p w14:paraId="761FCA76" w14:textId="77777777" w:rsidR="00A91E61" w:rsidRPr="00306B00" w:rsidRDefault="00A91E61">
            <w:pPr>
              <w:jc w:val="center"/>
              <w:rPr>
                <w:b/>
                <w:bCs/>
                <w:color w:val="000000"/>
                <w:sz w:val="20"/>
                <w:szCs w:val="20"/>
              </w:rPr>
            </w:pPr>
            <w:r w:rsidRPr="00306B00">
              <w:rPr>
                <w:b/>
                <w:bCs/>
                <w:color w:val="000000"/>
                <w:sz w:val="20"/>
                <w:szCs w:val="20"/>
              </w:rPr>
              <w:t>PG</w:t>
            </w:r>
          </w:p>
        </w:tc>
        <w:tc>
          <w:tcPr>
            <w:tcW w:w="1276" w:type="dxa"/>
            <w:shd w:val="clear" w:color="auto" w:fill="F2F2F2" w:themeFill="background1" w:themeFillShade="F2"/>
            <w:vAlign w:val="center"/>
            <w:hideMark/>
          </w:tcPr>
          <w:p w14:paraId="3CA6FF3D" w14:textId="77777777" w:rsidR="00A91E61" w:rsidRPr="00306B00" w:rsidRDefault="00A91E61">
            <w:pPr>
              <w:jc w:val="center"/>
              <w:rPr>
                <w:b/>
                <w:bCs/>
                <w:color w:val="000000"/>
                <w:sz w:val="20"/>
                <w:szCs w:val="20"/>
              </w:rPr>
            </w:pPr>
            <w:r w:rsidRPr="00306B00">
              <w:rPr>
                <w:b/>
                <w:bCs/>
                <w:color w:val="000000"/>
                <w:sz w:val="20"/>
                <w:szCs w:val="20"/>
              </w:rPr>
              <w:t>Total Gambling Problems</w:t>
            </w:r>
          </w:p>
        </w:tc>
      </w:tr>
      <w:tr w:rsidR="00A91E61" w:rsidRPr="00306B00" w14:paraId="4B77B9C9" w14:textId="77777777" w:rsidTr="00841D8C">
        <w:trPr>
          <w:trHeight w:val="397"/>
        </w:trPr>
        <w:tc>
          <w:tcPr>
            <w:tcW w:w="3681" w:type="dxa"/>
            <w:vAlign w:val="center"/>
            <w:hideMark/>
          </w:tcPr>
          <w:p w14:paraId="5D95ABE6" w14:textId="77777777" w:rsidR="00A91E61" w:rsidRPr="00306B00" w:rsidRDefault="00A91E61">
            <w:pPr>
              <w:rPr>
                <w:color w:val="000000"/>
                <w:sz w:val="20"/>
                <w:szCs w:val="20"/>
              </w:rPr>
            </w:pPr>
            <w:r w:rsidRPr="00306B00">
              <w:rPr>
                <w:color w:val="000000"/>
                <w:sz w:val="20"/>
                <w:szCs w:val="20"/>
              </w:rPr>
              <w:t>New Zealand population by PGSI</w:t>
            </w:r>
          </w:p>
        </w:tc>
        <w:tc>
          <w:tcPr>
            <w:tcW w:w="1276" w:type="dxa"/>
            <w:noWrap/>
            <w:vAlign w:val="center"/>
            <w:hideMark/>
          </w:tcPr>
          <w:p w14:paraId="51F07A95" w14:textId="77777777" w:rsidR="00A91E61" w:rsidRPr="00306B00" w:rsidRDefault="00A91E61">
            <w:pPr>
              <w:jc w:val="right"/>
              <w:rPr>
                <w:color w:val="000000"/>
                <w:sz w:val="20"/>
                <w:szCs w:val="20"/>
              </w:rPr>
            </w:pPr>
            <w:r w:rsidRPr="00306B00">
              <w:rPr>
                <w:color w:val="000000"/>
                <w:sz w:val="20"/>
                <w:szCs w:val="20"/>
              </w:rPr>
              <w:t>n</w:t>
            </w:r>
          </w:p>
        </w:tc>
        <w:tc>
          <w:tcPr>
            <w:tcW w:w="992" w:type="dxa"/>
            <w:vAlign w:val="center"/>
            <w:hideMark/>
          </w:tcPr>
          <w:p w14:paraId="119B92C7" w14:textId="77777777" w:rsidR="00A91E61" w:rsidRPr="00306B00" w:rsidRDefault="00A91E61">
            <w:pPr>
              <w:jc w:val="right"/>
              <w:rPr>
                <w:color w:val="000000"/>
                <w:sz w:val="20"/>
                <w:szCs w:val="20"/>
              </w:rPr>
            </w:pPr>
            <w:r w:rsidRPr="00306B00">
              <w:rPr>
                <w:color w:val="000000"/>
                <w:sz w:val="20"/>
                <w:szCs w:val="20"/>
              </w:rPr>
              <w:t>255,318</w:t>
            </w:r>
          </w:p>
        </w:tc>
        <w:tc>
          <w:tcPr>
            <w:tcW w:w="850" w:type="dxa"/>
            <w:vAlign w:val="center"/>
            <w:hideMark/>
          </w:tcPr>
          <w:p w14:paraId="185A9E4F" w14:textId="77777777" w:rsidR="00A91E61" w:rsidRPr="00306B00" w:rsidRDefault="00A91E61">
            <w:pPr>
              <w:jc w:val="right"/>
              <w:rPr>
                <w:color w:val="000000"/>
                <w:sz w:val="20"/>
                <w:szCs w:val="20"/>
              </w:rPr>
            </w:pPr>
            <w:r w:rsidRPr="00306B00">
              <w:rPr>
                <w:color w:val="000000"/>
                <w:sz w:val="20"/>
                <w:szCs w:val="20"/>
              </w:rPr>
              <w:t>83,492</w:t>
            </w:r>
          </w:p>
        </w:tc>
        <w:tc>
          <w:tcPr>
            <w:tcW w:w="1134" w:type="dxa"/>
            <w:vAlign w:val="center"/>
            <w:hideMark/>
          </w:tcPr>
          <w:p w14:paraId="6777F126" w14:textId="77777777" w:rsidR="00A91E61" w:rsidRPr="00306B00" w:rsidRDefault="00A91E61">
            <w:pPr>
              <w:jc w:val="right"/>
              <w:rPr>
                <w:color w:val="000000"/>
                <w:sz w:val="20"/>
                <w:szCs w:val="20"/>
              </w:rPr>
            </w:pPr>
            <w:r w:rsidRPr="00306B00">
              <w:rPr>
                <w:color w:val="000000"/>
                <w:sz w:val="20"/>
                <w:szCs w:val="20"/>
              </w:rPr>
              <w:t>20,436</w:t>
            </w:r>
          </w:p>
        </w:tc>
        <w:tc>
          <w:tcPr>
            <w:tcW w:w="1276" w:type="dxa"/>
            <w:vAlign w:val="center"/>
            <w:hideMark/>
          </w:tcPr>
          <w:p w14:paraId="7F6B1E56" w14:textId="77777777" w:rsidR="00A91E61" w:rsidRPr="00306B00" w:rsidRDefault="00A91E61">
            <w:pPr>
              <w:jc w:val="right"/>
              <w:rPr>
                <w:color w:val="000000"/>
                <w:sz w:val="20"/>
                <w:szCs w:val="20"/>
              </w:rPr>
            </w:pPr>
            <w:r w:rsidRPr="00306B00">
              <w:rPr>
                <w:color w:val="000000"/>
                <w:sz w:val="20"/>
                <w:szCs w:val="20"/>
              </w:rPr>
              <w:t>359,246</w:t>
            </w:r>
          </w:p>
        </w:tc>
      </w:tr>
      <w:tr w:rsidR="00A91E61" w:rsidRPr="00306B00" w14:paraId="052C6E3D" w14:textId="77777777" w:rsidTr="00841D8C">
        <w:trPr>
          <w:trHeight w:val="397"/>
        </w:trPr>
        <w:tc>
          <w:tcPr>
            <w:tcW w:w="9209" w:type="dxa"/>
            <w:gridSpan w:val="6"/>
            <w:noWrap/>
            <w:vAlign w:val="center"/>
            <w:hideMark/>
          </w:tcPr>
          <w:p w14:paraId="4B1F271D" w14:textId="77777777" w:rsidR="00A91E61" w:rsidRPr="00306B00" w:rsidRDefault="00A91E61">
            <w:pPr>
              <w:rPr>
                <w:b/>
                <w:bCs/>
                <w:i/>
                <w:iCs/>
                <w:color w:val="000000"/>
                <w:sz w:val="20"/>
                <w:szCs w:val="20"/>
              </w:rPr>
            </w:pPr>
            <w:r w:rsidRPr="00306B00">
              <w:rPr>
                <w:b/>
                <w:bCs/>
                <w:i/>
                <w:iCs/>
                <w:color w:val="000000"/>
                <w:sz w:val="20"/>
                <w:szCs w:val="20"/>
              </w:rPr>
              <w:t>Petty theft or dishonesty</w:t>
            </w:r>
          </w:p>
        </w:tc>
      </w:tr>
      <w:tr w:rsidR="00A91E61" w:rsidRPr="00306B00" w14:paraId="002B71FC" w14:textId="77777777" w:rsidTr="00841D8C">
        <w:trPr>
          <w:trHeight w:val="558"/>
        </w:trPr>
        <w:tc>
          <w:tcPr>
            <w:tcW w:w="3681" w:type="dxa"/>
            <w:noWrap/>
            <w:vAlign w:val="center"/>
            <w:hideMark/>
          </w:tcPr>
          <w:p w14:paraId="148DC074" w14:textId="77777777" w:rsidR="00A91E61" w:rsidRPr="00306B00" w:rsidRDefault="00A91E61">
            <w:pPr>
              <w:rPr>
                <w:color w:val="000000"/>
                <w:sz w:val="20"/>
                <w:szCs w:val="20"/>
              </w:rPr>
            </w:pPr>
            <w:r w:rsidRPr="00306B00">
              <w:rPr>
                <w:color w:val="000000"/>
                <w:sz w:val="20"/>
                <w:szCs w:val="20"/>
              </w:rPr>
              <w:t>Proportion of PGSI group who engaged in petty theft or dishonesty due to gambling</w:t>
            </w:r>
          </w:p>
        </w:tc>
        <w:tc>
          <w:tcPr>
            <w:tcW w:w="1276" w:type="dxa"/>
            <w:noWrap/>
            <w:vAlign w:val="center"/>
            <w:hideMark/>
          </w:tcPr>
          <w:p w14:paraId="1D1CCEA7" w14:textId="77777777" w:rsidR="00A91E61" w:rsidRPr="00306B00" w:rsidRDefault="00A91E61">
            <w:pPr>
              <w:jc w:val="right"/>
              <w:rPr>
                <w:color w:val="000000"/>
                <w:sz w:val="20"/>
                <w:szCs w:val="20"/>
              </w:rPr>
            </w:pPr>
            <w:r w:rsidRPr="00306B00">
              <w:rPr>
                <w:color w:val="000000"/>
                <w:sz w:val="20"/>
                <w:szCs w:val="20"/>
              </w:rPr>
              <w:t>a</w:t>
            </w:r>
          </w:p>
        </w:tc>
        <w:tc>
          <w:tcPr>
            <w:tcW w:w="992" w:type="dxa"/>
            <w:noWrap/>
            <w:vAlign w:val="center"/>
            <w:hideMark/>
          </w:tcPr>
          <w:p w14:paraId="75308C18" w14:textId="77777777" w:rsidR="00A91E61" w:rsidRPr="00306B00" w:rsidRDefault="00A91E61">
            <w:pPr>
              <w:jc w:val="right"/>
              <w:rPr>
                <w:color w:val="000000"/>
                <w:sz w:val="20"/>
                <w:szCs w:val="20"/>
              </w:rPr>
            </w:pPr>
            <w:r w:rsidRPr="00306B00">
              <w:rPr>
                <w:color w:val="000000"/>
                <w:sz w:val="20"/>
                <w:szCs w:val="20"/>
              </w:rPr>
              <w:t>1.6%</w:t>
            </w:r>
          </w:p>
        </w:tc>
        <w:tc>
          <w:tcPr>
            <w:tcW w:w="850" w:type="dxa"/>
            <w:noWrap/>
            <w:vAlign w:val="center"/>
            <w:hideMark/>
          </w:tcPr>
          <w:p w14:paraId="627B7418" w14:textId="77777777" w:rsidR="00A91E61" w:rsidRPr="00306B00" w:rsidRDefault="00A91E61">
            <w:pPr>
              <w:jc w:val="right"/>
              <w:rPr>
                <w:color w:val="000000"/>
                <w:sz w:val="20"/>
                <w:szCs w:val="20"/>
              </w:rPr>
            </w:pPr>
            <w:r w:rsidRPr="00306B00">
              <w:rPr>
                <w:color w:val="000000"/>
                <w:sz w:val="20"/>
                <w:szCs w:val="20"/>
              </w:rPr>
              <w:t>2.7%</w:t>
            </w:r>
          </w:p>
        </w:tc>
        <w:tc>
          <w:tcPr>
            <w:tcW w:w="1134" w:type="dxa"/>
            <w:noWrap/>
            <w:vAlign w:val="center"/>
            <w:hideMark/>
          </w:tcPr>
          <w:p w14:paraId="3521B4D4" w14:textId="77777777" w:rsidR="00A91E61" w:rsidRPr="00306B00" w:rsidRDefault="00A91E61">
            <w:pPr>
              <w:jc w:val="right"/>
              <w:rPr>
                <w:color w:val="000000"/>
                <w:sz w:val="20"/>
                <w:szCs w:val="20"/>
              </w:rPr>
            </w:pPr>
            <w:r w:rsidRPr="00306B00">
              <w:rPr>
                <w:color w:val="000000"/>
                <w:sz w:val="20"/>
                <w:szCs w:val="20"/>
              </w:rPr>
              <w:t>18.5%</w:t>
            </w:r>
          </w:p>
        </w:tc>
        <w:tc>
          <w:tcPr>
            <w:tcW w:w="1276" w:type="dxa"/>
            <w:noWrap/>
            <w:vAlign w:val="center"/>
            <w:hideMark/>
          </w:tcPr>
          <w:p w14:paraId="6923095F" w14:textId="77777777" w:rsidR="00A91E61" w:rsidRPr="00306B00" w:rsidRDefault="00A91E61">
            <w:pPr>
              <w:jc w:val="right"/>
              <w:rPr>
                <w:color w:val="000000"/>
                <w:sz w:val="20"/>
                <w:szCs w:val="20"/>
              </w:rPr>
            </w:pPr>
            <w:r w:rsidRPr="00306B00">
              <w:rPr>
                <w:color w:val="000000"/>
                <w:sz w:val="20"/>
                <w:szCs w:val="20"/>
              </w:rPr>
              <w:t> </w:t>
            </w:r>
          </w:p>
        </w:tc>
      </w:tr>
      <w:tr w:rsidR="00A91E61" w:rsidRPr="00306B00" w14:paraId="5ACEF77D" w14:textId="77777777" w:rsidTr="00841D8C">
        <w:trPr>
          <w:trHeight w:val="691"/>
        </w:trPr>
        <w:tc>
          <w:tcPr>
            <w:tcW w:w="3681" w:type="dxa"/>
            <w:noWrap/>
            <w:vAlign w:val="center"/>
            <w:hideMark/>
          </w:tcPr>
          <w:p w14:paraId="1DC07650" w14:textId="77777777" w:rsidR="00A91E61" w:rsidRPr="00306B00" w:rsidRDefault="00A91E61">
            <w:pPr>
              <w:rPr>
                <w:color w:val="000000"/>
                <w:sz w:val="20"/>
                <w:szCs w:val="20"/>
              </w:rPr>
            </w:pPr>
            <w:r w:rsidRPr="00306B00">
              <w:rPr>
                <w:color w:val="000000"/>
                <w:sz w:val="20"/>
                <w:szCs w:val="20"/>
              </w:rPr>
              <w:t xml:space="preserve">Number who engaged in petty theft or dishonesty due to gambling, less 20% causality discount </w:t>
            </w:r>
          </w:p>
        </w:tc>
        <w:tc>
          <w:tcPr>
            <w:tcW w:w="1276" w:type="dxa"/>
            <w:noWrap/>
            <w:vAlign w:val="center"/>
            <w:hideMark/>
          </w:tcPr>
          <w:p w14:paraId="7B87A384" w14:textId="77777777" w:rsidR="00A91E61" w:rsidRPr="00306B00" w:rsidRDefault="00A91E61">
            <w:pPr>
              <w:jc w:val="right"/>
              <w:rPr>
                <w:color w:val="000000"/>
                <w:sz w:val="20"/>
                <w:szCs w:val="20"/>
              </w:rPr>
            </w:pPr>
            <w:r w:rsidRPr="00306B00">
              <w:rPr>
                <w:color w:val="000000"/>
                <w:sz w:val="20"/>
                <w:szCs w:val="20"/>
              </w:rPr>
              <w:t>b = (a x n) x 80%</w:t>
            </w:r>
          </w:p>
        </w:tc>
        <w:tc>
          <w:tcPr>
            <w:tcW w:w="992" w:type="dxa"/>
            <w:vAlign w:val="center"/>
            <w:hideMark/>
          </w:tcPr>
          <w:p w14:paraId="1D98FFFB" w14:textId="77777777" w:rsidR="00A91E61" w:rsidRPr="00306B00" w:rsidRDefault="00A91E61">
            <w:pPr>
              <w:jc w:val="right"/>
              <w:rPr>
                <w:color w:val="000000"/>
                <w:sz w:val="20"/>
                <w:szCs w:val="20"/>
              </w:rPr>
            </w:pPr>
            <w:r w:rsidRPr="00306B00">
              <w:rPr>
                <w:color w:val="000000"/>
                <w:sz w:val="20"/>
                <w:szCs w:val="20"/>
              </w:rPr>
              <w:t>3,268</w:t>
            </w:r>
          </w:p>
        </w:tc>
        <w:tc>
          <w:tcPr>
            <w:tcW w:w="850" w:type="dxa"/>
            <w:vAlign w:val="center"/>
            <w:hideMark/>
          </w:tcPr>
          <w:p w14:paraId="11A111C9" w14:textId="77777777" w:rsidR="00A91E61" w:rsidRPr="00306B00" w:rsidRDefault="00A91E61">
            <w:pPr>
              <w:jc w:val="right"/>
              <w:rPr>
                <w:color w:val="000000"/>
                <w:sz w:val="20"/>
                <w:szCs w:val="20"/>
              </w:rPr>
            </w:pPr>
            <w:r w:rsidRPr="00306B00">
              <w:rPr>
                <w:color w:val="000000"/>
                <w:sz w:val="20"/>
                <w:szCs w:val="20"/>
              </w:rPr>
              <w:t>1,803</w:t>
            </w:r>
          </w:p>
        </w:tc>
        <w:tc>
          <w:tcPr>
            <w:tcW w:w="1134" w:type="dxa"/>
            <w:vAlign w:val="center"/>
            <w:hideMark/>
          </w:tcPr>
          <w:p w14:paraId="6B33F813" w14:textId="77777777" w:rsidR="00A91E61" w:rsidRPr="00306B00" w:rsidRDefault="00A91E61">
            <w:pPr>
              <w:jc w:val="right"/>
              <w:rPr>
                <w:color w:val="000000"/>
                <w:sz w:val="20"/>
                <w:szCs w:val="20"/>
              </w:rPr>
            </w:pPr>
            <w:r w:rsidRPr="00306B00">
              <w:rPr>
                <w:color w:val="000000"/>
                <w:sz w:val="20"/>
                <w:szCs w:val="20"/>
              </w:rPr>
              <w:t>3,025</w:t>
            </w:r>
          </w:p>
        </w:tc>
        <w:tc>
          <w:tcPr>
            <w:tcW w:w="1276" w:type="dxa"/>
            <w:vAlign w:val="center"/>
            <w:hideMark/>
          </w:tcPr>
          <w:p w14:paraId="43C0E99D" w14:textId="77777777" w:rsidR="00A91E61" w:rsidRPr="00306B00" w:rsidRDefault="00A91E61">
            <w:pPr>
              <w:jc w:val="right"/>
              <w:rPr>
                <w:color w:val="000000"/>
                <w:sz w:val="20"/>
                <w:szCs w:val="20"/>
              </w:rPr>
            </w:pPr>
            <w:r w:rsidRPr="00306B00">
              <w:rPr>
                <w:color w:val="000000"/>
                <w:sz w:val="20"/>
                <w:szCs w:val="20"/>
              </w:rPr>
              <w:t>8,096</w:t>
            </w:r>
          </w:p>
        </w:tc>
      </w:tr>
      <w:tr w:rsidR="00A91E61" w:rsidRPr="00306B00" w14:paraId="4213B3BA" w14:textId="77777777" w:rsidTr="00841D8C">
        <w:trPr>
          <w:trHeight w:val="397"/>
        </w:trPr>
        <w:tc>
          <w:tcPr>
            <w:tcW w:w="3681" w:type="dxa"/>
            <w:noWrap/>
            <w:vAlign w:val="center"/>
            <w:hideMark/>
          </w:tcPr>
          <w:p w14:paraId="50F94CE0" w14:textId="77777777" w:rsidR="00A91E61" w:rsidRPr="00306B00" w:rsidRDefault="00A91E61">
            <w:pPr>
              <w:rPr>
                <w:color w:val="000000"/>
                <w:sz w:val="20"/>
                <w:szCs w:val="20"/>
              </w:rPr>
            </w:pPr>
            <w:r w:rsidRPr="00306B00">
              <w:rPr>
                <w:color w:val="000000"/>
                <w:sz w:val="20"/>
                <w:szCs w:val="20"/>
              </w:rPr>
              <w:t>Cost per incident</w:t>
            </w:r>
          </w:p>
        </w:tc>
        <w:tc>
          <w:tcPr>
            <w:tcW w:w="1276" w:type="dxa"/>
            <w:noWrap/>
            <w:vAlign w:val="center"/>
            <w:hideMark/>
          </w:tcPr>
          <w:p w14:paraId="07071EBF" w14:textId="77777777" w:rsidR="00A91E61" w:rsidRPr="00306B00" w:rsidRDefault="00A91E61">
            <w:pPr>
              <w:jc w:val="right"/>
              <w:rPr>
                <w:color w:val="000000"/>
                <w:sz w:val="20"/>
                <w:szCs w:val="20"/>
              </w:rPr>
            </w:pPr>
            <w:r w:rsidRPr="00306B00">
              <w:rPr>
                <w:color w:val="000000"/>
                <w:sz w:val="20"/>
                <w:szCs w:val="20"/>
              </w:rPr>
              <w:t xml:space="preserve">c </w:t>
            </w:r>
          </w:p>
        </w:tc>
        <w:tc>
          <w:tcPr>
            <w:tcW w:w="4252" w:type="dxa"/>
            <w:gridSpan w:val="4"/>
            <w:noWrap/>
            <w:vAlign w:val="center"/>
            <w:hideMark/>
          </w:tcPr>
          <w:p w14:paraId="3733320B" w14:textId="77777777" w:rsidR="00A91E61" w:rsidRPr="00306B00" w:rsidRDefault="00A91E61" w:rsidP="00306B00">
            <w:pPr>
              <w:jc w:val="center"/>
              <w:rPr>
                <w:color w:val="000000"/>
                <w:sz w:val="20"/>
                <w:szCs w:val="20"/>
              </w:rPr>
            </w:pPr>
            <w:r w:rsidRPr="00306B00">
              <w:rPr>
                <w:color w:val="000000"/>
                <w:sz w:val="20"/>
                <w:szCs w:val="20"/>
              </w:rPr>
              <w:t>$3,508</w:t>
            </w:r>
          </w:p>
        </w:tc>
      </w:tr>
      <w:tr w:rsidR="00A91E61" w:rsidRPr="00306B00" w14:paraId="3C0B4FD0" w14:textId="77777777" w:rsidTr="00841D8C">
        <w:trPr>
          <w:trHeight w:val="397"/>
        </w:trPr>
        <w:tc>
          <w:tcPr>
            <w:tcW w:w="3681" w:type="dxa"/>
            <w:shd w:val="clear" w:color="auto" w:fill="F2F2F2" w:themeFill="background1" w:themeFillShade="F2"/>
            <w:noWrap/>
            <w:vAlign w:val="center"/>
            <w:hideMark/>
          </w:tcPr>
          <w:p w14:paraId="08E2B759" w14:textId="77777777" w:rsidR="00A91E61" w:rsidRPr="00306B00" w:rsidRDefault="00A91E61">
            <w:pPr>
              <w:rPr>
                <w:b/>
                <w:bCs/>
                <w:color w:val="000000"/>
                <w:sz w:val="20"/>
                <w:szCs w:val="20"/>
              </w:rPr>
            </w:pPr>
            <w:r w:rsidRPr="00306B00">
              <w:rPr>
                <w:b/>
                <w:bCs/>
                <w:color w:val="000000"/>
                <w:sz w:val="20"/>
                <w:szCs w:val="20"/>
              </w:rPr>
              <w:t>Total cost of petty theft or dishonesty</w:t>
            </w:r>
          </w:p>
        </w:tc>
        <w:tc>
          <w:tcPr>
            <w:tcW w:w="1276" w:type="dxa"/>
            <w:shd w:val="clear" w:color="auto" w:fill="F2F2F2" w:themeFill="background1" w:themeFillShade="F2"/>
            <w:noWrap/>
            <w:vAlign w:val="center"/>
            <w:hideMark/>
          </w:tcPr>
          <w:p w14:paraId="7CA07D76" w14:textId="77777777" w:rsidR="00A91E61" w:rsidRPr="00306B00" w:rsidRDefault="00A91E61">
            <w:pPr>
              <w:jc w:val="right"/>
              <w:rPr>
                <w:b/>
                <w:bCs/>
                <w:color w:val="000000"/>
                <w:sz w:val="20"/>
                <w:szCs w:val="20"/>
              </w:rPr>
            </w:pPr>
            <w:r w:rsidRPr="00306B00">
              <w:rPr>
                <w:b/>
                <w:bCs/>
                <w:color w:val="000000"/>
                <w:sz w:val="20"/>
                <w:szCs w:val="20"/>
              </w:rPr>
              <w:t>d = b x c</w:t>
            </w:r>
          </w:p>
        </w:tc>
        <w:tc>
          <w:tcPr>
            <w:tcW w:w="992" w:type="dxa"/>
            <w:shd w:val="clear" w:color="auto" w:fill="F2F2F2" w:themeFill="background1" w:themeFillShade="F2"/>
            <w:noWrap/>
            <w:vAlign w:val="center"/>
            <w:hideMark/>
          </w:tcPr>
          <w:p w14:paraId="33FA178C" w14:textId="77777777" w:rsidR="00A91E61" w:rsidRPr="00306B00" w:rsidRDefault="00A91E61">
            <w:pPr>
              <w:jc w:val="right"/>
              <w:rPr>
                <w:b/>
                <w:bCs/>
                <w:color w:val="000000"/>
                <w:sz w:val="20"/>
                <w:szCs w:val="20"/>
              </w:rPr>
            </w:pPr>
            <w:r w:rsidRPr="00306B00">
              <w:rPr>
                <w:b/>
                <w:bCs/>
                <w:color w:val="000000"/>
                <w:sz w:val="20"/>
                <w:szCs w:val="20"/>
              </w:rPr>
              <w:t>$11.5M</w:t>
            </w:r>
          </w:p>
        </w:tc>
        <w:tc>
          <w:tcPr>
            <w:tcW w:w="850" w:type="dxa"/>
            <w:shd w:val="clear" w:color="auto" w:fill="F2F2F2" w:themeFill="background1" w:themeFillShade="F2"/>
            <w:noWrap/>
            <w:vAlign w:val="center"/>
            <w:hideMark/>
          </w:tcPr>
          <w:p w14:paraId="1C661D1E" w14:textId="77777777" w:rsidR="00A91E61" w:rsidRPr="00306B00" w:rsidRDefault="00A91E61">
            <w:pPr>
              <w:jc w:val="right"/>
              <w:rPr>
                <w:b/>
                <w:bCs/>
                <w:color w:val="000000"/>
                <w:sz w:val="20"/>
                <w:szCs w:val="20"/>
              </w:rPr>
            </w:pPr>
            <w:r w:rsidRPr="00306B00">
              <w:rPr>
                <w:b/>
                <w:bCs/>
                <w:color w:val="000000"/>
                <w:sz w:val="20"/>
                <w:szCs w:val="20"/>
              </w:rPr>
              <w:t>$6.3M</w:t>
            </w:r>
          </w:p>
        </w:tc>
        <w:tc>
          <w:tcPr>
            <w:tcW w:w="1134" w:type="dxa"/>
            <w:shd w:val="clear" w:color="auto" w:fill="F2F2F2" w:themeFill="background1" w:themeFillShade="F2"/>
            <w:noWrap/>
            <w:vAlign w:val="center"/>
            <w:hideMark/>
          </w:tcPr>
          <w:p w14:paraId="1477D7C6" w14:textId="77777777" w:rsidR="00A91E61" w:rsidRPr="00306B00" w:rsidRDefault="00A91E61">
            <w:pPr>
              <w:jc w:val="right"/>
              <w:rPr>
                <w:b/>
                <w:bCs/>
                <w:color w:val="000000"/>
                <w:sz w:val="20"/>
                <w:szCs w:val="20"/>
              </w:rPr>
            </w:pPr>
            <w:r w:rsidRPr="00306B00">
              <w:rPr>
                <w:b/>
                <w:bCs/>
                <w:color w:val="000000"/>
                <w:sz w:val="20"/>
                <w:szCs w:val="20"/>
              </w:rPr>
              <w:t>$10.6M</w:t>
            </w:r>
          </w:p>
        </w:tc>
        <w:tc>
          <w:tcPr>
            <w:tcW w:w="1276" w:type="dxa"/>
            <w:shd w:val="clear" w:color="auto" w:fill="F2F2F2" w:themeFill="background1" w:themeFillShade="F2"/>
            <w:noWrap/>
            <w:vAlign w:val="center"/>
            <w:hideMark/>
          </w:tcPr>
          <w:p w14:paraId="549D9288" w14:textId="77777777" w:rsidR="00A91E61" w:rsidRPr="00306B00" w:rsidRDefault="00A91E61">
            <w:pPr>
              <w:jc w:val="right"/>
              <w:rPr>
                <w:b/>
                <w:bCs/>
                <w:color w:val="000000"/>
                <w:sz w:val="20"/>
                <w:szCs w:val="20"/>
              </w:rPr>
            </w:pPr>
            <w:r w:rsidRPr="00306B00">
              <w:rPr>
                <w:b/>
                <w:bCs/>
                <w:color w:val="000000"/>
                <w:sz w:val="20"/>
                <w:szCs w:val="20"/>
              </w:rPr>
              <w:t>$28,401,020</w:t>
            </w:r>
          </w:p>
        </w:tc>
      </w:tr>
      <w:tr w:rsidR="00A91E61" w:rsidRPr="00306B00" w14:paraId="6E96C0EB" w14:textId="77777777" w:rsidTr="00841D8C">
        <w:trPr>
          <w:trHeight w:val="397"/>
        </w:trPr>
        <w:tc>
          <w:tcPr>
            <w:tcW w:w="9209" w:type="dxa"/>
            <w:gridSpan w:val="6"/>
            <w:noWrap/>
            <w:vAlign w:val="center"/>
            <w:hideMark/>
          </w:tcPr>
          <w:p w14:paraId="1901A154" w14:textId="77777777" w:rsidR="00A91E61" w:rsidRPr="00306B00" w:rsidRDefault="00A91E61">
            <w:pPr>
              <w:rPr>
                <w:b/>
                <w:bCs/>
                <w:i/>
                <w:iCs/>
                <w:color w:val="000000"/>
                <w:sz w:val="20"/>
                <w:szCs w:val="20"/>
              </w:rPr>
            </w:pPr>
            <w:r w:rsidRPr="00306B00">
              <w:rPr>
                <w:b/>
                <w:bCs/>
                <w:i/>
                <w:iCs/>
                <w:color w:val="000000"/>
                <w:sz w:val="20"/>
                <w:szCs w:val="20"/>
              </w:rPr>
              <w:t>Major fraud</w:t>
            </w:r>
          </w:p>
        </w:tc>
      </w:tr>
      <w:tr w:rsidR="00306B00" w:rsidRPr="00306B00" w14:paraId="29276E61" w14:textId="77777777" w:rsidTr="00841D8C">
        <w:trPr>
          <w:trHeight w:val="397"/>
        </w:trPr>
        <w:tc>
          <w:tcPr>
            <w:tcW w:w="3681" w:type="dxa"/>
            <w:noWrap/>
            <w:vAlign w:val="center"/>
            <w:hideMark/>
          </w:tcPr>
          <w:p w14:paraId="2873FA6C" w14:textId="77777777" w:rsidR="00306B00" w:rsidRPr="00306B00" w:rsidRDefault="00306B00">
            <w:pPr>
              <w:rPr>
                <w:color w:val="000000"/>
                <w:sz w:val="20"/>
                <w:szCs w:val="20"/>
              </w:rPr>
            </w:pPr>
            <w:r w:rsidRPr="00306B00">
              <w:rPr>
                <w:color w:val="000000"/>
                <w:sz w:val="20"/>
                <w:szCs w:val="20"/>
              </w:rPr>
              <w:t>Number of cases</w:t>
            </w:r>
          </w:p>
        </w:tc>
        <w:tc>
          <w:tcPr>
            <w:tcW w:w="1276" w:type="dxa"/>
            <w:noWrap/>
            <w:vAlign w:val="center"/>
            <w:hideMark/>
          </w:tcPr>
          <w:p w14:paraId="045ACF3D" w14:textId="77777777" w:rsidR="00306B00" w:rsidRPr="00306B00" w:rsidRDefault="00306B00">
            <w:pPr>
              <w:jc w:val="right"/>
              <w:rPr>
                <w:color w:val="000000"/>
                <w:sz w:val="20"/>
                <w:szCs w:val="20"/>
              </w:rPr>
            </w:pPr>
            <w:r w:rsidRPr="00306B00">
              <w:rPr>
                <w:color w:val="000000"/>
                <w:sz w:val="20"/>
                <w:szCs w:val="20"/>
              </w:rPr>
              <w:t>e</w:t>
            </w:r>
          </w:p>
        </w:tc>
        <w:tc>
          <w:tcPr>
            <w:tcW w:w="4252" w:type="dxa"/>
            <w:gridSpan w:val="4"/>
            <w:noWrap/>
            <w:vAlign w:val="center"/>
            <w:hideMark/>
          </w:tcPr>
          <w:p w14:paraId="5940E1E8" w14:textId="274BD779" w:rsidR="00306B00" w:rsidRPr="00306B00" w:rsidRDefault="00306B00" w:rsidP="00306B00">
            <w:pPr>
              <w:jc w:val="center"/>
              <w:rPr>
                <w:color w:val="000000"/>
                <w:sz w:val="20"/>
                <w:szCs w:val="20"/>
              </w:rPr>
            </w:pPr>
            <w:r w:rsidRPr="00306B00">
              <w:rPr>
                <w:color w:val="000000"/>
                <w:sz w:val="20"/>
                <w:szCs w:val="20"/>
              </w:rPr>
              <w:t>6.57</w:t>
            </w:r>
          </w:p>
        </w:tc>
      </w:tr>
      <w:tr w:rsidR="00306B00" w:rsidRPr="00306B00" w14:paraId="43D22164" w14:textId="77777777" w:rsidTr="00841D8C">
        <w:trPr>
          <w:trHeight w:val="397"/>
        </w:trPr>
        <w:tc>
          <w:tcPr>
            <w:tcW w:w="3681" w:type="dxa"/>
            <w:noWrap/>
            <w:vAlign w:val="center"/>
            <w:hideMark/>
          </w:tcPr>
          <w:p w14:paraId="68C244B2" w14:textId="77777777" w:rsidR="00306B00" w:rsidRPr="00306B00" w:rsidRDefault="00306B00">
            <w:pPr>
              <w:rPr>
                <w:color w:val="000000"/>
                <w:sz w:val="20"/>
                <w:szCs w:val="20"/>
              </w:rPr>
            </w:pPr>
            <w:r w:rsidRPr="00306B00">
              <w:rPr>
                <w:color w:val="000000"/>
                <w:sz w:val="20"/>
                <w:szCs w:val="20"/>
              </w:rPr>
              <w:t>Cost per incident</w:t>
            </w:r>
          </w:p>
        </w:tc>
        <w:tc>
          <w:tcPr>
            <w:tcW w:w="1276" w:type="dxa"/>
            <w:noWrap/>
            <w:vAlign w:val="center"/>
            <w:hideMark/>
          </w:tcPr>
          <w:p w14:paraId="7FD2491C" w14:textId="77777777" w:rsidR="00306B00" w:rsidRPr="00306B00" w:rsidRDefault="00306B00">
            <w:pPr>
              <w:jc w:val="right"/>
              <w:rPr>
                <w:color w:val="000000"/>
                <w:sz w:val="20"/>
                <w:szCs w:val="20"/>
              </w:rPr>
            </w:pPr>
            <w:r w:rsidRPr="00306B00">
              <w:rPr>
                <w:color w:val="000000"/>
                <w:sz w:val="20"/>
                <w:szCs w:val="20"/>
              </w:rPr>
              <w:t>f</w:t>
            </w:r>
          </w:p>
        </w:tc>
        <w:tc>
          <w:tcPr>
            <w:tcW w:w="4252" w:type="dxa"/>
            <w:gridSpan w:val="4"/>
            <w:noWrap/>
            <w:vAlign w:val="center"/>
            <w:hideMark/>
          </w:tcPr>
          <w:p w14:paraId="33EA6FDC" w14:textId="23960D6F" w:rsidR="00306B00" w:rsidRPr="00306B00" w:rsidRDefault="00306B00" w:rsidP="00306B00">
            <w:pPr>
              <w:jc w:val="center"/>
              <w:rPr>
                <w:color w:val="000000"/>
                <w:sz w:val="20"/>
                <w:szCs w:val="20"/>
              </w:rPr>
            </w:pPr>
            <w:r w:rsidRPr="00306B00">
              <w:rPr>
                <w:color w:val="000000"/>
                <w:sz w:val="20"/>
                <w:szCs w:val="20"/>
              </w:rPr>
              <w:t>$546,348</w:t>
            </w:r>
          </w:p>
        </w:tc>
      </w:tr>
      <w:tr w:rsidR="00A91E61" w:rsidRPr="00306B00" w14:paraId="2E43F8DD" w14:textId="77777777" w:rsidTr="00841D8C">
        <w:trPr>
          <w:trHeight w:val="397"/>
        </w:trPr>
        <w:tc>
          <w:tcPr>
            <w:tcW w:w="3681" w:type="dxa"/>
            <w:shd w:val="clear" w:color="auto" w:fill="F2F2F2" w:themeFill="background1" w:themeFillShade="F2"/>
            <w:noWrap/>
            <w:vAlign w:val="center"/>
            <w:hideMark/>
          </w:tcPr>
          <w:p w14:paraId="6F57C454" w14:textId="77777777" w:rsidR="00A91E61" w:rsidRPr="00306B00" w:rsidRDefault="00A91E61">
            <w:pPr>
              <w:rPr>
                <w:b/>
                <w:bCs/>
                <w:color w:val="000000"/>
                <w:sz w:val="20"/>
                <w:szCs w:val="20"/>
              </w:rPr>
            </w:pPr>
            <w:r w:rsidRPr="00306B00">
              <w:rPr>
                <w:b/>
                <w:bCs/>
                <w:color w:val="000000"/>
                <w:sz w:val="20"/>
                <w:szCs w:val="20"/>
              </w:rPr>
              <w:t>Total cost of major fraud</w:t>
            </w:r>
          </w:p>
        </w:tc>
        <w:tc>
          <w:tcPr>
            <w:tcW w:w="1276" w:type="dxa"/>
            <w:shd w:val="clear" w:color="auto" w:fill="F2F2F2" w:themeFill="background1" w:themeFillShade="F2"/>
            <w:noWrap/>
            <w:vAlign w:val="center"/>
            <w:hideMark/>
          </w:tcPr>
          <w:p w14:paraId="1513C3E7" w14:textId="77777777" w:rsidR="00A91E61" w:rsidRPr="00306B00" w:rsidRDefault="00A91E61">
            <w:pPr>
              <w:jc w:val="right"/>
              <w:rPr>
                <w:b/>
                <w:bCs/>
                <w:color w:val="000000"/>
                <w:sz w:val="20"/>
                <w:szCs w:val="20"/>
              </w:rPr>
            </w:pPr>
            <w:r w:rsidRPr="00306B00">
              <w:rPr>
                <w:b/>
                <w:bCs/>
                <w:color w:val="000000"/>
                <w:sz w:val="20"/>
                <w:szCs w:val="20"/>
              </w:rPr>
              <w:t>g = e x f</w:t>
            </w:r>
          </w:p>
        </w:tc>
        <w:tc>
          <w:tcPr>
            <w:tcW w:w="992" w:type="dxa"/>
            <w:shd w:val="clear" w:color="auto" w:fill="F2F2F2" w:themeFill="background1" w:themeFillShade="F2"/>
            <w:noWrap/>
            <w:vAlign w:val="center"/>
            <w:hideMark/>
          </w:tcPr>
          <w:p w14:paraId="324F3249" w14:textId="77777777" w:rsidR="00A91E61" w:rsidRPr="00306B00" w:rsidRDefault="00A91E61">
            <w:pPr>
              <w:jc w:val="right"/>
              <w:rPr>
                <w:b/>
                <w:bCs/>
                <w:color w:val="000000"/>
                <w:sz w:val="20"/>
                <w:szCs w:val="20"/>
              </w:rPr>
            </w:pPr>
            <w:r w:rsidRPr="00306B00">
              <w:rPr>
                <w:b/>
                <w:bCs/>
                <w:color w:val="000000"/>
                <w:sz w:val="20"/>
                <w:szCs w:val="20"/>
              </w:rPr>
              <w:t> </w:t>
            </w:r>
          </w:p>
        </w:tc>
        <w:tc>
          <w:tcPr>
            <w:tcW w:w="850" w:type="dxa"/>
            <w:shd w:val="clear" w:color="auto" w:fill="F2F2F2" w:themeFill="background1" w:themeFillShade="F2"/>
            <w:noWrap/>
            <w:vAlign w:val="center"/>
            <w:hideMark/>
          </w:tcPr>
          <w:p w14:paraId="2348EB4B" w14:textId="77777777" w:rsidR="00A91E61" w:rsidRPr="00306B00" w:rsidRDefault="00A91E61">
            <w:pPr>
              <w:jc w:val="right"/>
              <w:rPr>
                <w:b/>
                <w:bCs/>
                <w:color w:val="000000"/>
                <w:sz w:val="20"/>
                <w:szCs w:val="20"/>
              </w:rPr>
            </w:pPr>
            <w:r w:rsidRPr="00306B00">
              <w:rPr>
                <w:b/>
                <w:bCs/>
                <w:color w:val="000000"/>
                <w:sz w:val="20"/>
                <w:szCs w:val="20"/>
              </w:rPr>
              <w:t> </w:t>
            </w:r>
          </w:p>
        </w:tc>
        <w:tc>
          <w:tcPr>
            <w:tcW w:w="1134" w:type="dxa"/>
            <w:shd w:val="clear" w:color="auto" w:fill="F2F2F2" w:themeFill="background1" w:themeFillShade="F2"/>
            <w:noWrap/>
            <w:vAlign w:val="center"/>
            <w:hideMark/>
          </w:tcPr>
          <w:p w14:paraId="3F776EBE" w14:textId="77777777" w:rsidR="00A91E61" w:rsidRPr="00306B00" w:rsidRDefault="00A91E61">
            <w:pPr>
              <w:jc w:val="right"/>
              <w:rPr>
                <w:b/>
                <w:bCs/>
                <w:color w:val="000000"/>
                <w:sz w:val="20"/>
                <w:szCs w:val="20"/>
              </w:rPr>
            </w:pPr>
            <w:r w:rsidRPr="00306B00">
              <w:rPr>
                <w:b/>
                <w:bCs/>
                <w:color w:val="000000"/>
                <w:sz w:val="20"/>
                <w:szCs w:val="20"/>
              </w:rPr>
              <w:t>$3,589,348</w:t>
            </w:r>
          </w:p>
        </w:tc>
        <w:tc>
          <w:tcPr>
            <w:tcW w:w="1276" w:type="dxa"/>
            <w:shd w:val="clear" w:color="auto" w:fill="F2F2F2" w:themeFill="background1" w:themeFillShade="F2"/>
            <w:noWrap/>
            <w:vAlign w:val="center"/>
            <w:hideMark/>
          </w:tcPr>
          <w:p w14:paraId="63E04856" w14:textId="77777777" w:rsidR="00A91E61" w:rsidRPr="00306B00" w:rsidRDefault="00A91E61">
            <w:pPr>
              <w:jc w:val="right"/>
              <w:rPr>
                <w:b/>
                <w:bCs/>
                <w:color w:val="000000"/>
                <w:sz w:val="20"/>
                <w:szCs w:val="20"/>
              </w:rPr>
            </w:pPr>
            <w:r w:rsidRPr="00306B00">
              <w:rPr>
                <w:b/>
                <w:bCs/>
                <w:color w:val="000000"/>
                <w:sz w:val="20"/>
                <w:szCs w:val="20"/>
              </w:rPr>
              <w:t>$3,589,348</w:t>
            </w:r>
          </w:p>
        </w:tc>
      </w:tr>
      <w:tr w:rsidR="00A91E61" w:rsidRPr="00306B00" w14:paraId="6179B5D9" w14:textId="77777777" w:rsidTr="00841D8C">
        <w:trPr>
          <w:trHeight w:val="397"/>
        </w:trPr>
        <w:tc>
          <w:tcPr>
            <w:tcW w:w="3681" w:type="dxa"/>
            <w:shd w:val="clear" w:color="auto" w:fill="F2F2F2" w:themeFill="background1" w:themeFillShade="F2"/>
            <w:noWrap/>
            <w:vAlign w:val="center"/>
            <w:hideMark/>
          </w:tcPr>
          <w:p w14:paraId="00AF062A" w14:textId="77777777" w:rsidR="00A91E61" w:rsidRPr="00306B00" w:rsidRDefault="00A91E61">
            <w:pPr>
              <w:rPr>
                <w:b/>
                <w:bCs/>
                <w:color w:val="000000"/>
                <w:sz w:val="20"/>
                <w:szCs w:val="20"/>
              </w:rPr>
            </w:pPr>
            <w:r w:rsidRPr="00306B00">
              <w:rPr>
                <w:b/>
                <w:bCs/>
                <w:color w:val="000000"/>
                <w:sz w:val="20"/>
                <w:szCs w:val="20"/>
              </w:rPr>
              <w:t>Total cost of gambling-related theft and fraud to business and community</w:t>
            </w:r>
          </w:p>
        </w:tc>
        <w:tc>
          <w:tcPr>
            <w:tcW w:w="1276" w:type="dxa"/>
            <w:shd w:val="clear" w:color="auto" w:fill="F2F2F2" w:themeFill="background1" w:themeFillShade="F2"/>
            <w:noWrap/>
            <w:vAlign w:val="center"/>
            <w:hideMark/>
          </w:tcPr>
          <w:p w14:paraId="558C1E7F" w14:textId="77777777" w:rsidR="00A91E61" w:rsidRPr="00306B00" w:rsidRDefault="00A91E61">
            <w:pPr>
              <w:jc w:val="right"/>
              <w:rPr>
                <w:b/>
                <w:bCs/>
                <w:color w:val="000000"/>
                <w:sz w:val="20"/>
                <w:szCs w:val="20"/>
              </w:rPr>
            </w:pPr>
            <w:r w:rsidRPr="00306B00">
              <w:rPr>
                <w:b/>
                <w:bCs/>
                <w:color w:val="000000"/>
                <w:sz w:val="20"/>
                <w:szCs w:val="20"/>
              </w:rPr>
              <w:t>d + g</w:t>
            </w:r>
          </w:p>
        </w:tc>
        <w:tc>
          <w:tcPr>
            <w:tcW w:w="992" w:type="dxa"/>
            <w:shd w:val="clear" w:color="auto" w:fill="F2F2F2" w:themeFill="background1" w:themeFillShade="F2"/>
            <w:noWrap/>
            <w:vAlign w:val="center"/>
            <w:hideMark/>
          </w:tcPr>
          <w:p w14:paraId="7B7AD28A" w14:textId="77777777" w:rsidR="00A91E61" w:rsidRPr="00306B00" w:rsidRDefault="00A91E61">
            <w:pPr>
              <w:jc w:val="right"/>
              <w:rPr>
                <w:b/>
                <w:bCs/>
                <w:color w:val="000000"/>
                <w:sz w:val="20"/>
                <w:szCs w:val="20"/>
              </w:rPr>
            </w:pPr>
            <w:r w:rsidRPr="00306B00">
              <w:rPr>
                <w:b/>
                <w:bCs/>
                <w:color w:val="000000"/>
                <w:sz w:val="20"/>
                <w:szCs w:val="20"/>
              </w:rPr>
              <w:t>$11.5M</w:t>
            </w:r>
          </w:p>
        </w:tc>
        <w:tc>
          <w:tcPr>
            <w:tcW w:w="850" w:type="dxa"/>
            <w:shd w:val="clear" w:color="auto" w:fill="F2F2F2" w:themeFill="background1" w:themeFillShade="F2"/>
            <w:noWrap/>
            <w:vAlign w:val="center"/>
            <w:hideMark/>
          </w:tcPr>
          <w:p w14:paraId="31EBECB9" w14:textId="77777777" w:rsidR="00A91E61" w:rsidRPr="00306B00" w:rsidRDefault="00A91E61">
            <w:pPr>
              <w:jc w:val="right"/>
              <w:rPr>
                <w:b/>
                <w:bCs/>
                <w:color w:val="000000"/>
                <w:sz w:val="20"/>
                <w:szCs w:val="20"/>
              </w:rPr>
            </w:pPr>
            <w:r w:rsidRPr="00306B00">
              <w:rPr>
                <w:b/>
                <w:bCs/>
                <w:color w:val="000000"/>
                <w:sz w:val="20"/>
                <w:szCs w:val="20"/>
              </w:rPr>
              <w:t>$6.3M</w:t>
            </w:r>
          </w:p>
        </w:tc>
        <w:tc>
          <w:tcPr>
            <w:tcW w:w="1134" w:type="dxa"/>
            <w:shd w:val="clear" w:color="auto" w:fill="F2F2F2" w:themeFill="background1" w:themeFillShade="F2"/>
            <w:noWrap/>
            <w:vAlign w:val="center"/>
            <w:hideMark/>
          </w:tcPr>
          <w:p w14:paraId="42E540F6" w14:textId="77777777" w:rsidR="00A91E61" w:rsidRPr="00306B00" w:rsidRDefault="00A91E61">
            <w:pPr>
              <w:jc w:val="right"/>
              <w:rPr>
                <w:b/>
                <w:bCs/>
                <w:color w:val="000000"/>
                <w:sz w:val="20"/>
                <w:szCs w:val="20"/>
              </w:rPr>
            </w:pPr>
            <w:r w:rsidRPr="00306B00">
              <w:rPr>
                <w:b/>
                <w:bCs/>
                <w:color w:val="000000"/>
                <w:sz w:val="20"/>
                <w:szCs w:val="20"/>
              </w:rPr>
              <w:t>$14.2M</w:t>
            </w:r>
          </w:p>
        </w:tc>
        <w:tc>
          <w:tcPr>
            <w:tcW w:w="1276" w:type="dxa"/>
            <w:shd w:val="clear" w:color="auto" w:fill="F2F2F2" w:themeFill="background1" w:themeFillShade="F2"/>
            <w:noWrap/>
            <w:vAlign w:val="center"/>
            <w:hideMark/>
          </w:tcPr>
          <w:p w14:paraId="6FF9E958" w14:textId="77777777" w:rsidR="00A91E61" w:rsidRPr="00306B00" w:rsidRDefault="00A91E61">
            <w:pPr>
              <w:jc w:val="right"/>
              <w:rPr>
                <w:b/>
                <w:bCs/>
                <w:color w:val="000000"/>
                <w:sz w:val="20"/>
                <w:szCs w:val="20"/>
              </w:rPr>
            </w:pPr>
            <w:r w:rsidRPr="00306B00">
              <w:rPr>
                <w:b/>
                <w:bCs/>
                <w:color w:val="000000"/>
                <w:sz w:val="20"/>
                <w:szCs w:val="20"/>
              </w:rPr>
              <w:t>$31,990,368</w:t>
            </w:r>
          </w:p>
        </w:tc>
      </w:tr>
      <w:tr w:rsidR="00A91E61" w:rsidRPr="00306B00" w14:paraId="3B083A98" w14:textId="77777777" w:rsidTr="00841D8C">
        <w:trPr>
          <w:trHeight w:val="397"/>
        </w:trPr>
        <w:tc>
          <w:tcPr>
            <w:tcW w:w="7933" w:type="dxa"/>
            <w:gridSpan w:val="5"/>
            <w:vAlign w:val="center"/>
            <w:hideMark/>
          </w:tcPr>
          <w:p w14:paraId="154240CB" w14:textId="77777777" w:rsidR="00A91E61" w:rsidRPr="00306B00" w:rsidRDefault="00A91E61">
            <w:pPr>
              <w:rPr>
                <w:color w:val="000000"/>
                <w:sz w:val="20"/>
                <w:szCs w:val="20"/>
              </w:rPr>
            </w:pPr>
            <w:r w:rsidRPr="00306B00">
              <w:rPr>
                <w:color w:val="000000"/>
                <w:sz w:val="20"/>
                <w:szCs w:val="20"/>
              </w:rPr>
              <w:t>Lower bound</w:t>
            </w:r>
          </w:p>
        </w:tc>
        <w:tc>
          <w:tcPr>
            <w:tcW w:w="1276" w:type="dxa"/>
            <w:vAlign w:val="center"/>
            <w:hideMark/>
          </w:tcPr>
          <w:p w14:paraId="29BC61FF" w14:textId="77777777" w:rsidR="00A91E61" w:rsidRPr="00306B00" w:rsidRDefault="00A91E61">
            <w:pPr>
              <w:jc w:val="right"/>
              <w:rPr>
                <w:color w:val="000000"/>
                <w:sz w:val="20"/>
                <w:szCs w:val="20"/>
              </w:rPr>
            </w:pPr>
            <w:r w:rsidRPr="00306B00">
              <w:rPr>
                <w:color w:val="000000"/>
                <w:sz w:val="20"/>
                <w:szCs w:val="20"/>
              </w:rPr>
              <w:t>$13,654,434</w:t>
            </w:r>
          </w:p>
        </w:tc>
      </w:tr>
      <w:tr w:rsidR="00A91E61" w:rsidRPr="00306B00" w14:paraId="4E4D1BE3" w14:textId="77777777" w:rsidTr="00841D8C">
        <w:trPr>
          <w:trHeight w:val="397"/>
        </w:trPr>
        <w:tc>
          <w:tcPr>
            <w:tcW w:w="7933" w:type="dxa"/>
            <w:gridSpan w:val="5"/>
            <w:vAlign w:val="center"/>
            <w:hideMark/>
          </w:tcPr>
          <w:p w14:paraId="45BCB395" w14:textId="77777777" w:rsidR="00A91E61" w:rsidRPr="00306B00" w:rsidRDefault="00A91E61">
            <w:pPr>
              <w:rPr>
                <w:color w:val="000000"/>
                <w:sz w:val="20"/>
                <w:szCs w:val="20"/>
              </w:rPr>
            </w:pPr>
            <w:r w:rsidRPr="00306B00">
              <w:rPr>
                <w:color w:val="000000"/>
                <w:sz w:val="20"/>
                <w:szCs w:val="20"/>
              </w:rPr>
              <w:t>Upper bound</w:t>
            </w:r>
          </w:p>
        </w:tc>
        <w:tc>
          <w:tcPr>
            <w:tcW w:w="1276" w:type="dxa"/>
            <w:vAlign w:val="center"/>
            <w:hideMark/>
          </w:tcPr>
          <w:p w14:paraId="73423737" w14:textId="77777777" w:rsidR="00A91E61" w:rsidRPr="00306B00" w:rsidRDefault="00A91E61">
            <w:pPr>
              <w:jc w:val="right"/>
              <w:rPr>
                <w:color w:val="000000"/>
                <w:sz w:val="20"/>
                <w:szCs w:val="20"/>
              </w:rPr>
            </w:pPr>
            <w:r w:rsidRPr="00306B00">
              <w:rPr>
                <w:color w:val="000000"/>
                <w:sz w:val="20"/>
                <w:szCs w:val="20"/>
              </w:rPr>
              <w:t>$33,589,886</w:t>
            </w:r>
          </w:p>
        </w:tc>
      </w:tr>
      <w:tr w:rsidR="00A91E61" w:rsidRPr="00306B00" w14:paraId="7B336A86" w14:textId="77777777" w:rsidTr="00841D8C">
        <w:trPr>
          <w:trHeight w:val="996"/>
        </w:trPr>
        <w:tc>
          <w:tcPr>
            <w:tcW w:w="9209" w:type="dxa"/>
            <w:gridSpan w:val="6"/>
            <w:vAlign w:val="center"/>
            <w:hideMark/>
          </w:tcPr>
          <w:p w14:paraId="7F33A44F" w14:textId="77777777" w:rsidR="00A91E61" w:rsidRPr="00306B00" w:rsidRDefault="00A91E61">
            <w:pPr>
              <w:rPr>
                <w:i/>
                <w:iCs/>
                <w:color w:val="242424"/>
                <w:sz w:val="20"/>
                <w:szCs w:val="20"/>
              </w:rPr>
            </w:pPr>
            <w:r w:rsidRPr="00306B00">
              <w:rPr>
                <w:i/>
                <w:iCs/>
                <w:color w:val="242424"/>
                <w:sz w:val="20"/>
                <w:szCs w:val="20"/>
              </w:rPr>
              <w:t xml:space="preserve">Note: </w:t>
            </w:r>
            <w:r w:rsidRPr="00306B00">
              <w:rPr>
                <w:i/>
                <w:iCs/>
                <w:sz w:val="20"/>
                <w:szCs w:val="20"/>
              </w:rPr>
              <w:t xml:space="preserve">LR (low-risk gambling), MR (moderate-risk gambling), and problem gambling. </w:t>
            </w:r>
            <w:r w:rsidRPr="00306B00">
              <w:rPr>
                <w:i/>
                <w:iCs/>
                <w:color w:val="242424"/>
                <w:sz w:val="20"/>
                <w:szCs w:val="20"/>
              </w:rPr>
              <w:t>Totals may not match exactly due to rounding. Calculations are based on the original unrounded figures to ensure accuracy. The estimated number of major fraud cases was applied only to the problem gambling group, reflecting the severity and pattern of offending typically associated with this group.</w:t>
            </w:r>
          </w:p>
        </w:tc>
      </w:tr>
    </w:tbl>
    <w:p w14:paraId="4B79E198" w14:textId="77777777" w:rsidR="00DB689D" w:rsidRDefault="00DB689D" w:rsidP="00367A8D">
      <w:pPr>
        <w:spacing w:line="360" w:lineRule="auto"/>
      </w:pPr>
    </w:p>
    <w:p w14:paraId="3B535AB7" w14:textId="77777777" w:rsidR="00306B00" w:rsidRDefault="00306B00" w:rsidP="00367A8D">
      <w:pPr>
        <w:spacing w:line="360" w:lineRule="auto"/>
      </w:pPr>
    </w:p>
    <w:p w14:paraId="33FFD61F" w14:textId="77777777" w:rsidR="00306B00" w:rsidRDefault="00306B00" w:rsidP="00367A8D">
      <w:pPr>
        <w:spacing w:line="360" w:lineRule="auto"/>
      </w:pPr>
    </w:p>
    <w:p w14:paraId="584BB385" w14:textId="77777777" w:rsidR="00306B00" w:rsidRDefault="00306B00" w:rsidP="00367A8D">
      <w:pPr>
        <w:spacing w:line="360" w:lineRule="auto"/>
      </w:pPr>
    </w:p>
    <w:p w14:paraId="4A6008DA" w14:textId="77777777" w:rsidR="00DB689D" w:rsidRDefault="00310A10" w:rsidP="00657824">
      <w:pPr>
        <w:pStyle w:val="Heading2"/>
      </w:pPr>
      <w:bookmarkStart w:id="495" w:name="_tsh7a5t9gq55" w:colFirst="0" w:colLast="0"/>
      <w:bookmarkStart w:id="496" w:name="_twanf7l9ags0" w:colFirst="0" w:colLast="0"/>
      <w:bookmarkStart w:id="497" w:name="_Toc201572470"/>
      <w:bookmarkStart w:id="498" w:name="_Toc207195988"/>
      <w:bookmarkEnd w:id="495"/>
      <w:bookmarkEnd w:id="496"/>
      <w:r>
        <w:t>Legacy harm</w:t>
      </w:r>
      <w:bookmarkEnd w:id="497"/>
      <w:bookmarkEnd w:id="498"/>
    </w:p>
    <w:p w14:paraId="61406491" w14:textId="386E2684" w:rsidR="00DB689D" w:rsidRDefault="00641873" w:rsidP="00367A8D">
      <w:pPr>
        <w:spacing w:line="360" w:lineRule="auto"/>
      </w:pPr>
      <w:r>
        <w:br/>
        <w:t xml:space="preserve">Legacy harms are long-term consequences of gambling that can extend across the life course or even between generations </w:t>
      </w:r>
      <w:r w:rsidR="0038398B">
        <w:rPr>
          <w:noProof/>
          <w:color w:val="000000"/>
        </w:rPr>
        <w:t>(Langham et al., 2016)</w:t>
      </w:r>
      <w:r>
        <w:t>. While these impacts are recognised, they are difficult to quantify due to limited data and attribution challenges. As a result, these impacts and costs are largely excluded from this costing. This section includes only the cost of homelessness services, for which sufficient data is available to support economic costing.</w:t>
      </w:r>
    </w:p>
    <w:p w14:paraId="7E5EF28D" w14:textId="77777777" w:rsidR="00DB689D" w:rsidRDefault="00DB689D" w:rsidP="00367A8D">
      <w:pPr>
        <w:spacing w:line="360" w:lineRule="auto"/>
      </w:pPr>
    </w:p>
    <w:p w14:paraId="1B8C104C" w14:textId="77777777" w:rsidR="00DB689D" w:rsidRDefault="00310A10" w:rsidP="00C30E1A">
      <w:pPr>
        <w:pStyle w:val="Heading3"/>
      </w:pPr>
      <w:bookmarkStart w:id="499" w:name="_spund7f9wk7i" w:colFirst="0" w:colLast="0"/>
      <w:bookmarkStart w:id="500" w:name="_Toc201572471"/>
      <w:bookmarkStart w:id="501" w:name="_Toc207195989"/>
      <w:bookmarkEnd w:id="499"/>
      <w:r>
        <w:t>Homelessness</w:t>
      </w:r>
      <w:bookmarkEnd w:id="500"/>
      <w:bookmarkEnd w:id="501"/>
      <w:r>
        <w:t xml:space="preserve"> </w:t>
      </w:r>
    </w:p>
    <w:p w14:paraId="026CE15A" w14:textId="7B132F77" w:rsidR="00DB689D" w:rsidRDefault="00310A10" w:rsidP="00306B00">
      <w:pPr>
        <w:spacing w:line="360" w:lineRule="auto"/>
      </w:pPr>
      <w:r>
        <w:t xml:space="preserve">Gambling harm can contribute to housing instability and, in severe cases, homelessness, particularly when compounded by financial hardship, mental health challenges, or relationship breakdowns </w:t>
      </w:r>
      <w:r w:rsidR="00DB2449">
        <w:rPr>
          <w:noProof/>
          <w:color w:val="000000"/>
        </w:rPr>
        <w:t>(</w:t>
      </w:r>
      <w:r w:rsidR="002A3095">
        <w:rPr>
          <w:noProof/>
          <w:color w:val="000000"/>
        </w:rPr>
        <w:t>Browne, Greer et al., 2017</w:t>
      </w:r>
      <w:r w:rsidR="00DB2449">
        <w:rPr>
          <w:noProof/>
          <w:color w:val="000000"/>
        </w:rPr>
        <w:t>)</w:t>
      </w:r>
      <w:r>
        <w:t xml:space="preserve">. Although rarely the sole cause, gambling may escalate existing vulnerabilities and push individuals into housing insecurity. Government evaluations of gambling and housing services in New Zealand highlight housing instability as a key social impact of gambling, especially among those with complex needs </w:t>
      </w:r>
      <w:r w:rsidR="0038398B">
        <w:rPr>
          <w:noProof/>
          <w:color w:val="000000"/>
        </w:rPr>
        <w:t>(Malatest International and Sapere, 2024)</w:t>
      </w:r>
      <w:r>
        <w:t>.</w:t>
      </w:r>
    </w:p>
    <w:p w14:paraId="62EBBBF0" w14:textId="77777777" w:rsidR="00306B00" w:rsidRPr="00306B00" w:rsidRDefault="00306B00" w:rsidP="00306B00">
      <w:pPr>
        <w:spacing w:line="360" w:lineRule="auto"/>
      </w:pPr>
    </w:p>
    <w:tbl>
      <w:tblPr>
        <w:tblStyle w:val="af8"/>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B689D" w14:paraId="2BAFA5BF" w14:textId="77777777">
        <w:tc>
          <w:tcPr>
            <w:tcW w:w="9026" w:type="dxa"/>
            <w:shd w:val="clear" w:color="auto" w:fill="F3F3F3"/>
            <w:tcMar>
              <w:top w:w="100" w:type="dxa"/>
              <w:left w:w="100" w:type="dxa"/>
              <w:bottom w:w="100" w:type="dxa"/>
              <w:right w:w="100" w:type="dxa"/>
            </w:tcMar>
          </w:tcPr>
          <w:p w14:paraId="260DF9E9" w14:textId="77777777" w:rsidR="00DB689D" w:rsidRDefault="00310A10" w:rsidP="00CB5C8B">
            <w:pPr>
              <w:widowControl w:val="0"/>
              <w:pBdr>
                <w:top w:val="nil"/>
                <w:left w:val="nil"/>
                <w:bottom w:val="nil"/>
                <w:right w:val="nil"/>
                <w:between w:val="nil"/>
              </w:pBdr>
              <w:spacing w:line="276" w:lineRule="auto"/>
              <w:rPr>
                <w:color w:val="0E101A"/>
              </w:rPr>
            </w:pPr>
            <w:r>
              <w:rPr>
                <w:color w:val="0E101A"/>
              </w:rPr>
              <w:t>The economic impact of gambling-related homelessness to New Zealand was calculated using:</w:t>
            </w:r>
          </w:p>
          <w:p w14:paraId="01392CAD" w14:textId="77777777" w:rsidR="00DB689D" w:rsidRDefault="00DB689D" w:rsidP="00CB5C8B">
            <w:pPr>
              <w:widowControl w:val="0"/>
              <w:pBdr>
                <w:top w:val="nil"/>
                <w:left w:val="nil"/>
                <w:bottom w:val="nil"/>
                <w:right w:val="nil"/>
                <w:between w:val="nil"/>
              </w:pBdr>
              <w:spacing w:line="276" w:lineRule="auto"/>
              <w:rPr>
                <w:color w:val="0E101A"/>
              </w:rPr>
            </w:pPr>
          </w:p>
          <w:p w14:paraId="0973A8D7" w14:textId="77777777" w:rsidR="00DB689D" w:rsidRDefault="00310A10" w:rsidP="00CB5C8B">
            <w:pPr>
              <w:widowControl w:val="0"/>
              <w:pBdr>
                <w:top w:val="nil"/>
                <w:left w:val="nil"/>
                <w:bottom w:val="nil"/>
                <w:right w:val="nil"/>
                <w:between w:val="nil"/>
              </w:pBdr>
              <w:spacing w:line="276" w:lineRule="auto"/>
              <w:rPr>
                <w:i/>
                <w:color w:val="0E101A"/>
              </w:rPr>
            </w:pPr>
            <w:r>
              <w:rPr>
                <w:i/>
                <w:color w:val="0E101A"/>
              </w:rPr>
              <w:t>Rate of Homelessness Related to Gambling</w:t>
            </w:r>
          </w:p>
          <w:p w14:paraId="3520F83B" w14:textId="28A957A7" w:rsidR="00DB689D" w:rsidRDefault="00310A10" w:rsidP="00CB5C8B">
            <w:pPr>
              <w:widowControl w:val="0"/>
              <w:numPr>
                <w:ilvl w:val="0"/>
                <w:numId w:val="34"/>
              </w:numPr>
              <w:pBdr>
                <w:top w:val="nil"/>
                <w:left w:val="nil"/>
                <w:bottom w:val="nil"/>
                <w:right w:val="nil"/>
                <w:between w:val="nil"/>
              </w:pBdr>
              <w:spacing w:line="276" w:lineRule="auto"/>
              <w:rPr>
                <w:color w:val="0E101A"/>
              </w:rPr>
            </w:pPr>
            <w:r>
              <w:rPr>
                <w:color w:val="0E101A"/>
              </w:rPr>
              <w:t xml:space="preserve">The proportion of people in each PGSI risk group who accessed emergency or temporary accommodation was drawn from </w:t>
            </w:r>
            <w:r>
              <w:t xml:space="preserve">the </w:t>
            </w:r>
            <w:r>
              <w:rPr>
                <w:i/>
              </w:rPr>
              <w:t>Measuring the Burden of Gambling Harm in New Zealand Survey Report</w:t>
            </w:r>
            <w:r>
              <w:t xml:space="preserve"> </w:t>
            </w:r>
            <w:r w:rsidR="00DB2449">
              <w:rPr>
                <w:noProof/>
                <w:color w:val="000000"/>
              </w:rPr>
              <w:t>(</w:t>
            </w:r>
            <w:r w:rsidR="002A3095">
              <w:rPr>
                <w:noProof/>
                <w:color w:val="000000"/>
              </w:rPr>
              <w:t>Browne, Greer et al., 2017</w:t>
            </w:r>
            <w:r w:rsidR="00DB2449">
              <w:rPr>
                <w:noProof/>
                <w:color w:val="000000"/>
              </w:rPr>
              <w:t>)</w:t>
            </w:r>
            <w:r>
              <w:rPr>
                <w:color w:val="0E101A"/>
              </w:rPr>
              <w:t xml:space="preserve">. </w:t>
            </w:r>
          </w:p>
          <w:p w14:paraId="4CDFB049" w14:textId="23889FD1" w:rsidR="00DB689D" w:rsidRDefault="00310A10" w:rsidP="00CB5C8B">
            <w:pPr>
              <w:widowControl w:val="0"/>
              <w:numPr>
                <w:ilvl w:val="0"/>
                <w:numId w:val="34"/>
              </w:numPr>
              <w:pBdr>
                <w:top w:val="nil"/>
                <w:left w:val="nil"/>
                <w:bottom w:val="nil"/>
                <w:right w:val="nil"/>
                <w:between w:val="nil"/>
              </w:pBdr>
              <w:spacing w:line="276" w:lineRule="auto"/>
              <w:rPr>
                <w:color w:val="0E101A"/>
              </w:rPr>
            </w:pPr>
            <w:r>
              <w:rPr>
                <w:color w:val="0E101A"/>
              </w:rPr>
              <w:t xml:space="preserve">To account for attribution uncertainty, a causality discount was applied - 100% for low-risk gambling (excluding them from costing), and 20% for moderate-risk and problem gambling, consistent with Australian Productivity Commission </w:t>
            </w:r>
            <w:r w:rsidR="0038398B">
              <w:rPr>
                <w:noProof/>
                <w:color w:val="000000"/>
              </w:rPr>
              <w:t>(1999)</w:t>
            </w:r>
            <w:r>
              <w:rPr>
                <w:color w:val="0E101A"/>
              </w:rPr>
              <w:t xml:space="preserve"> guidance.</w:t>
            </w:r>
          </w:p>
          <w:p w14:paraId="3C7AAF3B" w14:textId="77777777" w:rsidR="00DB689D" w:rsidRDefault="00DB689D" w:rsidP="00CB5C8B">
            <w:pPr>
              <w:widowControl w:val="0"/>
              <w:pBdr>
                <w:top w:val="nil"/>
                <w:left w:val="nil"/>
                <w:bottom w:val="nil"/>
                <w:right w:val="nil"/>
                <w:between w:val="nil"/>
              </w:pBdr>
              <w:spacing w:line="276" w:lineRule="auto"/>
              <w:rPr>
                <w:color w:val="0E101A"/>
              </w:rPr>
            </w:pPr>
          </w:p>
          <w:p w14:paraId="49A15056" w14:textId="77777777" w:rsidR="00DB689D" w:rsidRDefault="00310A10" w:rsidP="00CB5C8B">
            <w:pPr>
              <w:widowControl w:val="0"/>
              <w:pBdr>
                <w:top w:val="nil"/>
                <w:left w:val="nil"/>
                <w:bottom w:val="nil"/>
                <w:right w:val="nil"/>
                <w:between w:val="nil"/>
              </w:pBdr>
              <w:spacing w:line="276" w:lineRule="auto"/>
              <w:rPr>
                <w:i/>
                <w:color w:val="0E101A"/>
              </w:rPr>
            </w:pPr>
            <w:r>
              <w:rPr>
                <w:i/>
                <w:color w:val="0E101A"/>
              </w:rPr>
              <w:t>Estimated number of New Zealanders experiencing gambling-related homelessness</w:t>
            </w:r>
          </w:p>
          <w:p w14:paraId="4C93CE48" w14:textId="77777777" w:rsidR="00DB689D" w:rsidRDefault="00310A10" w:rsidP="00CB5C8B">
            <w:pPr>
              <w:widowControl w:val="0"/>
              <w:numPr>
                <w:ilvl w:val="0"/>
                <w:numId w:val="46"/>
              </w:numPr>
              <w:spacing w:line="276" w:lineRule="auto"/>
              <w:rPr>
                <w:color w:val="0E101A"/>
              </w:rPr>
            </w:pPr>
            <w:r>
              <w:rPr>
                <w:color w:val="0E101A"/>
              </w:rPr>
              <w:t xml:space="preserve">The number of people in each PGSI category was obtained from the </w:t>
            </w:r>
            <w:r>
              <w:t>NZGS (2023/24).</w:t>
            </w:r>
            <w:r>
              <w:rPr>
                <w:color w:val="0E101A"/>
              </w:rPr>
              <w:t xml:space="preserve"> These figures were multiplied by the relevant prevalence rate and causality discount to estimate the number of New Zealanders experiencing homelessness due to gambling.</w:t>
            </w:r>
          </w:p>
          <w:p w14:paraId="5D5D6E3B" w14:textId="77777777" w:rsidR="00DB689D" w:rsidRDefault="00310A10" w:rsidP="00CB5C8B">
            <w:pPr>
              <w:widowControl w:val="0"/>
              <w:spacing w:line="276" w:lineRule="auto"/>
              <w:rPr>
                <w:i/>
                <w:color w:val="0E101A"/>
              </w:rPr>
            </w:pPr>
            <w:r>
              <w:rPr>
                <w:i/>
                <w:color w:val="0E101A"/>
              </w:rPr>
              <w:t>Cost to Government</w:t>
            </w:r>
          </w:p>
          <w:p w14:paraId="645AB19C" w14:textId="341AE910" w:rsidR="00DB689D" w:rsidRDefault="00310A10" w:rsidP="00CB5C8B">
            <w:pPr>
              <w:widowControl w:val="0"/>
              <w:numPr>
                <w:ilvl w:val="0"/>
                <w:numId w:val="46"/>
              </w:numPr>
              <w:spacing w:line="276" w:lineRule="auto"/>
              <w:rPr>
                <w:color w:val="0E101A"/>
              </w:rPr>
            </w:pPr>
            <w:r>
              <w:rPr>
                <w:color w:val="0E101A"/>
              </w:rPr>
              <w:t xml:space="preserve">Vote Housing and Urban Development expenditure on severe housing deprivation in 2023–24 was $522.6 million </w:t>
            </w:r>
            <w:r w:rsidR="0038398B">
              <w:rPr>
                <w:noProof/>
                <w:color w:val="000000"/>
              </w:rPr>
              <w:t>(Stats New Zealand, 2024)</w:t>
            </w:r>
            <w:r>
              <w:rPr>
                <w:color w:val="0E101A"/>
              </w:rPr>
              <w:t xml:space="preserve">. This expenditure was divided by the total number of people living without shelter or in temporary accommodation (112,496 people) </w:t>
            </w:r>
            <w:r w:rsidR="0038398B">
              <w:rPr>
                <w:noProof/>
                <w:color w:val="000000"/>
              </w:rPr>
              <w:t>(Stats New Zealand, 2024)</w:t>
            </w:r>
            <w:r>
              <w:rPr>
                <w:color w:val="0E101A"/>
              </w:rPr>
              <w:t xml:space="preserve"> to calculate an average service cost per person.</w:t>
            </w:r>
          </w:p>
          <w:p w14:paraId="065CA842" w14:textId="77777777" w:rsidR="00DB689D" w:rsidRDefault="00310A10" w:rsidP="00CB5C8B">
            <w:pPr>
              <w:widowControl w:val="0"/>
              <w:numPr>
                <w:ilvl w:val="0"/>
                <w:numId w:val="46"/>
              </w:numPr>
              <w:spacing w:line="276" w:lineRule="auto"/>
              <w:rPr>
                <w:color w:val="0E101A"/>
              </w:rPr>
            </w:pPr>
            <w:r>
              <w:rPr>
                <w:color w:val="0E101A"/>
              </w:rPr>
              <w:t>This cost was then multiplied by the estimated number of people experiencing gambling-related homelessness to determine the total attributed cost.</w:t>
            </w:r>
          </w:p>
        </w:tc>
      </w:tr>
    </w:tbl>
    <w:p w14:paraId="0C766BF4" w14:textId="77777777" w:rsidR="00DB689D" w:rsidRDefault="00DB689D" w:rsidP="00367A8D">
      <w:pPr>
        <w:spacing w:before="120" w:after="240" w:line="360" w:lineRule="auto"/>
        <w:rPr>
          <w:color w:val="0E101A"/>
          <w:highlight w:val="yellow"/>
        </w:rPr>
      </w:pPr>
    </w:p>
    <w:p w14:paraId="361821C5" w14:textId="097C19E1" w:rsidR="00DB689D" w:rsidRPr="00CB5C8B" w:rsidRDefault="00310A10" w:rsidP="00306B00">
      <w:pPr>
        <w:spacing w:line="360" w:lineRule="auto"/>
      </w:pPr>
      <w:r>
        <w:rPr>
          <w:b/>
        </w:rPr>
        <w:t>The estimated economic impact of gambling-related homelessness to the New Zealand Government is around $5.2 million (</w:t>
      </w:r>
      <w:r w:rsidRPr="00A91E61">
        <w:rPr>
          <w:b/>
        </w:rPr>
        <w:t>Table 3</w:t>
      </w:r>
      <w:r w:rsidR="001D7B0D">
        <w:rPr>
          <w:b/>
        </w:rPr>
        <w:t>2</w:t>
      </w:r>
      <w:r>
        <w:rPr>
          <w:b/>
        </w:rPr>
        <w:t>)</w:t>
      </w:r>
      <w:r w:rsidRPr="00A91E61">
        <w:rPr>
          <w:b/>
        </w:rPr>
        <w:t>.</w:t>
      </w:r>
      <w:r>
        <w:t xml:space="preserve"> </w:t>
      </w:r>
      <w:r w:rsidR="00CB5C8B">
        <w:t xml:space="preserve"> </w:t>
      </w:r>
    </w:p>
    <w:p w14:paraId="56D449E6" w14:textId="77777777" w:rsidR="00DB689D" w:rsidRDefault="00DB689D" w:rsidP="00367A8D">
      <w:pPr>
        <w:spacing w:line="360" w:lineRule="auto"/>
        <w:rPr>
          <w:b/>
        </w:rPr>
      </w:pPr>
    </w:p>
    <w:p w14:paraId="5EFEE135" w14:textId="01649DC0" w:rsidR="00A91E61" w:rsidRDefault="00A91E61" w:rsidP="00DB094D">
      <w:pPr>
        <w:pStyle w:val="Caption"/>
      </w:pPr>
      <w:bookmarkStart w:id="502" w:name="_Toc207619074"/>
      <w:r w:rsidRPr="001D7B0D">
        <w:t xml:space="preserve">Table </w:t>
      </w:r>
      <w:r w:rsidRPr="001D7B0D">
        <w:fldChar w:fldCharType="begin"/>
      </w:r>
      <w:r w:rsidRPr="001D7B0D">
        <w:instrText xml:space="preserve"> SEQ Table \* ARABIC </w:instrText>
      </w:r>
      <w:r w:rsidRPr="001D7B0D">
        <w:fldChar w:fldCharType="separate"/>
      </w:r>
      <w:r w:rsidR="00986A0D">
        <w:rPr>
          <w:noProof/>
        </w:rPr>
        <w:t>32</w:t>
      </w:r>
      <w:r w:rsidRPr="001D7B0D">
        <w:fldChar w:fldCharType="end"/>
      </w:r>
      <w:r w:rsidRPr="001D7B0D">
        <w:t>.</w:t>
      </w:r>
      <w:r>
        <w:t xml:space="preserve"> </w:t>
      </w:r>
      <w:r w:rsidRPr="00F912F0">
        <w:t>Cost of homelessness due to gambling problems in New Zealand (2023-24)</w:t>
      </w:r>
      <w:bookmarkEnd w:id="502"/>
    </w:p>
    <w:tbl>
      <w:tblPr>
        <w:tblStyle w:val="TableGridLight"/>
        <w:tblW w:w="9209" w:type="dxa"/>
        <w:tblLook w:val="04A0" w:firstRow="1" w:lastRow="0" w:firstColumn="1" w:lastColumn="0" w:noHBand="0" w:noVBand="1"/>
      </w:tblPr>
      <w:tblGrid>
        <w:gridCol w:w="3571"/>
        <w:gridCol w:w="1243"/>
        <w:gridCol w:w="866"/>
        <w:gridCol w:w="1116"/>
        <w:gridCol w:w="1116"/>
        <w:gridCol w:w="1374"/>
      </w:tblGrid>
      <w:tr w:rsidR="00A91E61" w:rsidRPr="00306B00" w14:paraId="433D071B" w14:textId="77777777" w:rsidTr="00841D8C">
        <w:trPr>
          <w:trHeight w:val="397"/>
        </w:trPr>
        <w:tc>
          <w:tcPr>
            <w:tcW w:w="3571" w:type="dxa"/>
            <w:shd w:val="clear" w:color="auto" w:fill="F2F2F2" w:themeFill="background1" w:themeFillShade="F2"/>
            <w:vAlign w:val="center"/>
            <w:hideMark/>
          </w:tcPr>
          <w:p w14:paraId="7312A191" w14:textId="77777777" w:rsidR="00A91E61" w:rsidRPr="00306B00" w:rsidRDefault="00A91E61">
            <w:pPr>
              <w:rPr>
                <w:b/>
                <w:bCs/>
                <w:color w:val="000000"/>
                <w:sz w:val="20"/>
                <w:szCs w:val="20"/>
              </w:rPr>
            </w:pPr>
            <w:r w:rsidRPr="00306B00">
              <w:rPr>
                <w:b/>
                <w:bCs/>
                <w:color w:val="000000"/>
                <w:sz w:val="20"/>
                <w:szCs w:val="20"/>
              </w:rPr>
              <w:t>Variable</w:t>
            </w:r>
          </w:p>
        </w:tc>
        <w:tc>
          <w:tcPr>
            <w:tcW w:w="1243" w:type="dxa"/>
            <w:shd w:val="clear" w:color="auto" w:fill="F2F2F2" w:themeFill="background1" w:themeFillShade="F2"/>
            <w:vAlign w:val="center"/>
            <w:hideMark/>
          </w:tcPr>
          <w:p w14:paraId="2CCD266C" w14:textId="77777777" w:rsidR="00A91E61" w:rsidRPr="00306B00" w:rsidRDefault="00A91E61">
            <w:pPr>
              <w:rPr>
                <w:b/>
                <w:bCs/>
                <w:color w:val="000000"/>
                <w:sz w:val="20"/>
                <w:szCs w:val="20"/>
              </w:rPr>
            </w:pPr>
            <w:r w:rsidRPr="00306B00">
              <w:rPr>
                <w:b/>
                <w:bCs/>
                <w:color w:val="000000"/>
                <w:sz w:val="20"/>
                <w:szCs w:val="20"/>
              </w:rPr>
              <w:t>Calculation</w:t>
            </w:r>
          </w:p>
        </w:tc>
        <w:tc>
          <w:tcPr>
            <w:tcW w:w="845" w:type="dxa"/>
            <w:shd w:val="clear" w:color="auto" w:fill="F2F2F2" w:themeFill="background1" w:themeFillShade="F2"/>
            <w:vAlign w:val="center"/>
            <w:hideMark/>
          </w:tcPr>
          <w:p w14:paraId="5547C28B" w14:textId="77777777" w:rsidR="00A91E61" w:rsidRPr="00306B00" w:rsidRDefault="00A91E61">
            <w:pPr>
              <w:jc w:val="center"/>
              <w:rPr>
                <w:b/>
                <w:bCs/>
                <w:color w:val="000000"/>
                <w:sz w:val="20"/>
                <w:szCs w:val="20"/>
              </w:rPr>
            </w:pPr>
            <w:r w:rsidRPr="00306B00">
              <w:rPr>
                <w:b/>
                <w:bCs/>
                <w:color w:val="000000"/>
                <w:sz w:val="20"/>
                <w:szCs w:val="20"/>
              </w:rPr>
              <w:t>LR</w:t>
            </w:r>
          </w:p>
        </w:tc>
        <w:tc>
          <w:tcPr>
            <w:tcW w:w="1088" w:type="dxa"/>
            <w:shd w:val="clear" w:color="auto" w:fill="F2F2F2" w:themeFill="background1" w:themeFillShade="F2"/>
            <w:vAlign w:val="center"/>
            <w:hideMark/>
          </w:tcPr>
          <w:p w14:paraId="3CFF2903" w14:textId="77777777" w:rsidR="00A91E61" w:rsidRPr="00306B00" w:rsidRDefault="00A91E61">
            <w:pPr>
              <w:jc w:val="center"/>
              <w:rPr>
                <w:b/>
                <w:bCs/>
                <w:color w:val="000000"/>
                <w:sz w:val="20"/>
                <w:szCs w:val="20"/>
              </w:rPr>
            </w:pPr>
            <w:r w:rsidRPr="00306B00">
              <w:rPr>
                <w:b/>
                <w:bCs/>
                <w:color w:val="000000"/>
                <w:sz w:val="20"/>
                <w:szCs w:val="20"/>
              </w:rPr>
              <w:t>MR</w:t>
            </w:r>
          </w:p>
        </w:tc>
        <w:tc>
          <w:tcPr>
            <w:tcW w:w="1088" w:type="dxa"/>
            <w:shd w:val="clear" w:color="auto" w:fill="F2F2F2" w:themeFill="background1" w:themeFillShade="F2"/>
            <w:vAlign w:val="center"/>
            <w:hideMark/>
          </w:tcPr>
          <w:p w14:paraId="23D51BC1" w14:textId="77777777" w:rsidR="00A91E61" w:rsidRPr="00306B00" w:rsidRDefault="00A91E61">
            <w:pPr>
              <w:jc w:val="center"/>
              <w:rPr>
                <w:b/>
                <w:bCs/>
                <w:color w:val="000000"/>
                <w:sz w:val="20"/>
                <w:szCs w:val="20"/>
              </w:rPr>
            </w:pPr>
            <w:r w:rsidRPr="00306B00">
              <w:rPr>
                <w:b/>
                <w:bCs/>
                <w:color w:val="000000"/>
                <w:sz w:val="20"/>
                <w:szCs w:val="20"/>
              </w:rPr>
              <w:t>PG</w:t>
            </w:r>
          </w:p>
        </w:tc>
        <w:tc>
          <w:tcPr>
            <w:tcW w:w="1374" w:type="dxa"/>
            <w:shd w:val="clear" w:color="auto" w:fill="F2F2F2" w:themeFill="background1" w:themeFillShade="F2"/>
            <w:vAlign w:val="center"/>
            <w:hideMark/>
          </w:tcPr>
          <w:p w14:paraId="41966F6A" w14:textId="77777777" w:rsidR="00A91E61" w:rsidRPr="00306B00" w:rsidRDefault="00A91E61">
            <w:pPr>
              <w:jc w:val="center"/>
              <w:rPr>
                <w:b/>
                <w:bCs/>
                <w:color w:val="000000"/>
                <w:sz w:val="20"/>
                <w:szCs w:val="20"/>
              </w:rPr>
            </w:pPr>
            <w:r w:rsidRPr="00306B00">
              <w:rPr>
                <w:b/>
                <w:bCs/>
                <w:color w:val="000000"/>
                <w:sz w:val="20"/>
                <w:szCs w:val="20"/>
              </w:rPr>
              <w:t>Total Gambling Problems</w:t>
            </w:r>
          </w:p>
        </w:tc>
      </w:tr>
      <w:tr w:rsidR="00A91E61" w:rsidRPr="00306B00" w14:paraId="2CDE1AC6" w14:textId="77777777" w:rsidTr="00841D8C">
        <w:trPr>
          <w:trHeight w:val="397"/>
        </w:trPr>
        <w:tc>
          <w:tcPr>
            <w:tcW w:w="3571" w:type="dxa"/>
            <w:noWrap/>
            <w:vAlign w:val="center"/>
            <w:hideMark/>
          </w:tcPr>
          <w:p w14:paraId="1746693C" w14:textId="77777777" w:rsidR="00A91E61" w:rsidRPr="00306B00" w:rsidRDefault="00A91E61">
            <w:pPr>
              <w:rPr>
                <w:color w:val="000000"/>
                <w:sz w:val="20"/>
                <w:szCs w:val="20"/>
              </w:rPr>
            </w:pPr>
            <w:r w:rsidRPr="00306B00">
              <w:rPr>
                <w:color w:val="000000"/>
                <w:sz w:val="20"/>
                <w:szCs w:val="20"/>
              </w:rPr>
              <w:t>New Zealand Adult population</w:t>
            </w:r>
          </w:p>
        </w:tc>
        <w:tc>
          <w:tcPr>
            <w:tcW w:w="1243" w:type="dxa"/>
            <w:noWrap/>
            <w:vAlign w:val="center"/>
            <w:hideMark/>
          </w:tcPr>
          <w:p w14:paraId="033FCEC9" w14:textId="77777777" w:rsidR="00A91E61" w:rsidRPr="00306B00" w:rsidRDefault="00A91E61">
            <w:pPr>
              <w:rPr>
                <w:color w:val="000000"/>
                <w:sz w:val="20"/>
                <w:szCs w:val="20"/>
              </w:rPr>
            </w:pPr>
            <w:r w:rsidRPr="00306B00">
              <w:rPr>
                <w:color w:val="000000"/>
                <w:sz w:val="20"/>
                <w:szCs w:val="20"/>
              </w:rPr>
              <w:t>a</w:t>
            </w:r>
          </w:p>
        </w:tc>
        <w:tc>
          <w:tcPr>
            <w:tcW w:w="4395" w:type="dxa"/>
            <w:gridSpan w:val="4"/>
            <w:vAlign w:val="center"/>
            <w:hideMark/>
          </w:tcPr>
          <w:p w14:paraId="41EC9A09" w14:textId="77777777" w:rsidR="00A91E61" w:rsidRPr="00306B00" w:rsidRDefault="00A91E61">
            <w:pPr>
              <w:jc w:val="right"/>
              <w:rPr>
                <w:color w:val="000000"/>
                <w:sz w:val="20"/>
                <w:szCs w:val="20"/>
              </w:rPr>
            </w:pPr>
            <w:r w:rsidRPr="00306B00">
              <w:rPr>
                <w:color w:val="000000"/>
                <w:sz w:val="20"/>
                <w:szCs w:val="20"/>
              </w:rPr>
              <w:t>4,305,930</w:t>
            </w:r>
          </w:p>
        </w:tc>
      </w:tr>
      <w:tr w:rsidR="00A91E61" w:rsidRPr="00306B00" w14:paraId="430C14BC" w14:textId="77777777" w:rsidTr="00841D8C">
        <w:trPr>
          <w:trHeight w:val="557"/>
        </w:trPr>
        <w:tc>
          <w:tcPr>
            <w:tcW w:w="3571" w:type="dxa"/>
            <w:noWrap/>
            <w:vAlign w:val="center"/>
            <w:hideMark/>
          </w:tcPr>
          <w:p w14:paraId="5FB5DDB1" w14:textId="77777777" w:rsidR="00A91E61" w:rsidRPr="00306B00" w:rsidRDefault="00A91E61">
            <w:pPr>
              <w:rPr>
                <w:color w:val="000000"/>
                <w:sz w:val="20"/>
                <w:szCs w:val="20"/>
              </w:rPr>
            </w:pPr>
            <w:r w:rsidRPr="00306B00">
              <w:rPr>
                <w:color w:val="000000"/>
                <w:sz w:val="20"/>
                <w:szCs w:val="20"/>
              </w:rPr>
              <w:t>Number of people in New Zealand with gambling problems</w:t>
            </w:r>
          </w:p>
        </w:tc>
        <w:tc>
          <w:tcPr>
            <w:tcW w:w="1243" w:type="dxa"/>
            <w:noWrap/>
            <w:vAlign w:val="center"/>
            <w:hideMark/>
          </w:tcPr>
          <w:p w14:paraId="5F06BF3E" w14:textId="77777777" w:rsidR="00A91E61" w:rsidRPr="00306B00" w:rsidRDefault="00A91E61">
            <w:pPr>
              <w:rPr>
                <w:color w:val="000000"/>
                <w:sz w:val="20"/>
                <w:szCs w:val="20"/>
              </w:rPr>
            </w:pPr>
            <w:r w:rsidRPr="00306B00">
              <w:rPr>
                <w:color w:val="000000"/>
                <w:sz w:val="20"/>
                <w:szCs w:val="20"/>
              </w:rPr>
              <w:t>b</w:t>
            </w:r>
          </w:p>
        </w:tc>
        <w:tc>
          <w:tcPr>
            <w:tcW w:w="845" w:type="dxa"/>
            <w:noWrap/>
            <w:vAlign w:val="center"/>
            <w:hideMark/>
          </w:tcPr>
          <w:p w14:paraId="20E3959A" w14:textId="77777777" w:rsidR="00A91E61" w:rsidRPr="00306B00" w:rsidRDefault="00A91E61">
            <w:pPr>
              <w:jc w:val="right"/>
              <w:rPr>
                <w:color w:val="000000"/>
                <w:sz w:val="20"/>
                <w:szCs w:val="20"/>
              </w:rPr>
            </w:pPr>
            <w:r w:rsidRPr="00306B00">
              <w:rPr>
                <w:color w:val="000000"/>
                <w:sz w:val="20"/>
                <w:szCs w:val="20"/>
              </w:rPr>
              <w:t>255,318</w:t>
            </w:r>
          </w:p>
        </w:tc>
        <w:tc>
          <w:tcPr>
            <w:tcW w:w="1088" w:type="dxa"/>
            <w:noWrap/>
            <w:vAlign w:val="center"/>
            <w:hideMark/>
          </w:tcPr>
          <w:p w14:paraId="55EEF3E2" w14:textId="77777777" w:rsidR="00A91E61" w:rsidRPr="00306B00" w:rsidRDefault="00A91E61">
            <w:pPr>
              <w:jc w:val="right"/>
              <w:rPr>
                <w:color w:val="000000"/>
                <w:sz w:val="20"/>
                <w:szCs w:val="20"/>
              </w:rPr>
            </w:pPr>
            <w:r w:rsidRPr="00306B00">
              <w:rPr>
                <w:color w:val="000000"/>
                <w:sz w:val="20"/>
                <w:szCs w:val="20"/>
              </w:rPr>
              <w:t>83,492</w:t>
            </w:r>
          </w:p>
        </w:tc>
        <w:tc>
          <w:tcPr>
            <w:tcW w:w="1088" w:type="dxa"/>
            <w:noWrap/>
            <w:vAlign w:val="center"/>
            <w:hideMark/>
          </w:tcPr>
          <w:p w14:paraId="4B0F151E" w14:textId="77777777" w:rsidR="00A91E61" w:rsidRPr="00306B00" w:rsidRDefault="00A91E61">
            <w:pPr>
              <w:jc w:val="right"/>
              <w:rPr>
                <w:color w:val="000000"/>
                <w:sz w:val="20"/>
                <w:szCs w:val="20"/>
              </w:rPr>
            </w:pPr>
            <w:r w:rsidRPr="00306B00">
              <w:rPr>
                <w:color w:val="000000"/>
                <w:sz w:val="20"/>
                <w:szCs w:val="20"/>
              </w:rPr>
              <w:t>20,436</w:t>
            </w:r>
          </w:p>
        </w:tc>
        <w:tc>
          <w:tcPr>
            <w:tcW w:w="1374" w:type="dxa"/>
            <w:vAlign w:val="center"/>
            <w:hideMark/>
          </w:tcPr>
          <w:p w14:paraId="1CAA0EF2" w14:textId="77777777" w:rsidR="00A91E61" w:rsidRPr="00306B00" w:rsidRDefault="00A91E61">
            <w:pPr>
              <w:jc w:val="right"/>
              <w:rPr>
                <w:color w:val="000000"/>
                <w:sz w:val="20"/>
                <w:szCs w:val="20"/>
              </w:rPr>
            </w:pPr>
            <w:r w:rsidRPr="00306B00">
              <w:rPr>
                <w:color w:val="000000"/>
                <w:sz w:val="20"/>
                <w:szCs w:val="20"/>
              </w:rPr>
              <w:t>359,246</w:t>
            </w:r>
          </w:p>
        </w:tc>
      </w:tr>
      <w:tr w:rsidR="00A91E61" w:rsidRPr="00306B00" w14:paraId="040F5527" w14:textId="77777777" w:rsidTr="00841D8C">
        <w:trPr>
          <w:trHeight w:val="565"/>
        </w:trPr>
        <w:tc>
          <w:tcPr>
            <w:tcW w:w="3571" w:type="dxa"/>
            <w:vAlign w:val="center"/>
            <w:hideMark/>
          </w:tcPr>
          <w:p w14:paraId="41843A54" w14:textId="77777777" w:rsidR="00A91E61" w:rsidRPr="00306B00" w:rsidRDefault="00A91E61">
            <w:pPr>
              <w:rPr>
                <w:color w:val="000000"/>
                <w:sz w:val="20"/>
                <w:szCs w:val="20"/>
              </w:rPr>
            </w:pPr>
            <w:r w:rsidRPr="00306B00">
              <w:rPr>
                <w:color w:val="000000"/>
                <w:sz w:val="20"/>
                <w:szCs w:val="20"/>
              </w:rPr>
              <w:t xml:space="preserve">% of PGSI group who access emergency or temporary accommodation </w:t>
            </w:r>
          </w:p>
        </w:tc>
        <w:tc>
          <w:tcPr>
            <w:tcW w:w="1243" w:type="dxa"/>
            <w:noWrap/>
            <w:vAlign w:val="center"/>
            <w:hideMark/>
          </w:tcPr>
          <w:p w14:paraId="08BE6DAE" w14:textId="77777777" w:rsidR="00A91E61" w:rsidRPr="00306B00" w:rsidRDefault="00A91E61">
            <w:pPr>
              <w:rPr>
                <w:color w:val="000000"/>
                <w:sz w:val="20"/>
                <w:szCs w:val="20"/>
              </w:rPr>
            </w:pPr>
            <w:r w:rsidRPr="00306B00">
              <w:rPr>
                <w:color w:val="000000"/>
                <w:sz w:val="20"/>
                <w:szCs w:val="20"/>
              </w:rPr>
              <w:t>c</w:t>
            </w:r>
          </w:p>
        </w:tc>
        <w:tc>
          <w:tcPr>
            <w:tcW w:w="845" w:type="dxa"/>
            <w:noWrap/>
            <w:vAlign w:val="center"/>
            <w:hideMark/>
          </w:tcPr>
          <w:p w14:paraId="0C82526E" w14:textId="77777777" w:rsidR="00A91E61" w:rsidRPr="00306B00" w:rsidRDefault="00A91E61">
            <w:pPr>
              <w:jc w:val="right"/>
              <w:rPr>
                <w:color w:val="000000"/>
                <w:sz w:val="20"/>
                <w:szCs w:val="20"/>
              </w:rPr>
            </w:pPr>
            <w:r w:rsidRPr="00306B00">
              <w:rPr>
                <w:color w:val="000000"/>
                <w:sz w:val="20"/>
                <w:szCs w:val="20"/>
              </w:rPr>
              <w:t>0.8%</w:t>
            </w:r>
          </w:p>
        </w:tc>
        <w:tc>
          <w:tcPr>
            <w:tcW w:w="1088" w:type="dxa"/>
            <w:noWrap/>
            <w:vAlign w:val="center"/>
            <w:hideMark/>
          </w:tcPr>
          <w:p w14:paraId="7EA0EB7F" w14:textId="77777777" w:rsidR="00A91E61" w:rsidRPr="00306B00" w:rsidRDefault="00A91E61">
            <w:pPr>
              <w:jc w:val="right"/>
              <w:rPr>
                <w:color w:val="000000"/>
                <w:sz w:val="20"/>
                <w:szCs w:val="20"/>
              </w:rPr>
            </w:pPr>
            <w:r w:rsidRPr="00306B00">
              <w:rPr>
                <w:color w:val="000000"/>
                <w:sz w:val="20"/>
                <w:szCs w:val="20"/>
              </w:rPr>
              <w:t>0.6%</w:t>
            </w:r>
          </w:p>
        </w:tc>
        <w:tc>
          <w:tcPr>
            <w:tcW w:w="1088" w:type="dxa"/>
            <w:noWrap/>
            <w:vAlign w:val="center"/>
            <w:hideMark/>
          </w:tcPr>
          <w:p w14:paraId="7E776769" w14:textId="77777777" w:rsidR="00A91E61" w:rsidRPr="00306B00" w:rsidRDefault="00A91E61">
            <w:pPr>
              <w:jc w:val="right"/>
              <w:rPr>
                <w:color w:val="000000"/>
                <w:sz w:val="20"/>
                <w:szCs w:val="20"/>
              </w:rPr>
            </w:pPr>
            <w:r w:rsidRPr="00306B00">
              <w:rPr>
                <w:color w:val="000000"/>
                <w:sz w:val="20"/>
                <w:szCs w:val="20"/>
              </w:rPr>
              <w:t>4.4%</w:t>
            </w:r>
          </w:p>
        </w:tc>
        <w:tc>
          <w:tcPr>
            <w:tcW w:w="1374" w:type="dxa"/>
            <w:noWrap/>
            <w:vAlign w:val="center"/>
            <w:hideMark/>
          </w:tcPr>
          <w:p w14:paraId="45C72626" w14:textId="77777777" w:rsidR="00A91E61" w:rsidRPr="00306B00" w:rsidRDefault="00A91E61">
            <w:pPr>
              <w:jc w:val="right"/>
              <w:rPr>
                <w:color w:val="000000"/>
                <w:sz w:val="20"/>
                <w:szCs w:val="20"/>
              </w:rPr>
            </w:pPr>
            <w:r w:rsidRPr="00306B00">
              <w:rPr>
                <w:color w:val="000000"/>
                <w:sz w:val="20"/>
                <w:szCs w:val="20"/>
              </w:rPr>
              <w:t> </w:t>
            </w:r>
          </w:p>
        </w:tc>
      </w:tr>
      <w:tr w:rsidR="00A91E61" w:rsidRPr="00306B00" w14:paraId="13AFEB8F" w14:textId="77777777" w:rsidTr="00841D8C">
        <w:trPr>
          <w:trHeight w:val="558"/>
        </w:trPr>
        <w:tc>
          <w:tcPr>
            <w:tcW w:w="3571" w:type="dxa"/>
            <w:vAlign w:val="center"/>
            <w:hideMark/>
          </w:tcPr>
          <w:p w14:paraId="5B42685F" w14:textId="77777777" w:rsidR="00A91E61" w:rsidRPr="00306B00" w:rsidRDefault="00A91E61">
            <w:pPr>
              <w:rPr>
                <w:color w:val="000000"/>
                <w:sz w:val="20"/>
                <w:szCs w:val="20"/>
              </w:rPr>
            </w:pPr>
            <w:r w:rsidRPr="00306B00">
              <w:rPr>
                <w:color w:val="000000"/>
                <w:sz w:val="20"/>
                <w:szCs w:val="20"/>
              </w:rPr>
              <w:t>Less causality discount (100% LR, 20% MR/PG)</w:t>
            </w:r>
          </w:p>
        </w:tc>
        <w:tc>
          <w:tcPr>
            <w:tcW w:w="1243" w:type="dxa"/>
            <w:noWrap/>
            <w:vAlign w:val="center"/>
            <w:hideMark/>
          </w:tcPr>
          <w:p w14:paraId="1DAAEEFD" w14:textId="77777777" w:rsidR="00A91E61" w:rsidRPr="00306B00" w:rsidRDefault="00A91E61">
            <w:pPr>
              <w:rPr>
                <w:color w:val="000000"/>
                <w:sz w:val="20"/>
                <w:szCs w:val="20"/>
              </w:rPr>
            </w:pPr>
            <w:r w:rsidRPr="00306B00">
              <w:rPr>
                <w:color w:val="000000"/>
                <w:sz w:val="20"/>
                <w:szCs w:val="20"/>
              </w:rPr>
              <w:t>d</w:t>
            </w:r>
          </w:p>
        </w:tc>
        <w:tc>
          <w:tcPr>
            <w:tcW w:w="845" w:type="dxa"/>
            <w:noWrap/>
            <w:vAlign w:val="center"/>
            <w:hideMark/>
          </w:tcPr>
          <w:p w14:paraId="419F17A8" w14:textId="77777777" w:rsidR="00A91E61" w:rsidRPr="00306B00" w:rsidRDefault="00A91E61">
            <w:pPr>
              <w:jc w:val="right"/>
              <w:rPr>
                <w:color w:val="000000"/>
                <w:sz w:val="20"/>
                <w:szCs w:val="20"/>
              </w:rPr>
            </w:pPr>
            <w:r w:rsidRPr="00306B00">
              <w:rPr>
                <w:color w:val="000000"/>
                <w:sz w:val="20"/>
                <w:szCs w:val="20"/>
              </w:rPr>
              <w:t>0.0%</w:t>
            </w:r>
          </w:p>
        </w:tc>
        <w:tc>
          <w:tcPr>
            <w:tcW w:w="1088" w:type="dxa"/>
            <w:noWrap/>
            <w:vAlign w:val="center"/>
            <w:hideMark/>
          </w:tcPr>
          <w:p w14:paraId="0F5B6745" w14:textId="77777777" w:rsidR="00A91E61" w:rsidRPr="00306B00" w:rsidRDefault="00A91E61">
            <w:pPr>
              <w:jc w:val="right"/>
              <w:rPr>
                <w:color w:val="000000"/>
                <w:sz w:val="20"/>
                <w:szCs w:val="20"/>
              </w:rPr>
            </w:pPr>
            <w:r w:rsidRPr="00306B00">
              <w:rPr>
                <w:color w:val="000000"/>
                <w:sz w:val="20"/>
                <w:szCs w:val="20"/>
              </w:rPr>
              <w:t>80.0%</w:t>
            </w:r>
          </w:p>
        </w:tc>
        <w:tc>
          <w:tcPr>
            <w:tcW w:w="1088" w:type="dxa"/>
            <w:noWrap/>
            <w:vAlign w:val="center"/>
            <w:hideMark/>
          </w:tcPr>
          <w:p w14:paraId="4095705F" w14:textId="77777777" w:rsidR="00A91E61" w:rsidRPr="00306B00" w:rsidRDefault="00A91E61">
            <w:pPr>
              <w:jc w:val="right"/>
              <w:rPr>
                <w:color w:val="000000"/>
                <w:sz w:val="20"/>
                <w:szCs w:val="20"/>
              </w:rPr>
            </w:pPr>
            <w:r w:rsidRPr="00306B00">
              <w:rPr>
                <w:color w:val="000000"/>
                <w:sz w:val="20"/>
                <w:szCs w:val="20"/>
              </w:rPr>
              <w:t>80.0%</w:t>
            </w:r>
          </w:p>
        </w:tc>
        <w:tc>
          <w:tcPr>
            <w:tcW w:w="1374" w:type="dxa"/>
            <w:noWrap/>
            <w:vAlign w:val="center"/>
            <w:hideMark/>
          </w:tcPr>
          <w:p w14:paraId="4004D017" w14:textId="77777777" w:rsidR="00A91E61" w:rsidRPr="00306B00" w:rsidRDefault="00A91E61">
            <w:pPr>
              <w:jc w:val="right"/>
              <w:rPr>
                <w:color w:val="000000"/>
                <w:sz w:val="20"/>
                <w:szCs w:val="20"/>
              </w:rPr>
            </w:pPr>
            <w:r w:rsidRPr="00306B00">
              <w:rPr>
                <w:color w:val="000000"/>
                <w:sz w:val="20"/>
                <w:szCs w:val="20"/>
              </w:rPr>
              <w:t> </w:t>
            </w:r>
          </w:p>
        </w:tc>
      </w:tr>
      <w:tr w:rsidR="00A91E61" w:rsidRPr="00306B00" w14:paraId="72DE24BE" w14:textId="77777777" w:rsidTr="00841D8C">
        <w:trPr>
          <w:trHeight w:val="992"/>
        </w:trPr>
        <w:tc>
          <w:tcPr>
            <w:tcW w:w="3571" w:type="dxa"/>
            <w:vAlign w:val="center"/>
            <w:hideMark/>
          </w:tcPr>
          <w:p w14:paraId="5EEC8153" w14:textId="77777777" w:rsidR="00A91E61" w:rsidRPr="00306B00" w:rsidRDefault="00A91E61">
            <w:pPr>
              <w:rPr>
                <w:color w:val="000000"/>
                <w:sz w:val="20"/>
                <w:szCs w:val="20"/>
              </w:rPr>
            </w:pPr>
            <w:r w:rsidRPr="00306B00">
              <w:rPr>
                <w:color w:val="000000"/>
                <w:sz w:val="20"/>
                <w:szCs w:val="20"/>
              </w:rPr>
              <w:t>Estimated number of people with gambling problems who access emergency or temporary accommodation (less causality discount)</w:t>
            </w:r>
          </w:p>
        </w:tc>
        <w:tc>
          <w:tcPr>
            <w:tcW w:w="1243" w:type="dxa"/>
            <w:noWrap/>
            <w:vAlign w:val="center"/>
            <w:hideMark/>
          </w:tcPr>
          <w:p w14:paraId="322A25B8" w14:textId="77777777" w:rsidR="00A91E61" w:rsidRPr="00306B00" w:rsidRDefault="00A91E61">
            <w:pPr>
              <w:rPr>
                <w:color w:val="000000"/>
                <w:sz w:val="20"/>
                <w:szCs w:val="20"/>
              </w:rPr>
            </w:pPr>
            <w:r w:rsidRPr="00306B00">
              <w:rPr>
                <w:color w:val="000000"/>
                <w:sz w:val="20"/>
                <w:szCs w:val="20"/>
              </w:rPr>
              <w:t>e = b x c x d</w:t>
            </w:r>
          </w:p>
        </w:tc>
        <w:tc>
          <w:tcPr>
            <w:tcW w:w="845" w:type="dxa"/>
            <w:noWrap/>
            <w:vAlign w:val="center"/>
            <w:hideMark/>
          </w:tcPr>
          <w:p w14:paraId="15F5D226" w14:textId="77777777" w:rsidR="00A91E61" w:rsidRPr="00306B00" w:rsidRDefault="00A91E61">
            <w:pPr>
              <w:jc w:val="right"/>
              <w:rPr>
                <w:color w:val="000000"/>
                <w:sz w:val="20"/>
                <w:szCs w:val="20"/>
              </w:rPr>
            </w:pPr>
            <w:r w:rsidRPr="00306B00">
              <w:rPr>
                <w:color w:val="000000"/>
                <w:sz w:val="20"/>
                <w:szCs w:val="20"/>
              </w:rPr>
              <w:t>0</w:t>
            </w:r>
          </w:p>
        </w:tc>
        <w:tc>
          <w:tcPr>
            <w:tcW w:w="1088" w:type="dxa"/>
            <w:noWrap/>
            <w:vAlign w:val="center"/>
            <w:hideMark/>
          </w:tcPr>
          <w:p w14:paraId="128BA82A" w14:textId="77777777" w:rsidR="00A91E61" w:rsidRPr="00306B00" w:rsidRDefault="00A91E61">
            <w:pPr>
              <w:jc w:val="right"/>
              <w:rPr>
                <w:color w:val="000000"/>
                <w:sz w:val="20"/>
                <w:szCs w:val="20"/>
              </w:rPr>
            </w:pPr>
            <w:r w:rsidRPr="00306B00">
              <w:rPr>
                <w:color w:val="000000"/>
                <w:sz w:val="20"/>
                <w:szCs w:val="20"/>
              </w:rPr>
              <w:t>401</w:t>
            </w:r>
          </w:p>
        </w:tc>
        <w:tc>
          <w:tcPr>
            <w:tcW w:w="1088" w:type="dxa"/>
            <w:noWrap/>
            <w:vAlign w:val="center"/>
            <w:hideMark/>
          </w:tcPr>
          <w:p w14:paraId="12BF1B1E" w14:textId="77777777" w:rsidR="00A91E61" w:rsidRPr="00306B00" w:rsidRDefault="00A91E61">
            <w:pPr>
              <w:jc w:val="right"/>
              <w:rPr>
                <w:color w:val="000000"/>
                <w:sz w:val="20"/>
                <w:szCs w:val="20"/>
              </w:rPr>
            </w:pPr>
            <w:r w:rsidRPr="00306B00">
              <w:rPr>
                <w:color w:val="000000"/>
                <w:sz w:val="20"/>
                <w:szCs w:val="20"/>
              </w:rPr>
              <w:t>719</w:t>
            </w:r>
          </w:p>
        </w:tc>
        <w:tc>
          <w:tcPr>
            <w:tcW w:w="1374" w:type="dxa"/>
            <w:vAlign w:val="center"/>
            <w:hideMark/>
          </w:tcPr>
          <w:p w14:paraId="488008CB" w14:textId="77777777" w:rsidR="00A91E61" w:rsidRPr="00306B00" w:rsidRDefault="00A91E61">
            <w:pPr>
              <w:jc w:val="right"/>
              <w:rPr>
                <w:color w:val="000000"/>
                <w:sz w:val="20"/>
                <w:szCs w:val="20"/>
              </w:rPr>
            </w:pPr>
            <w:r w:rsidRPr="00306B00">
              <w:rPr>
                <w:color w:val="000000"/>
                <w:sz w:val="20"/>
                <w:szCs w:val="20"/>
              </w:rPr>
              <w:t>1,120</w:t>
            </w:r>
          </w:p>
        </w:tc>
      </w:tr>
      <w:tr w:rsidR="00A91E61" w:rsidRPr="00306B00" w14:paraId="4BAB9A9E" w14:textId="77777777" w:rsidTr="00841D8C">
        <w:trPr>
          <w:trHeight w:val="539"/>
        </w:trPr>
        <w:tc>
          <w:tcPr>
            <w:tcW w:w="3571" w:type="dxa"/>
            <w:vAlign w:val="center"/>
            <w:hideMark/>
          </w:tcPr>
          <w:p w14:paraId="4F34746D" w14:textId="77777777" w:rsidR="00A91E61" w:rsidRPr="00306B00" w:rsidRDefault="00A91E61">
            <w:pPr>
              <w:rPr>
                <w:color w:val="000000"/>
                <w:sz w:val="20"/>
                <w:szCs w:val="20"/>
              </w:rPr>
            </w:pPr>
            <w:r w:rsidRPr="00306B00">
              <w:rPr>
                <w:color w:val="000000"/>
                <w:sz w:val="20"/>
                <w:szCs w:val="20"/>
              </w:rPr>
              <w:t>Number of the population living without shelter or in temporary accommodation</w:t>
            </w:r>
          </w:p>
        </w:tc>
        <w:tc>
          <w:tcPr>
            <w:tcW w:w="1243" w:type="dxa"/>
            <w:noWrap/>
            <w:vAlign w:val="center"/>
            <w:hideMark/>
          </w:tcPr>
          <w:p w14:paraId="2A63468D" w14:textId="77777777" w:rsidR="00A91E61" w:rsidRPr="00306B00" w:rsidRDefault="00A91E61">
            <w:pPr>
              <w:rPr>
                <w:color w:val="000000"/>
                <w:sz w:val="20"/>
                <w:szCs w:val="20"/>
              </w:rPr>
            </w:pPr>
            <w:r w:rsidRPr="00306B00">
              <w:rPr>
                <w:color w:val="000000"/>
                <w:sz w:val="20"/>
                <w:szCs w:val="20"/>
              </w:rPr>
              <w:t xml:space="preserve">f </w:t>
            </w:r>
          </w:p>
        </w:tc>
        <w:tc>
          <w:tcPr>
            <w:tcW w:w="4395" w:type="dxa"/>
            <w:gridSpan w:val="4"/>
            <w:noWrap/>
            <w:vAlign w:val="center"/>
            <w:hideMark/>
          </w:tcPr>
          <w:p w14:paraId="3D96579B" w14:textId="77777777" w:rsidR="00A91E61" w:rsidRPr="00306B00" w:rsidRDefault="00A91E61" w:rsidP="00306B00">
            <w:pPr>
              <w:jc w:val="center"/>
              <w:rPr>
                <w:color w:val="000000"/>
                <w:sz w:val="20"/>
                <w:szCs w:val="20"/>
              </w:rPr>
            </w:pPr>
            <w:r w:rsidRPr="00306B00">
              <w:rPr>
                <w:color w:val="000000"/>
                <w:sz w:val="20"/>
                <w:szCs w:val="20"/>
              </w:rPr>
              <w:t>112,496</w:t>
            </w:r>
          </w:p>
        </w:tc>
      </w:tr>
      <w:tr w:rsidR="00A91E61" w:rsidRPr="00306B00" w14:paraId="5C4B3097" w14:textId="77777777" w:rsidTr="00841D8C">
        <w:trPr>
          <w:trHeight w:val="561"/>
        </w:trPr>
        <w:tc>
          <w:tcPr>
            <w:tcW w:w="3571" w:type="dxa"/>
            <w:vAlign w:val="center"/>
            <w:hideMark/>
          </w:tcPr>
          <w:p w14:paraId="115779EA" w14:textId="77777777" w:rsidR="00A91E61" w:rsidRPr="00306B00" w:rsidRDefault="00A91E61">
            <w:pPr>
              <w:rPr>
                <w:color w:val="000000"/>
                <w:sz w:val="20"/>
                <w:szCs w:val="20"/>
              </w:rPr>
            </w:pPr>
            <w:r w:rsidRPr="00306B00">
              <w:rPr>
                <w:color w:val="000000"/>
                <w:sz w:val="20"/>
                <w:szCs w:val="20"/>
              </w:rPr>
              <w:t>Proportion of severely housing deprived population with gambling-related cause</w:t>
            </w:r>
          </w:p>
        </w:tc>
        <w:tc>
          <w:tcPr>
            <w:tcW w:w="1243" w:type="dxa"/>
            <w:noWrap/>
            <w:vAlign w:val="center"/>
            <w:hideMark/>
          </w:tcPr>
          <w:p w14:paraId="63ECC9AB" w14:textId="77777777" w:rsidR="00A91E61" w:rsidRPr="00306B00" w:rsidRDefault="00A91E61">
            <w:pPr>
              <w:rPr>
                <w:color w:val="000000"/>
                <w:sz w:val="20"/>
                <w:szCs w:val="20"/>
              </w:rPr>
            </w:pPr>
            <w:r w:rsidRPr="00306B00">
              <w:rPr>
                <w:color w:val="000000"/>
                <w:sz w:val="20"/>
                <w:szCs w:val="20"/>
              </w:rPr>
              <w:t>g = e ÷ f</w:t>
            </w:r>
          </w:p>
        </w:tc>
        <w:tc>
          <w:tcPr>
            <w:tcW w:w="845" w:type="dxa"/>
            <w:noWrap/>
            <w:vAlign w:val="center"/>
            <w:hideMark/>
          </w:tcPr>
          <w:p w14:paraId="0E017FCA" w14:textId="77777777" w:rsidR="00A91E61" w:rsidRPr="00306B00" w:rsidRDefault="00A91E61">
            <w:pPr>
              <w:jc w:val="right"/>
              <w:rPr>
                <w:color w:val="000000"/>
                <w:sz w:val="20"/>
                <w:szCs w:val="20"/>
              </w:rPr>
            </w:pPr>
            <w:r w:rsidRPr="00306B00">
              <w:rPr>
                <w:color w:val="000000"/>
                <w:sz w:val="20"/>
                <w:szCs w:val="20"/>
              </w:rPr>
              <w:t>0.00%</w:t>
            </w:r>
          </w:p>
        </w:tc>
        <w:tc>
          <w:tcPr>
            <w:tcW w:w="1088" w:type="dxa"/>
            <w:noWrap/>
            <w:vAlign w:val="center"/>
            <w:hideMark/>
          </w:tcPr>
          <w:p w14:paraId="6A90139D" w14:textId="77777777" w:rsidR="00A91E61" w:rsidRPr="00306B00" w:rsidRDefault="00A91E61">
            <w:pPr>
              <w:jc w:val="right"/>
              <w:rPr>
                <w:color w:val="000000"/>
                <w:sz w:val="20"/>
                <w:szCs w:val="20"/>
              </w:rPr>
            </w:pPr>
            <w:r w:rsidRPr="00306B00">
              <w:rPr>
                <w:color w:val="000000"/>
                <w:sz w:val="20"/>
                <w:szCs w:val="20"/>
              </w:rPr>
              <w:t>0.36%</w:t>
            </w:r>
          </w:p>
        </w:tc>
        <w:tc>
          <w:tcPr>
            <w:tcW w:w="1088" w:type="dxa"/>
            <w:noWrap/>
            <w:vAlign w:val="center"/>
            <w:hideMark/>
          </w:tcPr>
          <w:p w14:paraId="344D66D2" w14:textId="77777777" w:rsidR="00A91E61" w:rsidRPr="00306B00" w:rsidRDefault="00A91E61">
            <w:pPr>
              <w:jc w:val="right"/>
              <w:rPr>
                <w:color w:val="000000"/>
                <w:sz w:val="20"/>
                <w:szCs w:val="20"/>
              </w:rPr>
            </w:pPr>
            <w:r w:rsidRPr="00306B00">
              <w:rPr>
                <w:color w:val="000000"/>
                <w:sz w:val="20"/>
                <w:szCs w:val="20"/>
              </w:rPr>
              <w:t>0.64%</w:t>
            </w:r>
          </w:p>
        </w:tc>
        <w:tc>
          <w:tcPr>
            <w:tcW w:w="1374" w:type="dxa"/>
            <w:noWrap/>
            <w:vAlign w:val="center"/>
            <w:hideMark/>
          </w:tcPr>
          <w:p w14:paraId="186E58A3" w14:textId="77777777" w:rsidR="00A91E61" w:rsidRPr="00306B00" w:rsidRDefault="00A91E61">
            <w:pPr>
              <w:jc w:val="right"/>
              <w:rPr>
                <w:color w:val="000000"/>
                <w:sz w:val="20"/>
                <w:szCs w:val="20"/>
              </w:rPr>
            </w:pPr>
            <w:r w:rsidRPr="00306B00">
              <w:rPr>
                <w:color w:val="000000"/>
                <w:sz w:val="20"/>
                <w:szCs w:val="20"/>
              </w:rPr>
              <w:t> </w:t>
            </w:r>
          </w:p>
        </w:tc>
      </w:tr>
      <w:tr w:rsidR="00A91E61" w:rsidRPr="00306B00" w14:paraId="799F0CE8" w14:textId="77777777" w:rsidTr="00841D8C">
        <w:trPr>
          <w:trHeight w:val="838"/>
        </w:trPr>
        <w:tc>
          <w:tcPr>
            <w:tcW w:w="3571" w:type="dxa"/>
            <w:vAlign w:val="center"/>
            <w:hideMark/>
          </w:tcPr>
          <w:p w14:paraId="4B9406B8" w14:textId="77777777" w:rsidR="00A91E61" w:rsidRPr="00306B00" w:rsidRDefault="00A91E61">
            <w:pPr>
              <w:rPr>
                <w:color w:val="000000"/>
                <w:sz w:val="20"/>
                <w:szCs w:val="20"/>
              </w:rPr>
            </w:pPr>
            <w:r w:rsidRPr="00306B00">
              <w:rPr>
                <w:color w:val="000000"/>
                <w:sz w:val="20"/>
                <w:szCs w:val="20"/>
              </w:rPr>
              <w:t>Vote Housing and Urban Development expenditure related to severe housing deprivation</w:t>
            </w:r>
          </w:p>
        </w:tc>
        <w:tc>
          <w:tcPr>
            <w:tcW w:w="1243" w:type="dxa"/>
            <w:noWrap/>
            <w:vAlign w:val="center"/>
            <w:hideMark/>
          </w:tcPr>
          <w:p w14:paraId="08D28FF9" w14:textId="77777777" w:rsidR="00A91E61" w:rsidRPr="00306B00" w:rsidRDefault="00A91E61">
            <w:pPr>
              <w:rPr>
                <w:color w:val="000000"/>
                <w:sz w:val="20"/>
                <w:szCs w:val="20"/>
              </w:rPr>
            </w:pPr>
            <w:r w:rsidRPr="00306B00">
              <w:rPr>
                <w:color w:val="000000"/>
                <w:sz w:val="20"/>
                <w:szCs w:val="20"/>
              </w:rPr>
              <w:t>h</w:t>
            </w:r>
          </w:p>
        </w:tc>
        <w:tc>
          <w:tcPr>
            <w:tcW w:w="4395" w:type="dxa"/>
            <w:gridSpan w:val="4"/>
            <w:noWrap/>
            <w:vAlign w:val="center"/>
            <w:hideMark/>
          </w:tcPr>
          <w:p w14:paraId="10E9EFBE" w14:textId="77777777" w:rsidR="00A91E61" w:rsidRPr="00306B00" w:rsidRDefault="00A91E61" w:rsidP="00306B00">
            <w:pPr>
              <w:jc w:val="center"/>
              <w:rPr>
                <w:color w:val="000000"/>
                <w:sz w:val="20"/>
                <w:szCs w:val="20"/>
              </w:rPr>
            </w:pPr>
            <w:r w:rsidRPr="00306B00">
              <w:rPr>
                <w:color w:val="000000"/>
                <w:sz w:val="20"/>
                <w:szCs w:val="20"/>
              </w:rPr>
              <w:t>$522,616,000</w:t>
            </w:r>
          </w:p>
        </w:tc>
      </w:tr>
      <w:tr w:rsidR="00A91E61" w:rsidRPr="00306B00" w14:paraId="692FCF0C" w14:textId="77777777" w:rsidTr="00841D8C">
        <w:trPr>
          <w:trHeight w:val="566"/>
        </w:trPr>
        <w:tc>
          <w:tcPr>
            <w:tcW w:w="3571" w:type="dxa"/>
            <w:vAlign w:val="center"/>
            <w:hideMark/>
          </w:tcPr>
          <w:p w14:paraId="65BF2C05" w14:textId="77777777" w:rsidR="00A91E61" w:rsidRPr="00306B00" w:rsidRDefault="00A91E61">
            <w:pPr>
              <w:rPr>
                <w:color w:val="000000"/>
                <w:sz w:val="20"/>
                <w:szCs w:val="20"/>
              </w:rPr>
            </w:pPr>
            <w:r w:rsidRPr="00306B00">
              <w:rPr>
                <w:color w:val="000000"/>
                <w:sz w:val="20"/>
                <w:szCs w:val="20"/>
              </w:rPr>
              <w:t>Average homeless services spend per person</w:t>
            </w:r>
          </w:p>
        </w:tc>
        <w:tc>
          <w:tcPr>
            <w:tcW w:w="1243" w:type="dxa"/>
            <w:noWrap/>
            <w:vAlign w:val="center"/>
            <w:hideMark/>
          </w:tcPr>
          <w:p w14:paraId="7208B2E0" w14:textId="77777777" w:rsidR="00A91E61" w:rsidRPr="00306B00" w:rsidRDefault="00A91E61">
            <w:pPr>
              <w:rPr>
                <w:color w:val="000000"/>
                <w:sz w:val="20"/>
                <w:szCs w:val="20"/>
              </w:rPr>
            </w:pPr>
            <w:r w:rsidRPr="00306B00">
              <w:rPr>
                <w:color w:val="000000"/>
                <w:sz w:val="20"/>
                <w:szCs w:val="20"/>
              </w:rPr>
              <w:t>i = h ÷ f</w:t>
            </w:r>
          </w:p>
        </w:tc>
        <w:tc>
          <w:tcPr>
            <w:tcW w:w="845" w:type="dxa"/>
            <w:noWrap/>
            <w:vAlign w:val="center"/>
            <w:hideMark/>
          </w:tcPr>
          <w:p w14:paraId="52C32D44" w14:textId="77777777" w:rsidR="00A91E61" w:rsidRPr="00306B00" w:rsidRDefault="00A91E61">
            <w:pPr>
              <w:jc w:val="right"/>
              <w:rPr>
                <w:color w:val="000000"/>
                <w:sz w:val="20"/>
                <w:szCs w:val="20"/>
              </w:rPr>
            </w:pPr>
            <w:r w:rsidRPr="00306B00">
              <w:rPr>
                <w:color w:val="000000"/>
                <w:sz w:val="20"/>
                <w:szCs w:val="20"/>
              </w:rPr>
              <w:t> </w:t>
            </w:r>
          </w:p>
        </w:tc>
        <w:tc>
          <w:tcPr>
            <w:tcW w:w="1088" w:type="dxa"/>
            <w:noWrap/>
            <w:vAlign w:val="center"/>
            <w:hideMark/>
          </w:tcPr>
          <w:p w14:paraId="24AC6724" w14:textId="77777777" w:rsidR="00A91E61" w:rsidRPr="00306B00" w:rsidRDefault="00A91E61">
            <w:pPr>
              <w:jc w:val="right"/>
              <w:rPr>
                <w:color w:val="000000"/>
                <w:sz w:val="20"/>
                <w:szCs w:val="20"/>
              </w:rPr>
            </w:pPr>
            <w:r w:rsidRPr="00306B00">
              <w:rPr>
                <w:color w:val="000000"/>
                <w:sz w:val="20"/>
                <w:szCs w:val="20"/>
              </w:rPr>
              <w:t> </w:t>
            </w:r>
          </w:p>
        </w:tc>
        <w:tc>
          <w:tcPr>
            <w:tcW w:w="1088" w:type="dxa"/>
            <w:noWrap/>
            <w:vAlign w:val="center"/>
            <w:hideMark/>
          </w:tcPr>
          <w:p w14:paraId="04FD96F7" w14:textId="77777777" w:rsidR="00A91E61" w:rsidRPr="00306B00" w:rsidRDefault="00A91E61">
            <w:pPr>
              <w:jc w:val="right"/>
              <w:rPr>
                <w:color w:val="000000"/>
                <w:sz w:val="20"/>
                <w:szCs w:val="20"/>
              </w:rPr>
            </w:pPr>
            <w:r w:rsidRPr="00306B00">
              <w:rPr>
                <w:color w:val="000000"/>
                <w:sz w:val="20"/>
                <w:szCs w:val="20"/>
              </w:rPr>
              <w:t> </w:t>
            </w:r>
          </w:p>
        </w:tc>
        <w:tc>
          <w:tcPr>
            <w:tcW w:w="1374" w:type="dxa"/>
            <w:noWrap/>
            <w:vAlign w:val="center"/>
            <w:hideMark/>
          </w:tcPr>
          <w:p w14:paraId="0F952EC4" w14:textId="77777777" w:rsidR="00A91E61" w:rsidRPr="00306B00" w:rsidRDefault="00A91E61">
            <w:pPr>
              <w:jc w:val="right"/>
              <w:rPr>
                <w:color w:val="000000"/>
                <w:sz w:val="20"/>
                <w:szCs w:val="20"/>
              </w:rPr>
            </w:pPr>
            <w:r w:rsidRPr="00306B00">
              <w:rPr>
                <w:color w:val="000000"/>
                <w:sz w:val="20"/>
                <w:szCs w:val="20"/>
              </w:rPr>
              <w:t>$4,646</w:t>
            </w:r>
          </w:p>
        </w:tc>
      </w:tr>
      <w:tr w:rsidR="00A91E61" w:rsidRPr="00306B00" w14:paraId="5E4A106B" w14:textId="77777777" w:rsidTr="00841D8C">
        <w:trPr>
          <w:trHeight w:val="397"/>
        </w:trPr>
        <w:tc>
          <w:tcPr>
            <w:tcW w:w="3571" w:type="dxa"/>
            <w:shd w:val="clear" w:color="auto" w:fill="F2F2F2" w:themeFill="background1" w:themeFillShade="F2"/>
            <w:vAlign w:val="center"/>
            <w:hideMark/>
          </w:tcPr>
          <w:p w14:paraId="6A26E1E3" w14:textId="77777777" w:rsidR="00A91E61" w:rsidRPr="00306B00" w:rsidRDefault="00A91E61">
            <w:pPr>
              <w:rPr>
                <w:b/>
                <w:bCs/>
                <w:color w:val="242424"/>
                <w:sz w:val="20"/>
                <w:szCs w:val="20"/>
              </w:rPr>
            </w:pPr>
            <w:r w:rsidRPr="00306B00">
              <w:rPr>
                <w:b/>
                <w:bCs/>
                <w:color w:val="242424"/>
                <w:sz w:val="20"/>
                <w:szCs w:val="20"/>
              </w:rPr>
              <w:t>Total cost of homeless services apportioned to people with gambling problems</w:t>
            </w:r>
          </w:p>
        </w:tc>
        <w:tc>
          <w:tcPr>
            <w:tcW w:w="1243" w:type="dxa"/>
            <w:shd w:val="clear" w:color="auto" w:fill="F2F2F2" w:themeFill="background1" w:themeFillShade="F2"/>
            <w:noWrap/>
            <w:vAlign w:val="center"/>
            <w:hideMark/>
          </w:tcPr>
          <w:p w14:paraId="70B4BC32" w14:textId="77777777" w:rsidR="00A91E61" w:rsidRPr="00306B00" w:rsidRDefault="00A91E61">
            <w:pPr>
              <w:rPr>
                <w:b/>
                <w:bCs/>
                <w:color w:val="000000"/>
                <w:sz w:val="20"/>
                <w:szCs w:val="20"/>
              </w:rPr>
            </w:pPr>
            <w:r w:rsidRPr="00306B00">
              <w:rPr>
                <w:b/>
                <w:bCs/>
                <w:color w:val="000000"/>
                <w:sz w:val="20"/>
                <w:szCs w:val="20"/>
              </w:rPr>
              <w:t>j = e x i</w:t>
            </w:r>
          </w:p>
        </w:tc>
        <w:tc>
          <w:tcPr>
            <w:tcW w:w="845" w:type="dxa"/>
            <w:shd w:val="clear" w:color="auto" w:fill="F2F2F2" w:themeFill="background1" w:themeFillShade="F2"/>
            <w:noWrap/>
            <w:vAlign w:val="center"/>
            <w:hideMark/>
          </w:tcPr>
          <w:p w14:paraId="60A4B83B" w14:textId="77777777" w:rsidR="00A91E61" w:rsidRPr="00306B00" w:rsidRDefault="00A91E61">
            <w:pPr>
              <w:jc w:val="right"/>
              <w:rPr>
                <w:b/>
                <w:bCs/>
                <w:color w:val="000000"/>
                <w:sz w:val="20"/>
                <w:szCs w:val="20"/>
              </w:rPr>
            </w:pPr>
            <w:r w:rsidRPr="00306B00">
              <w:rPr>
                <w:b/>
                <w:bCs/>
                <w:color w:val="000000"/>
                <w:sz w:val="20"/>
                <w:szCs w:val="20"/>
              </w:rPr>
              <w:t>$0</w:t>
            </w:r>
          </w:p>
        </w:tc>
        <w:tc>
          <w:tcPr>
            <w:tcW w:w="1088" w:type="dxa"/>
            <w:shd w:val="clear" w:color="auto" w:fill="F2F2F2" w:themeFill="background1" w:themeFillShade="F2"/>
            <w:noWrap/>
            <w:vAlign w:val="center"/>
            <w:hideMark/>
          </w:tcPr>
          <w:p w14:paraId="2A3CA932" w14:textId="77777777" w:rsidR="00A91E61" w:rsidRPr="00306B00" w:rsidRDefault="00A91E61">
            <w:pPr>
              <w:jc w:val="right"/>
              <w:rPr>
                <w:b/>
                <w:bCs/>
                <w:color w:val="000000"/>
                <w:sz w:val="20"/>
                <w:szCs w:val="20"/>
              </w:rPr>
            </w:pPr>
            <w:r w:rsidRPr="00306B00">
              <w:rPr>
                <w:b/>
                <w:bCs/>
                <w:color w:val="000000"/>
                <w:sz w:val="20"/>
                <w:szCs w:val="20"/>
              </w:rPr>
              <w:t>$1,861,794</w:t>
            </w:r>
          </w:p>
        </w:tc>
        <w:tc>
          <w:tcPr>
            <w:tcW w:w="1088" w:type="dxa"/>
            <w:shd w:val="clear" w:color="auto" w:fill="F2F2F2" w:themeFill="background1" w:themeFillShade="F2"/>
            <w:noWrap/>
            <w:vAlign w:val="center"/>
            <w:hideMark/>
          </w:tcPr>
          <w:p w14:paraId="74339D01" w14:textId="77777777" w:rsidR="00A91E61" w:rsidRPr="00306B00" w:rsidRDefault="00A91E61">
            <w:pPr>
              <w:jc w:val="right"/>
              <w:rPr>
                <w:b/>
                <w:bCs/>
                <w:color w:val="000000"/>
                <w:sz w:val="20"/>
                <w:szCs w:val="20"/>
              </w:rPr>
            </w:pPr>
            <w:r w:rsidRPr="00306B00">
              <w:rPr>
                <w:b/>
                <w:bCs/>
                <w:color w:val="000000"/>
                <w:sz w:val="20"/>
                <w:szCs w:val="20"/>
              </w:rPr>
              <w:t>$3,341,829</w:t>
            </w:r>
          </w:p>
        </w:tc>
        <w:tc>
          <w:tcPr>
            <w:tcW w:w="1374" w:type="dxa"/>
            <w:shd w:val="clear" w:color="auto" w:fill="F2F2F2" w:themeFill="background1" w:themeFillShade="F2"/>
            <w:noWrap/>
            <w:vAlign w:val="center"/>
            <w:hideMark/>
          </w:tcPr>
          <w:p w14:paraId="7B1B3841" w14:textId="77777777" w:rsidR="00A91E61" w:rsidRPr="00306B00" w:rsidRDefault="00A91E61">
            <w:pPr>
              <w:jc w:val="right"/>
              <w:rPr>
                <w:b/>
                <w:bCs/>
                <w:color w:val="000000"/>
                <w:sz w:val="20"/>
                <w:szCs w:val="20"/>
              </w:rPr>
            </w:pPr>
            <w:r w:rsidRPr="00306B00">
              <w:rPr>
                <w:b/>
                <w:bCs/>
                <w:color w:val="000000"/>
                <w:sz w:val="20"/>
                <w:szCs w:val="20"/>
              </w:rPr>
              <w:t>$5,203,623</w:t>
            </w:r>
          </w:p>
        </w:tc>
      </w:tr>
      <w:tr w:rsidR="00A91E61" w:rsidRPr="00306B00" w14:paraId="32EB943E" w14:textId="77777777" w:rsidTr="00841D8C">
        <w:trPr>
          <w:trHeight w:val="397"/>
        </w:trPr>
        <w:tc>
          <w:tcPr>
            <w:tcW w:w="3571" w:type="dxa"/>
            <w:vAlign w:val="center"/>
          </w:tcPr>
          <w:p w14:paraId="5A64CDFC" w14:textId="77777777" w:rsidR="00A91E61" w:rsidRPr="00306B00" w:rsidRDefault="00A91E61">
            <w:pPr>
              <w:rPr>
                <w:b/>
                <w:bCs/>
                <w:color w:val="242424"/>
                <w:sz w:val="20"/>
                <w:szCs w:val="20"/>
              </w:rPr>
            </w:pPr>
            <w:r w:rsidRPr="00306B00">
              <w:rPr>
                <w:b/>
                <w:bCs/>
                <w:color w:val="242424"/>
                <w:sz w:val="20"/>
                <w:szCs w:val="20"/>
              </w:rPr>
              <w:t>Lower Estimate</w:t>
            </w:r>
          </w:p>
        </w:tc>
        <w:tc>
          <w:tcPr>
            <w:tcW w:w="1243" w:type="dxa"/>
            <w:noWrap/>
            <w:vAlign w:val="center"/>
          </w:tcPr>
          <w:p w14:paraId="683F12B6" w14:textId="77777777" w:rsidR="00A91E61" w:rsidRPr="00306B00" w:rsidRDefault="00A91E61">
            <w:pPr>
              <w:rPr>
                <w:b/>
                <w:bCs/>
                <w:color w:val="000000"/>
                <w:sz w:val="20"/>
                <w:szCs w:val="20"/>
              </w:rPr>
            </w:pPr>
          </w:p>
        </w:tc>
        <w:tc>
          <w:tcPr>
            <w:tcW w:w="845" w:type="dxa"/>
            <w:noWrap/>
            <w:vAlign w:val="center"/>
          </w:tcPr>
          <w:p w14:paraId="56BDCBF9" w14:textId="77777777" w:rsidR="00A91E61" w:rsidRPr="00306B00" w:rsidRDefault="00A91E61">
            <w:pPr>
              <w:jc w:val="right"/>
              <w:rPr>
                <w:b/>
                <w:bCs/>
                <w:color w:val="000000"/>
                <w:sz w:val="20"/>
                <w:szCs w:val="20"/>
              </w:rPr>
            </w:pPr>
          </w:p>
        </w:tc>
        <w:tc>
          <w:tcPr>
            <w:tcW w:w="1088" w:type="dxa"/>
            <w:noWrap/>
            <w:vAlign w:val="center"/>
          </w:tcPr>
          <w:p w14:paraId="4A46F2F6" w14:textId="77777777" w:rsidR="00A91E61" w:rsidRPr="00306B00" w:rsidRDefault="00A91E61">
            <w:pPr>
              <w:jc w:val="right"/>
              <w:rPr>
                <w:b/>
                <w:bCs/>
                <w:color w:val="000000"/>
                <w:sz w:val="20"/>
                <w:szCs w:val="20"/>
              </w:rPr>
            </w:pPr>
          </w:p>
        </w:tc>
        <w:tc>
          <w:tcPr>
            <w:tcW w:w="1088" w:type="dxa"/>
            <w:noWrap/>
            <w:vAlign w:val="center"/>
          </w:tcPr>
          <w:p w14:paraId="1EE3A99A" w14:textId="77777777" w:rsidR="00A91E61" w:rsidRPr="00306B00" w:rsidRDefault="00A91E61">
            <w:pPr>
              <w:jc w:val="right"/>
              <w:rPr>
                <w:b/>
                <w:bCs/>
                <w:color w:val="000000"/>
                <w:sz w:val="20"/>
                <w:szCs w:val="20"/>
              </w:rPr>
            </w:pPr>
          </w:p>
        </w:tc>
        <w:tc>
          <w:tcPr>
            <w:tcW w:w="1374" w:type="dxa"/>
            <w:noWrap/>
            <w:vAlign w:val="center"/>
          </w:tcPr>
          <w:p w14:paraId="1EEE3172" w14:textId="77777777" w:rsidR="00A91E61" w:rsidRPr="00306B00" w:rsidRDefault="00A91E61">
            <w:pPr>
              <w:jc w:val="right"/>
              <w:rPr>
                <w:b/>
                <w:bCs/>
                <w:color w:val="000000"/>
                <w:sz w:val="20"/>
                <w:szCs w:val="20"/>
              </w:rPr>
            </w:pPr>
            <w:r w:rsidRPr="00306B00">
              <w:rPr>
                <w:color w:val="000000"/>
                <w:sz w:val="20"/>
                <w:szCs w:val="20"/>
              </w:rPr>
              <w:t>$4,943,442</w:t>
            </w:r>
          </w:p>
        </w:tc>
      </w:tr>
      <w:tr w:rsidR="00A91E61" w:rsidRPr="00306B00" w14:paraId="3D2BF8CD" w14:textId="77777777" w:rsidTr="00841D8C">
        <w:trPr>
          <w:trHeight w:val="397"/>
        </w:trPr>
        <w:tc>
          <w:tcPr>
            <w:tcW w:w="3571" w:type="dxa"/>
            <w:vAlign w:val="center"/>
          </w:tcPr>
          <w:p w14:paraId="12A2E059" w14:textId="77777777" w:rsidR="00A91E61" w:rsidRPr="00306B00" w:rsidRDefault="00A91E61">
            <w:pPr>
              <w:rPr>
                <w:b/>
                <w:bCs/>
                <w:color w:val="242424"/>
                <w:sz w:val="20"/>
                <w:szCs w:val="20"/>
              </w:rPr>
            </w:pPr>
            <w:r w:rsidRPr="00306B00">
              <w:rPr>
                <w:b/>
                <w:bCs/>
                <w:color w:val="242424"/>
                <w:sz w:val="20"/>
                <w:szCs w:val="20"/>
              </w:rPr>
              <w:t>Upper Estimate</w:t>
            </w:r>
          </w:p>
        </w:tc>
        <w:tc>
          <w:tcPr>
            <w:tcW w:w="1243" w:type="dxa"/>
            <w:noWrap/>
            <w:vAlign w:val="center"/>
          </w:tcPr>
          <w:p w14:paraId="0D85774C" w14:textId="77777777" w:rsidR="00A91E61" w:rsidRPr="00306B00" w:rsidRDefault="00A91E61">
            <w:pPr>
              <w:rPr>
                <w:b/>
                <w:bCs/>
                <w:color w:val="000000"/>
                <w:sz w:val="20"/>
                <w:szCs w:val="20"/>
              </w:rPr>
            </w:pPr>
          </w:p>
        </w:tc>
        <w:tc>
          <w:tcPr>
            <w:tcW w:w="845" w:type="dxa"/>
            <w:noWrap/>
            <w:vAlign w:val="center"/>
          </w:tcPr>
          <w:p w14:paraId="543E6497" w14:textId="77777777" w:rsidR="00A91E61" w:rsidRPr="00306B00" w:rsidRDefault="00A91E61">
            <w:pPr>
              <w:jc w:val="right"/>
              <w:rPr>
                <w:b/>
                <w:bCs/>
                <w:color w:val="000000"/>
                <w:sz w:val="20"/>
                <w:szCs w:val="20"/>
              </w:rPr>
            </w:pPr>
          </w:p>
        </w:tc>
        <w:tc>
          <w:tcPr>
            <w:tcW w:w="1088" w:type="dxa"/>
            <w:noWrap/>
            <w:vAlign w:val="center"/>
          </w:tcPr>
          <w:p w14:paraId="78A5E7B8" w14:textId="77777777" w:rsidR="00A91E61" w:rsidRPr="00306B00" w:rsidRDefault="00A91E61">
            <w:pPr>
              <w:jc w:val="right"/>
              <w:rPr>
                <w:b/>
                <w:bCs/>
                <w:color w:val="000000"/>
                <w:sz w:val="20"/>
                <w:szCs w:val="20"/>
              </w:rPr>
            </w:pPr>
          </w:p>
        </w:tc>
        <w:tc>
          <w:tcPr>
            <w:tcW w:w="1088" w:type="dxa"/>
            <w:noWrap/>
            <w:vAlign w:val="center"/>
          </w:tcPr>
          <w:p w14:paraId="0FB76925" w14:textId="77777777" w:rsidR="00A91E61" w:rsidRPr="00306B00" w:rsidRDefault="00A91E61">
            <w:pPr>
              <w:jc w:val="right"/>
              <w:rPr>
                <w:b/>
                <w:bCs/>
                <w:color w:val="000000"/>
                <w:sz w:val="20"/>
                <w:szCs w:val="20"/>
              </w:rPr>
            </w:pPr>
          </w:p>
        </w:tc>
        <w:tc>
          <w:tcPr>
            <w:tcW w:w="1374" w:type="dxa"/>
            <w:noWrap/>
            <w:vAlign w:val="center"/>
          </w:tcPr>
          <w:p w14:paraId="0A49681E" w14:textId="77777777" w:rsidR="00A91E61" w:rsidRPr="00306B00" w:rsidRDefault="00A91E61">
            <w:pPr>
              <w:jc w:val="right"/>
              <w:rPr>
                <w:color w:val="000000"/>
                <w:sz w:val="20"/>
                <w:szCs w:val="20"/>
              </w:rPr>
            </w:pPr>
            <w:r w:rsidRPr="00306B00">
              <w:rPr>
                <w:color w:val="000000"/>
                <w:sz w:val="20"/>
                <w:szCs w:val="20"/>
              </w:rPr>
              <w:t>$93,510,043</w:t>
            </w:r>
          </w:p>
        </w:tc>
      </w:tr>
      <w:tr w:rsidR="00A91E61" w:rsidRPr="00306B00" w14:paraId="770E528B" w14:textId="77777777" w:rsidTr="00841D8C">
        <w:trPr>
          <w:trHeight w:val="397"/>
        </w:trPr>
        <w:tc>
          <w:tcPr>
            <w:tcW w:w="9209" w:type="dxa"/>
            <w:gridSpan w:val="6"/>
            <w:vAlign w:val="center"/>
          </w:tcPr>
          <w:p w14:paraId="5AF4A943" w14:textId="77777777" w:rsidR="00A91E61" w:rsidRPr="00306B00" w:rsidRDefault="00A91E61">
            <w:pPr>
              <w:rPr>
                <w:i/>
                <w:iCs/>
                <w:color w:val="000000"/>
                <w:sz w:val="20"/>
                <w:szCs w:val="20"/>
              </w:rPr>
            </w:pPr>
            <w:r w:rsidRPr="00306B00">
              <w:rPr>
                <w:i/>
                <w:iCs/>
                <w:color w:val="242424"/>
                <w:sz w:val="20"/>
                <w:szCs w:val="20"/>
              </w:rPr>
              <w:t xml:space="preserve">Note: </w:t>
            </w:r>
            <w:r w:rsidRPr="00306B00">
              <w:rPr>
                <w:i/>
                <w:iCs/>
                <w:sz w:val="20"/>
                <w:szCs w:val="20"/>
              </w:rPr>
              <w:t xml:space="preserve">LR (low-risk gambling), MR (moderate-risk gambling), and problem gambling. </w:t>
            </w:r>
            <w:r w:rsidRPr="00306B00">
              <w:rPr>
                <w:i/>
                <w:iCs/>
                <w:color w:val="242424"/>
                <w:sz w:val="20"/>
                <w:szCs w:val="20"/>
              </w:rPr>
              <w:t>Totals may not match exactly due to rounding. Totals may not match exactly due to rounding. Calculations are based on the original unrounded figures to ensure accuracy.</w:t>
            </w:r>
          </w:p>
        </w:tc>
      </w:tr>
    </w:tbl>
    <w:p w14:paraId="4B9AE78C" w14:textId="77777777" w:rsidR="00DB689D" w:rsidRDefault="00DB689D" w:rsidP="00367A8D">
      <w:pPr>
        <w:spacing w:before="120" w:after="240" w:line="360" w:lineRule="auto"/>
        <w:rPr>
          <w:color w:val="0E101A"/>
          <w:highlight w:val="yellow"/>
        </w:rPr>
      </w:pPr>
    </w:p>
    <w:p w14:paraId="64BFE23E" w14:textId="77777777" w:rsidR="00306B00" w:rsidRDefault="00306B00" w:rsidP="00306B00">
      <w:pPr>
        <w:spacing w:line="360" w:lineRule="auto"/>
      </w:pPr>
      <w:r>
        <w:t xml:space="preserve">To reflect uncertainty in the estimated cost of gambling-related homelessness, upper and lower bounds were applied. The lower bound was calculated using a simple 5% reduction across all cost items to account for potential sampling error and attribution uncertainty. The upper bound applied a higher per-person service cost of $83,483, derived by adjusting for inflation a $65,000 annual estimate of the cost of homelessness referenced in submissions to the 2016 Parliamentary report </w:t>
      </w:r>
      <w:r>
        <w:rPr>
          <w:i/>
        </w:rPr>
        <w:t>Ending Homelessness in New Zealand</w:t>
      </w:r>
      <w:r>
        <w:t xml:space="preserve"> </w:t>
      </w:r>
      <w:r>
        <w:rPr>
          <w:noProof/>
          <w:color w:val="000000"/>
        </w:rPr>
        <w:t>(Parliament of New Zealand, 2016)</w:t>
      </w:r>
      <w:r>
        <w:t>. This estimate reflects broader service needs and long-term costs associated with severe housing deprivation.</w:t>
      </w:r>
    </w:p>
    <w:p w14:paraId="30575152" w14:textId="77777777" w:rsidR="00306B00" w:rsidRDefault="00306B00" w:rsidP="00306B00">
      <w:pPr>
        <w:spacing w:line="360" w:lineRule="auto"/>
      </w:pPr>
    </w:p>
    <w:p w14:paraId="20D786BD" w14:textId="77777777" w:rsidR="00306B00" w:rsidRPr="00CB5C8B" w:rsidRDefault="00306B00" w:rsidP="00306B00">
      <w:pPr>
        <w:spacing w:line="360" w:lineRule="auto"/>
      </w:pPr>
      <w:r>
        <w:t>Utilising these figures, the estimated cost of gambling-related emergency or temporary accommodation to the New Zealand Government is between a lower bound of $4.9 million and an upper bound of $93.5 million. This wide range reflects the uncertainty inherent in attributing homelessness directly to gambling, the variability in individual service use, and differences in per-person cost estimates. It also accounts for limitations in available data and the difficulty in capturing the full extent of long-term and system-wide impacts associated with severe housing deprivation.</w:t>
      </w:r>
    </w:p>
    <w:p w14:paraId="602C4456" w14:textId="77777777" w:rsidR="004F5D07" w:rsidRDefault="004F5D07" w:rsidP="00367A8D">
      <w:pPr>
        <w:spacing w:before="120" w:after="240" w:line="360" w:lineRule="auto"/>
        <w:rPr>
          <w:color w:val="0E101A"/>
          <w:highlight w:val="yellow"/>
        </w:rPr>
      </w:pPr>
    </w:p>
    <w:p w14:paraId="71C001EE" w14:textId="195935E1" w:rsidR="00DB689D" w:rsidRDefault="00310A10" w:rsidP="00657824">
      <w:pPr>
        <w:pStyle w:val="Heading2"/>
      </w:pPr>
      <w:bookmarkStart w:id="503" w:name="_y7thrrk9vf84" w:colFirst="0" w:colLast="0"/>
      <w:bookmarkStart w:id="504" w:name="_Toc201572472"/>
      <w:bookmarkStart w:id="505" w:name="_Toc207195990"/>
      <w:bookmarkEnd w:id="503"/>
      <w:r>
        <w:t>Other Government or community costs</w:t>
      </w:r>
      <w:bookmarkEnd w:id="504"/>
      <w:bookmarkEnd w:id="505"/>
    </w:p>
    <w:p w14:paraId="0012EA09" w14:textId="77777777" w:rsidR="00DB689D" w:rsidRDefault="00310A10" w:rsidP="00367A8D">
      <w:pPr>
        <w:spacing w:line="360" w:lineRule="auto"/>
      </w:pPr>
      <w:r>
        <w:t>This category includes costs related to the administration, governance, and harm-reduction activities funded by the government, as well as the provision of services by non-profit organisations.</w:t>
      </w:r>
    </w:p>
    <w:p w14:paraId="70A9090C" w14:textId="77777777" w:rsidR="00DB689D" w:rsidRPr="00A91E61" w:rsidRDefault="00310A10" w:rsidP="00C30E1A">
      <w:pPr>
        <w:pStyle w:val="Heading3"/>
      </w:pPr>
      <w:bookmarkStart w:id="506" w:name="_srjfvzcp35h" w:colFirst="0" w:colLast="0"/>
      <w:bookmarkStart w:id="507" w:name="_Toc201572473"/>
      <w:bookmarkStart w:id="508" w:name="_Toc207195991"/>
      <w:bookmarkEnd w:id="506"/>
      <w:r w:rsidRPr="00A91E61">
        <w:t>Policy, regulation, research (including treatment funding)</w:t>
      </w:r>
      <w:bookmarkEnd w:id="507"/>
      <w:bookmarkEnd w:id="508"/>
      <w:r w:rsidRPr="00A91E61">
        <w:t xml:space="preserve"> </w:t>
      </w:r>
    </w:p>
    <w:p w14:paraId="1EC7ED97" w14:textId="7A96E89C" w:rsidR="00A97C9A" w:rsidRPr="00306B00" w:rsidRDefault="00A97C9A" w:rsidP="00BB3C33">
      <w:pPr>
        <w:autoSpaceDE w:val="0"/>
        <w:autoSpaceDN w:val="0"/>
        <w:adjustRightInd w:val="0"/>
        <w:spacing w:after="240" w:line="360" w:lineRule="auto"/>
      </w:pPr>
      <w:r w:rsidRPr="00306B00">
        <w:t>This section details government expenditure on the systems required to manage and mitigate gambling harm. It is important to clarify that while many of these activities are financed through a cost-recovery model funded by industry levies, they are included in this report as a social cost. The rationale for this approach is that these expenditures represent a significant diversion of economic resources toward managing the consequences of gambling. In the absence of gambling harm, these funds and resources would be available for other uses. Therefore, consistent with the study's scope, the aim is to provide a comprehensive measure of all harm-related costs, not to conduct a net fiscal analysis.</w:t>
      </w:r>
    </w:p>
    <w:p w14:paraId="1FCD10E4" w14:textId="73EA4674" w:rsidR="00DB689D" w:rsidRDefault="00310A10" w:rsidP="00367A8D">
      <w:pPr>
        <w:spacing w:line="360" w:lineRule="auto"/>
      </w:pPr>
      <w:r>
        <w:t xml:space="preserve">Policy, regulation, research, and treatment funding represent essential components of the government’s strategy to prevent and minimise gambling harm in New Zealand. This category captures expenditure across multiple agencies to support a coordinated response. It includes the development, implementation, and enforcement of regulatory frameworks, primarily through the Department of Internal Affairs and the Gambling Commission </w:t>
      </w:r>
      <w:r w:rsidR="00DB2449">
        <w:rPr>
          <w:noProof/>
          <w:color w:val="000000"/>
        </w:rPr>
        <w:t xml:space="preserve">(Department of Internal Affairs, </w:t>
      </w:r>
      <w:r w:rsidR="002A3095">
        <w:rPr>
          <w:noProof/>
          <w:color w:val="000000"/>
        </w:rPr>
        <w:t xml:space="preserve">2023, </w:t>
      </w:r>
      <w:r w:rsidR="00DB2449">
        <w:rPr>
          <w:noProof/>
          <w:color w:val="000000"/>
        </w:rPr>
        <w:t>2024)</w:t>
      </w:r>
      <w:r>
        <w:t xml:space="preserve">, as well as investment in research that informs evidence-based policy and service delivery </w:t>
      </w:r>
      <w:r w:rsidR="0038398B">
        <w:rPr>
          <w:noProof/>
          <w:color w:val="000000"/>
        </w:rPr>
        <w:t>(Ministry of Health., 2022)</w:t>
      </w:r>
      <w:r>
        <w:t xml:space="preserve">, and the provision of publicly funded treatment services for individuals experiencing gambling-related harm. These functions align with the priorities set out in the </w:t>
      </w:r>
      <w:r>
        <w:rPr>
          <w:i/>
        </w:rPr>
        <w:t>Strategy to Prevent and Minimise Gambling Harm 2022/23 to 2024/25</w:t>
      </w:r>
      <w:r>
        <w:t xml:space="preserve"> </w:t>
      </w:r>
      <w:r w:rsidR="00DB2449">
        <w:rPr>
          <w:noProof/>
          <w:color w:val="000000"/>
        </w:rPr>
        <w:t>(Ministry of Health, 2022)</w:t>
      </w:r>
      <w:r>
        <w:t>.</w:t>
      </w:r>
    </w:p>
    <w:p w14:paraId="3FD01662" w14:textId="77777777" w:rsidR="00DB689D" w:rsidRDefault="00DB689D" w:rsidP="00367A8D">
      <w:pPr>
        <w:spacing w:line="360" w:lineRule="auto"/>
      </w:pPr>
    </w:p>
    <w:tbl>
      <w:tblPr>
        <w:tblStyle w:val="af9"/>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B689D" w14:paraId="339A6321" w14:textId="77777777">
        <w:tc>
          <w:tcPr>
            <w:tcW w:w="9026" w:type="dxa"/>
            <w:shd w:val="clear" w:color="auto" w:fill="F3F3F3"/>
            <w:tcMar>
              <w:top w:w="100" w:type="dxa"/>
              <w:left w:w="100" w:type="dxa"/>
              <w:bottom w:w="100" w:type="dxa"/>
              <w:right w:w="100" w:type="dxa"/>
            </w:tcMar>
          </w:tcPr>
          <w:p w14:paraId="2CF789B1" w14:textId="77777777" w:rsidR="00DB689D" w:rsidRDefault="00310A10" w:rsidP="00CB5C8B">
            <w:pPr>
              <w:widowControl w:val="0"/>
              <w:spacing w:line="276" w:lineRule="auto"/>
            </w:pPr>
            <w:r>
              <w:rPr>
                <w:color w:val="0E101A"/>
              </w:rPr>
              <w:t>The cost to the New Zealand Government for gambling-related policy, regulation and research (including treatment funding) was calculated using:</w:t>
            </w:r>
          </w:p>
          <w:p w14:paraId="2F6A07D8" w14:textId="77777777" w:rsidR="00DB689D" w:rsidRDefault="00DB689D" w:rsidP="00CB5C8B">
            <w:pPr>
              <w:widowControl w:val="0"/>
              <w:pBdr>
                <w:top w:val="nil"/>
                <w:left w:val="nil"/>
                <w:bottom w:val="nil"/>
                <w:right w:val="nil"/>
                <w:between w:val="nil"/>
              </w:pBdr>
              <w:spacing w:line="276" w:lineRule="auto"/>
            </w:pPr>
          </w:p>
          <w:p w14:paraId="11BBBA52" w14:textId="77777777" w:rsidR="00DB689D" w:rsidRDefault="00310A10" w:rsidP="00CB5C8B">
            <w:pPr>
              <w:widowControl w:val="0"/>
              <w:pBdr>
                <w:top w:val="nil"/>
                <w:left w:val="nil"/>
                <w:bottom w:val="nil"/>
                <w:right w:val="nil"/>
                <w:between w:val="nil"/>
              </w:pBdr>
              <w:spacing w:line="276" w:lineRule="auto"/>
              <w:rPr>
                <w:i/>
              </w:rPr>
            </w:pPr>
            <w:r>
              <w:rPr>
                <w:i/>
              </w:rPr>
              <w:t>Funding for addiction treatment services</w:t>
            </w:r>
          </w:p>
          <w:p w14:paraId="69E78EE3" w14:textId="77777777" w:rsidR="00DB689D" w:rsidRDefault="00310A10" w:rsidP="00C40857">
            <w:pPr>
              <w:widowControl w:val="0"/>
              <w:numPr>
                <w:ilvl w:val="0"/>
                <w:numId w:val="30"/>
              </w:numPr>
              <w:pBdr>
                <w:top w:val="nil"/>
                <w:left w:val="nil"/>
                <w:bottom w:val="nil"/>
                <w:right w:val="nil"/>
                <w:between w:val="nil"/>
              </w:pBdr>
              <w:spacing w:line="276" w:lineRule="auto"/>
            </w:pPr>
            <w:r>
              <w:t>An estimated $5 million was invested nationally in mental health and addiction services (Te Hiringa Mahara &amp; The New Zealand Mental Health and Wellbeing Commission, 2024). Based on Australian reporting, which suggests that gambling accounts for approximately 13% of demand for addiction-related services (KPMG &amp; Rethink Addiction, 2022), the estimated share of this broader funding attributable to gambling problems was $650,000.</w:t>
            </w:r>
          </w:p>
          <w:p w14:paraId="73619605" w14:textId="77777777" w:rsidR="00DB689D" w:rsidRDefault="00DB689D" w:rsidP="00CB5C8B">
            <w:pPr>
              <w:widowControl w:val="0"/>
              <w:pBdr>
                <w:top w:val="nil"/>
                <w:left w:val="nil"/>
                <w:bottom w:val="nil"/>
                <w:right w:val="nil"/>
                <w:between w:val="nil"/>
              </w:pBdr>
              <w:spacing w:line="276" w:lineRule="auto"/>
              <w:rPr>
                <w:highlight w:val="yellow"/>
              </w:rPr>
            </w:pPr>
          </w:p>
          <w:p w14:paraId="01C52BD1" w14:textId="77777777" w:rsidR="00DB689D" w:rsidRDefault="00310A10" w:rsidP="00CB5C8B">
            <w:pPr>
              <w:widowControl w:val="0"/>
              <w:pBdr>
                <w:top w:val="nil"/>
                <w:left w:val="nil"/>
                <w:bottom w:val="nil"/>
                <w:right w:val="nil"/>
                <w:between w:val="nil"/>
              </w:pBdr>
              <w:spacing w:line="276" w:lineRule="auto"/>
              <w:rPr>
                <w:i/>
              </w:rPr>
            </w:pPr>
            <w:r>
              <w:rPr>
                <w:i/>
              </w:rPr>
              <w:t>Delivery of the Strategy to Prevent and Minimise Gambling Harm</w:t>
            </w:r>
          </w:p>
          <w:p w14:paraId="042E96EB" w14:textId="77777777" w:rsidR="00DB689D" w:rsidRDefault="00DB689D" w:rsidP="00CB5C8B">
            <w:pPr>
              <w:widowControl w:val="0"/>
              <w:pBdr>
                <w:top w:val="nil"/>
                <w:left w:val="nil"/>
                <w:bottom w:val="nil"/>
                <w:right w:val="nil"/>
                <w:between w:val="nil"/>
              </w:pBdr>
              <w:spacing w:line="276" w:lineRule="auto"/>
              <w:rPr>
                <w:i/>
              </w:rPr>
            </w:pPr>
          </w:p>
          <w:p w14:paraId="0A606C60" w14:textId="77777777" w:rsidR="00DB689D" w:rsidRDefault="00310A10" w:rsidP="00C40857">
            <w:pPr>
              <w:widowControl w:val="0"/>
              <w:numPr>
                <w:ilvl w:val="0"/>
                <w:numId w:val="30"/>
              </w:numPr>
              <w:pBdr>
                <w:top w:val="nil"/>
                <w:left w:val="nil"/>
                <w:bottom w:val="nil"/>
                <w:right w:val="nil"/>
                <w:between w:val="nil"/>
              </w:pBdr>
              <w:spacing w:line="276" w:lineRule="auto"/>
            </w:pPr>
            <w:r>
              <w:t xml:space="preserve">The Ministry of Health’s (2022) </w:t>
            </w:r>
            <w:r>
              <w:rPr>
                <w:i/>
              </w:rPr>
              <w:t>Strategy to Prevent and Minimise Gambling Harm</w:t>
            </w:r>
            <w:r>
              <w:t xml:space="preserve"> outlines direct government investment in specialist services, including $11.6 million for intervention services such as counselling through non-profit organisations and the national gambling helpline.</w:t>
            </w:r>
          </w:p>
          <w:p w14:paraId="302A4F6D" w14:textId="77777777" w:rsidR="00DB689D" w:rsidRDefault="00310A10" w:rsidP="00C40857">
            <w:pPr>
              <w:widowControl w:val="0"/>
              <w:numPr>
                <w:ilvl w:val="0"/>
                <w:numId w:val="30"/>
              </w:numPr>
              <w:pBdr>
                <w:top w:val="nil"/>
                <w:left w:val="nil"/>
                <w:bottom w:val="nil"/>
                <w:right w:val="nil"/>
                <w:between w:val="nil"/>
              </w:pBdr>
              <w:spacing w:line="276" w:lineRule="auto"/>
            </w:pPr>
            <w:r>
              <w:t>Additional funding for key strategic priorities included $2.4 million for research and evaluation, $2.8 million for service innovation, and $1.2 million for Ministry operational costs to support implementation and oversight.</w:t>
            </w:r>
          </w:p>
          <w:p w14:paraId="6235CF6C" w14:textId="77777777" w:rsidR="00DB689D" w:rsidRDefault="00DB689D" w:rsidP="00CB5C8B">
            <w:pPr>
              <w:widowControl w:val="0"/>
              <w:pBdr>
                <w:top w:val="nil"/>
                <w:left w:val="nil"/>
                <w:bottom w:val="nil"/>
                <w:right w:val="nil"/>
                <w:between w:val="nil"/>
              </w:pBdr>
              <w:spacing w:line="276" w:lineRule="auto"/>
            </w:pPr>
          </w:p>
          <w:p w14:paraId="45634D32" w14:textId="77777777" w:rsidR="00DB689D" w:rsidRDefault="00310A10" w:rsidP="00CB5C8B">
            <w:pPr>
              <w:widowControl w:val="0"/>
              <w:pBdr>
                <w:top w:val="nil"/>
                <w:left w:val="nil"/>
                <w:bottom w:val="nil"/>
                <w:right w:val="nil"/>
                <w:between w:val="nil"/>
              </w:pBdr>
              <w:spacing w:line="276" w:lineRule="auto"/>
              <w:rPr>
                <w:i/>
              </w:rPr>
            </w:pPr>
            <w:r>
              <w:rPr>
                <w:i/>
              </w:rPr>
              <w:t>Costs of regulating gambling</w:t>
            </w:r>
          </w:p>
          <w:p w14:paraId="0D954910" w14:textId="77777777" w:rsidR="00DB689D" w:rsidRDefault="00310A10" w:rsidP="00C40857">
            <w:pPr>
              <w:widowControl w:val="0"/>
              <w:numPr>
                <w:ilvl w:val="0"/>
                <w:numId w:val="30"/>
              </w:numPr>
              <w:pBdr>
                <w:top w:val="nil"/>
                <w:left w:val="nil"/>
                <w:bottom w:val="nil"/>
                <w:right w:val="nil"/>
                <w:between w:val="nil"/>
              </w:pBdr>
              <w:spacing w:line="276" w:lineRule="auto"/>
            </w:pPr>
            <w:r>
              <w:t>Regulatory costs include government expenditure related to monitoring, compliance, and statutory oversight of gambling activities in New Zealand. In 2022/23, the Department of Internal Affairs reported $24.5 million in expenditure on regulating casino and non-casino gaming (Department of Internal Affairs, 2023).</w:t>
            </w:r>
          </w:p>
          <w:p w14:paraId="3320B2BF" w14:textId="77777777" w:rsidR="00DB689D" w:rsidRDefault="00310A10" w:rsidP="00C40857">
            <w:pPr>
              <w:widowControl w:val="0"/>
              <w:numPr>
                <w:ilvl w:val="0"/>
                <w:numId w:val="30"/>
              </w:numPr>
              <w:pBdr>
                <w:top w:val="nil"/>
                <w:left w:val="nil"/>
                <w:bottom w:val="nil"/>
                <w:right w:val="nil"/>
                <w:between w:val="nil"/>
              </w:pBdr>
              <w:spacing w:line="276" w:lineRule="auto"/>
            </w:pPr>
            <w:r>
              <w:t>An additional $862,000 was allocated to support the Gambling Commission as part of statutory body operations (The Treasury, 2024).</w:t>
            </w:r>
          </w:p>
          <w:p w14:paraId="08760B41" w14:textId="7328B83C" w:rsidR="00DB689D" w:rsidRDefault="00C40857" w:rsidP="00BB3C33">
            <w:pPr>
              <w:widowControl w:val="0"/>
              <w:numPr>
                <w:ilvl w:val="0"/>
                <w:numId w:val="30"/>
              </w:numPr>
              <w:spacing w:line="276" w:lineRule="auto"/>
            </w:pPr>
            <w:r>
              <w:t xml:space="preserve">The implementation of the Offshore Betting Charges Regime incurred a direct cost of $4.9 million to the New Zealand Government </w:t>
            </w:r>
            <w:r w:rsidRPr="00BB3C33">
              <w:t>(The Treasury, 2024)</w:t>
            </w:r>
            <w:r>
              <w:t>.</w:t>
            </w:r>
          </w:p>
        </w:tc>
      </w:tr>
    </w:tbl>
    <w:p w14:paraId="44D9AA67" w14:textId="77777777" w:rsidR="00DB689D" w:rsidRDefault="00DB689D" w:rsidP="00367A8D">
      <w:pPr>
        <w:spacing w:line="360" w:lineRule="auto"/>
      </w:pPr>
    </w:p>
    <w:p w14:paraId="07AE7F31" w14:textId="093CC54E" w:rsidR="00CB5C8B" w:rsidRDefault="00310A10" w:rsidP="00CB5C8B">
      <w:pPr>
        <w:spacing w:line="360" w:lineRule="auto"/>
      </w:pPr>
      <w:r>
        <w:rPr>
          <w:b/>
        </w:rPr>
        <w:t xml:space="preserve">The estimated </w:t>
      </w:r>
      <w:r>
        <w:rPr>
          <w:b/>
          <w:color w:val="0E101A"/>
        </w:rPr>
        <w:t>cost to the New Zealand Government for gambling-related policy, regulation and research (including treatment funding)</w:t>
      </w:r>
      <w:r>
        <w:rPr>
          <w:b/>
        </w:rPr>
        <w:t xml:space="preserve"> is around $</w:t>
      </w:r>
      <w:r w:rsidR="00C84A6D">
        <w:rPr>
          <w:b/>
        </w:rPr>
        <w:t>48.8</w:t>
      </w:r>
      <w:r>
        <w:rPr>
          <w:b/>
        </w:rPr>
        <w:t xml:space="preserve"> million (</w:t>
      </w:r>
      <w:r w:rsidRPr="00A91E61">
        <w:rPr>
          <w:b/>
        </w:rPr>
        <w:t>Table 32</w:t>
      </w:r>
      <w:r>
        <w:rPr>
          <w:b/>
        </w:rPr>
        <w:t>)</w:t>
      </w:r>
      <w:r w:rsidRPr="00A91E61">
        <w:rPr>
          <w:b/>
        </w:rPr>
        <w:t xml:space="preserve">. </w:t>
      </w:r>
      <w:r w:rsidR="00CB5C8B">
        <w:t>Upper and lower bounds were not applied to this category, as expenditure figures were sourced directly from government reports and budget documents. These reflect actual or committed funding across treatment, implementation, and regulation activities. While there is some uncertainty around the share of addiction services attributable to gambling, the 13% estimate is conservative and consistently applied. As such, total government expenditure was reported as a fixed estimate of $</w:t>
      </w:r>
      <w:r w:rsidR="00C84A6D">
        <w:t>48.8</w:t>
      </w:r>
      <w:r w:rsidR="00CB5C8B">
        <w:t xml:space="preserve"> million.</w:t>
      </w:r>
    </w:p>
    <w:p w14:paraId="6D6AFAD8" w14:textId="4C52334C" w:rsidR="00DB689D" w:rsidRPr="00A91E61" w:rsidRDefault="00DB689D" w:rsidP="00367A8D">
      <w:pPr>
        <w:spacing w:before="120" w:after="240" w:line="360" w:lineRule="auto"/>
        <w:rPr>
          <w:b/>
        </w:rPr>
      </w:pPr>
    </w:p>
    <w:p w14:paraId="3F51375B" w14:textId="4F1C1550" w:rsidR="00A91E61" w:rsidRDefault="00A91E61" w:rsidP="00DB094D">
      <w:pPr>
        <w:pStyle w:val="Caption"/>
      </w:pPr>
      <w:bookmarkStart w:id="509" w:name="_Toc207619075"/>
      <w:r>
        <w:t xml:space="preserve">Table </w:t>
      </w:r>
      <w:r>
        <w:fldChar w:fldCharType="begin"/>
      </w:r>
      <w:r>
        <w:instrText xml:space="preserve"> SEQ Table \* ARABIC </w:instrText>
      </w:r>
      <w:r>
        <w:fldChar w:fldCharType="separate"/>
      </w:r>
      <w:r w:rsidR="00986A0D">
        <w:rPr>
          <w:noProof/>
        </w:rPr>
        <w:t>33</w:t>
      </w:r>
      <w:r>
        <w:fldChar w:fldCharType="end"/>
      </w:r>
      <w:r>
        <w:t xml:space="preserve">. </w:t>
      </w:r>
      <w:r w:rsidRPr="007F6C9C">
        <w:t>Cost of policy, regulation, research (including treatment funding) in New Zealand (2023-24)</w:t>
      </w:r>
      <w:bookmarkEnd w:id="509"/>
    </w:p>
    <w:tbl>
      <w:tblPr>
        <w:tblStyle w:val="TableGridLight"/>
        <w:tblW w:w="5076" w:type="pct"/>
        <w:tblLayout w:type="fixed"/>
        <w:tblLook w:val="04A0" w:firstRow="1" w:lastRow="0" w:firstColumn="1" w:lastColumn="0" w:noHBand="0" w:noVBand="1"/>
      </w:tblPr>
      <w:tblGrid>
        <w:gridCol w:w="5937"/>
        <w:gridCol w:w="1331"/>
        <w:gridCol w:w="1881"/>
        <w:gridCol w:w="7"/>
      </w:tblGrid>
      <w:tr w:rsidR="00A91E61" w:rsidRPr="00306B00" w14:paraId="3A55D747" w14:textId="77777777">
        <w:trPr>
          <w:gridAfter w:val="1"/>
          <w:wAfter w:w="4" w:type="pct"/>
          <w:trHeight w:val="397"/>
        </w:trPr>
        <w:tc>
          <w:tcPr>
            <w:tcW w:w="3242" w:type="pct"/>
            <w:shd w:val="clear" w:color="auto" w:fill="F2F2F2" w:themeFill="background1" w:themeFillShade="F2"/>
            <w:vAlign w:val="center"/>
            <w:hideMark/>
          </w:tcPr>
          <w:p w14:paraId="29C561CC" w14:textId="77777777" w:rsidR="00A91E61" w:rsidRPr="00306B00" w:rsidRDefault="00A91E61">
            <w:pPr>
              <w:spacing w:line="276" w:lineRule="auto"/>
              <w:ind w:right="-330"/>
              <w:rPr>
                <w:b/>
                <w:bCs/>
                <w:color w:val="000000"/>
                <w:sz w:val="20"/>
                <w:szCs w:val="20"/>
              </w:rPr>
            </w:pPr>
            <w:r w:rsidRPr="00306B00">
              <w:rPr>
                <w:b/>
                <w:bCs/>
                <w:color w:val="000000"/>
                <w:sz w:val="20"/>
                <w:szCs w:val="20"/>
              </w:rPr>
              <w:t>Variable</w:t>
            </w:r>
          </w:p>
        </w:tc>
        <w:tc>
          <w:tcPr>
            <w:tcW w:w="727" w:type="pct"/>
            <w:shd w:val="clear" w:color="auto" w:fill="F2F2F2" w:themeFill="background1" w:themeFillShade="F2"/>
            <w:vAlign w:val="center"/>
            <w:hideMark/>
          </w:tcPr>
          <w:p w14:paraId="14458A61" w14:textId="77777777" w:rsidR="00A91E61" w:rsidRPr="00306B00" w:rsidRDefault="00A91E61">
            <w:pPr>
              <w:spacing w:line="276" w:lineRule="auto"/>
              <w:ind w:right="-330"/>
              <w:jc w:val="center"/>
              <w:rPr>
                <w:b/>
                <w:bCs/>
                <w:color w:val="000000"/>
                <w:sz w:val="20"/>
                <w:szCs w:val="20"/>
              </w:rPr>
            </w:pPr>
            <w:r w:rsidRPr="00306B00">
              <w:rPr>
                <w:b/>
                <w:bCs/>
                <w:color w:val="000000"/>
                <w:sz w:val="20"/>
                <w:szCs w:val="20"/>
              </w:rPr>
              <w:t>Calculation</w:t>
            </w:r>
          </w:p>
        </w:tc>
        <w:tc>
          <w:tcPr>
            <w:tcW w:w="1027" w:type="pct"/>
            <w:shd w:val="clear" w:color="auto" w:fill="F2F2F2" w:themeFill="background1" w:themeFillShade="F2"/>
            <w:vAlign w:val="center"/>
            <w:hideMark/>
          </w:tcPr>
          <w:p w14:paraId="4ADA78B7" w14:textId="77777777" w:rsidR="00A91E61" w:rsidRPr="00306B00" w:rsidRDefault="00A91E61">
            <w:pPr>
              <w:spacing w:line="276" w:lineRule="auto"/>
              <w:ind w:right="136"/>
              <w:jc w:val="center"/>
              <w:rPr>
                <w:b/>
                <w:bCs/>
                <w:color w:val="000000"/>
                <w:sz w:val="20"/>
                <w:szCs w:val="20"/>
              </w:rPr>
            </w:pPr>
            <w:r w:rsidRPr="00306B00">
              <w:rPr>
                <w:b/>
                <w:bCs/>
                <w:color w:val="000000"/>
                <w:sz w:val="20"/>
                <w:szCs w:val="20"/>
              </w:rPr>
              <w:t>Total</w:t>
            </w:r>
          </w:p>
        </w:tc>
      </w:tr>
      <w:tr w:rsidR="00A91E61" w:rsidRPr="00306B00" w14:paraId="0112B8F6" w14:textId="77777777">
        <w:trPr>
          <w:gridAfter w:val="1"/>
          <w:wAfter w:w="4" w:type="pct"/>
          <w:trHeight w:val="397"/>
        </w:trPr>
        <w:tc>
          <w:tcPr>
            <w:tcW w:w="3242" w:type="pct"/>
            <w:noWrap/>
            <w:vAlign w:val="center"/>
            <w:hideMark/>
          </w:tcPr>
          <w:p w14:paraId="0A308D9F" w14:textId="77777777" w:rsidR="00A91E61" w:rsidRPr="00306B00" w:rsidRDefault="00A91E61">
            <w:pPr>
              <w:spacing w:line="276" w:lineRule="auto"/>
              <w:ind w:right="29"/>
              <w:rPr>
                <w:color w:val="000000"/>
                <w:sz w:val="20"/>
                <w:szCs w:val="20"/>
              </w:rPr>
            </w:pPr>
            <w:r w:rsidRPr="00306B00">
              <w:rPr>
                <w:color w:val="000000"/>
                <w:sz w:val="20"/>
                <w:szCs w:val="20"/>
              </w:rPr>
              <w:t>Expenditure on mental health and addiction services</w:t>
            </w:r>
          </w:p>
        </w:tc>
        <w:tc>
          <w:tcPr>
            <w:tcW w:w="727" w:type="pct"/>
            <w:noWrap/>
            <w:vAlign w:val="center"/>
            <w:hideMark/>
          </w:tcPr>
          <w:p w14:paraId="03B5C38A" w14:textId="77777777" w:rsidR="00A91E61" w:rsidRPr="00306B00" w:rsidRDefault="00A91E61">
            <w:pPr>
              <w:spacing w:line="276" w:lineRule="auto"/>
              <w:ind w:right="-330"/>
              <w:rPr>
                <w:color w:val="000000"/>
                <w:sz w:val="20"/>
                <w:szCs w:val="20"/>
              </w:rPr>
            </w:pPr>
            <w:r w:rsidRPr="00306B00">
              <w:rPr>
                <w:color w:val="000000"/>
                <w:sz w:val="20"/>
                <w:szCs w:val="20"/>
              </w:rPr>
              <w:t>a</w:t>
            </w:r>
          </w:p>
        </w:tc>
        <w:tc>
          <w:tcPr>
            <w:tcW w:w="1027" w:type="pct"/>
            <w:noWrap/>
            <w:vAlign w:val="center"/>
            <w:hideMark/>
          </w:tcPr>
          <w:p w14:paraId="6F1B3024" w14:textId="77777777" w:rsidR="00A91E61" w:rsidRPr="00306B00" w:rsidRDefault="00A91E61">
            <w:pPr>
              <w:spacing w:line="276" w:lineRule="auto"/>
              <w:jc w:val="right"/>
              <w:rPr>
                <w:color w:val="000000"/>
                <w:sz w:val="20"/>
                <w:szCs w:val="20"/>
              </w:rPr>
            </w:pPr>
            <w:r w:rsidRPr="00306B00">
              <w:rPr>
                <w:color w:val="000000"/>
                <w:sz w:val="20"/>
                <w:szCs w:val="20"/>
              </w:rPr>
              <w:t>$5,000,000</w:t>
            </w:r>
          </w:p>
        </w:tc>
      </w:tr>
      <w:tr w:rsidR="00A91E61" w:rsidRPr="00306B00" w14:paraId="5D0A816A" w14:textId="77777777">
        <w:trPr>
          <w:gridAfter w:val="1"/>
          <w:wAfter w:w="4" w:type="pct"/>
          <w:trHeight w:val="397"/>
        </w:trPr>
        <w:tc>
          <w:tcPr>
            <w:tcW w:w="3242" w:type="pct"/>
            <w:noWrap/>
            <w:vAlign w:val="center"/>
            <w:hideMark/>
          </w:tcPr>
          <w:p w14:paraId="464E6DCA" w14:textId="77777777" w:rsidR="00A91E61" w:rsidRPr="00306B00" w:rsidRDefault="00A91E61">
            <w:pPr>
              <w:spacing w:line="276" w:lineRule="auto"/>
              <w:ind w:right="-330"/>
              <w:rPr>
                <w:color w:val="000000"/>
                <w:sz w:val="20"/>
                <w:szCs w:val="20"/>
              </w:rPr>
            </w:pPr>
            <w:r w:rsidRPr="00306B00">
              <w:rPr>
                <w:color w:val="000000"/>
                <w:sz w:val="20"/>
                <w:szCs w:val="20"/>
              </w:rPr>
              <w:t>Rate (%) of the total cost of services attributable to gambling</w:t>
            </w:r>
          </w:p>
        </w:tc>
        <w:tc>
          <w:tcPr>
            <w:tcW w:w="727" w:type="pct"/>
            <w:noWrap/>
            <w:vAlign w:val="center"/>
            <w:hideMark/>
          </w:tcPr>
          <w:p w14:paraId="49D6AF9B" w14:textId="77777777" w:rsidR="00A91E61" w:rsidRPr="00306B00" w:rsidRDefault="00A91E61">
            <w:pPr>
              <w:spacing w:line="276" w:lineRule="auto"/>
              <w:ind w:right="-330"/>
              <w:rPr>
                <w:color w:val="000000"/>
                <w:sz w:val="20"/>
                <w:szCs w:val="20"/>
              </w:rPr>
            </w:pPr>
            <w:r w:rsidRPr="00306B00">
              <w:rPr>
                <w:color w:val="000000"/>
                <w:sz w:val="20"/>
                <w:szCs w:val="20"/>
              </w:rPr>
              <w:t>b</w:t>
            </w:r>
          </w:p>
        </w:tc>
        <w:tc>
          <w:tcPr>
            <w:tcW w:w="1027" w:type="pct"/>
            <w:noWrap/>
            <w:vAlign w:val="center"/>
            <w:hideMark/>
          </w:tcPr>
          <w:p w14:paraId="4C1BAEB7" w14:textId="77777777" w:rsidR="00A91E61" w:rsidRPr="00306B00" w:rsidRDefault="00A91E61">
            <w:pPr>
              <w:spacing w:line="276" w:lineRule="auto"/>
              <w:jc w:val="right"/>
              <w:rPr>
                <w:color w:val="000000"/>
                <w:sz w:val="20"/>
                <w:szCs w:val="20"/>
              </w:rPr>
            </w:pPr>
            <w:r w:rsidRPr="00306B00">
              <w:rPr>
                <w:color w:val="000000"/>
                <w:sz w:val="20"/>
                <w:szCs w:val="20"/>
              </w:rPr>
              <w:t>13%</w:t>
            </w:r>
          </w:p>
        </w:tc>
      </w:tr>
      <w:tr w:rsidR="00A91E61" w:rsidRPr="00306B00" w14:paraId="73E4E09A" w14:textId="77777777">
        <w:trPr>
          <w:gridAfter w:val="1"/>
          <w:wAfter w:w="4" w:type="pct"/>
          <w:trHeight w:val="397"/>
        </w:trPr>
        <w:tc>
          <w:tcPr>
            <w:tcW w:w="3242" w:type="pct"/>
            <w:noWrap/>
            <w:vAlign w:val="center"/>
            <w:hideMark/>
          </w:tcPr>
          <w:p w14:paraId="77139EAA" w14:textId="77777777" w:rsidR="00A91E61" w:rsidRPr="00306B00" w:rsidRDefault="00A91E61" w:rsidP="00841D8C">
            <w:pPr>
              <w:spacing w:line="276" w:lineRule="auto"/>
              <w:ind w:right="166"/>
              <w:rPr>
                <w:color w:val="000000"/>
                <w:sz w:val="20"/>
                <w:szCs w:val="20"/>
              </w:rPr>
            </w:pPr>
            <w:r w:rsidRPr="00306B00">
              <w:rPr>
                <w:color w:val="000000"/>
                <w:sz w:val="20"/>
                <w:szCs w:val="20"/>
              </w:rPr>
              <w:t xml:space="preserve">Total cost of mental health and addiction services attributable to gambling </w:t>
            </w:r>
          </w:p>
        </w:tc>
        <w:tc>
          <w:tcPr>
            <w:tcW w:w="727" w:type="pct"/>
            <w:noWrap/>
            <w:vAlign w:val="center"/>
            <w:hideMark/>
          </w:tcPr>
          <w:p w14:paraId="46BAD3D2" w14:textId="77777777" w:rsidR="00A91E61" w:rsidRPr="00306B00" w:rsidRDefault="00A91E61">
            <w:pPr>
              <w:spacing w:line="276" w:lineRule="auto"/>
              <w:ind w:right="-330"/>
              <w:rPr>
                <w:color w:val="000000"/>
                <w:sz w:val="20"/>
                <w:szCs w:val="20"/>
              </w:rPr>
            </w:pPr>
            <w:r w:rsidRPr="00306B00">
              <w:rPr>
                <w:color w:val="000000"/>
                <w:sz w:val="20"/>
                <w:szCs w:val="20"/>
              </w:rPr>
              <w:t>c = a x b</w:t>
            </w:r>
          </w:p>
        </w:tc>
        <w:tc>
          <w:tcPr>
            <w:tcW w:w="1027" w:type="pct"/>
            <w:noWrap/>
            <w:vAlign w:val="center"/>
            <w:hideMark/>
          </w:tcPr>
          <w:p w14:paraId="085D0712" w14:textId="77777777" w:rsidR="00A91E61" w:rsidRPr="00306B00" w:rsidRDefault="00A91E61">
            <w:pPr>
              <w:spacing w:line="276" w:lineRule="auto"/>
              <w:jc w:val="right"/>
              <w:rPr>
                <w:color w:val="000000"/>
                <w:sz w:val="20"/>
                <w:szCs w:val="20"/>
              </w:rPr>
            </w:pPr>
            <w:r w:rsidRPr="00306B00">
              <w:rPr>
                <w:color w:val="000000"/>
                <w:sz w:val="20"/>
                <w:szCs w:val="20"/>
              </w:rPr>
              <w:t>$650,000</w:t>
            </w:r>
          </w:p>
        </w:tc>
      </w:tr>
      <w:tr w:rsidR="00A91E61" w:rsidRPr="00306B00" w14:paraId="2063DB0C" w14:textId="77777777">
        <w:trPr>
          <w:gridAfter w:val="1"/>
          <w:wAfter w:w="4" w:type="pct"/>
          <w:trHeight w:val="397"/>
        </w:trPr>
        <w:tc>
          <w:tcPr>
            <w:tcW w:w="3242" w:type="pct"/>
            <w:noWrap/>
            <w:vAlign w:val="center"/>
            <w:hideMark/>
          </w:tcPr>
          <w:p w14:paraId="2E897473" w14:textId="77777777" w:rsidR="00A91E61" w:rsidRPr="00306B00" w:rsidRDefault="00A91E61">
            <w:pPr>
              <w:spacing w:line="276" w:lineRule="auto"/>
              <w:ind w:right="-330"/>
              <w:rPr>
                <w:color w:val="000000"/>
                <w:sz w:val="20"/>
                <w:szCs w:val="20"/>
              </w:rPr>
            </w:pPr>
            <w:r w:rsidRPr="00306B00">
              <w:rPr>
                <w:color w:val="000000"/>
                <w:sz w:val="20"/>
                <w:szCs w:val="20"/>
              </w:rPr>
              <w:t>Gambling intervention services (including helpline)</w:t>
            </w:r>
          </w:p>
        </w:tc>
        <w:tc>
          <w:tcPr>
            <w:tcW w:w="727" w:type="pct"/>
            <w:noWrap/>
            <w:vAlign w:val="center"/>
            <w:hideMark/>
          </w:tcPr>
          <w:p w14:paraId="6A452708" w14:textId="77777777" w:rsidR="00A91E61" w:rsidRPr="00306B00" w:rsidRDefault="00A91E61">
            <w:pPr>
              <w:spacing w:line="276" w:lineRule="auto"/>
              <w:ind w:right="-330"/>
              <w:rPr>
                <w:color w:val="000000"/>
                <w:sz w:val="20"/>
                <w:szCs w:val="20"/>
              </w:rPr>
            </w:pPr>
            <w:r w:rsidRPr="00306B00">
              <w:rPr>
                <w:color w:val="000000"/>
                <w:sz w:val="20"/>
                <w:szCs w:val="20"/>
              </w:rPr>
              <w:t>d</w:t>
            </w:r>
          </w:p>
        </w:tc>
        <w:tc>
          <w:tcPr>
            <w:tcW w:w="1027" w:type="pct"/>
            <w:noWrap/>
            <w:vAlign w:val="center"/>
            <w:hideMark/>
          </w:tcPr>
          <w:p w14:paraId="79F75424" w14:textId="77777777" w:rsidR="00A91E61" w:rsidRPr="00306B00" w:rsidRDefault="00A91E61">
            <w:pPr>
              <w:spacing w:line="276" w:lineRule="auto"/>
              <w:jc w:val="right"/>
              <w:rPr>
                <w:color w:val="000000"/>
                <w:sz w:val="20"/>
                <w:szCs w:val="20"/>
              </w:rPr>
            </w:pPr>
            <w:r w:rsidRPr="00306B00">
              <w:rPr>
                <w:color w:val="000000"/>
                <w:sz w:val="20"/>
                <w:szCs w:val="20"/>
              </w:rPr>
              <w:t>$11,571,000</w:t>
            </w:r>
          </w:p>
        </w:tc>
      </w:tr>
      <w:tr w:rsidR="00A91E61" w:rsidRPr="00306B00" w14:paraId="69AE3292" w14:textId="77777777">
        <w:trPr>
          <w:gridAfter w:val="1"/>
          <w:wAfter w:w="4" w:type="pct"/>
          <w:trHeight w:val="397"/>
        </w:trPr>
        <w:tc>
          <w:tcPr>
            <w:tcW w:w="3242" w:type="pct"/>
            <w:noWrap/>
            <w:vAlign w:val="center"/>
            <w:hideMark/>
          </w:tcPr>
          <w:p w14:paraId="31D7197A" w14:textId="77777777" w:rsidR="00A91E61" w:rsidRPr="00306B00" w:rsidRDefault="00A91E61">
            <w:pPr>
              <w:spacing w:line="276" w:lineRule="auto"/>
              <w:ind w:right="-330"/>
              <w:rPr>
                <w:color w:val="000000"/>
                <w:sz w:val="20"/>
                <w:szCs w:val="20"/>
              </w:rPr>
            </w:pPr>
            <w:r w:rsidRPr="00306B00">
              <w:rPr>
                <w:color w:val="000000"/>
                <w:sz w:val="20"/>
                <w:szCs w:val="20"/>
              </w:rPr>
              <w:t>Research and evaluation</w:t>
            </w:r>
          </w:p>
        </w:tc>
        <w:tc>
          <w:tcPr>
            <w:tcW w:w="727" w:type="pct"/>
            <w:noWrap/>
            <w:vAlign w:val="center"/>
            <w:hideMark/>
          </w:tcPr>
          <w:p w14:paraId="23F9270D" w14:textId="77777777" w:rsidR="00A91E61" w:rsidRPr="00306B00" w:rsidRDefault="00A91E61">
            <w:pPr>
              <w:spacing w:line="276" w:lineRule="auto"/>
              <w:ind w:right="-330"/>
              <w:rPr>
                <w:color w:val="000000"/>
                <w:sz w:val="20"/>
                <w:szCs w:val="20"/>
              </w:rPr>
            </w:pPr>
            <w:r w:rsidRPr="00306B00">
              <w:rPr>
                <w:color w:val="000000"/>
                <w:sz w:val="20"/>
                <w:szCs w:val="20"/>
              </w:rPr>
              <w:t>e</w:t>
            </w:r>
          </w:p>
        </w:tc>
        <w:tc>
          <w:tcPr>
            <w:tcW w:w="1027" w:type="pct"/>
            <w:noWrap/>
            <w:vAlign w:val="center"/>
            <w:hideMark/>
          </w:tcPr>
          <w:p w14:paraId="285BED60" w14:textId="77777777" w:rsidR="00A91E61" w:rsidRPr="00306B00" w:rsidRDefault="00A91E61">
            <w:pPr>
              <w:spacing w:line="276" w:lineRule="auto"/>
              <w:jc w:val="right"/>
              <w:rPr>
                <w:color w:val="000000"/>
                <w:sz w:val="20"/>
                <w:szCs w:val="20"/>
              </w:rPr>
            </w:pPr>
            <w:r w:rsidRPr="00306B00">
              <w:rPr>
                <w:color w:val="000000"/>
                <w:sz w:val="20"/>
                <w:szCs w:val="20"/>
              </w:rPr>
              <w:t>$2,393,000</w:t>
            </w:r>
          </w:p>
        </w:tc>
      </w:tr>
      <w:tr w:rsidR="00A91E61" w:rsidRPr="00306B00" w14:paraId="21DA5A0B" w14:textId="77777777">
        <w:trPr>
          <w:gridAfter w:val="1"/>
          <w:wAfter w:w="4" w:type="pct"/>
          <w:trHeight w:val="397"/>
        </w:trPr>
        <w:tc>
          <w:tcPr>
            <w:tcW w:w="3242" w:type="pct"/>
            <w:noWrap/>
            <w:vAlign w:val="center"/>
            <w:hideMark/>
          </w:tcPr>
          <w:p w14:paraId="5AD6FBCE" w14:textId="77777777" w:rsidR="00A91E61" w:rsidRPr="00306B00" w:rsidRDefault="00A91E61">
            <w:pPr>
              <w:spacing w:line="276" w:lineRule="auto"/>
              <w:ind w:right="-330"/>
              <w:rPr>
                <w:color w:val="000000"/>
                <w:sz w:val="20"/>
                <w:szCs w:val="20"/>
              </w:rPr>
            </w:pPr>
            <w:r w:rsidRPr="00306B00">
              <w:rPr>
                <w:color w:val="000000"/>
                <w:sz w:val="20"/>
                <w:szCs w:val="20"/>
              </w:rPr>
              <w:t>New services and innovation</w:t>
            </w:r>
          </w:p>
        </w:tc>
        <w:tc>
          <w:tcPr>
            <w:tcW w:w="727" w:type="pct"/>
            <w:noWrap/>
            <w:vAlign w:val="center"/>
            <w:hideMark/>
          </w:tcPr>
          <w:p w14:paraId="0486F5D7" w14:textId="77777777" w:rsidR="00A91E61" w:rsidRPr="00306B00" w:rsidRDefault="00A91E61">
            <w:pPr>
              <w:spacing w:line="276" w:lineRule="auto"/>
              <w:ind w:right="-330"/>
              <w:rPr>
                <w:color w:val="000000"/>
                <w:sz w:val="20"/>
                <w:szCs w:val="20"/>
              </w:rPr>
            </w:pPr>
            <w:r w:rsidRPr="00306B00">
              <w:rPr>
                <w:color w:val="000000"/>
                <w:sz w:val="20"/>
                <w:szCs w:val="20"/>
              </w:rPr>
              <w:t>f</w:t>
            </w:r>
          </w:p>
        </w:tc>
        <w:tc>
          <w:tcPr>
            <w:tcW w:w="1027" w:type="pct"/>
            <w:noWrap/>
            <w:vAlign w:val="center"/>
            <w:hideMark/>
          </w:tcPr>
          <w:p w14:paraId="4891F114" w14:textId="77777777" w:rsidR="00A91E61" w:rsidRPr="00306B00" w:rsidRDefault="00A91E61">
            <w:pPr>
              <w:spacing w:line="276" w:lineRule="auto"/>
              <w:jc w:val="right"/>
              <w:rPr>
                <w:color w:val="000000"/>
                <w:sz w:val="20"/>
                <w:szCs w:val="20"/>
              </w:rPr>
            </w:pPr>
            <w:r w:rsidRPr="00306B00">
              <w:rPr>
                <w:color w:val="000000"/>
                <w:sz w:val="20"/>
                <w:szCs w:val="20"/>
              </w:rPr>
              <w:t>$2,769,000</w:t>
            </w:r>
          </w:p>
        </w:tc>
      </w:tr>
      <w:tr w:rsidR="00A91E61" w:rsidRPr="00306B00" w14:paraId="506F1556" w14:textId="77777777">
        <w:trPr>
          <w:gridAfter w:val="1"/>
          <w:wAfter w:w="4" w:type="pct"/>
          <w:trHeight w:val="397"/>
        </w:trPr>
        <w:tc>
          <w:tcPr>
            <w:tcW w:w="3242" w:type="pct"/>
            <w:noWrap/>
            <w:vAlign w:val="center"/>
            <w:hideMark/>
          </w:tcPr>
          <w:p w14:paraId="50BD204D" w14:textId="77777777" w:rsidR="00A91E61" w:rsidRPr="00306B00" w:rsidRDefault="00A91E61">
            <w:pPr>
              <w:spacing w:line="276" w:lineRule="auto"/>
              <w:ind w:right="-330"/>
              <w:rPr>
                <w:color w:val="000000"/>
                <w:sz w:val="20"/>
                <w:szCs w:val="20"/>
              </w:rPr>
            </w:pPr>
            <w:r w:rsidRPr="00306B00">
              <w:rPr>
                <w:color w:val="000000"/>
                <w:sz w:val="20"/>
                <w:szCs w:val="20"/>
              </w:rPr>
              <w:t>Ministry operating costs</w:t>
            </w:r>
          </w:p>
        </w:tc>
        <w:tc>
          <w:tcPr>
            <w:tcW w:w="727" w:type="pct"/>
            <w:noWrap/>
            <w:vAlign w:val="center"/>
            <w:hideMark/>
          </w:tcPr>
          <w:p w14:paraId="028D0EAE" w14:textId="77777777" w:rsidR="00A91E61" w:rsidRPr="00306B00" w:rsidRDefault="00A91E61">
            <w:pPr>
              <w:spacing w:line="276" w:lineRule="auto"/>
              <w:ind w:right="-330"/>
              <w:rPr>
                <w:color w:val="000000"/>
                <w:sz w:val="20"/>
                <w:szCs w:val="20"/>
              </w:rPr>
            </w:pPr>
            <w:r w:rsidRPr="00306B00">
              <w:rPr>
                <w:color w:val="000000"/>
                <w:sz w:val="20"/>
                <w:szCs w:val="20"/>
              </w:rPr>
              <w:t>g</w:t>
            </w:r>
          </w:p>
        </w:tc>
        <w:tc>
          <w:tcPr>
            <w:tcW w:w="1027" w:type="pct"/>
            <w:noWrap/>
            <w:vAlign w:val="center"/>
            <w:hideMark/>
          </w:tcPr>
          <w:p w14:paraId="7878E17B" w14:textId="77777777" w:rsidR="00A91E61" w:rsidRPr="00306B00" w:rsidRDefault="00A91E61">
            <w:pPr>
              <w:spacing w:line="276" w:lineRule="auto"/>
              <w:jc w:val="right"/>
              <w:rPr>
                <w:color w:val="000000"/>
                <w:sz w:val="20"/>
                <w:szCs w:val="20"/>
              </w:rPr>
            </w:pPr>
            <w:r w:rsidRPr="00306B00">
              <w:rPr>
                <w:color w:val="000000"/>
                <w:sz w:val="20"/>
                <w:szCs w:val="20"/>
              </w:rPr>
              <w:t>$1,157,000</w:t>
            </w:r>
          </w:p>
        </w:tc>
      </w:tr>
      <w:tr w:rsidR="00A91E61" w:rsidRPr="00306B00" w14:paraId="61BA1C00" w14:textId="77777777">
        <w:trPr>
          <w:gridAfter w:val="1"/>
          <w:wAfter w:w="4" w:type="pct"/>
          <w:trHeight w:val="397"/>
        </w:trPr>
        <w:tc>
          <w:tcPr>
            <w:tcW w:w="3242" w:type="pct"/>
            <w:noWrap/>
            <w:vAlign w:val="center"/>
            <w:hideMark/>
          </w:tcPr>
          <w:p w14:paraId="509252FE" w14:textId="77777777" w:rsidR="00A91E61" w:rsidRPr="00306B00" w:rsidRDefault="00A91E61">
            <w:pPr>
              <w:spacing w:line="276" w:lineRule="auto"/>
              <w:ind w:right="-330"/>
              <w:rPr>
                <w:color w:val="000000"/>
                <w:sz w:val="20"/>
                <w:szCs w:val="20"/>
              </w:rPr>
            </w:pPr>
            <w:r w:rsidRPr="00306B00">
              <w:rPr>
                <w:color w:val="000000"/>
                <w:sz w:val="20"/>
                <w:szCs w:val="20"/>
              </w:rPr>
              <w:t>Annual amount for regulating casino and non-casino gaming</w:t>
            </w:r>
          </w:p>
        </w:tc>
        <w:tc>
          <w:tcPr>
            <w:tcW w:w="727" w:type="pct"/>
            <w:noWrap/>
            <w:vAlign w:val="center"/>
            <w:hideMark/>
          </w:tcPr>
          <w:p w14:paraId="1886B072" w14:textId="77777777" w:rsidR="00A91E61" w:rsidRPr="00306B00" w:rsidRDefault="00A91E61">
            <w:pPr>
              <w:spacing w:line="276" w:lineRule="auto"/>
              <w:ind w:right="-330"/>
              <w:rPr>
                <w:color w:val="000000"/>
                <w:sz w:val="20"/>
                <w:szCs w:val="20"/>
              </w:rPr>
            </w:pPr>
            <w:r w:rsidRPr="00306B00">
              <w:rPr>
                <w:color w:val="000000"/>
                <w:sz w:val="20"/>
                <w:szCs w:val="20"/>
              </w:rPr>
              <w:t>h</w:t>
            </w:r>
          </w:p>
        </w:tc>
        <w:tc>
          <w:tcPr>
            <w:tcW w:w="1027" w:type="pct"/>
            <w:noWrap/>
            <w:vAlign w:val="center"/>
            <w:hideMark/>
          </w:tcPr>
          <w:p w14:paraId="022BB48C" w14:textId="77777777" w:rsidR="00A91E61" w:rsidRPr="00306B00" w:rsidRDefault="00A91E61">
            <w:pPr>
              <w:spacing w:line="276" w:lineRule="auto"/>
              <w:jc w:val="right"/>
              <w:rPr>
                <w:color w:val="000000"/>
                <w:sz w:val="20"/>
                <w:szCs w:val="20"/>
              </w:rPr>
            </w:pPr>
            <w:r w:rsidRPr="00306B00">
              <w:rPr>
                <w:color w:val="000000"/>
                <w:sz w:val="20"/>
                <w:szCs w:val="20"/>
              </w:rPr>
              <w:t>$24,516,000</w:t>
            </w:r>
          </w:p>
        </w:tc>
      </w:tr>
      <w:tr w:rsidR="00A91E61" w:rsidRPr="00306B00" w14:paraId="61DB63F1" w14:textId="77777777">
        <w:trPr>
          <w:gridAfter w:val="1"/>
          <w:wAfter w:w="4" w:type="pct"/>
          <w:trHeight w:val="397"/>
        </w:trPr>
        <w:tc>
          <w:tcPr>
            <w:tcW w:w="3242" w:type="pct"/>
            <w:noWrap/>
            <w:vAlign w:val="center"/>
            <w:hideMark/>
          </w:tcPr>
          <w:p w14:paraId="3BD10E3C" w14:textId="77777777" w:rsidR="00A91E61" w:rsidRPr="00306B00" w:rsidRDefault="00A91E61">
            <w:pPr>
              <w:spacing w:line="276" w:lineRule="auto"/>
              <w:ind w:right="-330"/>
              <w:rPr>
                <w:color w:val="000000"/>
                <w:sz w:val="20"/>
                <w:szCs w:val="20"/>
              </w:rPr>
            </w:pPr>
            <w:r w:rsidRPr="00306B00">
              <w:rPr>
                <w:color w:val="000000"/>
                <w:sz w:val="20"/>
                <w:szCs w:val="20"/>
              </w:rPr>
              <w:t>Statutory Body Support - Gambling Commission</w:t>
            </w:r>
          </w:p>
        </w:tc>
        <w:tc>
          <w:tcPr>
            <w:tcW w:w="727" w:type="pct"/>
            <w:noWrap/>
            <w:vAlign w:val="center"/>
            <w:hideMark/>
          </w:tcPr>
          <w:p w14:paraId="5E1BE34B" w14:textId="77777777" w:rsidR="00A91E61" w:rsidRPr="00306B00" w:rsidRDefault="00A91E61">
            <w:pPr>
              <w:spacing w:line="276" w:lineRule="auto"/>
              <w:ind w:right="-330"/>
              <w:rPr>
                <w:color w:val="000000"/>
                <w:sz w:val="20"/>
                <w:szCs w:val="20"/>
              </w:rPr>
            </w:pPr>
            <w:r w:rsidRPr="00306B00">
              <w:rPr>
                <w:color w:val="000000"/>
                <w:sz w:val="20"/>
                <w:szCs w:val="20"/>
              </w:rPr>
              <w:t>i</w:t>
            </w:r>
          </w:p>
        </w:tc>
        <w:tc>
          <w:tcPr>
            <w:tcW w:w="1027" w:type="pct"/>
            <w:noWrap/>
            <w:vAlign w:val="center"/>
            <w:hideMark/>
          </w:tcPr>
          <w:p w14:paraId="6EEBA9BB" w14:textId="77777777" w:rsidR="00A91E61" w:rsidRPr="00306B00" w:rsidRDefault="00A91E61">
            <w:pPr>
              <w:spacing w:line="276" w:lineRule="auto"/>
              <w:jc w:val="right"/>
              <w:rPr>
                <w:color w:val="000000"/>
                <w:sz w:val="20"/>
                <w:szCs w:val="20"/>
              </w:rPr>
            </w:pPr>
            <w:r w:rsidRPr="00306B00">
              <w:rPr>
                <w:color w:val="000000"/>
                <w:sz w:val="20"/>
                <w:szCs w:val="20"/>
              </w:rPr>
              <w:t>$862,000</w:t>
            </w:r>
          </w:p>
        </w:tc>
      </w:tr>
      <w:tr w:rsidR="00C84A6D" w:rsidRPr="00306B00" w14:paraId="35F17FCD" w14:textId="77777777" w:rsidTr="00BB3C33">
        <w:trPr>
          <w:gridAfter w:val="1"/>
          <w:wAfter w:w="4" w:type="pct"/>
          <w:trHeight w:val="397"/>
        </w:trPr>
        <w:tc>
          <w:tcPr>
            <w:tcW w:w="3242" w:type="pct"/>
            <w:vAlign w:val="center"/>
          </w:tcPr>
          <w:p w14:paraId="7D220FB1" w14:textId="20446207" w:rsidR="00C84A6D" w:rsidRPr="00306B00" w:rsidRDefault="00C84A6D">
            <w:pPr>
              <w:spacing w:line="276" w:lineRule="auto"/>
              <w:ind w:right="-330"/>
              <w:rPr>
                <w:color w:val="000000"/>
                <w:sz w:val="20"/>
                <w:szCs w:val="20"/>
              </w:rPr>
            </w:pPr>
            <w:r w:rsidRPr="00306B00">
              <w:rPr>
                <w:color w:val="000000"/>
                <w:sz w:val="20"/>
                <w:szCs w:val="20"/>
              </w:rPr>
              <w:t>Offshore Betting Charges Regime</w:t>
            </w:r>
          </w:p>
        </w:tc>
        <w:tc>
          <w:tcPr>
            <w:tcW w:w="727" w:type="pct"/>
            <w:vAlign w:val="center"/>
          </w:tcPr>
          <w:p w14:paraId="1EC0E679" w14:textId="23EFDEC2" w:rsidR="00C84A6D" w:rsidRPr="00306B00" w:rsidRDefault="00C84A6D">
            <w:pPr>
              <w:spacing w:line="276" w:lineRule="auto"/>
              <w:ind w:right="169"/>
              <w:rPr>
                <w:color w:val="000000"/>
                <w:sz w:val="20"/>
                <w:szCs w:val="20"/>
              </w:rPr>
            </w:pPr>
            <w:r w:rsidRPr="00306B00">
              <w:rPr>
                <w:color w:val="000000"/>
                <w:sz w:val="20"/>
                <w:szCs w:val="20"/>
              </w:rPr>
              <w:t>j</w:t>
            </w:r>
          </w:p>
        </w:tc>
        <w:tc>
          <w:tcPr>
            <w:tcW w:w="1027" w:type="pct"/>
            <w:noWrap/>
            <w:vAlign w:val="center"/>
          </w:tcPr>
          <w:p w14:paraId="69567C75" w14:textId="7D441BD0" w:rsidR="00C84A6D" w:rsidRPr="00306B00" w:rsidRDefault="00C84A6D">
            <w:pPr>
              <w:spacing w:line="276" w:lineRule="auto"/>
              <w:jc w:val="right"/>
              <w:rPr>
                <w:color w:val="000000"/>
                <w:sz w:val="20"/>
                <w:szCs w:val="20"/>
              </w:rPr>
            </w:pPr>
            <w:r w:rsidRPr="00306B00">
              <w:rPr>
                <w:color w:val="000000"/>
                <w:sz w:val="20"/>
                <w:szCs w:val="20"/>
              </w:rPr>
              <w:t>$4,923,000</w:t>
            </w:r>
          </w:p>
        </w:tc>
      </w:tr>
      <w:tr w:rsidR="00A91E61" w:rsidRPr="00306B00" w14:paraId="116D6821" w14:textId="77777777">
        <w:trPr>
          <w:gridAfter w:val="1"/>
          <w:wAfter w:w="4" w:type="pct"/>
          <w:trHeight w:val="397"/>
        </w:trPr>
        <w:tc>
          <w:tcPr>
            <w:tcW w:w="3242" w:type="pct"/>
            <w:shd w:val="clear" w:color="auto" w:fill="F2F2F2" w:themeFill="background1" w:themeFillShade="F2"/>
            <w:vAlign w:val="center"/>
            <w:hideMark/>
          </w:tcPr>
          <w:p w14:paraId="3895FBE1" w14:textId="77777777" w:rsidR="00A91E61" w:rsidRPr="00306B00" w:rsidRDefault="00A91E61" w:rsidP="00841D8C">
            <w:pPr>
              <w:spacing w:line="276" w:lineRule="auto"/>
              <w:ind w:right="24"/>
              <w:rPr>
                <w:b/>
                <w:bCs/>
                <w:color w:val="000000"/>
                <w:sz w:val="20"/>
                <w:szCs w:val="20"/>
              </w:rPr>
            </w:pPr>
            <w:r w:rsidRPr="00306B00">
              <w:rPr>
                <w:b/>
                <w:bCs/>
                <w:color w:val="000000"/>
                <w:sz w:val="20"/>
                <w:szCs w:val="20"/>
              </w:rPr>
              <w:t>Total annual government expenditure related to gambling harm and regulation</w:t>
            </w:r>
          </w:p>
        </w:tc>
        <w:tc>
          <w:tcPr>
            <w:tcW w:w="727" w:type="pct"/>
            <w:shd w:val="clear" w:color="auto" w:fill="F2F2F2" w:themeFill="background1" w:themeFillShade="F2"/>
            <w:vAlign w:val="center"/>
            <w:hideMark/>
          </w:tcPr>
          <w:p w14:paraId="6CECACB8" w14:textId="7B6A0871" w:rsidR="00A91E61" w:rsidRPr="00306B00" w:rsidRDefault="00C84A6D">
            <w:pPr>
              <w:spacing w:line="276" w:lineRule="auto"/>
              <w:ind w:right="169"/>
              <w:rPr>
                <w:b/>
                <w:bCs/>
                <w:color w:val="000000"/>
                <w:sz w:val="20"/>
                <w:szCs w:val="20"/>
              </w:rPr>
            </w:pPr>
            <w:r w:rsidRPr="00306B00">
              <w:rPr>
                <w:b/>
                <w:bCs/>
                <w:color w:val="000000"/>
                <w:sz w:val="20"/>
                <w:szCs w:val="20"/>
              </w:rPr>
              <w:t>k</w:t>
            </w:r>
            <w:r w:rsidR="00A91E61" w:rsidRPr="00306B00">
              <w:rPr>
                <w:b/>
                <w:bCs/>
                <w:color w:val="000000"/>
                <w:sz w:val="20"/>
                <w:szCs w:val="20"/>
              </w:rPr>
              <w:t xml:space="preserve"> = c + d + e + f + g + h + i</w:t>
            </w:r>
            <w:r w:rsidRPr="00306B00">
              <w:rPr>
                <w:b/>
                <w:bCs/>
                <w:color w:val="000000"/>
                <w:sz w:val="20"/>
                <w:szCs w:val="20"/>
              </w:rPr>
              <w:t xml:space="preserve"> + j</w:t>
            </w:r>
          </w:p>
        </w:tc>
        <w:tc>
          <w:tcPr>
            <w:tcW w:w="1027" w:type="pct"/>
            <w:shd w:val="clear" w:color="auto" w:fill="F2F2F2" w:themeFill="background1" w:themeFillShade="F2"/>
            <w:noWrap/>
            <w:vAlign w:val="center"/>
            <w:hideMark/>
          </w:tcPr>
          <w:p w14:paraId="4EAB01B5" w14:textId="0903B38B" w:rsidR="00A91E61" w:rsidRPr="00306B00" w:rsidRDefault="00A91E61">
            <w:pPr>
              <w:spacing w:line="276" w:lineRule="auto"/>
              <w:jc w:val="right"/>
              <w:rPr>
                <w:b/>
                <w:bCs/>
                <w:color w:val="000000"/>
                <w:sz w:val="20"/>
                <w:szCs w:val="20"/>
              </w:rPr>
            </w:pPr>
            <w:r w:rsidRPr="00306B00">
              <w:rPr>
                <w:b/>
                <w:bCs/>
                <w:color w:val="000000"/>
                <w:sz w:val="20"/>
                <w:szCs w:val="20"/>
              </w:rPr>
              <w:t>$</w:t>
            </w:r>
            <w:r w:rsidR="00C84A6D" w:rsidRPr="00306B00">
              <w:rPr>
                <w:b/>
                <w:bCs/>
                <w:color w:val="000000"/>
                <w:sz w:val="20"/>
                <w:szCs w:val="20"/>
              </w:rPr>
              <w:t>48</w:t>
            </w:r>
            <w:r w:rsidRPr="00306B00">
              <w:rPr>
                <w:b/>
                <w:bCs/>
                <w:color w:val="000000"/>
                <w:sz w:val="20"/>
                <w:szCs w:val="20"/>
              </w:rPr>
              <w:t>,</w:t>
            </w:r>
            <w:r w:rsidR="00C84A6D" w:rsidRPr="00306B00">
              <w:rPr>
                <w:b/>
                <w:bCs/>
                <w:color w:val="000000"/>
                <w:sz w:val="20"/>
                <w:szCs w:val="20"/>
              </w:rPr>
              <w:t>841</w:t>
            </w:r>
            <w:r w:rsidRPr="00306B00">
              <w:rPr>
                <w:b/>
                <w:bCs/>
                <w:color w:val="000000"/>
                <w:sz w:val="20"/>
                <w:szCs w:val="20"/>
              </w:rPr>
              <w:t>,000</w:t>
            </w:r>
          </w:p>
        </w:tc>
      </w:tr>
      <w:tr w:rsidR="00A91E61" w:rsidRPr="00306B00" w14:paraId="1BFFFC05" w14:textId="77777777">
        <w:trPr>
          <w:gridAfter w:val="1"/>
          <w:wAfter w:w="4" w:type="pct"/>
          <w:trHeight w:val="397"/>
        </w:trPr>
        <w:tc>
          <w:tcPr>
            <w:tcW w:w="3969" w:type="pct"/>
            <w:gridSpan w:val="2"/>
            <w:noWrap/>
            <w:vAlign w:val="center"/>
            <w:hideMark/>
          </w:tcPr>
          <w:p w14:paraId="2D4078A1" w14:textId="77777777" w:rsidR="00A91E61" w:rsidRPr="00306B00" w:rsidRDefault="00A91E61">
            <w:pPr>
              <w:spacing w:line="276" w:lineRule="auto"/>
              <w:ind w:right="-330"/>
              <w:rPr>
                <w:color w:val="000000"/>
                <w:sz w:val="20"/>
                <w:szCs w:val="20"/>
              </w:rPr>
            </w:pPr>
            <w:r w:rsidRPr="00306B00">
              <w:rPr>
                <w:color w:val="000000"/>
                <w:sz w:val="20"/>
                <w:szCs w:val="20"/>
              </w:rPr>
              <w:t>Lower Estimate</w:t>
            </w:r>
          </w:p>
        </w:tc>
        <w:tc>
          <w:tcPr>
            <w:tcW w:w="1027" w:type="pct"/>
            <w:noWrap/>
            <w:vAlign w:val="center"/>
            <w:hideMark/>
          </w:tcPr>
          <w:p w14:paraId="1D608CA3" w14:textId="4DF14730" w:rsidR="00A91E61" w:rsidRPr="00306B00" w:rsidRDefault="00A91E61">
            <w:pPr>
              <w:spacing w:line="276" w:lineRule="auto"/>
              <w:jc w:val="right"/>
              <w:rPr>
                <w:color w:val="000000"/>
                <w:sz w:val="20"/>
                <w:szCs w:val="20"/>
              </w:rPr>
            </w:pPr>
            <w:r w:rsidRPr="00306B00">
              <w:rPr>
                <w:color w:val="000000"/>
                <w:sz w:val="20"/>
                <w:szCs w:val="20"/>
              </w:rPr>
              <w:t>$</w:t>
            </w:r>
            <w:r w:rsidR="00C84A6D" w:rsidRPr="00306B00">
              <w:rPr>
                <w:color w:val="000000"/>
                <w:sz w:val="20"/>
                <w:szCs w:val="20"/>
              </w:rPr>
              <w:t>48</w:t>
            </w:r>
            <w:r w:rsidRPr="00306B00">
              <w:rPr>
                <w:color w:val="000000"/>
                <w:sz w:val="20"/>
                <w:szCs w:val="20"/>
              </w:rPr>
              <w:t>,</w:t>
            </w:r>
            <w:r w:rsidR="00C84A6D" w:rsidRPr="00306B00">
              <w:rPr>
                <w:color w:val="000000"/>
                <w:sz w:val="20"/>
                <w:szCs w:val="20"/>
              </w:rPr>
              <w:t>841</w:t>
            </w:r>
            <w:r w:rsidRPr="00306B00">
              <w:rPr>
                <w:color w:val="000000"/>
                <w:sz w:val="20"/>
                <w:szCs w:val="20"/>
              </w:rPr>
              <w:t>,000</w:t>
            </w:r>
          </w:p>
        </w:tc>
      </w:tr>
      <w:tr w:rsidR="00A91E61" w:rsidRPr="00306B00" w14:paraId="53CBA13B" w14:textId="77777777">
        <w:trPr>
          <w:gridAfter w:val="1"/>
          <w:wAfter w:w="4" w:type="pct"/>
          <w:trHeight w:val="397"/>
        </w:trPr>
        <w:tc>
          <w:tcPr>
            <w:tcW w:w="3969" w:type="pct"/>
            <w:gridSpan w:val="2"/>
            <w:noWrap/>
            <w:vAlign w:val="center"/>
            <w:hideMark/>
          </w:tcPr>
          <w:p w14:paraId="46740523" w14:textId="77777777" w:rsidR="00A91E61" w:rsidRPr="00306B00" w:rsidRDefault="00A91E61">
            <w:pPr>
              <w:spacing w:line="276" w:lineRule="auto"/>
              <w:ind w:right="-330"/>
              <w:rPr>
                <w:color w:val="000000"/>
                <w:sz w:val="20"/>
                <w:szCs w:val="20"/>
              </w:rPr>
            </w:pPr>
            <w:r w:rsidRPr="00306B00">
              <w:rPr>
                <w:color w:val="000000"/>
                <w:sz w:val="20"/>
                <w:szCs w:val="20"/>
              </w:rPr>
              <w:t>Upper Estimate</w:t>
            </w:r>
          </w:p>
        </w:tc>
        <w:tc>
          <w:tcPr>
            <w:tcW w:w="1027" w:type="pct"/>
            <w:noWrap/>
            <w:vAlign w:val="center"/>
            <w:hideMark/>
          </w:tcPr>
          <w:p w14:paraId="6BF5E7D4" w14:textId="376478E6" w:rsidR="00A91E61" w:rsidRPr="00306B00" w:rsidRDefault="00A91E61">
            <w:pPr>
              <w:spacing w:line="276" w:lineRule="auto"/>
              <w:jc w:val="right"/>
              <w:rPr>
                <w:color w:val="000000"/>
                <w:sz w:val="20"/>
                <w:szCs w:val="20"/>
              </w:rPr>
            </w:pPr>
            <w:r w:rsidRPr="00306B00">
              <w:rPr>
                <w:color w:val="000000"/>
                <w:sz w:val="20"/>
                <w:szCs w:val="20"/>
              </w:rPr>
              <w:t>$</w:t>
            </w:r>
            <w:r w:rsidR="00C84A6D" w:rsidRPr="00306B00">
              <w:rPr>
                <w:color w:val="000000"/>
                <w:sz w:val="20"/>
                <w:szCs w:val="20"/>
              </w:rPr>
              <w:t>48</w:t>
            </w:r>
            <w:r w:rsidRPr="00306B00">
              <w:rPr>
                <w:color w:val="000000"/>
                <w:sz w:val="20"/>
                <w:szCs w:val="20"/>
              </w:rPr>
              <w:t>,</w:t>
            </w:r>
            <w:r w:rsidR="00C84A6D" w:rsidRPr="00306B00">
              <w:rPr>
                <w:color w:val="000000"/>
                <w:sz w:val="20"/>
                <w:szCs w:val="20"/>
              </w:rPr>
              <w:t>841</w:t>
            </w:r>
            <w:r w:rsidRPr="00306B00">
              <w:rPr>
                <w:color w:val="000000"/>
                <w:sz w:val="20"/>
                <w:szCs w:val="20"/>
              </w:rPr>
              <w:t>,000</w:t>
            </w:r>
          </w:p>
        </w:tc>
      </w:tr>
      <w:tr w:rsidR="00A91E61" w:rsidRPr="00306B00" w14:paraId="6CA36694" w14:textId="77777777">
        <w:trPr>
          <w:trHeight w:val="397"/>
        </w:trPr>
        <w:tc>
          <w:tcPr>
            <w:tcW w:w="5000" w:type="pct"/>
            <w:gridSpan w:val="4"/>
            <w:noWrap/>
            <w:vAlign w:val="center"/>
            <w:hideMark/>
          </w:tcPr>
          <w:p w14:paraId="45F53FF5" w14:textId="77777777" w:rsidR="00A91E61" w:rsidRPr="00306B00" w:rsidRDefault="00A91E61">
            <w:pPr>
              <w:spacing w:line="276" w:lineRule="auto"/>
              <w:ind w:right="289"/>
              <w:rPr>
                <w:i/>
                <w:iCs/>
                <w:color w:val="242424"/>
                <w:sz w:val="20"/>
                <w:szCs w:val="20"/>
              </w:rPr>
            </w:pPr>
            <w:r w:rsidRPr="00306B00">
              <w:rPr>
                <w:i/>
                <w:iCs/>
                <w:color w:val="242424"/>
                <w:sz w:val="20"/>
                <w:szCs w:val="20"/>
              </w:rPr>
              <w:t>Note: Totals may not match exactly due to rounding. Calculations are based on the original unrounded figures to ensure accuracy.</w:t>
            </w:r>
          </w:p>
        </w:tc>
      </w:tr>
    </w:tbl>
    <w:p w14:paraId="265ECC08" w14:textId="77777777" w:rsidR="00306B00" w:rsidRDefault="00306B00" w:rsidP="00306B00">
      <w:bookmarkStart w:id="510" w:name="_60qi49wj7sbm" w:colFirst="0" w:colLast="0"/>
      <w:bookmarkStart w:id="511" w:name="_Toc201572474"/>
      <w:bookmarkEnd w:id="510"/>
    </w:p>
    <w:p w14:paraId="2DD7EEE6" w14:textId="77777777" w:rsidR="00306B00" w:rsidRDefault="00306B00" w:rsidP="00306B00"/>
    <w:p w14:paraId="022E39AA" w14:textId="5AB68024" w:rsidR="00DB689D" w:rsidRDefault="00310A10" w:rsidP="00C30E1A">
      <w:pPr>
        <w:pStyle w:val="Heading3"/>
      </w:pPr>
      <w:bookmarkStart w:id="512" w:name="_Toc207195992"/>
      <w:r>
        <w:t>Non-</w:t>
      </w:r>
      <w:r w:rsidR="006F1A3E">
        <w:t>p</w:t>
      </w:r>
      <w:r>
        <w:t xml:space="preserve">rofit </w:t>
      </w:r>
      <w:r w:rsidR="006F1A3E">
        <w:t>s</w:t>
      </w:r>
      <w:r>
        <w:t xml:space="preserve">ervice </w:t>
      </w:r>
      <w:r w:rsidR="006F1A3E">
        <w:t>d</w:t>
      </w:r>
      <w:r>
        <w:t>elivery</w:t>
      </w:r>
      <w:bookmarkEnd w:id="511"/>
      <w:bookmarkEnd w:id="512"/>
      <w:r>
        <w:t xml:space="preserve"> </w:t>
      </w:r>
    </w:p>
    <w:p w14:paraId="4266ECCC" w14:textId="4CA93D22" w:rsidR="00DB689D" w:rsidRDefault="00310A10" w:rsidP="00367A8D">
      <w:pPr>
        <w:spacing w:line="360" w:lineRule="auto"/>
      </w:pPr>
      <w:r>
        <w:t>This section estimates the costs associated with services delivered by non-profit organisations in response to gambling harm, including financial support, welfare assistance, and public health initiatives. While many of these services are funded by the government</w:t>
      </w:r>
      <w:r w:rsidR="0003670C">
        <w:t xml:space="preserve"> or entities such as the Lottery Grants Board</w:t>
      </w:r>
      <w:r>
        <w:t>, the delivery is often carried out by community or non-profit providers. Individuals experiencing gambling-related harm often face a range of co-occurring issues - such as financial hardship, mental health challenges, and social instability - which may increase their use of non-profit and community services even when those services are not exclusively focused on gambling (Browne, Bellringer et al., 2017; Ministry of Health, 2022). For this reason, the costing approach extends beyond gambling-specific organisations to include a proportion of broader non-profit service funding where gambling harm is a likely contributing factor.</w:t>
      </w:r>
    </w:p>
    <w:p w14:paraId="0197373E" w14:textId="77777777" w:rsidR="00DB689D" w:rsidRDefault="00DB689D" w:rsidP="00367A8D">
      <w:pPr>
        <w:spacing w:line="360" w:lineRule="auto"/>
      </w:pPr>
    </w:p>
    <w:p w14:paraId="212EE392" w14:textId="3A884994" w:rsidR="00DB689D" w:rsidRDefault="00310A10" w:rsidP="00367A8D">
      <w:pPr>
        <w:spacing w:line="360" w:lineRule="auto"/>
      </w:pPr>
      <w:r>
        <w:t>To estimate service-related costs, harm rates were derived based on the type of service accessed, using item-level data from the Measuring the Burden of Gambling Harm in New Zealand report (Browne, Bellringer et al., 2017). These rates were applied to the prevalence of each PGSI risk group from the NZGS (2023/24),</w:t>
      </w:r>
      <w:r w:rsidR="004860AF">
        <w:t xml:space="preserve"> </w:t>
      </w:r>
      <w:r>
        <w:t>and adjusted using a 20% causality discount to account for the likelihood that gambling was not the sole contributing factor.</w:t>
      </w:r>
    </w:p>
    <w:p w14:paraId="1EDD2BAA" w14:textId="77777777" w:rsidR="00DB689D" w:rsidRDefault="00DB689D" w:rsidP="00367A8D">
      <w:pPr>
        <w:spacing w:line="360" w:lineRule="auto"/>
      </w:pPr>
    </w:p>
    <w:tbl>
      <w:tblPr>
        <w:tblStyle w:val="afa"/>
        <w:tblW w:w="90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B689D" w14:paraId="190C72AE" w14:textId="77777777">
        <w:tc>
          <w:tcPr>
            <w:tcW w:w="9026" w:type="dxa"/>
            <w:shd w:val="clear" w:color="auto" w:fill="F3F3F3"/>
            <w:tcMar>
              <w:top w:w="100" w:type="dxa"/>
              <w:left w:w="100" w:type="dxa"/>
              <w:bottom w:w="100" w:type="dxa"/>
              <w:right w:w="100" w:type="dxa"/>
            </w:tcMar>
          </w:tcPr>
          <w:p w14:paraId="25E0CCA6" w14:textId="77777777" w:rsidR="00DB689D" w:rsidRDefault="00310A10" w:rsidP="00CB5C8B">
            <w:pPr>
              <w:widowControl w:val="0"/>
              <w:spacing w:line="276" w:lineRule="auto"/>
              <w:rPr>
                <w:color w:val="0E101A"/>
              </w:rPr>
            </w:pPr>
            <w:r>
              <w:rPr>
                <w:color w:val="0E101A"/>
              </w:rPr>
              <w:t>The cost of services related to gambling addiction provided by non-profit organisations was calculated using:</w:t>
            </w:r>
          </w:p>
          <w:p w14:paraId="3C17BAC2" w14:textId="77777777" w:rsidR="00DB689D" w:rsidRDefault="00DB689D" w:rsidP="00CB5C8B">
            <w:pPr>
              <w:widowControl w:val="0"/>
              <w:spacing w:line="276" w:lineRule="auto"/>
              <w:rPr>
                <w:color w:val="0E101A"/>
              </w:rPr>
            </w:pPr>
          </w:p>
          <w:p w14:paraId="75647A61" w14:textId="77777777" w:rsidR="00DB689D" w:rsidRDefault="00310A10" w:rsidP="00CB5C8B">
            <w:pPr>
              <w:widowControl w:val="0"/>
              <w:spacing w:line="276" w:lineRule="auto"/>
              <w:rPr>
                <w:i/>
                <w:color w:val="0E101A"/>
              </w:rPr>
            </w:pPr>
            <w:r>
              <w:rPr>
                <w:i/>
                <w:color w:val="0E101A"/>
              </w:rPr>
              <w:t>Charity and grant-related expenditure</w:t>
            </w:r>
          </w:p>
          <w:p w14:paraId="2AB7D1ED" w14:textId="7ADC72D4" w:rsidR="00DB689D" w:rsidRDefault="0003670C" w:rsidP="00CB5C8B">
            <w:pPr>
              <w:widowControl w:val="0"/>
              <w:numPr>
                <w:ilvl w:val="0"/>
                <w:numId w:val="46"/>
              </w:numPr>
              <w:spacing w:line="276" w:lineRule="auto"/>
              <w:rPr>
                <w:color w:val="0E101A"/>
              </w:rPr>
            </w:pPr>
            <w:r>
              <w:rPr>
                <w:color w:val="0E101A"/>
              </w:rPr>
              <w:t>In 2023/24, the Lottery Grants Board allocated $175 million to support a broad range of community initiatives (Department of Internal Affairs, 2025).</w:t>
            </w:r>
          </w:p>
          <w:p w14:paraId="68FD4025" w14:textId="77777777" w:rsidR="00DB689D" w:rsidRDefault="00310A10" w:rsidP="00CB5C8B">
            <w:pPr>
              <w:widowControl w:val="0"/>
              <w:numPr>
                <w:ilvl w:val="0"/>
                <w:numId w:val="46"/>
              </w:numPr>
              <w:spacing w:line="276" w:lineRule="auto"/>
              <w:rPr>
                <w:color w:val="0E101A"/>
              </w:rPr>
            </w:pPr>
            <w:r>
              <w:rPr>
                <w:color w:val="0E101A"/>
              </w:rPr>
              <w:t>To estimate the share of this funding attributable to gambling harm, harm rates were calculated based on responses to items indicating severe financial hardship or welfare need. These included:</w:t>
            </w:r>
            <w:r>
              <w:rPr>
                <w:i/>
                <w:color w:val="0E101A"/>
              </w:rPr>
              <w:t xml:space="preserve"> 'needed assistance from welfare organisations,' 'bankruptcy,' 'loss of significant assets (e.g. car, home, business, superannuation),' </w:t>
            </w:r>
            <w:r>
              <w:rPr>
                <w:color w:val="0E101A"/>
              </w:rPr>
              <w:t>and '</w:t>
            </w:r>
            <w:r>
              <w:rPr>
                <w:i/>
                <w:color w:val="0E101A"/>
              </w:rPr>
              <w:t xml:space="preserve">loss of supply of utilities (electricity, gas, etc.)' </w:t>
            </w:r>
            <w:r>
              <w:rPr>
                <w:color w:val="0E101A"/>
              </w:rPr>
              <w:t xml:space="preserve">Browne, Bellringer et al., 2017). These rates were applied to PGSI group prevalence data from the </w:t>
            </w:r>
            <w:r>
              <w:t>NZGS (2023/24)</w:t>
            </w:r>
            <w:r>
              <w:rPr>
                <w:color w:val="0E101A"/>
              </w:rPr>
              <w:t>, with a 20% causality discount.</w:t>
            </w:r>
          </w:p>
          <w:p w14:paraId="5692BD7B" w14:textId="3D1AF21E" w:rsidR="00DB689D" w:rsidRDefault="00310A10" w:rsidP="00CB5C8B">
            <w:pPr>
              <w:widowControl w:val="0"/>
              <w:numPr>
                <w:ilvl w:val="0"/>
                <w:numId w:val="46"/>
              </w:numPr>
              <w:spacing w:line="276" w:lineRule="auto"/>
              <w:rPr>
                <w:color w:val="0E101A"/>
              </w:rPr>
            </w:pPr>
            <w:r>
              <w:rPr>
                <w:color w:val="0E101A"/>
              </w:rPr>
              <w:t>Applying this proportion to the funding of $1</w:t>
            </w:r>
            <w:r w:rsidR="0003670C">
              <w:rPr>
                <w:color w:val="0E101A"/>
              </w:rPr>
              <w:t>75</w:t>
            </w:r>
            <w:r>
              <w:rPr>
                <w:color w:val="0E101A"/>
              </w:rPr>
              <w:t xml:space="preserve"> million resulted in an estimated gambling-attributable cost of $</w:t>
            </w:r>
            <w:r w:rsidR="003315DB">
              <w:rPr>
                <w:color w:val="0E101A"/>
              </w:rPr>
              <w:t>557,009</w:t>
            </w:r>
            <w:r>
              <w:rPr>
                <w:color w:val="0E101A"/>
              </w:rPr>
              <w:t>.</w:t>
            </w:r>
          </w:p>
          <w:p w14:paraId="567C030E" w14:textId="77777777" w:rsidR="00DB689D" w:rsidRDefault="00310A10" w:rsidP="00CB5C8B">
            <w:pPr>
              <w:widowControl w:val="0"/>
              <w:spacing w:line="276" w:lineRule="auto"/>
              <w:rPr>
                <w:i/>
                <w:color w:val="0E101A"/>
              </w:rPr>
            </w:pPr>
            <w:r>
              <w:rPr>
                <w:i/>
                <w:color w:val="0E101A"/>
              </w:rPr>
              <w:t>Financial capability support</w:t>
            </w:r>
          </w:p>
          <w:p w14:paraId="6E8E1516" w14:textId="77777777" w:rsidR="00DB689D" w:rsidRDefault="00310A10" w:rsidP="00CB5C8B">
            <w:pPr>
              <w:widowControl w:val="0"/>
              <w:numPr>
                <w:ilvl w:val="0"/>
                <w:numId w:val="18"/>
              </w:numPr>
              <w:spacing w:line="276" w:lineRule="auto"/>
              <w:rPr>
                <w:color w:val="0E101A"/>
              </w:rPr>
            </w:pPr>
            <w:r>
              <w:rPr>
                <w:color w:val="0E101A"/>
              </w:rPr>
              <w:t>The Ministry of Social Development funds financial capability services that assist individuals in managing debt, building financial resilience, and accessing support, and allocated $68.6 million to these services (The Treasury, 2024).</w:t>
            </w:r>
          </w:p>
          <w:p w14:paraId="5BCBE780" w14:textId="77777777" w:rsidR="00DB689D" w:rsidRDefault="00310A10" w:rsidP="00CB5C8B">
            <w:pPr>
              <w:widowControl w:val="0"/>
              <w:numPr>
                <w:ilvl w:val="0"/>
                <w:numId w:val="18"/>
              </w:numPr>
              <w:spacing w:line="276" w:lineRule="auto"/>
              <w:rPr>
                <w:color w:val="0E101A"/>
              </w:rPr>
            </w:pPr>
            <w:r>
              <w:rPr>
                <w:color w:val="0E101A"/>
              </w:rPr>
              <w:t>To estimate the cost attributable to gambling harm, harm items reflecting both moderate and severe financial impacts were used, including: '</w:t>
            </w:r>
            <w:r>
              <w:rPr>
                <w:i/>
                <w:color w:val="0E101A"/>
              </w:rPr>
              <w:t xml:space="preserve">bankruptcy,' 'loss of significant assets,' 'loss of supply of utilities,' 'sold personal items,' </w:t>
            </w:r>
            <w:r>
              <w:rPr>
                <w:color w:val="0E101A"/>
              </w:rPr>
              <w:t>and '</w:t>
            </w:r>
            <w:r>
              <w:rPr>
                <w:i/>
                <w:color w:val="0E101A"/>
              </w:rPr>
              <w:t xml:space="preserve">less spending on essential expenses such as medications, healthcare and food' </w:t>
            </w:r>
            <w:r>
              <w:rPr>
                <w:color w:val="0E101A"/>
              </w:rPr>
              <w:t xml:space="preserve">(Browne, Bellringer et al., 2017). These rates were applied to PGSI group prevalence data from the </w:t>
            </w:r>
            <w:r>
              <w:t>NZGS (2023/24)</w:t>
            </w:r>
            <w:r>
              <w:rPr>
                <w:color w:val="0E101A"/>
              </w:rPr>
              <w:t>, with a 20% causality discount.</w:t>
            </w:r>
          </w:p>
          <w:p w14:paraId="387CF2BE" w14:textId="4DC7485B" w:rsidR="00DB689D" w:rsidRDefault="00310A10" w:rsidP="00CB5C8B">
            <w:pPr>
              <w:widowControl w:val="0"/>
              <w:numPr>
                <w:ilvl w:val="0"/>
                <w:numId w:val="18"/>
              </w:numPr>
              <w:spacing w:line="276" w:lineRule="auto"/>
              <w:rPr>
                <w:color w:val="0E101A"/>
              </w:rPr>
            </w:pPr>
            <w:r>
              <w:rPr>
                <w:color w:val="0E101A"/>
              </w:rPr>
              <w:t>Applying this proportion to the Ministry’s total funding for financial capability support resulted in an estimated gambling-attributable cost of $</w:t>
            </w:r>
            <w:r w:rsidR="00995A77">
              <w:rPr>
                <w:color w:val="0E101A"/>
              </w:rPr>
              <w:t>570,740</w:t>
            </w:r>
            <w:r>
              <w:rPr>
                <w:color w:val="0E101A"/>
              </w:rPr>
              <w:t>.</w:t>
            </w:r>
          </w:p>
          <w:p w14:paraId="2C792350" w14:textId="77777777" w:rsidR="00DB689D" w:rsidRDefault="00310A10" w:rsidP="00CB5C8B">
            <w:pPr>
              <w:widowControl w:val="0"/>
              <w:spacing w:line="276" w:lineRule="auto"/>
              <w:rPr>
                <w:i/>
                <w:color w:val="0E101A"/>
              </w:rPr>
            </w:pPr>
            <w:r>
              <w:rPr>
                <w:i/>
                <w:color w:val="0E101A"/>
              </w:rPr>
              <w:t>Public health services for harm prevention and minimisation</w:t>
            </w:r>
          </w:p>
          <w:p w14:paraId="3E4C880F" w14:textId="77777777" w:rsidR="00DB689D" w:rsidRDefault="00310A10" w:rsidP="00CB5C8B">
            <w:pPr>
              <w:widowControl w:val="0"/>
              <w:numPr>
                <w:ilvl w:val="0"/>
                <w:numId w:val="20"/>
              </w:numPr>
              <w:spacing w:line="276" w:lineRule="auto"/>
              <w:rPr>
                <w:color w:val="0E101A"/>
              </w:rPr>
            </w:pPr>
            <w:r>
              <w:rPr>
                <w:color w:val="0E101A"/>
              </w:rPr>
              <w:t>The Ministry of Health (2022) allocated $8.8 million for public health initiatives as part of the Strategy to Prevent and Minimise Gambling Harm 2022/23 to 2024/25. These initiatives include community education and awareness campaigns, workforce development and training, early intervention services, and culturally tailored outreach programs.</w:t>
            </w:r>
          </w:p>
        </w:tc>
      </w:tr>
    </w:tbl>
    <w:p w14:paraId="0D983EC7" w14:textId="77777777" w:rsidR="00DB689D" w:rsidRDefault="00DB689D" w:rsidP="00367A8D">
      <w:pPr>
        <w:spacing w:before="120" w:after="240" w:line="360" w:lineRule="auto"/>
        <w:rPr>
          <w:b/>
          <w:highlight w:val="yellow"/>
        </w:rPr>
      </w:pPr>
    </w:p>
    <w:p w14:paraId="24AD094C" w14:textId="712FB4A1" w:rsidR="00DB689D" w:rsidRDefault="00310A10" w:rsidP="00367A8D">
      <w:pPr>
        <w:spacing w:line="360" w:lineRule="auto"/>
      </w:pPr>
      <w:r>
        <w:rPr>
          <w:b/>
        </w:rPr>
        <w:t>The estimated cost to non-profit organisations arising from dealing with impacts from gambling is around $</w:t>
      </w:r>
      <w:r w:rsidR="003315DB">
        <w:rPr>
          <w:b/>
        </w:rPr>
        <w:t>9.9</w:t>
      </w:r>
      <w:r>
        <w:rPr>
          <w:b/>
        </w:rPr>
        <w:t xml:space="preserve"> million </w:t>
      </w:r>
      <w:r w:rsidRPr="00A91E61">
        <w:rPr>
          <w:b/>
        </w:rPr>
        <w:t>(Table 3</w:t>
      </w:r>
      <w:r w:rsidR="004860AF">
        <w:rPr>
          <w:b/>
        </w:rPr>
        <w:t>4</w:t>
      </w:r>
      <w:r>
        <w:rPr>
          <w:b/>
        </w:rPr>
        <w:t xml:space="preserve">). </w:t>
      </w:r>
      <w:r w:rsidRPr="00A91E61">
        <w:rPr>
          <w:bCs/>
        </w:rPr>
        <w:t>However</w:t>
      </w:r>
      <w:r>
        <w:t>, estimating the costs of non-profit services is challenging, as many offerings, such as helplines and community support programs, respond to multiple overlapping issues. Gambling is often one of several contributing factors rather than the sole focus, particularly in services supporting financial hardship, mental health, or general wellbeing.</w:t>
      </w:r>
    </w:p>
    <w:p w14:paraId="09A469BA" w14:textId="77777777" w:rsidR="00CB5C8B" w:rsidRDefault="00CB5C8B" w:rsidP="00CB5C8B">
      <w:pPr>
        <w:spacing w:before="120" w:after="240" w:line="276" w:lineRule="auto"/>
        <w:ind w:right="-330"/>
        <w:rPr>
          <w:b/>
          <w:color w:val="242424"/>
          <w:sz w:val="18"/>
          <w:szCs w:val="18"/>
        </w:rPr>
      </w:pPr>
    </w:p>
    <w:p w14:paraId="0378AB9D" w14:textId="77777777" w:rsidR="00CB5C8B" w:rsidRDefault="00CB5C8B" w:rsidP="00CB5C8B">
      <w:pPr>
        <w:spacing w:line="360" w:lineRule="auto"/>
      </w:pPr>
      <w:r>
        <w:t>Given the uncertainty around this cost estimate, upper and lower bound estimates were applied. For the lower bound, a 5% discount was applied to account for potential variability in attribution, though this is likely conservative, given that the estimates draw on recent and New Zealand-specific data sources. For the upper bound, higher service use assumptions were applied based on Australian data which indicated that 10.6% of financial counselling service clients experienced gambling problems (Dowling et al., 2014). This rate was used to inform a higher estimate of financial capability support demand attributable to gambling harm.</w:t>
      </w:r>
    </w:p>
    <w:p w14:paraId="475C4B80" w14:textId="77777777" w:rsidR="00CB5C8B" w:rsidRDefault="00CB5C8B" w:rsidP="00CB5C8B">
      <w:pPr>
        <w:spacing w:line="360" w:lineRule="auto"/>
      </w:pPr>
    </w:p>
    <w:p w14:paraId="3AC94072" w14:textId="5C57B07F" w:rsidR="00CB5C8B" w:rsidRDefault="00CB5C8B" w:rsidP="00CB5C8B">
      <w:pPr>
        <w:spacing w:line="360" w:lineRule="auto"/>
      </w:pPr>
      <w:r>
        <w:t xml:space="preserve">Therefore, the estimated cost </w:t>
      </w:r>
      <w:r>
        <w:rPr>
          <w:color w:val="0E101A"/>
        </w:rPr>
        <w:t xml:space="preserve">of non-profit service delivery to address impacts from gambling is estimated as </w:t>
      </w:r>
      <w:r>
        <w:t>between a lower bound of $9.</w:t>
      </w:r>
      <w:r w:rsidR="003315DB">
        <w:t>4</w:t>
      </w:r>
      <w:r w:rsidR="00995A77">
        <w:t xml:space="preserve"> </w:t>
      </w:r>
      <w:r>
        <w:t>million and an upper bound of $16.</w:t>
      </w:r>
      <w:r w:rsidR="00995A77">
        <w:t xml:space="preserve">6 </w:t>
      </w:r>
      <w:r>
        <w:t>million.</w:t>
      </w:r>
    </w:p>
    <w:p w14:paraId="56554A6B" w14:textId="46AF3053" w:rsidR="00A91E61" w:rsidRDefault="00A91E61" w:rsidP="00DB094D">
      <w:pPr>
        <w:pStyle w:val="Caption"/>
      </w:pPr>
      <w:bookmarkStart w:id="513" w:name="_Toc207619076"/>
      <w:r>
        <w:t xml:space="preserve">Table </w:t>
      </w:r>
      <w:r>
        <w:fldChar w:fldCharType="begin"/>
      </w:r>
      <w:r>
        <w:instrText xml:space="preserve"> SEQ Table \* ARABIC </w:instrText>
      </w:r>
      <w:r>
        <w:fldChar w:fldCharType="separate"/>
      </w:r>
      <w:r w:rsidR="00986A0D">
        <w:rPr>
          <w:noProof/>
        </w:rPr>
        <w:t>34</w:t>
      </w:r>
      <w:r>
        <w:fldChar w:fldCharType="end"/>
      </w:r>
      <w:r>
        <w:t xml:space="preserve">. </w:t>
      </w:r>
      <w:r w:rsidRPr="00991D42">
        <w:t>Costs associated with provisions of services to people with gambling problems by non-profit organisations in New Zealand (2023-24).</w:t>
      </w:r>
      <w:bookmarkEnd w:id="513"/>
    </w:p>
    <w:tbl>
      <w:tblPr>
        <w:tblStyle w:val="TableGridLight"/>
        <w:tblW w:w="9351" w:type="dxa"/>
        <w:tblLook w:val="04A0" w:firstRow="1" w:lastRow="0" w:firstColumn="1" w:lastColumn="0" w:noHBand="0" w:noVBand="1"/>
      </w:tblPr>
      <w:tblGrid>
        <w:gridCol w:w="3964"/>
        <w:gridCol w:w="1205"/>
        <w:gridCol w:w="966"/>
        <w:gridCol w:w="966"/>
        <w:gridCol w:w="974"/>
        <w:gridCol w:w="1276"/>
      </w:tblGrid>
      <w:tr w:rsidR="00432E0E" w:rsidRPr="00306B00" w14:paraId="69D28AF7" w14:textId="77777777" w:rsidTr="00841D8C">
        <w:trPr>
          <w:trHeight w:val="227"/>
        </w:trPr>
        <w:tc>
          <w:tcPr>
            <w:tcW w:w="3964" w:type="dxa"/>
            <w:shd w:val="clear" w:color="auto" w:fill="F2F2F2" w:themeFill="background1" w:themeFillShade="F2"/>
            <w:vAlign w:val="center"/>
            <w:hideMark/>
          </w:tcPr>
          <w:p w14:paraId="2114DA84" w14:textId="77777777" w:rsidR="00A91E61" w:rsidRPr="00306B00" w:rsidRDefault="00A91E61" w:rsidP="00181837">
            <w:pPr>
              <w:spacing w:line="276" w:lineRule="auto"/>
              <w:rPr>
                <w:b/>
                <w:bCs/>
                <w:color w:val="000000"/>
                <w:sz w:val="20"/>
                <w:szCs w:val="20"/>
              </w:rPr>
            </w:pPr>
            <w:r w:rsidRPr="00306B00">
              <w:rPr>
                <w:b/>
                <w:bCs/>
                <w:color w:val="000000"/>
                <w:sz w:val="20"/>
                <w:szCs w:val="20"/>
              </w:rPr>
              <w:t>Variable</w:t>
            </w:r>
          </w:p>
        </w:tc>
        <w:tc>
          <w:tcPr>
            <w:tcW w:w="1205" w:type="dxa"/>
            <w:shd w:val="clear" w:color="auto" w:fill="F2F2F2" w:themeFill="background1" w:themeFillShade="F2"/>
            <w:vAlign w:val="center"/>
            <w:hideMark/>
          </w:tcPr>
          <w:p w14:paraId="380FC628" w14:textId="77777777" w:rsidR="00A91E61" w:rsidRPr="00306B00" w:rsidRDefault="00A91E61" w:rsidP="00181837">
            <w:pPr>
              <w:spacing w:line="276" w:lineRule="auto"/>
              <w:rPr>
                <w:b/>
                <w:bCs/>
                <w:color w:val="000000"/>
                <w:sz w:val="20"/>
                <w:szCs w:val="20"/>
              </w:rPr>
            </w:pPr>
            <w:r w:rsidRPr="00306B00">
              <w:rPr>
                <w:b/>
                <w:bCs/>
                <w:color w:val="000000"/>
                <w:sz w:val="20"/>
                <w:szCs w:val="20"/>
              </w:rPr>
              <w:t>Calculation</w:t>
            </w:r>
          </w:p>
        </w:tc>
        <w:tc>
          <w:tcPr>
            <w:tcW w:w="966" w:type="dxa"/>
            <w:shd w:val="clear" w:color="auto" w:fill="F2F2F2" w:themeFill="background1" w:themeFillShade="F2"/>
            <w:vAlign w:val="center"/>
            <w:hideMark/>
          </w:tcPr>
          <w:p w14:paraId="5031BBF4" w14:textId="77777777" w:rsidR="00A91E61" w:rsidRPr="00306B00" w:rsidRDefault="00A91E61" w:rsidP="00181837">
            <w:pPr>
              <w:spacing w:line="276" w:lineRule="auto"/>
              <w:rPr>
                <w:b/>
                <w:bCs/>
                <w:color w:val="000000"/>
                <w:sz w:val="20"/>
                <w:szCs w:val="20"/>
              </w:rPr>
            </w:pPr>
            <w:r w:rsidRPr="00306B00">
              <w:rPr>
                <w:b/>
                <w:bCs/>
                <w:color w:val="000000"/>
                <w:sz w:val="20"/>
                <w:szCs w:val="20"/>
              </w:rPr>
              <w:t>LR</w:t>
            </w:r>
          </w:p>
        </w:tc>
        <w:tc>
          <w:tcPr>
            <w:tcW w:w="966" w:type="dxa"/>
            <w:shd w:val="clear" w:color="auto" w:fill="F2F2F2" w:themeFill="background1" w:themeFillShade="F2"/>
            <w:vAlign w:val="center"/>
            <w:hideMark/>
          </w:tcPr>
          <w:p w14:paraId="1F046E2A" w14:textId="77777777" w:rsidR="00A91E61" w:rsidRPr="00306B00" w:rsidRDefault="00A91E61" w:rsidP="00181837">
            <w:pPr>
              <w:spacing w:line="276" w:lineRule="auto"/>
              <w:rPr>
                <w:b/>
                <w:bCs/>
                <w:color w:val="000000"/>
                <w:sz w:val="20"/>
                <w:szCs w:val="20"/>
              </w:rPr>
            </w:pPr>
            <w:r w:rsidRPr="00306B00">
              <w:rPr>
                <w:b/>
                <w:bCs/>
                <w:color w:val="000000"/>
                <w:sz w:val="20"/>
                <w:szCs w:val="20"/>
              </w:rPr>
              <w:t>MR</w:t>
            </w:r>
          </w:p>
        </w:tc>
        <w:tc>
          <w:tcPr>
            <w:tcW w:w="974" w:type="dxa"/>
            <w:shd w:val="clear" w:color="auto" w:fill="F2F2F2" w:themeFill="background1" w:themeFillShade="F2"/>
            <w:vAlign w:val="center"/>
            <w:hideMark/>
          </w:tcPr>
          <w:p w14:paraId="0802F1AA" w14:textId="77777777" w:rsidR="00A91E61" w:rsidRPr="00306B00" w:rsidRDefault="00A91E61" w:rsidP="00181837">
            <w:pPr>
              <w:spacing w:line="276" w:lineRule="auto"/>
              <w:rPr>
                <w:b/>
                <w:bCs/>
                <w:color w:val="000000"/>
                <w:sz w:val="20"/>
                <w:szCs w:val="20"/>
              </w:rPr>
            </w:pPr>
            <w:r w:rsidRPr="00306B00">
              <w:rPr>
                <w:b/>
                <w:bCs/>
                <w:color w:val="000000"/>
                <w:sz w:val="20"/>
                <w:szCs w:val="20"/>
              </w:rPr>
              <w:t>PG</w:t>
            </w:r>
          </w:p>
        </w:tc>
        <w:tc>
          <w:tcPr>
            <w:tcW w:w="1276" w:type="dxa"/>
            <w:shd w:val="clear" w:color="auto" w:fill="F2F2F2" w:themeFill="background1" w:themeFillShade="F2"/>
            <w:vAlign w:val="center"/>
            <w:hideMark/>
          </w:tcPr>
          <w:p w14:paraId="73FDC745" w14:textId="77777777" w:rsidR="00A91E61" w:rsidRPr="00306B00" w:rsidRDefault="00A91E61" w:rsidP="00181837">
            <w:pPr>
              <w:spacing w:line="276" w:lineRule="auto"/>
              <w:rPr>
                <w:b/>
                <w:bCs/>
                <w:color w:val="000000"/>
                <w:sz w:val="20"/>
                <w:szCs w:val="20"/>
              </w:rPr>
            </w:pPr>
            <w:r w:rsidRPr="00306B00">
              <w:rPr>
                <w:b/>
                <w:bCs/>
                <w:color w:val="000000"/>
                <w:sz w:val="20"/>
                <w:szCs w:val="20"/>
              </w:rPr>
              <w:t>Total Gambling Problems</w:t>
            </w:r>
          </w:p>
        </w:tc>
      </w:tr>
      <w:tr w:rsidR="00A91E61" w:rsidRPr="00306B00" w14:paraId="1A4EE846" w14:textId="77777777" w:rsidTr="00841D8C">
        <w:trPr>
          <w:trHeight w:val="227"/>
        </w:trPr>
        <w:tc>
          <w:tcPr>
            <w:tcW w:w="3964" w:type="dxa"/>
            <w:noWrap/>
            <w:vAlign w:val="center"/>
            <w:hideMark/>
          </w:tcPr>
          <w:p w14:paraId="4D2A0AF5" w14:textId="77777777" w:rsidR="00A91E61" w:rsidRPr="00306B00" w:rsidRDefault="00A91E61" w:rsidP="00181837">
            <w:pPr>
              <w:spacing w:line="276" w:lineRule="auto"/>
              <w:rPr>
                <w:color w:val="000000"/>
                <w:sz w:val="20"/>
                <w:szCs w:val="20"/>
              </w:rPr>
            </w:pPr>
            <w:r w:rsidRPr="00306B00">
              <w:rPr>
                <w:color w:val="000000"/>
                <w:sz w:val="20"/>
                <w:szCs w:val="20"/>
              </w:rPr>
              <w:t>New Zealand Adult Population</w:t>
            </w:r>
          </w:p>
        </w:tc>
        <w:tc>
          <w:tcPr>
            <w:tcW w:w="1205" w:type="dxa"/>
            <w:noWrap/>
            <w:vAlign w:val="center"/>
            <w:hideMark/>
          </w:tcPr>
          <w:p w14:paraId="60F3420D" w14:textId="77777777" w:rsidR="00A91E61" w:rsidRPr="00306B00" w:rsidRDefault="00A91E61" w:rsidP="00181837">
            <w:pPr>
              <w:spacing w:line="276" w:lineRule="auto"/>
              <w:rPr>
                <w:color w:val="000000"/>
                <w:sz w:val="20"/>
                <w:szCs w:val="20"/>
              </w:rPr>
            </w:pPr>
            <w:r w:rsidRPr="00306B00">
              <w:rPr>
                <w:color w:val="000000"/>
                <w:sz w:val="20"/>
                <w:szCs w:val="20"/>
              </w:rPr>
              <w:t>a</w:t>
            </w:r>
          </w:p>
        </w:tc>
        <w:tc>
          <w:tcPr>
            <w:tcW w:w="4182" w:type="dxa"/>
            <w:gridSpan w:val="4"/>
            <w:noWrap/>
            <w:vAlign w:val="center"/>
            <w:hideMark/>
          </w:tcPr>
          <w:p w14:paraId="6F39DFE3" w14:textId="77777777" w:rsidR="00A91E61" w:rsidRPr="00306B00" w:rsidRDefault="00A91E61" w:rsidP="00181837">
            <w:pPr>
              <w:spacing w:line="276" w:lineRule="auto"/>
              <w:jc w:val="center"/>
              <w:rPr>
                <w:color w:val="000000"/>
                <w:sz w:val="20"/>
                <w:szCs w:val="20"/>
              </w:rPr>
            </w:pPr>
            <w:r w:rsidRPr="00306B00">
              <w:rPr>
                <w:color w:val="000000"/>
                <w:sz w:val="20"/>
                <w:szCs w:val="20"/>
              </w:rPr>
              <w:t>4,305,930</w:t>
            </w:r>
          </w:p>
        </w:tc>
      </w:tr>
      <w:tr w:rsidR="00A91E61" w:rsidRPr="00306B00" w14:paraId="43A18CA7" w14:textId="77777777" w:rsidTr="00841D8C">
        <w:trPr>
          <w:trHeight w:val="227"/>
        </w:trPr>
        <w:tc>
          <w:tcPr>
            <w:tcW w:w="3964" w:type="dxa"/>
            <w:noWrap/>
            <w:vAlign w:val="center"/>
            <w:hideMark/>
          </w:tcPr>
          <w:p w14:paraId="603192FB" w14:textId="77777777" w:rsidR="00A91E61" w:rsidRPr="00306B00" w:rsidRDefault="00A91E61" w:rsidP="00181837">
            <w:pPr>
              <w:spacing w:line="276" w:lineRule="auto"/>
              <w:rPr>
                <w:color w:val="000000"/>
                <w:sz w:val="20"/>
                <w:szCs w:val="20"/>
              </w:rPr>
            </w:pPr>
            <w:r w:rsidRPr="00306B00">
              <w:rPr>
                <w:color w:val="000000"/>
                <w:sz w:val="20"/>
                <w:szCs w:val="20"/>
              </w:rPr>
              <w:t xml:space="preserve">Num. gambling problems </w:t>
            </w:r>
          </w:p>
        </w:tc>
        <w:tc>
          <w:tcPr>
            <w:tcW w:w="1205" w:type="dxa"/>
            <w:noWrap/>
            <w:vAlign w:val="center"/>
            <w:hideMark/>
          </w:tcPr>
          <w:p w14:paraId="68E080F2" w14:textId="77777777" w:rsidR="00A91E61" w:rsidRPr="00306B00" w:rsidRDefault="00A91E61" w:rsidP="00181837">
            <w:pPr>
              <w:spacing w:line="276" w:lineRule="auto"/>
              <w:rPr>
                <w:color w:val="000000"/>
                <w:sz w:val="20"/>
                <w:szCs w:val="20"/>
              </w:rPr>
            </w:pPr>
            <w:r w:rsidRPr="00306B00">
              <w:rPr>
                <w:color w:val="000000"/>
                <w:sz w:val="20"/>
                <w:szCs w:val="20"/>
              </w:rPr>
              <w:t>b</w:t>
            </w:r>
          </w:p>
        </w:tc>
        <w:tc>
          <w:tcPr>
            <w:tcW w:w="966" w:type="dxa"/>
            <w:noWrap/>
            <w:vAlign w:val="center"/>
            <w:hideMark/>
          </w:tcPr>
          <w:p w14:paraId="07BFB4FC" w14:textId="77777777" w:rsidR="00A91E61" w:rsidRPr="00306B00" w:rsidRDefault="00A91E61" w:rsidP="00181837">
            <w:pPr>
              <w:spacing w:line="276" w:lineRule="auto"/>
              <w:jc w:val="right"/>
              <w:rPr>
                <w:color w:val="000000"/>
                <w:sz w:val="20"/>
                <w:szCs w:val="20"/>
              </w:rPr>
            </w:pPr>
            <w:r w:rsidRPr="00306B00">
              <w:rPr>
                <w:color w:val="000000"/>
                <w:sz w:val="20"/>
                <w:szCs w:val="20"/>
              </w:rPr>
              <w:t>255,318</w:t>
            </w:r>
          </w:p>
        </w:tc>
        <w:tc>
          <w:tcPr>
            <w:tcW w:w="966" w:type="dxa"/>
            <w:noWrap/>
            <w:vAlign w:val="center"/>
            <w:hideMark/>
          </w:tcPr>
          <w:p w14:paraId="608EDEB1" w14:textId="77777777" w:rsidR="00A91E61" w:rsidRPr="00306B00" w:rsidRDefault="00A91E61" w:rsidP="00181837">
            <w:pPr>
              <w:spacing w:line="276" w:lineRule="auto"/>
              <w:jc w:val="right"/>
              <w:rPr>
                <w:color w:val="000000"/>
                <w:sz w:val="20"/>
                <w:szCs w:val="20"/>
              </w:rPr>
            </w:pPr>
            <w:r w:rsidRPr="00306B00">
              <w:rPr>
                <w:color w:val="000000"/>
                <w:sz w:val="20"/>
                <w:szCs w:val="20"/>
              </w:rPr>
              <w:t>83,492</w:t>
            </w:r>
          </w:p>
        </w:tc>
        <w:tc>
          <w:tcPr>
            <w:tcW w:w="974" w:type="dxa"/>
            <w:noWrap/>
            <w:vAlign w:val="center"/>
            <w:hideMark/>
          </w:tcPr>
          <w:p w14:paraId="64022083" w14:textId="77777777" w:rsidR="00A91E61" w:rsidRPr="00306B00" w:rsidRDefault="00A91E61" w:rsidP="00181837">
            <w:pPr>
              <w:spacing w:line="276" w:lineRule="auto"/>
              <w:jc w:val="right"/>
              <w:rPr>
                <w:color w:val="000000"/>
                <w:sz w:val="20"/>
                <w:szCs w:val="20"/>
              </w:rPr>
            </w:pPr>
            <w:r w:rsidRPr="00306B00">
              <w:rPr>
                <w:color w:val="000000"/>
                <w:sz w:val="20"/>
                <w:szCs w:val="20"/>
              </w:rPr>
              <w:t>20,436</w:t>
            </w:r>
          </w:p>
        </w:tc>
        <w:tc>
          <w:tcPr>
            <w:tcW w:w="1276" w:type="dxa"/>
            <w:noWrap/>
            <w:vAlign w:val="center"/>
            <w:hideMark/>
          </w:tcPr>
          <w:p w14:paraId="40A6373A" w14:textId="77777777" w:rsidR="00A91E61" w:rsidRPr="00306B00" w:rsidRDefault="00A91E61" w:rsidP="00181837">
            <w:pPr>
              <w:spacing w:line="276" w:lineRule="auto"/>
              <w:jc w:val="right"/>
              <w:rPr>
                <w:color w:val="000000"/>
                <w:sz w:val="20"/>
                <w:szCs w:val="20"/>
              </w:rPr>
            </w:pPr>
            <w:r w:rsidRPr="00306B00">
              <w:rPr>
                <w:color w:val="000000"/>
                <w:sz w:val="20"/>
                <w:szCs w:val="20"/>
              </w:rPr>
              <w:t>359,246</w:t>
            </w:r>
          </w:p>
        </w:tc>
      </w:tr>
      <w:tr w:rsidR="00A91E61" w:rsidRPr="00306B00" w14:paraId="6785DB99" w14:textId="77777777" w:rsidTr="00841D8C">
        <w:trPr>
          <w:trHeight w:val="227"/>
        </w:trPr>
        <w:tc>
          <w:tcPr>
            <w:tcW w:w="3964" w:type="dxa"/>
            <w:vAlign w:val="center"/>
            <w:hideMark/>
          </w:tcPr>
          <w:p w14:paraId="279DC1AE" w14:textId="77777777" w:rsidR="00A91E61" w:rsidRPr="00306B00" w:rsidRDefault="00A91E61" w:rsidP="00181837">
            <w:pPr>
              <w:spacing w:line="276" w:lineRule="auto"/>
              <w:rPr>
                <w:color w:val="000000"/>
                <w:sz w:val="20"/>
                <w:szCs w:val="20"/>
              </w:rPr>
            </w:pPr>
            <w:r w:rsidRPr="00306B00">
              <w:rPr>
                <w:color w:val="000000"/>
                <w:sz w:val="20"/>
                <w:szCs w:val="20"/>
              </w:rPr>
              <w:t>% by PGSI, that seek welfare assistance, or have severe financial harms due to their own gambling</w:t>
            </w:r>
          </w:p>
        </w:tc>
        <w:tc>
          <w:tcPr>
            <w:tcW w:w="1205" w:type="dxa"/>
            <w:noWrap/>
            <w:vAlign w:val="center"/>
            <w:hideMark/>
          </w:tcPr>
          <w:p w14:paraId="6A1BEFF9" w14:textId="77777777" w:rsidR="00A91E61" w:rsidRPr="00306B00" w:rsidRDefault="00A91E61" w:rsidP="00181837">
            <w:pPr>
              <w:spacing w:line="276" w:lineRule="auto"/>
              <w:rPr>
                <w:color w:val="000000"/>
                <w:sz w:val="20"/>
                <w:szCs w:val="20"/>
              </w:rPr>
            </w:pPr>
            <w:r w:rsidRPr="00306B00">
              <w:rPr>
                <w:color w:val="000000"/>
                <w:sz w:val="20"/>
                <w:szCs w:val="20"/>
              </w:rPr>
              <w:t>c</w:t>
            </w:r>
          </w:p>
        </w:tc>
        <w:tc>
          <w:tcPr>
            <w:tcW w:w="966" w:type="dxa"/>
            <w:noWrap/>
            <w:vAlign w:val="center"/>
            <w:hideMark/>
          </w:tcPr>
          <w:p w14:paraId="4CD21366" w14:textId="77777777" w:rsidR="00A91E61" w:rsidRPr="00306B00" w:rsidRDefault="00A91E61" w:rsidP="00181837">
            <w:pPr>
              <w:spacing w:line="276" w:lineRule="auto"/>
              <w:jc w:val="right"/>
              <w:rPr>
                <w:color w:val="000000"/>
                <w:sz w:val="20"/>
                <w:szCs w:val="20"/>
              </w:rPr>
            </w:pPr>
            <w:r w:rsidRPr="00306B00">
              <w:rPr>
                <w:color w:val="000000"/>
                <w:sz w:val="20"/>
                <w:szCs w:val="20"/>
              </w:rPr>
              <w:t>1.6%</w:t>
            </w:r>
          </w:p>
        </w:tc>
        <w:tc>
          <w:tcPr>
            <w:tcW w:w="966" w:type="dxa"/>
            <w:noWrap/>
            <w:vAlign w:val="center"/>
            <w:hideMark/>
          </w:tcPr>
          <w:p w14:paraId="323F1822" w14:textId="77777777" w:rsidR="00A91E61" w:rsidRPr="00306B00" w:rsidRDefault="00A91E61" w:rsidP="00181837">
            <w:pPr>
              <w:spacing w:line="276" w:lineRule="auto"/>
              <w:jc w:val="right"/>
              <w:rPr>
                <w:color w:val="000000"/>
                <w:sz w:val="20"/>
                <w:szCs w:val="20"/>
              </w:rPr>
            </w:pPr>
            <w:r w:rsidRPr="00306B00">
              <w:rPr>
                <w:color w:val="000000"/>
                <w:sz w:val="20"/>
                <w:szCs w:val="20"/>
              </w:rPr>
              <w:t>7.5%</w:t>
            </w:r>
          </w:p>
        </w:tc>
        <w:tc>
          <w:tcPr>
            <w:tcW w:w="974" w:type="dxa"/>
            <w:noWrap/>
            <w:vAlign w:val="center"/>
            <w:hideMark/>
          </w:tcPr>
          <w:p w14:paraId="398D8F4B" w14:textId="77777777" w:rsidR="00A91E61" w:rsidRPr="00306B00" w:rsidRDefault="00A91E61" w:rsidP="00181837">
            <w:pPr>
              <w:spacing w:line="276" w:lineRule="auto"/>
              <w:jc w:val="right"/>
              <w:rPr>
                <w:color w:val="000000"/>
                <w:sz w:val="20"/>
                <w:szCs w:val="20"/>
              </w:rPr>
            </w:pPr>
            <w:r w:rsidRPr="00306B00">
              <w:rPr>
                <w:color w:val="000000"/>
                <w:sz w:val="20"/>
                <w:szCs w:val="20"/>
              </w:rPr>
              <w:t>33.2%</w:t>
            </w:r>
          </w:p>
        </w:tc>
        <w:tc>
          <w:tcPr>
            <w:tcW w:w="1276" w:type="dxa"/>
            <w:noWrap/>
            <w:vAlign w:val="center"/>
            <w:hideMark/>
          </w:tcPr>
          <w:p w14:paraId="06BEF9E8" w14:textId="77777777" w:rsidR="00A91E61" w:rsidRPr="00306B00" w:rsidRDefault="00A91E61" w:rsidP="00181837">
            <w:pPr>
              <w:spacing w:line="276" w:lineRule="auto"/>
              <w:jc w:val="right"/>
              <w:rPr>
                <w:color w:val="000000"/>
                <w:sz w:val="20"/>
                <w:szCs w:val="20"/>
              </w:rPr>
            </w:pPr>
            <w:r w:rsidRPr="00306B00">
              <w:rPr>
                <w:color w:val="000000"/>
                <w:sz w:val="20"/>
                <w:szCs w:val="20"/>
              </w:rPr>
              <w:t>-</w:t>
            </w:r>
          </w:p>
        </w:tc>
      </w:tr>
      <w:tr w:rsidR="00A91E61" w:rsidRPr="00306B00" w14:paraId="79F6C7ED" w14:textId="77777777" w:rsidTr="00841D8C">
        <w:trPr>
          <w:trHeight w:val="227"/>
        </w:trPr>
        <w:tc>
          <w:tcPr>
            <w:tcW w:w="3964" w:type="dxa"/>
            <w:vAlign w:val="center"/>
            <w:hideMark/>
          </w:tcPr>
          <w:p w14:paraId="15465DC4" w14:textId="77777777" w:rsidR="00A91E61" w:rsidRPr="00306B00" w:rsidRDefault="00A91E61" w:rsidP="00181837">
            <w:pPr>
              <w:spacing w:line="276" w:lineRule="auto"/>
              <w:rPr>
                <w:color w:val="000000"/>
                <w:sz w:val="20"/>
                <w:szCs w:val="20"/>
              </w:rPr>
            </w:pPr>
            <w:r w:rsidRPr="00306B00">
              <w:rPr>
                <w:color w:val="000000"/>
                <w:sz w:val="20"/>
                <w:szCs w:val="20"/>
              </w:rPr>
              <w:t>Number of people welfare seeking and severe financial harm by PGSI (less 20% causality discount)</w:t>
            </w:r>
          </w:p>
        </w:tc>
        <w:tc>
          <w:tcPr>
            <w:tcW w:w="1205" w:type="dxa"/>
            <w:vAlign w:val="center"/>
            <w:hideMark/>
          </w:tcPr>
          <w:p w14:paraId="4787F23B" w14:textId="77777777" w:rsidR="00A91E61" w:rsidRPr="00306B00" w:rsidRDefault="00A91E61" w:rsidP="00181837">
            <w:pPr>
              <w:spacing w:line="276" w:lineRule="auto"/>
              <w:rPr>
                <w:color w:val="000000"/>
                <w:sz w:val="20"/>
                <w:szCs w:val="20"/>
              </w:rPr>
            </w:pPr>
            <w:r w:rsidRPr="00306B00">
              <w:rPr>
                <w:color w:val="000000"/>
                <w:sz w:val="20"/>
                <w:szCs w:val="20"/>
              </w:rPr>
              <w:t>d = b x c x 80%</w:t>
            </w:r>
          </w:p>
        </w:tc>
        <w:tc>
          <w:tcPr>
            <w:tcW w:w="966" w:type="dxa"/>
            <w:noWrap/>
            <w:vAlign w:val="center"/>
            <w:hideMark/>
          </w:tcPr>
          <w:p w14:paraId="4564ACF5" w14:textId="77777777" w:rsidR="00A91E61" w:rsidRPr="00306B00" w:rsidRDefault="00A91E61" w:rsidP="00181837">
            <w:pPr>
              <w:spacing w:line="276" w:lineRule="auto"/>
              <w:jc w:val="right"/>
              <w:rPr>
                <w:color w:val="000000"/>
                <w:sz w:val="20"/>
                <w:szCs w:val="20"/>
              </w:rPr>
            </w:pPr>
            <w:r w:rsidRPr="00306B00">
              <w:rPr>
                <w:color w:val="000000"/>
                <w:sz w:val="20"/>
                <w:szCs w:val="20"/>
              </w:rPr>
              <w:t>3,268</w:t>
            </w:r>
          </w:p>
        </w:tc>
        <w:tc>
          <w:tcPr>
            <w:tcW w:w="966" w:type="dxa"/>
            <w:noWrap/>
            <w:vAlign w:val="center"/>
            <w:hideMark/>
          </w:tcPr>
          <w:p w14:paraId="424BFF95" w14:textId="77777777" w:rsidR="00A91E61" w:rsidRPr="00306B00" w:rsidRDefault="00A91E61" w:rsidP="00181837">
            <w:pPr>
              <w:spacing w:line="276" w:lineRule="auto"/>
              <w:jc w:val="right"/>
              <w:rPr>
                <w:color w:val="000000"/>
                <w:sz w:val="20"/>
                <w:szCs w:val="20"/>
              </w:rPr>
            </w:pPr>
            <w:r w:rsidRPr="00306B00">
              <w:rPr>
                <w:color w:val="000000"/>
                <w:sz w:val="20"/>
                <w:szCs w:val="20"/>
              </w:rPr>
              <w:t>5,010</w:t>
            </w:r>
          </w:p>
        </w:tc>
        <w:tc>
          <w:tcPr>
            <w:tcW w:w="974" w:type="dxa"/>
            <w:noWrap/>
            <w:vAlign w:val="center"/>
            <w:hideMark/>
          </w:tcPr>
          <w:p w14:paraId="7898C307" w14:textId="77777777" w:rsidR="00A91E61" w:rsidRPr="00306B00" w:rsidRDefault="00A91E61" w:rsidP="00181837">
            <w:pPr>
              <w:spacing w:line="276" w:lineRule="auto"/>
              <w:jc w:val="right"/>
              <w:rPr>
                <w:color w:val="000000"/>
                <w:sz w:val="20"/>
                <w:szCs w:val="20"/>
              </w:rPr>
            </w:pPr>
            <w:r w:rsidRPr="00306B00">
              <w:rPr>
                <w:color w:val="000000"/>
                <w:sz w:val="20"/>
                <w:szCs w:val="20"/>
              </w:rPr>
              <w:t>5,428</w:t>
            </w:r>
          </w:p>
        </w:tc>
        <w:tc>
          <w:tcPr>
            <w:tcW w:w="1276" w:type="dxa"/>
            <w:noWrap/>
            <w:vAlign w:val="center"/>
            <w:hideMark/>
          </w:tcPr>
          <w:p w14:paraId="177EE3D3" w14:textId="77777777" w:rsidR="00A91E61" w:rsidRPr="00306B00" w:rsidRDefault="00A91E61" w:rsidP="00181837">
            <w:pPr>
              <w:spacing w:line="276" w:lineRule="auto"/>
              <w:jc w:val="right"/>
              <w:rPr>
                <w:color w:val="000000"/>
                <w:sz w:val="20"/>
                <w:szCs w:val="20"/>
              </w:rPr>
            </w:pPr>
            <w:r w:rsidRPr="00306B00">
              <w:rPr>
                <w:color w:val="000000"/>
                <w:sz w:val="20"/>
                <w:szCs w:val="20"/>
              </w:rPr>
              <w:t>13,705</w:t>
            </w:r>
          </w:p>
        </w:tc>
      </w:tr>
      <w:tr w:rsidR="00A91E61" w:rsidRPr="00306B00" w14:paraId="2BC50D58" w14:textId="77777777" w:rsidTr="00841D8C">
        <w:trPr>
          <w:trHeight w:val="227"/>
        </w:trPr>
        <w:tc>
          <w:tcPr>
            <w:tcW w:w="3964" w:type="dxa"/>
            <w:vAlign w:val="center"/>
            <w:hideMark/>
          </w:tcPr>
          <w:p w14:paraId="0B60CABC" w14:textId="77777777" w:rsidR="00A91E61" w:rsidRPr="00306B00" w:rsidRDefault="00A91E61" w:rsidP="00181837">
            <w:pPr>
              <w:spacing w:line="276" w:lineRule="auto"/>
              <w:rPr>
                <w:color w:val="000000"/>
                <w:sz w:val="20"/>
                <w:szCs w:val="20"/>
              </w:rPr>
            </w:pPr>
            <w:r w:rsidRPr="00306B00">
              <w:rPr>
                <w:color w:val="000000"/>
                <w:sz w:val="20"/>
                <w:szCs w:val="20"/>
              </w:rPr>
              <w:t>Proportion of the adult population welfare seeking and with severe financial harm due to gambling problems</w:t>
            </w:r>
          </w:p>
        </w:tc>
        <w:tc>
          <w:tcPr>
            <w:tcW w:w="1205" w:type="dxa"/>
            <w:vAlign w:val="center"/>
            <w:hideMark/>
          </w:tcPr>
          <w:p w14:paraId="1B4E3689" w14:textId="77777777" w:rsidR="00A91E61" w:rsidRPr="00306B00" w:rsidRDefault="00A91E61" w:rsidP="00181837">
            <w:pPr>
              <w:spacing w:line="276" w:lineRule="auto"/>
              <w:rPr>
                <w:color w:val="000000"/>
                <w:sz w:val="20"/>
                <w:szCs w:val="20"/>
              </w:rPr>
            </w:pPr>
            <w:r w:rsidRPr="00306B00">
              <w:rPr>
                <w:color w:val="000000"/>
                <w:sz w:val="20"/>
                <w:szCs w:val="20"/>
              </w:rPr>
              <w:t>e = d ÷ a</w:t>
            </w:r>
          </w:p>
        </w:tc>
        <w:tc>
          <w:tcPr>
            <w:tcW w:w="966" w:type="dxa"/>
            <w:vAlign w:val="center"/>
            <w:hideMark/>
          </w:tcPr>
          <w:p w14:paraId="228EEE01" w14:textId="77777777" w:rsidR="00A91E61" w:rsidRPr="00306B00" w:rsidRDefault="00A91E61" w:rsidP="00181837">
            <w:pPr>
              <w:spacing w:line="276" w:lineRule="auto"/>
              <w:jc w:val="right"/>
              <w:rPr>
                <w:color w:val="000000"/>
                <w:sz w:val="20"/>
                <w:szCs w:val="20"/>
              </w:rPr>
            </w:pPr>
            <w:r w:rsidRPr="00306B00">
              <w:rPr>
                <w:color w:val="000000"/>
                <w:sz w:val="20"/>
                <w:szCs w:val="20"/>
              </w:rPr>
              <w:t>0.08%</w:t>
            </w:r>
          </w:p>
        </w:tc>
        <w:tc>
          <w:tcPr>
            <w:tcW w:w="966" w:type="dxa"/>
            <w:vAlign w:val="center"/>
            <w:hideMark/>
          </w:tcPr>
          <w:p w14:paraId="604D53BC" w14:textId="77777777" w:rsidR="00A91E61" w:rsidRPr="00306B00" w:rsidRDefault="00A91E61" w:rsidP="00181837">
            <w:pPr>
              <w:spacing w:line="276" w:lineRule="auto"/>
              <w:jc w:val="right"/>
              <w:rPr>
                <w:color w:val="000000"/>
                <w:sz w:val="20"/>
                <w:szCs w:val="20"/>
              </w:rPr>
            </w:pPr>
            <w:r w:rsidRPr="00306B00">
              <w:rPr>
                <w:color w:val="000000"/>
                <w:sz w:val="20"/>
                <w:szCs w:val="20"/>
              </w:rPr>
              <w:t>0.12%</w:t>
            </w:r>
          </w:p>
        </w:tc>
        <w:tc>
          <w:tcPr>
            <w:tcW w:w="974" w:type="dxa"/>
            <w:vAlign w:val="center"/>
            <w:hideMark/>
          </w:tcPr>
          <w:p w14:paraId="1192360E" w14:textId="77777777" w:rsidR="00A91E61" w:rsidRPr="00306B00" w:rsidRDefault="00A91E61" w:rsidP="00181837">
            <w:pPr>
              <w:spacing w:line="276" w:lineRule="auto"/>
              <w:jc w:val="right"/>
              <w:rPr>
                <w:color w:val="000000"/>
                <w:sz w:val="20"/>
                <w:szCs w:val="20"/>
              </w:rPr>
            </w:pPr>
            <w:r w:rsidRPr="00306B00">
              <w:rPr>
                <w:color w:val="000000"/>
                <w:sz w:val="20"/>
                <w:szCs w:val="20"/>
              </w:rPr>
              <w:t>0.13%</w:t>
            </w:r>
          </w:p>
        </w:tc>
        <w:tc>
          <w:tcPr>
            <w:tcW w:w="1276" w:type="dxa"/>
            <w:vAlign w:val="center"/>
            <w:hideMark/>
          </w:tcPr>
          <w:p w14:paraId="31307A00" w14:textId="77777777" w:rsidR="00A91E61" w:rsidRPr="00306B00" w:rsidRDefault="00A91E61" w:rsidP="00181837">
            <w:pPr>
              <w:spacing w:line="276" w:lineRule="auto"/>
              <w:jc w:val="right"/>
              <w:rPr>
                <w:color w:val="000000"/>
                <w:sz w:val="20"/>
                <w:szCs w:val="20"/>
              </w:rPr>
            </w:pPr>
            <w:r w:rsidRPr="00306B00">
              <w:rPr>
                <w:color w:val="000000"/>
                <w:sz w:val="20"/>
                <w:szCs w:val="20"/>
              </w:rPr>
              <w:t>0.32%</w:t>
            </w:r>
          </w:p>
        </w:tc>
      </w:tr>
      <w:tr w:rsidR="00A91E61" w:rsidRPr="00306B00" w14:paraId="5B785A2E" w14:textId="77777777" w:rsidTr="00841D8C">
        <w:trPr>
          <w:trHeight w:val="227"/>
        </w:trPr>
        <w:tc>
          <w:tcPr>
            <w:tcW w:w="9351" w:type="dxa"/>
            <w:gridSpan w:val="6"/>
            <w:vAlign w:val="center"/>
            <w:hideMark/>
          </w:tcPr>
          <w:p w14:paraId="419DBD6A" w14:textId="77777777" w:rsidR="00A91E61" w:rsidRPr="00306B00" w:rsidRDefault="00A91E61" w:rsidP="00181837">
            <w:pPr>
              <w:spacing w:line="276" w:lineRule="auto"/>
              <w:rPr>
                <w:b/>
                <w:bCs/>
                <w:i/>
                <w:iCs/>
                <w:color w:val="000000"/>
                <w:sz w:val="20"/>
                <w:szCs w:val="20"/>
              </w:rPr>
            </w:pPr>
            <w:r w:rsidRPr="00306B00">
              <w:rPr>
                <w:b/>
                <w:bCs/>
                <w:i/>
                <w:iCs/>
                <w:color w:val="000000"/>
                <w:sz w:val="20"/>
                <w:szCs w:val="20"/>
              </w:rPr>
              <w:t>Department of Internal Affairs</w:t>
            </w:r>
          </w:p>
        </w:tc>
      </w:tr>
      <w:tr w:rsidR="00A91E61" w:rsidRPr="00306B00" w14:paraId="12688161" w14:textId="77777777" w:rsidTr="00841D8C">
        <w:trPr>
          <w:trHeight w:val="227"/>
        </w:trPr>
        <w:tc>
          <w:tcPr>
            <w:tcW w:w="3964" w:type="dxa"/>
            <w:vAlign w:val="center"/>
            <w:hideMark/>
          </w:tcPr>
          <w:p w14:paraId="33288C46" w14:textId="77777777" w:rsidR="00A91E61" w:rsidRPr="00306B00" w:rsidRDefault="00A91E61" w:rsidP="00181837">
            <w:pPr>
              <w:spacing w:line="276" w:lineRule="auto"/>
              <w:rPr>
                <w:color w:val="000000"/>
                <w:sz w:val="20"/>
                <w:szCs w:val="20"/>
              </w:rPr>
            </w:pPr>
            <w:r w:rsidRPr="00306B00">
              <w:rPr>
                <w:color w:val="000000"/>
                <w:sz w:val="20"/>
                <w:szCs w:val="20"/>
              </w:rPr>
              <w:t>Lottery Grants Board allocations</w:t>
            </w:r>
          </w:p>
        </w:tc>
        <w:tc>
          <w:tcPr>
            <w:tcW w:w="1205" w:type="dxa"/>
            <w:vAlign w:val="center"/>
            <w:hideMark/>
          </w:tcPr>
          <w:p w14:paraId="359A330B" w14:textId="77777777" w:rsidR="00A91E61" w:rsidRPr="00306B00" w:rsidRDefault="00A91E61" w:rsidP="00181837">
            <w:pPr>
              <w:spacing w:line="276" w:lineRule="auto"/>
              <w:rPr>
                <w:color w:val="000000"/>
                <w:sz w:val="20"/>
                <w:szCs w:val="20"/>
              </w:rPr>
            </w:pPr>
            <w:r w:rsidRPr="00306B00">
              <w:rPr>
                <w:color w:val="000000"/>
                <w:sz w:val="20"/>
                <w:szCs w:val="20"/>
              </w:rPr>
              <w:t>f</w:t>
            </w:r>
          </w:p>
        </w:tc>
        <w:tc>
          <w:tcPr>
            <w:tcW w:w="4182" w:type="dxa"/>
            <w:gridSpan w:val="4"/>
            <w:vAlign w:val="center"/>
            <w:hideMark/>
          </w:tcPr>
          <w:p w14:paraId="77A51020" w14:textId="77777777" w:rsidR="00A91E61" w:rsidRPr="00306B00" w:rsidRDefault="00A91E61" w:rsidP="00181837">
            <w:pPr>
              <w:spacing w:line="276" w:lineRule="auto"/>
              <w:jc w:val="center"/>
              <w:rPr>
                <w:color w:val="000000"/>
                <w:sz w:val="20"/>
                <w:szCs w:val="20"/>
              </w:rPr>
            </w:pPr>
            <w:r w:rsidRPr="00306B00">
              <w:rPr>
                <w:color w:val="000000"/>
                <w:sz w:val="20"/>
                <w:szCs w:val="20"/>
              </w:rPr>
              <w:t>$175,000,000</w:t>
            </w:r>
          </w:p>
        </w:tc>
      </w:tr>
      <w:tr w:rsidR="00432E0E" w:rsidRPr="00306B00" w14:paraId="29C1BE4A" w14:textId="77777777" w:rsidTr="00841D8C">
        <w:trPr>
          <w:trHeight w:val="227"/>
        </w:trPr>
        <w:tc>
          <w:tcPr>
            <w:tcW w:w="3964" w:type="dxa"/>
            <w:shd w:val="clear" w:color="auto" w:fill="F2F2F2" w:themeFill="background1" w:themeFillShade="F2"/>
            <w:vAlign w:val="center"/>
            <w:hideMark/>
          </w:tcPr>
          <w:p w14:paraId="23B9A64C" w14:textId="77777777" w:rsidR="00A91E61" w:rsidRPr="00306B00" w:rsidRDefault="00A91E61" w:rsidP="00181837">
            <w:pPr>
              <w:spacing w:line="276" w:lineRule="auto"/>
              <w:rPr>
                <w:b/>
                <w:bCs/>
                <w:color w:val="000000"/>
                <w:sz w:val="20"/>
                <w:szCs w:val="20"/>
              </w:rPr>
            </w:pPr>
            <w:r w:rsidRPr="00306B00">
              <w:rPr>
                <w:b/>
                <w:bCs/>
                <w:color w:val="000000"/>
                <w:sz w:val="20"/>
                <w:szCs w:val="20"/>
              </w:rPr>
              <w:t>Cost to the Department of Internal Affairs (charity and grant regulation) attributable to gambling problems</w:t>
            </w:r>
          </w:p>
        </w:tc>
        <w:tc>
          <w:tcPr>
            <w:tcW w:w="1205" w:type="dxa"/>
            <w:shd w:val="clear" w:color="auto" w:fill="F2F2F2" w:themeFill="background1" w:themeFillShade="F2"/>
            <w:vAlign w:val="center"/>
            <w:hideMark/>
          </w:tcPr>
          <w:p w14:paraId="242D896D" w14:textId="01C7684A" w:rsidR="00A91E61" w:rsidRPr="00306B00" w:rsidRDefault="003315DB" w:rsidP="00181837">
            <w:pPr>
              <w:spacing w:line="276" w:lineRule="auto"/>
              <w:rPr>
                <w:b/>
                <w:bCs/>
                <w:color w:val="000000"/>
                <w:sz w:val="20"/>
                <w:szCs w:val="20"/>
              </w:rPr>
            </w:pPr>
            <w:r w:rsidRPr="00306B00">
              <w:rPr>
                <w:b/>
                <w:bCs/>
                <w:color w:val="000000"/>
                <w:sz w:val="20"/>
                <w:szCs w:val="20"/>
              </w:rPr>
              <w:t xml:space="preserve">g </w:t>
            </w:r>
            <w:r w:rsidR="00A91E61" w:rsidRPr="00306B00">
              <w:rPr>
                <w:b/>
                <w:bCs/>
                <w:color w:val="000000"/>
                <w:sz w:val="20"/>
                <w:szCs w:val="20"/>
              </w:rPr>
              <w:t>= e x f</w:t>
            </w:r>
          </w:p>
        </w:tc>
        <w:tc>
          <w:tcPr>
            <w:tcW w:w="966" w:type="dxa"/>
            <w:shd w:val="clear" w:color="auto" w:fill="F2F2F2" w:themeFill="background1" w:themeFillShade="F2"/>
            <w:noWrap/>
            <w:vAlign w:val="center"/>
            <w:hideMark/>
          </w:tcPr>
          <w:p w14:paraId="01FDEFF2" w14:textId="59F8A324" w:rsidR="00A91E61" w:rsidRPr="00306B00" w:rsidRDefault="003315DB" w:rsidP="00181837">
            <w:pPr>
              <w:spacing w:line="276" w:lineRule="auto"/>
              <w:rPr>
                <w:b/>
                <w:bCs/>
                <w:sz w:val="20"/>
                <w:szCs w:val="20"/>
              </w:rPr>
            </w:pPr>
            <w:r w:rsidRPr="00306B00">
              <w:rPr>
                <w:b/>
                <w:bCs/>
                <w:sz w:val="20"/>
                <w:szCs w:val="20"/>
              </w:rPr>
              <w:br/>
              <w:t>$132,820</w:t>
            </w:r>
          </w:p>
        </w:tc>
        <w:tc>
          <w:tcPr>
            <w:tcW w:w="966" w:type="dxa"/>
            <w:shd w:val="clear" w:color="auto" w:fill="F2F2F2" w:themeFill="background1" w:themeFillShade="F2"/>
            <w:noWrap/>
            <w:vAlign w:val="center"/>
            <w:hideMark/>
          </w:tcPr>
          <w:p w14:paraId="05EAC61F" w14:textId="32978821" w:rsidR="00A91E61" w:rsidRPr="00306B00" w:rsidRDefault="003315DB" w:rsidP="00181837">
            <w:pPr>
              <w:spacing w:line="276" w:lineRule="auto"/>
              <w:rPr>
                <w:b/>
                <w:bCs/>
                <w:sz w:val="20"/>
                <w:szCs w:val="20"/>
              </w:rPr>
            </w:pPr>
            <w:r w:rsidRPr="00306B00">
              <w:rPr>
                <w:b/>
                <w:bCs/>
                <w:sz w:val="20"/>
                <w:szCs w:val="20"/>
              </w:rPr>
              <w:br/>
              <w:t>$203,595</w:t>
            </w:r>
          </w:p>
        </w:tc>
        <w:tc>
          <w:tcPr>
            <w:tcW w:w="974" w:type="dxa"/>
            <w:shd w:val="clear" w:color="auto" w:fill="F2F2F2" w:themeFill="background1" w:themeFillShade="F2"/>
            <w:noWrap/>
            <w:vAlign w:val="center"/>
            <w:hideMark/>
          </w:tcPr>
          <w:p w14:paraId="1ABF5760" w14:textId="7A4E219E" w:rsidR="00A91E61" w:rsidRPr="00306B00" w:rsidRDefault="003315DB" w:rsidP="00181837">
            <w:pPr>
              <w:spacing w:line="276" w:lineRule="auto"/>
              <w:rPr>
                <w:b/>
                <w:bCs/>
                <w:sz w:val="20"/>
                <w:szCs w:val="20"/>
              </w:rPr>
            </w:pPr>
            <w:r w:rsidRPr="00306B00">
              <w:rPr>
                <w:b/>
                <w:bCs/>
                <w:sz w:val="20"/>
                <w:szCs w:val="20"/>
              </w:rPr>
              <w:br/>
              <w:t>$220,595</w:t>
            </w:r>
          </w:p>
        </w:tc>
        <w:tc>
          <w:tcPr>
            <w:tcW w:w="1276" w:type="dxa"/>
            <w:shd w:val="clear" w:color="auto" w:fill="F2F2F2" w:themeFill="background1" w:themeFillShade="F2"/>
            <w:noWrap/>
            <w:vAlign w:val="center"/>
            <w:hideMark/>
          </w:tcPr>
          <w:p w14:paraId="3987CC9F" w14:textId="226C9D1E" w:rsidR="00A91E61" w:rsidRPr="00306B00" w:rsidRDefault="003315DB" w:rsidP="00181837">
            <w:pPr>
              <w:spacing w:line="276" w:lineRule="auto"/>
              <w:jc w:val="right"/>
              <w:rPr>
                <w:b/>
                <w:bCs/>
                <w:sz w:val="20"/>
                <w:szCs w:val="20"/>
              </w:rPr>
            </w:pPr>
            <w:r w:rsidRPr="00306B00">
              <w:rPr>
                <w:b/>
                <w:bCs/>
                <w:sz w:val="20"/>
                <w:szCs w:val="20"/>
              </w:rPr>
              <w:br/>
              <w:t>$557,009</w:t>
            </w:r>
          </w:p>
        </w:tc>
      </w:tr>
      <w:tr w:rsidR="00A91E61" w:rsidRPr="00306B00" w14:paraId="1130134D" w14:textId="77777777" w:rsidTr="00841D8C">
        <w:trPr>
          <w:trHeight w:val="227"/>
        </w:trPr>
        <w:tc>
          <w:tcPr>
            <w:tcW w:w="9351" w:type="dxa"/>
            <w:gridSpan w:val="6"/>
            <w:vAlign w:val="center"/>
            <w:hideMark/>
          </w:tcPr>
          <w:p w14:paraId="08ADDE26" w14:textId="77777777" w:rsidR="00A91E61" w:rsidRPr="00306B00" w:rsidRDefault="00A91E61" w:rsidP="00181837">
            <w:pPr>
              <w:spacing w:line="276" w:lineRule="auto"/>
              <w:rPr>
                <w:b/>
                <w:bCs/>
                <w:i/>
                <w:iCs/>
                <w:color w:val="000000"/>
                <w:sz w:val="20"/>
                <w:szCs w:val="20"/>
              </w:rPr>
            </w:pPr>
            <w:r w:rsidRPr="00306B00">
              <w:rPr>
                <w:b/>
                <w:bCs/>
                <w:i/>
                <w:iCs/>
                <w:color w:val="000000"/>
                <w:sz w:val="20"/>
                <w:szCs w:val="20"/>
              </w:rPr>
              <w:t>Community Support and Advice</w:t>
            </w:r>
          </w:p>
        </w:tc>
      </w:tr>
      <w:tr w:rsidR="00A91E61" w:rsidRPr="00306B00" w14:paraId="0F5180F7" w14:textId="77777777" w:rsidTr="00841D8C">
        <w:trPr>
          <w:trHeight w:val="227"/>
        </w:trPr>
        <w:tc>
          <w:tcPr>
            <w:tcW w:w="3964" w:type="dxa"/>
            <w:noWrap/>
            <w:vAlign w:val="center"/>
            <w:hideMark/>
          </w:tcPr>
          <w:p w14:paraId="7C612CFD" w14:textId="77777777" w:rsidR="00A91E61" w:rsidRPr="00306B00" w:rsidRDefault="00A91E61" w:rsidP="00181837">
            <w:pPr>
              <w:spacing w:line="276" w:lineRule="auto"/>
              <w:rPr>
                <w:color w:val="000000"/>
                <w:sz w:val="20"/>
                <w:szCs w:val="20"/>
              </w:rPr>
            </w:pPr>
            <w:r w:rsidRPr="00306B00">
              <w:rPr>
                <w:color w:val="000000"/>
                <w:sz w:val="20"/>
                <w:szCs w:val="20"/>
              </w:rPr>
              <w:t>Cost of Community Support and Advice to build financial capability (financial support services)</w:t>
            </w:r>
          </w:p>
        </w:tc>
        <w:tc>
          <w:tcPr>
            <w:tcW w:w="1205" w:type="dxa"/>
            <w:noWrap/>
            <w:vAlign w:val="center"/>
            <w:hideMark/>
          </w:tcPr>
          <w:p w14:paraId="3707D2B5" w14:textId="3BD43EF9" w:rsidR="00A91E61" w:rsidRPr="00306B00" w:rsidRDefault="003315DB" w:rsidP="00181837">
            <w:pPr>
              <w:spacing w:line="276" w:lineRule="auto"/>
              <w:rPr>
                <w:color w:val="000000"/>
                <w:sz w:val="20"/>
                <w:szCs w:val="20"/>
              </w:rPr>
            </w:pPr>
            <w:r w:rsidRPr="00306B00">
              <w:rPr>
                <w:color w:val="000000"/>
                <w:sz w:val="20"/>
                <w:szCs w:val="20"/>
              </w:rPr>
              <w:t>h</w:t>
            </w:r>
          </w:p>
        </w:tc>
        <w:tc>
          <w:tcPr>
            <w:tcW w:w="4182" w:type="dxa"/>
            <w:gridSpan w:val="4"/>
            <w:noWrap/>
            <w:vAlign w:val="center"/>
            <w:hideMark/>
          </w:tcPr>
          <w:p w14:paraId="422B39B4" w14:textId="77777777" w:rsidR="00A91E61" w:rsidRPr="00306B00" w:rsidRDefault="00A91E61" w:rsidP="00181837">
            <w:pPr>
              <w:spacing w:line="276" w:lineRule="auto"/>
              <w:jc w:val="center"/>
              <w:rPr>
                <w:color w:val="000000"/>
                <w:sz w:val="20"/>
                <w:szCs w:val="20"/>
              </w:rPr>
            </w:pPr>
            <w:r w:rsidRPr="00306B00">
              <w:rPr>
                <w:color w:val="000000"/>
                <w:sz w:val="20"/>
                <w:szCs w:val="20"/>
              </w:rPr>
              <w:t>$68,639,000</w:t>
            </w:r>
          </w:p>
        </w:tc>
      </w:tr>
      <w:tr w:rsidR="00A91E61" w:rsidRPr="00306B00" w14:paraId="643A09B4" w14:textId="77777777" w:rsidTr="00841D8C">
        <w:trPr>
          <w:trHeight w:val="227"/>
        </w:trPr>
        <w:tc>
          <w:tcPr>
            <w:tcW w:w="3964" w:type="dxa"/>
            <w:vAlign w:val="center"/>
            <w:hideMark/>
          </w:tcPr>
          <w:p w14:paraId="44CD3DA6" w14:textId="77777777" w:rsidR="00A91E61" w:rsidRPr="00306B00" w:rsidRDefault="00A91E61" w:rsidP="00181837">
            <w:pPr>
              <w:spacing w:line="276" w:lineRule="auto"/>
              <w:rPr>
                <w:color w:val="000000"/>
                <w:sz w:val="20"/>
                <w:szCs w:val="20"/>
              </w:rPr>
            </w:pPr>
            <w:r w:rsidRPr="00306B00">
              <w:rPr>
                <w:color w:val="000000"/>
                <w:sz w:val="20"/>
                <w:szCs w:val="20"/>
              </w:rPr>
              <w:t>% by PGSI that experience moderate or severe financial harm as a result of their own gambling</w:t>
            </w:r>
          </w:p>
        </w:tc>
        <w:tc>
          <w:tcPr>
            <w:tcW w:w="1205" w:type="dxa"/>
            <w:noWrap/>
            <w:vAlign w:val="center"/>
            <w:hideMark/>
          </w:tcPr>
          <w:p w14:paraId="10C2F2CF" w14:textId="58809D57" w:rsidR="00A91E61" w:rsidRPr="00306B00" w:rsidRDefault="003315DB" w:rsidP="00181837">
            <w:pPr>
              <w:spacing w:line="276" w:lineRule="auto"/>
              <w:rPr>
                <w:color w:val="000000"/>
                <w:sz w:val="20"/>
                <w:szCs w:val="20"/>
              </w:rPr>
            </w:pPr>
            <w:r w:rsidRPr="00306B00">
              <w:rPr>
                <w:color w:val="000000"/>
                <w:sz w:val="20"/>
                <w:szCs w:val="20"/>
              </w:rPr>
              <w:t>i</w:t>
            </w:r>
          </w:p>
        </w:tc>
        <w:tc>
          <w:tcPr>
            <w:tcW w:w="966" w:type="dxa"/>
            <w:noWrap/>
            <w:vAlign w:val="center"/>
            <w:hideMark/>
          </w:tcPr>
          <w:p w14:paraId="21E99916" w14:textId="77777777" w:rsidR="00A91E61" w:rsidRPr="00306B00" w:rsidRDefault="00A91E61" w:rsidP="00181837">
            <w:pPr>
              <w:spacing w:line="276" w:lineRule="auto"/>
              <w:jc w:val="right"/>
              <w:rPr>
                <w:color w:val="000000"/>
                <w:sz w:val="20"/>
                <w:szCs w:val="20"/>
              </w:rPr>
            </w:pPr>
            <w:r w:rsidRPr="00306B00">
              <w:rPr>
                <w:color w:val="000000"/>
                <w:sz w:val="20"/>
                <w:szCs w:val="20"/>
              </w:rPr>
              <w:t>6.60%</w:t>
            </w:r>
          </w:p>
        </w:tc>
        <w:tc>
          <w:tcPr>
            <w:tcW w:w="966" w:type="dxa"/>
            <w:noWrap/>
            <w:vAlign w:val="center"/>
            <w:hideMark/>
          </w:tcPr>
          <w:p w14:paraId="19A2A913" w14:textId="77777777" w:rsidR="00A91E61" w:rsidRPr="00306B00" w:rsidRDefault="00A91E61" w:rsidP="00181837">
            <w:pPr>
              <w:spacing w:line="276" w:lineRule="auto"/>
              <w:jc w:val="right"/>
              <w:rPr>
                <w:color w:val="000000"/>
                <w:sz w:val="20"/>
                <w:szCs w:val="20"/>
              </w:rPr>
            </w:pPr>
            <w:r w:rsidRPr="00306B00">
              <w:rPr>
                <w:color w:val="000000"/>
                <w:sz w:val="20"/>
                <w:szCs w:val="20"/>
              </w:rPr>
              <w:t>20.40%</w:t>
            </w:r>
          </w:p>
        </w:tc>
        <w:tc>
          <w:tcPr>
            <w:tcW w:w="974" w:type="dxa"/>
            <w:noWrap/>
            <w:vAlign w:val="center"/>
            <w:hideMark/>
          </w:tcPr>
          <w:p w14:paraId="103D0DB4" w14:textId="77777777" w:rsidR="00A91E61" w:rsidRPr="00306B00" w:rsidRDefault="00A91E61" w:rsidP="00181837">
            <w:pPr>
              <w:spacing w:line="276" w:lineRule="auto"/>
              <w:jc w:val="right"/>
              <w:rPr>
                <w:color w:val="000000"/>
                <w:sz w:val="20"/>
                <w:szCs w:val="20"/>
              </w:rPr>
            </w:pPr>
            <w:r w:rsidRPr="00306B00">
              <w:rPr>
                <w:color w:val="000000"/>
                <w:sz w:val="20"/>
                <w:szCs w:val="20"/>
              </w:rPr>
              <w:t>53.20%</w:t>
            </w:r>
          </w:p>
        </w:tc>
        <w:tc>
          <w:tcPr>
            <w:tcW w:w="1276" w:type="dxa"/>
            <w:noWrap/>
            <w:vAlign w:val="center"/>
            <w:hideMark/>
          </w:tcPr>
          <w:p w14:paraId="11437707" w14:textId="77777777" w:rsidR="00A91E61" w:rsidRPr="00306B00" w:rsidRDefault="00A91E61" w:rsidP="00181837">
            <w:pPr>
              <w:spacing w:line="276" w:lineRule="auto"/>
              <w:jc w:val="right"/>
              <w:rPr>
                <w:color w:val="000000"/>
                <w:sz w:val="20"/>
                <w:szCs w:val="20"/>
              </w:rPr>
            </w:pPr>
            <w:r w:rsidRPr="00306B00">
              <w:rPr>
                <w:color w:val="000000"/>
                <w:sz w:val="20"/>
                <w:szCs w:val="20"/>
              </w:rPr>
              <w:t>-</w:t>
            </w:r>
          </w:p>
        </w:tc>
      </w:tr>
      <w:tr w:rsidR="006E6579" w:rsidRPr="00306B00" w14:paraId="3EA8B4BF" w14:textId="77777777" w:rsidTr="00841D8C">
        <w:trPr>
          <w:trHeight w:val="227"/>
        </w:trPr>
        <w:tc>
          <w:tcPr>
            <w:tcW w:w="3964" w:type="dxa"/>
            <w:vAlign w:val="center"/>
            <w:hideMark/>
          </w:tcPr>
          <w:p w14:paraId="21932724" w14:textId="28C96CEF" w:rsidR="006E6579" w:rsidRPr="00306B00" w:rsidRDefault="006E6579" w:rsidP="00181837">
            <w:pPr>
              <w:spacing w:line="276" w:lineRule="auto"/>
              <w:rPr>
                <w:color w:val="000000"/>
                <w:sz w:val="20"/>
                <w:szCs w:val="20"/>
              </w:rPr>
            </w:pPr>
            <w:bookmarkStart w:id="514" w:name="_Hlk203470537"/>
            <w:r w:rsidRPr="00306B00">
              <w:rPr>
                <w:color w:val="000000"/>
                <w:sz w:val="20"/>
                <w:szCs w:val="20"/>
              </w:rPr>
              <w:t>Number of people that experience moderate or severe financial harm as a result of their own gambling (less 20% causality discount)</w:t>
            </w:r>
          </w:p>
        </w:tc>
        <w:tc>
          <w:tcPr>
            <w:tcW w:w="1205" w:type="dxa"/>
            <w:noWrap/>
            <w:vAlign w:val="center"/>
            <w:hideMark/>
          </w:tcPr>
          <w:p w14:paraId="2551675F" w14:textId="5E246E35" w:rsidR="006E6579" w:rsidRPr="00306B00" w:rsidRDefault="003315DB" w:rsidP="00181837">
            <w:pPr>
              <w:spacing w:line="276" w:lineRule="auto"/>
              <w:rPr>
                <w:color w:val="000000"/>
                <w:sz w:val="20"/>
                <w:szCs w:val="20"/>
              </w:rPr>
            </w:pPr>
            <w:r w:rsidRPr="00306B00">
              <w:rPr>
                <w:color w:val="000000"/>
                <w:sz w:val="20"/>
                <w:szCs w:val="20"/>
              </w:rPr>
              <w:t xml:space="preserve">j </w:t>
            </w:r>
            <w:r w:rsidR="006E6579" w:rsidRPr="00306B00">
              <w:rPr>
                <w:color w:val="000000"/>
                <w:sz w:val="20"/>
                <w:szCs w:val="20"/>
              </w:rPr>
              <w:t xml:space="preserve">= b x </w:t>
            </w:r>
            <w:r w:rsidRPr="00306B00">
              <w:rPr>
                <w:color w:val="000000"/>
                <w:sz w:val="20"/>
                <w:szCs w:val="20"/>
              </w:rPr>
              <w:t>i</w:t>
            </w:r>
          </w:p>
        </w:tc>
        <w:tc>
          <w:tcPr>
            <w:tcW w:w="966" w:type="dxa"/>
            <w:noWrap/>
            <w:vAlign w:val="center"/>
            <w:hideMark/>
          </w:tcPr>
          <w:p w14:paraId="3EF77271" w14:textId="52D49733" w:rsidR="006E6579" w:rsidRPr="00306B00" w:rsidRDefault="006E6579" w:rsidP="00181837">
            <w:pPr>
              <w:spacing w:line="276" w:lineRule="auto"/>
              <w:jc w:val="right"/>
              <w:rPr>
                <w:color w:val="000000"/>
                <w:sz w:val="20"/>
                <w:szCs w:val="20"/>
              </w:rPr>
            </w:pPr>
            <w:r w:rsidRPr="00306B00">
              <w:rPr>
                <w:color w:val="000000"/>
                <w:sz w:val="20"/>
                <w:szCs w:val="20"/>
              </w:rPr>
              <w:t>13,481</w:t>
            </w:r>
          </w:p>
        </w:tc>
        <w:tc>
          <w:tcPr>
            <w:tcW w:w="966" w:type="dxa"/>
            <w:noWrap/>
            <w:vAlign w:val="center"/>
            <w:hideMark/>
          </w:tcPr>
          <w:p w14:paraId="35EE251B" w14:textId="238C06F7" w:rsidR="006E6579" w:rsidRPr="00306B00" w:rsidRDefault="006E6579" w:rsidP="00181837">
            <w:pPr>
              <w:spacing w:line="276" w:lineRule="auto"/>
              <w:jc w:val="right"/>
              <w:rPr>
                <w:color w:val="000000"/>
                <w:sz w:val="20"/>
                <w:szCs w:val="20"/>
              </w:rPr>
            </w:pPr>
            <w:r w:rsidRPr="00306B00">
              <w:rPr>
                <w:color w:val="000000"/>
                <w:sz w:val="20"/>
                <w:szCs w:val="20"/>
              </w:rPr>
              <w:t>13,626</w:t>
            </w:r>
          </w:p>
        </w:tc>
        <w:tc>
          <w:tcPr>
            <w:tcW w:w="974" w:type="dxa"/>
            <w:noWrap/>
            <w:vAlign w:val="center"/>
            <w:hideMark/>
          </w:tcPr>
          <w:p w14:paraId="0C123E4D" w14:textId="25785CB5" w:rsidR="006E6579" w:rsidRPr="00306B00" w:rsidRDefault="006E6579" w:rsidP="00181837">
            <w:pPr>
              <w:spacing w:line="276" w:lineRule="auto"/>
              <w:jc w:val="right"/>
              <w:rPr>
                <w:color w:val="000000"/>
                <w:sz w:val="20"/>
                <w:szCs w:val="20"/>
              </w:rPr>
            </w:pPr>
            <w:r w:rsidRPr="00306B00">
              <w:rPr>
                <w:color w:val="000000"/>
                <w:sz w:val="20"/>
                <w:szCs w:val="20"/>
              </w:rPr>
              <w:t>8,698</w:t>
            </w:r>
          </w:p>
        </w:tc>
        <w:tc>
          <w:tcPr>
            <w:tcW w:w="1276" w:type="dxa"/>
            <w:noWrap/>
            <w:vAlign w:val="center"/>
            <w:hideMark/>
          </w:tcPr>
          <w:p w14:paraId="32ECBA02" w14:textId="4DFAE437" w:rsidR="006E6579" w:rsidRPr="00306B00" w:rsidRDefault="006E6579" w:rsidP="00181837">
            <w:pPr>
              <w:spacing w:line="276" w:lineRule="auto"/>
              <w:jc w:val="right"/>
              <w:rPr>
                <w:color w:val="000000"/>
                <w:sz w:val="20"/>
                <w:szCs w:val="20"/>
              </w:rPr>
            </w:pPr>
            <w:r w:rsidRPr="00306B00">
              <w:rPr>
                <w:color w:val="000000"/>
                <w:sz w:val="20"/>
                <w:szCs w:val="20"/>
              </w:rPr>
              <w:t>35,804</w:t>
            </w:r>
          </w:p>
        </w:tc>
      </w:tr>
      <w:bookmarkEnd w:id="514"/>
      <w:tr w:rsidR="006E6579" w:rsidRPr="00306B00" w14:paraId="1C1C9D3A" w14:textId="77777777" w:rsidTr="00841D8C">
        <w:trPr>
          <w:trHeight w:val="227"/>
        </w:trPr>
        <w:tc>
          <w:tcPr>
            <w:tcW w:w="3964" w:type="dxa"/>
            <w:vAlign w:val="center"/>
            <w:hideMark/>
          </w:tcPr>
          <w:p w14:paraId="692ACAF1" w14:textId="01755D96" w:rsidR="006E6579" w:rsidRPr="00306B00" w:rsidRDefault="006E6579" w:rsidP="00181837">
            <w:pPr>
              <w:spacing w:line="276" w:lineRule="auto"/>
              <w:rPr>
                <w:color w:val="000000"/>
                <w:sz w:val="20"/>
                <w:szCs w:val="20"/>
              </w:rPr>
            </w:pPr>
            <w:r w:rsidRPr="00306B00">
              <w:rPr>
                <w:color w:val="000000"/>
                <w:sz w:val="20"/>
                <w:szCs w:val="20"/>
              </w:rPr>
              <w:t>Proportion of the adult population that experience moderate or severe financial harm as a result of their own gambling</w:t>
            </w:r>
          </w:p>
        </w:tc>
        <w:tc>
          <w:tcPr>
            <w:tcW w:w="1205" w:type="dxa"/>
            <w:vAlign w:val="center"/>
            <w:hideMark/>
          </w:tcPr>
          <w:p w14:paraId="29B86B4D" w14:textId="2171E977" w:rsidR="006E6579" w:rsidRPr="00306B00" w:rsidRDefault="003315DB" w:rsidP="00181837">
            <w:pPr>
              <w:spacing w:line="276" w:lineRule="auto"/>
              <w:rPr>
                <w:color w:val="000000"/>
                <w:sz w:val="20"/>
                <w:szCs w:val="20"/>
              </w:rPr>
            </w:pPr>
            <w:r w:rsidRPr="00306B00">
              <w:rPr>
                <w:color w:val="000000"/>
                <w:sz w:val="20"/>
                <w:szCs w:val="20"/>
              </w:rPr>
              <w:t xml:space="preserve">k </w:t>
            </w:r>
            <w:r w:rsidR="006E6579" w:rsidRPr="00306B00">
              <w:rPr>
                <w:color w:val="000000"/>
                <w:sz w:val="20"/>
                <w:szCs w:val="20"/>
              </w:rPr>
              <w:t xml:space="preserve">= </w:t>
            </w:r>
            <w:r w:rsidRPr="00306B00">
              <w:rPr>
                <w:color w:val="000000"/>
                <w:sz w:val="20"/>
                <w:szCs w:val="20"/>
              </w:rPr>
              <w:t xml:space="preserve">j </w:t>
            </w:r>
            <w:r w:rsidR="006E6579" w:rsidRPr="00306B00">
              <w:rPr>
                <w:color w:val="000000"/>
                <w:sz w:val="20"/>
                <w:szCs w:val="20"/>
              </w:rPr>
              <w:t>÷ a</w:t>
            </w:r>
          </w:p>
        </w:tc>
        <w:tc>
          <w:tcPr>
            <w:tcW w:w="966" w:type="dxa"/>
            <w:noWrap/>
            <w:vAlign w:val="center"/>
            <w:hideMark/>
          </w:tcPr>
          <w:p w14:paraId="22F92418" w14:textId="79FCA42F" w:rsidR="006E6579" w:rsidRPr="00306B00" w:rsidRDefault="006E6579" w:rsidP="00181837">
            <w:pPr>
              <w:spacing w:line="276" w:lineRule="auto"/>
              <w:jc w:val="right"/>
              <w:rPr>
                <w:color w:val="000000"/>
                <w:sz w:val="20"/>
                <w:szCs w:val="20"/>
              </w:rPr>
            </w:pPr>
            <w:r w:rsidRPr="00306B00">
              <w:rPr>
                <w:color w:val="000000"/>
                <w:sz w:val="20"/>
                <w:szCs w:val="20"/>
              </w:rPr>
              <w:t>0.31%</w:t>
            </w:r>
          </w:p>
        </w:tc>
        <w:tc>
          <w:tcPr>
            <w:tcW w:w="966" w:type="dxa"/>
            <w:noWrap/>
            <w:vAlign w:val="center"/>
            <w:hideMark/>
          </w:tcPr>
          <w:p w14:paraId="4AEA6C42" w14:textId="1227A757" w:rsidR="006E6579" w:rsidRPr="00306B00" w:rsidRDefault="006E6579" w:rsidP="00181837">
            <w:pPr>
              <w:spacing w:line="276" w:lineRule="auto"/>
              <w:jc w:val="right"/>
              <w:rPr>
                <w:color w:val="000000"/>
                <w:sz w:val="20"/>
                <w:szCs w:val="20"/>
              </w:rPr>
            </w:pPr>
            <w:r w:rsidRPr="00306B00">
              <w:rPr>
                <w:color w:val="000000"/>
                <w:sz w:val="20"/>
                <w:szCs w:val="20"/>
              </w:rPr>
              <w:t>0.32%</w:t>
            </w:r>
          </w:p>
        </w:tc>
        <w:tc>
          <w:tcPr>
            <w:tcW w:w="974" w:type="dxa"/>
            <w:noWrap/>
            <w:vAlign w:val="center"/>
            <w:hideMark/>
          </w:tcPr>
          <w:p w14:paraId="1E47FB04" w14:textId="67DEA88A" w:rsidR="006E6579" w:rsidRPr="00306B00" w:rsidRDefault="006E6579" w:rsidP="00181837">
            <w:pPr>
              <w:spacing w:line="276" w:lineRule="auto"/>
              <w:jc w:val="right"/>
              <w:rPr>
                <w:color w:val="000000"/>
                <w:sz w:val="20"/>
                <w:szCs w:val="20"/>
              </w:rPr>
            </w:pPr>
            <w:r w:rsidRPr="00306B00">
              <w:rPr>
                <w:color w:val="000000"/>
                <w:sz w:val="20"/>
                <w:szCs w:val="20"/>
              </w:rPr>
              <w:t>0.20%</w:t>
            </w:r>
          </w:p>
        </w:tc>
        <w:tc>
          <w:tcPr>
            <w:tcW w:w="1276" w:type="dxa"/>
            <w:noWrap/>
            <w:vAlign w:val="center"/>
            <w:hideMark/>
          </w:tcPr>
          <w:p w14:paraId="4A759687" w14:textId="38BCCFB3" w:rsidR="006E6579" w:rsidRPr="00306B00" w:rsidRDefault="006E6579" w:rsidP="00181837">
            <w:pPr>
              <w:spacing w:line="276" w:lineRule="auto"/>
              <w:jc w:val="right"/>
              <w:rPr>
                <w:color w:val="000000"/>
                <w:sz w:val="20"/>
                <w:szCs w:val="20"/>
              </w:rPr>
            </w:pPr>
            <w:r w:rsidRPr="00306B00">
              <w:rPr>
                <w:color w:val="000000"/>
                <w:sz w:val="20"/>
                <w:szCs w:val="20"/>
              </w:rPr>
              <w:t>0.83%</w:t>
            </w:r>
          </w:p>
        </w:tc>
      </w:tr>
      <w:tr w:rsidR="00432E0E" w:rsidRPr="00306B00" w14:paraId="130F2F56" w14:textId="77777777" w:rsidTr="00841D8C">
        <w:trPr>
          <w:trHeight w:val="227"/>
        </w:trPr>
        <w:tc>
          <w:tcPr>
            <w:tcW w:w="3964" w:type="dxa"/>
            <w:shd w:val="clear" w:color="auto" w:fill="F2F2F2" w:themeFill="background1" w:themeFillShade="F2"/>
            <w:vAlign w:val="center"/>
            <w:hideMark/>
          </w:tcPr>
          <w:p w14:paraId="10C867EE" w14:textId="77777777" w:rsidR="006E6579" w:rsidRPr="00306B00" w:rsidRDefault="006E6579" w:rsidP="00181837">
            <w:pPr>
              <w:spacing w:line="276" w:lineRule="auto"/>
              <w:rPr>
                <w:b/>
                <w:bCs/>
                <w:color w:val="000000"/>
                <w:sz w:val="20"/>
                <w:szCs w:val="20"/>
              </w:rPr>
            </w:pPr>
            <w:r w:rsidRPr="00306B00">
              <w:rPr>
                <w:b/>
                <w:bCs/>
                <w:color w:val="000000"/>
                <w:sz w:val="20"/>
                <w:szCs w:val="20"/>
              </w:rPr>
              <w:t>Cost of Community Support and Advice to build financial capability (financial support services) attributable to gambling harm</w:t>
            </w:r>
          </w:p>
        </w:tc>
        <w:tc>
          <w:tcPr>
            <w:tcW w:w="1205" w:type="dxa"/>
            <w:shd w:val="clear" w:color="auto" w:fill="F2F2F2" w:themeFill="background1" w:themeFillShade="F2"/>
            <w:vAlign w:val="center"/>
            <w:hideMark/>
          </w:tcPr>
          <w:p w14:paraId="7347CF3A" w14:textId="59ABD0EB" w:rsidR="006E6579" w:rsidRPr="00306B00" w:rsidRDefault="003315DB" w:rsidP="00181837">
            <w:pPr>
              <w:spacing w:line="276" w:lineRule="auto"/>
              <w:rPr>
                <w:b/>
                <w:bCs/>
                <w:color w:val="000000"/>
                <w:sz w:val="20"/>
                <w:szCs w:val="20"/>
              </w:rPr>
            </w:pPr>
            <w:r w:rsidRPr="00306B00">
              <w:rPr>
                <w:b/>
                <w:bCs/>
                <w:color w:val="000000"/>
                <w:sz w:val="20"/>
                <w:szCs w:val="20"/>
              </w:rPr>
              <w:t xml:space="preserve">l </w:t>
            </w:r>
            <w:r w:rsidR="006E6579" w:rsidRPr="00306B00">
              <w:rPr>
                <w:b/>
                <w:bCs/>
                <w:color w:val="000000"/>
                <w:sz w:val="20"/>
                <w:szCs w:val="20"/>
              </w:rPr>
              <w:t xml:space="preserve">= </w:t>
            </w:r>
            <w:r w:rsidRPr="00306B00">
              <w:rPr>
                <w:b/>
                <w:bCs/>
                <w:color w:val="000000"/>
                <w:sz w:val="20"/>
                <w:szCs w:val="20"/>
              </w:rPr>
              <w:t xml:space="preserve">h </w:t>
            </w:r>
            <w:r w:rsidR="006E6579" w:rsidRPr="00306B00">
              <w:rPr>
                <w:b/>
                <w:bCs/>
                <w:color w:val="000000"/>
                <w:sz w:val="20"/>
                <w:szCs w:val="20"/>
              </w:rPr>
              <w:t xml:space="preserve">x </w:t>
            </w:r>
            <w:r w:rsidRPr="00306B00">
              <w:rPr>
                <w:b/>
                <w:bCs/>
                <w:color w:val="000000"/>
                <w:sz w:val="20"/>
                <w:szCs w:val="20"/>
              </w:rPr>
              <w:t>k</w:t>
            </w:r>
          </w:p>
        </w:tc>
        <w:tc>
          <w:tcPr>
            <w:tcW w:w="966" w:type="dxa"/>
            <w:shd w:val="clear" w:color="auto" w:fill="F2F2F2" w:themeFill="background1" w:themeFillShade="F2"/>
            <w:noWrap/>
            <w:vAlign w:val="center"/>
            <w:hideMark/>
          </w:tcPr>
          <w:p w14:paraId="24E5E5FF" w14:textId="21C9E8DA" w:rsidR="006E6579" w:rsidRPr="00306B00" w:rsidRDefault="006E6579" w:rsidP="00181837">
            <w:pPr>
              <w:spacing w:line="276" w:lineRule="auto"/>
              <w:jc w:val="right"/>
              <w:rPr>
                <w:b/>
                <w:bCs/>
                <w:color w:val="000000"/>
                <w:sz w:val="20"/>
                <w:szCs w:val="20"/>
              </w:rPr>
            </w:pPr>
            <w:r w:rsidRPr="00306B00">
              <w:rPr>
                <w:b/>
                <w:bCs/>
                <w:color w:val="000000"/>
                <w:sz w:val="20"/>
                <w:szCs w:val="20"/>
              </w:rPr>
              <w:t>$214,892</w:t>
            </w:r>
          </w:p>
        </w:tc>
        <w:tc>
          <w:tcPr>
            <w:tcW w:w="966" w:type="dxa"/>
            <w:shd w:val="clear" w:color="auto" w:fill="F2F2F2" w:themeFill="background1" w:themeFillShade="F2"/>
            <w:noWrap/>
            <w:vAlign w:val="center"/>
            <w:hideMark/>
          </w:tcPr>
          <w:p w14:paraId="22B54021" w14:textId="695BC403" w:rsidR="006E6579" w:rsidRPr="00306B00" w:rsidRDefault="006E6579" w:rsidP="00181837">
            <w:pPr>
              <w:spacing w:line="276" w:lineRule="auto"/>
              <w:jc w:val="right"/>
              <w:rPr>
                <w:b/>
                <w:bCs/>
                <w:color w:val="000000"/>
                <w:sz w:val="20"/>
                <w:szCs w:val="20"/>
              </w:rPr>
            </w:pPr>
            <w:r w:rsidRPr="00306B00">
              <w:rPr>
                <w:b/>
                <w:bCs/>
                <w:color w:val="000000"/>
                <w:sz w:val="20"/>
                <w:szCs w:val="20"/>
              </w:rPr>
              <w:t>$217,205</w:t>
            </w:r>
          </w:p>
        </w:tc>
        <w:tc>
          <w:tcPr>
            <w:tcW w:w="974" w:type="dxa"/>
            <w:shd w:val="clear" w:color="auto" w:fill="F2F2F2" w:themeFill="background1" w:themeFillShade="F2"/>
            <w:noWrap/>
            <w:vAlign w:val="center"/>
            <w:hideMark/>
          </w:tcPr>
          <w:p w14:paraId="1E69F953" w14:textId="20AB927E" w:rsidR="006E6579" w:rsidRPr="00306B00" w:rsidRDefault="006E6579" w:rsidP="00181837">
            <w:pPr>
              <w:spacing w:line="276" w:lineRule="auto"/>
              <w:jc w:val="right"/>
              <w:rPr>
                <w:b/>
                <w:bCs/>
                <w:color w:val="000000"/>
                <w:sz w:val="20"/>
                <w:szCs w:val="20"/>
              </w:rPr>
            </w:pPr>
            <w:r w:rsidRPr="00306B00">
              <w:rPr>
                <w:b/>
                <w:bCs/>
                <w:color w:val="000000"/>
                <w:sz w:val="20"/>
                <w:szCs w:val="20"/>
              </w:rPr>
              <w:t>$138,644</w:t>
            </w:r>
          </w:p>
        </w:tc>
        <w:tc>
          <w:tcPr>
            <w:tcW w:w="1276" w:type="dxa"/>
            <w:shd w:val="clear" w:color="auto" w:fill="F2F2F2" w:themeFill="background1" w:themeFillShade="F2"/>
            <w:noWrap/>
            <w:vAlign w:val="center"/>
            <w:hideMark/>
          </w:tcPr>
          <w:p w14:paraId="628E95A1" w14:textId="67779D0A" w:rsidR="006E6579" w:rsidRPr="00306B00" w:rsidRDefault="006E6579" w:rsidP="00181837">
            <w:pPr>
              <w:spacing w:line="276" w:lineRule="auto"/>
              <w:jc w:val="right"/>
              <w:rPr>
                <w:b/>
                <w:bCs/>
                <w:color w:val="000000"/>
                <w:sz w:val="20"/>
                <w:szCs w:val="20"/>
              </w:rPr>
            </w:pPr>
            <w:r w:rsidRPr="00306B00">
              <w:rPr>
                <w:b/>
                <w:bCs/>
                <w:color w:val="000000"/>
                <w:sz w:val="20"/>
                <w:szCs w:val="20"/>
              </w:rPr>
              <w:t>$570,740</w:t>
            </w:r>
          </w:p>
        </w:tc>
      </w:tr>
      <w:tr w:rsidR="00A91E61" w:rsidRPr="00306B00" w14:paraId="21E909E0" w14:textId="77777777" w:rsidTr="00841D8C">
        <w:trPr>
          <w:trHeight w:val="227"/>
        </w:trPr>
        <w:tc>
          <w:tcPr>
            <w:tcW w:w="3964" w:type="dxa"/>
            <w:shd w:val="clear" w:color="auto" w:fill="F2F2F2" w:themeFill="background1" w:themeFillShade="F2"/>
            <w:vAlign w:val="center"/>
            <w:hideMark/>
          </w:tcPr>
          <w:p w14:paraId="4897B4A8" w14:textId="77777777" w:rsidR="00A91E61" w:rsidRPr="00306B00" w:rsidRDefault="00A91E61" w:rsidP="00181837">
            <w:pPr>
              <w:spacing w:line="276" w:lineRule="auto"/>
              <w:rPr>
                <w:b/>
                <w:bCs/>
                <w:color w:val="000000"/>
                <w:sz w:val="20"/>
                <w:szCs w:val="20"/>
              </w:rPr>
            </w:pPr>
            <w:r w:rsidRPr="00306B00">
              <w:rPr>
                <w:b/>
                <w:bCs/>
                <w:color w:val="000000"/>
                <w:sz w:val="20"/>
                <w:szCs w:val="20"/>
              </w:rPr>
              <w:t>Public Health services (harm prevention and minimisation)</w:t>
            </w:r>
          </w:p>
        </w:tc>
        <w:tc>
          <w:tcPr>
            <w:tcW w:w="1205" w:type="dxa"/>
            <w:shd w:val="clear" w:color="auto" w:fill="F2F2F2" w:themeFill="background1" w:themeFillShade="F2"/>
            <w:vAlign w:val="center"/>
            <w:hideMark/>
          </w:tcPr>
          <w:p w14:paraId="7EFA76A1" w14:textId="2F7AAFE6" w:rsidR="00A91E61" w:rsidRPr="00306B00" w:rsidRDefault="003315DB" w:rsidP="00181837">
            <w:pPr>
              <w:spacing w:line="276" w:lineRule="auto"/>
              <w:rPr>
                <w:b/>
                <w:bCs/>
                <w:color w:val="000000"/>
                <w:sz w:val="20"/>
                <w:szCs w:val="20"/>
              </w:rPr>
            </w:pPr>
            <w:r w:rsidRPr="00306B00">
              <w:rPr>
                <w:b/>
                <w:bCs/>
                <w:color w:val="000000"/>
                <w:sz w:val="20"/>
                <w:szCs w:val="20"/>
              </w:rPr>
              <w:t>m</w:t>
            </w:r>
          </w:p>
        </w:tc>
        <w:tc>
          <w:tcPr>
            <w:tcW w:w="4182" w:type="dxa"/>
            <w:gridSpan w:val="4"/>
            <w:shd w:val="clear" w:color="auto" w:fill="F2F2F2" w:themeFill="background1" w:themeFillShade="F2"/>
            <w:noWrap/>
            <w:vAlign w:val="center"/>
            <w:hideMark/>
          </w:tcPr>
          <w:p w14:paraId="69A60A61" w14:textId="77777777" w:rsidR="00A91E61" w:rsidRPr="00306B00" w:rsidRDefault="00A91E61" w:rsidP="00181837">
            <w:pPr>
              <w:spacing w:line="276" w:lineRule="auto"/>
              <w:jc w:val="right"/>
              <w:rPr>
                <w:b/>
                <w:bCs/>
                <w:color w:val="000000"/>
                <w:sz w:val="20"/>
                <w:szCs w:val="20"/>
              </w:rPr>
            </w:pPr>
            <w:r w:rsidRPr="00306B00">
              <w:rPr>
                <w:b/>
                <w:bCs/>
                <w:color w:val="000000"/>
                <w:sz w:val="20"/>
                <w:szCs w:val="20"/>
              </w:rPr>
              <w:t>$8,800,000</w:t>
            </w:r>
          </w:p>
        </w:tc>
      </w:tr>
      <w:tr w:rsidR="00432E0E" w:rsidRPr="00306B00" w14:paraId="7AD06904" w14:textId="77777777" w:rsidTr="00841D8C">
        <w:trPr>
          <w:trHeight w:val="227"/>
        </w:trPr>
        <w:tc>
          <w:tcPr>
            <w:tcW w:w="3964" w:type="dxa"/>
            <w:shd w:val="clear" w:color="auto" w:fill="F2F2F2" w:themeFill="background1" w:themeFillShade="F2"/>
            <w:vAlign w:val="center"/>
            <w:hideMark/>
          </w:tcPr>
          <w:p w14:paraId="042C99AA" w14:textId="77777777" w:rsidR="00A91E61" w:rsidRPr="00306B00" w:rsidRDefault="00A91E61" w:rsidP="00181837">
            <w:pPr>
              <w:spacing w:line="276" w:lineRule="auto"/>
              <w:rPr>
                <w:b/>
                <w:bCs/>
                <w:color w:val="000000"/>
                <w:sz w:val="20"/>
                <w:szCs w:val="20"/>
              </w:rPr>
            </w:pPr>
            <w:r w:rsidRPr="00306B00">
              <w:rPr>
                <w:b/>
                <w:bCs/>
                <w:color w:val="000000"/>
                <w:sz w:val="20"/>
                <w:szCs w:val="20"/>
              </w:rPr>
              <w:t xml:space="preserve">Total estimated cost of service provision and prevention </w:t>
            </w:r>
          </w:p>
        </w:tc>
        <w:tc>
          <w:tcPr>
            <w:tcW w:w="1205" w:type="dxa"/>
            <w:shd w:val="clear" w:color="auto" w:fill="F2F2F2" w:themeFill="background1" w:themeFillShade="F2"/>
            <w:vAlign w:val="center"/>
            <w:hideMark/>
          </w:tcPr>
          <w:p w14:paraId="3E0FC694" w14:textId="6824A2FB" w:rsidR="00A91E61" w:rsidRPr="00306B00" w:rsidRDefault="003315DB" w:rsidP="00181837">
            <w:pPr>
              <w:spacing w:line="276" w:lineRule="auto"/>
              <w:rPr>
                <w:b/>
                <w:bCs/>
                <w:color w:val="000000"/>
                <w:sz w:val="20"/>
                <w:szCs w:val="20"/>
              </w:rPr>
            </w:pPr>
            <w:r w:rsidRPr="00306B00">
              <w:rPr>
                <w:b/>
                <w:bCs/>
                <w:color w:val="000000"/>
                <w:sz w:val="20"/>
                <w:szCs w:val="20"/>
              </w:rPr>
              <w:t xml:space="preserve">n </w:t>
            </w:r>
            <w:r w:rsidR="00A91E61" w:rsidRPr="00306B00">
              <w:rPr>
                <w:b/>
                <w:bCs/>
                <w:color w:val="000000"/>
                <w:sz w:val="20"/>
                <w:szCs w:val="20"/>
              </w:rPr>
              <w:t xml:space="preserve">= </w:t>
            </w:r>
            <w:r w:rsidR="00E95101">
              <w:rPr>
                <w:b/>
                <w:bCs/>
                <w:color w:val="000000"/>
                <w:sz w:val="20"/>
                <w:szCs w:val="20"/>
              </w:rPr>
              <w:t>g</w:t>
            </w:r>
            <w:r w:rsidR="00A91E61" w:rsidRPr="00306B00">
              <w:rPr>
                <w:b/>
                <w:bCs/>
                <w:color w:val="000000"/>
                <w:sz w:val="20"/>
                <w:szCs w:val="20"/>
              </w:rPr>
              <w:t xml:space="preserve"> + </w:t>
            </w:r>
            <w:r w:rsidRPr="00306B00">
              <w:rPr>
                <w:b/>
                <w:bCs/>
                <w:color w:val="000000"/>
                <w:sz w:val="20"/>
                <w:szCs w:val="20"/>
              </w:rPr>
              <w:t xml:space="preserve">l </w:t>
            </w:r>
            <w:r w:rsidR="00A91E61" w:rsidRPr="00306B00">
              <w:rPr>
                <w:b/>
                <w:bCs/>
                <w:color w:val="000000"/>
                <w:sz w:val="20"/>
                <w:szCs w:val="20"/>
              </w:rPr>
              <w:t xml:space="preserve">+ </w:t>
            </w:r>
            <w:r w:rsidRPr="00306B00">
              <w:rPr>
                <w:b/>
                <w:bCs/>
                <w:color w:val="000000"/>
                <w:sz w:val="20"/>
                <w:szCs w:val="20"/>
              </w:rPr>
              <w:t>m</w:t>
            </w:r>
          </w:p>
        </w:tc>
        <w:tc>
          <w:tcPr>
            <w:tcW w:w="966" w:type="dxa"/>
            <w:shd w:val="clear" w:color="auto" w:fill="F2F2F2" w:themeFill="background1" w:themeFillShade="F2"/>
            <w:vAlign w:val="center"/>
            <w:hideMark/>
          </w:tcPr>
          <w:p w14:paraId="7E4201F7" w14:textId="77777777" w:rsidR="00A91E61" w:rsidRPr="00306B00" w:rsidRDefault="00A91E61" w:rsidP="00181837">
            <w:pPr>
              <w:spacing w:line="276" w:lineRule="auto"/>
              <w:rPr>
                <w:b/>
                <w:bCs/>
                <w:color w:val="000000"/>
                <w:sz w:val="20"/>
                <w:szCs w:val="20"/>
              </w:rPr>
            </w:pPr>
            <w:r w:rsidRPr="00306B00">
              <w:rPr>
                <w:b/>
                <w:bCs/>
                <w:color w:val="000000"/>
                <w:sz w:val="20"/>
                <w:szCs w:val="20"/>
              </w:rPr>
              <w:t> </w:t>
            </w:r>
          </w:p>
        </w:tc>
        <w:tc>
          <w:tcPr>
            <w:tcW w:w="966" w:type="dxa"/>
            <w:shd w:val="clear" w:color="auto" w:fill="F2F2F2" w:themeFill="background1" w:themeFillShade="F2"/>
            <w:vAlign w:val="center"/>
            <w:hideMark/>
          </w:tcPr>
          <w:p w14:paraId="455257A4" w14:textId="77777777" w:rsidR="00A91E61" w:rsidRPr="00306B00" w:rsidRDefault="00A91E61" w:rsidP="00181837">
            <w:pPr>
              <w:spacing w:line="276" w:lineRule="auto"/>
              <w:rPr>
                <w:b/>
                <w:bCs/>
                <w:color w:val="000000"/>
                <w:sz w:val="20"/>
                <w:szCs w:val="20"/>
              </w:rPr>
            </w:pPr>
            <w:r w:rsidRPr="00306B00">
              <w:rPr>
                <w:b/>
                <w:bCs/>
                <w:color w:val="000000"/>
                <w:sz w:val="20"/>
                <w:szCs w:val="20"/>
              </w:rPr>
              <w:t> </w:t>
            </w:r>
          </w:p>
        </w:tc>
        <w:tc>
          <w:tcPr>
            <w:tcW w:w="974" w:type="dxa"/>
            <w:shd w:val="clear" w:color="auto" w:fill="F2F2F2" w:themeFill="background1" w:themeFillShade="F2"/>
            <w:vAlign w:val="center"/>
            <w:hideMark/>
          </w:tcPr>
          <w:p w14:paraId="02F9129D" w14:textId="77777777" w:rsidR="00A91E61" w:rsidRPr="00306B00" w:rsidRDefault="00A91E61" w:rsidP="00181837">
            <w:pPr>
              <w:spacing w:line="276" w:lineRule="auto"/>
              <w:rPr>
                <w:b/>
                <w:bCs/>
                <w:color w:val="000000"/>
                <w:sz w:val="20"/>
                <w:szCs w:val="20"/>
              </w:rPr>
            </w:pPr>
            <w:r w:rsidRPr="00306B00">
              <w:rPr>
                <w:b/>
                <w:bCs/>
                <w:color w:val="000000"/>
                <w:sz w:val="20"/>
                <w:szCs w:val="20"/>
              </w:rPr>
              <w:t> </w:t>
            </w:r>
          </w:p>
        </w:tc>
        <w:tc>
          <w:tcPr>
            <w:tcW w:w="1276" w:type="dxa"/>
            <w:shd w:val="clear" w:color="auto" w:fill="F2F2F2" w:themeFill="background1" w:themeFillShade="F2"/>
            <w:vAlign w:val="center"/>
            <w:hideMark/>
          </w:tcPr>
          <w:p w14:paraId="5ECB2204" w14:textId="77777777" w:rsidR="00A91E61" w:rsidRPr="00306B00" w:rsidRDefault="00A91E61" w:rsidP="00181837">
            <w:pPr>
              <w:spacing w:line="276" w:lineRule="auto"/>
              <w:jc w:val="right"/>
              <w:rPr>
                <w:b/>
                <w:bCs/>
                <w:color w:val="000000"/>
                <w:sz w:val="20"/>
                <w:szCs w:val="20"/>
              </w:rPr>
            </w:pPr>
          </w:p>
          <w:p w14:paraId="284BB0F5" w14:textId="3EDE2AF5" w:rsidR="003315DB" w:rsidRPr="00306B00" w:rsidRDefault="003315DB" w:rsidP="00181837">
            <w:pPr>
              <w:spacing w:line="276" w:lineRule="auto"/>
              <w:jc w:val="right"/>
              <w:rPr>
                <w:b/>
                <w:bCs/>
                <w:color w:val="000000"/>
                <w:sz w:val="20"/>
                <w:szCs w:val="20"/>
              </w:rPr>
            </w:pPr>
            <w:r w:rsidRPr="00306B00">
              <w:rPr>
                <w:color w:val="000000"/>
                <w:sz w:val="20"/>
                <w:szCs w:val="20"/>
              </w:rPr>
              <w:t>$9,927,750</w:t>
            </w:r>
          </w:p>
        </w:tc>
      </w:tr>
      <w:tr w:rsidR="006E6579" w:rsidRPr="00306B00" w14:paraId="1898BBA5" w14:textId="77777777" w:rsidTr="00841D8C">
        <w:trPr>
          <w:trHeight w:val="227"/>
        </w:trPr>
        <w:tc>
          <w:tcPr>
            <w:tcW w:w="8075" w:type="dxa"/>
            <w:gridSpan w:val="5"/>
            <w:noWrap/>
            <w:vAlign w:val="center"/>
            <w:hideMark/>
          </w:tcPr>
          <w:p w14:paraId="2859B045" w14:textId="77777777" w:rsidR="006E6579" w:rsidRPr="00306B00" w:rsidRDefault="006E6579" w:rsidP="00181837">
            <w:pPr>
              <w:spacing w:line="276" w:lineRule="auto"/>
              <w:rPr>
                <w:color w:val="000000"/>
                <w:sz w:val="20"/>
                <w:szCs w:val="20"/>
              </w:rPr>
            </w:pPr>
            <w:r w:rsidRPr="00306B00">
              <w:rPr>
                <w:color w:val="000000"/>
                <w:sz w:val="20"/>
                <w:szCs w:val="20"/>
              </w:rPr>
              <w:t>Lower Estimate</w:t>
            </w:r>
          </w:p>
        </w:tc>
        <w:tc>
          <w:tcPr>
            <w:tcW w:w="1276" w:type="dxa"/>
            <w:noWrap/>
            <w:vAlign w:val="center"/>
            <w:hideMark/>
          </w:tcPr>
          <w:p w14:paraId="13CC1D9D" w14:textId="174615BD" w:rsidR="006E6579" w:rsidRPr="00306B00" w:rsidRDefault="003315DB" w:rsidP="00181837">
            <w:pPr>
              <w:spacing w:line="276" w:lineRule="auto"/>
              <w:jc w:val="right"/>
              <w:rPr>
                <w:color w:val="000000"/>
                <w:sz w:val="20"/>
                <w:szCs w:val="20"/>
              </w:rPr>
            </w:pPr>
            <w:r w:rsidRPr="00306B00">
              <w:rPr>
                <w:color w:val="000000"/>
                <w:sz w:val="20"/>
                <w:szCs w:val="20"/>
              </w:rPr>
              <w:br/>
              <w:t>$9,431,362</w:t>
            </w:r>
          </w:p>
        </w:tc>
      </w:tr>
      <w:tr w:rsidR="006E6579" w:rsidRPr="00306B00" w14:paraId="18937FDF" w14:textId="77777777" w:rsidTr="00841D8C">
        <w:trPr>
          <w:trHeight w:val="227"/>
        </w:trPr>
        <w:tc>
          <w:tcPr>
            <w:tcW w:w="8075" w:type="dxa"/>
            <w:gridSpan w:val="5"/>
            <w:vAlign w:val="center"/>
            <w:hideMark/>
          </w:tcPr>
          <w:p w14:paraId="366377D8" w14:textId="77777777" w:rsidR="006E6579" w:rsidRPr="00306B00" w:rsidRDefault="006E6579" w:rsidP="00181837">
            <w:pPr>
              <w:spacing w:line="276" w:lineRule="auto"/>
              <w:rPr>
                <w:color w:val="000000"/>
                <w:sz w:val="20"/>
                <w:szCs w:val="20"/>
              </w:rPr>
            </w:pPr>
            <w:r w:rsidRPr="00306B00">
              <w:rPr>
                <w:color w:val="000000"/>
                <w:sz w:val="20"/>
                <w:szCs w:val="20"/>
              </w:rPr>
              <w:t>Upper Estimate</w:t>
            </w:r>
          </w:p>
        </w:tc>
        <w:tc>
          <w:tcPr>
            <w:tcW w:w="1276" w:type="dxa"/>
            <w:noWrap/>
            <w:vAlign w:val="center"/>
            <w:hideMark/>
          </w:tcPr>
          <w:p w14:paraId="20F95736" w14:textId="76BCA4A9" w:rsidR="006E6579" w:rsidRPr="00306B00" w:rsidRDefault="003315DB" w:rsidP="00181837">
            <w:pPr>
              <w:spacing w:line="276" w:lineRule="auto"/>
              <w:jc w:val="right"/>
              <w:rPr>
                <w:color w:val="000000"/>
                <w:sz w:val="20"/>
                <w:szCs w:val="20"/>
              </w:rPr>
            </w:pPr>
            <w:r w:rsidRPr="00306B00">
              <w:rPr>
                <w:color w:val="000000"/>
                <w:sz w:val="20"/>
                <w:szCs w:val="20"/>
              </w:rPr>
              <w:br/>
              <w:t>$16,632,743</w:t>
            </w:r>
          </w:p>
        </w:tc>
      </w:tr>
      <w:tr w:rsidR="00A91E61" w:rsidRPr="00306B00" w14:paraId="4675B81B" w14:textId="77777777" w:rsidTr="00841D8C">
        <w:trPr>
          <w:trHeight w:val="227"/>
        </w:trPr>
        <w:tc>
          <w:tcPr>
            <w:tcW w:w="9351" w:type="dxa"/>
            <w:gridSpan w:val="6"/>
            <w:vAlign w:val="center"/>
            <w:hideMark/>
          </w:tcPr>
          <w:p w14:paraId="6D9D4BE6" w14:textId="77777777" w:rsidR="00A91E61" w:rsidRPr="00306B00" w:rsidRDefault="00A91E61" w:rsidP="00181837">
            <w:pPr>
              <w:spacing w:line="276" w:lineRule="auto"/>
              <w:rPr>
                <w:i/>
                <w:iCs/>
                <w:color w:val="242424"/>
                <w:sz w:val="20"/>
                <w:szCs w:val="20"/>
              </w:rPr>
            </w:pPr>
            <w:r w:rsidRPr="00306B00">
              <w:rPr>
                <w:i/>
                <w:iCs/>
                <w:color w:val="242424"/>
                <w:sz w:val="20"/>
                <w:szCs w:val="20"/>
              </w:rPr>
              <w:t xml:space="preserve">Note: </w:t>
            </w:r>
            <w:r w:rsidRPr="00306B00">
              <w:rPr>
                <w:i/>
                <w:iCs/>
                <w:sz w:val="20"/>
                <w:szCs w:val="20"/>
              </w:rPr>
              <w:t xml:space="preserve">LR (low-risk gambling), MR (moderate-risk gambling), and problem gambling. </w:t>
            </w:r>
            <w:r w:rsidRPr="00306B00">
              <w:rPr>
                <w:i/>
                <w:iCs/>
                <w:color w:val="242424"/>
                <w:sz w:val="20"/>
                <w:szCs w:val="20"/>
              </w:rPr>
              <w:t>Totals may not match exactly due to rounding. Calculations are based on the original unrounded figures to ensure accuracy. Some overlap may exist between service user groups captured under severe welfare-related harm (d) and moderate/severe financial harm (k). This analysis treats them as distinct to reflect differing points of service engagement and funding relevance.</w:t>
            </w:r>
          </w:p>
        </w:tc>
      </w:tr>
    </w:tbl>
    <w:p w14:paraId="687BB02D" w14:textId="1081B146" w:rsidR="00DB689D" w:rsidRDefault="00267B09" w:rsidP="00367A8D">
      <w:pPr>
        <w:pStyle w:val="Heading1"/>
        <w:spacing w:line="360" w:lineRule="auto"/>
      </w:pPr>
      <w:bookmarkStart w:id="515" w:name="_mgu1bzwhfgac" w:colFirst="0" w:colLast="0"/>
      <w:bookmarkStart w:id="516" w:name="_ru7zre34mraq" w:colFirst="0" w:colLast="0"/>
      <w:bookmarkStart w:id="517" w:name="_Toc201572475"/>
      <w:bookmarkStart w:id="518" w:name="_Toc207195993"/>
      <w:bookmarkEnd w:id="515"/>
      <w:bookmarkEnd w:id="516"/>
      <w:r>
        <w:t xml:space="preserve">Evaluation of policy </w:t>
      </w:r>
      <w:bookmarkEnd w:id="517"/>
      <w:r>
        <w:t>options</w:t>
      </w:r>
      <w:bookmarkStart w:id="519" w:name="_Hlk203396794"/>
      <w:bookmarkEnd w:id="518"/>
    </w:p>
    <w:p w14:paraId="0B481099" w14:textId="77777777" w:rsidR="00306B00" w:rsidRDefault="00306B00" w:rsidP="00267B09">
      <w:pPr>
        <w:spacing w:line="360" w:lineRule="auto"/>
      </w:pPr>
    </w:p>
    <w:p w14:paraId="7EE1B67D" w14:textId="2CA32ED3" w:rsidR="006F418B" w:rsidRDefault="006F418B" w:rsidP="00267B09">
      <w:pPr>
        <w:spacing w:line="360" w:lineRule="auto"/>
      </w:pPr>
      <w:r>
        <w:t>Identifying evidence-based strategies to reduce the costs associated with gambling problems presents a complex challenge, as much of the existing research prioritises individual-level treatments for those already experiencing problem gambling, rather than broader population-focused preventative measures. Despite this, several policies with the potential to make meaningful change have been identified. This chapter describes these options, which include enhancing treatment accessibility for individuals at high risk, and regulatory approaches like banning specific high-harm products such as offshore online EGMs, implementing loss limits, and reducing the accessibility and density of in-person EGMs. Given that EGMs, both offshore online and in venue, are identified in this report as the most significant contributors to the overall social cost of gambling harm in New Zealand, particular attention is given to interventions targeting this form of gambling. Evaluating the precise future benefits of policies not yet widely implemented or rigorously trialled in New Zealand often requires complex modelling and faces inherent uncertainties; therefore, this section will draw upon established health economic principles, existing research, and relevant case studies from other jurisdictions to estimate the potential impact of these selected policies on mitigating gambling harm costs in New Zealand.</w:t>
      </w:r>
    </w:p>
    <w:p w14:paraId="3422CE86" w14:textId="77777777" w:rsidR="006F418B" w:rsidRDefault="006F418B" w:rsidP="00267B09">
      <w:pPr>
        <w:spacing w:line="360" w:lineRule="auto"/>
      </w:pPr>
    </w:p>
    <w:p w14:paraId="3659C0EC" w14:textId="77777777" w:rsidR="006F418B" w:rsidRDefault="006F418B" w:rsidP="00267B09">
      <w:pPr>
        <w:spacing w:line="360" w:lineRule="auto"/>
      </w:pPr>
      <w:r>
        <w:t>The following policies were evaluated:</w:t>
      </w:r>
    </w:p>
    <w:p w14:paraId="2C4AFA33" w14:textId="77777777" w:rsidR="006F418B" w:rsidRDefault="006F418B" w:rsidP="00267B09">
      <w:pPr>
        <w:numPr>
          <w:ilvl w:val="0"/>
          <w:numId w:val="53"/>
        </w:numPr>
        <w:pBdr>
          <w:top w:val="nil"/>
          <w:left w:val="nil"/>
          <w:bottom w:val="nil"/>
          <w:right w:val="nil"/>
          <w:between w:val="nil"/>
        </w:pBdr>
        <w:spacing w:line="360" w:lineRule="auto"/>
        <w:rPr>
          <w:color w:val="000000"/>
        </w:rPr>
      </w:pPr>
      <w:r>
        <w:rPr>
          <w:color w:val="000000"/>
        </w:rPr>
        <w:t>A ban on offshore online EGMs</w:t>
      </w:r>
    </w:p>
    <w:p w14:paraId="536D2F8C" w14:textId="77777777" w:rsidR="006F418B" w:rsidRDefault="006F418B" w:rsidP="00267B09">
      <w:pPr>
        <w:numPr>
          <w:ilvl w:val="0"/>
          <w:numId w:val="53"/>
        </w:numPr>
        <w:pBdr>
          <w:top w:val="nil"/>
          <w:left w:val="nil"/>
          <w:bottom w:val="nil"/>
          <w:right w:val="nil"/>
          <w:between w:val="nil"/>
        </w:pBdr>
        <w:spacing w:line="360" w:lineRule="auto"/>
        <w:rPr>
          <w:color w:val="000000"/>
        </w:rPr>
      </w:pPr>
      <w:r>
        <w:rPr>
          <w:color w:val="000000"/>
        </w:rPr>
        <w:t>The introduction of loss limits on in-person EGMs</w:t>
      </w:r>
    </w:p>
    <w:p w14:paraId="1EC5F078" w14:textId="77777777" w:rsidR="006F418B" w:rsidRDefault="006F418B" w:rsidP="00267B09">
      <w:pPr>
        <w:numPr>
          <w:ilvl w:val="0"/>
          <w:numId w:val="53"/>
        </w:numPr>
        <w:pBdr>
          <w:top w:val="nil"/>
          <w:left w:val="nil"/>
          <w:bottom w:val="nil"/>
          <w:right w:val="nil"/>
          <w:between w:val="nil"/>
        </w:pBdr>
        <w:spacing w:line="360" w:lineRule="auto"/>
        <w:rPr>
          <w:color w:val="000000"/>
        </w:rPr>
      </w:pPr>
      <w:r>
        <w:rPr>
          <w:color w:val="000000"/>
        </w:rPr>
        <w:t>Reducing the accessibility of in-person EGMs</w:t>
      </w:r>
    </w:p>
    <w:p w14:paraId="2AA6E092" w14:textId="77777777" w:rsidR="006F418B" w:rsidRDefault="006F418B" w:rsidP="00267B09">
      <w:pPr>
        <w:numPr>
          <w:ilvl w:val="0"/>
          <w:numId w:val="53"/>
        </w:numPr>
        <w:pBdr>
          <w:top w:val="nil"/>
          <w:left w:val="nil"/>
          <w:bottom w:val="nil"/>
          <w:right w:val="nil"/>
          <w:between w:val="nil"/>
        </w:pBdr>
        <w:spacing w:line="360" w:lineRule="auto"/>
        <w:rPr>
          <w:color w:val="000000"/>
        </w:rPr>
      </w:pPr>
      <w:r>
        <w:rPr>
          <w:color w:val="000000"/>
        </w:rPr>
        <w:t>A sinking-lid policy to reduce the number of in-person EGMs</w:t>
      </w:r>
    </w:p>
    <w:p w14:paraId="5F02049F" w14:textId="77777777" w:rsidR="006F418B" w:rsidRDefault="006F418B" w:rsidP="00267B09">
      <w:pPr>
        <w:numPr>
          <w:ilvl w:val="0"/>
          <w:numId w:val="53"/>
        </w:numPr>
        <w:pBdr>
          <w:top w:val="nil"/>
          <w:left w:val="nil"/>
          <w:bottom w:val="nil"/>
          <w:right w:val="nil"/>
          <w:between w:val="nil"/>
        </w:pBdr>
        <w:spacing w:line="360" w:lineRule="auto"/>
        <w:rPr>
          <w:color w:val="000000"/>
        </w:rPr>
      </w:pPr>
      <w:r>
        <w:rPr>
          <w:color w:val="000000"/>
        </w:rPr>
        <w:t>Increase in treatment for those at highest risk of harm</w:t>
      </w:r>
    </w:p>
    <w:p w14:paraId="6B7841D1" w14:textId="77777777" w:rsidR="006F418B" w:rsidRDefault="006F418B" w:rsidP="00267B09">
      <w:pPr>
        <w:spacing w:line="360" w:lineRule="auto"/>
        <w:ind w:left="360"/>
      </w:pPr>
    </w:p>
    <w:p w14:paraId="7F81EB01" w14:textId="77777777" w:rsidR="006F418B" w:rsidRDefault="006F418B" w:rsidP="00267B09">
      <w:pPr>
        <w:spacing w:line="360" w:lineRule="auto"/>
      </w:pPr>
      <w:r>
        <w:t xml:space="preserve">The following sections will describe the policy, the methods used in the evaluation of its impact, including key assumptions, and the estimated impact of the policy. </w:t>
      </w:r>
    </w:p>
    <w:p w14:paraId="0B641CD2" w14:textId="77777777" w:rsidR="00367C05" w:rsidRDefault="00367C05" w:rsidP="00267B09">
      <w:pPr>
        <w:spacing w:line="360" w:lineRule="auto"/>
      </w:pPr>
    </w:p>
    <w:p w14:paraId="47596650" w14:textId="77777777" w:rsidR="00367C05" w:rsidRDefault="00367C05" w:rsidP="00267B09">
      <w:pPr>
        <w:spacing w:line="360" w:lineRule="auto"/>
      </w:pPr>
    </w:p>
    <w:p w14:paraId="5DA6E7D2" w14:textId="77777777" w:rsidR="00367C05" w:rsidRDefault="00367C05" w:rsidP="00267B09">
      <w:pPr>
        <w:spacing w:line="360" w:lineRule="auto"/>
      </w:pPr>
    </w:p>
    <w:p w14:paraId="36217DC6" w14:textId="77777777" w:rsidR="006F418B" w:rsidRDefault="006F418B" w:rsidP="00657824">
      <w:pPr>
        <w:pStyle w:val="Heading2"/>
      </w:pPr>
      <w:bookmarkStart w:id="520" w:name="_Toc207195994"/>
      <w:r>
        <w:t>Policy 1: A ban on offshore online EGMs</w:t>
      </w:r>
      <w:bookmarkEnd w:id="520"/>
    </w:p>
    <w:p w14:paraId="3DE2EADF" w14:textId="77777777" w:rsidR="006F418B" w:rsidRDefault="006F418B" w:rsidP="00C30E1A">
      <w:pPr>
        <w:pStyle w:val="Heading3"/>
      </w:pPr>
      <w:bookmarkStart w:id="521" w:name="_Toc207195995"/>
      <w:r>
        <w:t>Introduction</w:t>
      </w:r>
      <w:bookmarkEnd w:id="521"/>
    </w:p>
    <w:p w14:paraId="455953F7" w14:textId="49027DFD" w:rsidR="006F418B" w:rsidRDefault="006F418B" w:rsidP="00267B09">
      <w:pPr>
        <w:spacing w:line="360" w:lineRule="auto"/>
      </w:pPr>
      <w:r>
        <w:t>Offshore (online) EGMs are accessible to individuals in New Zealand. This report found that offshore EGMs are the largest contributor to gambling-related harm in New Zealand, suggesting they may be of particular concern to policymakers. To date, no evaluations have been conducted on the effects of banning offshore EGMs in other jurisdictions. In this section, the potential impact of a hypothetical ban on offshore EGMs on total gambling harm in New Zealand</w:t>
      </w:r>
      <w:r w:rsidR="00590FFA">
        <w:t xml:space="preserve"> is estimated</w:t>
      </w:r>
      <w:r>
        <w:t>, accounting for the impact on government tax revenue.</w:t>
      </w:r>
    </w:p>
    <w:p w14:paraId="0EF6F43D" w14:textId="6C7A1DB2" w:rsidR="006F418B" w:rsidRPr="00560DCD" w:rsidRDefault="00E62DF4" w:rsidP="00BB3C33">
      <w:pPr>
        <w:pStyle w:val="NormalWeb"/>
        <w:spacing w:line="360" w:lineRule="auto"/>
      </w:pPr>
      <w:r w:rsidRPr="00BB3C33">
        <w:t xml:space="preserve">It is important to acknowledge that a regulatory ban on specific online products is unlikely to eliminate all associated harm. Evidence from other jurisdictions shows there is a significant risk of 'leakage,' where consumer activity is displaced to a 'black market' of unlicensed and unregulated operators </w:t>
      </w:r>
      <w:r w:rsidRPr="00BB3C33">
        <w:rPr>
          <w:rFonts w:eastAsia="Arial"/>
        </w:rPr>
        <w:t>(H2, 2023)</w:t>
      </w:r>
      <w:r w:rsidRPr="00BB3C33">
        <w:t xml:space="preserve">. This could potentially expose some individuals to different or even greater harms. In recognition of this, the cost-saving estimate in this analysis is not based on a total eradication of harm. The model assumes a 20% substitution effect, meaning that a portion of the expenditure and associated harm from banned offshore EGMs would be displaced to other gambling forms, including both legal domestic products and illegal </w:t>
      </w:r>
      <w:r w:rsidR="00367C05" w:rsidRPr="00BB3C33">
        <w:t>black-market</w:t>
      </w:r>
      <w:r w:rsidRPr="00BB3C33">
        <w:t xml:space="preserve"> platforms.</w:t>
      </w:r>
    </w:p>
    <w:p w14:paraId="330482E8" w14:textId="77777777" w:rsidR="006F418B" w:rsidRDefault="006F418B" w:rsidP="00C30E1A">
      <w:pPr>
        <w:pStyle w:val="Heading3"/>
      </w:pPr>
      <w:bookmarkStart w:id="522" w:name="_Toc207195996"/>
      <w:r>
        <w:t>Methods</w:t>
      </w:r>
      <w:bookmarkEnd w:id="522"/>
    </w:p>
    <w:p w14:paraId="4F1EC157" w14:textId="4A549764" w:rsidR="006F418B" w:rsidRDefault="00590FFA" w:rsidP="00267B09">
      <w:pPr>
        <w:spacing w:line="360" w:lineRule="auto"/>
      </w:pPr>
      <w:r>
        <w:t>A</w:t>
      </w:r>
      <w:r w:rsidR="00E62DF4">
        <w:t>s discussed, a</w:t>
      </w:r>
      <w:r w:rsidR="006F418B">
        <w:t>n 80% reduction to all cost forms attributable to offshore EGMs</w:t>
      </w:r>
      <w:r>
        <w:t xml:space="preserve"> was applied</w:t>
      </w:r>
      <w:r w:rsidR="006F418B">
        <w:t xml:space="preserve">, allowing for a 20% substitution of harm to other forms of gambling, including illegal offshore platforms that might continue after the implementation of the policy. Due to how the cost of harm attributable to each form of gambling is calculated, applying a reduction in the cost attributable to online EGMs only impacts tangible harms, and excludes governmental longer-term life course costs. To reflect a substitution to other taxed gambling forms, the tax revenue figures </w:t>
      </w:r>
      <w:r>
        <w:t xml:space="preserve">were reduced </w:t>
      </w:r>
      <w:r w:rsidR="006F418B">
        <w:t xml:space="preserve">by 80%. The results are presented as changes in both total costs attributable to offshore EGMs and the total cost of gambling harm in New Zealand. </w:t>
      </w:r>
    </w:p>
    <w:p w14:paraId="69EC163F" w14:textId="77777777" w:rsidR="006F418B" w:rsidRDefault="006F418B" w:rsidP="00267B09">
      <w:pPr>
        <w:spacing w:line="360" w:lineRule="auto"/>
      </w:pPr>
    </w:p>
    <w:p w14:paraId="211E6174" w14:textId="77777777" w:rsidR="006F418B" w:rsidRDefault="006F418B" w:rsidP="00267B09">
      <w:pPr>
        <w:spacing w:line="360" w:lineRule="auto"/>
      </w:pPr>
      <w:r>
        <w:t>Due to the lack of data on the number of individuals reporting using offshore EGMs, our results cannot be disaggregated by population group. The cost reduction is applied to all cost forms including excess spend, harms to people who gamble and harms to others. As such, this estimate should be viewed as a preliminary indication of the potential impact of the intervention rather than a definitive estimate.</w:t>
      </w:r>
    </w:p>
    <w:p w14:paraId="258D6E91" w14:textId="77777777" w:rsidR="006F418B" w:rsidRDefault="006F418B" w:rsidP="00C30E1A">
      <w:pPr>
        <w:pStyle w:val="Heading3"/>
      </w:pPr>
      <w:bookmarkStart w:id="523" w:name="_Toc207195997"/>
      <w:r>
        <w:t>Results</w:t>
      </w:r>
      <w:bookmarkEnd w:id="523"/>
    </w:p>
    <w:p w14:paraId="3DD778D5" w14:textId="2A40BC7C" w:rsidR="006F418B" w:rsidRDefault="006F418B" w:rsidP="00267B09">
      <w:pPr>
        <w:spacing w:line="360" w:lineRule="auto"/>
      </w:pPr>
      <w:r>
        <w:t xml:space="preserve">Table </w:t>
      </w:r>
      <w:r w:rsidR="00267B09">
        <w:t>35</w:t>
      </w:r>
      <w:r>
        <w:t xml:space="preserve"> presents a detailed breakdown of the cost calculations associated with the hypothetical ban. A hypothetical ban on offshore EGMs in New Zealand is estimated to reduce the total cost of gambling </w:t>
      </w:r>
      <w:r w:rsidR="005E0B1E">
        <w:t xml:space="preserve">problems </w:t>
      </w:r>
      <w:r>
        <w:t>attributable to this form by $1.26 billion. This substantial decline is primarily driven by the significant contribution of offshore EGMs to gambling harm in New Zealand.</w:t>
      </w:r>
    </w:p>
    <w:p w14:paraId="0E435A26" w14:textId="77777777" w:rsidR="006F418B" w:rsidRDefault="006F418B" w:rsidP="00267B09">
      <w:pPr>
        <w:spacing w:line="360" w:lineRule="auto"/>
      </w:pPr>
    </w:p>
    <w:p w14:paraId="12C5069F" w14:textId="4A349E98" w:rsidR="00267B09" w:rsidRDefault="00267B09" w:rsidP="00DB094D">
      <w:pPr>
        <w:pStyle w:val="Caption"/>
      </w:pPr>
      <w:bookmarkStart w:id="524" w:name="_Toc207619077"/>
      <w:r>
        <w:t xml:space="preserve">Table </w:t>
      </w:r>
      <w:r>
        <w:fldChar w:fldCharType="begin"/>
      </w:r>
      <w:r>
        <w:instrText xml:space="preserve"> SEQ Table \* ARABIC </w:instrText>
      </w:r>
      <w:r>
        <w:fldChar w:fldCharType="separate"/>
      </w:r>
      <w:r w:rsidR="00986A0D">
        <w:rPr>
          <w:noProof/>
        </w:rPr>
        <w:t>35</w:t>
      </w:r>
      <w:r>
        <w:fldChar w:fldCharType="end"/>
      </w:r>
      <w:r w:rsidR="00684C41">
        <w:t>.</w:t>
      </w:r>
      <w:r>
        <w:t xml:space="preserve"> </w:t>
      </w:r>
      <w:r w:rsidRPr="00C454FC">
        <w:t>Detailed changes to total costs following a hypothetical ban on offshore online EGMs</w:t>
      </w:r>
      <w:bookmarkEnd w:id="524"/>
    </w:p>
    <w:tbl>
      <w:tblPr>
        <w:tblStyle w:val="TableGridLight"/>
        <w:tblW w:w="9019" w:type="dxa"/>
        <w:tblLayout w:type="fixed"/>
        <w:tblLook w:val="0600" w:firstRow="0" w:lastRow="0" w:firstColumn="0" w:lastColumn="0" w:noHBand="1" w:noVBand="1"/>
      </w:tblPr>
      <w:tblGrid>
        <w:gridCol w:w="5807"/>
        <w:gridCol w:w="1359"/>
        <w:gridCol w:w="1853"/>
      </w:tblGrid>
      <w:tr w:rsidR="006F418B" w:rsidRPr="00657824" w14:paraId="05DDAAB0" w14:textId="77777777" w:rsidTr="00841D8C">
        <w:trPr>
          <w:trHeight w:val="397"/>
        </w:trPr>
        <w:tc>
          <w:tcPr>
            <w:tcW w:w="5807" w:type="dxa"/>
            <w:vMerge w:val="restart"/>
            <w:shd w:val="clear" w:color="auto" w:fill="F2F2F2" w:themeFill="background1" w:themeFillShade="F2"/>
            <w:vAlign w:val="center"/>
          </w:tcPr>
          <w:p w14:paraId="400C2053" w14:textId="77777777" w:rsidR="006F418B" w:rsidRPr="00657824" w:rsidRDefault="006F418B" w:rsidP="00841D8C">
            <w:pPr>
              <w:rPr>
                <w:b/>
                <w:sz w:val="20"/>
                <w:szCs w:val="20"/>
              </w:rPr>
            </w:pPr>
            <w:r w:rsidRPr="00657824">
              <w:rPr>
                <w:b/>
                <w:sz w:val="20"/>
                <w:szCs w:val="20"/>
              </w:rPr>
              <w:t>Cost Element</w:t>
            </w:r>
          </w:p>
        </w:tc>
        <w:tc>
          <w:tcPr>
            <w:tcW w:w="1359" w:type="dxa"/>
            <w:vMerge w:val="restart"/>
            <w:shd w:val="clear" w:color="auto" w:fill="F2F2F2" w:themeFill="background1" w:themeFillShade="F2"/>
          </w:tcPr>
          <w:p w14:paraId="2C40F562" w14:textId="77777777" w:rsidR="006F418B" w:rsidRPr="00657824" w:rsidRDefault="006F418B" w:rsidP="00BB3C33">
            <w:pPr>
              <w:rPr>
                <w:b/>
                <w:sz w:val="20"/>
                <w:szCs w:val="20"/>
              </w:rPr>
            </w:pPr>
            <w:r w:rsidRPr="00657824">
              <w:rPr>
                <w:b/>
                <w:sz w:val="20"/>
                <w:szCs w:val="20"/>
              </w:rPr>
              <w:t xml:space="preserve"> </w:t>
            </w:r>
          </w:p>
        </w:tc>
        <w:tc>
          <w:tcPr>
            <w:tcW w:w="1853" w:type="dxa"/>
            <w:vMerge w:val="restart"/>
            <w:shd w:val="clear" w:color="auto" w:fill="F2F2F2" w:themeFill="background1" w:themeFillShade="F2"/>
            <w:vAlign w:val="center"/>
          </w:tcPr>
          <w:p w14:paraId="53127349" w14:textId="77777777" w:rsidR="006F418B" w:rsidRPr="00657824" w:rsidRDefault="006F418B" w:rsidP="00BB3C33">
            <w:pPr>
              <w:jc w:val="right"/>
              <w:rPr>
                <w:b/>
                <w:sz w:val="20"/>
                <w:szCs w:val="20"/>
              </w:rPr>
            </w:pPr>
            <w:r w:rsidRPr="00657824">
              <w:rPr>
                <w:b/>
                <w:sz w:val="20"/>
                <w:szCs w:val="20"/>
              </w:rPr>
              <w:t>Total</w:t>
            </w:r>
          </w:p>
        </w:tc>
      </w:tr>
      <w:tr w:rsidR="006F418B" w:rsidRPr="00657824" w14:paraId="49905987" w14:textId="77777777" w:rsidTr="00841D8C">
        <w:trPr>
          <w:trHeight w:val="230"/>
        </w:trPr>
        <w:tc>
          <w:tcPr>
            <w:tcW w:w="5807" w:type="dxa"/>
            <w:vMerge/>
            <w:shd w:val="clear" w:color="auto" w:fill="F2F2F2" w:themeFill="background1" w:themeFillShade="F2"/>
          </w:tcPr>
          <w:p w14:paraId="23E9DC62" w14:textId="77777777" w:rsidR="006F418B" w:rsidRPr="00657824" w:rsidRDefault="006F418B" w:rsidP="00560DCD">
            <w:pPr>
              <w:widowControl w:val="0"/>
              <w:pBdr>
                <w:top w:val="nil"/>
                <w:left w:val="nil"/>
                <w:bottom w:val="nil"/>
                <w:right w:val="nil"/>
                <w:between w:val="nil"/>
              </w:pBdr>
              <w:rPr>
                <w:b/>
                <w:sz w:val="20"/>
                <w:szCs w:val="20"/>
              </w:rPr>
            </w:pPr>
          </w:p>
        </w:tc>
        <w:tc>
          <w:tcPr>
            <w:tcW w:w="1359" w:type="dxa"/>
            <w:vMerge/>
            <w:shd w:val="clear" w:color="auto" w:fill="F2F2F2" w:themeFill="background1" w:themeFillShade="F2"/>
          </w:tcPr>
          <w:p w14:paraId="5DB86927" w14:textId="77777777" w:rsidR="006F418B" w:rsidRPr="00657824" w:rsidRDefault="006F418B" w:rsidP="00560DCD">
            <w:pPr>
              <w:widowControl w:val="0"/>
              <w:pBdr>
                <w:top w:val="nil"/>
                <w:left w:val="nil"/>
                <w:bottom w:val="nil"/>
                <w:right w:val="nil"/>
                <w:between w:val="nil"/>
              </w:pBdr>
              <w:rPr>
                <w:b/>
                <w:sz w:val="20"/>
                <w:szCs w:val="20"/>
              </w:rPr>
            </w:pPr>
          </w:p>
        </w:tc>
        <w:tc>
          <w:tcPr>
            <w:tcW w:w="1853" w:type="dxa"/>
            <w:vMerge/>
            <w:shd w:val="clear" w:color="auto" w:fill="F2F2F2" w:themeFill="background1" w:themeFillShade="F2"/>
            <w:vAlign w:val="center"/>
          </w:tcPr>
          <w:p w14:paraId="06A6D6F0" w14:textId="77777777" w:rsidR="006F418B" w:rsidRPr="00657824" w:rsidRDefault="006F418B" w:rsidP="00BB3C33">
            <w:pPr>
              <w:widowControl w:val="0"/>
              <w:pBdr>
                <w:top w:val="nil"/>
                <w:left w:val="nil"/>
                <w:bottom w:val="nil"/>
                <w:right w:val="nil"/>
                <w:between w:val="nil"/>
              </w:pBdr>
              <w:jc w:val="right"/>
              <w:rPr>
                <w:b/>
                <w:sz w:val="20"/>
                <w:szCs w:val="20"/>
              </w:rPr>
            </w:pPr>
          </w:p>
        </w:tc>
      </w:tr>
      <w:tr w:rsidR="00560DCD" w:rsidRPr="00657824" w14:paraId="68AC36F3" w14:textId="77777777" w:rsidTr="00841D8C">
        <w:trPr>
          <w:trHeight w:val="397"/>
        </w:trPr>
        <w:tc>
          <w:tcPr>
            <w:tcW w:w="5807" w:type="dxa"/>
            <w:vAlign w:val="center"/>
          </w:tcPr>
          <w:p w14:paraId="41C76D8E" w14:textId="730139D0" w:rsidR="00560DCD" w:rsidRPr="00657824" w:rsidRDefault="00560DCD" w:rsidP="00BB3C33">
            <w:pPr>
              <w:rPr>
                <w:sz w:val="20"/>
                <w:szCs w:val="20"/>
              </w:rPr>
            </w:pPr>
            <w:r w:rsidRPr="00657824">
              <w:rPr>
                <w:sz w:val="20"/>
                <w:szCs w:val="20"/>
              </w:rPr>
              <w:t>Total cost attributed to offshore online EGMs (pre-ban) (Table 8)</w:t>
            </w:r>
          </w:p>
        </w:tc>
        <w:tc>
          <w:tcPr>
            <w:tcW w:w="1359" w:type="dxa"/>
            <w:vAlign w:val="center"/>
          </w:tcPr>
          <w:p w14:paraId="1AC2AE70" w14:textId="77777777" w:rsidR="00560DCD" w:rsidRPr="00657824" w:rsidRDefault="00560DCD" w:rsidP="00BB3C33">
            <w:pPr>
              <w:rPr>
                <w:sz w:val="20"/>
                <w:szCs w:val="20"/>
              </w:rPr>
            </w:pPr>
            <w:r w:rsidRPr="00657824">
              <w:rPr>
                <w:sz w:val="20"/>
                <w:szCs w:val="20"/>
              </w:rPr>
              <w:t>a</w:t>
            </w:r>
          </w:p>
        </w:tc>
        <w:tc>
          <w:tcPr>
            <w:tcW w:w="1853" w:type="dxa"/>
            <w:vAlign w:val="center"/>
          </w:tcPr>
          <w:p w14:paraId="39AACDF6" w14:textId="108B9CC5" w:rsidR="00560DCD" w:rsidRPr="00657824" w:rsidRDefault="00560DCD" w:rsidP="00BB3C33">
            <w:pPr>
              <w:jc w:val="right"/>
              <w:rPr>
                <w:sz w:val="20"/>
                <w:szCs w:val="20"/>
              </w:rPr>
            </w:pPr>
            <w:r w:rsidRPr="00657824">
              <w:rPr>
                <w:color w:val="000000"/>
                <w:sz w:val="20"/>
                <w:szCs w:val="20"/>
              </w:rPr>
              <w:t>$1,571,104,716</w:t>
            </w:r>
          </w:p>
        </w:tc>
      </w:tr>
      <w:tr w:rsidR="00560DCD" w:rsidRPr="00657824" w14:paraId="49F8B42D" w14:textId="77777777" w:rsidTr="00841D8C">
        <w:trPr>
          <w:trHeight w:val="397"/>
        </w:trPr>
        <w:tc>
          <w:tcPr>
            <w:tcW w:w="5807" w:type="dxa"/>
            <w:vAlign w:val="center"/>
          </w:tcPr>
          <w:p w14:paraId="31C4E74A" w14:textId="77777777" w:rsidR="00560DCD" w:rsidRPr="00657824" w:rsidRDefault="00560DCD" w:rsidP="00BB3C33">
            <w:pPr>
              <w:rPr>
                <w:sz w:val="20"/>
                <w:szCs w:val="20"/>
              </w:rPr>
            </w:pPr>
            <w:r w:rsidRPr="00657824">
              <w:rPr>
                <w:sz w:val="20"/>
                <w:szCs w:val="20"/>
              </w:rPr>
              <w:t>Percentage reduction in offshore online EGM costs (post-ban)</w:t>
            </w:r>
          </w:p>
        </w:tc>
        <w:tc>
          <w:tcPr>
            <w:tcW w:w="1359" w:type="dxa"/>
            <w:vAlign w:val="center"/>
          </w:tcPr>
          <w:p w14:paraId="69E9C1A5" w14:textId="77777777" w:rsidR="00560DCD" w:rsidRPr="00657824" w:rsidRDefault="00560DCD" w:rsidP="00BB3C33">
            <w:pPr>
              <w:rPr>
                <w:sz w:val="20"/>
                <w:szCs w:val="20"/>
              </w:rPr>
            </w:pPr>
            <w:r w:rsidRPr="00657824">
              <w:rPr>
                <w:sz w:val="20"/>
                <w:szCs w:val="20"/>
              </w:rPr>
              <w:t>b</w:t>
            </w:r>
          </w:p>
        </w:tc>
        <w:tc>
          <w:tcPr>
            <w:tcW w:w="1853" w:type="dxa"/>
            <w:vAlign w:val="center"/>
          </w:tcPr>
          <w:p w14:paraId="47B6C6E2" w14:textId="5709DC20" w:rsidR="00560DCD" w:rsidRPr="00657824" w:rsidRDefault="00560DCD" w:rsidP="00BB3C33">
            <w:pPr>
              <w:jc w:val="right"/>
              <w:rPr>
                <w:sz w:val="20"/>
                <w:szCs w:val="20"/>
              </w:rPr>
            </w:pPr>
            <w:r w:rsidRPr="00657824">
              <w:rPr>
                <w:color w:val="000000"/>
                <w:sz w:val="20"/>
                <w:szCs w:val="20"/>
              </w:rPr>
              <w:t>80%</w:t>
            </w:r>
          </w:p>
        </w:tc>
      </w:tr>
      <w:tr w:rsidR="00560DCD" w:rsidRPr="00657824" w14:paraId="49179790" w14:textId="77777777" w:rsidTr="00841D8C">
        <w:trPr>
          <w:trHeight w:val="397"/>
        </w:trPr>
        <w:tc>
          <w:tcPr>
            <w:tcW w:w="5807" w:type="dxa"/>
            <w:vAlign w:val="center"/>
          </w:tcPr>
          <w:p w14:paraId="652507A6" w14:textId="77777777" w:rsidR="00560DCD" w:rsidRPr="00657824" w:rsidRDefault="00560DCD" w:rsidP="00BB3C33">
            <w:pPr>
              <w:rPr>
                <w:sz w:val="20"/>
                <w:szCs w:val="20"/>
              </w:rPr>
            </w:pPr>
            <w:r w:rsidRPr="00657824">
              <w:rPr>
                <w:sz w:val="20"/>
                <w:szCs w:val="20"/>
              </w:rPr>
              <w:t>Reduction in offshore online EGM costs (post-ban)</w:t>
            </w:r>
          </w:p>
        </w:tc>
        <w:tc>
          <w:tcPr>
            <w:tcW w:w="1359" w:type="dxa"/>
            <w:vAlign w:val="center"/>
          </w:tcPr>
          <w:p w14:paraId="58A35B52" w14:textId="304E980F" w:rsidR="00560DCD" w:rsidRPr="00657824" w:rsidRDefault="00560DCD" w:rsidP="00BB3C33">
            <w:pPr>
              <w:rPr>
                <w:sz w:val="20"/>
                <w:szCs w:val="20"/>
              </w:rPr>
            </w:pPr>
            <w:r w:rsidRPr="00657824">
              <w:rPr>
                <w:sz w:val="20"/>
                <w:szCs w:val="20"/>
              </w:rPr>
              <w:t>c = a * b</w:t>
            </w:r>
          </w:p>
        </w:tc>
        <w:tc>
          <w:tcPr>
            <w:tcW w:w="1853" w:type="dxa"/>
            <w:vAlign w:val="center"/>
          </w:tcPr>
          <w:p w14:paraId="0DF347D6" w14:textId="522C4885" w:rsidR="00560DCD" w:rsidRPr="00657824" w:rsidRDefault="00560DCD" w:rsidP="00BB3C33">
            <w:pPr>
              <w:jc w:val="right"/>
              <w:rPr>
                <w:sz w:val="20"/>
                <w:szCs w:val="20"/>
              </w:rPr>
            </w:pPr>
            <w:r w:rsidRPr="00657824">
              <w:rPr>
                <w:color w:val="000000"/>
                <w:sz w:val="20"/>
                <w:szCs w:val="20"/>
              </w:rPr>
              <w:t>$1,256,883,773</w:t>
            </w:r>
          </w:p>
        </w:tc>
      </w:tr>
      <w:tr w:rsidR="00560DCD" w:rsidRPr="00657824" w14:paraId="342A0694" w14:textId="77777777" w:rsidTr="00841D8C">
        <w:trPr>
          <w:trHeight w:val="397"/>
        </w:trPr>
        <w:tc>
          <w:tcPr>
            <w:tcW w:w="5807" w:type="dxa"/>
            <w:vAlign w:val="center"/>
          </w:tcPr>
          <w:p w14:paraId="291E3958" w14:textId="77777777" w:rsidR="00560DCD" w:rsidRPr="00657824" w:rsidRDefault="00560DCD" w:rsidP="00BB3C33">
            <w:pPr>
              <w:rPr>
                <w:sz w:val="20"/>
                <w:szCs w:val="20"/>
              </w:rPr>
            </w:pPr>
            <w:r w:rsidRPr="00657824">
              <w:rPr>
                <w:sz w:val="20"/>
                <w:szCs w:val="20"/>
              </w:rPr>
              <w:t>Total cost attributed to offshore online EGMs (post-ban)</w:t>
            </w:r>
          </w:p>
        </w:tc>
        <w:tc>
          <w:tcPr>
            <w:tcW w:w="1359" w:type="dxa"/>
            <w:vAlign w:val="center"/>
          </w:tcPr>
          <w:p w14:paraId="078AAA22" w14:textId="07E704B1" w:rsidR="00560DCD" w:rsidRPr="00657824" w:rsidRDefault="00560DCD" w:rsidP="00BB3C33">
            <w:pPr>
              <w:rPr>
                <w:sz w:val="20"/>
                <w:szCs w:val="20"/>
              </w:rPr>
            </w:pPr>
            <w:r w:rsidRPr="00657824">
              <w:rPr>
                <w:sz w:val="20"/>
                <w:szCs w:val="20"/>
              </w:rPr>
              <w:t>d = a - c</w:t>
            </w:r>
          </w:p>
        </w:tc>
        <w:tc>
          <w:tcPr>
            <w:tcW w:w="1853" w:type="dxa"/>
            <w:vAlign w:val="center"/>
          </w:tcPr>
          <w:p w14:paraId="6DAD8090" w14:textId="44AB9CC5" w:rsidR="00560DCD" w:rsidRPr="00657824" w:rsidRDefault="00560DCD" w:rsidP="00BB3C33">
            <w:pPr>
              <w:jc w:val="right"/>
              <w:rPr>
                <w:sz w:val="20"/>
                <w:szCs w:val="20"/>
              </w:rPr>
            </w:pPr>
            <w:r w:rsidRPr="00657824">
              <w:rPr>
                <w:color w:val="000000"/>
                <w:sz w:val="20"/>
                <w:szCs w:val="20"/>
              </w:rPr>
              <w:t>$314,220,943</w:t>
            </w:r>
          </w:p>
        </w:tc>
      </w:tr>
      <w:tr w:rsidR="00560DCD" w:rsidRPr="00657824" w14:paraId="3A105B43" w14:textId="77777777" w:rsidTr="00841D8C">
        <w:trPr>
          <w:trHeight w:val="397"/>
        </w:trPr>
        <w:tc>
          <w:tcPr>
            <w:tcW w:w="5807" w:type="dxa"/>
            <w:vAlign w:val="center"/>
          </w:tcPr>
          <w:p w14:paraId="2D9064D9" w14:textId="06A9FA53" w:rsidR="00560DCD" w:rsidRPr="00657824" w:rsidRDefault="00560DCD" w:rsidP="00841D8C">
            <w:pPr>
              <w:rPr>
                <w:sz w:val="20"/>
                <w:szCs w:val="20"/>
              </w:rPr>
            </w:pPr>
            <w:r w:rsidRPr="00657824">
              <w:rPr>
                <w:sz w:val="20"/>
                <w:szCs w:val="20"/>
              </w:rPr>
              <w:t xml:space="preserve">Total cost of gambling problems (pre-ban) (Table </w:t>
            </w:r>
            <w:r w:rsidR="005E7410" w:rsidRPr="00657824">
              <w:rPr>
                <w:sz w:val="20"/>
                <w:szCs w:val="20"/>
              </w:rPr>
              <w:t>5</w:t>
            </w:r>
            <w:r w:rsidRPr="00657824">
              <w:rPr>
                <w:sz w:val="20"/>
                <w:szCs w:val="20"/>
              </w:rPr>
              <w:t>)</w:t>
            </w:r>
          </w:p>
        </w:tc>
        <w:tc>
          <w:tcPr>
            <w:tcW w:w="1359" w:type="dxa"/>
            <w:vAlign w:val="center"/>
          </w:tcPr>
          <w:p w14:paraId="1779A988" w14:textId="41F503F1" w:rsidR="00560DCD" w:rsidRPr="00657824" w:rsidRDefault="00560DCD" w:rsidP="00BB3C33">
            <w:pPr>
              <w:rPr>
                <w:sz w:val="20"/>
                <w:szCs w:val="20"/>
              </w:rPr>
            </w:pPr>
            <w:r w:rsidRPr="00657824">
              <w:rPr>
                <w:sz w:val="20"/>
                <w:szCs w:val="20"/>
              </w:rPr>
              <w:t>e</w:t>
            </w:r>
          </w:p>
        </w:tc>
        <w:tc>
          <w:tcPr>
            <w:tcW w:w="1853" w:type="dxa"/>
            <w:vAlign w:val="center"/>
          </w:tcPr>
          <w:p w14:paraId="316991EF" w14:textId="6FA4FA75" w:rsidR="00560DCD" w:rsidRPr="00657824" w:rsidRDefault="00560DCD" w:rsidP="00BB3C33">
            <w:pPr>
              <w:jc w:val="right"/>
              <w:rPr>
                <w:sz w:val="20"/>
                <w:szCs w:val="20"/>
              </w:rPr>
            </w:pPr>
            <w:r w:rsidRPr="00657824">
              <w:rPr>
                <w:color w:val="000000"/>
                <w:sz w:val="20"/>
                <w:szCs w:val="20"/>
              </w:rPr>
              <w:t>$4,218,927,498</w:t>
            </w:r>
          </w:p>
        </w:tc>
      </w:tr>
      <w:tr w:rsidR="00560DCD" w:rsidRPr="00657824" w14:paraId="1359A834" w14:textId="77777777" w:rsidTr="00841D8C">
        <w:trPr>
          <w:trHeight w:val="397"/>
        </w:trPr>
        <w:tc>
          <w:tcPr>
            <w:tcW w:w="5807" w:type="dxa"/>
            <w:shd w:val="clear" w:color="auto" w:fill="F2F2F2" w:themeFill="background1" w:themeFillShade="F2"/>
            <w:vAlign w:val="center"/>
          </w:tcPr>
          <w:p w14:paraId="2089E039" w14:textId="77777777" w:rsidR="00560DCD" w:rsidRPr="00657824" w:rsidRDefault="00560DCD" w:rsidP="00BB3C33">
            <w:pPr>
              <w:rPr>
                <w:sz w:val="20"/>
                <w:szCs w:val="20"/>
              </w:rPr>
            </w:pPr>
            <w:r w:rsidRPr="00657824">
              <w:rPr>
                <w:sz w:val="20"/>
                <w:szCs w:val="20"/>
              </w:rPr>
              <w:t>Total cost of gambling problems (post-ban)</w:t>
            </w:r>
          </w:p>
        </w:tc>
        <w:tc>
          <w:tcPr>
            <w:tcW w:w="1359" w:type="dxa"/>
            <w:shd w:val="clear" w:color="auto" w:fill="F2F2F2" w:themeFill="background1" w:themeFillShade="F2"/>
            <w:vAlign w:val="center"/>
          </w:tcPr>
          <w:p w14:paraId="646BBE1A" w14:textId="27294667" w:rsidR="00560DCD" w:rsidRPr="00657824" w:rsidRDefault="00560DCD" w:rsidP="00BB3C33">
            <w:pPr>
              <w:rPr>
                <w:sz w:val="20"/>
                <w:szCs w:val="20"/>
              </w:rPr>
            </w:pPr>
            <w:r w:rsidRPr="00657824">
              <w:rPr>
                <w:sz w:val="20"/>
                <w:szCs w:val="20"/>
              </w:rPr>
              <w:t>f = e - c</w:t>
            </w:r>
          </w:p>
        </w:tc>
        <w:tc>
          <w:tcPr>
            <w:tcW w:w="1853" w:type="dxa"/>
            <w:shd w:val="clear" w:color="auto" w:fill="F2F2F2" w:themeFill="background1" w:themeFillShade="F2"/>
            <w:vAlign w:val="center"/>
          </w:tcPr>
          <w:p w14:paraId="1468CBA8" w14:textId="757EA678" w:rsidR="00560DCD" w:rsidRPr="00657824" w:rsidRDefault="00560DCD" w:rsidP="00BB3C33">
            <w:pPr>
              <w:jc w:val="right"/>
              <w:rPr>
                <w:sz w:val="20"/>
                <w:szCs w:val="20"/>
              </w:rPr>
            </w:pPr>
            <w:r w:rsidRPr="00657824">
              <w:rPr>
                <w:color w:val="000000"/>
                <w:sz w:val="20"/>
                <w:szCs w:val="20"/>
              </w:rPr>
              <w:t>$2,962,043,725</w:t>
            </w:r>
          </w:p>
        </w:tc>
      </w:tr>
      <w:tr w:rsidR="006F418B" w:rsidRPr="00657824" w14:paraId="5DD14C81" w14:textId="77777777" w:rsidTr="00841D8C">
        <w:trPr>
          <w:trHeight w:val="397"/>
        </w:trPr>
        <w:tc>
          <w:tcPr>
            <w:tcW w:w="5807" w:type="dxa"/>
            <w:vAlign w:val="center"/>
          </w:tcPr>
          <w:p w14:paraId="719680E5" w14:textId="77777777" w:rsidR="006F418B" w:rsidRPr="00657824" w:rsidRDefault="006F418B" w:rsidP="00BB3C33">
            <w:pPr>
              <w:rPr>
                <w:sz w:val="20"/>
                <w:szCs w:val="20"/>
              </w:rPr>
            </w:pPr>
            <w:r w:rsidRPr="00657824">
              <w:rPr>
                <w:sz w:val="20"/>
                <w:szCs w:val="20"/>
              </w:rPr>
              <w:t>Percentage reduction in total cost of gambling harms (post-ban)</w:t>
            </w:r>
          </w:p>
        </w:tc>
        <w:tc>
          <w:tcPr>
            <w:tcW w:w="1359" w:type="dxa"/>
            <w:vAlign w:val="center"/>
          </w:tcPr>
          <w:p w14:paraId="35DBBF43" w14:textId="750706EC" w:rsidR="006F418B" w:rsidRPr="00657824" w:rsidRDefault="00560DCD" w:rsidP="00BB3C33">
            <w:pPr>
              <w:rPr>
                <w:sz w:val="20"/>
                <w:szCs w:val="20"/>
              </w:rPr>
            </w:pPr>
            <w:r w:rsidRPr="00657824">
              <w:rPr>
                <w:sz w:val="20"/>
                <w:szCs w:val="20"/>
              </w:rPr>
              <w:t xml:space="preserve">g </w:t>
            </w:r>
            <w:r w:rsidR="006F418B" w:rsidRPr="00657824">
              <w:rPr>
                <w:sz w:val="20"/>
                <w:szCs w:val="20"/>
              </w:rPr>
              <w:t>=</w:t>
            </w:r>
            <w:r w:rsidRPr="00657824">
              <w:rPr>
                <w:sz w:val="20"/>
                <w:szCs w:val="20"/>
              </w:rPr>
              <w:t xml:space="preserve"> </w:t>
            </w:r>
            <w:r w:rsidR="006F418B" w:rsidRPr="00657824">
              <w:rPr>
                <w:sz w:val="20"/>
                <w:szCs w:val="20"/>
              </w:rPr>
              <w:t>(</w:t>
            </w:r>
            <w:r w:rsidRPr="00657824">
              <w:rPr>
                <w:sz w:val="20"/>
                <w:szCs w:val="20"/>
              </w:rPr>
              <w:t xml:space="preserve">e </w:t>
            </w:r>
            <w:r w:rsidR="006F418B" w:rsidRPr="00657824">
              <w:rPr>
                <w:sz w:val="20"/>
                <w:szCs w:val="20"/>
              </w:rPr>
              <w:t>-</w:t>
            </w:r>
            <w:r w:rsidRPr="00657824">
              <w:rPr>
                <w:sz w:val="20"/>
                <w:szCs w:val="20"/>
              </w:rPr>
              <w:t xml:space="preserve"> f</w:t>
            </w:r>
            <w:r w:rsidR="006F418B" w:rsidRPr="00657824">
              <w:rPr>
                <w:sz w:val="20"/>
                <w:szCs w:val="20"/>
              </w:rPr>
              <w:t>)</w:t>
            </w:r>
            <w:r w:rsidRPr="00657824">
              <w:rPr>
                <w:sz w:val="20"/>
                <w:szCs w:val="20"/>
              </w:rPr>
              <w:t xml:space="preserve"> </w:t>
            </w:r>
            <w:r w:rsidR="006F418B" w:rsidRPr="00657824">
              <w:rPr>
                <w:sz w:val="20"/>
                <w:szCs w:val="20"/>
              </w:rPr>
              <w:t>/</w:t>
            </w:r>
            <w:r w:rsidRPr="00657824">
              <w:rPr>
                <w:sz w:val="20"/>
                <w:szCs w:val="20"/>
              </w:rPr>
              <w:t xml:space="preserve"> e</w:t>
            </w:r>
          </w:p>
        </w:tc>
        <w:tc>
          <w:tcPr>
            <w:tcW w:w="1853" w:type="dxa"/>
            <w:vAlign w:val="center"/>
          </w:tcPr>
          <w:p w14:paraId="4A4540BC" w14:textId="77777777" w:rsidR="006F418B" w:rsidRPr="00657824" w:rsidRDefault="006F418B" w:rsidP="00BB3C33">
            <w:pPr>
              <w:jc w:val="right"/>
              <w:rPr>
                <w:sz w:val="20"/>
                <w:szCs w:val="20"/>
              </w:rPr>
            </w:pPr>
            <w:r w:rsidRPr="00657824">
              <w:rPr>
                <w:sz w:val="20"/>
                <w:szCs w:val="20"/>
              </w:rPr>
              <w:t>30%</w:t>
            </w:r>
          </w:p>
        </w:tc>
      </w:tr>
      <w:tr w:rsidR="00F20A1B" w:rsidRPr="00657824" w14:paraId="277AC0D8" w14:textId="77777777" w:rsidTr="00BB3C33">
        <w:trPr>
          <w:trHeight w:val="397"/>
        </w:trPr>
        <w:tc>
          <w:tcPr>
            <w:tcW w:w="9019" w:type="dxa"/>
            <w:gridSpan w:val="3"/>
            <w:vAlign w:val="center"/>
          </w:tcPr>
          <w:p w14:paraId="2D68C5D8" w14:textId="66ABE0C3" w:rsidR="00F20A1B" w:rsidRPr="00657824" w:rsidRDefault="00F20A1B" w:rsidP="00BB3C33">
            <w:pPr>
              <w:rPr>
                <w:sz w:val="20"/>
                <w:szCs w:val="20"/>
              </w:rPr>
            </w:pPr>
            <w:r w:rsidRPr="00657824">
              <w:rPr>
                <w:i/>
                <w:iCs/>
                <w:sz w:val="20"/>
                <w:szCs w:val="20"/>
              </w:rPr>
              <w:t xml:space="preserve">Note: </w:t>
            </w:r>
            <w:r w:rsidRPr="00657824">
              <w:rPr>
                <w:i/>
                <w:iCs/>
                <w:color w:val="242424"/>
                <w:sz w:val="20"/>
                <w:szCs w:val="20"/>
              </w:rPr>
              <w:t>Totals may not match exactly due to rounding.</w:t>
            </w:r>
          </w:p>
        </w:tc>
      </w:tr>
    </w:tbl>
    <w:p w14:paraId="4170D365" w14:textId="085503E4" w:rsidR="00413F6D" w:rsidRDefault="00413F6D" w:rsidP="006F418B">
      <w:pPr>
        <w:rPr>
          <w:b/>
        </w:rPr>
      </w:pPr>
    </w:p>
    <w:p w14:paraId="206A9E10" w14:textId="77777777" w:rsidR="006F418B" w:rsidRDefault="006F418B" w:rsidP="00657824">
      <w:pPr>
        <w:pStyle w:val="Heading2"/>
      </w:pPr>
      <w:bookmarkStart w:id="525" w:name="_heading=h.jg5io0stj277" w:colFirst="0" w:colLast="0"/>
      <w:bookmarkStart w:id="526" w:name="_Toc207195998"/>
      <w:bookmarkEnd w:id="525"/>
      <w:r>
        <w:t>Policy 2: The introduction of loss limits on in-person EGMs</w:t>
      </w:r>
      <w:bookmarkEnd w:id="526"/>
    </w:p>
    <w:p w14:paraId="353E9385" w14:textId="77777777" w:rsidR="006F418B" w:rsidRDefault="006F418B" w:rsidP="00C30E1A">
      <w:pPr>
        <w:pStyle w:val="Heading3"/>
      </w:pPr>
      <w:bookmarkStart w:id="527" w:name="_Toc207195999"/>
      <w:r>
        <w:t>Introduction</w:t>
      </w:r>
      <w:bookmarkEnd w:id="527"/>
    </w:p>
    <w:p w14:paraId="3CAE28A3" w14:textId="6264A672" w:rsidR="006F418B" w:rsidRDefault="006F418B" w:rsidP="00267B09">
      <w:pPr>
        <w:spacing w:line="360" w:lineRule="auto"/>
      </w:pPr>
      <w:r>
        <w:t xml:space="preserve">In 2022, the Australian state of Tasmania announced a mandatory pre-commitment scheme for in-person EGMs, requiring the use of player cards with pre-set loss limits set at AUD $100 daily, $500 monthly, and $5,000 annually. While exemptions to these limits will be permitted, the government has not yet specified how these will be granted. Despite this, EGM loss limits remain a policy of interest, as many jurisdictions have adopted similar measures. </w:t>
      </w:r>
      <w:r w:rsidR="005E0B1E">
        <w:t>C</w:t>
      </w:r>
      <w:r>
        <w:t xml:space="preserve">ost data </w:t>
      </w:r>
      <w:r w:rsidR="005E0B1E">
        <w:t xml:space="preserve">used in this study </w:t>
      </w:r>
      <w:r>
        <w:t>indicate</w:t>
      </w:r>
      <w:r w:rsidR="005E0B1E">
        <w:t>s</w:t>
      </w:r>
      <w:r>
        <w:t xml:space="preserve"> that in New Zealand, in-person EGMs are the second-largest source of gambling-related harm, highlighting the relevance of such interventions for harm reduction. Therefore, in line with the proposed Tasmanian scheme, </w:t>
      </w:r>
      <w:r w:rsidR="00442301">
        <w:t xml:space="preserve">this study estimates </w:t>
      </w:r>
      <w:r>
        <w:t xml:space="preserve">the potential impact of imposing an annual EGM loss limit of AUD $5,000 (approximately NZD $5,400) on overall gambling harm. </w:t>
      </w:r>
    </w:p>
    <w:p w14:paraId="0059CE75" w14:textId="77777777" w:rsidR="006F418B" w:rsidRDefault="006F418B" w:rsidP="00C30E1A">
      <w:pPr>
        <w:pStyle w:val="Heading3"/>
      </w:pPr>
      <w:bookmarkStart w:id="528" w:name="_Toc207196000"/>
      <w:r>
        <w:t>Methods</w:t>
      </w:r>
      <w:bookmarkEnd w:id="528"/>
    </w:p>
    <w:p w14:paraId="10521ECC" w14:textId="54E8F72E" w:rsidR="006F418B" w:rsidRDefault="006F418B" w:rsidP="00267B09">
      <w:pPr>
        <w:spacing w:line="360" w:lineRule="auto"/>
      </w:pPr>
      <w:r>
        <w:t xml:space="preserve">Due to limitations in individual-level survey data on gambling in New Zealand, </w:t>
      </w:r>
      <w:r w:rsidR="005E0B1E">
        <w:t>this study is unable to</w:t>
      </w:r>
      <w:r>
        <w:t xml:space="preserve"> estimate expenditure by specific gambling forms. Instead, aggregate data </w:t>
      </w:r>
      <w:r w:rsidR="005E0B1E">
        <w:t xml:space="preserve">is used </w:t>
      </w:r>
      <w:r>
        <w:t xml:space="preserve">from the Department of Internal Affairs </w:t>
      </w:r>
      <w:r w:rsidR="009A256A">
        <w:t>(n.d)</w:t>
      </w:r>
      <w:r>
        <w:t xml:space="preserve"> to estimate annual per-person expenditure on EGMs, focusing specifically on those located in venues. Our analysis is limited to non-casino venues, as reported loss figures for casinos do not distinguish between EGMs and other gambling activities within those venues. Despite this, casinos represent a much smaller proportion of the licensed EGM market in New Zealand. While there are approximately 960 non-casino venues operating over 13,800 EGMs in New Zealand </w:t>
      </w:r>
      <w:r w:rsidR="009A256A">
        <w:t>(</w:t>
      </w:r>
      <w:r w:rsidR="004F5D07">
        <w:t>Department of Internal Affairs</w:t>
      </w:r>
      <w:r w:rsidR="009A256A">
        <w:t>, 2025)</w:t>
      </w:r>
      <w:r w:rsidR="00C15A16">
        <w:t>,</w:t>
      </w:r>
      <w:r>
        <w:t xml:space="preserve"> there are just 6 licensed casinos (only 5 operating) accounting for around 3,000 EGMs </w:t>
      </w:r>
      <w:r w:rsidR="002A58F1">
        <w:t>(</w:t>
      </w:r>
      <w:r w:rsidR="004F5D07">
        <w:t>Department of Internal Affairs</w:t>
      </w:r>
      <w:r w:rsidR="002A58F1">
        <w:t>, 2021)</w:t>
      </w:r>
      <w:r>
        <w:t>. Furthermore, EGMs located outside of casinos are classified in the highest risk category</w:t>
      </w:r>
      <w:r w:rsidR="002A58F1">
        <w:t xml:space="preserve"> </w:t>
      </w:r>
      <w:r w:rsidR="007606DB">
        <w:rPr>
          <w:noProof/>
          <w:color w:val="000000"/>
        </w:rPr>
        <w:t xml:space="preserve">(Malatest International </w:t>
      </w:r>
      <w:r w:rsidR="00FA384A">
        <w:rPr>
          <w:noProof/>
          <w:color w:val="000000"/>
        </w:rPr>
        <w:t xml:space="preserve">&amp; </w:t>
      </w:r>
      <w:r w:rsidR="007606DB">
        <w:rPr>
          <w:noProof/>
          <w:color w:val="000000"/>
        </w:rPr>
        <w:t>Sapere, 2024)</w:t>
      </w:r>
      <w:r>
        <w:t>, underscoring the potential significance of policies targeting these venues.</w:t>
      </w:r>
    </w:p>
    <w:p w14:paraId="397425BE" w14:textId="77777777" w:rsidR="006F418B" w:rsidRDefault="006F418B" w:rsidP="00267B09">
      <w:pPr>
        <w:spacing w:line="360" w:lineRule="auto"/>
      </w:pPr>
    </w:p>
    <w:p w14:paraId="37D8C39F" w14:textId="10EFA955" w:rsidR="006F418B" w:rsidRDefault="006F418B" w:rsidP="00267B09">
      <w:pPr>
        <w:spacing w:line="360" w:lineRule="auto"/>
      </w:pPr>
      <w:r>
        <w:t>Using estimated losses on</w:t>
      </w:r>
      <w:r w:rsidR="004D5309">
        <w:t xml:space="preserve"> non-casino EGMs</w:t>
      </w:r>
      <w:r>
        <w:t xml:space="preserve"> </w:t>
      </w:r>
      <w:r w:rsidR="004D5309">
        <w:t>(</w:t>
      </w:r>
      <w:r w:rsidR="00494DC3">
        <w:t>Class 4 pokies</w:t>
      </w:r>
      <w:r w:rsidR="004D5309">
        <w:t>)</w:t>
      </w:r>
      <w:r>
        <w:t xml:space="preserve">, the total number of people who report using these in the population, and estimated revenue shares of spend on gambling products split by PGSI group, </w:t>
      </w:r>
      <w:r w:rsidR="005E0B1E">
        <w:t xml:space="preserve">estimations </w:t>
      </w:r>
      <w:r w:rsidR="00442301">
        <w:t>calculate</w:t>
      </w:r>
      <w:r w:rsidR="005E0B1E">
        <w:t xml:space="preserve"> </w:t>
      </w:r>
      <w:r>
        <w:t xml:space="preserve">the impact of imposing EGM loss limits on changes to: </w:t>
      </w:r>
    </w:p>
    <w:p w14:paraId="11D56F66" w14:textId="0CE315FE" w:rsidR="006F418B" w:rsidRDefault="006F418B" w:rsidP="00267B09">
      <w:pPr>
        <w:numPr>
          <w:ilvl w:val="0"/>
          <w:numId w:val="51"/>
        </w:numPr>
        <w:spacing w:line="360" w:lineRule="auto"/>
      </w:pPr>
      <w:r>
        <w:t xml:space="preserve">Per-person annual expenditure on </w:t>
      </w:r>
      <w:r w:rsidR="00494DC3">
        <w:t>Class 4 pokies</w:t>
      </w:r>
    </w:p>
    <w:p w14:paraId="441F5E37" w14:textId="7683DDF8" w:rsidR="006F418B" w:rsidRDefault="006F418B" w:rsidP="00267B09">
      <w:pPr>
        <w:numPr>
          <w:ilvl w:val="0"/>
          <w:numId w:val="51"/>
        </w:numPr>
        <w:spacing w:line="360" w:lineRule="auto"/>
      </w:pPr>
      <w:r>
        <w:t xml:space="preserve">Excess expenditure on </w:t>
      </w:r>
      <w:r w:rsidR="00494DC3">
        <w:t>Class 4 pokies</w:t>
      </w:r>
    </w:p>
    <w:p w14:paraId="026E4CBC" w14:textId="77777777" w:rsidR="006F418B" w:rsidRDefault="006F418B" w:rsidP="00267B09">
      <w:pPr>
        <w:numPr>
          <w:ilvl w:val="0"/>
          <w:numId w:val="51"/>
        </w:numPr>
        <w:spacing w:line="360" w:lineRule="auto"/>
      </w:pPr>
      <w:r>
        <w:t>Total excess expenditure (all forms)</w:t>
      </w:r>
    </w:p>
    <w:p w14:paraId="5C827939" w14:textId="3830C883" w:rsidR="006F418B" w:rsidRDefault="006F418B" w:rsidP="00267B09">
      <w:pPr>
        <w:numPr>
          <w:ilvl w:val="0"/>
          <w:numId w:val="51"/>
        </w:numPr>
        <w:spacing w:line="360" w:lineRule="auto"/>
      </w:pPr>
      <w:r>
        <w:t>Total (</w:t>
      </w:r>
      <w:sdt>
        <w:sdtPr>
          <w:tag w:val="goog_rdk_1"/>
          <w:id w:val="1418201586"/>
        </w:sdtPr>
        <w:sdtEndPr/>
        <w:sdtContent/>
      </w:sdt>
      <w:r>
        <w:t xml:space="preserve">tangible) costs of gambling attributable to </w:t>
      </w:r>
      <w:r w:rsidR="00494DC3">
        <w:t>Class 4 pokies</w:t>
      </w:r>
    </w:p>
    <w:p w14:paraId="14717101" w14:textId="77777777" w:rsidR="006F418B" w:rsidRDefault="006F418B" w:rsidP="00267B09">
      <w:pPr>
        <w:numPr>
          <w:ilvl w:val="0"/>
          <w:numId w:val="51"/>
        </w:numPr>
        <w:spacing w:line="360" w:lineRule="auto"/>
      </w:pPr>
      <w:r>
        <w:t>Total costs of gambling (all forms)</w:t>
      </w:r>
    </w:p>
    <w:p w14:paraId="5F08F00E" w14:textId="77777777" w:rsidR="006F418B" w:rsidRDefault="006F418B" w:rsidP="00267B09">
      <w:pPr>
        <w:spacing w:line="360" w:lineRule="auto"/>
      </w:pPr>
    </w:p>
    <w:p w14:paraId="74EE27DE" w14:textId="042430F2" w:rsidR="006F418B" w:rsidRDefault="006F418B" w:rsidP="00267B09">
      <w:pPr>
        <w:spacing w:line="360" w:lineRule="auto"/>
      </w:pPr>
      <w:r>
        <w:t xml:space="preserve">For this hypothetical policy analysis, </w:t>
      </w:r>
      <w:r w:rsidR="005E0B1E">
        <w:t xml:space="preserve">prevalence survey data was used to simulate a representative population of people who gamble and EGM users in New Zealand. </w:t>
      </w:r>
      <w:r>
        <w:t xml:space="preserve">A right-skewed distribution of EGM expenditure was estimated based on mean losses within each PGSI group, derived from the aggregate expenditure data. </w:t>
      </w:r>
      <w:r w:rsidR="002A58F1">
        <w:t>A</w:t>
      </w:r>
      <w:r>
        <w:t xml:space="preserve">n annual loss limit equal to $5,400 </w:t>
      </w:r>
      <w:r w:rsidR="00EA341D">
        <w:t xml:space="preserve">was applied </w:t>
      </w:r>
      <w:r>
        <w:t xml:space="preserve">and </w:t>
      </w:r>
      <w:r w:rsidR="00EA341D">
        <w:t>the</w:t>
      </w:r>
      <w:r>
        <w:t xml:space="preserve"> impact on overall mean expenditure</w:t>
      </w:r>
      <w:r w:rsidR="00EA341D">
        <w:t xml:space="preserve"> estimated</w:t>
      </w:r>
      <w:r>
        <w:t>. Since the Tasmanian government has not specified the requirements for exemptions to the proposed limits</w:t>
      </w:r>
      <w:r w:rsidR="00C23120">
        <w:t>,</w:t>
      </w:r>
      <w:r w:rsidR="002A58F1">
        <w:t xml:space="preserve"> </w:t>
      </w:r>
      <w:r>
        <w:t xml:space="preserve">previous policy costings from Victoria, Australia </w:t>
      </w:r>
      <w:r w:rsidR="002A58F1">
        <w:t xml:space="preserve">(Browne et al., 2023) informed </w:t>
      </w:r>
      <w:r w:rsidR="00FA384A">
        <w:t xml:space="preserve">an </w:t>
      </w:r>
      <w:r w:rsidR="002A58F1">
        <w:t xml:space="preserve">assumption </w:t>
      </w:r>
      <w:r>
        <w:t xml:space="preserve">that 20% of people who gamble who would have otherwise exceeded $5,400 per year will apply for an exemption and instead spend </w:t>
      </w:r>
      <w:r w:rsidR="005F397F">
        <w:t xml:space="preserve">on-average </w:t>
      </w:r>
      <w:r>
        <w:t>20% more than the annual loss limit ($6,500). This generated a new set of mean expenditure figures (post-loss limits) by PGSI group. All preparatory analysis was conducted in R, the code is available on GitHub (</w:t>
      </w:r>
      <w:hyperlink r:id="rId24">
        <w:r>
          <w:rPr>
            <w:color w:val="0000FF"/>
            <w:u w:val="single"/>
          </w:rPr>
          <w:t>https://github.com/esther-moore/Evaluation-NZ-gambling-policies</w:t>
        </w:r>
      </w:hyperlink>
      <w:r>
        <w:t>).</w:t>
      </w:r>
    </w:p>
    <w:p w14:paraId="6F7C673B" w14:textId="77777777" w:rsidR="006F418B" w:rsidRDefault="006F418B" w:rsidP="00267B09">
      <w:pPr>
        <w:spacing w:line="360" w:lineRule="auto"/>
      </w:pPr>
    </w:p>
    <w:p w14:paraId="0806037A" w14:textId="170BE670" w:rsidR="00AA378A" w:rsidRDefault="00E71F0D" w:rsidP="00267B09">
      <w:pPr>
        <w:spacing w:line="360" w:lineRule="auto"/>
      </w:pPr>
      <w:r w:rsidRPr="00E71F0D">
        <w:t>Excess expenditure calculations include a discount</w:t>
      </w:r>
      <w:r>
        <w:t xml:space="preserve">, the level of which is dependent </w:t>
      </w:r>
      <w:r w:rsidRPr="00E71F0D">
        <w:t xml:space="preserve">on the category of gambling behaviour. Previously, the VCEC (Victorian Competition and Efficiency Commission, 2012) defined excessive gambling expenditure to be the difference between the expenditure of people categorised as non-considered to be gambling at non-problem levels to those spending at levels categorised at each level of the PGSI above this baseline. However, the economic cost of this excess expenditure is not solely identified with gambling harm as people may experience some harms regardless of gambling behaviour. Hence, not all of the difference can be definitively classified as "excess gambling expenditure." To account for this discrepancy some reports have applied a baseline 20% discount, however research including detailed self-reported financial harm information suggests a more nuanced approach is appropriate (Browne et al., 2017). </w:t>
      </w:r>
      <w:r w:rsidR="005F397F">
        <w:t>Browne et al.’s 2017 a</w:t>
      </w:r>
      <w:r w:rsidRPr="00E71F0D">
        <w:t xml:space="preserve">nalysis </w:t>
      </w:r>
      <w:r w:rsidR="005F397F">
        <w:t xml:space="preserve">linking reports of financial harms to PGSI categories </w:t>
      </w:r>
      <w:r w:rsidRPr="00E71F0D">
        <w:t xml:space="preserve">suggested a tiered level of discount to excessive gambling calculations is appropriate. The process is </w:t>
      </w:r>
      <w:r w:rsidR="00D1281D">
        <w:t>detailed</w:t>
      </w:r>
      <w:r w:rsidR="00D1281D" w:rsidRPr="00E71F0D">
        <w:t xml:space="preserve"> </w:t>
      </w:r>
      <w:r w:rsidRPr="00E71F0D">
        <w:t xml:space="preserve">in </w:t>
      </w:r>
      <w:r w:rsidR="005F397F">
        <w:t xml:space="preserve">Section </w:t>
      </w:r>
      <w:r w:rsidRPr="00E71F0D">
        <w:t>5.4.2</w:t>
      </w:r>
      <w:r w:rsidR="00D1281D">
        <w:t xml:space="preserve"> and </w:t>
      </w:r>
      <w:r w:rsidR="005F397F">
        <w:t xml:space="preserve">takes the position </w:t>
      </w:r>
      <w:r w:rsidRPr="00E71F0D">
        <w:t xml:space="preserve">that any benefit from </w:t>
      </w:r>
      <w:r w:rsidR="005F397F">
        <w:t xml:space="preserve">excess </w:t>
      </w:r>
      <w:r w:rsidRPr="00E71F0D">
        <w:t xml:space="preserve">gambling expenditure decreases as gambling occurs at higher risk levels. </w:t>
      </w:r>
      <w:r w:rsidR="00D1281D">
        <w:t>In alignment with Browne et al. (2017),</w:t>
      </w:r>
      <w:r w:rsidRPr="00E71F0D">
        <w:t xml:space="preserve"> a tiered discount was applied to calculations of excess expenditure</w:t>
      </w:r>
      <w:r w:rsidR="00B966EF">
        <w:t xml:space="preserve"> across all categories of the PGSI</w:t>
      </w:r>
      <w:r w:rsidR="00D1281D">
        <w:t>.</w:t>
      </w:r>
    </w:p>
    <w:p w14:paraId="246BFD05" w14:textId="77777777" w:rsidR="00E71F0D" w:rsidRDefault="00E71F0D" w:rsidP="00267B09">
      <w:pPr>
        <w:spacing w:line="360" w:lineRule="auto"/>
      </w:pPr>
    </w:p>
    <w:p w14:paraId="12913EBE" w14:textId="23AAD2EB" w:rsidR="006F418B" w:rsidRDefault="00EA341D" w:rsidP="00267B09">
      <w:pPr>
        <w:spacing w:line="360" w:lineRule="auto"/>
      </w:pPr>
      <w:r>
        <w:t xml:space="preserve">The </w:t>
      </w:r>
      <w:r w:rsidR="006F418B">
        <w:t>percentage reduction in excess expenditure following the implementation of the loss limits</w:t>
      </w:r>
      <w:r>
        <w:t xml:space="preserve"> was then estimated</w:t>
      </w:r>
      <w:r w:rsidR="006F418B">
        <w:t xml:space="preserve">. </w:t>
      </w:r>
      <w:r>
        <w:t>A</w:t>
      </w:r>
      <w:r w:rsidR="006F418B">
        <w:t xml:space="preserve"> 1:1 proportional reduction in harms </w:t>
      </w:r>
      <w:r>
        <w:t xml:space="preserve">was applied, </w:t>
      </w:r>
      <w:r w:rsidR="006F418B">
        <w:t xml:space="preserve">associated with in-venue </w:t>
      </w:r>
      <w:r w:rsidR="00494DC3">
        <w:t>Class 4 pokies</w:t>
      </w:r>
      <w:r w:rsidR="006F418B">
        <w:t>. Whilst this assumption may be viewed as strong, since it does not capture the true variability in the marginal cost of gambling</w:t>
      </w:r>
      <w:r w:rsidR="004918EB">
        <w:t xml:space="preserve"> problems</w:t>
      </w:r>
      <w:r w:rsidR="006F418B">
        <w:t xml:space="preserve">, it is necessary due to data limitations. </w:t>
      </w:r>
      <w:r>
        <w:t>D</w:t>
      </w:r>
      <w:r w:rsidR="006F418B">
        <w:t>etailed information on how expenditure and harm from EGMs vary at different levels of gambling</w:t>
      </w:r>
      <w:r>
        <w:t xml:space="preserve"> was not available</w:t>
      </w:r>
      <w:r w:rsidR="006F418B">
        <w:t>. However,</w:t>
      </w:r>
      <w:r>
        <w:t xml:space="preserve"> it was assumed </w:t>
      </w:r>
      <w:r w:rsidR="006F418B">
        <w:t>that people who gamble at lower risk levels may experience less than one dollar of harm for every one dollar spent, whereas those at higher risk levels may experience more than one dollar of harm for every dollar spent. This effectively balances-out some of the uncertainty. Nonetheless, this approach does not fully eliminate this uncertainty, which makes this most likely an underestimation. As such, these estimates should be regarded as a starting point for understanding the potential impact of EGM loss limits on gambling harm in New Zealand, rather than a definitive estimate, given data limitations. Since data on in-venue EGM participation are available by ethnic group, the results are disaggregated to show differential impact across these groups.</w:t>
      </w:r>
    </w:p>
    <w:p w14:paraId="6920BFAF" w14:textId="77777777" w:rsidR="006F418B" w:rsidRDefault="006F418B" w:rsidP="00C30E1A">
      <w:pPr>
        <w:pStyle w:val="Heading3"/>
      </w:pPr>
      <w:bookmarkStart w:id="529" w:name="_Toc207196001"/>
      <w:r>
        <w:t>Results</w:t>
      </w:r>
      <w:bookmarkEnd w:id="529"/>
    </w:p>
    <w:p w14:paraId="5D13C5F9" w14:textId="77777777" w:rsidR="00C23120" w:rsidRPr="00C23120" w:rsidRDefault="00C23120" w:rsidP="00C23120">
      <w:pPr>
        <w:rPr>
          <w:highlight w:val="yellow"/>
        </w:rPr>
      </w:pPr>
    </w:p>
    <w:p w14:paraId="2866936A" w14:textId="731A1DEB" w:rsidR="006F418B" w:rsidRDefault="006F418B" w:rsidP="00135DF0">
      <w:pPr>
        <w:spacing w:line="360" w:lineRule="auto"/>
      </w:pPr>
      <w:r>
        <w:t xml:space="preserve">Table </w:t>
      </w:r>
      <w:r w:rsidR="00267B09">
        <w:t xml:space="preserve">36 </w:t>
      </w:r>
      <w:r>
        <w:t xml:space="preserve">presents the initial calculations of average expenditure on EGMs by PGSI group using the aggregated data. Table </w:t>
      </w:r>
      <w:r w:rsidR="00267B09">
        <w:t>37</w:t>
      </w:r>
      <w:r>
        <w:t xml:space="preserve"> summarises the change in excess spend following the loss limits, with counterfactual per-person EGM expenditure simulated using the above methodology. </w:t>
      </w:r>
    </w:p>
    <w:p w14:paraId="1D724A29" w14:textId="77777777" w:rsidR="00D86E77" w:rsidRDefault="00D86E77" w:rsidP="00135DF0">
      <w:pPr>
        <w:spacing w:line="360" w:lineRule="auto"/>
      </w:pPr>
    </w:p>
    <w:p w14:paraId="04C6C879" w14:textId="23AA8EC9" w:rsidR="00267B09" w:rsidRDefault="00267B09" w:rsidP="00DB094D">
      <w:pPr>
        <w:pStyle w:val="Caption"/>
      </w:pPr>
      <w:bookmarkStart w:id="530" w:name="_Toc207619078"/>
      <w:r>
        <w:t xml:space="preserve">Table </w:t>
      </w:r>
      <w:r>
        <w:fldChar w:fldCharType="begin"/>
      </w:r>
      <w:r>
        <w:instrText xml:space="preserve"> SEQ Table \* ARABIC </w:instrText>
      </w:r>
      <w:r>
        <w:fldChar w:fldCharType="separate"/>
      </w:r>
      <w:r w:rsidR="00986A0D">
        <w:rPr>
          <w:noProof/>
        </w:rPr>
        <w:t>36</w:t>
      </w:r>
      <w:r>
        <w:fldChar w:fldCharType="end"/>
      </w:r>
      <w:r w:rsidR="00413F6D">
        <w:t>.</w:t>
      </w:r>
      <w:r>
        <w:t xml:space="preserve"> In-person non-casino EGM users and mean cost estimates</w:t>
      </w:r>
      <w:bookmarkEnd w:id="530"/>
    </w:p>
    <w:tbl>
      <w:tblPr>
        <w:tblStyle w:val="TableGridLight"/>
        <w:tblW w:w="9019" w:type="dxa"/>
        <w:tblLayout w:type="fixed"/>
        <w:tblLook w:val="0600" w:firstRow="0" w:lastRow="0" w:firstColumn="0" w:lastColumn="0" w:noHBand="1" w:noVBand="1"/>
      </w:tblPr>
      <w:tblGrid>
        <w:gridCol w:w="3114"/>
        <w:gridCol w:w="1843"/>
        <w:gridCol w:w="1417"/>
        <w:gridCol w:w="1276"/>
        <w:gridCol w:w="1369"/>
      </w:tblGrid>
      <w:tr w:rsidR="006F418B" w:rsidRPr="00657824" w14:paraId="2282771C" w14:textId="77777777" w:rsidTr="00841D8C">
        <w:trPr>
          <w:trHeight w:val="397"/>
        </w:trPr>
        <w:tc>
          <w:tcPr>
            <w:tcW w:w="3114" w:type="dxa"/>
            <w:vMerge w:val="restart"/>
            <w:shd w:val="clear" w:color="auto" w:fill="F2F2F2" w:themeFill="background1" w:themeFillShade="F2"/>
            <w:vAlign w:val="center"/>
          </w:tcPr>
          <w:p w14:paraId="4D054C0A" w14:textId="40A5C39E" w:rsidR="006F418B" w:rsidRPr="00657824" w:rsidRDefault="006F418B" w:rsidP="00E33643">
            <w:pPr>
              <w:rPr>
                <w:b/>
                <w:sz w:val="20"/>
                <w:szCs w:val="20"/>
              </w:rPr>
            </w:pPr>
            <w:r w:rsidRPr="00657824">
              <w:rPr>
                <w:b/>
                <w:sz w:val="20"/>
                <w:szCs w:val="20"/>
              </w:rPr>
              <w:t>PGSI Group</w:t>
            </w:r>
          </w:p>
        </w:tc>
        <w:tc>
          <w:tcPr>
            <w:tcW w:w="1843" w:type="dxa"/>
            <w:shd w:val="clear" w:color="auto" w:fill="F2F2F2" w:themeFill="background1" w:themeFillShade="F2"/>
            <w:vAlign w:val="center"/>
          </w:tcPr>
          <w:p w14:paraId="5F430A3A" w14:textId="0D7B75A8" w:rsidR="006F418B" w:rsidRPr="00657824" w:rsidRDefault="006F418B" w:rsidP="00841D8C">
            <w:pPr>
              <w:jc w:val="center"/>
              <w:rPr>
                <w:b/>
                <w:sz w:val="20"/>
                <w:szCs w:val="20"/>
              </w:rPr>
            </w:pPr>
            <w:r w:rsidRPr="00657824">
              <w:rPr>
                <w:b/>
                <w:sz w:val="20"/>
                <w:szCs w:val="20"/>
              </w:rPr>
              <w:t xml:space="preserve">Population of </w:t>
            </w:r>
            <w:r w:rsidR="00841D8C">
              <w:rPr>
                <w:b/>
                <w:sz w:val="20"/>
                <w:szCs w:val="20"/>
              </w:rPr>
              <w:br/>
            </w:r>
            <w:r w:rsidRPr="00657824">
              <w:rPr>
                <w:b/>
                <w:sz w:val="20"/>
                <w:szCs w:val="20"/>
              </w:rPr>
              <w:t xml:space="preserve">in-venue </w:t>
            </w:r>
            <w:r w:rsidR="00494DC3">
              <w:rPr>
                <w:b/>
                <w:sz w:val="20"/>
                <w:szCs w:val="20"/>
              </w:rPr>
              <w:t>Class 4 pokies</w:t>
            </w:r>
            <w:r w:rsidRPr="00657824">
              <w:rPr>
                <w:b/>
                <w:sz w:val="20"/>
                <w:szCs w:val="20"/>
              </w:rPr>
              <w:t xml:space="preserve"> users</w:t>
            </w:r>
          </w:p>
        </w:tc>
        <w:tc>
          <w:tcPr>
            <w:tcW w:w="1417" w:type="dxa"/>
            <w:shd w:val="clear" w:color="auto" w:fill="F2F2F2" w:themeFill="background1" w:themeFillShade="F2"/>
            <w:vAlign w:val="center"/>
          </w:tcPr>
          <w:p w14:paraId="29EC30CF" w14:textId="77777777" w:rsidR="006F418B" w:rsidRPr="00657824" w:rsidRDefault="006F418B" w:rsidP="00841D8C">
            <w:pPr>
              <w:jc w:val="center"/>
              <w:rPr>
                <w:b/>
                <w:sz w:val="20"/>
                <w:szCs w:val="20"/>
              </w:rPr>
            </w:pPr>
            <w:r w:rsidRPr="00657824">
              <w:rPr>
                <w:b/>
                <w:sz w:val="20"/>
                <w:szCs w:val="20"/>
              </w:rPr>
              <w:t>Revenue Shares</w:t>
            </w:r>
          </w:p>
        </w:tc>
        <w:tc>
          <w:tcPr>
            <w:tcW w:w="1276" w:type="dxa"/>
            <w:shd w:val="clear" w:color="auto" w:fill="F2F2F2" w:themeFill="background1" w:themeFillShade="F2"/>
            <w:vAlign w:val="center"/>
          </w:tcPr>
          <w:p w14:paraId="65193197" w14:textId="77777777" w:rsidR="006F418B" w:rsidRPr="00657824" w:rsidRDefault="006F418B" w:rsidP="00841D8C">
            <w:pPr>
              <w:jc w:val="center"/>
              <w:rPr>
                <w:b/>
                <w:sz w:val="20"/>
                <w:szCs w:val="20"/>
              </w:rPr>
            </w:pPr>
            <w:r w:rsidRPr="00657824">
              <w:rPr>
                <w:b/>
                <w:sz w:val="20"/>
                <w:szCs w:val="20"/>
              </w:rPr>
              <w:t>Total Shares</w:t>
            </w:r>
          </w:p>
        </w:tc>
        <w:tc>
          <w:tcPr>
            <w:tcW w:w="1369" w:type="dxa"/>
            <w:shd w:val="clear" w:color="auto" w:fill="F2F2F2" w:themeFill="background1" w:themeFillShade="F2"/>
            <w:vAlign w:val="center"/>
          </w:tcPr>
          <w:p w14:paraId="466B6EB2" w14:textId="047390F9" w:rsidR="006F418B" w:rsidRPr="00841D8C" w:rsidRDefault="006F418B" w:rsidP="00841D8C">
            <w:pPr>
              <w:jc w:val="center"/>
              <w:rPr>
                <w:b/>
                <w:sz w:val="20"/>
                <w:szCs w:val="20"/>
              </w:rPr>
            </w:pPr>
            <w:r w:rsidRPr="00657824">
              <w:rPr>
                <w:b/>
                <w:sz w:val="20"/>
                <w:szCs w:val="20"/>
              </w:rPr>
              <w:t>Mean loss per-gambler</w:t>
            </w:r>
          </w:p>
        </w:tc>
      </w:tr>
      <w:tr w:rsidR="006F418B" w:rsidRPr="00657824" w14:paraId="2B59F228" w14:textId="77777777" w:rsidTr="00841D8C">
        <w:trPr>
          <w:trHeight w:val="397"/>
        </w:trPr>
        <w:tc>
          <w:tcPr>
            <w:tcW w:w="3114" w:type="dxa"/>
            <w:vMerge/>
            <w:shd w:val="clear" w:color="auto" w:fill="F2F2F2" w:themeFill="background1" w:themeFillShade="F2"/>
            <w:vAlign w:val="center"/>
          </w:tcPr>
          <w:p w14:paraId="02203BDA" w14:textId="77777777" w:rsidR="006F418B" w:rsidRPr="00657824" w:rsidRDefault="006F418B" w:rsidP="00E33643">
            <w:pPr>
              <w:widowControl w:val="0"/>
              <w:pBdr>
                <w:top w:val="nil"/>
                <w:left w:val="nil"/>
                <w:bottom w:val="nil"/>
                <w:right w:val="nil"/>
                <w:between w:val="nil"/>
              </w:pBdr>
              <w:rPr>
                <w:sz w:val="20"/>
                <w:szCs w:val="20"/>
              </w:rPr>
            </w:pPr>
          </w:p>
        </w:tc>
        <w:tc>
          <w:tcPr>
            <w:tcW w:w="1843" w:type="dxa"/>
            <w:shd w:val="clear" w:color="auto" w:fill="F2F2F2" w:themeFill="background1" w:themeFillShade="F2"/>
            <w:vAlign w:val="center"/>
          </w:tcPr>
          <w:p w14:paraId="29A4C308" w14:textId="77777777" w:rsidR="006F418B" w:rsidRPr="00657824" w:rsidRDefault="006F418B" w:rsidP="00841D8C">
            <w:pPr>
              <w:jc w:val="center"/>
              <w:rPr>
                <w:b/>
                <w:i/>
                <w:sz w:val="20"/>
                <w:szCs w:val="20"/>
              </w:rPr>
            </w:pPr>
            <w:r w:rsidRPr="00657824">
              <w:rPr>
                <w:b/>
                <w:i/>
                <w:sz w:val="20"/>
                <w:szCs w:val="20"/>
              </w:rPr>
              <w:t>a</w:t>
            </w:r>
          </w:p>
        </w:tc>
        <w:tc>
          <w:tcPr>
            <w:tcW w:w="1417" w:type="dxa"/>
            <w:shd w:val="clear" w:color="auto" w:fill="F2F2F2" w:themeFill="background1" w:themeFillShade="F2"/>
            <w:vAlign w:val="center"/>
          </w:tcPr>
          <w:p w14:paraId="30DAE386" w14:textId="77777777" w:rsidR="006F418B" w:rsidRPr="00657824" w:rsidRDefault="006F418B" w:rsidP="00841D8C">
            <w:pPr>
              <w:jc w:val="center"/>
              <w:rPr>
                <w:b/>
                <w:i/>
                <w:sz w:val="20"/>
                <w:szCs w:val="20"/>
              </w:rPr>
            </w:pPr>
            <w:r w:rsidRPr="00657824">
              <w:rPr>
                <w:b/>
                <w:i/>
                <w:sz w:val="20"/>
                <w:szCs w:val="20"/>
              </w:rPr>
              <w:t>b</w:t>
            </w:r>
          </w:p>
        </w:tc>
        <w:tc>
          <w:tcPr>
            <w:tcW w:w="1276" w:type="dxa"/>
            <w:shd w:val="clear" w:color="auto" w:fill="F2F2F2" w:themeFill="background1" w:themeFillShade="F2"/>
            <w:vAlign w:val="center"/>
          </w:tcPr>
          <w:p w14:paraId="58575F73" w14:textId="361F183C" w:rsidR="006F418B" w:rsidRPr="00657824" w:rsidRDefault="006F418B" w:rsidP="00841D8C">
            <w:pPr>
              <w:jc w:val="center"/>
              <w:rPr>
                <w:b/>
                <w:i/>
                <w:sz w:val="20"/>
                <w:szCs w:val="20"/>
              </w:rPr>
            </w:pPr>
            <w:r w:rsidRPr="00657824">
              <w:rPr>
                <w:b/>
                <w:i/>
                <w:sz w:val="20"/>
                <w:szCs w:val="20"/>
              </w:rPr>
              <w:t>c</w:t>
            </w:r>
            <w:r w:rsidR="00BD3BA9" w:rsidRPr="00657824">
              <w:rPr>
                <w:b/>
                <w:i/>
                <w:sz w:val="20"/>
                <w:szCs w:val="20"/>
              </w:rPr>
              <w:t xml:space="preserve"> </w:t>
            </w:r>
            <w:r w:rsidRPr="00657824">
              <w:rPr>
                <w:b/>
                <w:i/>
                <w:sz w:val="20"/>
                <w:szCs w:val="20"/>
              </w:rPr>
              <w:t>=</w:t>
            </w:r>
            <w:r w:rsidR="00BD3BA9" w:rsidRPr="00657824">
              <w:rPr>
                <w:b/>
                <w:i/>
                <w:sz w:val="20"/>
                <w:szCs w:val="20"/>
              </w:rPr>
              <w:t xml:space="preserve"> </w:t>
            </w:r>
            <w:r w:rsidRPr="00657824">
              <w:rPr>
                <w:b/>
                <w:i/>
                <w:sz w:val="20"/>
                <w:szCs w:val="20"/>
              </w:rPr>
              <w:t>a</w:t>
            </w:r>
            <w:r w:rsidR="00BD3BA9" w:rsidRPr="00657824">
              <w:rPr>
                <w:b/>
                <w:i/>
                <w:sz w:val="20"/>
                <w:szCs w:val="20"/>
              </w:rPr>
              <w:t xml:space="preserve"> </w:t>
            </w:r>
            <w:r w:rsidRPr="00657824">
              <w:rPr>
                <w:b/>
                <w:i/>
                <w:sz w:val="20"/>
                <w:szCs w:val="20"/>
              </w:rPr>
              <w:t>*</w:t>
            </w:r>
            <w:r w:rsidR="00BD3BA9" w:rsidRPr="00657824">
              <w:rPr>
                <w:b/>
                <w:i/>
                <w:sz w:val="20"/>
                <w:szCs w:val="20"/>
              </w:rPr>
              <w:t xml:space="preserve"> </w:t>
            </w:r>
            <w:r w:rsidRPr="00657824">
              <w:rPr>
                <w:b/>
                <w:i/>
                <w:sz w:val="20"/>
                <w:szCs w:val="20"/>
              </w:rPr>
              <w:t>b</w:t>
            </w:r>
          </w:p>
        </w:tc>
        <w:tc>
          <w:tcPr>
            <w:tcW w:w="1369" w:type="dxa"/>
            <w:shd w:val="clear" w:color="auto" w:fill="F2F2F2" w:themeFill="background1" w:themeFillShade="F2"/>
            <w:vAlign w:val="center"/>
          </w:tcPr>
          <w:p w14:paraId="2AF59B77" w14:textId="708C578E" w:rsidR="006F418B" w:rsidRPr="00657824" w:rsidRDefault="006F418B" w:rsidP="00841D8C">
            <w:pPr>
              <w:jc w:val="center"/>
              <w:rPr>
                <w:b/>
                <w:i/>
                <w:sz w:val="20"/>
                <w:szCs w:val="20"/>
              </w:rPr>
            </w:pPr>
            <w:r w:rsidRPr="00657824">
              <w:rPr>
                <w:b/>
                <w:i/>
                <w:sz w:val="20"/>
                <w:szCs w:val="20"/>
              </w:rPr>
              <w:t>f</w:t>
            </w:r>
            <w:r w:rsidR="00BD3BA9" w:rsidRPr="00657824">
              <w:rPr>
                <w:b/>
                <w:i/>
                <w:sz w:val="20"/>
                <w:szCs w:val="20"/>
              </w:rPr>
              <w:t xml:space="preserve"> </w:t>
            </w:r>
            <w:r w:rsidRPr="00657824">
              <w:rPr>
                <w:b/>
                <w:i/>
                <w:sz w:val="20"/>
                <w:szCs w:val="20"/>
              </w:rPr>
              <w:t>=</w:t>
            </w:r>
            <w:r w:rsidR="00BD3BA9" w:rsidRPr="00657824">
              <w:rPr>
                <w:b/>
                <w:i/>
                <w:sz w:val="20"/>
                <w:szCs w:val="20"/>
              </w:rPr>
              <w:t xml:space="preserve"> </w:t>
            </w:r>
            <w:r w:rsidRPr="00657824">
              <w:rPr>
                <w:b/>
                <w:i/>
                <w:sz w:val="20"/>
                <w:szCs w:val="20"/>
              </w:rPr>
              <w:t>e</w:t>
            </w:r>
            <w:r w:rsidR="00BD3BA9" w:rsidRPr="00657824">
              <w:rPr>
                <w:b/>
                <w:i/>
                <w:sz w:val="20"/>
                <w:szCs w:val="20"/>
              </w:rPr>
              <w:t xml:space="preserve"> </w:t>
            </w:r>
            <w:r w:rsidRPr="00657824">
              <w:rPr>
                <w:b/>
                <w:i/>
                <w:sz w:val="20"/>
                <w:szCs w:val="20"/>
              </w:rPr>
              <w:t>*</w:t>
            </w:r>
            <w:r w:rsidR="00BD3BA9" w:rsidRPr="00657824">
              <w:rPr>
                <w:b/>
                <w:i/>
                <w:sz w:val="20"/>
                <w:szCs w:val="20"/>
              </w:rPr>
              <w:t xml:space="preserve"> </w:t>
            </w:r>
            <w:r w:rsidRPr="00657824">
              <w:rPr>
                <w:b/>
                <w:i/>
                <w:sz w:val="20"/>
                <w:szCs w:val="20"/>
              </w:rPr>
              <w:t>b</w:t>
            </w:r>
          </w:p>
        </w:tc>
      </w:tr>
      <w:tr w:rsidR="006F418B" w:rsidRPr="00657824" w14:paraId="6B821F71" w14:textId="77777777" w:rsidTr="00841D8C">
        <w:trPr>
          <w:trHeight w:val="397"/>
        </w:trPr>
        <w:tc>
          <w:tcPr>
            <w:tcW w:w="3114" w:type="dxa"/>
            <w:vAlign w:val="center"/>
          </w:tcPr>
          <w:p w14:paraId="34ABBEC6" w14:textId="77777777" w:rsidR="006F418B" w:rsidRPr="00657824" w:rsidRDefault="006F418B" w:rsidP="00E33643">
            <w:pPr>
              <w:rPr>
                <w:sz w:val="20"/>
                <w:szCs w:val="20"/>
              </w:rPr>
            </w:pPr>
            <w:r w:rsidRPr="00657824">
              <w:rPr>
                <w:sz w:val="20"/>
                <w:szCs w:val="20"/>
              </w:rPr>
              <w:t>NPG</w:t>
            </w:r>
          </w:p>
        </w:tc>
        <w:tc>
          <w:tcPr>
            <w:tcW w:w="1843" w:type="dxa"/>
            <w:vAlign w:val="center"/>
          </w:tcPr>
          <w:p w14:paraId="3BC28E64" w14:textId="77777777" w:rsidR="006F418B" w:rsidRPr="00657824" w:rsidRDefault="006F418B" w:rsidP="00E33643">
            <w:pPr>
              <w:jc w:val="right"/>
              <w:rPr>
                <w:sz w:val="20"/>
                <w:szCs w:val="20"/>
              </w:rPr>
            </w:pPr>
            <w:r w:rsidRPr="00657824">
              <w:rPr>
                <w:sz w:val="20"/>
                <w:szCs w:val="20"/>
              </w:rPr>
              <w:t>373,980</w:t>
            </w:r>
          </w:p>
        </w:tc>
        <w:tc>
          <w:tcPr>
            <w:tcW w:w="1417" w:type="dxa"/>
            <w:vAlign w:val="center"/>
          </w:tcPr>
          <w:p w14:paraId="31DD71B7" w14:textId="77777777" w:rsidR="006F418B" w:rsidRPr="00657824" w:rsidRDefault="006F418B" w:rsidP="00E33643">
            <w:pPr>
              <w:jc w:val="right"/>
              <w:rPr>
                <w:sz w:val="20"/>
                <w:szCs w:val="20"/>
              </w:rPr>
            </w:pPr>
            <w:r w:rsidRPr="00657824">
              <w:rPr>
                <w:sz w:val="20"/>
                <w:szCs w:val="20"/>
              </w:rPr>
              <w:t>1.0</w:t>
            </w:r>
          </w:p>
        </w:tc>
        <w:tc>
          <w:tcPr>
            <w:tcW w:w="1276" w:type="dxa"/>
            <w:vAlign w:val="center"/>
          </w:tcPr>
          <w:p w14:paraId="176035BA" w14:textId="77777777" w:rsidR="006F418B" w:rsidRPr="00657824" w:rsidRDefault="006F418B" w:rsidP="00E33643">
            <w:pPr>
              <w:jc w:val="right"/>
              <w:rPr>
                <w:sz w:val="20"/>
                <w:szCs w:val="20"/>
              </w:rPr>
            </w:pPr>
            <w:r w:rsidRPr="00657824">
              <w:rPr>
                <w:sz w:val="20"/>
                <w:szCs w:val="20"/>
              </w:rPr>
              <w:t>373,980</w:t>
            </w:r>
          </w:p>
        </w:tc>
        <w:tc>
          <w:tcPr>
            <w:tcW w:w="1369" w:type="dxa"/>
            <w:vAlign w:val="center"/>
          </w:tcPr>
          <w:p w14:paraId="60F9D58B" w14:textId="77777777" w:rsidR="006F418B" w:rsidRPr="00657824" w:rsidRDefault="006F418B" w:rsidP="00E33643">
            <w:pPr>
              <w:jc w:val="right"/>
              <w:rPr>
                <w:sz w:val="20"/>
                <w:szCs w:val="20"/>
              </w:rPr>
            </w:pPr>
            <w:r w:rsidRPr="00657824">
              <w:rPr>
                <w:sz w:val="20"/>
                <w:szCs w:val="20"/>
              </w:rPr>
              <w:t>$651</w:t>
            </w:r>
          </w:p>
        </w:tc>
      </w:tr>
      <w:tr w:rsidR="006F418B" w:rsidRPr="00657824" w14:paraId="41BF9C82" w14:textId="77777777" w:rsidTr="00841D8C">
        <w:trPr>
          <w:trHeight w:val="397"/>
        </w:trPr>
        <w:tc>
          <w:tcPr>
            <w:tcW w:w="3114" w:type="dxa"/>
            <w:vAlign w:val="center"/>
          </w:tcPr>
          <w:p w14:paraId="79FD2C1B" w14:textId="77777777" w:rsidR="006F418B" w:rsidRPr="00657824" w:rsidRDefault="006F418B" w:rsidP="00E33643">
            <w:pPr>
              <w:rPr>
                <w:sz w:val="20"/>
                <w:szCs w:val="20"/>
              </w:rPr>
            </w:pPr>
            <w:r w:rsidRPr="00657824">
              <w:rPr>
                <w:sz w:val="20"/>
                <w:szCs w:val="20"/>
              </w:rPr>
              <w:t>LR</w:t>
            </w:r>
          </w:p>
        </w:tc>
        <w:tc>
          <w:tcPr>
            <w:tcW w:w="1843" w:type="dxa"/>
            <w:vAlign w:val="center"/>
          </w:tcPr>
          <w:p w14:paraId="009203F8" w14:textId="77777777" w:rsidR="006F418B" w:rsidRPr="00657824" w:rsidRDefault="006F418B" w:rsidP="00E33643">
            <w:pPr>
              <w:jc w:val="right"/>
              <w:rPr>
                <w:sz w:val="20"/>
                <w:szCs w:val="20"/>
              </w:rPr>
            </w:pPr>
            <w:r w:rsidRPr="00657824">
              <w:rPr>
                <w:sz w:val="20"/>
                <w:szCs w:val="20"/>
              </w:rPr>
              <w:t>87,077</w:t>
            </w:r>
          </w:p>
        </w:tc>
        <w:tc>
          <w:tcPr>
            <w:tcW w:w="1417" w:type="dxa"/>
            <w:vAlign w:val="center"/>
          </w:tcPr>
          <w:p w14:paraId="7CAEF3D1" w14:textId="77777777" w:rsidR="006F418B" w:rsidRPr="00657824" w:rsidRDefault="006F418B" w:rsidP="00E33643">
            <w:pPr>
              <w:jc w:val="right"/>
              <w:rPr>
                <w:sz w:val="20"/>
                <w:szCs w:val="20"/>
              </w:rPr>
            </w:pPr>
            <w:r w:rsidRPr="00657824">
              <w:rPr>
                <w:sz w:val="20"/>
                <w:szCs w:val="20"/>
              </w:rPr>
              <w:t>3.1</w:t>
            </w:r>
          </w:p>
        </w:tc>
        <w:tc>
          <w:tcPr>
            <w:tcW w:w="1276" w:type="dxa"/>
            <w:vAlign w:val="center"/>
          </w:tcPr>
          <w:p w14:paraId="5ECC9801" w14:textId="77777777" w:rsidR="006F418B" w:rsidRPr="00657824" w:rsidRDefault="006F418B" w:rsidP="00E33643">
            <w:pPr>
              <w:jc w:val="right"/>
              <w:rPr>
                <w:sz w:val="20"/>
                <w:szCs w:val="20"/>
              </w:rPr>
            </w:pPr>
            <w:r w:rsidRPr="00657824">
              <w:rPr>
                <w:sz w:val="20"/>
                <w:szCs w:val="20"/>
              </w:rPr>
              <w:t>269,939</w:t>
            </w:r>
          </w:p>
        </w:tc>
        <w:tc>
          <w:tcPr>
            <w:tcW w:w="1369" w:type="dxa"/>
            <w:vAlign w:val="center"/>
          </w:tcPr>
          <w:p w14:paraId="69F04623" w14:textId="77777777" w:rsidR="006F418B" w:rsidRPr="00657824" w:rsidRDefault="006F418B" w:rsidP="00E33643">
            <w:pPr>
              <w:jc w:val="right"/>
              <w:rPr>
                <w:sz w:val="20"/>
                <w:szCs w:val="20"/>
              </w:rPr>
            </w:pPr>
            <w:r w:rsidRPr="00657824">
              <w:rPr>
                <w:sz w:val="20"/>
                <w:szCs w:val="20"/>
              </w:rPr>
              <w:t>$2,017</w:t>
            </w:r>
          </w:p>
        </w:tc>
      </w:tr>
      <w:tr w:rsidR="006F418B" w:rsidRPr="00657824" w14:paraId="29F919C7" w14:textId="77777777" w:rsidTr="00841D8C">
        <w:trPr>
          <w:trHeight w:val="397"/>
        </w:trPr>
        <w:tc>
          <w:tcPr>
            <w:tcW w:w="3114" w:type="dxa"/>
            <w:vAlign w:val="center"/>
          </w:tcPr>
          <w:p w14:paraId="6EE4015D" w14:textId="77777777" w:rsidR="006F418B" w:rsidRPr="00657824" w:rsidRDefault="006F418B" w:rsidP="00E33643">
            <w:pPr>
              <w:rPr>
                <w:sz w:val="20"/>
                <w:szCs w:val="20"/>
              </w:rPr>
            </w:pPr>
            <w:r w:rsidRPr="00657824">
              <w:rPr>
                <w:sz w:val="20"/>
                <w:szCs w:val="20"/>
              </w:rPr>
              <w:t>MR</w:t>
            </w:r>
          </w:p>
        </w:tc>
        <w:tc>
          <w:tcPr>
            <w:tcW w:w="1843" w:type="dxa"/>
            <w:vAlign w:val="center"/>
          </w:tcPr>
          <w:p w14:paraId="3C153A55" w14:textId="77777777" w:rsidR="006F418B" w:rsidRPr="00657824" w:rsidRDefault="006F418B" w:rsidP="00E33643">
            <w:pPr>
              <w:jc w:val="right"/>
              <w:rPr>
                <w:sz w:val="20"/>
                <w:szCs w:val="20"/>
              </w:rPr>
            </w:pPr>
            <w:r w:rsidRPr="00657824">
              <w:rPr>
                <w:sz w:val="20"/>
                <w:szCs w:val="20"/>
              </w:rPr>
              <w:t>34,904</w:t>
            </w:r>
          </w:p>
        </w:tc>
        <w:tc>
          <w:tcPr>
            <w:tcW w:w="1417" w:type="dxa"/>
            <w:vAlign w:val="center"/>
          </w:tcPr>
          <w:p w14:paraId="156B97F0" w14:textId="77777777" w:rsidR="006F418B" w:rsidRPr="00657824" w:rsidRDefault="006F418B" w:rsidP="00E33643">
            <w:pPr>
              <w:jc w:val="right"/>
              <w:rPr>
                <w:sz w:val="20"/>
                <w:szCs w:val="20"/>
              </w:rPr>
            </w:pPr>
            <w:r w:rsidRPr="00657824">
              <w:rPr>
                <w:sz w:val="20"/>
                <w:szCs w:val="20"/>
              </w:rPr>
              <w:t>10.5</w:t>
            </w:r>
          </w:p>
        </w:tc>
        <w:tc>
          <w:tcPr>
            <w:tcW w:w="1276" w:type="dxa"/>
            <w:vAlign w:val="center"/>
          </w:tcPr>
          <w:p w14:paraId="5BB0897C" w14:textId="77777777" w:rsidR="006F418B" w:rsidRPr="00657824" w:rsidRDefault="006F418B" w:rsidP="00E33643">
            <w:pPr>
              <w:jc w:val="right"/>
              <w:rPr>
                <w:sz w:val="20"/>
                <w:szCs w:val="20"/>
              </w:rPr>
            </w:pPr>
            <w:r w:rsidRPr="00657824">
              <w:rPr>
                <w:sz w:val="20"/>
                <w:szCs w:val="20"/>
              </w:rPr>
              <w:t>366,317</w:t>
            </w:r>
          </w:p>
        </w:tc>
        <w:tc>
          <w:tcPr>
            <w:tcW w:w="1369" w:type="dxa"/>
            <w:vAlign w:val="center"/>
          </w:tcPr>
          <w:p w14:paraId="1E9735D6" w14:textId="77777777" w:rsidR="006F418B" w:rsidRPr="00657824" w:rsidRDefault="006F418B" w:rsidP="00E33643">
            <w:pPr>
              <w:jc w:val="right"/>
              <w:rPr>
                <w:sz w:val="20"/>
                <w:szCs w:val="20"/>
              </w:rPr>
            </w:pPr>
            <w:r w:rsidRPr="00657824">
              <w:rPr>
                <w:sz w:val="20"/>
                <w:szCs w:val="20"/>
              </w:rPr>
              <w:t>$6,828</w:t>
            </w:r>
          </w:p>
        </w:tc>
      </w:tr>
      <w:tr w:rsidR="006F418B" w:rsidRPr="00657824" w14:paraId="71720C1A" w14:textId="77777777" w:rsidTr="00841D8C">
        <w:trPr>
          <w:trHeight w:val="397"/>
        </w:trPr>
        <w:tc>
          <w:tcPr>
            <w:tcW w:w="3114" w:type="dxa"/>
            <w:vAlign w:val="center"/>
          </w:tcPr>
          <w:p w14:paraId="545EA243" w14:textId="77777777" w:rsidR="006F418B" w:rsidRPr="00657824" w:rsidRDefault="006F418B" w:rsidP="00E33643">
            <w:pPr>
              <w:rPr>
                <w:sz w:val="20"/>
                <w:szCs w:val="20"/>
              </w:rPr>
            </w:pPr>
            <w:r w:rsidRPr="00657824">
              <w:rPr>
                <w:sz w:val="20"/>
                <w:szCs w:val="20"/>
              </w:rPr>
              <w:t>PG</w:t>
            </w:r>
          </w:p>
        </w:tc>
        <w:tc>
          <w:tcPr>
            <w:tcW w:w="1843" w:type="dxa"/>
            <w:vAlign w:val="center"/>
          </w:tcPr>
          <w:p w14:paraId="4D83BC4E" w14:textId="77777777" w:rsidR="006F418B" w:rsidRPr="00657824" w:rsidRDefault="006F418B" w:rsidP="00E33643">
            <w:pPr>
              <w:jc w:val="right"/>
              <w:rPr>
                <w:sz w:val="20"/>
                <w:szCs w:val="20"/>
              </w:rPr>
            </w:pPr>
            <w:r w:rsidRPr="00657824">
              <w:rPr>
                <w:sz w:val="20"/>
                <w:szCs w:val="20"/>
              </w:rPr>
              <w:t>9,472</w:t>
            </w:r>
          </w:p>
        </w:tc>
        <w:tc>
          <w:tcPr>
            <w:tcW w:w="1417" w:type="dxa"/>
            <w:vAlign w:val="center"/>
          </w:tcPr>
          <w:p w14:paraId="51DBDF9D" w14:textId="77777777" w:rsidR="006F418B" w:rsidRPr="00657824" w:rsidRDefault="006F418B" w:rsidP="00E33643">
            <w:pPr>
              <w:jc w:val="right"/>
              <w:rPr>
                <w:sz w:val="20"/>
                <w:szCs w:val="20"/>
              </w:rPr>
            </w:pPr>
            <w:r w:rsidRPr="00657824">
              <w:rPr>
                <w:sz w:val="20"/>
                <w:szCs w:val="20"/>
              </w:rPr>
              <w:t>61.6</w:t>
            </w:r>
          </w:p>
        </w:tc>
        <w:tc>
          <w:tcPr>
            <w:tcW w:w="1276" w:type="dxa"/>
            <w:vAlign w:val="center"/>
          </w:tcPr>
          <w:p w14:paraId="7B1E7DB9" w14:textId="77777777" w:rsidR="006F418B" w:rsidRPr="00657824" w:rsidRDefault="006F418B" w:rsidP="00E33643">
            <w:pPr>
              <w:jc w:val="right"/>
              <w:rPr>
                <w:sz w:val="20"/>
                <w:szCs w:val="20"/>
              </w:rPr>
            </w:pPr>
            <w:r w:rsidRPr="00657824">
              <w:rPr>
                <w:sz w:val="20"/>
                <w:szCs w:val="20"/>
              </w:rPr>
              <w:t>583,783</w:t>
            </w:r>
          </w:p>
        </w:tc>
        <w:tc>
          <w:tcPr>
            <w:tcW w:w="1369" w:type="dxa"/>
            <w:vAlign w:val="center"/>
          </w:tcPr>
          <w:p w14:paraId="5BCA0D6E" w14:textId="77777777" w:rsidR="006F418B" w:rsidRPr="00657824" w:rsidRDefault="006F418B" w:rsidP="00E33643">
            <w:pPr>
              <w:jc w:val="right"/>
              <w:rPr>
                <w:sz w:val="20"/>
                <w:szCs w:val="20"/>
              </w:rPr>
            </w:pPr>
            <w:r w:rsidRPr="00657824">
              <w:rPr>
                <w:sz w:val="20"/>
                <w:szCs w:val="20"/>
              </w:rPr>
              <w:t>$40,095</w:t>
            </w:r>
          </w:p>
        </w:tc>
      </w:tr>
      <w:tr w:rsidR="006F418B" w:rsidRPr="00657824" w14:paraId="36D4BEF2" w14:textId="77777777" w:rsidTr="00841D8C">
        <w:trPr>
          <w:trHeight w:val="397"/>
        </w:trPr>
        <w:tc>
          <w:tcPr>
            <w:tcW w:w="3114" w:type="dxa"/>
            <w:vAlign w:val="center"/>
          </w:tcPr>
          <w:p w14:paraId="3F4724CD" w14:textId="77777777" w:rsidR="006F418B" w:rsidRPr="00657824" w:rsidRDefault="006F418B" w:rsidP="00E33643">
            <w:pPr>
              <w:rPr>
                <w:b/>
                <w:sz w:val="20"/>
                <w:szCs w:val="20"/>
              </w:rPr>
            </w:pPr>
            <w:r w:rsidRPr="00657824">
              <w:rPr>
                <w:b/>
                <w:sz w:val="20"/>
                <w:szCs w:val="20"/>
              </w:rPr>
              <w:t>Total</w:t>
            </w:r>
          </w:p>
        </w:tc>
        <w:tc>
          <w:tcPr>
            <w:tcW w:w="1843" w:type="dxa"/>
            <w:vAlign w:val="center"/>
          </w:tcPr>
          <w:p w14:paraId="275BA0EB" w14:textId="77777777" w:rsidR="006F418B" w:rsidRPr="00657824" w:rsidRDefault="006F418B" w:rsidP="00E33643">
            <w:pPr>
              <w:jc w:val="right"/>
              <w:rPr>
                <w:sz w:val="20"/>
                <w:szCs w:val="20"/>
              </w:rPr>
            </w:pPr>
            <w:r w:rsidRPr="00657824">
              <w:rPr>
                <w:sz w:val="20"/>
                <w:szCs w:val="20"/>
              </w:rPr>
              <w:t>505,433</w:t>
            </w:r>
          </w:p>
        </w:tc>
        <w:tc>
          <w:tcPr>
            <w:tcW w:w="1417" w:type="dxa"/>
            <w:vAlign w:val="center"/>
          </w:tcPr>
          <w:p w14:paraId="0139260D" w14:textId="4D4A4ECD" w:rsidR="006F418B" w:rsidRPr="00657824" w:rsidRDefault="006F418B" w:rsidP="00E33643">
            <w:pPr>
              <w:jc w:val="right"/>
              <w:rPr>
                <w:sz w:val="20"/>
                <w:szCs w:val="20"/>
              </w:rPr>
            </w:pPr>
          </w:p>
        </w:tc>
        <w:tc>
          <w:tcPr>
            <w:tcW w:w="1276" w:type="dxa"/>
            <w:vAlign w:val="center"/>
          </w:tcPr>
          <w:p w14:paraId="08756990" w14:textId="77777777" w:rsidR="006F418B" w:rsidRPr="00657824" w:rsidRDefault="006F418B" w:rsidP="00E33643">
            <w:pPr>
              <w:jc w:val="right"/>
              <w:rPr>
                <w:sz w:val="20"/>
                <w:szCs w:val="20"/>
              </w:rPr>
            </w:pPr>
            <w:r w:rsidRPr="00657824">
              <w:rPr>
                <w:sz w:val="20"/>
                <w:szCs w:val="20"/>
              </w:rPr>
              <w:t>1,594,019</w:t>
            </w:r>
          </w:p>
        </w:tc>
        <w:tc>
          <w:tcPr>
            <w:tcW w:w="1369" w:type="dxa"/>
            <w:vAlign w:val="center"/>
          </w:tcPr>
          <w:p w14:paraId="1B5F6C91" w14:textId="36BDE431" w:rsidR="006F418B" w:rsidRPr="00657824" w:rsidRDefault="006F418B" w:rsidP="00E33643">
            <w:pPr>
              <w:jc w:val="right"/>
              <w:rPr>
                <w:sz w:val="20"/>
                <w:szCs w:val="20"/>
              </w:rPr>
            </w:pPr>
          </w:p>
        </w:tc>
      </w:tr>
      <w:tr w:rsidR="006F418B" w:rsidRPr="00657824" w14:paraId="6CFF297C" w14:textId="77777777" w:rsidTr="00841D8C">
        <w:trPr>
          <w:trHeight w:val="397"/>
        </w:trPr>
        <w:tc>
          <w:tcPr>
            <w:tcW w:w="3114" w:type="dxa"/>
            <w:vAlign w:val="center"/>
          </w:tcPr>
          <w:p w14:paraId="1AAE17F4" w14:textId="0C91EE01" w:rsidR="006F418B" w:rsidRPr="00657824" w:rsidRDefault="006F418B" w:rsidP="00E33643">
            <w:pPr>
              <w:rPr>
                <w:b/>
                <w:sz w:val="20"/>
                <w:szCs w:val="20"/>
              </w:rPr>
            </w:pPr>
            <w:r w:rsidRPr="00657824">
              <w:rPr>
                <w:b/>
                <w:sz w:val="20"/>
                <w:szCs w:val="20"/>
              </w:rPr>
              <w:t xml:space="preserve">Total losses from </w:t>
            </w:r>
            <w:r w:rsidR="00494DC3">
              <w:rPr>
                <w:b/>
                <w:sz w:val="20"/>
                <w:szCs w:val="20"/>
              </w:rPr>
              <w:t>Class 4 Pokies</w:t>
            </w:r>
            <w:r w:rsidRPr="00657824">
              <w:rPr>
                <w:b/>
                <w:sz w:val="20"/>
                <w:szCs w:val="20"/>
              </w:rPr>
              <w:t xml:space="preserve"> </w:t>
            </w:r>
            <w:r w:rsidRPr="00657824">
              <w:rPr>
                <w:sz w:val="20"/>
                <w:szCs w:val="20"/>
              </w:rPr>
              <w:t>(d)</w:t>
            </w:r>
            <w:r w:rsidR="00E1287F" w:rsidRPr="00657824">
              <w:rPr>
                <w:sz w:val="20"/>
                <w:szCs w:val="20"/>
              </w:rPr>
              <w:t xml:space="preserve"> </w:t>
            </w:r>
          </w:p>
        </w:tc>
        <w:tc>
          <w:tcPr>
            <w:tcW w:w="1843" w:type="dxa"/>
            <w:vAlign w:val="center"/>
          </w:tcPr>
          <w:p w14:paraId="23D9B91E" w14:textId="77777777" w:rsidR="006F418B" w:rsidRPr="00657824" w:rsidRDefault="006F418B" w:rsidP="00E33643">
            <w:pPr>
              <w:jc w:val="right"/>
              <w:rPr>
                <w:sz w:val="20"/>
                <w:szCs w:val="20"/>
              </w:rPr>
            </w:pPr>
            <w:r w:rsidRPr="00657824">
              <w:rPr>
                <w:sz w:val="20"/>
                <w:szCs w:val="20"/>
              </w:rPr>
              <w:t>$1,037,000,000</w:t>
            </w:r>
          </w:p>
        </w:tc>
        <w:tc>
          <w:tcPr>
            <w:tcW w:w="4062" w:type="dxa"/>
            <w:gridSpan w:val="3"/>
            <w:vMerge w:val="restart"/>
            <w:vAlign w:val="center"/>
          </w:tcPr>
          <w:p w14:paraId="729F86B1" w14:textId="77777777" w:rsidR="006F418B" w:rsidRPr="00657824" w:rsidRDefault="006F418B" w:rsidP="00E33643">
            <w:pPr>
              <w:jc w:val="right"/>
              <w:rPr>
                <w:b/>
                <w:sz w:val="20"/>
                <w:szCs w:val="20"/>
              </w:rPr>
            </w:pPr>
          </w:p>
        </w:tc>
      </w:tr>
      <w:tr w:rsidR="006F418B" w:rsidRPr="00657824" w14:paraId="5358D1A9" w14:textId="77777777" w:rsidTr="00841D8C">
        <w:trPr>
          <w:trHeight w:val="397"/>
        </w:trPr>
        <w:tc>
          <w:tcPr>
            <w:tcW w:w="3114" w:type="dxa"/>
            <w:vAlign w:val="center"/>
          </w:tcPr>
          <w:p w14:paraId="13E77D8D" w14:textId="014BA5CC" w:rsidR="006F418B" w:rsidRPr="00657824" w:rsidRDefault="006F418B" w:rsidP="00E33643">
            <w:pPr>
              <w:rPr>
                <w:b/>
                <w:sz w:val="20"/>
                <w:szCs w:val="20"/>
              </w:rPr>
            </w:pPr>
            <w:r w:rsidRPr="00657824">
              <w:rPr>
                <w:b/>
                <w:sz w:val="20"/>
                <w:szCs w:val="20"/>
              </w:rPr>
              <w:t xml:space="preserve">Loss per share </w:t>
            </w:r>
            <w:r w:rsidRPr="00657824">
              <w:rPr>
                <w:sz w:val="20"/>
                <w:szCs w:val="20"/>
              </w:rPr>
              <w:t>(e</w:t>
            </w:r>
            <w:r w:rsidR="00E33643" w:rsidRPr="00657824">
              <w:rPr>
                <w:sz w:val="20"/>
                <w:szCs w:val="20"/>
              </w:rPr>
              <w:t xml:space="preserve"> </w:t>
            </w:r>
            <w:r w:rsidRPr="00657824">
              <w:rPr>
                <w:sz w:val="20"/>
                <w:szCs w:val="20"/>
              </w:rPr>
              <w:t>=</w:t>
            </w:r>
            <w:r w:rsidR="00E33643" w:rsidRPr="00657824">
              <w:rPr>
                <w:sz w:val="20"/>
                <w:szCs w:val="20"/>
              </w:rPr>
              <w:t xml:space="preserve"> </w:t>
            </w:r>
            <w:r w:rsidRPr="00657824">
              <w:rPr>
                <w:sz w:val="20"/>
                <w:szCs w:val="20"/>
              </w:rPr>
              <w:t>d</w:t>
            </w:r>
            <w:r w:rsidR="00E33643" w:rsidRPr="00657824">
              <w:rPr>
                <w:sz w:val="20"/>
                <w:szCs w:val="20"/>
              </w:rPr>
              <w:t xml:space="preserve"> </w:t>
            </w:r>
            <w:r w:rsidRPr="00657824">
              <w:rPr>
                <w:sz w:val="20"/>
                <w:szCs w:val="20"/>
              </w:rPr>
              <w:t>/</w:t>
            </w:r>
            <w:r w:rsidR="00E33643" w:rsidRPr="00657824">
              <w:rPr>
                <w:sz w:val="20"/>
                <w:szCs w:val="20"/>
              </w:rPr>
              <w:t xml:space="preserve"> </w:t>
            </w:r>
            <w:r w:rsidRPr="00657824">
              <w:rPr>
                <w:sz w:val="20"/>
                <w:szCs w:val="20"/>
              </w:rPr>
              <w:t>b</w:t>
            </w:r>
            <w:r w:rsidR="00E33643" w:rsidRPr="00657824">
              <w:rPr>
                <w:sz w:val="20"/>
                <w:szCs w:val="20"/>
              </w:rPr>
              <w:t xml:space="preserve"> ‘</w:t>
            </w:r>
            <w:r w:rsidRPr="00657824">
              <w:rPr>
                <w:sz w:val="20"/>
                <w:szCs w:val="20"/>
              </w:rPr>
              <w:t>total’)</w:t>
            </w:r>
          </w:p>
        </w:tc>
        <w:tc>
          <w:tcPr>
            <w:tcW w:w="1843" w:type="dxa"/>
            <w:vAlign w:val="center"/>
          </w:tcPr>
          <w:p w14:paraId="32C8354F" w14:textId="77777777" w:rsidR="006F418B" w:rsidRPr="00657824" w:rsidRDefault="006F418B" w:rsidP="00E33643">
            <w:pPr>
              <w:jc w:val="right"/>
              <w:rPr>
                <w:sz w:val="20"/>
                <w:szCs w:val="20"/>
              </w:rPr>
            </w:pPr>
            <w:r w:rsidRPr="00657824">
              <w:rPr>
                <w:sz w:val="20"/>
                <w:szCs w:val="20"/>
              </w:rPr>
              <w:t>$651</w:t>
            </w:r>
          </w:p>
        </w:tc>
        <w:tc>
          <w:tcPr>
            <w:tcW w:w="4062" w:type="dxa"/>
            <w:gridSpan w:val="3"/>
            <w:vMerge/>
            <w:vAlign w:val="center"/>
          </w:tcPr>
          <w:p w14:paraId="45B1DC2F" w14:textId="77777777" w:rsidR="006F418B" w:rsidRPr="00657824" w:rsidRDefault="006F418B" w:rsidP="00E33643">
            <w:pPr>
              <w:widowControl w:val="0"/>
              <w:pBdr>
                <w:top w:val="nil"/>
                <w:left w:val="nil"/>
                <w:bottom w:val="nil"/>
                <w:right w:val="nil"/>
                <w:between w:val="nil"/>
              </w:pBdr>
              <w:jc w:val="right"/>
              <w:rPr>
                <w:sz w:val="20"/>
                <w:szCs w:val="20"/>
              </w:rPr>
            </w:pPr>
          </w:p>
        </w:tc>
      </w:tr>
      <w:tr w:rsidR="00413F6D" w:rsidRPr="00657824" w14:paraId="76BBB210" w14:textId="77777777" w:rsidTr="00E33643">
        <w:trPr>
          <w:trHeight w:val="397"/>
        </w:trPr>
        <w:tc>
          <w:tcPr>
            <w:tcW w:w="9019" w:type="dxa"/>
            <w:gridSpan w:val="5"/>
            <w:vAlign w:val="center"/>
          </w:tcPr>
          <w:p w14:paraId="2274D27C" w14:textId="29FA5DC9" w:rsidR="00413F6D" w:rsidRPr="00657824" w:rsidRDefault="00413F6D" w:rsidP="00E33643">
            <w:pPr>
              <w:rPr>
                <w:i/>
                <w:sz w:val="20"/>
                <w:szCs w:val="20"/>
              </w:rPr>
            </w:pPr>
            <w:r w:rsidRPr="00657824">
              <w:rPr>
                <w:i/>
                <w:sz w:val="20"/>
                <w:szCs w:val="20"/>
              </w:rPr>
              <w:t>Note: This calculation assumes that the revenue shares across all products are equal to the revenue shares for in-person EGMs; NPG ‘Non-problem gambl</w:t>
            </w:r>
            <w:r w:rsidR="001152A8">
              <w:rPr>
                <w:i/>
                <w:sz w:val="20"/>
                <w:szCs w:val="20"/>
              </w:rPr>
              <w:t>ing</w:t>
            </w:r>
            <w:r w:rsidRPr="00657824">
              <w:rPr>
                <w:i/>
                <w:sz w:val="20"/>
                <w:szCs w:val="20"/>
              </w:rPr>
              <w:t>’ (PGSI: 0); LR ‘Low risk’ (PGSI: 1 to 2); MR ‘Moderate risk’ (PGSI 3 to 7); PG ‘Problem gambl</w:t>
            </w:r>
            <w:r w:rsidR="001152A8">
              <w:rPr>
                <w:i/>
                <w:sz w:val="20"/>
                <w:szCs w:val="20"/>
              </w:rPr>
              <w:t>ing</w:t>
            </w:r>
            <w:r w:rsidRPr="00657824">
              <w:rPr>
                <w:i/>
                <w:sz w:val="20"/>
                <w:szCs w:val="20"/>
              </w:rPr>
              <w:t xml:space="preserve">’ (PGSI: 8+). *Total losses from </w:t>
            </w:r>
            <w:r w:rsidR="00494DC3">
              <w:rPr>
                <w:i/>
                <w:sz w:val="20"/>
                <w:szCs w:val="20"/>
              </w:rPr>
              <w:t>Class 4 pokies</w:t>
            </w:r>
            <w:r w:rsidRPr="00657824">
              <w:rPr>
                <w:i/>
                <w:sz w:val="20"/>
                <w:szCs w:val="20"/>
              </w:rPr>
              <w:t xml:space="preserve"> from Department of Internal Affairs (https://www.dia.govt.nz/gambling-statistics-expenditure); </w:t>
            </w:r>
          </w:p>
        </w:tc>
      </w:tr>
    </w:tbl>
    <w:p w14:paraId="18237983" w14:textId="77777777" w:rsidR="006F418B" w:rsidRDefault="006F418B" w:rsidP="006F418B">
      <w:pPr>
        <w:rPr>
          <w:i/>
          <w:sz w:val="14"/>
          <w:szCs w:val="14"/>
        </w:rPr>
      </w:pPr>
    </w:p>
    <w:p w14:paraId="02C88CD3" w14:textId="77777777" w:rsidR="00212089" w:rsidRDefault="00212089" w:rsidP="00135DF0">
      <w:pPr>
        <w:spacing w:line="360" w:lineRule="auto"/>
      </w:pPr>
    </w:p>
    <w:p w14:paraId="2C6D6D6E" w14:textId="77777777" w:rsidR="006F418B" w:rsidRDefault="006F418B" w:rsidP="00135DF0">
      <w:pPr>
        <w:spacing w:line="360" w:lineRule="auto"/>
      </w:pPr>
    </w:p>
    <w:p w14:paraId="7D0BD2B3" w14:textId="77777777" w:rsidR="006F418B" w:rsidRDefault="006F418B" w:rsidP="006F418B">
      <w:pPr>
        <w:sectPr w:rsidR="006F418B" w:rsidSect="00D1281D">
          <w:pgSz w:w="11909" w:h="16834"/>
          <w:pgMar w:top="1440" w:right="1440" w:bottom="1440" w:left="1440" w:header="720" w:footer="720" w:gutter="0"/>
          <w:cols w:space="720"/>
        </w:sectPr>
      </w:pPr>
    </w:p>
    <w:p w14:paraId="5F5D278D" w14:textId="45045DB6" w:rsidR="00267B09" w:rsidRDefault="00267B09" w:rsidP="00DB094D">
      <w:pPr>
        <w:pStyle w:val="Caption"/>
      </w:pPr>
      <w:bookmarkStart w:id="531" w:name="_Toc207619079"/>
      <w:r>
        <w:t xml:space="preserve">Table </w:t>
      </w:r>
      <w:r>
        <w:fldChar w:fldCharType="begin"/>
      </w:r>
      <w:r>
        <w:instrText xml:space="preserve"> SEQ Table \* ARABIC </w:instrText>
      </w:r>
      <w:r>
        <w:fldChar w:fldCharType="separate"/>
      </w:r>
      <w:r w:rsidR="00986A0D">
        <w:rPr>
          <w:noProof/>
        </w:rPr>
        <w:t>37</w:t>
      </w:r>
      <w:r>
        <w:fldChar w:fldCharType="end"/>
      </w:r>
      <w:r w:rsidR="00A5378B">
        <w:t>.</w:t>
      </w:r>
      <w:r>
        <w:t xml:space="preserve"> </w:t>
      </w:r>
      <w:r w:rsidRPr="00975D1B">
        <w:t>Changes in excess spend following hypothetical EGM loss limits</w:t>
      </w:r>
      <w:bookmarkEnd w:id="531"/>
    </w:p>
    <w:tbl>
      <w:tblPr>
        <w:tblStyle w:val="TableGridLight"/>
        <w:tblW w:w="14454" w:type="dxa"/>
        <w:tblLayout w:type="fixed"/>
        <w:tblLook w:val="0600" w:firstRow="0" w:lastRow="0" w:firstColumn="0" w:lastColumn="0" w:noHBand="1" w:noVBand="1"/>
      </w:tblPr>
      <w:tblGrid>
        <w:gridCol w:w="988"/>
        <w:gridCol w:w="1134"/>
        <w:gridCol w:w="708"/>
        <w:gridCol w:w="567"/>
        <w:gridCol w:w="993"/>
        <w:gridCol w:w="850"/>
        <w:gridCol w:w="851"/>
        <w:gridCol w:w="1275"/>
        <w:gridCol w:w="709"/>
        <w:gridCol w:w="709"/>
        <w:gridCol w:w="1134"/>
        <w:gridCol w:w="709"/>
        <w:gridCol w:w="1134"/>
        <w:gridCol w:w="567"/>
        <w:gridCol w:w="850"/>
        <w:gridCol w:w="1276"/>
      </w:tblGrid>
      <w:tr w:rsidR="006F418B" w:rsidRPr="00657824" w14:paraId="292E533B" w14:textId="77777777" w:rsidTr="00657824">
        <w:trPr>
          <w:trHeight w:val="397"/>
        </w:trPr>
        <w:tc>
          <w:tcPr>
            <w:tcW w:w="988" w:type="dxa"/>
            <w:vMerge w:val="restart"/>
            <w:vAlign w:val="center"/>
          </w:tcPr>
          <w:p w14:paraId="764E47E7" w14:textId="77777777" w:rsidR="006F418B" w:rsidRPr="00657824" w:rsidRDefault="006F418B" w:rsidP="00541D7C">
            <w:pPr>
              <w:rPr>
                <w:b/>
                <w:sz w:val="18"/>
                <w:szCs w:val="18"/>
              </w:rPr>
            </w:pPr>
            <w:r w:rsidRPr="00657824">
              <w:rPr>
                <w:b/>
                <w:sz w:val="18"/>
                <w:szCs w:val="18"/>
              </w:rPr>
              <w:t>Gambling Form</w:t>
            </w:r>
          </w:p>
        </w:tc>
        <w:tc>
          <w:tcPr>
            <w:tcW w:w="1134" w:type="dxa"/>
            <w:vMerge w:val="restart"/>
            <w:vAlign w:val="center"/>
          </w:tcPr>
          <w:p w14:paraId="34297170" w14:textId="77777777" w:rsidR="006F418B" w:rsidRPr="00657824" w:rsidRDefault="006F418B" w:rsidP="00541D7C">
            <w:pPr>
              <w:rPr>
                <w:b/>
                <w:sz w:val="18"/>
                <w:szCs w:val="18"/>
              </w:rPr>
            </w:pPr>
            <w:r w:rsidRPr="00657824">
              <w:rPr>
                <w:b/>
                <w:sz w:val="18"/>
                <w:szCs w:val="18"/>
              </w:rPr>
              <w:t>Scenario</w:t>
            </w:r>
          </w:p>
        </w:tc>
        <w:tc>
          <w:tcPr>
            <w:tcW w:w="708" w:type="dxa"/>
            <w:vMerge w:val="restart"/>
            <w:vAlign w:val="center"/>
          </w:tcPr>
          <w:p w14:paraId="34F1ADBB" w14:textId="77777777" w:rsidR="006F418B" w:rsidRPr="00657824" w:rsidRDefault="006F418B" w:rsidP="00541D7C">
            <w:pPr>
              <w:jc w:val="center"/>
              <w:rPr>
                <w:b/>
                <w:sz w:val="18"/>
                <w:szCs w:val="18"/>
              </w:rPr>
            </w:pPr>
            <w:r w:rsidRPr="00657824">
              <w:rPr>
                <w:b/>
                <w:sz w:val="18"/>
                <w:szCs w:val="18"/>
              </w:rPr>
              <w:t>PGSI</w:t>
            </w:r>
          </w:p>
        </w:tc>
        <w:tc>
          <w:tcPr>
            <w:tcW w:w="1560" w:type="dxa"/>
            <w:gridSpan w:val="2"/>
            <w:vAlign w:val="center"/>
          </w:tcPr>
          <w:p w14:paraId="36A2A2D2" w14:textId="77777777" w:rsidR="006F418B" w:rsidRPr="00657824" w:rsidRDefault="006F418B" w:rsidP="00541D7C">
            <w:pPr>
              <w:jc w:val="center"/>
              <w:rPr>
                <w:b/>
                <w:sz w:val="18"/>
                <w:szCs w:val="18"/>
              </w:rPr>
            </w:pPr>
          </w:p>
        </w:tc>
        <w:tc>
          <w:tcPr>
            <w:tcW w:w="1701" w:type="dxa"/>
            <w:gridSpan w:val="2"/>
            <w:vAlign w:val="center"/>
          </w:tcPr>
          <w:p w14:paraId="184D1B7F" w14:textId="77777777" w:rsidR="006F418B" w:rsidRPr="00657824" w:rsidRDefault="006F418B" w:rsidP="00541D7C">
            <w:pPr>
              <w:jc w:val="center"/>
              <w:rPr>
                <w:b/>
                <w:sz w:val="18"/>
                <w:szCs w:val="18"/>
              </w:rPr>
            </w:pPr>
            <w:r w:rsidRPr="00657824">
              <w:rPr>
                <w:b/>
                <w:sz w:val="18"/>
                <w:szCs w:val="18"/>
              </w:rPr>
              <w:t>Average Spend</w:t>
            </w:r>
          </w:p>
        </w:tc>
        <w:tc>
          <w:tcPr>
            <w:tcW w:w="1984" w:type="dxa"/>
            <w:gridSpan w:val="2"/>
            <w:vAlign w:val="center"/>
          </w:tcPr>
          <w:p w14:paraId="61249C5E" w14:textId="77777777" w:rsidR="006F418B" w:rsidRPr="00657824" w:rsidRDefault="006F418B" w:rsidP="00541D7C">
            <w:pPr>
              <w:jc w:val="center"/>
              <w:rPr>
                <w:b/>
                <w:sz w:val="18"/>
                <w:szCs w:val="18"/>
              </w:rPr>
            </w:pPr>
            <w:r w:rsidRPr="00657824">
              <w:rPr>
                <w:b/>
                <w:sz w:val="18"/>
                <w:szCs w:val="18"/>
              </w:rPr>
              <w:t>Aggregate Spend</w:t>
            </w:r>
          </w:p>
        </w:tc>
        <w:tc>
          <w:tcPr>
            <w:tcW w:w="6379" w:type="dxa"/>
            <w:gridSpan w:val="7"/>
            <w:vAlign w:val="center"/>
          </w:tcPr>
          <w:p w14:paraId="548FBC0E" w14:textId="79B1F3F9" w:rsidR="006F418B" w:rsidRPr="00657824" w:rsidRDefault="006F418B" w:rsidP="00541D7C">
            <w:pPr>
              <w:jc w:val="center"/>
              <w:rPr>
                <w:b/>
                <w:sz w:val="18"/>
                <w:szCs w:val="18"/>
              </w:rPr>
            </w:pPr>
            <w:r w:rsidRPr="00657824">
              <w:rPr>
                <w:b/>
                <w:sz w:val="18"/>
                <w:szCs w:val="18"/>
              </w:rPr>
              <w:t>Excess spend relative to NPGs</w:t>
            </w:r>
          </w:p>
        </w:tc>
      </w:tr>
      <w:tr w:rsidR="00657824" w:rsidRPr="00657824" w14:paraId="670C7A05" w14:textId="77777777" w:rsidTr="00657824">
        <w:trPr>
          <w:trHeight w:val="397"/>
        </w:trPr>
        <w:tc>
          <w:tcPr>
            <w:tcW w:w="988" w:type="dxa"/>
            <w:vMerge/>
            <w:vAlign w:val="center"/>
          </w:tcPr>
          <w:p w14:paraId="713BD8B8" w14:textId="77777777" w:rsidR="00E33643" w:rsidRPr="00657824" w:rsidRDefault="00E33643" w:rsidP="00541D7C">
            <w:pPr>
              <w:widowControl w:val="0"/>
              <w:pBdr>
                <w:top w:val="nil"/>
                <w:left w:val="nil"/>
                <w:bottom w:val="nil"/>
                <w:right w:val="nil"/>
                <w:between w:val="nil"/>
              </w:pBdr>
              <w:rPr>
                <w:b/>
                <w:sz w:val="18"/>
                <w:szCs w:val="18"/>
              </w:rPr>
            </w:pPr>
          </w:p>
        </w:tc>
        <w:tc>
          <w:tcPr>
            <w:tcW w:w="1134" w:type="dxa"/>
            <w:vMerge/>
            <w:vAlign w:val="center"/>
          </w:tcPr>
          <w:p w14:paraId="1FF60654" w14:textId="77777777" w:rsidR="00E33643" w:rsidRPr="00657824" w:rsidRDefault="00E33643" w:rsidP="00541D7C">
            <w:pPr>
              <w:widowControl w:val="0"/>
              <w:pBdr>
                <w:top w:val="nil"/>
                <w:left w:val="nil"/>
                <w:bottom w:val="nil"/>
                <w:right w:val="nil"/>
                <w:between w:val="nil"/>
              </w:pBdr>
              <w:rPr>
                <w:b/>
                <w:sz w:val="18"/>
                <w:szCs w:val="18"/>
              </w:rPr>
            </w:pPr>
          </w:p>
        </w:tc>
        <w:tc>
          <w:tcPr>
            <w:tcW w:w="708" w:type="dxa"/>
            <w:vMerge/>
            <w:vAlign w:val="center"/>
          </w:tcPr>
          <w:p w14:paraId="3C5D852E" w14:textId="77777777" w:rsidR="00E33643" w:rsidRPr="00657824" w:rsidRDefault="00E33643" w:rsidP="00541D7C">
            <w:pPr>
              <w:widowControl w:val="0"/>
              <w:pBdr>
                <w:top w:val="nil"/>
                <w:left w:val="nil"/>
                <w:bottom w:val="nil"/>
                <w:right w:val="nil"/>
                <w:between w:val="nil"/>
              </w:pBdr>
              <w:jc w:val="center"/>
              <w:rPr>
                <w:b/>
                <w:sz w:val="18"/>
                <w:szCs w:val="18"/>
              </w:rPr>
            </w:pPr>
          </w:p>
        </w:tc>
        <w:tc>
          <w:tcPr>
            <w:tcW w:w="567" w:type="dxa"/>
            <w:vAlign w:val="center"/>
          </w:tcPr>
          <w:p w14:paraId="6ACB062E" w14:textId="77777777" w:rsidR="00E33643" w:rsidRPr="00657824" w:rsidRDefault="00E33643" w:rsidP="00541D7C">
            <w:pPr>
              <w:jc w:val="center"/>
              <w:rPr>
                <w:b/>
                <w:sz w:val="18"/>
                <w:szCs w:val="18"/>
              </w:rPr>
            </w:pPr>
            <w:r w:rsidRPr="00657824">
              <w:rPr>
                <w:b/>
                <w:sz w:val="18"/>
                <w:szCs w:val="18"/>
              </w:rPr>
              <w:t>Sample</w:t>
            </w:r>
          </w:p>
        </w:tc>
        <w:tc>
          <w:tcPr>
            <w:tcW w:w="993" w:type="dxa"/>
            <w:vAlign w:val="center"/>
          </w:tcPr>
          <w:p w14:paraId="09B91610" w14:textId="77777777" w:rsidR="00E33643" w:rsidRPr="00657824" w:rsidRDefault="00E33643" w:rsidP="00541D7C">
            <w:pPr>
              <w:jc w:val="center"/>
              <w:rPr>
                <w:b/>
                <w:sz w:val="18"/>
                <w:szCs w:val="18"/>
              </w:rPr>
            </w:pPr>
            <w:r w:rsidRPr="00841D8C">
              <w:rPr>
                <w:b/>
                <w:sz w:val="16"/>
                <w:szCs w:val="16"/>
              </w:rPr>
              <w:t>Population (weighted)</w:t>
            </w:r>
          </w:p>
        </w:tc>
        <w:tc>
          <w:tcPr>
            <w:tcW w:w="850" w:type="dxa"/>
            <w:vAlign w:val="center"/>
          </w:tcPr>
          <w:p w14:paraId="1C902753" w14:textId="77777777" w:rsidR="00E33643" w:rsidRPr="00657824" w:rsidRDefault="00E33643" w:rsidP="00541D7C">
            <w:pPr>
              <w:jc w:val="center"/>
              <w:rPr>
                <w:b/>
                <w:sz w:val="18"/>
                <w:szCs w:val="18"/>
              </w:rPr>
            </w:pPr>
            <w:r w:rsidRPr="00657824">
              <w:rPr>
                <w:b/>
                <w:sz w:val="18"/>
                <w:szCs w:val="18"/>
              </w:rPr>
              <w:t>Per person</w:t>
            </w:r>
          </w:p>
        </w:tc>
        <w:tc>
          <w:tcPr>
            <w:tcW w:w="851" w:type="dxa"/>
            <w:vAlign w:val="center"/>
          </w:tcPr>
          <w:p w14:paraId="614167E1" w14:textId="77777777" w:rsidR="00E33643" w:rsidRPr="00657824" w:rsidRDefault="00E33643" w:rsidP="00541D7C">
            <w:pPr>
              <w:jc w:val="center"/>
              <w:rPr>
                <w:b/>
                <w:sz w:val="18"/>
                <w:szCs w:val="18"/>
              </w:rPr>
            </w:pPr>
            <w:r w:rsidRPr="00657824">
              <w:rPr>
                <w:b/>
                <w:sz w:val="18"/>
                <w:szCs w:val="18"/>
              </w:rPr>
              <w:t>Excess above NPG</w:t>
            </w:r>
          </w:p>
        </w:tc>
        <w:tc>
          <w:tcPr>
            <w:tcW w:w="1275" w:type="dxa"/>
            <w:vAlign w:val="center"/>
          </w:tcPr>
          <w:p w14:paraId="253AFC94" w14:textId="77777777" w:rsidR="00E33643" w:rsidRPr="00657824" w:rsidRDefault="00E33643" w:rsidP="00541D7C">
            <w:pPr>
              <w:jc w:val="center"/>
              <w:rPr>
                <w:b/>
                <w:sz w:val="18"/>
                <w:szCs w:val="18"/>
              </w:rPr>
            </w:pPr>
            <w:r w:rsidRPr="00657824">
              <w:rPr>
                <w:b/>
                <w:sz w:val="18"/>
                <w:szCs w:val="18"/>
              </w:rPr>
              <w:t>Population $</w:t>
            </w:r>
          </w:p>
        </w:tc>
        <w:tc>
          <w:tcPr>
            <w:tcW w:w="709" w:type="dxa"/>
            <w:vAlign w:val="center"/>
          </w:tcPr>
          <w:p w14:paraId="62F88B70" w14:textId="77777777" w:rsidR="00E33643" w:rsidRPr="00657824" w:rsidRDefault="00E33643" w:rsidP="00541D7C">
            <w:pPr>
              <w:jc w:val="center"/>
              <w:rPr>
                <w:b/>
                <w:sz w:val="18"/>
                <w:szCs w:val="18"/>
              </w:rPr>
            </w:pPr>
            <w:r w:rsidRPr="00657824">
              <w:rPr>
                <w:b/>
                <w:sz w:val="18"/>
                <w:szCs w:val="18"/>
              </w:rPr>
              <w:t>% by PGSI group</w:t>
            </w:r>
          </w:p>
        </w:tc>
        <w:tc>
          <w:tcPr>
            <w:tcW w:w="2552" w:type="dxa"/>
            <w:gridSpan w:val="3"/>
            <w:vAlign w:val="center"/>
          </w:tcPr>
          <w:p w14:paraId="740A2113" w14:textId="77777777" w:rsidR="00E33643" w:rsidRPr="00657824" w:rsidRDefault="00E33643" w:rsidP="00541D7C">
            <w:pPr>
              <w:jc w:val="center"/>
              <w:rPr>
                <w:b/>
                <w:sz w:val="18"/>
                <w:szCs w:val="18"/>
              </w:rPr>
            </w:pPr>
            <w:r w:rsidRPr="00657824">
              <w:rPr>
                <w:b/>
                <w:sz w:val="18"/>
                <w:szCs w:val="18"/>
              </w:rPr>
              <w:t>Total</w:t>
            </w:r>
          </w:p>
        </w:tc>
        <w:tc>
          <w:tcPr>
            <w:tcW w:w="1134" w:type="dxa"/>
            <w:vAlign w:val="center"/>
          </w:tcPr>
          <w:p w14:paraId="43A3CA7E" w14:textId="764E088D" w:rsidR="00E33643" w:rsidRPr="00657824" w:rsidRDefault="00E33643" w:rsidP="00541D7C">
            <w:pPr>
              <w:jc w:val="center"/>
              <w:rPr>
                <w:b/>
                <w:sz w:val="18"/>
                <w:szCs w:val="18"/>
              </w:rPr>
            </w:pPr>
            <w:r w:rsidRPr="00657824">
              <w:rPr>
                <w:b/>
                <w:sz w:val="18"/>
                <w:szCs w:val="18"/>
              </w:rPr>
              <w:t>PG only</w:t>
            </w:r>
          </w:p>
        </w:tc>
        <w:tc>
          <w:tcPr>
            <w:tcW w:w="2693" w:type="dxa"/>
            <w:gridSpan w:val="3"/>
            <w:vAlign w:val="center"/>
          </w:tcPr>
          <w:p w14:paraId="7D9C0F86" w14:textId="77777777" w:rsidR="00E33643" w:rsidRPr="00657824" w:rsidRDefault="00E33643" w:rsidP="00541D7C">
            <w:pPr>
              <w:jc w:val="center"/>
              <w:rPr>
                <w:b/>
                <w:sz w:val="18"/>
                <w:szCs w:val="18"/>
              </w:rPr>
            </w:pPr>
            <w:r w:rsidRPr="00657824">
              <w:rPr>
                <w:b/>
                <w:sz w:val="18"/>
                <w:szCs w:val="18"/>
              </w:rPr>
              <w:t>LR, MR, PG discounted</w:t>
            </w:r>
          </w:p>
        </w:tc>
      </w:tr>
      <w:tr w:rsidR="00657824" w:rsidRPr="00657824" w14:paraId="17DFC67A" w14:textId="77777777" w:rsidTr="00657824">
        <w:trPr>
          <w:trHeight w:val="397"/>
        </w:trPr>
        <w:tc>
          <w:tcPr>
            <w:tcW w:w="988" w:type="dxa"/>
            <w:vMerge w:val="restart"/>
            <w:vAlign w:val="center"/>
          </w:tcPr>
          <w:p w14:paraId="64B1F2D9" w14:textId="77777777" w:rsidR="00E33643" w:rsidRPr="00657824" w:rsidRDefault="00E33643" w:rsidP="00541D7C">
            <w:pPr>
              <w:rPr>
                <w:b/>
                <w:sz w:val="18"/>
                <w:szCs w:val="18"/>
              </w:rPr>
            </w:pPr>
          </w:p>
        </w:tc>
        <w:tc>
          <w:tcPr>
            <w:tcW w:w="1134" w:type="dxa"/>
            <w:vMerge w:val="restart"/>
            <w:vAlign w:val="center"/>
          </w:tcPr>
          <w:p w14:paraId="19BE514A" w14:textId="77777777" w:rsidR="00E33643" w:rsidRPr="00657824" w:rsidRDefault="00E33643" w:rsidP="00541D7C">
            <w:pPr>
              <w:rPr>
                <w:b/>
                <w:sz w:val="18"/>
                <w:szCs w:val="18"/>
              </w:rPr>
            </w:pPr>
            <w:r w:rsidRPr="00657824">
              <w:rPr>
                <w:b/>
                <w:sz w:val="18"/>
                <w:szCs w:val="18"/>
              </w:rPr>
              <w:t>Calculation</w:t>
            </w:r>
          </w:p>
        </w:tc>
        <w:tc>
          <w:tcPr>
            <w:tcW w:w="708" w:type="dxa"/>
            <w:vMerge w:val="restart"/>
            <w:vAlign w:val="center"/>
          </w:tcPr>
          <w:p w14:paraId="35415149" w14:textId="10577879" w:rsidR="00E33643" w:rsidRPr="00657824" w:rsidRDefault="00E33643" w:rsidP="00541D7C">
            <w:pPr>
              <w:jc w:val="center"/>
              <w:rPr>
                <w:b/>
                <w:sz w:val="16"/>
                <w:szCs w:val="16"/>
              </w:rPr>
            </w:pPr>
          </w:p>
        </w:tc>
        <w:tc>
          <w:tcPr>
            <w:tcW w:w="567" w:type="dxa"/>
            <w:vMerge w:val="restart"/>
            <w:vAlign w:val="center"/>
          </w:tcPr>
          <w:p w14:paraId="25D82959" w14:textId="77777777" w:rsidR="00E33643" w:rsidRPr="00657824" w:rsidRDefault="00E33643" w:rsidP="00541D7C">
            <w:pPr>
              <w:jc w:val="center"/>
              <w:rPr>
                <w:b/>
                <w:sz w:val="16"/>
                <w:szCs w:val="16"/>
              </w:rPr>
            </w:pPr>
          </w:p>
        </w:tc>
        <w:tc>
          <w:tcPr>
            <w:tcW w:w="993" w:type="dxa"/>
            <w:vMerge w:val="restart"/>
            <w:vAlign w:val="center"/>
          </w:tcPr>
          <w:p w14:paraId="70B70E46" w14:textId="77777777" w:rsidR="00E33643" w:rsidRPr="00657824" w:rsidRDefault="00E33643" w:rsidP="00541D7C">
            <w:pPr>
              <w:jc w:val="center"/>
              <w:rPr>
                <w:b/>
                <w:sz w:val="16"/>
                <w:szCs w:val="16"/>
              </w:rPr>
            </w:pPr>
            <w:r w:rsidRPr="00657824">
              <w:rPr>
                <w:b/>
                <w:sz w:val="16"/>
                <w:szCs w:val="16"/>
              </w:rPr>
              <w:t>a</w:t>
            </w:r>
          </w:p>
        </w:tc>
        <w:tc>
          <w:tcPr>
            <w:tcW w:w="850" w:type="dxa"/>
            <w:vMerge w:val="restart"/>
            <w:vAlign w:val="center"/>
          </w:tcPr>
          <w:p w14:paraId="39AB968E" w14:textId="77777777" w:rsidR="00E33643" w:rsidRPr="00657824" w:rsidRDefault="00E33643" w:rsidP="00541D7C">
            <w:pPr>
              <w:jc w:val="center"/>
              <w:rPr>
                <w:b/>
                <w:sz w:val="16"/>
                <w:szCs w:val="16"/>
              </w:rPr>
            </w:pPr>
            <w:r w:rsidRPr="00657824">
              <w:rPr>
                <w:b/>
                <w:sz w:val="16"/>
                <w:szCs w:val="16"/>
              </w:rPr>
              <w:t>b</w:t>
            </w:r>
          </w:p>
        </w:tc>
        <w:tc>
          <w:tcPr>
            <w:tcW w:w="851" w:type="dxa"/>
            <w:vMerge w:val="restart"/>
            <w:vAlign w:val="center"/>
          </w:tcPr>
          <w:p w14:paraId="06BB9AA2" w14:textId="77777777" w:rsidR="00E33643" w:rsidRPr="00657824" w:rsidRDefault="00E33643" w:rsidP="00541D7C">
            <w:pPr>
              <w:jc w:val="center"/>
              <w:rPr>
                <w:b/>
                <w:sz w:val="16"/>
                <w:szCs w:val="16"/>
              </w:rPr>
            </w:pPr>
            <w:r w:rsidRPr="00657824">
              <w:rPr>
                <w:b/>
                <w:sz w:val="16"/>
                <w:szCs w:val="16"/>
              </w:rPr>
              <w:t>c = b - b'NPG'</w:t>
            </w:r>
          </w:p>
        </w:tc>
        <w:tc>
          <w:tcPr>
            <w:tcW w:w="1275" w:type="dxa"/>
            <w:vMerge w:val="restart"/>
            <w:vAlign w:val="center"/>
          </w:tcPr>
          <w:p w14:paraId="6627F28B" w14:textId="77777777" w:rsidR="00E33643" w:rsidRPr="00657824" w:rsidRDefault="00E33643" w:rsidP="00541D7C">
            <w:pPr>
              <w:jc w:val="center"/>
              <w:rPr>
                <w:b/>
                <w:sz w:val="16"/>
                <w:szCs w:val="16"/>
              </w:rPr>
            </w:pPr>
            <w:r w:rsidRPr="00657824">
              <w:rPr>
                <w:b/>
                <w:sz w:val="16"/>
                <w:szCs w:val="16"/>
              </w:rPr>
              <w:t>d = a x b</w:t>
            </w:r>
          </w:p>
        </w:tc>
        <w:tc>
          <w:tcPr>
            <w:tcW w:w="709" w:type="dxa"/>
            <w:vMerge w:val="restart"/>
            <w:vAlign w:val="center"/>
          </w:tcPr>
          <w:p w14:paraId="2590B975" w14:textId="77777777" w:rsidR="00E33643" w:rsidRPr="00657824" w:rsidRDefault="00E33643" w:rsidP="00541D7C">
            <w:pPr>
              <w:jc w:val="center"/>
              <w:rPr>
                <w:b/>
                <w:sz w:val="16"/>
                <w:szCs w:val="16"/>
              </w:rPr>
            </w:pPr>
          </w:p>
        </w:tc>
        <w:tc>
          <w:tcPr>
            <w:tcW w:w="2552" w:type="dxa"/>
            <w:gridSpan w:val="3"/>
            <w:vAlign w:val="center"/>
          </w:tcPr>
          <w:p w14:paraId="3C2773C1" w14:textId="77777777" w:rsidR="00E33643" w:rsidRPr="00657824" w:rsidRDefault="00E33643" w:rsidP="00541D7C">
            <w:pPr>
              <w:jc w:val="center"/>
              <w:rPr>
                <w:b/>
                <w:sz w:val="16"/>
                <w:szCs w:val="16"/>
              </w:rPr>
            </w:pPr>
            <w:r w:rsidRPr="00657824">
              <w:rPr>
                <w:b/>
                <w:sz w:val="16"/>
                <w:szCs w:val="16"/>
              </w:rPr>
              <w:t>e = a x c</w:t>
            </w:r>
          </w:p>
        </w:tc>
        <w:tc>
          <w:tcPr>
            <w:tcW w:w="1134" w:type="dxa"/>
            <w:vAlign w:val="center"/>
          </w:tcPr>
          <w:p w14:paraId="5B0046D0" w14:textId="06B58184" w:rsidR="00E33643" w:rsidRPr="00657824" w:rsidRDefault="00E33643" w:rsidP="00541D7C">
            <w:pPr>
              <w:jc w:val="center"/>
              <w:rPr>
                <w:b/>
                <w:sz w:val="16"/>
                <w:szCs w:val="16"/>
              </w:rPr>
            </w:pPr>
          </w:p>
          <w:p w14:paraId="51A7DEE7" w14:textId="7C366A55" w:rsidR="00E33643" w:rsidRPr="00657824" w:rsidRDefault="00E33643" w:rsidP="00541D7C">
            <w:pPr>
              <w:jc w:val="center"/>
              <w:rPr>
                <w:b/>
                <w:sz w:val="16"/>
                <w:szCs w:val="16"/>
              </w:rPr>
            </w:pPr>
          </w:p>
        </w:tc>
        <w:tc>
          <w:tcPr>
            <w:tcW w:w="567" w:type="dxa"/>
            <w:vAlign w:val="center"/>
          </w:tcPr>
          <w:p w14:paraId="301F2002" w14:textId="77777777" w:rsidR="00E33643" w:rsidRPr="00657824" w:rsidRDefault="00E33643" w:rsidP="00541D7C">
            <w:pPr>
              <w:jc w:val="center"/>
              <w:rPr>
                <w:b/>
                <w:sz w:val="16"/>
                <w:szCs w:val="16"/>
              </w:rPr>
            </w:pPr>
            <w:r w:rsidRPr="00657824">
              <w:rPr>
                <w:b/>
                <w:sz w:val="16"/>
                <w:szCs w:val="16"/>
              </w:rPr>
              <w:t>f</w:t>
            </w:r>
          </w:p>
        </w:tc>
        <w:tc>
          <w:tcPr>
            <w:tcW w:w="850" w:type="dxa"/>
            <w:vAlign w:val="center"/>
          </w:tcPr>
          <w:p w14:paraId="351BA945" w14:textId="4E9A46B9" w:rsidR="00E33643" w:rsidRPr="00657824" w:rsidRDefault="00E33643" w:rsidP="00541D7C">
            <w:pPr>
              <w:jc w:val="center"/>
              <w:rPr>
                <w:b/>
                <w:sz w:val="16"/>
                <w:szCs w:val="16"/>
              </w:rPr>
            </w:pPr>
          </w:p>
        </w:tc>
        <w:tc>
          <w:tcPr>
            <w:tcW w:w="1276" w:type="dxa"/>
            <w:vAlign w:val="center"/>
          </w:tcPr>
          <w:p w14:paraId="01398CEB" w14:textId="77777777" w:rsidR="00E33643" w:rsidRPr="00657824" w:rsidRDefault="00E33643" w:rsidP="00541D7C">
            <w:pPr>
              <w:jc w:val="center"/>
              <w:rPr>
                <w:b/>
                <w:sz w:val="16"/>
                <w:szCs w:val="16"/>
              </w:rPr>
            </w:pPr>
            <w:r w:rsidRPr="00657824">
              <w:rPr>
                <w:b/>
                <w:sz w:val="16"/>
                <w:szCs w:val="16"/>
              </w:rPr>
              <w:t>g = e x f</w:t>
            </w:r>
          </w:p>
        </w:tc>
      </w:tr>
      <w:tr w:rsidR="00657824" w:rsidRPr="00657824" w14:paraId="66AF1710" w14:textId="77777777" w:rsidTr="00657824">
        <w:trPr>
          <w:trHeight w:val="397"/>
        </w:trPr>
        <w:tc>
          <w:tcPr>
            <w:tcW w:w="988" w:type="dxa"/>
            <w:vMerge/>
            <w:vAlign w:val="center"/>
          </w:tcPr>
          <w:p w14:paraId="7ECDE526" w14:textId="77777777" w:rsidR="00E33643" w:rsidRPr="00657824" w:rsidRDefault="00E33643" w:rsidP="00541D7C">
            <w:pPr>
              <w:rPr>
                <w:b/>
                <w:sz w:val="18"/>
                <w:szCs w:val="18"/>
              </w:rPr>
            </w:pPr>
          </w:p>
        </w:tc>
        <w:tc>
          <w:tcPr>
            <w:tcW w:w="1134" w:type="dxa"/>
            <w:vMerge/>
            <w:vAlign w:val="center"/>
          </w:tcPr>
          <w:p w14:paraId="3BDCDC4D" w14:textId="77777777" w:rsidR="00E33643" w:rsidRPr="00657824" w:rsidRDefault="00E33643" w:rsidP="00541D7C">
            <w:pPr>
              <w:widowControl w:val="0"/>
              <w:pBdr>
                <w:top w:val="nil"/>
                <w:left w:val="nil"/>
                <w:bottom w:val="nil"/>
                <w:right w:val="nil"/>
                <w:between w:val="nil"/>
              </w:pBdr>
              <w:rPr>
                <w:b/>
                <w:sz w:val="18"/>
                <w:szCs w:val="18"/>
              </w:rPr>
            </w:pPr>
          </w:p>
        </w:tc>
        <w:tc>
          <w:tcPr>
            <w:tcW w:w="708" w:type="dxa"/>
            <w:vMerge/>
            <w:vAlign w:val="center"/>
          </w:tcPr>
          <w:p w14:paraId="22FC5103" w14:textId="77777777" w:rsidR="00E33643" w:rsidRPr="00657824" w:rsidRDefault="00E33643" w:rsidP="00541D7C">
            <w:pPr>
              <w:widowControl w:val="0"/>
              <w:pBdr>
                <w:top w:val="nil"/>
                <w:left w:val="nil"/>
                <w:bottom w:val="nil"/>
                <w:right w:val="nil"/>
                <w:between w:val="nil"/>
              </w:pBdr>
              <w:jc w:val="center"/>
              <w:rPr>
                <w:b/>
                <w:sz w:val="16"/>
                <w:szCs w:val="16"/>
              </w:rPr>
            </w:pPr>
          </w:p>
        </w:tc>
        <w:tc>
          <w:tcPr>
            <w:tcW w:w="567" w:type="dxa"/>
            <w:vMerge/>
            <w:vAlign w:val="center"/>
          </w:tcPr>
          <w:p w14:paraId="44BCAE2A" w14:textId="77777777" w:rsidR="00E33643" w:rsidRPr="00657824" w:rsidRDefault="00E33643" w:rsidP="00541D7C">
            <w:pPr>
              <w:widowControl w:val="0"/>
              <w:pBdr>
                <w:top w:val="nil"/>
                <w:left w:val="nil"/>
                <w:bottom w:val="nil"/>
                <w:right w:val="nil"/>
                <w:between w:val="nil"/>
              </w:pBdr>
              <w:jc w:val="center"/>
              <w:rPr>
                <w:b/>
                <w:sz w:val="16"/>
                <w:szCs w:val="16"/>
              </w:rPr>
            </w:pPr>
          </w:p>
        </w:tc>
        <w:tc>
          <w:tcPr>
            <w:tcW w:w="993" w:type="dxa"/>
            <w:vMerge/>
            <w:vAlign w:val="center"/>
          </w:tcPr>
          <w:p w14:paraId="15726571" w14:textId="77777777" w:rsidR="00E33643" w:rsidRPr="00657824" w:rsidRDefault="00E33643" w:rsidP="00541D7C">
            <w:pPr>
              <w:widowControl w:val="0"/>
              <w:pBdr>
                <w:top w:val="nil"/>
                <w:left w:val="nil"/>
                <w:bottom w:val="nil"/>
                <w:right w:val="nil"/>
                <w:between w:val="nil"/>
              </w:pBdr>
              <w:jc w:val="center"/>
              <w:rPr>
                <w:b/>
                <w:sz w:val="16"/>
                <w:szCs w:val="16"/>
              </w:rPr>
            </w:pPr>
          </w:p>
        </w:tc>
        <w:tc>
          <w:tcPr>
            <w:tcW w:w="850" w:type="dxa"/>
            <w:vMerge/>
            <w:vAlign w:val="center"/>
          </w:tcPr>
          <w:p w14:paraId="60AA4DE8" w14:textId="77777777" w:rsidR="00E33643" w:rsidRPr="00657824" w:rsidRDefault="00E33643" w:rsidP="00541D7C">
            <w:pPr>
              <w:widowControl w:val="0"/>
              <w:pBdr>
                <w:top w:val="nil"/>
                <w:left w:val="nil"/>
                <w:bottom w:val="nil"/>
                <w:right w:val="nil"/>
                <w:between w:val="nil"/>
              </w:pBdr>
              <w:jc w:val="center"/>
              <w:rPr>
                <w:b/>
                <w:sz w:val="16"/>
                <w:szCs w:val="16"/>
              </w:rPr>
            </w:pPr>
          </w:p>
        </w:tc>
        <w:tc>
          <w:tcPr>
            <w:tcW w:w="851" w:type="dxa"/>
            <w:vMerge/>
            <w:vAlign w:val="center"/>
          </w:tcPr>
          <w:p w14:paraId="007B9D6B" w14:textId="77777777" w:rsidR="00E33643" w:rsidRPr="00657824" w:rsidRDefault="00E33643" w:rsidP="00541D7C">
            <w:pPr>
              <w:widowControl w:val="0"/>
              <w:pBdr>
                <w:top w:val="nil"/>
                <w:left w:val="nil"/>
                <w:bottom w:val="nil"/>
                <w:right w:val="nil"/>
                <w:between w:val="nil"/>
              </w:pBdr>
              <w:jc w:val="center"/>
              <w:rPr>
                <w:b/>
                <w:sz w:val="16"/>
                <w:szCs w:val="16"/>
              </w:rPr>
            </w:pPr>
          </w:p>
        </w:tc>
        <w:tc>
          <w:tcPr>
            <w:tcW w:w="1275" w:type="dxa"/>
            <w:vMerge/>
            <w:vAlign w:val="center"/>
          </w:tcPr>
          <w:p w14:paraId="2152C713" w14:textId="77777777" w:rsidR="00E33643" w:rsidRPr="00657824" w:rsidRDefault="00E33643" w:rsidP="00541D7C">
            <w:pPr>
              <w:widowControl w:val="0"/>
              <w:pBdr>
                <w:top w:val="nil"/>
                <w:left w:val="nil"/>
                <w:bottom w:val="nil"/>
                <w:right w:val="nil"/>
                <w:between w:val="nil"/>
              </w:pBdr>
              <w:jc w:val="center"/>
              <w:rPr>
                <w:b/>
                <w:sz w:val="16"/>
                <w:szCs w:val="16"/>
              </w:rPr>
            </w:pPr>
          </w:p>
        </w:tc>
        <w:tc>
          <w:tcPr>
            <w:tcW w:w="709" w:type="dxa"/>
            <w:vMerge/>
            <w:vAlign w:val="center"/>
          </w:tcPr>
          <w:p w14:paraId="7FABD607" w14:textId="77777777" w:rsidR="00E33643" w:rsidRPr="00657824" w:rsidRDefault="00E33643" w:rsidP="00541D7C">
            <w:pPr>
              <w:widowControl w:val="0"/>
              <w:pBdr>
                <w:top w:val="nil"/>
                <w:left w:val="nil"/>
                <w:bottom w:val="nil"/>
                <w:right w:val="nil"/>
                <w:between w:val="nil"/>
              </w:pBdr>
              <w:jc w:val="center"/>
              <w:rPr>
                <w:b/>
                <w:sz w:val="16"/>
                <w:szCs w:val="16"/>
              </w:rPr>
            </w:pPr>
          </w:p>
        </w:tc>
        <w:tc>
          <w:tcPr>
            <w:tcW w:w="709" w:type="dxa"/>
            <w:vAlign w:val="center"/>
          </w:tcPr>
          <w:p w14:paraId="7E3EC3BC" w14:textId="77777777" w:rsidR="00E33643" w:rsidRPr="00657824" w:rsidRDefault="00E33643" w:rsidP="00541D7C">
            <w:pPr>
              <w:jc w:val="center"/>
              <w:rPr>
                <w:b/>
                <w:sz w:val="16"/>
                <w:szCs w:val="16"/>
              </w:rPr>
            </w:pPr>
            <w:r w:rsidRPr="00657824">
              <w:rPr>
                <w:b/>
                <w:sz w:val="16"/>
                <w:szCs w:val="16"/>
              </w:rPr>
              <w:t>%</w:t>
            </w:r>
          </w:p>
        </w:tc>
        <w:tc>
          <w:tcPr>
            <w:tcW w:w="1134" w:type="dxa"/>
            <w:vAlign w:val="center"/>
          </w:tcPr>
          <w:p w14:paraId="48E80F30" w14:textId="77777777" w:rsidR="00E33643" w:rsidRPr="00657824" w:rsidRDefault="00E33643" w:rsidP="00541D7C">
            <w:pPr>
              <w:jc w:val="center"/>
              <w:rPr>
                <w:b/>
                <w:sz w:val="16"/>
                <w:szCs w:val="16"/>
              </w:rPr>
            </w:pPr>
            <w:r w:rsidRPr="00657824">
              <w:rPr>
                <w:b/>
                <w:sz w:val="16"/>
                <w:szCs w:val="16"/>
              </w:rPr>
              <w:t>$</w:t>
            </w:r>
          </w:p>
        </w:tc>
        <w:tc>
          <w:tcPr>
            <w:tcW w:w="709" w:type="dxa"/>
            <w:vAlign w:val="center"/>
          </w:tcPr>
          <w:p w14:paraId="099B8313" w14:textId="77777777" w:rsidR="00E33643" w:rsidRPr="00657824" w:rsidRDefault="00E33643" w:rsidP="00541D7C">
            <w:pPr>
              <w:jc w:val="center"/>
              <w:rPr>
                <w:b/>
                <w:sz w:val="16"/>
                <w:szCs w:val="16"/>
              </w:rPr>
            </w:pPr>
            <w:r w:rsidRPr="00657824">
              <w:rPr>
                <w:b/>
                <w:sz w:val="16"/>
                <w:szCs w:val="16"/>
              </w:rPr>
              <w:t>%</w:t>
            </w:r>
          </w:p>
        </w:tc>
        <w:tc>
          <w:tcPr>
            <w:tcW w:w="1134" w:type="dxa"/>
            <w:vAlign w:val="center"/>
          </w:tcPr>
          <w:p w14:paraId="58B8969F" w14:textId="4E4004A2" w:rsidR="00E33643" w:rsidRPr="00657824" w:rsidRDefault="00E33643" w:rsidP="00541D7C">
            <w:pPr>
              <w:jc w:val="center"/>
              <w:rPr>
                <w:b/>
                <w:sz w:val="16"/>
                <w:szCs w:val="16"/>
              </w:rPr>
            </w:pPr>
            <w:r w:rsidRPr="00657824">
              <w:rPr>
                <w:b/>
                <w:sz w:val="16"/>
                <w:szCs w:val="16"/>
              </w:rPr>
              <w:t>$</w:t>
            </w:r>
          </w:p>
        </w:tc>
        <w:tc>
          <w:tcPr>
            <w:tcW w:w="567" w:type="dxa"/>
            <w:vAlign w:val="center"/>
          </w:tcPr>
          <w:p w14:paraId="3C7737F7" w14:textId="2A6CCB18" w:rsidR="00E33643" w:rsidRPr="00657824" w:rsidRDefault="00E33643" w:rsidP="00541D7C">
            <w:pPr>
              <w:jc w:val="center"/>
              <w:rPr>
                <w:b/>
                <w:sz w:val="16"/>
                <w:szCs w:val="16"/>
              </w:rPr>
            </w:pPr>
            <w:r w:rsidRPr="00657824">
              <w:rPr>
                <w:b/>
                <w:sz w:val="16"/>
                <w:szCs w:val="16"/>
              </w:rPr>
              <w:t>Disc</w:t>
            </w:r>
            <w:r w:rsidR="00657824">
              <w:rPr>
                <w:b/>
                <w:sz w:val="16"/>
                <w:szCs w:val="16"/>
              </w:rPr>
              <w:t>-</w:t>
            </w:r>
            <w:r w:rsidRPr="00657824">
              <w:rPr>
                <w:b/>
                <w:sz w:val="16"/>
                <w:szCs w:val="16"/>
              </w:rPr>
              <w:t>ount</w:t>
            </w:r>
          </w:p>
        </w:tc>
        <w:tc>
          <w:tcPr>
            <w:tcW w:w="850" w:type="dxa"/>
            <w:vAlign w:val="center"/>
          </w:tcPr>
          <w:p w14:paraId="44AACF47" w14:textId="77777777" w:rsidR="00E33643" w:rsidRPr="00657824" w:rsidRDefault="00E33643" w:rsidP="00541D7C">
            <w:pPr>
              <w:jc w:val="center"/>
              <w:rPr>
                <w:b/>
                <w:sz w:val="16"/>
                <w:szCs w:val="16"/>
              </w:rPr>
            </w:pPr>
            <w:r w:rsidRPr="00657824">
              <w:rPr>
                <w:b/>
                <w:sz w:val="16"/>
                <w:szCs w:val="16"/>
              </w:rPr>
              <w:t>%</w:t>
            </w:r>
          </w:p>
        </w:tc>
        <w:tc>
          <w:tcPr>
            <w:tcW w:w="1276" w:type="dxa"/>
            <w:vAlign w:val="center"/>
          </w:tcPr>
          <w:p w14:paraId="67DEBABF" w14:textId="77777777" w:rsidR="00E33643" w:rsidRPr="00657824" w:rsidRDefault="00E33643" w:rsidP="00541D7C">
            <w:pPr>
              <w:jc w:val="center"/>
              <w:rPr>
                <w:b/>
                <w:sz w:val="16"/>
                <w:szCs w:val="16"/>
              </w:rPr>
            </w:pPr>
            <w:r w:rsidRPr="00657824">
              <w:rPr>
                <w:b/>
                <w:sz w:val="16"/>
                <w:szCs w:val="16"/>
              </w:rPr>
              <w:t>$</w:t>
            </w:r>
          </w:p>
        </w:tc>
      </w:tr>
      <w:tr w:rsidR="00657824" w:rsidRPr="00657824" w14:paraId="5BEBEBF0" w14:textId="77777777" w:rsidTr="00657824">
        <w:trPr>
          <w:trHeight w:val="397"/>
        </w:trPr>
        <w:tc>
          <w:tcPr>
            <w:tcW w:w="988" w:type="dxa"/>
            <w:vMerge w:val="restart"/>
            <w:vAlign w:val="center"/>
          </w:tcPr>
          <w:p w14:paraId="6614AD4F" w14:textId="2774A6D0" w:rsidR="00E33643" w:rsidRPr="00657824" w:rsidRDefault="00E33643" w:rsidP="00541D7C">
            <w:pPr>
              <w:rPr>
                <w:b/>
                <w:sz w:val="18"/>
                <w:szCs w:val="18"/>
              </w:rPr>
            </w:pPr>
            <w:r w:rsidRPr="00657824">
              <w:rPr>
                <w:b/>
                <w:sz w:val="18"/>
                <w:szCs w:val="18"/>
              </w:rPr>
              <w:t>EGMs (pubs/</w:t>
            </w:r>
            <w:r w:rsidRPr="00657824">
              <w:rPr>
                <w:b/>
                <w:sz w:val="18"/>
                <w:szCs w:val="18"/>
              </w:rPr>
              <w:br/>
              <w:t>clubs)</w:t>
            </w:r>
          </w:p>
        </w:tc>
        <w:tc>
          <w:tcPr>
            <w:tcW w:w="1134" w:type="dxa"/>
            <w:vMerge w:val="restart"/>
            <w:vAlign w:val="center"/>
          </w:tcPr>
          <w:p w14:paraId="42498A23" w14:textId="77777777" w:rsidR="00E33643" w:rsidRPr="00657824" w:rsidRDefault="00E33643" w:rsidP="00541D7C">
            <w:pPr>
              <w:rPr>
                <w:b/>
                <w:sz w:val="18"/>
                <w:szCs w:val="18"/>
              </w:rPr>
            </w:pPr>
            <w:r w:rsidRPr="00657824">
              <w:rPr>
                <w:b/>
                <w:sz w:val="18"/>
                <w:szCs w:val="18"/>
              </w:rPr>
              <w:t>Current</w:t>
            </w:r>
          </w:p>
        </w:tc>
        <w:tc>
          <w:tcPr>
            <w:tcW w:w="708" w:type="dxa"/>
            <w:vAlign w:val="center"/>
          </w:tcPr>
          <w:p w14:paraId="1A4543C6" w14:textId="77777777" w:rsidR="00E33643" w:rsidRPr="00657824" w:rsidRDefault="00E33643" w:rsidP="00541D7C">
            <w:pPr>
              <w:jc w:val="right"/>
              <w:rPr>
                <w:b/>
                <w:sz w:val="16"/>
                <w:szCs w:val="16"/>
              </w:rPr>
            </w:pPr>
            <w:r w:rsidRPr="00657824">
              <w:rPr>
                <w:b/>
                <w:sz w:val="16"/>
                <w:szCs w:val="16"/>
              </w:rPr>
              <w:t>NPG</w:t>
            </w:r>
          </w:p>
        </w:tc>
        <w:tc>
          <w:tcPr>
            <w:tcW w:w="567" w:type="dxa"/>
            <w:vAlign w:val="center"/>
          </w:tcPr>
          <w:p w14:paraId="6E45BB59" w14:textId="77777777" w:rsidR="00E33643" w:rsidRPr="00657824" w:rsidRDefault="00E33643" w:rsidP="00541D7C">
            <w:pPr>
              <w:jc w:val="right"/>
              <w:rPr>
                <w:sz w:val="16"/>
                <w:szCs w:val="16"/>
              </w:rPr>
            </w:pPr>
            <w:r w:rsidRPr="00657824">
              <w:rPr>
                <w:sz w:val="16"/>
                <w:szCs w:val="16"/>
              </w:rPr>
              <w:t>646</w:t>
            </w:r>
          </w:p>
        </w:tc>
        <w:tc>
          <w:tcPr>
            <w:tcW w:w="993" w:type="dxa"/>
            <w:vAlign w:val="center"/>
          </w:tcPr>
          <w:p w14:paraId="04313CEC" w14:textId="58357FC5" w:rsidR="00E33643" w:rsidRPr="00657824" w:rsidRDefault="00E33643" w:rsidP="00541D7C">
            <w:pPr>
              <w:jc w:val="right"/>
              <w:rPr>
                <w:sz w:val="16"/>
                <w:szCs w:val="16"/>
              </w:rPr>
            </w:pPr>
            <w:r w:rsidRPr="00657824">
              <w:rPr>
                <w:sz w:val="16"/>
                <w:szCs w:val="16"/>
              </w:rPr>
              <w:t>373,980</w:t>
            </w:r>
          </w:p>
        </w:tc>
        <w:tc>
          <w:tcPr>
            <w:tcW w:w="850" w:type="dxa"/>
            <w:vAlign w:val="center"/>
          </w:tcPr>
          <w:p w14:paraId="6FFAD950" w14:textId="729A53CA" w:rsidR="00E33643" w:rsidRPr="00657824" w:rsidRDefault="00E33643" w:rsidP="00541D7C">
            <w:pPr>
              <w:jc w:val="right"/>
              <w:rPr>
                <w:sz w:val="16"/>
                <w:szCs w:val="16"/>
              </w:rPr>
            </w:pPr>
            <w:r w:rsidRPr="00657824">
              <w:rPr>
                <w:sz w:val="16"/>
                <w:szCs w:val="16"/>
              </w:rPr>
              <w:t>$651</w:t>
            </w:r>
          </w:p>
        </w:tc>
        <w:tc>
          <w:tcPr>
            <w:tcW w:w="851" w:type="dxa"/>
            <w:vAlign w:val="center"/>
          </w:tcPr>
          <w:p w14:paraId="056FB905" w14:textId="488FCE44" w:rsidR="00E33643" w:rsidRPr="00657824" w:rsidRDefault="00E33643" w:rsidP="00541D7C">
            <w:pPr>
              <w:jc w:val="right"/>
              <w:rPr>
                <w:sz w:val="16"/>
                <w:szCs w:val="16"/>
              </w:rPr>
            </w:pPr>
            <w:r w:rsidRPr="00657824">
              <w:rPr>
                <w:sz w:val="16"/>
                <w:szCs w:val="16"/>
              </w:rPr>
              <w:t>$0</w:t>
            </w:r>
          </w:p>
        </w:tc>
        <w:tc>
          <w:tcPr>
            <w:tcW w:w="1275" w:type="dxa"/>
            <w:vAlign w:val="center"/>
          </w:tcPr>
          <w:p w14:paraId="2A19981C" w14:textId="61384CBC" w:rsidR="00E33643" w:rsidRPr="00657824" w:rsidRDefault="00E33643" w:rsidP="00541D7C">
            <w:pPr>
              <w:jc w:val="right"/>
              <w:rPr>
                <w:sz w:val="16"/>
                <w:szCs w:val="16"/>
              </w:rPr>
            </w:pPr>
            <w:r w:rsidRPr="00657824">
              <w:rPr>
                <w:sz w:val="16"/>
                <w:szCs w:val="16"/>
              </w:rPr>
              <w:t>$243,295,222</w:t>
            </w:r>
          </w:p>
        </w:tc>
        <w:tc>
          <w:tcPr>
            <w:tcW w:w="709" w:type="dxa"/>
            <w:vAlign w:val="center"/>
          </w:tcPr>
          <w:p w14:paraId="32ED32DA" w14:textId="77777777" w:rsidR="00E33643" w:rsidRPr="00657824" w:rsidRDefault="00E33643" w:rsidP="00541D7C">
            <w:pPr>
              <w:jc w:val="right"/>
              <w:rPr>
                <w:sz w:val="16"/>
                <w:szCs w:val="16"/>
              </w:rPr>
            </w:pPr>
            <w:r w:rsidRPr="00657824">
              <w:rPr>
                <w:sz w:val="16"/>
                <w:szCs w:val="16"/>
              </w:rPr>
              <w:t>23.5%</w:t>
            </w:r>
          </w:p>
        </w:tc>
        <w:tc>
          <w:tcPr>
            <w:tcW w:w="709" w:type="dxa"/>
            <w:vAlign w:val="center"/>
          </w:tcPr>
          <w:p w14:paraId="50C4B660" w14:textId="77777777" w:rsidR="00E33643" w:rsidRPr="00657824" w:rsidRDefault="00E33643" w:rsidP="00541D7C">
            <w:pPr>
              <w:jc w:val="right"/>
              <w:rPr>
                <w:sz w:val="16"/>
                <w:szCs w:val="16"/>
              </w:rPr>
            </w:pPr>
            <w:r w:rsidRPr="00657824">
              <w:rPr>
                <w:sz w:val="16"/>
                <w:szCs w:val="16"/>
              </w:rPr>
              <w:t>0.0%</w:t>
            </w:r>
          </w:p>
        </w:tc>
        <w:tc>
          <w:tcPr>
            <w:tcW w:w="1134" w:type="dxa"/>
            <w:vAlign w:val="center"/>
          </w:tcPr>
          <w:p w14:paraId="25957145" w14:textId="77777777" w:rsidR="00E33643" w:rsidRPr="00657824" w:rsidRDefault="00E33643" w:rsidP="00541D7C">
            <w:pPr>
              <w:jc w:val="right"/>
              <w:rPr>
                <w:sz w:val="16"/>
                <w:szCs w:val="16"/>
              </w:rPr>
            </w:pPr>
            <w:r w:rsidRPr="00657824">
              <w:rPr>
                <w:sz w:val="16"/>
                <w:szCs w:val="16"/>
              </w:rPr>
              <w:t>$0.00</w:t>
            </w:r>
          </w:p>
        </w:tc>
        <w:tc>
          <w:tcPr>
            <w:tcW w:w="709" w:type="dxa"/>
            <w:vAlign w:val="center"/>
          </w:tcPr>
          <w:p w14:paraId="71272939" w14:textId="77777777" w:rsidR="00E33643" w:rsidRPr="00657824" w:rsidRDefault="00E33643" w:rsidP="00541D7C">
            <w:pPr>
              <w:jc w:val="right"/>
              <w:rPr>
                <w:sz w:val="16"/>
                <w:szCs w:val="16"/>
              </w:rPr>
            </w:pPr>
            <w:r w:rsidRPr="00657824">
              <w:rPr>
                <w:sz w:val="16"/>
                <w:szCs w:val="16"/>
              </w:rPr>
              <w:t xml:space="preserve"> </w:t>
            </w:r>
          </w:p>
        </w:tc>
        <w:tc>
          <w:tcPr>
            <w:tcW w:w="1134" w:type="dxa"/>
            <w:vAlign w:val="center"/>
          </w:tcPr>
          <w:p w14:paraId="20F49990" w14:textId="77777777" w:rsidR="00E33643" w:rsidRPr="00657824" w:rsidRDefault="00E33643" w:rsidP="00541D7C">
            <w:pPr>
              <w:jc w:val="right"/>
              <w:rPr>
                <w:sz w:val="16"/>
                <w:szCs w:val="16"/>
              </w:rPr>
            </w:pPr>
            <w:r w:rsidRPr="00657824">
              <w:rPr>
                <w:sz w:val="16"/>
                <w:szCs w:val="16"/>
              </w:rPr>
              <w:t>0</w:t>
            </w:r>
          </w:p>
          <w:p w14:paraId="7A86465B" w14:textId="1C205F4C" w:rsidR="00E33643" w:rsidRPr="00657824" w:rsidRDefault="00E33643" w:rsidP="00541D7C">
            <w:pPr>
              <w:jc w:val="right"/>
              <w:rPr>
                <w:sz w:val="16"/>
                <w:szCs w:val="16"/>
              </w:rPr>
            </w:pPr>
            <w:r w:rsidRPr="00657824">
              <w:rPr>
                <w:sz w:val="16"/>
                <w:szCs w:val="16"/>
              </w:rPr>
              <w:t xml:space="preserve"> </w:t>
            </w:r>
          </w:p>
        </w:tc>
        <w:tc>
          <w:tcPr>
            <w:tcW w:w="567" w:type="dxa"/>
            <w:vAlign w:val="center"/>
          </w:tcPr>
          <w:p w14:paraId="0C45F8EA" w14:textId="77777777" w:rsidR="00E33643" w:rsidRPr="00657824" w:rsidRDefault="00E33643" w:rsidP="00541D7C">
            <w:pPr>
              <w:jc w:val="right"/>
              <w:rPr>
                <w:sz w:val="16"/>
                <w:szCs w:val="16"/>
              </w:rPr>
            </w:pPr>
            <w:r w:rsidRPr="00657824">
              <w:rPr>
                <w:sz w:val="16"/>
                <w:szCs w:val="16"/>
              </w:rPr>
              <w:t>0%</w:t>
            </w:r>
          </w:p>
        </w:tc>
        <w:tc>
          <w:tcPr>
            <w:tcW w:w="850" w:type="dxa"/>
            <w:vAlign w:val="center"/>
          </w:tcPr>
          <w:p w14:paraId="736AD331" w14:textId="77777777" w:rsidR="00E33643" w:rsidRPr="00657824" w:rsidRDefault="00E33643" w:rsidP="00541D7C">
            <w:pPr>
              <w:jc w:val="right"/>
              <w:rPr>
                <w:sz w:val="16"/>
                <w:szCs w:val="16"/>
              </w:rPr>
            </w:pPr>
            <w:r w:rsidRPr="00657824">
              <w:rPr>
                <w:sz w:val="16"/>
                <w:szCs w:val="16"/>
              </w:rPr>
              <w:t>0%</w:t>
            </w:r>
          </w:p>
        </w:tc>
        <w:tc>
          <w:tcPr>
            <w:tcW w:w="1276" w:type="dxa"/>
            <w:vAlign w:val="center"/>
          </w:tcPr>
          <w:p w14:paraId="6434E2C1" w14:textId="0F01EEEC" w:rsidR="00E33643" w:rsidRPr="00657824" w:rsidRDefault="00E33643" w:rsidP="00541D7C">
            <w:pPr>
              <w:jc w:val="right"/>
              <w:rPr>
                <w:sz w:val="16"/>
                <w:szCs w:val="16"/>
              </w:rPr>
            </w:pPr>
            <w:r w:rsidRPr="00657824">
              <w:rPr>
                <w:sz w:val="16"/>
                <w:szCs w:val="16"/>
              </w:rPr>
              <w:t>$0</w:t>
            </w:r>
          </w:p>
        </w:tc>
      </w:tr>
      <w:tr w:rsidR="00657824" w:rsidRPr="00657824" w14:paraId="24A4F5DB" w14:textId="77777777" w:rsidTr="00657824">
        <w:trPr>
          <w:trHeight w:val="397"/>
        </w:trPr>
        <w:tc>
          <w:tcPr>
            <w:tcW w:w="988" w:type="dxa"/>
            <w:vMerge/>
            <w:vAlign w:val="center"/>
          </w:tcPr>
          <w:p w14:paraId="04C750A0" w14:textId="77777777" w:rsidR="00E33643" w:rsidRPr="00657824" w:rsidRDefault="00E33643" w:rsidP="00541D7C">
            <w:pPr>
              <w:widowControl w:val="0"/>
              <w:pBdr>
                <w:top w:val="nil"/>
                <w:left w:val="nil"/>
                <w:bottom w:val="nil"/>
                <w:right w:val="nil"/>
                <w:between w:val="nil"/>
              </w:pBdr>
              <w:rPr>
                <w:sz w:val="18"/>
                <w:szCs w:val="18"/>
              </w:rPr>
            </w:pPr>
          </w:p>
        </w:tc>
        <w:tc>
          <w:tcPr>
            <w:tcW w:w="1134" w:type="dxa"/>
            <w:vMerge/>
            <w:vAlign w:val="center"/>
          </w:tcPr>
          <w:p w14:paraId="6D6CB5F5" w14:textId="77777777" w:rsidR="00E33643" w:rsidRPr="00657824" w:rsidRDefault="00E33643" w:rsidP="00541D7C">
            <w:pPr>
              <w:widowControl w:val="0"/>
              <w:pBdr>
                <w:top w:val="nil"/>
                <w:left w:val="nil"/>
                <w:bottom w:val="nil"/>
                <w:right w:val="nil"/>
                <w:between w:val="nil"/>
              </w:pBdr>
              <w:rPr>
                <w:sz w:val="18"/>
                <w:szCs w:val="18"/>
              </w:rPr>
            </w:pPr>
          </w:p>
        </w:tc>
        <w:tc>
          <w:tcPr>
            <w:tcW w:w="708" w:type="dxa"/>
            <w:vAlign w:val="center"/>
          </w:tcPr>
          <w:p w14:paraId="7E8D5BCE" w14:textId="77777777" w:rsidR="00E33643" w:rsidRPr="00657824" w:rsidRDefault="00E33643" w:rsidP="00541D7C">
            <w:pPr>
              <w:jc w:val="right"/>
              <w:rPr>
                <w:b/>
                <w:sz w:val="16"/>
                <w:szCs w:val="16"/>
              </w:rPr>
            </w:pPr>
            <w:r w:rsidRPr="00657824">
              <w:rPr>
                <w:b/>
                <w:sz w:val="16"/>
                <w:szCs w:val="16"/>
              </w:rPr>
              <w:t>LR</w:t>
            </w:r>
          </w:p>
        </w:tc>
        <w:tc>
          <w:tcPr>
            <w:tcW w:w="567" w:type="dxa"/>
            <w:vAlign w:val="center"/>
          </w:tcPr>
          <w:p w14:paraId="1007EBF2" w14:textId="77777777" w:rsidR="00E33643" w:rsidRPr="00657824" w:rsidRDefault="00E33643" w:rsidP="00541D7C">
            <w:pPr>
              <w:jc w:val="right"/>
              <w:rPr>
                <w:sz w:val="16"/>
                <w:szCs w:val="16"/>
              </w:rPr>
            </w:pPr>
            <w:r w:rsidRPr="00657824">
              <w:rPr>
                <w:sz w:val="16"/>
                <w:szCs w:val="16"/>
              </w:rPr>
              <w:t>142</w:t>
            </w:r>
          </w:p>
        </w:tc>
        <w:tc>
          <w:tcPr>
            <w:tcW w:w="993" w:type="dxa"/>
            <w:vAlign w:val="center"/>
          </w:tcPr>
          <w:p w14:paraId="1AF34B01" w14:textId="04BE3552" w:rsidR="00E33643" w:rsidRPr="00657824" w:rsidRDefault="00E33643" w:rsidP="00541D7C">
            <w:pPr>
              <w:jc w:val="right"/>
              <w:rPr>
                <w:sz w:val="16"/>
                <w:szCs w:val="16"/>
              </w:rPr>
            </w:pPr>
            <w:r w:rsidRPr="00657824">
              <w:rPr>
                <w:sz w:val="16"/>
                <w:szCs w:val="16"/>
              </w:rPr>
              <w:t>87,077</w:t>
            </w:r>
          </w:p>
        </w:tc>
        <w:tc>
          <w:tcPr>
            <w:tcW w:w="850" w:type="dxa"/>
            <w:vAlign w:val="center"/>
          </w:tcPr>
          <w:p w14:paraId="02911FA9" w14:textId="32D78AF6" w:rsidR="00E33643" w:rsidRPr="00657824" w:rsidRDefault="00E33643" w:rsidP="00541D7C">
            <w:pPr>
              <w:jc w:val="right"/>
              <w:rPr>
                <w:sz w:val="16"/>
                <w:szCs w:val="16"/>
              </w:rPr>
            </w:pPr>
            <w:r w:rsidRPr="00657824">
              <w:rPr>
                <w:sz w:val="16"/>
                <w:szCs w:val="16"/>
              </w:rPr>
              <w:t>$2,017</w:t>
            </w:r>
          </w:p>
        </w:tc>
        <w:tc>
          <w:tcPr>
            <w:tcW w:w="851" w:type="dxa"/>
            <w:vAlign w:val="center"/>
          </w:tcPr>
          <w:p w14:paraId="14785603" w14:textId="11FAD217" w:rsidR="00E33643" w:rsidRPr="00657824" w:rsidRDefault="00E33643" w:rsidP="00541D7C">
            <w:pPr>
              <w:jc w:val="right"/>
              <w:rPr>
                <w:sz w:val="16"/>
                <w:szCs w:val="16"/>
              </w:rPr>
            </w:pPr>
            <w:r w:rsidRPr="00657824">
              <w:rPr>
                <w:sz w:val="16"/>
                <w:szCs w:val="16"/>
              </w:rPr>
              <w:t>$1,366</w:t>
            </w:r>
          </w:p>
        </w:tc>
        <w:tc>
          <w:tcPr>
            <w:tcW w:w="1275" w:type="dxa"/>
            <w:vAlign w:val="center"/>
          </w:tcPr>
          <w:p w14:paraId="67886CBC" w14:textId="5E5A8436" w:rsidR="00E33643" w:rsidRPr="00657824" w:rsidRDefault="00E33643" w:rsidP="00541D7C">
            <w:pPr>
              <w:jc w:val="right"/>
              <w:rPr>
                <w:sz w:val="16"/>
                <w:szCs w:val="16"/>
              </w:rPr>
            </w:pPr>
            <w:r w:rsidRPr="00657824">
              <w:rPr>
                <w:sz w:val="16"/>
                <w:szCs w:val="16"/>
              </w:rPr>
              <w:t>$175,610,450</w:t>
            </w:r>
          </w:p>
        </w:tc>
        <w:tc>
          <w:tcPr>
            <w:tcW w:w="709" w:type="dxa"/>
            <w:vAlign w:val="center"/>
          </w:tcPr>
          <w:p w14:paraId="77C04940" w14:textId="77777777" w:rsidR="00E33643" w:rsidRPr="00657824" w:rsidRDefault="00E33643" w:rsidP="00541D7C">
            <w:pPr>
              <w:jc w:val="right"/>
              <w:rPr>
                <w:sz w:val="16"/>
                <w:szCs w:val="16"/>
              </w:rPr>
            </w:pPr>
            <w:r w:rsidRPr="00657824">
              <w:rPr>
                <w:sz w:val="16"/>
                <w:szCs w:val="16"/>
              </w:rPr>
              <w:t>16.9%</w:t>
            </w:r>
          </w:p>
        </w:tc>
        <w:tc>
          <w:tcPr>
            <w:tcW w:w="709" w:type="dxa"/>
            <w:vAlign w:val="center"/>
          </w:tcPr>
          <w:p w14:paraId="26C71E1A" w14:textId="77777777" w:rsidR="00E33643" w:rsidRPr="00657824" w:rsidRDefault="00E33643" w:rsidP="00541D7C">
            <w:pPr>
              <w:jc w:val="right"/>
              <w:rPr>
                <w:sz w:val="16"/>
                <w:szCs w:val="16"/>
              </w:rPr>
            </w:pPr>
            <w:r w:rsidRPr="00657824">
              <w:rPr>
                <w:sz w:val="16"/>
                <w:szCs w:val="16"/>
              </w:rPr>
              <w:t>16.8%</w:t>
            </w:r>
          </w:p>
        </w:tc>
        <w:tc>
          <w:tcPr>
            <w:tcW w:w="1134" w:type="dxa"/>
            <w:vAlign w:val="center"/>
          </w:tcPr>
          <w:p w14:paraId="3FDA9D0B" w14:textId="518EECE0" w:rsidR="00E33643" w:rsidRPr="00657824" w:rsidRDefault="00E33643" w:rsidP="00541D7C">
            <w:pPr>
              <w:jc w:val="right"/>
              <w:rPr>
                <w:sz w:val="16"/>
                <w:szCs w:val="16"/>
              </w:rPr>
            </w:pPr>
            <w:r w:rsidRPr="00657824">
              <w:rPr>
                <w:sz w:val="16"/>
                <w:szCs w:val="16"/>
              </w:rPr>
              <w:t>$118,961,917</w:t>
            </w:r>
          </w:p>
        </w:tc>
        <w:tc>
          <w:tcPr>
            <w:tcW w:w="709" w:type="dxa"/>
            <w:vAlign w:val="center"/>
          </w:tcPr>
          <w:p w14:paraId="40C7816B" w14:textId="77777777" w:rsidR="00E33643" w:rsidRPr="00657824" w:rsidRDefault="00E33643" w:rsidP="00541D7C">
            <w:pPr>
              <w:jc w:val="right"/>
              <w:rPr>
                <w:sz w:val="16"/>
                <w:szCs w:val="16"/>
              </w:rPr>
            </w:pPr>
            <w:r w:rsidRPr="00657824">
              <w:rPr>
                <w:sz w:val="16"/>
                <w:szCs w:val="16"/>
              </w:rPr>
              <w:t xml:space="preserve"> </w:t>
            </w:r>
          </w:p>
        </w:tc>
        <w:tc>
          <w:tcPr>
            <w:tcW w:w="1134" w:type="dxa"/>
            <w:vAlign w:val="center"/>
          </w:tcPr>
          <w:p w14:paraId="33E1F0D1" w14:textId="77777777" w:rsidR="00E33643" w:rsidRPr="00657824" w:rsidRDefault="00E33643" w:rsidP="00541D7C">
            <w:pPr>
              <w:jc w:val="right"/>
              <w:rPr>
                <w:sz w:val="16"/>
                <w:szCs w:val="16"/>
              </w:rPr>
            </w:pPr>
            <w:r w:rsidRPr="00657824">
              <w:rPr>
                <w:sz w:val="16"/>
                <w:szCs w:val="16"/>
              </w:rPr>
              <w:t>0</w:t>
            </w:r>
          </w:p>
          <w:p w14:paraId="22F407B9" w14:textId="1B7A0A18" w:rsidR="00E33643" w:rsidRPr="00657824" w:rsidRDefault="00E33643" w:rsidP="00541D7C">
            <w:pPr>
              <w:jc w:val="right"/>
              <w:rPr>
                <w:sz w:val="16"/>
                <w:szCs w:val="16"/>
              </w:rPr>
            </w:pPr>
            <w:r w:rsidRPr="00657824">
              <w:rPr>
                <w:sz w:val="16"/>
                <w:szCs w:val="16"/>
              </w:rPr>
              <w:t xml:space="preserve"> </w:t>
            </w:r>
          </w:p>
        </w:tc>
        <w:tc>
          <w:tcPr>
            <w:tcW w:w="567" w:type="dxa"/>
            <w:vAlign w:val="center"/>
          </w:tcPr>
          <w:p w14:paraId="06D913B6" w14:textId="77777777" w:rsidR="00E33643" w:rsidRPr="00657824" w:rsidRDefault="00E33643" w:rsidP="00541D7C">
            <w:pPr>
              <w:jc w:val="right"/>
              <w:rPr>
                <w:sz w:val="16"/>
                <w:szCs w:val="16"/>
              </w:rPr>
            </w:pPr>
            <w:r w:rsidRPr="00657824">
              <w:rPr>
                <w:sz w:val="16"/>
                <w:szCs w:val="16"/>
              </w:rPr>
              <w:t>40%</w:t>
            </w:r>
          </w:p>
        </w:tc>
        <w:tc>
          <w:tcPr>
            <w:tcW w:w="850" w:type="dxa"/>
            <w:vAlign w:val="center"/>
          </w:tcPr>
          <w:p w14:paraId="50D5D5E1" w14:textId="77777777" w:rsidR="00E33643" w:rsidRPr="00657824" w:rsidRDefault="00E33643" w:rsidP="00541D7C">
            <w:pPr>
              <w:jc w:val="right"/>
              <w:rPr>
                <w:sz w:val="16"/>
                <w:szCs w:val="16"/>
              </w:rPr>
            </w:pPr>
            <w:r w:rsidRPr="00657824">
              <w:rPr>
                <w:sz w:val="16"/>
                <w:szCs w:val="16"/>
              </w:rPr>
              <w:t>9%</w:t>
            </w:r>
          </w:p>
        </w:tc>
        <w:tc>
          <w:tcPr>
            <w:tcW w:w="1276" w:type="dxa"/>
            <w:vAlign w:val="center"/>
          </w:tcPr>
          <w:p w14:paraId="367AEB63" w14:textId="73221E5F" w:rsidR="00E33643" w:rsidRPr="00657824" w:rsidRDefault="00E33643" w:rsidP="00541D7C">
            <w:pPr>
              <w:jc w:val="right"/>
              <w:rPr>
                <w:sz w:val="16"/>
                <w:szCs w:val="16"/>
              </w:rPr>
            </w:pPr>
            <w:r w:rsidRPr="00657824">
              <w:rPr>
                <w:sz w:val="16"/>
                <w:szCs w:val="16"/>
              </w:rPr>
              <w:t>$47,584,767</w:t>
            </w:r>
          </w:p>
        </w:tc>
      </w:tr>
      <w:tr w:rsidR="00657824" w:rsidRPr="00657824" w14:paraId="047F2561" w14:textId="77777777" w:rsidTr="00657824">
        <w:trPr>
          <w:trHeight w:val="397"/>
        </w:trPr>
        <w:tc>
          <w:tcPr>
            <w:tcW w:w="988" w:type="dxa"/>
            <w:vMerge/>
            <w:vAlign w:val="center"/>
          </w:tcPr>
          <w:p w14:paraId="67789192" w14:textId="77777777" w:rsidR="00E33643" w:rsidRPr="00657824" w:rsidRDefault="00E33643" w:rsidP="00541D7C">
            <w:pPr>
              <w:widowControl w:val="0"/>
              <w:pBdr>
                <w:top w:val="nil"/>
                <w:left w:val="nil"/>
                <w:bottom w:val="nil"/>
                <w:right w:val="nil"/>
                <w:between w:val="nil"/>
              </w:pBdr>
              <w:rPr>
                <w:sz w:val="18"/>
                <w:szCs w:val="18"/>
              </w:rPr>
            </w:pPr>
          </w:p>
        </w:tc>
        <w:tc>
          <w:tcPr>
            <w:tcW w:w="1134" w:type="dxa"/>
            <w:vMerge/>
            <w:vAlign w:val="center"/>
          </w:tcPr>
          <w:p w14:paraId="17758507" w14:textId="77777777" w:rsidR="00E33643" w:rsidRPr="00657824" w:rsidRDefault="00E33643" w:rsidP="00541D7C">
            <w:pPr>
              <w:widowControl w:val="0"/>
              <w:pBdr>
                <w:top w:val="nil"/>
                <w:left w:val="nil"/>
                <w:bottom w:val="nil"/>
                <w:right w:val="nil"/>
                <w:between w:val="nil"/>
              </w:pBdr>
              <w:rPr>
                <w:sz w:val="18"/>
                <w:szCs w:val="18"/>
              </w:rPr>
            </w:pPr>
          </w:p>
        </w:tc>
        <w:tc>
          <w:tcPr>
            <w:tcW w:w="708" w:type="dxa"/>
            <w:vAlign w:val="center"/>
          </w:tcPr>
          <w:p w14:paraId="127D221B" w14:textId="77777777" w:rsidR="00E33643" w:rsidRPr="00657824" w:rsidRDefault="00E33643" w:rsidP="00541D7C">
            <w:pPr>
              <w:jc w:val="right"/>
              <w:rPr>
                <w:b/>
                <w:sz w:val="16"/>
                <w:szCs w:val="16"/>
              </w:rPr>
            </w:pPr>
            <w:r w:rsidRPr="00657824">
              <w:rPr>
                <w:b/>
                <w:sz w:val="16"/>
                <w:szCs w:val="16"/>
              </w:rPr>
              <w:t>MR</w:t>
            </w:r>
          </w:p>
        </w:tc>
        <w:tc>
          <w:tcPr>
            <w:tcW w:w="567" w:type="dxa"/>
            <w:vAlign w:val="center"/>
          </w:tcPr>
          <w:p w14:paraId="65922100" w14:textId="77777777" w:rsidR="00E33643" w:rsidRPr="00657824" w:rsidRDefault="00E33643" w:rsidP="00541D7C">
            <w:pPr>
              <w:jc w:val="right"/>
              <w:rPr>
                <w:sz w:val="16"/>
                <w:szCs w:val="16"/>
              </w:rPr>
            </w:pPr>
            <w:r w:rsidRPr="00657824">
              <w:rPr>
                <w:sz w:val="16"/>
                <w:szCs w:val="16"/>
              </w:rPr>
              <w:t>67</w:t>
            </w:r>
          </w:p>
        </w:tc>
        <w:tc>
          <w:tcPr>
            <w:tcW w:w="993" w:type="dxa"/>
            <w:vAlign w:val="center"/>
          </w:tcPr>
          <w:p w14:paraId="3208E9DF" w14:textId="4022071F" w:rsidR="00E33643" w:rsidRPr="00657824" w:rsidRDefault="00E33643" w:rsidP="00541D7C">
            <w:pPr>
              <w:jc w:val="right"/>
              <w:rPr>
                <w:sz w:val="16"/>
                <w:szCs w:val="16"/>
              </w:rPr>
            </w:pPr>
            <w:r w:rsidRPr="00657824">
              <w:rPr>
                <w:sz w:val="16"/>
                <w:szCs w:val="16"/>
              </w:rPr>
              <w:t>34,904</w:t>
            </w:r>
          </w:p>
        </w:tc>
        <w:tc>
          <w:tcPr>
            <w:tcW w:w="850" w:type="dxa"/>
            <w:vAlign w:val="center"/>
          </w:tcPr>
          <w:p w14:paraId="1B00E6EE" w14:textId="7EF409E9" w:rsidR="00E33643" w:rsidRPr="00657824" w:rsidRDefault="00E33643" w:rsidP="00541D7C">
            <w:pPr>
              <w:jc w:val="right"/>
              <w:rPr>
                <w:sz w:val="16"/>
                <w:szCs w:val="16"/>
              </w:rPr>
            </w:pPr>
            <w:r w:rsidRPr="00657824">
              <w:rPr>
                <w:sz w:val="16"/>
                <w:szCs w:val="16"/>
              </w:rPr>
              <w:t>$6,828</w:t>
            </w:r>
          </w:p>
        </w:tc>
        <w:tc>
          <w:tcPr>
            <w:tcW w:w="851" w:type="dxa"/>
            <w:vAlign w:val="center"/>
          </w:tcPr>
          <w:p w14:paraId="0CA806EA" w14:textId="732D22F5" w:rsidR="00E33643" w:rsidRPr="00657824" w:rsidRDefault="00E33643" w:rsidP="00541D7C">
            <w:pPr>
              <w:jc w:val="right"/>
              <w:rPr>
                <w:sz w:val="16"/>
                <w:szCs w:val="16"/>
              </w:rPr>
            </w:pPr>
            <w:r w:rsidRPr="00657824">
              <w:rPr>
                <w:sz w:val="16"/>
                <w:szCs w:val="16"/>
              </w:rPr>
              <w:t>$6,177</w:t>
            </w:r>
          </w:p>
        </w:tc>
        <w:tc>
          <w:tcPr>
            <w:tcW w:w="1275" w:type="dxa"/>
            <w:vAlign w:val="center"/>
          </w:tcPr>
          <w:p w14:paraId="251DF94E" w14:textId="25A2FFD3" w:rsidR="00E33643" w:rsidRPr="00657824" w:rsidRDefault="00E33643" w:rsidP="00541D7C">
            <w:pPr>
              <w:jc w:val="right"/>
              <w:rPr>
                <w:sz w:val="16"/>
                <w:szCs w:val="16"/>
              </w:rPr>
            </w:pPr>
            <w:r w:rsidRPr="00657824">
              <w:rPr>
                <w:sz w:val="16"/>
                <w:szCs w:val="16"/>
              </w:rPr>
              <w:t>$238,310,318</w:t>
            </w:r>
          </w:p>
        </w:tc>
        <w:tc>
          <w:tcPr>
            <w:tcW w:w="709" w:type="dxa"/>
            <w:vAlign w:val="center"/>
          </w:tcPr>
          <w:p w14:paraId="09F1E4F4" w14:textId="77777777" w:rsidR="00E33643" w:rsidRPr="00657824" w:rsidRDefault="00E33643" w:rsidP="00541D7C">
            <w:pPr>
              <w:jc w:val="right"/>
              <w:rPr>
                <w:sz w:val="16"/>
                <w:szCs w:val="16"/>
              </w:rPr>
            </w:pPr>
            <w:r w:rsidRPr="00657824">
              <w:rPr>
                <w:sz w:val="16"/>
                <w:szCs w:val="16"/>
              </w:rPr>
              <w:t>23.0%</w:t>
            </w:r>
          </w:p>
        </w:tc>
        <w:tc>
          <w:tcPr>
            <w:tcW w:w="709" w:type="dxa"/>
            <w:vAlign w:val="center"/>
          </w:tcPr>
          <w:p w14:paraId="1FE92049" w14:textId="77777777" w:rsidR="00E33643" w:rsidRPr="00657824" w:rsidRDefault="00E33643" w:rsidP="00541D7C">
            <w:pPr>
              <w:jc w:val="right"/>
              <w:rPr>
                <w:sz w:val="16"/>
                <w:szCs w:val="16"/>
              </w:rPr>
            </w:pPr>
            <w:r w:rsidRPr="00657824">
              <w:rPr>
                <w:sz w:val="16"/>
                <w:szCs w:val="16"/>
              </w:rPr>
              <w:t>30.4%</w:t>
            </w:r>
          </w:p>
        </w:tc>
        <w:tc>
          <w:tcPr>
            <w:tcW w:w="1134" w:type="dxa"/>
            <w:vAlign w:val="center"/>
          </w:tcPr>
          <w:p w14:paraId="4D885A79" w14:textId="793D0E00" w:rsidR="00E33643" w:rsidRPr="00657824" w:rsidRDefault="00E33643" w:rsidP="00541D7C">
            <w:pPr>
              <w:jc w:val="right"/>
              <w:rPr>
                <w:sz w:val="16"/>
                <w:szCs w:val="16"/>
              </w:rPr>
            </w:pPr>
            <w:r w:rsidRPr="00657824">
              <w:rPr>
                <w:sz w:val="16"/>
                <w:szCs w:val="16"/>
              </w:rPr>
              <w:t>$215,603,284</w:t>
            </w:r>
          </w:p>
        </w:tc>
        <w:tc>
          <w:tcPr>
            <w:tcW w:w="709" w:type="dxa"/>
            <w:vAlign w:val="center"/>
          </w:tcPr>
          <w:p w14:paraId="0303B884" w14:textId="77777777" w:rsidR="00E33643" w:rsidRPr="00657824" w:rsidRDefault="00E33643" w:rsidP="00541D7C">
            <w:pPr>
              <w:jc w:val="right"/>
              <w:rPr>
                <w:sz w:val="16"/>
                <w:szCs w:val="16"/>
              </w:rPr>
            </w:pPr>
            <w:r w:rsidRPr="00657824">
              <w:rPr>
                <w:sz w:val="16"/>
                <w:szCs w:val="16"/>
              </w:rPr>
              <w:t xml:space="preserve"> </w:t>
            </w:r>
          </w:p>
        </w:tc>
        <w:tc>
          <w:tcPr>
            <w:tcW w:w="1134" w:type="dxa"/>
            <w:vAlign w:val="center"/>
          </w:tcPr>
          <w:p w14:paraId="211C9E90" w14:textId="77777777" w:rsidR="00E33643" w:rsidRPr="00657824" w:rsidRDefault="00E33643" w:rsidP="00541D7C">
            <w:pPr>
              <w:jc w:val="right"/>
              <w:rPr>
                <w:sz w:val="16"/>
                <w:szCs w:val="16"/>
              </w:rPr>
            </w:pPr>
            <w:r w:rsidRPr="00657824">
              <w:rPr>
                <w:sz w:val="16"/>
                <w:szCs w:val="16"/>
              </w:rPr>
              <w:t>0</w:t>
            </w:r>
          </w:p>
          <w:p w14:paraId="2B90C46A" w14:textId="139047BB" w:rsidR="00E33643" w:rsidRPr="00657824" w:rsidRDefault="00E33643" w:rsidP="00541D7C">
            <w:pPr>
              <w:jc w:val="right"/>
              <w:rPr>
                <w:sz w:val="16"/>
                <w:szCs w:val="16"/>
              </w:rPr>
            </w:pPr>
            <w:r w:rsidRPr="00657824">
              <w:rPr>
                <w:sz w:val="16"/>
                <w:szCs w:val="16"/>
              </w:rPr>
              <w:t xml:space="preserve"> </w:t>
            </w:r>
          </w:p>
        </w:tc>
        <w:tc>
          <w:tcPr>
            <w:tcW w:w="567" w:type="dxa"/>
            <w:vAlign w:val="center"/>
          </w:tcPr>
          <w:p w14:paraId="6BCBE495" w14:textId="77777777" w:rsidR="00E33643" w:rsidRPr="00657824" w:rsidRDefault="00E33643" w:rsidP="00541D7C">
            <w:pPr>
              <w:jc w:val="right"/>
              <w:rPr>
                <w:sz w:val="16"/>
                <w:szCs w:val="16"/>
              </w:rPr>
            </w:pPr>
            <w:r w:rsidRPr="00657824">
              <w:rPr>
                <w:sz w:val="16"/>
                <w:szCs w:val="16"/>
              </w:rPr>
              <w:t>80%</w:t>
            </w:r>
          </w:p>
        </w:tc>
        <w:tc>
          <w:tcPr>
            <w:tcW w:w="850" w:type="dxa"/>
            <w:vAlign w:val="center"/>
          </w:tcPr>
          <w:p w14:paraId="080D0C50" w14:textId="77777777" w:rsidR="00E33643" w:rsidRPr="00657824" w:rsidRDefault="00E33643" w:rsidP="00541D7C">
            <w:pPr>
              <w:jc w:val="right"/>
              <w:rPr>
                <w:sz w:val="16"/>
                <w:szCs w:val="16"/>
              </w:rPr>
            </w:pPr>
            <w:r w:rsidRPr="00657824">
              <w:rPr>
                <w:sz w:val="16"/>
                <w:szCs w:val="16"/>
              </w:rPr>
              <w:t>31%</w:t>
            </w:r>
          </w:p>
        </w:tc>
        <w:tc>
          <w:tcPr>
            <w:tcW w:w="1276" w:type="dxa"/>
            <w:vAlign w:val="center"/>
          </w:tcPr>
          <w:p w14:paraId="779E06FE" w14:textId="364F19BA" w:rsidR="00E33643" w:rsidRPr="00657824" w:rsidRDefault="00E33643" w:rsidP="00541D7C">
            <w:pPr>
              <w:jc w:val="right"/>
              <w:rPr>
                <w:sz w:val="16"/>
                <w:szCs w:val="16"/>
              </w:rPr>
            </w:pPr>
            <w:r w:rsidRPr="00657824">
              <w:rPr>
                <w:sz w:val="16"/>
                <w:szCs w:val="16"/>
              </w:rPr>
              <w:t>$172,482,627</w:t>
            </w:r>
          </w:p>
        </w:tc>
      </w:tr>
      <w:tr w:rsidR="00657824" w:rsidRPr="00657824" w14:paraId="2ED51451" w14:textId="77777777" w:rsidTr="00657824">
        <w:trPr>
          <w:trHeight w:val="397"/>
        </w:trPr>
        <w:tc>
          <w:tcPr>
            <w:tcW w:w="988" w:type="dxa"/>
            <w:vMerge/>
            <w:vAlign w:val="center"/>
          </w:tcPr>
          <w:p w14:paraId="1CC9AB52" w14:textId="77777777" w:rsidR="00E33643" w:rsidRPr="00657824" w:rsidRDefault="00E33643" w:rsidP="00541D7C">
            <w:pPr>
              <w:widowControl w:val="0"/>
              <w:pBdr>
                <w:top w:val="nil"/>
                <w:left w:val="nil"/>
                <w:bottom w:val="nil"/>
                <w:right w:val="nil"/>
                <w:between w:val="nil"/>
              </w:pBdr>
              <w:rPr>
                <w:sz w:val="18"/>
                <w:szCs w:val="18"/>
              </w:rPr>
            </w:pPr>
          </w:p>
        </w:tc>
        <w:tc>
          <w:tcPr>
            <w:tcW w:w="1134" w:type="dxa"/>
            <w:vMerge/>
            <w:vAlign w:val="center"/>
          </w:tcPr>
          <w:p w14:paraId="7FBE1B4A" w14:textId="77777777" w:rsidR="00E33643" w:rsidRPr="00657824" w:rsidRDefault="00E33643" w:rsidP="00541D7C">
            <w:pPr>
              <w:widowControl w:val="0"/>
              <w:pBdr>
                <w:top w:val="nil"/>
                <w:left w:val="nil"/>
                <w:bottom w:val="nil"/>
                <w:right w:val="nil"/>
                <w:between w:val="nil"/>
              </w:pBdr>
              <w:rPr>
                <w:sz w:val="18"/>
                <w:szCs w:val="18"/>
              </w:rPr>
            </w:pPr>
          </w:p>
        </w:tc>
        <w:tc>
          <w:tcPr>
            <w:tcW w:w="708" w:type="dxa"/>
            <w:vAlign w:val="center"/>
          </w:tcPr>
          <w:p w14:paraId="3B29D00F" w14:textId="77777777" w:rsidR="00E33643" w:rsidRPr="00657824" w:rsidRDefault="00E33643" w:rsidP="00541D7C">
            <w:pPr>
              <w:jc w:val="right"/>
              <w:rPr>
                <w:b/>
                <w:sz w:val="16"/>
                <w:szCs w:val="16"/>
              </w:rPr>
            </w:pPr>
            <w:r w:rsidRPr="00657824">
              <w:rPr>
                <w:b/>
                <w:sz w:val="16"/>
                <w:szCs w:val="16"/>
              </w:rPr>
              <w:t>PG</w:t>
            </w:r>
          </w:p>
        </w:tc>
        <w:tc>
          <w:tcPr>
            <w:tcW w:w="567" w:type="dxa"/>
            <w:vAlign w:val="center"/>
          </w:tcPr>
          <w:p w14:paraId="4E1F91C3" w14:textId="77777777" w:rsidR="00E33643" w:rsidRPr="00657824" w:rsidRDefault="00E33643" w:rsidP="00541D7C">
            <w:pPr>
              <w:jc w:val="right"/>
              <w:rPr>
                <w:sz w:val="16"/>
                <w:szCs w:val="16"/>
              </w:rPr>
            </w:pPr>
            <w:r w:rsidRPr="00657824">
              <w:rPr>
                <w:sz w:val="16"/>
                <w:szCs w:val="16"/>
              </w:rPr>
              <w:t>19</w:t>
            </w:r>
          </w:p>
        </w:tc>
        <w:tc>
          <w:tcPr>
            <w:tcW w:w="993" w:type="dxa"/>
            <w:vAlign w:val="center"/>
          </w:tcPr>
          <w:p w14:paraId="2C27B62A" w14:textId="5AB0F8C2" w:rsidR="00E33643" w:rsidRPr="00657824" w:rsidRDefault="00E33643" w:rsidP="00541D7C">
            <w:pPr>
              <w:jc w:val="right"/>
              <w:rPr>
                <w:sz w:val="16"/>
                <w:szCs w:val="16"/>
              </w:rPr>
            </w:pPr>
            <w:r w:rsidRPr="00657824">
              <w:rPr>
                <w:sz w:val="16"/>
                <w:szCs w:val="16"/>
              </w:rPr>
              <w:t>9,472</w:t>
            </w:r>
          </w:p>
        </w:tc>
        <w:tc>
          <w:tcPr>
            <w:tcW w:w="850" w:type="dxa"/>
            <w:vAlign w:val="center"/>
          </w:tcPr>
          <w:p w14:paraId="0A843850" w14:textId="139AB4A3" w:rsidR="00E33643" w:rsidRPr="00657824" w:rsidRDefault="00E33643" w:rsidP="00541D7C">
            <w:pPr>
              <w:jc w:val="right"/>
              <w:rPr>
                <w:sz w:val="16"/>
                <w:szCs w:val="16"/>
              </w:rPr>
            </w:pPr>
            <w:r w:rsidRPr="00657824">
              <w:rPr>
                <w:sz w:val="16"/>
                <w:szCs w:val="16"/>
              </w:rPr>
              <w:t>$40,095</w:t>
            </w:r>
          </w:p>
        </w:tc>
        <w:tc>
          <w:tcPr>
            <w:tcW w:w="851" w:type="dxa"/>
            <w:vAlign w:val="center"/>
          </w:tcPr>
          <w:p w14:paraId="0D70FA61" w14:textId="3110904E" w:rsidR="00E33643" w:rsidRPr="00657824" w:rsidRDefault="00E33643" w:rsidP="00541D7C">
            <w:pPr>
              <w:jc w:val="right"/>
              <w:rPr>
                <w:sz w:val="16"/>
                <w:szCs w:val="16"/>
              </w:rPr>
            </w:pPr>
            <w:r w:rsidRPr="00657824">
              <w:rPr>
                <w:sz w:val="16"/>
                <w:szCs w:val="16"/>
              </w:rPr>
              <w:t>$39,445</w:t>
            </w:r>
          </w:p>
        </w:tc>
        <w:tc>
          <w:tcPr>
            <w:tcW w:w="1275" w:type="dxa"/>
            <w:vAlign w:val="center"/>
          </w:tcPr>
          <w:p w14:paraId="4242203F" w14:textId="637CD7ED" w:rsidR="00E33643" w:rsidRPr="00657824" w:rsidRDefault="00E33643" w:rsidP="00541D7C">
            <w:pPr>
              <w:jc w:val="right"/>
              <w:rPr>
                <w:sz w:val="16"/>
                <w:szCs w:val="16"/>
              </w:rPr>
            </w:pPr>
            <w:r w:rsidRPr="00657824">
              <w:rPr>
                <w:sz w:val="16"/>
                <w:szCs w:val="16"/>
              </w:rPr>
              <w:t>$379,784,011</w:t>
            </w:r>
          </w:p>
        </w:tc>
        <w:tc>
          <w:tcPr>
            <w:tcW w:w="709" w:type="dxa"/>
            <w:vAlign w:val="center"/>
          </w:tcPr>
          <w:p w14:paraId="7DDBF5E3" w14:textId="77777777" w:rsidR="00E33643" w:rsidRPr="00657824" w:rsidRDefault="00E33643" w:rsidP="00541D7C">
            <w:pPr>
              <w:jc w:val="right"/>
              <w:rPr>
                <w:sz w:val="16"/>
                <w:szCs w:val="16"/>
              </w:rPr>
            </w:pPr>
            <w:r w:rsidRPr="00657824">
              <w:rPr>
                <w:sz w:val="16"/>
                <w:szCs w:val="16"/>
              </w:rPr>
              <w:t>36.6%</w:t>
            </w:r>
          </w:p>
        </w:tc>
        <w:tc>
          <w:tcPr>
            <w:tcW w:w="709" w:type="dxa"/>
            <w:vAlign w:val="center"/>
          </w:tcPr>
          <w:p w14:paraId="7A74FFF8" w14:textId="77777777" w:rsidR="00E33643" w:rsidRPr="00657824" w:rsidRDefault="00E33643" w:rsidP="00541D7C">
            <w:pPr>
              <w:jc w:val="right"/>
              <w:rPr>
                <w:sz w:val="16"/>
                <w:szCs w:val="16"/>
              </w:rPr>
            </w:pPr>
            <w:r w:rsidRPr="00657824">
              <w:rPr>
                <w:sz w:val="16"/>
                <w:szCs w:val="16"/>
              </w:rPr>
              <w:t>52.8%</w:t>
            </w:r>
          </w:p>
        </w:tc>
        <w:tc>
          <w:tcPr>
            <w:tcW w:w="1134" w:type="dxa"/>
            <w:vAlign w:val="center"/>
          </w:tcPr>
          <w:p w14:paraId="758CCCB2" w14:textId="477485E6" w:rsidR="00E33643" w:rsidRPr="00657824" w:rsidRDefault="00E33643" w:rsidP="00541D7C">
            <w:pPr>
              <w:jc w:val="right"/>
              <w:rPr>
                <w:sz w:val="16"/>
                <w:szCs w:val="16"/>
              </w:rPr>
            </w:pPr>
            <w:r w:rsidRPr="00657824">
              <w:rPr>
                <w:sz w:val="16"/>
                <w:szCs w:val="16"/>
              </w:rPr>
              <w:t>$373,621,937</w:t>
            </w:r>
          </w:p>
        </w:tc>
        <w:tc>
          <w:tcPr>
            <w:tcW w:w="709" w:type="dxa"/>
            <w:vAlign w:val="center"/>
          </w:tcPr>
          <w:p w14:paraId="3595AF64" w14:textId="77777777" w:rsidR="00E33643" w:rsidRPr="00657824" w:rsidRDefault="00E33643" w:rsidP="00541D7C">
            <w:pPr>
              <w:jc w:val="right"/>
              <w:rPr>
                <w:sz w:val="16"/>
                <w:szCs w:val="16"/>
              </w:rPr>
            </w:pPr>
            <w:r w:rsidRPr="00657824">
              <w:rPr>
                <w:sz w:val="16"/>
                <w:szCs w:val="16"/>
              </w:rPr>
              <w:t>52.8%</w:t>
            </w:r>
          </w:p>
        </w:tc>
        <w:tc>
          <w:tcPr>
            <w:tcW w:w="1134" w:type="dxa"/>
            <w:vAlign w:val="center"/>
          </w:tcPr>
          <w:p w14:paraId="215D9C0C" w14:textId="77777777" w:rsidR="00E33643" w:rsidRPr="00657824" w:rsidRDefault="00E33643" w:rsidP="00541D7C">
            <w:pPr>
              <w:jc w:val="right"/>
              <w:rPr>
                <w:sz w:val="16"/>
                <w:szCs w:val="16"/>
              </w:rPr>
            </w:pPr>
            <w:r w:rsidRPr="00657824">
              <w:rPr>
                <w:sz w:val="16"/>
                <w:szCs w:val="16"/>
              </w:rPr>
              <w:t>$373,621,937</w:t>
            </w:r>
          </w:p>
          <w:p w14:paraId="3BDB6639" w14:textId="0A9215DE" w:rsidR="00E33643" w:rsidRPr="00657824" w:rsidRDefault="00E33643" w:rsidP="00541D7C">
            <w:pPr>
              <w:jc w:val="right"/>
              <w:rPr>
                <w:sz w:val="16"/>
                <w:szCs w:val="16"/>
              </w:rPr>
            </w:pPr>
            <w:r w:rsidRPr="00657824">
              <w:rPr>
                <w:sz w:val="16"/>
                <w:szCs w:val="16"/>
              </w:rPr>
              <w:t xml:space="preserve"> </w:t>
            </w:r>
          </w:p>
        </w:tc>
        <w:tc>
          <w:tcPr>
            <w:tcW w:w="567" w:type="dxa"/>
            <w:vAlign w:val="center"/>
          </w:tcPr>
          <w:p w14:paraId="6AED7CE2" w14:textId="77777777" w:rsidR="00E33643" w:rsidRPr="00657824" w:rsidRDefault="00E33643" w:rsidP="00541D7C">
            <w:pPr>
              <w:jc w:val="right"/>
              <w:rPr>
                <w:sz w:val="16"/>
                <w:szCs w:val="16"/>
              </w:rPr>
            </w:pPr>
            <w:r w:rsidRPr="00657824">
              <w:rPr>
                <w:sz w:val="16"/>
                <w:szCs w:val="16"/>
              </w:rPr>
              <w:t>90%</w:t>
            </w:r>
          </w:p>
        </w:tc>
        <w:tc>
          <w:tcPr>
            <w:tcW w:w="850" w:type="dxa"/>
            <w:vAlign w:val="center"/>
          </w:tcPr>
          <w:p w14:paraId="33DCE4AF" w14:textId="77777777" w:rsidR="00E33643" w:rsidRPr="00657824" w:rsidRDefault="00E33643" w:rsidP="00541D7C">
            <w:pPr>
              <w:jc w:val="right"/>
              <w:rPr>
                <w:sz w:val="16"/>
                <w:szCs w:val="16"/>
              </w:rPr>
            </w:pPr>
            <w:r w:rsidRPr="00657824">
              <w:rPr>
                <w:sz w:val="16"/>
                <w:szCs w:val="16"/>
              </w:rPr>
              <w:t>60%</w:t>
            </w:r>
          </w:p>
        </w:tc>
        <w:tc>
          <w:tcPr>
            <w:tcW w:w="1276" w:type="dxa"/>
            <w:vAlign w:val="center"/>
          </w:tcPr>
          <w:p w14:paraId="3C3DEDB5" w14:textId="63C52578" w:rsidR="00E33643" w:rsidRPr="00657824" w:rsidRDefault="00E33643" w:rsidP="00541D7C">
            <w:pPr>
              <w:jc w:val="right"/>
              <w:rPr>
                <w:sz w:val="16"/>
                <w:szCs w:val="16"/>
              </w:rPr>
            </w:pPr>
            <w:r w:rsidRPr="00657824">
              <w:rPr>
                <w:sz w:val="16"/>
                <w:szCs w:val="16"/>
              </w:rPr>
              <w:t>$336,259,743</w:t>
            </w:r>
          </w:p>
        </w:tc>
      </w:tr>
      <w:tr w:rsidR="00657824" w:rsidRPr="00657824" w14:paraId="07A7DEEA" w14:textId="77777777" w:rsidTr="00657824">
        <w:trPr>
          <w:trHeight w:val="397"/>
        </w:trPr>
        <w:tc>
          <w:tcPr>
            <w:tcW w:w="988" w:type="dxa"/>
            <w:vMerge/>
            <w:vAlign w:val="center"/>
          </w:tcPr>
          <w:p w14:paraId="3F793FEB" w14:textId="77777777" w:rsidR="00E33643" w:rsidRPr="00657824" w:rsidRDefault="00E33643" w:rsidP="00541D7C">
            <w:pPr>
              <w:widowControl w:val="0"/>
              <w:pBdr>
                <w:top w:val="nil"/>
                <w:left w:val="nil"/>
                <w:bottom w:val="nil"/>
                <w:right w:val="nil"/>
                <w:between w:val="nil"/>
              </w:pBdr>
              <w:rPr>
                <w:sz w:val="18"/>
                <w:szCs w:val="18"/>
              </w:rPr>
            </w:pPr>
          </w:p>
        </w:tc>
        <w:tc>
          <w:tcPr>
            <w:tcW w:w="1134" w:type="dxa"/>
            <w:vMerge/>
            <w:vAlign w:val="center"/>
          </w:tcPr>
          <w:p w14:paraId="2995E1B4" w14:textId="77777777" w:rsidR="00E33643" w:rsidRPr="00657824" w:rsidRDefault="00E33643" w:rsidP="00541D7C">
            <w:pPr>
              <w:widowControl w:val="0"/>
              <w:pBdr>
                <w:top w:val="nil"/>
                <w:left w:val="nil"/>
                <w:bottom w:val="nil"/>
                <w:right w:val="nil"/>
                <w:between w:val="nil"/>
              </w:pBdr>
              <w:rPr>
                <w:sz w:val="18"/>
                <w:szCs w:val="18"/>
              </w:rPr>
            </w:pPr>
          </w:p>
        </w:tc>
        <w:tc>
          <w:tcPr>
            <w:tcW w:w="708" w:type="dxa"/>
            <w:vAlign w:val="center"/>
          </w:tcPr>
          <w:p w14:paraId="76008D3B" w14:textId="77777777" w:rsidR="00E33643" w:rsidRPr="00657824" w:rsidRDefault="00E33643" w:rsidP="00541D7C">
            <w:pPr>
              <w:jc w:val="right"/>
              <w:rPr>
                <w:b/>
                <w:i/>
                <w:sz w:val="16"/>
                <w:szCs w:val="16"/>
              </w:rPr>
            </w:pPr>
            <w:r w:rsidRPr="00657824">
              <w:rPr>
                <w:b/>
                <w:i/>
                <w:sz w:val="16"/>
                <w:szCs w:val="16"/>
              </w:rPr>
              <w:t>Total</w:t>
            </w:r>
          </w:p>
        </w:tc>
        <w:tc>
          <w:tcPr>
            <w:tcW w:w="567" w:type="dxa"/>
            <w:vAlign w:val="center"/>
          </w:tcPr>
          <w:p w14:paraId="0E36FE48" w14:textId="77777777" w:rsidR="00E33643" w:rsidRPr="00657824" w:rsidRDefault="00E33643" w:rsidP="00541D7C">
            <w:pPr>
              <w:jc w:val="right"/>
              <w:rPr>
                <w:sz w:val="16"/>
                <w:szCs w:val="16"/>
              </w:rPr>
            </w:pPr>
            <w:r w:rsidRPr="00657824">
              <w:rPr>
                <w:sz w:val="16"/>
                <w:szCs w:val="16"/>
              </w:rPr>
              <w:t xml:space="preserve"> </w:t>
            </w:r>
          </w:p>
        </w:tc>
        <w:tc>
          <w:tcPr>
            <w:tcW w:w="993" w:type="dxa"/>
            <w:vAlign w:val="center"/>
          </w:tcPr>
          <w:p w14:paraId="6EC5CEB8" w14:textId="50DEA719" w:rsidR="00E33643" w:rsidRPr="00657824" w:rsidRDefault="00E33643" w:rsidP="00541D7C">
            <w:pPr>
              <w:jc w:val="right"/>
              <w:rPr>
                <w:sz w:val="16"/>
                <w:szCs w:val="16"/>
              </w:rPr>
            </w:pPr>
            <w:r w:rsidRPr="00657824">
              <w:rPr>
                <w:sz w:val="16"/>
                <w:szCs w:val="16"/>
              </w:rPr>
              <w:t>505,433</w:t>
            </w:r>
          </w:p>
        </w:tc>
        <w:tc>
          <w:tcPr>
            <w:tcW w:w="850" w:type="dxa"/>
            <w:vAlign w:val="center"/>
          </w:tcPr>
          <w:p w14:paraId="35985C62" w14:textId="77777777" w:rsidR="00E33643" w:rsidRPr="00657824" w:rsidRDefault="00E33643" w:rsidP="00541D7C">
            <w:pPr>
              <w:jc w:val="right"/>
              <w:rPr>
                <w:sz w:val="16"/>
                <w:szCs w:val="16"/>
              </w:rPr>
            </w:pPr>
            <w:r w:rsidRPr="00657824">
              <w:rPr>
                <w:sz w:val="16"/>
                <w:szCs w:val="16"/>
              </w:rPr>
              <w:t xml:space="preserve"> </w:t>
            </w:r>
          </w:p>
        </w:tc>
        <w:tc>
          <w:tcPr>
            <w:tcW w:w="851" w:type="dxa"/>
            <w:vAlign w:val="center"/>
          </w:tcPr>
          <w:p w14:paraId="311CF90A" w14:textId="77777777" w:rsidR="00E33643" w:rsidRPr="00657824" w:rsidRDefault="00E33643" w:rsidP="00541D7C">
            <w:pPr>
              <w:jc w:val="right"/>
              <w:rPr>
                <w:sz w:val="16"/>
                <w:szCs w:val="16"/>
              </w:rPr>
            </w:pPr>
            <w:r w:rsidRPr="00657824">
              <w:rPr>
                <w:sz w:val="16"/>
                <w:szCs w:val="16"/>
              </w:rPr>
              <w:t xml:space="preserve"> </w:t>
            </w:r>
          </w:p>
        </w:tc>
        <w:tc>
          <w:tcPr>
            <w:tcW w:w="1275" w:type="dxa"/>
            <w:vAlign w:val="center"/>
          </w:tcPr>
          <w:p w14:paraId="3F8ABB84" w14:textId="1D3B6202" w:rsidR="00E33643" w:rsidRPr="00657824" w:rsidRDefault="00E33643" w:rsidP="00541D7C">
            <w:pPr>
              <w:jc w:val="right"/>
              <w:rPr>
                <w:sz w:val="16"/>
                <w:szCs w:val="16"/>
              </w:rPr>
            </w:pPr>
            <w:r w:rsidRPr="00657824">
              <w:rPr>
                <w:sz w:val="16"/>
                <w:szCs w:val="16"/>
              </w:rPr>
              <w:t>$1,037,000,000</w:t>
            </w:r>
          </w:p>
        </w:tc>
        <w:tc>
          <w:tcPr>
            <w:tcW w:w="709" w:type="dxa"/>
            <w:vAlign w:val="center"/>
          </w:tcPr>
          <w:p w14:paraId="48488A59" w14:textId="77777777" w:rsidR="00E33643" w:rsidRPr="00657824" w:rsidRDefault="00E33643" w:rsidP="00541D7C">
            <w:pPr>
              <w:jc w:val="right"/>
              <w:rPr>
                <w:sz w:val="16"/>
                <w:szCs w:val="16"/>
              </w:rPr>
            </w:pPr>
            <w:r w:rsidRPr="00657824">
              <w:rPr>
                <w:sz w:val="16"/>
                <w:szCs w:val="16"/>
              </w:rPr>
              <w:t xml:space="preserve"> </w:t>
            </w:r>
          </w:p>
        </w:tc>
        <w:tc>
          <w:tcPr>
            <w:tcW w:w="709" w:type="dxa"/>
            <w:vAlign w:val="center"/>
          </w:tcPr>
          <w:p w14:paraId="21F0588B" w14:textId="77777777" w:rsidR="00E33643" w:rsidRPr="00657824" w:rsidRDefault="00E33643" w:rsidP="00541D7C">
            <w:pPr>
              <w:jc w:val="right"/>
              <w:rPr>
                <w:sz w:val="16"/>
                <w:szCs w:val="16"/>
              </w:rPr>
            </w:pPr>
            <w:r w:rsidRPr="00657824">
              <w:rPr>
                <w:sz w:val="16"/>
                <w:szCs w:val="16"/>
              </w:rPr>
              <w:t>68.3%</w:t>
            </w:r>
          </w:p>
        </w:tc>
        <w:tc>
          <w:tcPr>
            <w:tcW w:w="1134" w:type="dxa"/>
            <w:vAlign w:val="center"/>
          </w:tcPr>
          <w:p w14:paraId="1C8188AA" w14:textId="0A2BB268" w:rsidR="00E33643" w:rsidRPr="00657824" w:rsidRDefault="00E33643" w:rsidP="00541D7C">
            <w:pPr>
              <w:jc w:val="right"/>
              <w:rPr>
                <w:sz w:val="16"/>
                <w:szCs w:val="16"/>
              </w:rPr>
            </w:pPr>
            <w:r w:rsidRPr="00657824">
              <w:rPr>
                <w:sz w:val="16"/>
                <w:szCs w:val="16"/>
              </w:rPr>
              <w:t>$708,187,139</w:t>
            </w:r>
          </w:p>
        </w:tc>
        <w:tc>
          <w:tcPr>
            <w:tcW w:w="709" w:type="dxa"/>
            <w:vAlign w:val="center"/>
          </w:tcPr>
          <w:p w14:paraId="3064B621" w14:textId="77777777" w:rsidR="00E33643" w:rsidRPr="00657824" w:rsidRDefault="00E33643" w:rsidP="00541D7C">
            <w:pPr>
              <w:jc w:val="right"/>
              <w:rPr>
                <w:sz w:val="16"/>
                <w:szCs w:val="16"/>
              </w:rPr>
            </w:pPr>
            <w:r w:rsidRPr="00657824">
              <w:rPr>
                <w:sz w:val="16"/>
                <w:szCs w:val="16"/>
              </w:rPr>
              <w:t>36.0%</w:t>
            </w:r>
          </w:p>
        </w:tc>
        <w:tc>
          <w:tcPr>
            <w:tcW w:w="1134" w:type="dxa"/>
            <w:vAlign w:val="center"/>
          </w:tcPr>
          <w:p w14:paraId="28330834" w14:textId="77777777" w:rsidR="00E33643" w:rsidRPr="00657824" w:rsidRDefault="00E33643" w:rsidP="00541D7C">
            <w:pPr>
              <w:jc w:val="right"/>
              <w:rPr>
                <w:sz w:val="16"/>
                <w:szCs w:val="16"/>
              </w:rPr>
            </w:pPr>
            <w:r w:rsidRPr="00657824">
              <w:rPr>
                <w:sz w:val="16"/>
                <w:szCs w:val="16"/>
              </w:rPr>
              <w:t>$373,621,937</w:t>
            </w:r>
          </w:p>
          <w:p w14:paraId="357E9AFC" w14:textId="0E993FD8" w:rsidR="00E33643" w:rsidRPr="00657824" w:rsidRDefault="00E33643" w:rsidP="00541D7C">
            <w:pPr>
              <w:jc w:val="right"/>
              <w:rPr>
                <w:sz w:val="16"/>
                <w:szCs w:val="16"/>
              </w:rPr>
            </w:pPr>
            <w:r w:rsidRPr="00657824">
              <w:rPr>
                <w:sz w:val="16"/>
                <w:szCs w:val="16"/>
              </w:rPr>
              <w:t xml:space="preserve"> </w:t>
            </w:r>
          </w:p>
        </w:tc>
        <w:tc>
          <w:tcPr>
            <w:tcW w:w="567" w:type="dxa"/>
            <w:vAlign w:val="center"/>
          </w:tcPr>
          <w:p w14:paraId="550C8EC9" w14:textId="77777777" w:rsidR="00E33643" w:rsidRPr="00657824" w:rsidRDefault="00E33643" w:rsidP="00541D7C">
            <w:pPr>
              <w:jc w:val="right"/>
              <w:rPr>
                <w:sz w:val="16"/>
                <w:szCs w:val="16"/>
              </w:rPr>
            </w:pPr>
            <w:r w:rsidRPr="00657824">
              <w:rPr>
                <w:sz w:val="16"/>
                <w:szCs w:val="16"/>
              </w:rPr>
              <w:t xml:space="preserve"> </w:t>
            </w:r>
          </w:p>
        </w:tc>
        <w:tc>
          <w:tcPr>
            <w:tcW w:w="850" w:type="dxa"/>
            <w:vAlign w:val="center"/>
          </w:tcPr>
          <w:p w14:paraId="5DCE9BAB" w14:textId="77777777" w:rsidR="00E33643" w:rsidRPr="00657824" w:rsidRDefault="00E33643" w:rsidP="00541D7C">
            <w:pPr>
              <w:jc w:val="right"/>
              <w:rPr>
                <w:sz w:val="16"/>
                <w:szCs w:val="16"/>
              </w:rPr>
            </w:pPr>
            <w:r w:rsidRPr="00657824">
              <w:rPr>
                <w:sz w:val="16"/>
                <w:szCs w:val="16"/>
              </w:rPr>
              <w:t>53.65%</w:t>
            </w:r>
          </w:p>
        </w:tc>
        <w:tc>
          <w:tcPr>
            <w:tcW w:w="1276" w:type="dxa"/>
            <w:vAlign w:val="center"/>
          </w:tcPr>
          <w:p w14:paraId="5A36E97A" w14:textId="368C9E63" w:rsidR="00E33643" w:rsidRPr="00657824" w:rsidRDefault="00E33643" w:rsidP="00541D7C">
            <w:pPr>
              <w:jc w:val="right"/>
              <w:rPr>
                <w:sz w:val="16"/>
                <w:szCs w:val="16"/>
              </w:rPr>
            </w:pPr>
            <w:r w:rsidRPr="00657824">
              <w:rPr>
                <w:sz w:val="16"/>
                <w:szCs w:val="16"/>
              </w:rPr>
              <w:t>$556,327,138</w:t>
            </w:r>
          </w:p>
        </w:tc>
      </w:tr>
      <w:tr w:rsidR="00657824" w:rsidRPr="00657824" w14:paraId="7E4B031E" w14:textId="77777777" w:rsidTr="00657824">
        <w:trPr>
          <w:trHeight w:val="397"/>
        </w:trPr>
        <w:tc>
          <w:tcPr>
            <w:tcW w:w="988" w:type="dxa"/>
            <w:vMerge/>
            <w:vAlign w:val="center"/>
          </w:tcPr>
          <w:p w14:paraId="4E1F7892" w14:textId="77777777" w:rsidR="00E33643" w:rsidRPr="00657824" w:rsidRDefault="00E33643" w:rsidP="00541D7C">
            <w:pPr>
              <w:widowControl w:val="0"/>
              <w:pBdr>
                <w:top w:val="nil"/>
                <w:left w:val="nil"/>
                <w:bottom w:val="nil"/>
                <w:right w:val="nil"/>
                <w:between w:val="nil"/>
              </w:pBdr>
              <w:rPr>
                <w:sz w:val="18"/>
                <w:szCs w:val="18"/>
              </w:rPr>
            </w:pPr>
          </w:p>
        </w:tc>
        <w:tc>
          <w:tcPr>
            <w:tcW w:w="1134" w:type="dxa"/>
            <w:vMerge/>
            <w:vAlign w:val="center"/>
          </w:tcPr>
          <w:p w14:paraId="28615068" w14:textId="77777777" w:rsidR="00E33643" w:rsidRPr="00657824" w:rsidRDefault="00E33643" w:rsidP="00541D7C">
            <w:pPr>
              <w:widowControl w:val="0"/>
              <w:pBdr>
                <w:top w:val="nil"/>
                <w:left w:val="nil"/>
                <w:bottom w:val="nil"/>
                <w:right w:val="nil"/>
                <w:between w:val="nil"/>
              </w:pBdr>
              <w:rPr>
                <w:sz w:val="18"/>
                <w:szCs w:val="18"/>
              </w:rPr>
            </w:pPr>
          </w:p>
        </w:tc>
        <w:tc>
          <w:tcPr>
            <w:tcW w:w="708" w:type="dxa"/>
            <w:vAlign w:val="center"/>
          </w:tcPr>
          <w:p w14:paraId="385677AE" w14:textId="77777777" w:rsidR="00E33643" w:rsidRPr="00657824" w:rsidRDefault="00E33643" w:rsidP="00541D7C">
            <w:pPr>
              <w:jc w:val="right"/>
              <w:rPr>
                <w:b/>
                <w:sz w:val="16"/>
                <w:szCs w:val="16"/>
              </w:rPr>
            </w:pPr>
            <w:r w:rsidRPr="00657824">
              <w:rPr>
                <w:b/>
                <w:sz w:val="16"/>
                <w:szCs w:val="16"/>
              </w:rPr>
              <w:t xml:space="preserve"> </w:t>
            </w:r>
          </w:p>
        </w:tc>
        <w:tc>
          <w:tcPr>
            <w:tcW w:w="567" w:type="dxa"/>
            <w:vAlign w:val="center"/>
          </w:tcPr>
          <w:p w14:paraId="683A1624" w14:textId="77777777" w:rsidR="00E33643" w:rsidRPr="00657824" w:rsidRDefault="00E33643" w:rsidP="00541D7C">
            <w:pPr>
              <w:jc w:val="right"/>
              <w:rPr>
                <w:sz w:val="16"/>
                <w:szCs w:val="16"/>
              </w:rPr>
            </w:pPr>
            <w:r w:rsidRPr="00657824">
              <w:rPr>
                <w:sz w:val="16"/>
                <w:szCs w:val="16"/>
              </w:rPr>
              <w:t xml:space="preserve"> </w:t>
            </w:r>
          </w:p>
        </w:tc>
        <w:tc>
          <w:tcPr>
            <w:tcW w:w="993" w:type="dxa"/>
            <w:vAlign w:val="center"/>
          </w:tcPr>
          <w:p w14:paraId="17704B4E" w14:textId="77777777" w:rsidR="00E33643" w:rsidRPr="00657824" w:rsidRDefault="00E33643" w:rsidP="00541D7C">
            <w:pPr>
              <w:jc w:val="right"/>
              <w:rPr>
                <w:sz w:val="16"/>
                <w:szCs w:val="16"/>
              </w:rPr>
            </w:pPr>
            <w:r w:rsidRPr="00657824">
              <w:rPr>
                <w:sz w:val="16"/>
                <w:szCs w:val="16"/>
              </w:rPr>
              <w:t xml:space="preserve"> </w:t>
            </w:r>
          </w:p>
        </w:tc>
        <w:tc>
          <w:tcPr>
            <w:tcW w:w="850" w:type="dxa"/>
            <w:vAlign w:val="center"/>
          </w:tcPr>
          <w:p w14:paraId="4A05BC36" w14:textId="77777777" w:rsidR="00E33643" w:rsidRPr="00657824" w:rsidRDefault="00E33643" w:rsidP="00541D7C">
            <w:pPr>
              <w:jc w:val="right"/>
              <w:rPr>
                <w:sz w:val="16"/>
                <w:szCs w:val="16"/>
              </w:rPr>
            </w:pPr>
            <w:r w:rsidRPr="00657824">
              <w:rPr>
                <w:sz w:val="16"/>
                <w:szCs w:val="16"/>
              </w:rPr>
              <w:t xml:space="preserve"> </w:t>
            </w:r>
          </w:p>
        </w:tc>
        <w:tc>
          <w:tcPr>
            <w:tcW w:w="851" w:type="dxa"/>
            <w:vAlign w:val="center"/>
          </w:tcPr>
          <w:p w14:paraId="59124B64" w14:textId="77777777" w:rsidR="00E33643" w:rsidRPr="00657824" w:rsidRDefault="00E33643" w:rsidP="00541D7C">
            <w:pPr>
              <w:jc w:val="right"/>
              <w:rPr>
                <w:sz w:val="16"/>
                <w:szCs w:val="16"/>
              </w:rPr>
            </w:pPr>
            <w:r w:rsidRPr="00657824">
              <w:rPr>
                <w:sz w:val="16"/>
                <w:szCs w:val="16"/>
              </w:rPr>
              <w:t xml:space="preserve"> </w:t>
            </w:r>
          </w:p>
        </w:tc>
        <w:tc>
          <w:tcPr>
            <w:tcW w:w="1275" w:type="dxa"/>
            <w:vAlign w:val="center"/>
          </w:tcPr>
          <w:p w14:paraId="2DE32B1F" w14:textId="77777777" w:rsidR="00E33643" w:rsidRPr="00657824" w:rsidRDefault="00E33643" w:rsidP="00541D7C">
            <w:pPr>
              <w:jc w:val="right"/>
              <w:rPr>
                <w:sz w:val="16"/>
                <w:szCs w:val="16"/>
              </w:rPr>
            </w:pPr>
            <w:r w:rsidRPr="00657824">
              <w:rPr>
                <w:sz w:val="16"/>
                <w:szCs w:val="16"/>
              </w:rPr>
              <w:t xml:space="preserve"> </w:t>
            </w:r>
          </w:p>
        </w:tc>
        <w:tc>
          <w:tcPr>
            <w:tcW w:w="709" w:type="dxa"/>
            <w:vAlign w:val="center"/>
          </w:tcPr>
          <w:p w14:paraId="7EFA1E66" w14:textId="77777777" w:rsidR="00E33643" w:rsidRPr="00657824" w:rsidRDefault="00E33643" w:rsidP="00541D7C">
            <w:pPr>
              <w:jc w:val="right"/>
              <w:rPr>
                <w:sz w:val="16"/>
                <w:szCs w:val="16"/>
              </w:rPr>
            </w:pPr>
            <w:r w:rsidRPr="00657824">
              <w:rPr>
                <w:sz w:val="16"/>
                <w:szCs w:val="16"/>
              </w:rPr>
              <w:t xml:space="preserve"> </w:t>
            </w:r>
          </w:p>
        </w:tc>
        <w:tc>
          <w:tcPr>
            <w:tcW w:w="709" w:type="dxa"/>
            <w:vAlign w:val="center"/>
          </w:tcPr>
          <w:p w14:paraId="5C6D1C99" w14:textId="77777777" w:rsidR="00E33643" w:rsidRPr="00657824" w:rsidRDefault="00E33643" w:rsidP="00541D7C">
            <w:pPr>
              <w:jc w:val="right"/>
              <w:rPr>
                <w:sz w:val="16"/>
                <w:szCs w:val="16"/>
              </w:rPr>
            </w:pPr>
            <w:r w:rsidRPr="00657824">
              <w:rPr>
                <w:sz w:val="16"/>
                <w:szCs w:val="16"/>
              </w:rPr>
              <w:t xml:space="preserve"> </w:t>
            </w:r>
          </w:p>
        </w:tc>
        <w:tc>
          <w:tcPr>
            <w:tcW w:w="1134" w:type="dxa"/>
            <w:vAlign w:val="center"/>
          </w:tcPr>
          <w:p w14:paraId="60EF0900" w14:textId="77777777" w:rsidR="00E33643" w:rsidRPr="00657824" w:rsidRDefault="00E33643" w:rsidP="00541D7C">
            <w:pPr>
              <w:jc w:val="right"/>
              <w:rPr>
                <w:sz w:val="16"/>
                <w:szCs w:val="16"/>
              </w:rPr>
            </w:pPr>
            <w:r w:rsidRPr="00657824">
              <w:rPr>
                <w:sz w:val="16"/>
                <w:szCs w:val="16"/>
              </w:rPr>
              <w:t xml:space="preserve"> </w:t>
            </w:r>
          </w:p>
        </w:tc>
        <w:tc>
          <w:tcPr>
            <w:tcW w:w="709" w:type="dxa"/>
            <w:vAlign w:val="center"/>
          </w:tcPr>
          <w:p w14:paraId="4D3922A9" w14:textId="77777777" w:rsidR="00E33643" w:rsidRPr="00657824" w:rsidRDefault="00E33643" w:rsidP="00541D7C">
            <w:pPr>
              <w:jc w:val="right"/>
              <w:rPr>
                <w:sz w:val="16"/>
                <w:szCs w:val="16"/>
              </w:rPr>
            </w:pPr>
            <w:r w:rsidRPr="00657824">
              <w:rPr>
                <w:sz w:val="16"/>
                <w:szCs w:val="16"/>
              </w:rPr>
              <w:t xml:space="preserve"> </w:t>
            </w:r>
          </w:p>
        </w:tc>
        <w:tc>
          <w:tcPr>
            <w:tcW w:w="1134" w:type="dxa"/>
            <w:vAlign w:val="center"/>
          </w:tcPr>
          <w:p w14:paraId="0047D2AD" w14:textId="77777777" w:rsidR="00E33643" w:rsidRPr="00657824" w:rsidRDefault="00E33643" w:rsidP="00541D7C">
            <w:pPr>
              <w:jc w:val="right"/>
              <w:rPr>
                <w:sz w:val="16"/>
                <w:szCs w:val="16"/>
              </w:rPr>
            </w:pPr>
            <w:r w:rsidRPr="00657824">
              <w:rPr>
                <w:sz w:val="16"/>
                <w:szCs w:val="16"/>
              </w:rPr>
              <w:t xml:space="preserve"> </w:t>
            </w:r>
          </w:p>
          <w:p w14:paraId="50E2971B" w14:textId="2DFDE506" w:rsidR="00E33643" w:rsidRPr="00657824" w:rsidRDefault="00E33643" w:rsidP="00541D7C">
            <w:pPr>
              <w:jc w:val="right"/>
              <w:rPr>
                <w:sz w:val="16"/>
                <w:szCs w:val="16"/>
              </w:rPr>
            </w:pPr>
            <w:r w:rsidRPr="00657824">
              <w:rPr>
                <w:sz w:val="16"/>
                <w:szCs w:val="16"/>
              </w:rPr>
              <w:t xml:space="preserve"> </w:t>
            </w:r>
          </w:p>
        </w:tc>
        <w:tc>
          <w:tcPr>
            <w:tcW w:w="567" w:type="dxa"/>
            <w:vAlign w:val="center"/>
          </w:tcPr>
          <w:p w14:paraId="1FCBC825" w14:textId="77777777" w:rsidR="00E33643" w:rsidRPr="00657824" w:rsidRDefault="00E33643" w:rsidP="00541D7C">
            <w:pPr>
              <w:jc w:val="right"/>
              <w:rPr>
                <w:sz w:val="16"/>
                <w:szCs w:val="16"/>
              </w:rPr>
            </w:pPr>
            <w:r w:rsidRPr="00657824">
              <w:rPr>
                <w:sz w:val="16"/>
                <w:szCs w:val="16"/>
              </w:rPr>
              <w:t xml:space="preserve"> </w:t>
            </w:r>
          </w:p>
        </w:tc>
        <w:tc>
          <w:tcPr>
            <w:tcW w:w="850" w:type="dxa"/>
            <w:vAlign w:val="center"/>
          </w:tcPr>
          <w:p w14:paraId="67C9E50B" w14:textId="77777777" w:rsidR="00E33643" w:rsidRPr="00657824" w:rsidRDefault="00E33643" w:rsidP="00541D7C">
            <w:pPr>
              <w:jc w:val="right"/>
              <w:rPr>
                <w:sz w:val="16"/>
                <w:szCs w:val="16"/>
              </w:rPr>
            </w:pPr>
            <w:r w:rsidRPr="00657824">
              <w:rPr>
                <w:sz w:val="16"/>
                <w:szCs w:val="16"/>
              </w:rPr>
              <w:t xml:space="preserve"> </w:t>
            </w:r>
          </w:p>
        </w:tc>
        <w:tc>
          <w:tcPr>
            <w:tcW w:w="1276" w:type="dxa"/>
            <w:vAlign w:val="center"/>
          </w:tcPr>
          <w:p w14:paraId="4764BA47" w14:textId="77777777" w:rsidR="00E33643" w:rsidRPr="00657824" w:rsidRDefault="00E33643" w:rsidP="00541D7C">
            <w:pPr>
              <w:jc w:val="right"/>
              <w:rPr>
                <w:sz w:val="16"/>
                <w:szCs w:val="16"/>
              </w:rPr>
            </w:pPr>
            <w:r w:rsidRPr="00657824">
              <w:rPr>
                <w:sz w:val="16"/>
                <w:szCs w:val="16"/>
              </w:rPr>
              <w:t xml:space="preserve"> </w:t>
            </w:r>
          </w:p>
        </w:tc>
      </w:tr>
      <w:tr w:rsidR="00657824" w:rsidRPr="00657824" w14:paraId="2743E314" w14:textId="77777777" w:rsidTr="00657824">
        <w:trPr>
          <w:trHeight w:val="397"/>
        </w:trPr>
        <w:tc>
          <w:tcPr>
            <w:tcW w:w="988" w:type="dxa"/>
            <w:vMerge w:val="restart"/>
            <w:vAlign w:val="center"/>
          </w:tcPr>
          <w:p w14:paraId="1EC38120" w14:textId="4130344E" w:rsidR="00E33643" w:rsidRPr="00657824" w:rsidRDefault="00E33643" w:rsidP="00541D7C">
            <w:pPr>
              <w:rPr>
                <w:b/>
                <w:sz w:val="18"/>
                <w:szCs w:val="18"/>
              </w:rPr>
            </w:pPr>
            <w:r w:rsidRPr="00657824">
              <w:rPr>
                <w:b/>
                <w:sz w:val="18"/>
                <w:szCs w:val="18"/>
              </w:rPr>
              <w:t>EGMs (pubs/</w:t>
            </w:r>
            <w:r w:rsidRPr="00657824">
              <w:rPr>
                <w:b/>
                <w:sz w:val="18"/>
                <w:szCs w:val="18"/>
              </w:rPr>
              <w:br/>
              <w:t>clubs)</w:t>
            </w:r>
          </w:p>
        </w:tc>
        <w:tc>
          <w:tcPr>
            <w:tcW w:w="1134" w:type="dxa"/>
            <w:vMerge w:val="restart"/>
            <w:vAlign w:val="center"/>
          </w:tcPr>
          <w:p w14:paraId="4D3D5967" w14:textId="77777777" w:rsidR="00E33643" w:rsidRPr="00657824" w:rsidRDefault="00E33643" w:rsidP="00541D7C">
            <w:pPr>
              <w:rPr>
                <w:b/>
                <w:sz w:val="18"/>
                <w:szCs w:val="18"/>
              </w:rPr>
            </w:pPr>
            <w:r w:rsidRPr="00657824">
              <w:rPr>
                <w:b/>
                <w:sz w:val="18"/>
                <w:szCs w:val="18"/>
              </w:rPr>
              <w:t>Counter-factual</w:t>
            </w:r>
          </w:p>
        </w:tc>
        <w:tc>
          <w:tcPr>
            <w:tcW w:w="708" w:type="dxa"/>
            <w:vAlign w:val="center"/>
          </w:tcPr>
          <w:p w14:paraId="459BA7C6" w14:textId="77777777" w:rsidR="00E33643" w:rsidRPr="00657824" w:rsidRDefault="00E33643" w:rsidP="00541D7C">
            <w:pPr>
              <w:jc w:val="right"/>
              <w:rPr>
                <w:b/>
                <w:sz w:val="16"/>
                <w:szCs w:val="16"/>
              </w:rPr>
            </w:pPr>
            <w:r w:rsidRPr="00657824">
              <w:rPr>
                <w:b/>
                <w:sz w:val="16"/>
                <w:szCs w:val="16"/>
              </w:rPr>
              <w:t>NPG</w:t>
            </w:r>
          </w:p>
        </w:tc>
        <w:tc>
          <w:tcPr>
            <w:tcW w:w="567" w:type="dxa"/>
            <w:vAlign w:val="center"/>
          </w:tcPr>
          <w:p w14:paraId="7F802B38" w14:textId="77777777" w:rsidR="00E33643" w:rsidRPr="00657824" w:rsidRDefault="00E33643" w:rsidP="00541D7C">
            <w:pPr>
              <w:jc w:val="right"/>
              <w:rPr>
                <w:sz w:val="16"/>
                <w:szCs w:val="16"/>
              </w:rPr>
            </w:pPr>
            <w:r w:rsidRPr="00657824">
              <w:rPr>
                <w:sz w:val="16"/>
                <w:szCs w:val="16"/>
              </w:rPr>
              <w:t>646</w:t>
            </w:r>
          </w:p>
        </w:tc>
        <w:tc>
          <w:tcPr>
            <w:tcW w:w="993" w:type="dxa"/>
            <w:vAlign w:val="center"/>
          </w:tcPr>
          <w:p w14:paraId="730710CE" w14:textId="4189FCD8" w:rsidR="00E33643" w:rsidRPr="00657824" w:rsidRDefault="00E33643" w:rsidP="00541D7C">
            <w:pPr>
              <w:jc w:val="right"/>
              <w:rPr>
                <w:sz w:val="16"/>
                <w:szCs w:val="16"/>
              </w:rPr>
            </w:pPr>
            <w:r w:rsidRPr="00657824">
              <w:rPr>
                <w:sz w:val="16"/>
                <w:szCs w:val="16"/>
              </w:rPr>
              <w:t>373,980</w:t>
            </w:r>
          </w:p>
        </w:tc>
        <w:tc>
          <w:tcPr>
            <w:tcW w:w="850" w:type="dxa"/>
            <w:vAlign w:val="center"/>
          </w:tcPr>
          <w:p w14:paraId="711CACA3" w14:textId="1999628D" w:rsidR="00E33643" w:rsidRPr="00657824" w:rsidRDefault="00E33643" w:rsidP="00541D7C">
            <w:pPr>
              <w:jc w:val="right"/>
              <w:rPr>
                <w:sz w:val="16"/>
                <w:szCs w:val="16"/>
              </w:rPr>
            </w:pPr>
            <w:r w:rsidRPr="00657824">
              <w:rPr>
                <w:sz w:val="16"/>
                <w:szCs w:val="16"/>
              </w:rPr>
              <w:t>$649</w:t>
            </w:r>
          </w:p>
        </w:tc>
        <w:tc>
          <w:tcPr>
            <w:tcW w:w="851" w:type="dxa"/>
            <w:vAlign w:val="center"/>
          </w:tcPr>
          <w:p w14:paraId="7417E884" w14:textId="2C666D80" w:rsidR="00E33643" w:rsidRPr="00657824" w:rsidRDefault="00E33643" w:rsidP="00541D7C">
            <w:pPr>
              <w:jc w:val="right"/>
              <w:rPr>
                <w:sz w:val="16"/>
                <w:szCs w:val="16"/>
              </w:rPr>
            </w:pPr>
            <w:r w:rsidRPr="00657824">
              <w:rPr>
                <w:sz w:val="16"/>
                <w:szCs w:val="16"/>
              </w:rPr>
              <w:t>$0</w:t>
            </w:r>
          </w:p>
        </w:tc>
        <w:tc>
          <w:tcPr>
            <w:tcW w:w="1275" w:type="dxa"/>
            <w:vAlign w:val="center"/>
          </w:tcPr>
          <w:p w14:paraId="5440012B" w14:textId="70839CC4" w:rsidR="00E33643" w:rsidRPr="00657824" w:rsidRDefault="00E33643" w:rsidP="00541D7C">
            <w:pPr>
              <w:jc w:val="right"/>
              <w:rPr>
                <w:sz w:val="16"/>
                <w:szCs w:val="16"/>
              </w:rPr>
            </w:pPr>
            <w:r w:rsidRPr="00657824">
              <w:rPr>
                <w:sz w:val="16"/>
                <w:szCs w:val="16"/>
              </w:rPr>
              <w:t>$242,612,045</w:t>
            </w:r>
          </w:p>
        </w:tc>
        <w:tc>
          <w:tcPr>
            <w:tcW w:w="709" w:type="dxa"/>
            <w:vAlign w:val="center"/>
          </w:tcPr>
          <w:p w14:paraId="3679BA25" w14:textId="77777777" w:rsidR="00E33643" w:rsidRPr="00657824" w:rsidRDefault="00E33643" w:rsidP="00541D7C">
            <w:pPr>
              <w:jc w:val="right"/>
              <w:rPr>
                <w:sz w:val="16"/>
                <w:szCs w:val="16"/>
              </w:rPr>
            </w:pPr>
            <w:r w:rsidRPr="00657824">
              <w:rPr>
                <w:sz w:val="16"/>
                <w:szCs w:val="16"/>
              </w:rPr>
              <w:t>41.0%</w:t>
            </w:r>
          </w:p>
        </w:tc>
        <w:tc>
          <w:tcPr>
            <w:tcW w:w="709" w:type="dxa"/>
            <w:vAlign w:val="center"/>
          </w:tcPr>
          <w:p w14:paraId="76E6EA04" w14:textId="77777777" w:rsidR="00E33643" w:rsidRPr="00657824" w:rsidRDefault="00E33643" w:rsidP="00541D7C">
            <w:pPr>
              <w:jc w:val="right"/>
              <w:rPr>
                <w:sz w:val="16"/>
                <w:szCs w:val="16"/>
              </w:rPr>
            </w:pPr>
            <w:r w:rsidRPr="00657824">
              <w:rPr>
                <w:sz w:val="16"/>
                <w:szCs w:val="16"/>
              </w:rPr>
              <w:t>0.0%</w:t>
            </w:r>
          </w:p>
        </w:tc>
        <w:tc>
          <w:tcPr>
            <w:tcW w:w="1134" w:type="dxa"/>
            <w:vAlign w:val="center"/>
          </w:tcPr>
          <w:p w14:paraId="13AC8DB9" w14:textId="0422002C" w:rsidR="00E33643" w:rsidRPr="00657824" w:rsidRDefault="00E33643" w:rsidP="00541D7C">
            <w:pPr>
              <w:jc w:val="right"/>
              <w:rPr>
                <w:sz w:val="16"/>
                <w:szCs w:val="16"/>
              </w:rPr>
            </w:pPr>
            <w:r w:rsidRPr="00657824">
              <w:rPr>
                <w:sz w:val="16"/>
                <w:szCs w:val="16"/>
              </w:rPr>
              <w:t>$0</w:t>
            </w:r>
          </w:p>
        </w:tc>
        <w:tc>
          <w:tcPr>
            <w:tcW w:w="709" w:type="dxa"/>
            <w:vAlign w:val="center"/>
          </w:tcPr>
          <w:p w14:paraId="5DC5A5D5" w14:textId="77777777" w:rsidR="00E33643" w:rsidRPr="00657824" w:rsidRDefault="00E33643" w:rsidP="00541D7C">
            <w:pPr>
              <w:jc w:val="right"/>
              <w:rPr>
                <w:sz w:val="16"/>
                <w:szCs w:val="16"/>
              </w:rPr>
            </w:pPr>
            <w:r w:rsidRPr="00657824">
              <w:rPr>
                <w:sz w:val="16"/>
                <w:szCs w:val="16"/>
              </w:rPr>
              <w:t xml:space="preserve"> </w:t>
            </w:r>
          </w:p>
        </w:tc>
        <w:tc>
          <w:tcPr>
            <w:tcW w:w="1134" w:type="dxa"/>
            <w:vAlign w:val="center"/>
          </w:tcPr>
          <w:p w14:paraId="400B9E01" w14:textId="77777777" w:rsidR="00E33643" w:rsidRPr="00657824" w:rsidRDefault="00E33643" w:rsidP="00541D7C">
            <w:pPr>
              <w:jc w:val="right"/>
              <w:rPr>
                <w:sz w:val="16"/>
                <w:szCs w:val="16"/>
              </w:rPr>
            </w:pPr>
            <w:r w:rsidRPr="00657824">
              <w:rPr>
                <w:sz w:val="16"/>
                <w:szCs w:val="16"/>
              </w:rPr>
              <w:t>0</w:t>
            </w:r>
          </w:p>
          <w:p w14:paraId="4673AA0F" w14:textId="5C72ED6F" w:rsidR="00E33643" w:rsidRPr="00657824" w:rsidRDefault="00E33643" w:rsidP="00541D7C">
            <w:pPr>
              <w:jc w:val="right"/>
              <w:rPr>
                <w:sz w:val="16"/>
                <w:szCs w:val="16"/>
              </w:rPr>
            </w:pPr>
            <w:r w:rsidRPr="00657824">
              <w:rPr>
                <w:sz w:val="16"/>
                <w:szCs w:val="16"/>
              </w:rPr>
              <w:t xml:space="preserve"> </w:t>
            </w:r>
          </w:p>
        </w:tc>
        <w:tc>
          <w:tcPr>
            <w:tcW w:w="567" w:type="dxa"/>
            <w:vAlign w:val="center"/>
          </w:tcPr>
          <w:p w14:paraId="5E4FD06D" w14:textId="77777777" w:rsidR="00E33643" w:rsidRPr="00657824" w:rsidRDefault="00E33643" w:rsidP="00541D7C">
            <w:pPr>
              <w:jc w:val="right"/>
              <w:rPr>
                <w:sz w:val="16"/>
                <w:szCs w:val="16"/>
              </w:rPr>
            </w:pPr>
            <w:r w:rsidRPr="00657824">
              <w:rPr>
                <w:sz w:val="16"/>
                <w:szCs w:val="16"/>
              </w:rPr>
              <w:t>0%</w:t>
            </w:r>
          </w:p>
        </w:tc>
        <w:tc>
          <w:tcPr>
            <w:tcW w:w="850" w:type="dxa"/>
            <w:vAlign w:val="center"/>
          </w:tcPr>
          <w:p w14:paraId="36FBC150" w14:textId="77777777" w:rsidR="00E33643" w:rsidRPr="00657824" w:rsidRDefault="00E33643" w:rsidP="00541D7C">
            <w:pPr>
              <w:jc w:val="right"/>
              <w:rPr>
                <w:sz w:val="16"/>
                <w:szCs w:val="16"/>
              </w:rPr>
            </w:pPr>
            <w:r w:rsidRPr="00657824">
              <w:rPr>
                <w:sz w:val="16"/>
                <w:szCs w:val="16"/>
              </w:rPr>
              <w:t>0.0%</w:t>
            </w:r>
          </w:p>
        </w:tc>
        <w:tc>
          <w:tcPr>
            <w:tcW w:w="1276" w:type="dxa"/>
            <w:vAlign w:val="center"/>
          </w:tcPr>
          <w:p w14:paraId="7333DA20" w14:textId="77777777" w:rsidR="00E33643" w:rsidRPr="00657824" w:rsidRDefault="00E33643" w:rsidP="00541D7C">
            <w:pPr>
              <w:jc w:val="right"/>
              <w:rPr>
                <w:sz w:val="16"/>
                <w:szCs w:val="16"/>
              </w:rPr>
            </w:pPr>
            <w:r w:rsidRPr="00657824">
              <w:rPr>
                <w:sz w:val="16"/>
                <w:szCs w:val="16"/>
              </w:rPr>
              <w:t>$0.00</w:t>
            </w:r>
          </w:p>
        </w:tc>
      </w:tr>
      <w:tr w:rsidR="00657824" w:rsidRPr="00657824" w14:paraId="7927F520" w14:textId="77777777" w:rsidTr="00657824">
        <w:trPr>
          <w:trHeight w:val="397"/>
        </w:trPr>
        <w:tc>
          <w:tcPr>
            <w:tcW w:w="988" w:type="dxa"/>
            <w:vMerge/>
            <w:vAlign w:val="center"/>
          </w:tcPr>
          <w:p w14:paraId="726B4E01" w14:textId="77777777" w:rsidR="00E33643" w:rsidRPr="00657824" w:rsidRDefault="00E33643" w:rsidP="00541D7C">
            <w:pPr>
              <w:widowControl w:val="0"/>
              <w:pBdr>
                <w:top w:val="nil"/>
                <w:left w:val="nil"/>
                <w:bottom w:val="nil"/>
                <w:right w:val="nil"/>
                <w:between w:val="nil"/>
              </w:pBdr>
              <w:jc w:val="right"/>
              <w:rPr>
                <w:sz w:val="16"/>
                <w:szCs w:val="16"/>
              </w:rPr>
            </w:pPr>
          </w:p>
        </w:tc>
        <w:tc>
          <w:tcPr>
            <w:tcW w:w="1134" w:type="dxa"/>
            <w:vMerge/>
            <w:vAlign w:val="center"/>
          </w:tcPr>
          <w:p w14:paraId="199C711B" w14:textId="77777777" w:rsidR="00E33643" w:rsidRPr="00657824" w:rsidRDefault="00E33643" w:rsidP="00541D7C">
            <w:pPr>
              <w:widowControl w:val="0"/>
              <w:pBdr>
                <w:top w:val="nil"/>
                <w:left w:val="nil"/>
                <w:bottom w:val="nil"/>
                <w:right w:val="nil"/>
                <w:between w:val="nil"/>
              </w:pBdr>
              <w:jc w:val="right"/>
              <w:rPr>
                <w:sz w:val="16"/>
                <w:szCs w:val="16"/>
              </w:rPr>
            </w:pPr>
          </w:p>
        </w:tc>
        <w:tc>
          <w:tcPr>
            <w:tcW w:w="708" w:type="dxa"/>
            <w:vAlign w:val="center"/>
          </w:tcPr>
          <w:p w14:paraId="21ABCC49" w14:textId="77777777" w:rsidR="00E33643" w:rsidRPr="00657824" w:rsidRDefault="00E33643" w:rsidP="00541D7C">
            <w:pPr>
              <w:jc w:val="right"/>
              <w:rPr>
                <w:b/>
                <w:sz w:val="16"/>
                <w:szCs w:val="16"/>
              </w:rPr>
            </w:pPr>
            <w:r w:rsidRPr="00657824">
              <w:rPr>
                <w:b/>
                <w:sz w:val="16"/>
                <w:szCs w:val="16"/>
              </w:rPr>
              <w:t>LR</w:t>
            </w:r>
          </w:p>
        </w:tc>
        <w:tc>
          <w:tcPr>
            <w:tcW w:w="567" w:type="dxa"/>
            <w:vAlign w:val="center"/>
          </w:tcPr>
          <w:p w14:paraId="56C8DE31" w14:textId="77777777" w:rsidR="00E33643" w:rsidRPr="00657824" w:rsidRDefault="00E33643" w:rsidP="00541D7C">
            <w:pPr>
              <w:jc w:val="right"/>
              <w:rPr>
                <w:sz w:val="16"/>
                <w:szCs w:val="16"/>
              </w:rPr>
            </w:pPr>
            <w:r w:rsidRPr="00657824">
              <w:rPr>
                <w:sz w:val="16"/>
                <w:szCs w:val="16"/>
              </w:rPr>
              <w:t>142</w:t>
            </w:r>
          </w:p>
        </w:tc>
        <w:tc>
          <w:tcPr>
            <w:tcW w:w="993" w:type="dxa"/>
            <w:vAlign w:val="center"/>
          </w:tcPr>
          <w:p w14:paraId="7300D730" w14:textId="5A8E74EF" w:rsidR="00E33643" w:rsidRPr="00657824" w:rsidRDefault="00E33643" w:rsidP="00541D7C">
            <w:pPr>
              <w:jc w:val="right"/>
              <w:rPr>
                <w:sz w:val="16"/>
                <w:szCs w:val="16"/>
              </w:rPr>
            </w:pPr>
            <w:r w:rsidRPr="00657824">
              <w:rPr>
                <w:sz w:val="16"/>
                <w:szCs w:val="16"/>
              </w:rPr>
              <w:t>87,077</w:t>
            </w:r>
          </w:p>
        </w:tc>
        <w:tc>
          <w:tcPr>
            <w:tcW w:w="850" w:type="dxa"/>
            <w:vAlign w:val="center"/>
          </w:tcPr>
          <w:p w14:paraId="024C4108" w14:textId="276D39EE" w:rsidR="00E33643" w:rsidRPr="00657824" w:rsidRDefault="00E33643" w:rsidP="00541D7C">
            <w:pPr>
              <w:jc w:val="right"/>
              <w:rPr>
                <w:sz w:val="16"/>
                <w:szCs w:val="16"/>
              </w:rPr>
            </w:pPr>
            <w:r w:rsidRPr="00657824">
              <w:rPr>
                <w:sz w:val="16"/>
                <w:szCs w:val="16"/>
              </w:rPr>
              <w:t>$1,897</w:t>
            </w:r>
          </w:p>
        </w:tc>
        <w:tc>
          <w:tcPr>
            <w:tcW w:w="851" w:type="dxa"/>
            <w:vAlign w:val="center"/>
          </w:tcPr>
          <w:p w14:paraId="4267754C" w14:textId="24541DCE" w:rsidR="00E33643" w:rsidRPr="00657824" w:rsidRDefault="00E33643" w:rsidP="00541D7C">
            <w:pPr>
              <w:jc w:val="right"/>
              <w:rPr>
                <w:sz w:val="16"/>
                <w:szCs w:val="16"/>
              </w:rPr>
            </w:pPr>
            <w:r w:rsidRPr="00657824">
              <w:rPr>
                <w:sz w:val="16"/>
                <w:szCs w:val="16"/>
              </w:rPr>
              <w:t>$1,248</w:t>
            </w:r>
          </w:p>
        </w:tc>
        <w:tc>
          <w:tcPr>
            <w:tcW w:w="1275" w:type="dxa"/>
            <w:vAlign w:val="center"/>
          </w:tcPr>
          <w:p w14:paraId="160BB098" w14:textId="4A08201B" w:rsidR="00E33643" w:rsidRPr="00657824" w:rsidRDefault="00E33643" w:rsidP="00541D7C">
            <w:pPr>
              <w:jc w:val="right"/>
              <w:rPr>
                <w:sz w:val="16"/>
                <w:szCs w:val="16"/>
              </w:rPr>
            </w:pPr>
            <w:r w:rsidRPr="00657824">
              <w:rPr>
                <w:sz w:val="16"/>
                <w:szCs w:val="16"/>
              </w:rPr>
              <w:t>$165,186,811</w:t>
            </w:r>
          </w:p>
        </w:tc>
        <w:tc>
          <w:tcPr>
            <w:tcW w:w="709" w:type="dxa"/>
            <w:vAlign w:val="center"/>
          </w:tcPr>
          <w:p w14:paraId="59826260" w14:textId="77777777" w:rsidR="00E33643" w:rsidRPr="00657824" w:rsidRDefault="00E33643" w:rsidP="00541D7C">
            <w:pPr>
              <w:jc w:val="right"/>
              <w:rPr>
                <w:sz w:val="16"/>
                <w:szCs w:val="16"/>
              </w:rPr>
            </w:pPr>
            <w:r w:rsidRPr="00657824">
              <w:rPr>
                <w:sz w:val="16"/>
                <w:szCs w:val="16"/>
              </w:rPr>
              <w:t>27.9%</w:t>
            </w:r>
          </w:p>
        </w:tc>
        <w:tc>
          <w:tcPr>
            <w:tcW w:w="709" w:type="dxa"/>
            <w:vAlign w:val="center"/>
          </w:tcPr>
          <w:p w14:paraId="7A04EEB0" w14:textId="77777777" w:rsidR="00E33643" w:rsidRPr="00657824" w:rsidRDefault="00E33643" w:rsidP="00541D7C">
            <w:pPr>
              <w:jc w:val="right"/>
              <w:rPr>
                <w:sz w:val="16"/>
                <w:szCs w:val="16"/>
              </w:rPr>
            </w:pPr>
            <w:r w:rsidRPr="00657824">
              <w:rPr>
                <w:sz w:val="16"/>
                <w:szCs w:val="16"/>
              </w:rPr>
              <w:t>41.2%</w:t>
            </w:r>
          </w:p>
        </w:tc>
        <w:tc>
          <w:tcPr>
            <w:tcW w:w="1134" w:type="dxa"/>
            <w:vAlign w:val="center"/>
          </w:tcPr>
          <w:p w14:paraId="2A45D2C5" w14:textId="34C49575" w:rsidR="00E33643" w:rsidRPr="00657824" w:rsidRDefault="00E33643" w:rsidP="00541D7C">
            <w:pPr>
              <w:jc w:val="right"/>
              <w:rPr>
                <w:sz w:val="16"/>
                <w:szCs w:val="16"/>
              </w:rPr>
            </w:pPr>
            <w:r w:rsidRPr="00657824">
              <w:rPr>
                <w:sz w:val="16"/>
                <w:szCs w:val="16"/>
              </w:rPr>
              <w:t>$108,697,348</w:t>
            </w:r>
          </w:p>
        </w:tc>
        <w:tc>
          <w:tcPr>
            <w:tcW w:w="709" w:type="dxa"/>
            <w:vAlign w:val="center"/>
          </w:tcPr>
          <w:p w14:paraId="53B39AB8" w14:textId="77777777" w:rsidR="00E33643" w:rsidRPr="00657824" w:rsidRDefault="00E33643" w:rsidP="00541D7C">
            <w:pPr>
              <w:jc w:val="right"/>
              <w:rPr>
                <w:sz w:val="16"/>
                <w:szCs w:val="16"/>
              </w:rPr>
            </w:pPr>
            <w:r w:rsidRPr="00657824">
              <w:rPr>
                <w:sz w:val="16"/>
                <w:szCs w:val="16"/>
              </w:rPr>
              <w:t xml:space="preserve"> </w:t>
            </w:r>
          </w:p>
        </w:tc>
        <w:tc>
          <w:tcPr>
            <w:tcW w:w="1134" w:type="dxa"/>
            <w:vAlign w:val="center"/>
          </w:tcPr>
          <w:p w14:paraId="48955DCA" w14:textId="77777777" w:rsidR="00E33643" w:rsidRPr="00657824" w:rsidRDefault="00E33643" w:rsidP="00541D7C">
            <w:pPr>
              <w:jc w:val="right"/>
              <w:rPr>
                <w:sz w:val="16"/>
                <w:szCs w:val="16"/>
              </w:rPr>
            </w:pPr>
            <w:r w:rsidRPr="00657824">
              <w:rPr>
                <w:sz w:val="16"/>
                <w:szCs w:val="16"/>
              </w:rPr>
              <w:t>0</w:t>
            </w:r>
          </w:p>
          <w:p w14:paraId="30A544F6" w14:textId="7DF55A47" w:rsidR="00E33643" w:rsidRPr="00657824" w:rsidRDefault="00E33643" w:rsidP="00541D7C">
            <w:pPr>
              <w:jc w:val="right"/>
              <w:rPr>
                <w:sz w:val="16"/>
                <w:szCs w:val="16"/>
              </w:rPr>
            </w:pPr>
            <w:r w:rsidRPr="00657824">
              <w:rPr>
                <w:sz w:val="16"/>
                <w:szCs w:val="16"/>
              </w:rPr>
              <w:t xml:space="preserve"> </w:t>
            </w:r>
          </w:p>
        </w:tc>
        <w:tc>
          <w:tcPr>
            <w:tcW w:w="567" w:type="dxa"/>
            <w:vAlign w:val="center"/>
          </w:tcPr>
          <w:p w14:paraId="4F5362E3" w14:textId="77777777" w:rsidR="00E33643" w:rsidRPr="00657824" w:rsidRDefault="00E33643" w:rsidP="00541D7C">
            <w:pPr>
              <w:jc w:val="right"/>
              <w:rPr>
                <w:sz w:val="16"/>
                <w:szCs w:val="16"/>
              </w:rPr>
            </w:pPr>
            <w:r w:rsidRPr="00657824">
              <w:rPr>
                <w:sz w:val="16"/>
                <w:szCs w:val="16"/>
              </w:rPr>
              <w:t>40%</w:t>
            </w:r>
          </w:p>
        </w:tc>
        <w:tc>
          <w:tcPr>
            <w:tcW w:w="850" w:type="dxa"/>
            <w:vAlign w:val="center"/>
          </w:tcPr>
          <w:p w14:paraId="4D059048" w14:textId="77777777" w:rsidR="00E33643" w:rsidRPr="00657824" w:rsidRDefault="00E33643" w:rsidP="00541D7C">
            <w:pPr>
              <w:jc w:val="right"/>
              <w:rPr>
                <w:sz w:val="16"/>
                <w:szCs w:val="16"/>
              </w:rPr>
            </w:pPr>
            <w:r w:rsidRPr="00657824">
              <w:rPr>
                <w:sz w:val="16"/>
                <w:szCs w:val="16"/>
              </w:rPr>
              <w:t>25.3%</w:t>
            </w:r>
          </w:p>
        </w:tc>
        <w:tc>
          <w:tcPr>
            <w:tcW w:w="1276" w:type="dxa"/>
            <w:vAlign w:val="center"/>
          </w:tcPr>
          <w:p w14:paraId="697CF09F" w14:textId="74A687B0" w:rsidR="00E33643" w:rsidRPr="00657824" w:rsidRDefault="00E33643" w:rsidP="00541D7C">
            <w:pPr>
              <w:jc w:val="right"/>
              <w:rPr>
                <w:sz w:val="16"/>
                <w:szCs w:val="16"/>
              </w:rPr>
            </w:pPr>
            <w:r w:rsidRPr="00657824">
              <w:rPr>
                <w:sz w:val="16"/>
                <w:szCs w:val="16"/>
              </w:rPr>
              <w:t>$43,478,939</w:t>
            </w:r>
          </w:p>
        </w:tc>
      </w:tr>
      <w:tr w:rsidR="00657824" w:rsidRPr="00657824" w14:paraId="2A255468" w14:textId="77777777" w:rsidTr="00657824">
        <w:trPr>
          <w:trHeight w:val="397"/>
        </w:trPr>
        <w:tc>
          <w:tcPr>
            <w:tcW w:w="988" w:type="dxa"/>
            <w:vMerge/>
            <w:vAlign w:val="center"/>
          </w:tcPr>
          <w:p w14:paraId="0CF3C603" w14:textId="77777777" w:rsidR="00E33643" w:rsidRPr="00657824" w:rsidRDefault="00E33643" w:rsidP="00541D7C">
            <w:pPr>
              <w:widowControl w:val="0"/>
              <w:pBdr>
                <w:top w:val="nil"/>
                <w:left w:val="nil"/>
                <w:bottom w:val="nil"/>
                <w:right w:val="nil"/>
                <w:between w:val="nil"/>
              </w:pBdr>
              <w:jc w:val="right"/>
              <w:rPr>
                <w:sz w:val="16"/>
                <w:szCs w:val="16"/>
              </w:rPr>
            </w:pPr>
          </w:p>
        </w:tc>
        <w:tc>
          <w:tcPr>
            <w:tcW w:w="1134" w:type="dxa"/>
            <w:vMerge/>
            <w:vAlign w:val="center"/>
          </w:tcPr>
          <w:p w14:paraId="7F001E74" w14:textId="77777777" w:rsidR="00E33643" w:rsidRPr="00657824" w:rsidRDefault="00E33643" w:rsidP="00541D7C">
            <w:pPr>
              <w:widowControl w:val="0"/>
              <w:pBdr>
                <w:top w:val="nil"/>
                <w:left w:val="nil"/>
                <w:bottom w:val="nil"/>
                <w:right w:val="nil"/>
                <w:between w:val="nil"/>
              </w:pBdr>
              <w:jc w:val="right"/>
              <w:rPr>
                <w:sz w:val="16"/>
                <w:szCs w:val="16"/>
              </w:rPr>
            </w:pPr>
          </w:p>
        </w:tc>
        <w:tc>
          <w:tcPr>
            <w:tcW w:w="708" w:type="dxa"/>
            <w:vAlign w:val="center"/>
          </w:tcPr>
          <w:p w14:paraId="429D3F47" w14:textId="77777777" w:rsidR="00E33643" w:rsidRPr="00657824" w:rsidRDefault="00E33643" w:rsidP="00541D7C">
            <w:pPr>
              <w:jc w:val="right"/>
              <w:rPr>
                <w:b/>
                <w:sz w:val="16"/>
                <w:szCs w:val="16"/>
              </w:rPr>
            </w:pPr>
            <w:r w:rsidRPr="00657824">
              <w:rPr>
                <w:b/>
                <w:sz w:val="16"/>
                <w:szCs w:val="16"/>
              </w:rPr>
              <w:t>MR</w:t>
            </w:r>
          </w:p>
        </w:tc>
        <w:tc>
          <w:tcPr>
            <w:tcW w:w="567" w:type="dxa"/>
            <w:vAlign w:val="center"/>
          </w:tcPr>
          <w:p w14:paraId="25915971" w14:textId="77777777" w:rsidR="00E33643" w:rsidRPr="00657824" w:rsidRDefault="00E33643" w:rsidP="00541D7C">
            <w:pPr>
              <w:jc w:val="right"/>
              <w:rPr>
                <w:sz w:val="16"/>
                <w:szCs w:val="16"/>
              </w:rPr>
            </w:pPr>
            <w:r w:rsidRPr="00657824">
              <w:rPr>
                <w:sz w:val="16"/>
                <w:szCs w:val="16"/>
              </w:rPr>
              <w:t>67</w:t>
            </w:r>
          </w:p>
        </w:tc>
        <w:tc>
          <w:tcPr>
            <w:tcW w:w="993" w:type="dxa"/>
            <w:vAlign w:val="center"/>
          </w:tcPr>
          <w:p w14:paraId="542104F0" w14:textId="43C06CBA" w:rsidR="00E33643" w:rsidRPr="00657824" w:rsidRDefault="00E33643" w:rsidP="00541D7C">
            <w:pPr>
              <w:jc w:val="right"/>
              <w:rPr>
                <w:sz w:val="16"/>
                <w:szCs w:val="16"/>
              </w:rPr>
            </w:pPr>
            <w:r w:rsidRPr="00657824">
              <w:rPr>
                <w:sz w:val="16"/>
                <w:szCs w:val="16"/>
              </w:rPr>
              <w:t>34,904</w:t>
            </w:r>
          </w:p>
        </w:tc>
        <w:tc>
          <w:tcPr>
            <w:tcW w:w="850" w:type="dxa"/>
            <w:vAlign w:val="center"/>
          </w:tcPr>
          <w:p w14:paraId="11C75092" w14:textId="54DCB814" w:rsidR="00E33643" w:rsidRPr="00657824" w:rsidRDefault="00E33643" w:rsidP="00541D7C">
            <w:pPr>
              <w:jc w:val="right"/>
              <w:rPr>
                <w:sz w:val="16"/>
                <w:szCs w:val="16"/>
              </w:rPr>
            </w:pPr>
            <w:r w:rsidRPr="00657824">
              <w:rPr>
                <w:sz w:val="16"/>
                <w:szCs w:val="16"/>
              </w:rPr>
              <w:t>$3,847</w:t>
            </w:r>
          </w:p>
        </w:tc>
        <w:tc>
          <w:tcPr>
            <w:tcW w:w="851" w:type="dxa"/>
            <w:vAlign w:val="center"/>
          </w:tcPr>
          <w:p w14:paraId="266A9B4D" w14:textId="328EBCF2" w:rsidR="00E33643" w:rsidRPr="00657824" w:rsidRDefault="00E33643" w:rsidP="00541D7C">
            <w:pPr>
              <w:jc w:val="right"/>
              <w:rPr>
                <w:sz w:val="16"/>
                <w:szCs w:val="16"/>
              </w:rPr>
            </w:pPr>
            <w:r w:rsidRPr="00657824">
              <w:rPr>
                <w:sz w:val="16"/>
                <w:szCs w:val="16"/>
              </w:rPr>
              <w:t>$3,198</w:t>
            </w:r>
          </w:p>
        </w:tc>
        <w:tc>
          <w:tcPr>
            <w:tcW w:w="1275" w:type="dxa"/>
            <w:vAlign w:val="center"/>
          </w:tcPr>
          <w:p w14:paraId="62D49D88" w14:textId="28F3560C" w:rsidR="00E33643" w:rsidRPr="00657824" w:rsidRDefault="00E33643" w:rsidP="00541D7C">
            <w:pPr>
              <w:jc w:val="right"/>
              <w:rPr>
                <w:sz w:val="16"/>
                <w:szCs w:val="16"/>
              </w:rPr>
            </w:pPr>
            <w:r w:rsidRPr="00657824">
              <w:rPr>
                <w:sz w:val="16"/>
                <w:szCs w:val="16"/>
              </w:rPr>
              <w:t>$134,279,876</w:t>
            </w:r>
          </w:p>
        </w:tc>
        <w:tc>
          <w:tcPr>
            <w:tcW w:w="709" w:type="dxa"/>
            <w:vAlign w:val="center"/>
          </w:tcPr>
          <w:p w14:paraId="11AC4BF7" w14:textId="77777777" w:rsidR="00E33643" w:rsidRPr="00657824" w:rsidRDefault="00E33643" w:rsidP="00541D7C">
            <w:pPr>
              <w:jc w:val="right"/>
              <w:rPr>
                <w:sz w:val="16"/>
                <w:szCs w:val="16"/>
              </w:rPr>
            </w:pPr>
            <w:r w:rsidRPr="00657824">
              <w:rPr>
                <w:sz w:val="16"/>
                <w:szCs w:val="16"/>
              </w:rPr>
              <w:t>22.7%</w:t>
            </w:r>
          </w:p>
        </w:tc>
        <w:tc>
          <w:tcPr>
            <w:tcW w:w="709" w:type="dxa"/>
            <w:vAlign w:val="center"/>
          </w:tcPr>
          <w:p w14:paraId="19EB093E" w14:textId="77777777" w:rsidR="00E33643" w:rsidRPr="00657824" w:rsidRDefault="00E33643" w:rsidP="00541D7C">
            <w:pPr>
              <w:jc w:val="right"/>
              <w:rPr>
                <w:sz w:val="16"/>
                <w:szCs w:val="16"/>
              </w:rPr>
            </w:pPr>
            <w:r w:rsidRPr="00657824">
              <w:rPr>
                <w:sz w:val="16"/>
                <w:szCs w:val="16"/>
              </w:rPr>
              <w:t>42.3%</w:t>
            </w:r>
          </w:p>
        </w:tc>
        <w:tc>
          <w:tcPr>
            <w:tcW w:w="1134" w:type="dxa"/>
            <w:vAlign w:val="center"/>
          </w:tcPr>
          <w:p w14:paraId="68CE4013" w14:textId="2039AF0B" w:rsidR="00E33643" w:rsidRPr="00657824" w:rsidRDefault="00E33643" w:rsidP="00541D7C">
            <w:pPr>
              <w:jc w:val="right"/>
              <w:rPr>
                <w:sz w:val="16"/>
                <w:szCs w:val="16"/>
              </w:rPr>
            </w:pPr>
            <w:r w:rsidRPr="00657824">
              <w:rPr>
                <w:sz w:val="16"/>
                <w:szCs w:val="16"/>
              </w:rPr>
              <w:t>$111,636,605</w:t>
            </w:r>
          </w:p>
        </w:tc>
        <w:tc>
          <w:tcPr>
            <w:tcW w:w="709" w:type="dxa"/>
            <w:vAlign w:val="center"/>
          </w:tcPr>
          <w:p w14:paraId="4B7D0DB7" w14:textId="77777777" w:rsidR="00E33643" w:rsidRPr="00657824" w:rsidRDefault="00E33643" w:rsidP="00541D7C">
            <w:pPr>
              <w:jc w:val="right"/>
              <w:rPr>
                <w:sz w:val="16"/>
                <w:szCs w:val="16"/>
              </w:rPr>
            </w:pPr>
            <w:r w:rsidRPr="00657824">
              <w:rPr>
                <w:sz w:val="16"/>
                <w:szCs w:val="16"/>
              </w:rPr>
              <w:t xml:space="preserve"> </w:t>
            </w:r>
          </w:p>
        </w:tc>
        <w:tc>
          <w:tcPr>
            <w:tcW w:w="1134" w:type="dxa"/>
            <w:vAlign w:val="center"/>
          </w:tcPr>
          <w:p w14:paraId="4BA4928A" w14:textId="77777777" w:rsidR="00E33643" w:rsidRPr="00657824" w:rsidRDefault="00E33643" w:rsidP="00541D7C">
            <w:pPr>
              <w:jc w:val="right"/>
              <w:rPr>
                <w:sz w:val="16"/>
                <w:szCs w:val="16"/>
              </w:rPr>
            </w:pPr>
            <w:r w:rsidRPr="00657824">
              <w:rPr>
                <w:sz w:val="16"/>
                <w:szCs w:val="16"/>
              </w:rPr>
              <w:t>0</w:t>
            </w:r>
          </w:p>
          <w:p w14:paraId="3EEC52B1" w14:textId="6BF5B16D" w:rsidR="00E33643" w:rsidRPr="00657824" w:rsidRDefault="00E33643" w:rsidP="00541D7C">
            <w:pPr>
              <w:jc w:val="right"/>
              <w:rPr>
                <w:sz w:val="16"/>
                <w:szCs w:val="16"/>
              </w:rPr>
            </w:pPr>
            <w:r w:rsidRPr="00657824">
              <w:rPr>
                <w:sz w:val="16"/>
                <w:szCs w:val="16"/>
              </w:rPr>
              <w:t xml:space="preserve"> </w:t>
            </w:r>
          </w:p>
        </w:tc>
        <w:tc>
          <w:tcPr>
            <w:tcW w:w="567" w:type="dxa"/>
            <w:vAlign w:val="center"/>
          </w:tcPr>
          <w:p w14:paraId="0B2D324F" w14:textId="77777777" w:rsidR="00E33643" w:rsidRPr="00657824" w:rsidRDefault="00E33643" w:rsidP="00541D7C">
            <w:pPr>
              <w:jc w:val="right"/>
              <w:rPr>
                <w:sz w:val="16"/>
                <w:szCs w:val="16"/>
              </w:rPr>
            </w:pPr>
            <w:r w:rsidRPr="00657824">
              <w:rPr>
                <w:sz w:val="16"/>
                <w:szCs w:val="16"/>
              </w:rPr>
              <w:t>80%</w:t>
            </w:r>
          </w:p>
        </w:tc>
        <w:tc>
          <w:tcPr>
            <w:tcW w:w="850" w:type="dxa"/>
            <w:vAlign w:val="center"/>
          </w:tcPr>
          <w:p w14:paraId="5FEFCAA7" w14:textId="77777777" w:rsidR="00E33643" w:rsidRPr="00657824" w:rsidRDefault="00E33643" w:rsidP="00541D7C">
            <w:pPr>
              <w:jc w:val="right"/>
              <w:rPr>
                <w:sz w:val="16"/>
                <w:szCs w:val="16"/>
              </w:rPr>
            </w:pPr>
            <w:r w:rsidRPr="00657824">
              <w:rPr>
                <w:sz w:val="16"/>
                <w:szCs w:val="16"/>
              </w:rPr>
              <w:t>52.0%</w:t>
            </w:r>
          </w:p>
        </w:tc>
        <w:tc>
          <w:tcPr>
            <w:tcW w:w="1276" w:type="dxa"/>
            <w:vAlign w:val="center"/>
          </w:tcPr>
          <w:p w14:paraId="0D3E4D3A" w14:textId="35A3E3D3" w:rsidR="00E33643" w:rsidRPr="00657824" w:rsidRDefault="00E33643" w:rsidP="00541D7C">
            <w:pPr>
              <w:jc w:val="right"/>
              <w:rPr>
                <w:sz w:val="16"/>
                <w:szCs w:val="16"/>
              </w:rPr>
            </w:pPr>
            <w:r w:rsidRPr="00657824">
              <w:rPr>
                <w:sz w:val="16"/>
                <w:szCs w:val="16"/>
              </w:rPr>
              <w:t>$89,309,284</w:t>
            </w:r>
          </w:p>
        </w:tc>
      </w:tr>
      <w:tr w:rsidR="00657824" w:rsidRPr="00657824" w14:paraId="06BD7BD3" w14:textId="77777777" w:rsidTr="00657824">
        <w:trPr>
          <w:trHeight w:val="397"/>
        </w:trPr>
        <w:tc>
          <w:tcPr>
            <w:tcW w:w="988" w:type="dxa"/>
            <w:vMerge/>
            <w:vAlign w:val="center"/>
          </w:tcPr>
          <w:p w14:paraId="7523E54E" w14:textId="77777777" w:rsidR="00E33643" w:rsidRPr="00657824" w:rsidRDefault="00E33643" w:rsidP="00541D7C">
            <w:pPr>
              <w:widowControl w:val="0"/>
              <w:pBdr>
                <w:top w:val="nil"/>
                <w:left w:val="nil"/>
                <w:bottom w:val="nil"/>
                <w:right w:val="nil"/>
                <w:between w:val="nil"/>
              </w:pBdr>
              <w:jc w:val="right"/>
              <w:rPr>
                <w:sz w:val="16"/>
                <w:szCs w:val="16"/>
              </w:rPr>
            </w:pPr>
          </w:p>
        </w:tc>
        <w:tc>
          <w:tcPr>
            <w:tcW w:w="1134" w:type="dxa"/>
            <w:vMerge/>
            <w:vAlign w:val="center"/>
          </w:tcPr>
          <w:p w14:paraId="7D20E522" w14:textId="77777777" w:rsidR="00E33643" w:rsidRPr="00657824" w:rsidRDefault="00E33643" w:rsidP="00541D7C">
            <w:pPr>
              <w:widowControl w:val="0"/>
              <w:pBdr>
                <w:top w:val="nil"/>
                <w:left w:val="nil"/>
                <w:bottom w:val="nil"/>
                <w:right w:val="nil"/>
                <w:between w:val="nil"/>
              </w:pBdr>
              <w:jc w:val="right"/>
              <w:rPr>
                <w:sz w:val="16"/>
                <w:szCs w:val="16"/>
              </w:rPr>
            </w:pPr>
          </w:p>
        </w:tc>
        <w:tc>
          <w:tcPr>
            <w:tcW w:w="708" w:type="dxa"/>
            <w:vAlign w:val="center"/>
          </w:tcPr>
          <w:p w14:paraId="720336AB" w14:textId="77777777" w:rsidR="00E33643" w:rsidRPr="00657824" w:rsidRDefault="00E33643" w:rsidP="00541D7C">
            <w:pPr>
              <w:jc w:val="right"/>
              <w:rPr>
                <w:b/>
                <w:sz w:val="16"/>
                <w:szCs w:val="16"/>
              </w:rPr>
            </w:pPr>
            <w:r w:rsidRPr="00657824">
              <w:rPr>
                <w:b/>
                <w:sz w:val="16"/>
                <w:szCs w:val="16"/>
              </w:rPr>
              <w:t>PG</w:t>
            </w:r>
          </w:p>
        </w:tc>
        <w:tc>
          <w:tcPr>
            <w:tcW w:w="567" w:type="dxa"/>
            <w:vAlign w:val="center"/>
          </w:tcPr>
          <w:p w14:paraId="00553EED" w14:textId="77777777" w:rsidR="00E33643" w:rsidRPr="00657824" w:rsidRDefault="00E33643" w:rsidP="00541D7C">
            <w:pPr>
              <w:jc w:val="right"/>
              <w:rPr>
                <w:sz w:val="16"/>
                <w:szCs w:val="16"/>
              </w:rPr>
            </w:pPr>
            <w:r w:rsidRPr="00657824">
              <w:rPr>
                <w:sz w:val="16"/>
                <w:szCs w:val="16"/>
              </w:rPr>
              <w:t>19</w:t>
            </w:r>
          </w:p>
        </w:tc>
        <w:tc>
          <w:tcPr>
            <w:tcW w:w="993" w:type="dxa"/>
            <w:vAlign w:val="center"/>
          </w:tcPr>
          <w:p w14:paraId="615BC6DD" w14:textId="47B5C99F" w:rsidR="00E33643" w:rsidRPr="00657824" w:rsidRDefault="00E33643" w:rsidP="00541D7C">
            <w:pPr>
              <w:jc w:val="right"/>
              <w:rPr>
                <w:sz w:val="16"/>
                <w:szCs w:val="16"/>
              </w:rPr>
            </w:pPr>
            <w:r w:rsidRPr="00657824">
              <w:rPr>
                <w:sz w:val="16"/>
                <w:szCs w:val="16"/>
              </w:rPr>
              <w:t>9,472</w:t>
            </w:r>
          </w:p>
        </w:tc>
        <w:tc>
          <w:tcPr>
            <w:tcW w:w="850" w:type="dxa"/>
            <w:vAlign w:val="center"/>
          </w:tcPr>
          <w:p w14:paraId="18E8F20B" w14:textId="31373EB2" w:rsidR="00E33643" w:rsidRPr="00657824" w:rsidRDefault="00E33643" w:rsidP="00541D7C">
            <w:pPr>
              <w:jc w:val="right"/>
              <w:rPr>
                <w:sz w:val="16"/>
                <w:szCs w:val="16"/>
              </w:rPr>
            </w:pPr>
            <w:r w:rsidRPr="00657824">
              <w:rPr>
                <w:sz w:val="16"/>
                <w:szCs w:val="16"/>
              </w:rPr>
              <w:t>$5,237</w:t>
            </w:r>
          </w:p>
        </w:tc>
        <w:tc>
          <w:tcPr>
            <w:tcW w:w="851" w:type="dxa"/>
            <w:vAlign w:val="center"/>
          </w:tcPr>
          <w:p w14:paraId="3B9A451F" w14:textId="2F6D0DEE" w:rsidR="00E33643" w:rsidRPr="00657824" w:rsidRDefault="00E33643" w:rsidP="00541D7C">
            <w:pPr>
              <w:jc w:val="right"/>
              <w:rPr>
                <w:sz w:val="16"/>
                <w:szCs w:val="16"/>
              </w:rPr>
            </w:pPr>
            <w:r w:rsidRPr="00657824">
              <w:rPr>
                <w:sz w:val="16"/>
                <w:szCs w:val="16"/>
              </w:rPr>
              <w:t>$4,588</w:t>
            </w:r>
          </w:p>
        </w:tc>
        <w:tc>
          <w:tcPr>
            <w:tcW w:w="1275" w:type="dxa"/>
            <w:vAlign w:val="center"/>
          </w:tcPr>
          <w:p w14:paraId="285A87C9" w14:textId="05BC2015" w:rsidR="00E33643" w:rsidRPr="00657824" w:rsidRDefault="00E33643" w:rsidP="00541D7C">
            <w:pPr>
              <w:jc w:val="right"/>
              <w:rPr>
                <w:sz w:val="16"/>
                <w:szCs w:val="16"/>
              </w:rPr>
            </w:pPr>
            <w:r w:rsidRPr="00657824">
              <w:rPr>
                <w:sz w:val="16"/>
                <w:szCs w:val="16"/>
              </w:rPr>
              <w:t>$49,603,727</w:t>
            </w:r>
          </w:p>
        </w:tc>
        <w:tc>
          <w:tcPr>
            <w:tcW w:w="709" w:type="dxa"/>
            <w:vAlign w:val="center"/>
          </w:tcPr>
          <w:p w14:paraId="3417F579" w14:textId="77777777" w:rsidR="00E33643" w:rsidRPr="00657824" w:rsidRDefault="00E33643" w:rsidP="00541D7C">
            <w:pPr>
              <w:jc w:val="right"/>
              <w:rPr>
                <w:sz w:val="16"/>
                <w:szCs w:val="16"/>
              </w:rPr>
            </w:pPr>
            <w:r w:rsidRPr="00657824">
              <w:rPr>
                <w:sz w:val="16"/>
                <w:szCs w:val="16"/>
              </w:rPr>
              <w:t>8.4%</w:t>
            </w:r>
          </w:p>
        </w:tc>
        <w:tc>
          <w:tcPr>
            <w:tcW w:w="709" w:type="dxa"/>
            <w:vAlign w:val="center"/>
          </w:tcPr>
          <w:p w14:paraId="1630F96D" w14:textId="77777777" w:rsidR="00E33643" w:rsidRPr="00657824" w:rsidRDefault="00E33643" w:rsidP="00541D7C">
            <w:pPr>
              <w:jc w:val="right"/>
              <w:rPr>
                <w:sz w:val="16"/>
                <w:szCs w:val="16"/>
              </w:rPr>
            </w:pPr>
            <w:r w:rsidRPr="00657824">
              <w:rPr>
                <w:sz w:val="16"/>
                <w:szCs w:val="16"/>
              </w:rPr>
              <w:t>16.5%</w:t>
            </w:r>
          </w:p>
        </w:tc>
        <w:tc>
          <w:tcPr>
            <w:tcW w:w="1134" w:type="dxa"/>
            <w:vAlign w:val="center"/>
          </w:tcPr>
          <w:p w14:paraId="6FDD9599" w14:textId="1D277716" w:rsidR="00E33643" w:rsidRPr="00657824" w:rsidRDefault="00E33643" w:rsidP="00541D7C">
            <w:pPr>
              <w:jc w:val="right"/>
              <w:rPr>
                <w:sz w:val="16"/>
                <w:szCs w:val="16"/>
              </w:rPr>
            </w:pPr>
            <w:r w:rsidRPr="00657824">
              <w:rPr>
                <w:sz w:val="16"/>
                <w:szCs w:val="16"/>
              </w:rPr>
              <w:t>$43,458,957</w:t>
            </w:r>
          </w:p>
        </w:tc>
        <w:tc>
          <w:tcPr>
            <w:tcW w:w="709" w:type="dxa"/>
            <w:vAlign w:val="center"/>
          </w:tcPr>
          <w:p w14:paraId="22C107F8" w14:textId="77777777" w:rsidR="00E33643" w:rsidRPr="00657824" w:rsidRDefault="00E33643" w:rsidP="00541D7C">
            <w:pPr>
              <w:jc w:val="right"/>
              <w:rPr>
                <w:sz w:val="16"/>
                <w:szCs w:val="16"/>
              </w:rPr>
            </w:pPr>
            <w:r w:rsidRPr="00657824">
              <w:rPr>
                <w:sz w:val="16"/>
                <w:szCs w:val="16"/>
              </w:rPr>
              <w:t>16.5%</w:t>
            </w:r>
          </w:p>
        </w:tc>
        <w:tc>
          <w:tcPr>
            <w:tcW w:w="1134" w:type="dxa"/>
            <w:vAlign w:val="center"/>
          </w:tcPr>
          <w:p w14:paraId="2A87ECD4" w14:textId="77777777" w:rsidR="00E33643" w:rsidRPr="00657824" w:rsidRDefault="00E33643" w:rsidP="00541D7C">
            <w:pPr>
              <w:jc w:val="right"/>
              <w:rPr>
                <w:sz w:val="16"/>
                <w:szCs w:val="16"/>
              </w:rPr>
            </w:pPr>
            <w:r w:rsidRPr="00657824">
              <w:rPr>
                <w:sz w:val="16"/>
                <w:szCs w:val="16"/>
              </w:rPr>
              <w:t>$43,458,957</w:t>
            </w:r>
          </w:p>
          <w:p w14:paraId="6942E9A3" w14:textId="39B687E3" w:rsidR="00E33643" w:rsidRPr="00657824" w:rsidRDefault="00E33643" w:rsidP="00541D7C">
            <w:pPr>
              <w:jc w:val="right"/>
              <w:rPr>
                <w:sz w:val="16"/>
                <w:szCs w:val="16"/>
              </w:rPr>
            </w:pPr>
            <w:r w:rsidRPr="00657824">
              <w:rPr>
                <w:sz w:val="16"/>
                <w:szCs w:val="16"/>
              </w:rPr>
              <w:t xml:space="preserve"> </w:t>
            </w:r>
          </w:p>
        </w:tc>
        <w:tc>
          <w:tcPr>
            <w:tcW w:w="567" w:type="dxa"/>
            <w:vAlign w:val="center"/>
          </w:tcPr>
          <w:p w14:paraId="470A0B13" w14:textId="77777777" w:rsidR="00E33643" w:rsidRPr="00657824" w:rsidRDefault="00E33643" w:rsidP="00541D7C">
            <w:pPr>
              <w:jc w:val="right"/>
              <w:rPr>
                <w:sz w:val="16"/>
                <w:szCs w:val="16"/>
              </w:rPr>
            </w:pPr>
            <w:r w:rsidRPr="00657824">
              <w:rPr>
                <w:sz w:val="16"/>
                <w:szCs w:val="16"/>
              </w:rPr>
              <w:t>90%</w:t>
            </w:r>
          </w:p>
        </w:tc>
        <w:tc>
          <w:tcPr>
            <w:tcW w:w="850" w:type="dxa"/>
            <w:vAlign w:val="center"/>
          </w:tcPr>
          <w:p w14:paraId="6757B137" w14:textId="77777777" w:rsidR="00E33643" w:rsidRPr="00657824" w:rsidRDefault="00E33643" w:rsidP="00541D7C">
            <w:pPr>
              <w:jc w:val="right"/>
              <w:rPr>
                <w:sz w:val="16"/>
                <w:szCs w:val="16"/>
              </w:rPr>
            </w:pPr>
            <w:r w:rsidRPr="00657824">
              <w:rPr>
                <w:sz w:val="16"/>
                <w:szCs w:val="16"/>
              </w:rPr>
              <w:t>22.8%</w:t>
            </w:r>
          </w:p>
        </w:tc>
        <w:tc>
          <w:tcPr>
            <w:tcW w:w="1276" w:type="dxa"/>
            <w:vAlign w:val="center"/>
          </w:tcPr>
          <w:p w14:paraId="2A36789A" w14:textId="79F41E94" w:rsidR="00E33643" w:rsidRPr="00657824" w:rsidRDefault="00E33643" w:rsidP="00541D7C">
            <w:pPr>
              <w:jc w:val="right"/>
              <w:rPr>
                <w:sz w:val="16"/>
                <w:szCs w:val="16"/>
              </w:rPr>
            </w:pPr>
            <w:r w:rsidRPr="00657824">
              <w:rPr>
                <w:sz w:val="16"/>
                <w:szCs w:val="16"/>
              </w:rPr>
              <w:t>$39,113,061</w:t>
            </w:r>
          </w:p>
        </w:tc>
      </w:tr>
      <w:tr w:rsidR="00657824" w:rsidRPr="00657824" w14:paraId="10CF755B" w14:textId="77777777" w:rsidTr="00657824">
        <w:trPr>
          <w:trHeight w:val="397"/>
        </w:trPr>
        <w:tc>
          <w:tcPr>
            <w:tcW w:w="988" w:type="dxa"/>
            <w:vMerge/>
            <w:vAlign w:val="center"/>
          </w:tcPr>
          <w:p w14:paraId="2E43F2E5" w14:textId="77777777" w:rsidR="00E33643" w:rsidRPr="00657824" w:rsidRDefault="00E33643" w:rsidP="00541D7C">
            <w:pPr>
              <w:widowControl w:val="0"/>
              <w:pBdr>
                <w:top w:val="nil"/>
                <w:left w:val="nil"/>
                <w:bottom w:val="nil"/>
                <w:right w:val="nil"/>
                <w:between w:val="nil"/>
              </w:pBdr>
              <w:jc w:val="right"/>
              <w:rPr>
                <w:sz w:val="16"/>
                <w:szCs w:val="16"/>
              </w:rPr>
            </w:pPr>
          </w:p>
        </w:tc>
        <w:tc>
          <w:tcPr>
            <w:tcW w:w="1134" w:type="dxa"/>
            <w:vMerge/>
            <w:vAlign w:val="center"/>
          </w:tcPr>
          <w:p w14:paraId="7FC9F93A" w14:textId="77777777" w:rsidR="00E33643" w:rsidRPr="00657824" w:rsidRDefault="00E33643" w:rsidP="00541D7C">
            <w:pPr>
              <w:widowControl w:val="0"/>
              <w:pBdr>
                <w:top w:val="nil"/>
                <w:left w:val="nil"/>
                <w:bottom w:val="nil"/>
                <w:right w:val="nil"/>
                <w:between w:val="nil"/>
              </w:pBdr>
              <w:jc w:val="right"/>
              <w:rPr>
                <w:sz w:val="16"/>
                <w:szCs w:val="16"/>
              </w:rPr>
            </w:pPr>
          </w:p>
        </w:tc>
        <w:tc>
          <w:tcPr>
            <w:tcW w:w="708" w:type="dxa"/>
            <w:vAlign w:val="center"/>
          </w:tcPr>
          <w:p w14:paraId="026B3590" w14:textId="77777777" w:rsidR="00E33643" w:rsidRPr="00657824" w:rsidRDefault="00E33643" w:rsidP="00541D7C">
            <w:pPr>
              <w:jc w:val="right"/>
              <w:rPr>
                <w:b/>
                <w:i/>
                <w:sz w:val="16"/>
                <w:szCs w:val="16"/>
              </w:rPr>
            </w:pPr>
            <w:r w:rsidRPr="00657824">
              <w:rPr>
                <w:b/>
                <w:i/>
                <w:sz w:val="16"/>
                <w:szCs w:val="16"/>
              </w:rPr>
              <w:t>Total</w:t>
            </w:r>
          </w:p>
        </w:tc>
        <w:tc>
          <w:tcPr>
            <w:tcW w:w="567" w:type="dxa"/>
            <w:vAlign w:val="center"/>
          </w:tcPr>
          <w:p w14:paraId="65F282CB" w14:textId="77777777" w:rsidR="00E33643" w:rsidRPr="00657824" w:rsidRDefault="00E33643" w:rsidP="00541D7C">
            <w:pPr>
              <w:jc w:val="right"/>
              <w:rPr>
                <w:sz w:val="16"/>
                <w:szCs w:val="16"/>
              </w:rPr>
            </w:pPr>
            <w:r w:rsidRPr="00657824">
              <w:rPr>
                <w:sz w:val="16"/>
                <w:szCs w:val="16"/>
              </w:rPr>
              <w:t xml:space="preserve"> </w:t>
            </w:r>
          </w:p>
        </w:tc>
        <w:tc>
          <w:tcPr>
            <w:tcW w:w="993" w:type="dxa"/>
            <w:vAlign w:val="center"/>
          </w:tcPr>
          <w:p w14:paraId="23908968" w14:textId="018AF53B" w:rsidR="00E33643" w:rsidRPr="00657824" w:rsidRDefault="00E33643" w:rsidP="00541D7C">
            <w:pPr>
              <w:jc w:val="right"/>
              <w:rPr>
                <w:sz w:val="16"/>
                <w:szCs w:val="16"/>
              </w:rPr>
            </w:pPr>
            <w:r w:rsidRPr="00657824">
              <w:rPr>
                <w:sz w:val="16"/>
                <w:szCs w:val="16"/>
              </w:rPr>
              <w:t>505,433</w:t>
            </w:r>
          </w:p>
        </w:tc>
        <w:tc>
          <w:tcPr>
            <w:tcW w:w="850" w:type="dxa"/>
            <w:vAlign w:val="center"/>
          </w:tcPr>
          <w:p w14:paraId="7AF41539" w14:textId="77777777" w:rsidR="00E33643" w:rsidRPr="00657824" w:rsidRDefault="00E33643" w:rsidP="00541D7C">
            <w:pPr>
              <w:jc w:val="right"/>
              <w:rPr>
                <w:sz w:val="16"/>
                <w:szCs w:val="16"/>
              </w:rPr>
            </w:pPr>
            <w:r w:rsidRPr="00657824">
              <w:rPr>
                <w:sz w:val="16"/>
                <w:szCs w:val="16"/>
              </w:rPr>
              <w:t xml:space="preserve"> </w:t>
            </w:r>
          </w:p>
        </w:tc>
        <w:tc>
          <w:tcPr>
            <w:tcW w:w="851" w:type="dxa"/>
            <w:vAlign w:val="center"/>
          </w:tcPr>
          <w:p w14:paraId="00DF1FA0" w14:textId="77777777" w:rsidR="00E33643" w:rsidRPr="00657824" w:rsidRDefault="00E33643" w:rsidP="00541D7C">
            <w:pPr>
              <w:jc w:val="right"/>
              <w:rPr>
                <w:sz w:val="16"/>
                <w:szCs w:val="16"/>
              </w:rPr>
            </w:pPr>
            <w:r w:rsidRPr="00657824">
              <w:rPr>
                <w:sz w:val="16"/>
                <w:szCs w:val="16"/>
              </w:rPr>
              <w:t xml:space="preserve"> </w:t>
            </w:r>
          </w:p>
        </w:tc>
        <w:tc>
          <w:tcPr>
            <w:tcW w:w="1275" w:type="dxa"/>
            <w:vAlign w:val="center"/>
          </w:tcPr>
          <w:p w14:paraId="0ACCF09B" w14:textId="4FC5BB11" w:rsidR="00E33643" w:rsidRPr="00657824" w:rsidRDefault="00E33643" w:rsidP="00541D7C">
            <w:pPr>
              <w:jc w:val="right"/>
              <w:rPr>
                <w:sz w:val="16"/>
                <w:szCs w:val="16"/>
              </w:rPr>
            </w:pPr>
            <w:r w:rsidRPr="00657824">
              <w:rPr>
                <w:sz w:val="16"/>
                <w:szCs w:val="16"/>
              </w:rPr>
              <w:t>$591,682,460</w:t>
            </w:r>
          </w:p>
        </w:tc>
        <w:tc>
          <w:tcPr>
            <w:tcW w:w="709" w:type="dxa"/>
            <w:vAlign w:val="center"/>
          </w:tcPr>
          <w:p w14:paraId="7337159E" w14:textId="77777777" w:rsidR="00E33643" w:rsidRPr="00657824" w:rsidRDefault="00E33643" w:rsidP="00541D7C">
            <w:pPr>
              <w:jc w:val="right"/>
              <w:rPr>
                <w:sz w:val="16"/>
                <w:szCs w:val="16"/>
              </w:rPr>
            </w:pPr>
            <w:r w:rsidRPr="00657824">
              <w:rPr>
                <w:sz w:val="16"/>
                <w:szCs w:val="16"/>
              </w:rPr>
              <w:t xml:space="preserve"> </w:t>
            </w:r>
          </w:p>
        </w:tc>
        <w:tc>
          <w:tcPr>
            <w:tcW w:w="709" w:type="dxa"/>
            <w:vAlign w:val="center"/>
          </w:tcPr>
          <w:p w14:paraId="2345334B" w14:textId="77777777" w:rsidR="00E33643" w:rsidRPr="00657824" w:rsidRDefault="00E33643" w:rsidP="00541D7C">
            <w:pPr>
              <w:jc w:val="right"/>
              <w:rPr>
                <w:sz w:val="16"/>
                <w:szCs w:val="16"/>
              </w:rPr>
            </w:pPr>
            <w:r w:rsidRPr="00657824">
              <w:rPr>
                <w:sz w:val="16"/>
                <w:szCs w:val="16"/>
              </w:rPr>
              <w:t>44.6%</w:t>
            </w:r>
          </w:p>
        </w:tc>
        <w:tc>
          <w:tcPr>
            <w:tcW w:w="1134" w:type="dxa"/>
            <w:vAlign w:val="center"/>
          </w:tcPr>
          <w:p w14:paraId="30CD7ADF" w14:textId="6FA65E27" w:rsidR="00E33643" w:rsidRPr="00657824" w:rsidRDefault="00E33643" w:rsidP="00541D7C">
            <w:pPr>
              <w:jc w:val="right"/>
              <w:rPr>
                <w:sz w:val="16"/>
                <w:szCs w:val="16"/>
              </w:rPr>
            </w:pPr>
            <w:r w:rsidRPr="00657824">
              <w:rPr>
                <w:sz w:val="16"/>
                <w:szCs w:val="16"/>
              </w:rPr>
              <w:t>$263,792,910</w:t>
            </w:r>
          </w:p>
        </w:tc>
        <w:tc>
          <w:tcPr>
            <w:tcW w:w="709" w:type="dxa"/>
            <w:vAlign w:val="center"/>
          </w:tcPr>
          <w:p w14:paraId="55EF8072" w14:textId="77777777" w:rsidR="00E33643" w:rsidRPr="00657824" w:rsidRDefault="00E33643" w:rsidP="00541D7C">
            <w:pPr>
              <w:jc w:val="right"/>
              <w:rPr>
                <w:sz w:val="16"/>
                <w:szCs w:val="16"/>
              </w:rPr>
            </w:pPr>
            <w:r w:rsidRPr="00657824">
              <w:rPr>
                <w:sz w:val="16"/>
                <w:szCs w:val="16"/>
              </w:rPr>
              <w:t>7.3%</w:t>
            </w:r>
          </w:p>
        </w:tc>
        <w:tc>
          <w:tcPr>
            <w:tcW w:w="1134" w:type="dxa"/>
            <w:vAlign w:val="center"/>
          </w:tcPr>
          <w:p w14:paraId="77D7A2A3" w14:textId="77777777" w:rsidR="00E33643" w:rsidRPr="00657824" w:rsidRDefault="00E33643" w:rsidP="00541D7C">
            <w:pPr>
              <w:jc w:val="right"/>
              <w:rPr>
                <w:sz w:val="16"/>
                <w:szCs w:val="16"/>
              </w:rPr>
            </w:pPr>
            <w:r w:rsidRPr="00657824">
              <w:rPr>
                <w:sz w:val="16"/>
                <w:szCs w:val="16"/>
              </w:rPr>
              <w:t>$43,458,957</w:t>
            </w:r>
          </w:p>
          <w:p w14:paraId="33B942BB" w14:textId="561B7EAD" w:rsidR="00E33643" w:rsidRPr="00657824" w:rsidRDefault="00E33643" w:rsidP="00541D7C">
            <w:pPr>
              <w:jc w:val="right"/>
              <w:rPr>
                <w:sz w:val="16"/>
                <w:szCs w:val="16"/>
              </w:rPr>
            </w:pPr>
            <w:r w:rsidRPr="00657824">
              <w:rPr>
                <w:sz w:val="16"/>
                <w:szCs w:val="16"/>
              </w:rPr>
              <w:t xml:space="preserve"> </w:t>
            </w:r>
          </w:p>
        </w:tc>
        <w:tc>
          <w:tcPr>
            <w:tcW w:w="567" w:type="dxa"/>
            <w:vAlign w:val="center"/>
          </w:tcPr>
          <w:p w14:paraId="6541D13B" w14:textId="77777777" w:rsidR="00E33643" w:rsidRPr="00657824" w:rsidRDefault="00E33643" w:rsidP="00541D7C">
            <w:pPr>
              <w:jc w:val="right"/>
              <w:rPr>
                <w:sz w:val="16"/>
                <w:szCs w:val="16"/>
              </w:rPr>
            </w:pPr>
            <w:r w:rsidRPr="00657824">
              <w:rPr>
                <w:sz w:val="16"/>
                <w:szCs w:val="16"/>
              </w:rPr>
              <w:t xml:space="preserve"> </w:t>
            </w:r>
          </w:p>
        </w:tc>
        <w:tc>
          <w:tcPr>
            <w:tcW w:w="850" w:type="dxa"/>
            <w:vAlign w:val="center"/>
          </w:tcPr>
          <w:p w14:paraId="2904A159" w14:textId="77777777" w:rsidR="00E33643" w:rsidRPr="00657824" w:rsidRDefault="00E33643" w:rsidP="00541D7C">
            <w:pPr>
              <w:jc w:val="right"/>
              <w:rPr>
                <w:sz w:val="16"/>
                <w:szCs w:val="16"/>
              </w:rPr>
            </w:pPr>
            <w:r w:rsidRPr="00657824">
              <w:rPr>
                <w:sz w:val="16"/>
                <w:szCs w:val="16"/>
              </w:rPr>
              <w:t>29.05%</w:t>
            </w:r>
          </w:p>
        </w:tc>
        <w:tc>
          <w:tcPr>
            <w:tcW w:w="1276" w:type="dxa"/>
            <w:vAlign w:val="center"/>
          </w:tcPr>
          <w:p w14:paraId="31AE8FCD" w14:textId="08E35C5D" w:rsidR="00E33643" w:rsidRPr="00657824" w:rsidRDefault="00E33643" w:rsidP="00541D7C">
            <w:pPr>
              <w:jc w:val="right"/>
              <w:rPr>
                <w:sz w:val="16"/>
                <w:szCs w:val="16"/>
              </w:rPr>
            </w:pPr>
            <w:r w:rsidRPr="00657824">
              <w:rPr>
                <w:sz w:val="16"/>
                <w:szCs w:val="16"/>
              </w:rPr>
              <w:t>$171,901,284</w:t>
            </w:r>
          </w:p>
        </w:tc>
      </w:tr>
      <w:tr w:rsidR="004B459A" w:rsidRPr="00657824" w14:paraId="6371B564" w14:textId="77777777" w:rsidTr="00541D7C">
        <w:trPr>
          <w:trHeight w:val="397"/>
        </w:trPr>
        <w:tc>
          <w:tcPr>
            <w:tcW w:w="14454" w:type="dxa"/>
            <w:gridSpan w:val="16"/>
          </w:tcPr>
          <w:p w14:paraId="78294CBC" w14:textId="46C7494F" w:rsidR="004B459A" w:rsidRPr="00657824" w:rsidRDefault="004B459A" w:rsidP="004B459A">
            <w:pPr>
              <w:rPr>
                <w:i/>
                <w:iCs/>
                <w:sz w:val="16"/>
                <w:szCs w:val="16"/>
              </w:rPr>
            </w:pPr>
            <w:r w:rsidRPr="00657824">
              <w:rPr>
                <w:i/>
                <w:iCs/>
                <w:sz w:val="16"/>
                <w:szCs w:val="16"/>
              </w:rPr>
              <w:t>Note: Per-person losses in the current scenario are taken from Table 36 (above); Per-person losses in the counterfactual scenario have been generated in R-programming by assigning a right-skewed spend distribution based on current scenario mean spend in Table 36. The changes in mean spend account for a proportion of gamblers (20%) who are already spending over the limits applying for an exemption and spending a proportion (20%) more than the limits; NPG ‘Non-problem gambl</w:t>
            </w:r>
            <w:r w:rsidR="001152A8">
              <w:rPr>
                <w:i/>
                <w:iCs/>
                <w:sz w:val="16"/>
                <w:szCs w:val="16"/>
              </w:rPr>
              <w:t>ing</w:t>
            </w:r>
            <w:r w:rsidRPr="00657824">
              <w:rPr>
                <w:i/>
                <w:iCs/>
                <w:sz w:val="16"/>
                <w:szCs w:val="16"/>
              </w:rPr>
              <w:t>’ (PGSI: 0); LR ‘Low risk’ (PGSI: 1 to 2); MR ‘Moderate risk’ (PGSI 3 to 7); PG ‘Problem gambl</w:t>
            </w:r>
            <w:r w:rsidR="001152A8">
              <w:rPr>
                <w:i/>
                <w:iCs/>
                <w:sz w:val="16"/>
                <w:szCs w:val="16"/>
              </w:rPr>
              <w:t>ing</w:t>
            </w:r>
            <w:r w:rsidRPr="00657824">
              <w:rPr>
                <w:i/>
                <w:iCs/>
                <w:sz w:val="16"/>
                <w:szCs w:val="16"/>
              </w:rPr>
              <w:t>’ (PGSI: 8+).</w:t>
            </w:r>
          </w:p>
        </w:tc>
      </w:tr>
    </w:tbl>
    <w:p w14:paraId="01D5DB49" w14:textId="77777777" w:rsidR="006F418B" w:rsidRDefault="006F418B" w:rsidP="006F418B">
      <w:pPr>
        <w:sectPr w:rsidR="006F418B" w:rsidSect="006F418B">
          <w:pgSz w:w="16834" w:h="11909" w:orient="landscape"/>
          <w:pgMar w:top="1440" w:right="1440" w:bottom="1440" w:left="1440" w:header="720" w:footer="720" w:gutter="0"/>
          <w:cols w:space="720"/>
        </w:sectPr>
      </w:pPr>
    </w:p>
    <w:p w14:paraId="044A2DFB" w14:textId="77777777" w:rsidR="006F418B" w:rsidRDefault="006F418B" w:rsidP="006F418B">
      <w:pPr>
        <w:rPr>
          <w:b/>
        </w:rPr>
      </w:pPr>
    </w:p>
    <w:p w14:paraId="4D0ADDB6" w14:textId="5744722B" w:rsidR="00657824" w:rsidRDefault="00657824" w:rsidP="00657824">
      <w:pPr>
        <w:spacing w:line="360" w:lineRule="auto"/>
      </w:pPr>
      <w:r>
        <w:t xml:space="preserve">Tables 38 and 39 detail the proportional reduction in harms attributable to EGMs and the overall costs of gambling in New Zealand. </w:t>
      </w:r>
      <w:r w:rsidR="00494DC3">
        <w:t xml:space="preserve">Class 4 pokies </w:t>
      </w:r>
      <w:r>
        <w:t xml:space="preserve">an annual EGM loss limit of $5,400 results in 69% reduction in excess spend on </w:t>
      </w:r>
      <w:r w:rsidR="00494DC3">
        <w:t xml:space="preserve">Class 4 pokies </w:t>
      </w:r>
      <w:r>
        <w:t xml:space="preserve">and a 32% reduction in excess spend across all forms of gambling. Applying this 69% reduction to the total costs attributable to </w:t>
      </w:r>
      <w:r w:rsidR="00494DC3">
        <w:t xml:space="preserve">Class 4 pokies </w:t>
      </w:r>
      <w:r>
        <w:t>corresponds to $680 million decrease, representing an 16% reduction in the total costs of gambling in New Zealand.</w:t>
      </w:r>
    </w:p>
    <w:p w14:paraId="588A14C1" w14:textId="77777777" w:rsidR="00657824" w:rsidRDefault="00657824" w:rsidP="00657824"/>
    <w:p w14:paraId="1A6655F5" w14:textId="538950D4" w:rsidR="00267B09" w:rsidRDefault="00267B09" w:rsidP="00DB094D">
      <w:pPr>
        <w:pStyle w:val="Caption"/>
      </w:pPr>
      <w:bookmarkStart w:id="532" w:name="_Toc207619080"/>
      <w:r>
        <w:t xml:space="preserve">Table </w:t>
      </w:r>
      <w:r>
        <w:fldChar w:fldCharType="begin"/>
      </w:r>
      <w:r>
        <w:instrText xml:space="preserve"> SEQ Table \* ARABIC </w:instrText>
      </w:r>
      <w:r>
        <w:fldChar w:fldCharType="separate"/>
      </w:r>
      <w:r w:rsidR="00986A0D">
        <w:rPr>
          <w:noProof/>
        </w:rPr>
        <w:t>38</w:t>
      </w:r>
      <w:r>
        <w:fldChar w:fldCharType="end"/>
      </w:r>
      <w:r w:rsidR="00A5378B">
        <w:t>.</w:t>
      </w:r>
      <w:r>
        <w:t xml:space="preserve"> </w:t>
      </w:r>
      <w:r w:rsidRPr="00A51C36">
        <w:t xml:space="preserve">Proportional change in costs attributable to in-venue </w:t>
      </w:r>
      <w:r w:rsidR="00494DC3">
        <w:t>Class 4 pokies</w:t>
      </w:r>
      <w:r w:rsidRPr="00A51C36">
        <w:t xml:space="preserve"> following the EGM loss limits</w:t>
      </w:r>
      <w:bookmarkEnd w:id="532"/>
    </w:p>
    <w:tbl>
      <w:tblPr>
        <w:tblStyle w:val="TableGridLight"/>
        <w:tblW w:w="8847" w:type="dxa"/>
        <w:tblLayout w:type="fixed"/>
        <w:tblLook w:val="0600" w:firstRow="0" w:lastRow="0" w:firstColumn="0" w:lastColumn="0" w:noHBand="1" w:noVBand="1"/>
      </w:tblPr>
      <w:tblGrid>
        <w:gridCol w:w="6091"/>
        <w:gridCol w:w="992"/>
        <w:gridCol w:w="1764"/>
      </w:tblGrid>
      <w:tr w:rsidR="00E244D9" w:rsidRPr="00EA341D" w14:paraId="7AF25DCE" w14:textId="77777777" w:rsidTr="009A1A5A">
        <w:trPr>
          <w:trHeight w:val="397"/>
        </w:trPr>
        <w:tc>
          <w:tcPr>
            <w:tcW w:w="6091" w:type="dxa"/>
            <w:shd w:val="clear" w:color="auto" w:fill="F2F2F2" w:themeFill="background1" w:themeFillShade="F2"/>
            <w:vAlign w:val="center"/>
          </w:tcPr>
          <w:p w14:paraId="26903A69" w14:textId="77777777" w:rsidR="006F418B" w:rsidRPr="00442301" w:rsidRDefault="006F418B" w:rsidP="009A1A5A">
            <w:pPr>
              <w:rPr>
                <w:b/>
                <w:sz w:val="18"/>
                <w:szCs w:val="18"/>
              </w:rPr>
            </w:pPr>
            <w:r w:rsidRPr="00442301">
              <w:rPr>
                <w:b/>
                <w:sz w:val="18"/>
                <w:szCs w:val="18"/>
              </w:rPr>
              <w:t>Cost Element</w:t>
            </w:r>
          </w:p>
        </w:tc>
        <w:tc>
          <w:tcPr>
            <w:tcW w:w="992" w:type="dxa"/>
            <w:shd w:val="clear" w:color="auto" w:fill="F2F2F2" w:themeFill="background1" w:themeFillShade="F2"/>
            <w:vAlign w:val="center"/>
          </w:tcPr>
          <w:p w14:paraId="061D9152" w14:textId="77777777" w:rsidR="006F418B" w:rsidRPr="00442301" w:rsidRDefault="006F418B" w:rsidP="009A1A5A">
            <w:pPr>
              <w:jc w:val="center"/>
              <w:rPr>
                <w:b/>
                <w:sz w:val="18"/>
                <w:szCs w:val="18"/>
              </w:rPr>
            </w:pPr>
          </w:p>
        </w:tc>
        <w:tc>
          <w:tcPr>
            <w:tcW w:w="1764" w:type="dxa"/>
            <w:shd w:val="clear" w:color="auto" w:fill="F2F2F2" w:themeFill="background1" w:themeFillShade="F2"/>
            <w:vAlign w:val="center"/>
          </w:tcPr>
          <w:p w14:paraId="375CB757" w14:textId="77777777" w:rsidR="006F418B" w:rsidRPr="00442301" w:rsidRDefault="006F418B" w:rsidP="009A1A5A">
            <w:pPr>
              <w:jc w:val="center"/>
              <w:rPr>
                <w:b/>
                <w:sz w:val="18"/>
                <w:szCs w:val="18"/>
              </w:rPr>
            </w:pPr>
            <w:r w:rsidRPr="00442301">
              <w:rPr>
                <w:b/>
                <w:sz w:val="18"/>
                <w:szCs w:val="18"/>
              </w:rPr>
              <w:t>Total</w:t>
            </w:r>
          </w:p>
        </w:tc>
      </w:tr>
      <w:tr w:rsidR="008A2A0D" w:rsidRPr="00EA341D" w14:paraId="44C2493C" w14:textId="77777777" w:rsidTr="00BB3C33">
        <w:trPr>
          <w:trHeight w:val="397"/>
        </w:trPr>
        <w:tc>
          <w:tcPr>
            <w:tcW w:w="6091" w:type="dxa"/>
            <w:vAlign w:val="center"/>
          </w:tcPr>
          <w:p w14:paraId="3F059E39" w14:textId="336D4AE3" w:rsidR="008A2A0D" w:rsidRPr="00442301" w:rsidRDefault="008A2A0D" w:rsidP="008A2A0D">
            <w:pPr>
              <w:rPr>
                <w:sz w:val="18"/>
                <w:szCs w:val="18"/>
              </w:rPr>
            </w:pPr>
            <w:r w:rsidRPr="00442301">
              <w:rPr>
                <w:sz w:val="18"/>
                <w:szCs w:val="18"/>
              </w:rPr>
              <w:t xml:space="preserve">Total cost attributable to in-venue </w:t>
            </w:r>
            <w:r w:rsidR="00494DC3">
              <w:rPr>
                <w:sz w:val="18"/>
                <w:szCs w:val="18"/>
              </w:rPr>
              <w:t>Class 4 Pokies</w:t>
            </w:r>
            <w:r w:rsidRPr="00442301">
              <w:rPr>
                <w:sz w:val="18"/>
                <w:szCs w:val="18"/>
              </w:rPr>
              <w:t xml:space="preserve"> (pre-limits) (Table </w:t>
            </w:r>
            <w:r>
              <w:rPr>
                <w:sz w:val="18"/>
                <w:szCs w:val="18"/>
              </w:rPr>
              <w:t>8</w:t>
            </w:r>
            <w:r w:rsidRPr="00442301">
              <w:rPr>
                <w:sz w:val="18"/>
                <w:szCs w:val="18"/>
              </w:rPr>
              <w:t>)</w:t>
            </w:r>
          </w:p>
        </w:tc>
        <w:tc>
          <w:tcPr>
            <w:tcW w:w="992" w:type="dxa"/>
            <w:vAlign w:val="center"/>
          </w:tcPr>
          <w:p w14:paraId="5593CA3F" w14:textId="77777777" w:rsidR="008A2A0D" w:rsidRPr="00442301" w:rsidRDefault="008A2A0D" w:rsidP="008A2A0D">
            <w:pPr>
              <w:jc w:val="right"/>
              <w:rPr>
                <w:sz w:val="18"/>
                <w:szCs w:val="18"/>
              </w:rPr>
            </w:pPr>
            <w:r w:rsidRPr="00442301">
              <w:rPr>
                <w:sz w:val="18"/>
                <w:szCs w:val="18"/>
              </w:rPr>
              <w:t>a</w:t>
            </w:r>
          </w:p>
        </w:tc>
        <w:tc>
          <w:tcPr>
            <w:tcW w:w="1764" w:type="dxa"/>
            <w:vAlign w:val="bottom"/>
          </w:tcPr>
          <w:p w14:paraId="21C2AF0D" w14:textId="1D2B450C" w:rsidR="008A2A0D" w:rsidRPr="008A2A0D" w:rsidRDefault="008A2A0D" w:rsidP="008A2A0D">
            <w:pPr>
              <w:jc w:val="right"/>
              <w:rPr>
                <w:sz w:val="18"/>
                <w:szCs w:val="18"/>
              </w:rPr>
            </w:pPr>
            <w:r w:rsidRPr="00BB3C33">
              <w:rPr>
                <w:color w:val="000000"/>
                <w:sz w:val="18"/>
                <w:szCs w:val="18"/>
              </w:rPr>
              <w:t>$983,998,064</w:t>
            </w:r>
          </w:p>
        </w:tc>
      </w:tr>
      <w:tr w:rsidR="008A2A0D" w:rsidRPr="00EA341D" w14:paraId="7A3F6F2B" w14:textId="77777777" w:rsidTr="00BB3C33">
        <w:trPr>
          <w:trHeight w:val="397"/>
        </w:trPr>
        <w:tc>
          <w:tcPr>
            <w:tcW w:w="6091" w:type="dxa"/>
            <w:vAlign w:val="center"/>
          </w:tcPr>
          <w:p w14:paraId="6C804F85" w14:textId="27F87217" w:rsidR="008A2A0D" w:rsidRPr="00442301" w:rsidRDefault="008A2A0D" w:rsidP="008A2A0D">
            <w:pPr>
              <w:rPr>
                <w:sz w:val="18"/>
                <w:szCs w:val="18"/>
              </w:rPr>
            </w:pPr>
            <w:r w:rsidRPr="00442301">
              <w:rPr>
                <w:sz w:val="18"/>
                <w:szCs w:val="18"/>
              </w:rPr>
              <w:t xml:space="preserve">Proportional reduction in costs attributable to in-venue </w:t>
            </w:r>
            <w:r w:rsidR="00494DC3">
              <w:rPr>
                <w:sz w:val="18"/>
                <w:szCs w:val="18"/>
              </w:rPr>
              <w:t>Class 4 pokies</w:t>
            </w:r>
            <w:r w:rsidRPr="00442301">
              <w:rPr>
                <w:sz w:val="18"/>
                <w:szCs w:val="18"/>
              </w:rPr>
              <w:t xml:space="preserve"> (post-limits)</w:t>
            </w:r>
          </w:p>
        </w:tc>
        <w:tc>
          <w:tcPr>
            <w:tcW w:w="992" w:type="dxa"/>
            <w:vAlign w:val="center"/>
          </w:tcPr>
          <w:p w14:paraId="1177A186" w14:textId="77777777" w:rsidR="008A2A0D" w:rsidRPr="00442301" w:rsidRDefault="008A2A0D" w:rsidP="008A2A0D">
            <w:pPr>
              <w:jc w:val="right"/>
              <w:rPr>
                <w:sz w:val="18"/>
                <w:szCs w:val="18"/>
              </w:rPr>
            </w:pPr>
            <w:r w:rsidRPr="00442301">
              <w:rPr>
                <w:sz w:val="18"/>
                <w:szCs w:val="18"/>
              </w:rPr>
              <w:t>b</w:t>
            </w:r>
          </w:p>
        </w:tc>
        <w:tc>
          <w:tcPr>
            <w:tcW w:w="1764" w:type="dxa"/>
            <w:vAlign w:val="bottom"/>
          </w:tcPr>
          <w:p w14:paraId="357C3D10" w14:textId="2004A239" w:rsidR="008A2A0D" w:rsidRPr="008A2A0D" w:rsidRDefault="008A2A0D" w:rsidP="008A2A0D">
            <w:pPr>
              <w:jc w:val="right"/>
              <w:rPr>
                <w:sz w:val="18"/>
                <w:szCs w:val="18"/>
              </w:rPr>
            </w:pPr>
            <w:r w:rsidRPr="00BB3C33">
              <w:rPr>
                <w:color w:val="000000"/>
                <w:sz w:val="18"/>
                <w:szCs w:val="18"/>
              </w:rPr>
              <w:t>69%</w:t>
            </w:r>
          </w:p>
        </w:tc>
      </w:tr>
      <w:tr w:rsidR="008A2A0D" w:rsidRPr="00EA341D" w14:paraId="30866AFA" w14:textId="77777777" w:rsidTr="00BB3C33">
        <w:trPr>
          <w:trHeight w:val="397"/>
        </w:trPr>
        <w:tc>
          <w:tcPr>
            <w:tcW w:w="6091" w:type="dxa"/>
            <w:vAlign w:val="center"/>
          </w:tcPr>
          <w:p w14:paraId="6E98B516" w14:textId="646B1BD3" w:rsidR="008A2A0D" w:rsidRPr="00442301" w:rsidRDefault="008A2A0D" w:rsidP="008A2A0D">
            <w:pPr>
              <w:rPr>
                <w:sz w:val="18"/>
                <w:szCs w:val="18"/>
              </w:rPr>
            </w:pPr>
            <w:r w:rsidRPr="00442301">
              <w:rPr>
                <w:sz w:val="18"/>
                <w:szCs w:val="18"/>
              </w:rPr>
              <w:t xml:space="preserve">Reduction in costs attributable to in-venue </w:t>
            </w:r>
            <w:r w:rsidR="00494DC3">
              <w:rPr>
                <w:sz w:val="18"/>
                <w:szCs w:val="18"/>
              </w:rPr>
              <w:t>Class 4 pokies</w:t>
            </w:r>
            <w:r w:rsidRPr="00442301">
              <w:rPr>
                <w:sz w:val="18"/>
                <w:szCs w:val="18"/>
              </w:rPr>
              <w:t xml:space="preserve"> (post-limits)</w:t>
            </w:r>
          </w:p>
        </w:tc>
        <w:tc>
          <w:tcPr>
            <w:tcW w:w="992" w:type="dxa"/>
            <w:vAlign w:val="center"/>
          </w:tcPr>
          <w:p w14:paraId="7367FF8E" w14:textId="6D9FC4A8" w:rsidR="008A2A0D" w:rsidRPr="00442301" w:rsidRDefault="008A2A0D" w:rsidP="008A2A0D">
            <w:pPr>
              <w:jc w:val="right"/>
              <w:rPr>
                <w:sz w:val="18"/>
                <w:szCs w:val="18"/>
              </w:rPr>
            </w:pPr>
            <w:r w:rsidRPr="00442301">
              <w:rPr>
                <w:sz w:val="18"/>
                <w:szCs w:val="18"/>
              </w:rPr>
              <w:t>c</w:t>
            </w:r>
            <w:r w:rsidR="00400FA5">
              <w:rPr>
                <w:sz w:val="18"/>
                <w:szCs w:val="18"/>
              </w:rPr>
              <w:t xml:space="preserve"> </w:t>
            </w:r>
            <w:r w:rsidRPr="00442301">
              <w:rPr>
                <w:sz w:val="18"/>
                <w:szCs w:val="18"/>
              </w:rPr>
              <w:t>=</w:t>
            </w:r>
            <w:r w:rsidR="00400FA5">
              <w:rPr>
                <w:sz w:val="18"/>
                <w:szCs w:val="18"/>
              </w:rPr>
              <w:t xml:space="preserve"> </w:t>
            </w:r>
            <w:r w:rsidRPr="00442301">
              <w:rPr>
                <w:sz w:val="18"/>
                <w:szCs w:val="18"/>
              </w:rPr>
              <w:t>a</w:t>
            </w:r>
            <w:r w:rsidR="00400FA5">
              <w:rPr>
                <w:sz w:val="18"/>
                <w:szCs w:val="18"/>
              </w:rPr>
              <w:t xml:space="preserve"> </w:t>
            </w:r>
            <w:r w:rsidRPr="00442301">
              <w:rPr>
                <w:sz w:val="18"/>
                <w:szCs w:val="18"/>
              </w:rPr>
              <w:t>*</w:t>
            </w:r>
            <w:r w:rsidR="00400FA5">
              <w:rPr>
                <w:sz w:val="18"/>
                <w:szCs w:val="18"/>
              </w:rPr>
              <w:t xml:space="preserve"> </w:t>
            </w:r>
            <w:r w:rsidRPr="00442301">
              <w:rPr>
                <w:sz w:val="18"/>
                <w:szCs w:val="18"/>
              </w:rPr>
              <w:t>b</w:t>
            </w:r>
          </w:p>
        </w:tc>
        <w:tc>
          <w:tcPr>
            <w:tcW w:w="1764" w:type="dxa"/>
            <w:vAlign w:val="bottom"/>
          </w:tcPr>
          <w:p w14:paraId="77C3E072" w14:textId="6CD01568" w:rsidR="008A2A0D" w:rsidRPr="008A2A0D" w:rsidRDefault="008A2A0D" w:rsidP="008A2A0D">
            <w:pPr>
              <w:jc w:val="right"/>
              <w:rPr>
                <w:sz w:val="18"/>
                <w:szCs w:val="18"/>
              </w:rPr>
            </w:pPr>
            <w:r w:rsidRPr="00BB3C33">
              <w:rPr>
                <w:color w:val="000000"/>
                <w:sz w:val="18"/>
                <w:szCs w:val="18"/>
              </w:rPr>
              <w:t>$679,949,386</w:t>
            </w:r>
          </w:p>
        </w:tc>
      </w:tr>
      <w:tr w:rsidR="008A2A0D" w:rsidRPr="00EA341D" w14:paraId="0041C080" w14:textId="77777777" w:rsidTr="00BB3C33">
        <w:trPr>
          <w:trHeight w:val="397"/>
        </w:trPr>
        <w:tc>
          <w:tcPr>
            <w:tcW w:w="6091" w:type="dxa"/>
            <w:vAlign w:val="center"/>
          </w:tcPr>
          <w:p w14:paraId="2FC2D283" w14:textId="4C879FE2" w:rsidR="008A2A0D" w:rsidRPr="00442301" w:rsidRDefault="008A2A0D" w:rsidP="008A2A0D">
            <w:pPr>
              <w:rPr>
                <w:sz w:val="18"/>
                <w:szCs w:val="18"/>
              </w:rPr>
            </w:pPr>
            <w:r w:rsidRPr="00442301">
              <w:rPr>
                <w:sz w:val="18"/>
                <w:szCs w:val="18"/>
              </w:rPr>
              <w:t xml:space="preserve">Total cost attributable to in-venue </w:t>
            </w:r>
            <w:r w:rsidR="00494DC3">
              <w:rPr>
                <w:sz w:val="18"/>
                <w:szCs w:val="18"/>
              </w:rPr>
              <w:t>Class 4 pokies</w:t>
            </w:r>
            <w:r w:rsidRPr="00442301">
              <w:rPr>
                <w:sz w:val="18"/>
                <w:szCs w:val="18"/>
              </w:rPr>
              <w:t xml:space="preserve"> (post-limits)</w:t>
            </w:r>
          </w:p>
        </w:tc>
        <w:tc>
          <w:tcPr>
            <w:tcW w:w="992" w:type="dxa"/>
            <w:vAlign w:val="center"/>
          </w:tcPr>
          <w:p w14:paraId="6012AF53" w14:textId="42A5ED7A" w:rsidR="008A2A0D" w:rsidRPr="00442301" w:rsidRDefault="008A2A0D" w:rsidP="008A2A0D">
            <w:pPr>
              <w:jc w:val="right"/>
              <w:rPr>
                <w:sz w:val="18"/>
                <w:szCs w:val="18"/>
              </w:rPr>
            </w:pPr>
            <w:r w:rsidRPr="00442301">
              <w:rPr>
                <w:sz w:val="18"/>
                <w:szCs w:val="18"/>
              </w:rPr>
              <w:t>d</w:t>
            </w:r>
            <w:r w:rsidR="00400FA5">
              <w:rPr>
                <w:sz w:val="18"/>
                <w:szCs w:val="18"/>
              </w:rPr>
              <w:t xml:space="preserve"> </w:t>
            </w:r>
            <w:r w:rsidRPr="00442301">
              <w:rPr>
                <w:sz w:val="18"/>
                <w:szCs w:val="18"/>
              </w:rPr>
              <w:t>=</w:t>
            </w:r>
            <w:r w:rsidR="00400FA5">
              <w:rPr>
                <w:sz w:val="18"/>
                <w:szCs w:val="18"/>
              </w:rPr>
              <w:t xml:space="preserve"> </w:t>
            </w:r>
            <w:r w:rsidRPr="00442301">
              <w:rPr>
                <w:sz w:val="18"/>
                <w:szCs w:val="18"/>
              </w:rPr>
              <w:t>a</w:t>
            </w:r>
            <w:r w:rsidR="00400FA5">
              <w:rPr>
                <w:sz w:val="18"/>
                <w:szCs w:val="18"/>
              </w:rPr>
              <w:t xml:space="preserve"> </w:t>
            </w:r>
            <w:r w:rsidRPr="00442301">
              <w:rPr>
                <w:sz w:val="18"/>
                <w:szCs w:val="18"/>
              </w:rPr>
              <w:t>-</w:t>
            </w:r>
            <w:r w:rsidR="00400FA5">
              <w:rPr>
                <w:sz w:val="18"/>
                <w:szCs w:val="18"/>
              </w:rPr>
              <w:t xml:space="preserve"> </w:t>
            </w:r>
            <w:r w:rsidRPr="00442301">
              <w:rPr>
                <w:sz w:val="18"/>
                <w:szCs w:val="18"/>
              </w:rPr>
              <w:t>c</w:t>
            </w:r>
          </w:p>
        </w:tc>
        <w:tc>
          <w:tcPr>
            <w:tcW w:w="1764" w:type="dxa"/>
            <w:vAlign w:val="bottom"/>
          </w:tcPr>
          <w:p w14:paraId="47DCE4C9" w14:textId="05D23989" w:rsidR="008A2A0D" w:rsidRPr="008A2A0D" w:rsidRDefault="008A2A0D" w:rsidP="008A2A0D">
            <w:pPr>
              <w:jc w:val="right"/>
              <w:rPr>
                <w:sz w:val="18"/>
                <w:szCs w:val="18"/>
              </w:rPr>
            </w:pPr>
            <w:r w:rsidRPr="00BB3C33">
              <w:rPr>
                <w:color w:val="000000"/>
                <w:sz w:val="18"/>
                <w:szCs w:val="18"/>
              </w:rPr>
              <w:t>$304,048,678</w:t>
            </w:r>
          </w:p>
        </w:tc>
      </w:tr>
      <w:tr w:rsidR="008A2A0D" w:rsidRPr="00EA341D" w14:paraId="2E7E91A7" w14:textId="77777777" w:rsidTr="009A1A5A">
        <w:trPr>
          <w:trHeight w:val="397"/>
        </w:trPr>
        <w:tc>
          <w:tcPr>
            <w:tcW w:w="8847" w:type="dxa"/>
            <w:gridSpan w:val="3"/>
            <w:vAlign w:val="center"/>
          </w:tcPr>
          <w:p w14:paraId="75829AEE" w14:textId="77777777" w:rsidR="008A2A0D" w:rsidRPr="008A2A0D" w:rsidRDefault="008A2A0D" w:rsidP="008A2A0D">
            <w:pPr>
              <w:jc w:val="right"/>
              <w:rPr>
                <w:sz w:val="18"/>
                <w:szCs w:val="18"/>
              </w:rPr>
            </w:pPr>
            <w:r w:rsidRPr="008A2A0D">
              <w:rPr>
                <w:sz w:val="18"/>
                <w:szCs w:val="18"/>
              </w:rPr>
              <w:t xml:space="preserve"> </w:t>
            </w:r>
          </w:p>
        </w:tc>
      </w:tr>
      <w:tr w:rsidR="008A2A0D" w:rsidRPr="00EA341D" w14:paraId="0BDB172E" w14:textId="77777777" w:rsidTr="00BB3C33">
        <w:trPr>
          <w:trHeight w:val="397"/>
        </w:trPr>
        <w:tc>
          <w:tcPr>
            <w:tcW w:w="6091" w:type="dxa"/>
            <w:vAlign w:val="center"/>
          </w:tcPr>
          <w:p w14:paraId="48A678D4" w14:textId="6CF5EEE5" w:rsidR="008A2A0D" w:rsidRPr="00442301" w:rsidRDefault="008A2A0D" w:rsidP="008A2A0D">
            <w:pPr>
              <w:rPr>
                <w:sz w:val="18"/>
                <w:szCs w:val="18"/>
              </w:rPr>
            </w:pPr>
            <w:r w:rsidRPr="00442301">
              <w:rPr>
                <w:sz w:val="18"/>
                <w:szCs w:val="18"/>
              </w:rPr>
              <w:t>Total cost of gambling problems (pre-limits)</w:t>
            </w:r>
            <w:r>
              <w:rPr>
                <w:sz w:val="18"/>
                <w:szCs w:val="18"/>
              </w:rPr>
              <w:t xml:space="preserve"> (Table </w:t>
            </w:r>
            <w:r w:rsidR="005E7410">
              <w:rPr>
                <w:sz w:val="18"/>
                <w:szCs w:val="18"/>
              </w:rPr>
              <w:t>5</w:t>
            </w:r>
            <w:r>
              <w:rPr>
                <w:sz w:val="18"/>
                <w:szCs w:val="18"/>
              </w:rPr>
              <w:t>)</w:t>
            </w:r>
          </w:p>
        </w:tc>
        <w:tc>
          <w:tcPr>
            <w:tcW w:w="992" w:type="dxa"/>
            <w:vAlign w:val="center"/>
          </w:tcPr>
          <w:p w14:paraId="35762998" w14:textId="77777777" w:rsidR="008A2A0D" w:rsidRPr="00442301" w:rsidRDefault="008A2A0D" w:rsidP="008A2A0D">
            <w:pPr>
              <w:jc w:val="right"/>
              <w:rPr>
                <w:sz w:val="18"/>
                <w:szCs w:val="18"/>
              </w:rPr>
            </w:pPr>
            <w:r w:rsidRPr="00442301">
              <w:rPr>
                <w:sz w:val="18"/>
                <w:szCs w:val="18"/>
              </w:rPr>
              <w:t>e</w:t>
            </w:r>
          </w:p>
        </w:tc>
        <w:tc>
          <w:tcPr>
            <w:tcW w:w="1764" w:type="dxa"/>
            <w:vAlign w:val="bottom"/>
          </w:tcPr>
          <w:p w14:paraId="11267820" w14:textId="31DAB4E3" w:rsidR="008A2A0D" w:rsidRPr="008A2A0D" w:rsidRDefault="008A2A0D" w:rsidP="008A2A0D">
            <w:pPr>
              <w:jc w:val="right"/>
              <w:rPr>
                <w:sz w:val="18"/>
                <w:szCs w:val="18"/>
              </w:rPr>
            </w:pPr>
            <w:r w:rsidRPr="00BB3C33">
              <w:rPr>
                <w:color w:val="000000"/>
                <w:sz w:val="18"/>
                <w:szCs w:val="18"/>
              </w:rPr>
              <w:t>$4,218,927,498</w:t>
            </w:r>
          </w:p>
        </w:tc>
      </w:tr>
      <w:tr w:rsidR="008A2A0D" w:rsidRPr="00EA341D" w14:paraId="5B643809" w14:textId="77777777" w:rsidTr="00BB3C33">
        <w:trPr>
          <w:trHeight w:val="397"/>
        </w:trPr>
        <w:tc>
          <w:tcPr>
            <w:tcW w:w="6091" w:type="dxa"/>
            <w:vAlign w:val="center"/>
          </w:tcPr>
          <w:p w14:paraId="6F14F1FC" w14:textId="77777777" w:rsidR="008A2A0D" w:rsidRPr="00442301" w:rsidRDefault="008A2A0D" w:rsidP="008A2A0D">
            <w:pPr>
              <w:rPr>
                <w:sz w:val="18"/>
                <w:szCs w:val="18"/>
              </w:rPr>
            </w:pPr>
            <w:r w:rsidRPr="00442301">
              <w:rPr>
                <w:sz w:val="18"/>
                <w:szCs w:val="18"/>
              </w:rPr>
              <w:t>Total cost of gambling problems (post-limits)</w:t>
            </w:r>
          </w:p>
        </w:tc>
        <w:tc>
          <w:tcPr>
            <w:tcW w:w="992" w:type="dxa"/>
            <w:vAlign w:val="center"/>
          </w:tcPr>
          <w:p w14:paraId="11944C2F" w14:textId="5FA60116" w:rsidR="008A2A0D" w:rsidRPr="00442301" w:rsidRDefault="008A2A0D" w:rsidP="008A2A0D">
            <w:pPr>
              <w:jc w:val="right"/>
              <w:rPr>
                <w:sz w:val="18"/>
                <w:szCs w:val="18"/>
              </w:rPr>
            </w:pPr>
            <w:r w:rsidRPr="00442301">
              <w:rPr>
                <w:sz w:val="18"/>
                <w:szCs w:val="18"/>
              </w:rPr>
              <w:t>f</w:t>
            </w:r>
            <w:r w:rsidR="00400FA5">
              <w:rPr>
                <w:sz w:val="18"/>
                <w:szCs w:val="18"/>
              </w:rPr>
              <w:t xml:space="preserve"> </w:t>
            </w:r>
            <w:r w:rsidRPr="00442301">
              <w:rPr>
                <w:sz w:val="18"/>
                <w:szCs w:val="18"/>
              </w:rPr>
              <w:t>=</w:t>
            </w:r>
            <w:r w:rsidR="00400FA5">
              <w:rPr>
                <w:sz w:val="18"/>
                <w:szCs w:val="18"/>
              </w:rPr>
              <w:t xml:space="preserve"> </w:t>
            </w:r>
            <w:r w:rsidRPr="00442301">
              <w:rPr>
                <w:sz w:val="18"/>
                <w:szCs w:val="18"/>
              </w:rPr>
              <w:t>e</w:t>
            </w:r>
            <w:r w:rsidR="00400FA5">
              <w:rPr>
                <w:sz w:val="18"/>
                <w:szCs w:val="18"/>
              </w:rPr>
              <w:t xml:space="preserve"> </w:t>
            </w:r>
            <w:r w:rsidRPr="00442301">
              <w:rPr>
                <w:sz w:val="18"/>
                <w:szCs w:val="18"/>
              </w:rPr>
              <w:t>-</w:t>
            </w:r>
            <w:r w:rsidR="00400FA5">
              <w:rPr>
                <w:sz w:val="18"/>
                <w:szCs w:val="18"/>
              </w:rPr>
              <w:t xml:space="preserve"> </w:t>
            </w:r>
            <w:r w:rsidRPr="00442301">
              <w:rPr>
                <w:sz w:val="18"/>
                <w:szCs w:val="18"/>
              </w:rPr>
              <w:t>c</w:t>
            </w:r>
          </w:p>
        </w:tc>
        <w:tc>
          <w:tcPr>
            <w:tcW w:w="1764" w:type="dxa"/>
            <w:vAlign w:val="bottom"/>
          </w:tcPr>
          <w:p w14:paraId="013B4F77" w14:textId="2E5A3F4F" w:rsidR="008A2A0D" w:rsidRPr="008A2A0D" w:rsidRDefault="008A2A0D" w:rsidP="008A2A0D">
            <w:pPr>
              <w:jc w:val="right"/>
              <w:rPr>
                <w:sz w:val="18"/>
                <w:szCs w:val="18"/>
              </w:rPr>
            </w:pPr>
            <w:r w:rsidRPr="00BB3C33">
              <w:rPr>
                <w:color w:val="000000"/>
                <w:sz w:val="18"/>
                <w:szCs w:val="18"/>
              </w:rPr>
              <w:t>$3,538,978,112</w:t>
            </w:r>
          </w:p>
        </w:tc>
      </w:tr>
    </w:tbl>
    <w:p w14:paraId="2EC686C4" w14:textId="77777777" w:rsidR="006F418B" w:rsidRDefault="006F418B" w:rsidP="006F418B">
      <w:pPr>
        <w:rPr>
          <w:b/>
        </w:rPr>
      </w:pPr>
    </w:p>
    <w:p w14:paraId="15A9740D" w14:textId="77777777" w:rsidR="002A58F1" w:rsidRDefault="002A58F1" w:rsidP="00DB094D">
      <w:pPr>
        <w:pStyle w:val="Caption"/>
      </w:pPr>
    </w:p>
    <w:p w14:paraId="55CD34D7" w14:textId="0299F834" w:rsidR="00C243DB" w:rsidRDefault="00C243DB" w:rsidP="00DB094D">
      <w:pPr>
        <w:pStyle w:val="Caption"/>
      </w:pPr>
      <w:bookmarkStart w:id="533" w:name="_Toc207619081"/>
      <w:r>
        <w:t xml:space="preserve">Table </w:t>
      </w:r>
      <w:r>
        <w:fldChar w:fldCharType="begin"/>
      </w:r>
      <w:r>
        <w:instrText xml:space="preserve"> SEQ Table \* ARABIC </w:instrText>
      </w:r>
      <w:r>
        <w:fldChar w:fldCharType="separate"/>
      </w:r>
      <w:r w:rsidR="00986A0D">
        <w:rPr>
          <w:noProof/>
        </w:rPr>
        <w:t>39</w:t>
      </w:r>
      <w:r>
        <w:fldChar w:fldCharType="end"/>
      </w:r>
      <w:r w:rsidR="00A5378B">
        <w:t>.</w:t>
      </w:r>
      <w:r>
        <w:t xml:space="preserve"> </w:t>
      </w:r>
      <w:r w:rsidRPr="00864BC3">
        <w:t>Summary of change in total cost of gambling due to EGM loss limits</w:t>
      </w:r>
      <w:bookmarkEnd w:id="533"/>
    </w:p>
    <w:tbl>
      <w:tblPr>
        <w:tblStyle w:val="TableGridLight"/>
        <w:tblW w:w="8784" w:type="dxa"/>
        <w:tblLayout w:type="fixed"/>
        <w:tblLook w:val="0600" w:firstRow="0" w:lastRow="0" w:firstColumn="0" w:lastColumn="0" w:noHBand="1" w:noVBand="1"/>
      </w:tblPr>
      <w:tblGrid>
        <w:gridCol w:w="3175"/>
        <w:gridCol w:w="1619"/>
        <w:gridCol w:w="1619"/>
        <w:gridCol w:w="1477"/>
        <w:gridCol w:w="894"/>
      </w:tblGrid>
      <w:tr w:rsidR="006F418B" w:rsidRPr="00EA341D" w14:paraId="4F9D00AD" w14:textId="77777777" w:rsidTr="00400FA5">
        <w:trPr>
          <w:trHeight w:val="397"/>
        </w:trPr>
        <w:tc>
          <w:tcPr>
            <w:tcW w:w="3175" w:type="dxa"/>
            <w:vMerge w:val="restart"/>
            <w:shd w:val="clear" w:color="auto" w:fill="F2F2F2" w:themeFill="background1" w:themeFillShade="F2"/>
            <w:vAlign w:val="center"/>
          </w:tcPr>
          <w:p w14:paraId="3C0F482E" w14:textId="2E5FA760" w:rsidR="006F418B" w:rsidRPr="00442301" w:rsidRDefault="006F418B" w:rsidP="00BC0472">
            <w:pPr>
              <w:rPr>
                <w:b/>
                <w:sz w:val="18"/>
                <w:szCs w:val="18"/>
              </w:rPr>
            </w:pPr>
            <w:r w:rsidRPr="00442301">
              <w:rPr>
                <w:b/>
                <w:sz w:val="18"/>
                <w:szCs w:val="18"/>
              </w:rPr>
              <w:t>Cost Element</w:t>
            </w:r>
          </w:p>
        </w:tc>
        <w:tc>
          <w:tcPr>
            <w:tcW w:w="5609" w:type="dxa"/>
            <w:gridSpan w:val="4"/>
            <w:shd w:val="clear" w:color="auto" w:fill="F2F2F2" w:themeFill="background1" w:themeFillShade="F2"/>
            <w:vAlign w:val="center"/>
          </w:tcPr>
          <w:p w14:paraId="0844B9EA" w14:textId="77777777" w:rsidR="006F418B" w:rsidRPr="00442301" w:rsidRDefault="006F418B" w:rsidP="00400FA5">
            <w:pPr>
              <w:jc w:val="center"/>
              <w:rPr>
                <w:b/>
                <w:sz w:val="18"/>
                <w:szCs w:val="18"/>
              </w:rPr>
            </w:pPr>
            <w:r w:rsidRPr="00442301">
              <w:rPr>
                <w:b/>
                <w:sz w:val="18"/>
                <w:szCs w:val="18"/>
              </w:rPr>
              <w:t>Total Cost</w:t>
            </w:r>
          </w:p>
        </w:tc>
      </w:tr>
      <w:tr w:rsidR="006F418B" w:rsidRPr="00EA341D" w14:paraId="12103430" w14:textId="77777777" w:rsidTr="00400FA5">
        <w:trPr>
          <w:trHeight w:val="397"/>
        </w:trPr>
        <w:tc>
          <w:tcPr>
            <w:tcW w:w="3175" w:type="dxa"/>
            <w:vMerge/>
            <w:shd w:val="clear" w:color="auto" w:fill="F2F2F2" w:themeFill="background1" w:themeFillShade="F2"/>
            <w:vAlign w:val="center"/>
          </w:tcPr>
          <w:p w14:paraId="552FCF4D" w14:textId="77777777" w:rsidR="006F418B" w:rsidRPr="00442301" w:rsidRDefault="006F418B" w:rsidP="00BC0472">
            <w:pPr>
              <w:widowControl w:val="0"/>
              <w:pBdr>
                <w:top w:val="nil"/>
                <w:left w:val="nil"/>
                <w:bottom w:val="nil"/>
                <w:right w:val="nil"/>
                <w:between w:val="nil"/>
              </w:pBdr>
              <w:rPr>
                <w:b/>
                <w:sz w:val="18"/>
                <w:szCs w:val="18"/>
              </w:rPr>
            </w:pPr>
          </w:p>
        </w:tc>
        <w:tc>
          <w:tcPr>
            <w:tcW w:w="1619" w:type="dxa"/>
            <w:shd w:val="clear" w:color="auto" w:fill="F2F2F2" w:themeFill="background1" w:themeFillShade="F2"/>
            <w:vAlign w:val="center"/>
          </w:tcPr>
          <w:p w14:paraId="2630B0BD" w14:textId="77777777" w:rsidR="006F418B" w:rsidRPr="00442301" w:rsidRDefault="006F418B" w:rsidP="00BC0472">
            <w:pPr>
              <w:jc w:val="center"/>
              <w:rPr>
                <w:b/>
                <w:sz w:val="18"/>
                <w:szCs w:val="18"/>
              </w:rPr>
            </w:pPr>
            <w:r w:rsidRPr="00442301">
              <w:rPr>
                <w:b/>
                <w:sz w:val="18"/>
                <w:szCs w:val="18"/>
              </w:rPr>
              <w:t>Before</w:t>
            </w:r>
          </w:p>
        </w:tc>
        <w:tc>
          <w:tcPr>
            <w:tcW w:w="1619" w:type="dxa"/>
            <w:shd w:val="clear" w:color="auto" w:fill="F2F2F2" w:themeFill="background1" w:themeFillShade="F2"/>
            <w:vAlign w:val="center"/>
          </w:tcPr>
          <w:p w14:paraId="34F90E7D" w14:textId="77777777" w:rsidR="006F418B" w:rsidRPr="00442301" w:rsidRDefault="006F418B" w:rsidP="00BC0472">
            <w:pPr>
              <w:jc w:val="center"/>
              <w:rPr>
                <w:b/>
                <w:sz w:val="18"/>
                <w:szCs w:val="18"/>
              </w:rPr>
            </w:pPr>
            <w:r w:rsidRPr="00442301">
              <w:rPr>
                <w:b/>
                <w:sz w:val="18"/>
                <w:szCs w:val="18"/>
              </w:rPr>
              <w:t>After</w:t>
            </w:r>
          </w:p>
        </w:tc>
        <w:tc>
          <w:tcPr>
            <w:tcW w:w="1477" w:type="dxa"/>
            <w:shd w:val="clear" w:color="auto" w:fill="F2F2F2" w:themeFill="background1" w:themeFillShade="F2"/>
            <w:vAlign w:val="center"/>
          </w:tcPr>
          <w:p w14:paraId="51ADA45B" w14:textId="77777777" w:rsidR="006F418B" w:rsidRPr="00442301" w:rsidRDefault="006F418B" w:rsidP="00BC0472">
            <w:pPr>
              <w:jc w:val="center"/>
              <w:rPr>
                <w:b/>
                <w:sz w:val="18"/>
                <w:szCs w:val="18"/>
              </w:rPr>
            </w:pPr>
            <w:r w:rsidRPr="00442301">
              <w:rPr>
                <w:b/>
                <w:sz w:val="18"/>
                <w:szCs w:val="18"/>
              </w:rPr>
              <w:t>Change ($)</w:t>
            </w:r>
          </w:p>
        </w:tc>
        <w:tc>
          <w:tcPr>
            <w:tcW w:w="894" w:type="dxa"/>
            <w:shd w:val="clear" w:color="auto" w:fill="F2F2F2" w:themeFill="background1" w:themeFillShade="F2"/>
            <w:vAlign w:val="center"/>
          </w:tcPr>
          <w:p w14:paraId="0D8713D3" w14:textId="77777777" w:rsidR="006F418B" w:rsidRPr="00442301" w:rsidRDefault="006F418B" w:rsidP="00BC0472">
            <w:pPr>
              <w:jc w:val="center"/>
              <w:rPr>
                <w:b/>
                <w:sz w:val="18"/>
                <w:szCs w:val="18"/>
              </w:rPr>
            </w:pPr>
            <w:r w:rsidRPr="00442301">
              <w:rPr>
                <w:b/>
                <w:sz w:val="18"/>
                <w:szCs w:val="18"/>
              </w:rPr>
              <w:t>Change (%)</w:t>
            </w:r>
          </w:p>
        </w:tc>
      </w:tr>
      <w:tr w:rsidR="006F418B" w:rsidRPr="00EA341D" w14:paraId="5C9EE246" w14:textId="77777777" w:rsidTr="00400FA5">
        <w:trPr>
          <w:trHeight w:val="397"/>
        </w:trPr>
        <w:tc>
          <w:tcPr>
            <w:tcW w:w="3175" w:type="dxa"/>
            <w:vMerge/>
            <w:shd w:val="clear" w:color="auto" w:fill="F2F2F2" w:themeFill="background1" w:themeFillShade="F2"/>
            <w:vAlign w:val="center"/>
          </w:tcPr>
          <w:p w14:paraId="12AEC133" w14:textId="77777777" w:rsidR="006F418B" w:rsidRPr="00442301" w:rsidRDefault="006F418B" w:rsidP="00BC0472">
            <w:pPr>
              <w:widowControl w:val="0"/>
              <w:pBdr>
                <w:top w:val="nil"/>
                <w:left w:val="nil"/>
                <w:bottom w:val="nil"/>
                <w:right w:val="nil"/>
                <w:between w:val="nil"/>
              </w:pBdr>
              <w:rPr>
                <w:b/>
                <w:sz w:val="18"/>
                <w:szCs w:val="18"/>
              </w:rPr>
            </w:pPr>
          </w:p>
        </w:tc>
        <w:tc>
          <w:tcPr>
            <w:tcW w:w="1619" w:type="dxa"/>
            <w:shd w:val="clear" w:color="auto" w:fill="F2F2F2" w:themeFill="background1" w:themeFillShade="F2"/>
            <w:vAlign w:val="center"/>
          </w:tcPr>
          <w:p w14:paraId="55367800" w14:textId="77777777" w:rsidR="006F418B" w:rsidRPr="00442301" w:rsidRDefault="006F418B" w:rsidP="00BC0472">
            <w:pPr>
              <w:jc w:val="center"/>
              <w:rPr>
                <w:b/>
                <w:i/>
                <w:sz w:val="18"/>
                <w:szCs w:val="18"/>
              </w:rPr>
            </w:pPr>
            <w:r w:rsidRPr="00442301">
              <w:rPr>
                <w:b/>
                <w:i/>
                <w:sz w:val="18"/>
                <w:szCs w:val="18"/>
              </w:rPr>
              <w:t>a</w:t>
            </w:r>
          </w:p>
        </w:tc>
        <w:tc>
          <w:tcPr>
            <w:tcW w:w="1619" w:type="dxa"/>
            <w:shd w:val="clear" w:color="auto" w:fill="F2F2F2" w:themeFill="background1" w:themeFillShade="F2"/>
            <w:vAlign w:val="center"/>
          </w:tcPr>
          <w:p w14:paraId="25A673DD" w14:textId="77777777" w:rsidR="006F418B" w:rsidRPr="00442301" w:rsidRDefault="006F418B" w:rsidP="00BC0472">
            <w:pPr>
              <w:jc w:val="center"/>
              <w:rPr>
                <w:b/>
                <w:i/>
                <w:sz w:val="18"/>
                <w:szCs w:val="18"/>
              </w:rPr>
            </w:pPr>
            <w:r w:rsidRPr="00442301">
              <w:rPr>
                <w:b/>
                <w:i/>
                <w:sz w:val="18"/>
                <w:szCs w:val="18"/>
              </w:rPr>
              <w:t>b</w:t>
            </w:r>
          </w:p>
        </w:tc>
        <w:tc>
          <w:tcPr>
            <w:tcW w:w="1477" w:type="dxa"/>
            <w:shd w:val="clear" w:color="auto" w:fill="F2F2F2" w:themeFill="background1" w:themeFillShade="F2"/>
            <w:vAlign w:val="center"/>
          </w:tcPr>
          <w:p w14:paraId="7DB7B348" w14:textId="77777777" w:rsidR="006F418B" w:rsidRPr="00442301" w:rsidRDefault="006F418B" w:rsidP="00BC0472">
            <w:pPr>
              <w:jc w:val="center"/>
              <w:rPr>
                <w:b/>
                <w:i/>
                <w:sz w:val="18"/>
                <w:szCs w:val="18"/>
              </w:rPr>
            </w:pPr>
            <w:r w:rsidRPr="00442301">
              <w:rPr>
                <w:b/>
                <w:i/>
                <w:sz w:val="18"/>
                <w:szCs w:val="18"/>
              </w:rPr>
              <w:t>c=a-b</w:t>
            </w:r>
          </w:p>
        </w:tc>
        <w:tc>
          <w:tcPr>
            <w:tcW w:w="894" w:type="dxa"/>
            <w:shd w:val="clear" w:color="auto" w:fill="F2F2F2" w:themeFill="background1" w:themeFillShade="F2"/>
            <w:vAlign w:val="center"/>
          </w:tcPr>
          <w:p w14:paraId="0B65D4BC" w14:textId="77777777" w:rsidR="006F418B" w:rsidRPr="00442301" w:rsidRDefault="006F418B" w:rsidP="00BC0472">
            <w:pPr>
              <w:jc w:val="center"/>
              <w:rPr>
                <w:b/>
                <w:i/>
                <w:sz w:val="18"/>
                <w:szCs w:val="18"/>
              </w:rPr>
            </w:pPr>
            <w:r w:rsidRPr="00442301">
              <w:rPr>
                <w:b/>
                <w:i/>
                <w:sz w:val="18"/>
                <w:szCs w:val="18"/>
              </w:rPr>
              <w:t>d=c/a</w:t>
            </w:r>
          </w:p>
        </w:tc>
      </w:tr>
      <w:tr w:rsidR="00BC0472" w:rsidRPr="00EA341D" w14:paraId="50A7237E" w14:textId="77777777" w:rsidTr="00400FA5">
        <w:trPr>
          <w:trHeight w:val="397"/>
        </w:trPr>
        <w:tc>
          <w:tcPr>
            <w:tcW w:w="3175" w:type="dxa"/>
            <w:vAlign w:val="center"/>
          </w:tcPr>
          <w:p w14:paraId="565B7730" w14:textId="77777777" w:rsidR="00BC0472" w:rsidRPr="00442301" w:rsidRDefault="00BC0472" w:rsidP="00BC0472">
            <w:pPr>
              <w:rPr>
                <w:sz w:val="18"/>
                <w:szCs w:val="18"/>
              </w:rPr>
            </w:pPr>
            <w:r w:rsidRPr="00442301">
              <w:rPr>
                <w:sz w:val="18"/>
                <w:szCs w:val="18"/>
              </w:rPr>
              <w:t>Excess EGM spend (in venues)</w:t>
            </w:r>
          </w:p>
        </w:tc>
        <w:tc>
          <w:tcPr>
            <w:tcW w:w="1619" w:type="dxa"/>
            <w:vAlign w:val="center"/>
          </w:tcPr>
          <w:p w14:paraId="7A6FC196" w14:textId="77777777" w:rsidR="00400FA5" w:rsidRDefault="00BC0472" w:rsidP="00BC0472">
            <w:pPr>
              <w:jc w:val="right"/>
              <w:rPr>
                <w:sz w:val="18"/>
                <w:szCs w:val="18"/>
              </w:rPr>
            </w:pPr>
            <w:r w:rsidRPr="00442301">
              <w:rPr>
                <w:sz w:val="18"/>
                <w:szCs w:val="18"/>
              </w:rPr>
              <w:t>$</w:t>
            </w:r>
            <w:r w:rsidR="00641873" w:rsidRPr="00442301">
              <w:rPr>
                <w:sz w:val="18"/>
                <w:szCs w:val="18"/>
              </w:rPr>
              <w:t>556,327,138</w:t>
            </w:r>
          </w:p>
          <w:p w14:paraId="0DF84B86" w14:textId="3071023E" w:rsidR="00BC0472" w:rsidRPr="00442301" w:rsidRDefault="00641873" w:rsidP="00BC0472">
            <w:pPr>
              <w:jc w:val="right"/>
              <w:rPr>
                <w:sz w:val="18"/>
                <w:szCs w:val="18"/>
              </w:rPr>
            </w:pPr>
            <w:r w:rsidRPr="00442301">
              <w:rPr>
                <w:sz w:val="18"/>
                <w:szCs w:val="18"/>
              </w:rPr>
              <w:t>(</w:t>
            </w:r>
            <w:r w:rsidR="00BC0472">
              <w:rPr>
                <w:sz w:val="18"/>
                <w:szCs w:val="18"/>
              </w:rPr>
              <w:t>T</w:t>
            </w:r>
            <w:r w:rsidR="00BC0472" w:rsidRPr="00442301">
              <w:rPr>
                <w:sz w:val="18"/>
                <w:szCs w:val="18"/>
              </w:rPr>
              <w:t xml:space="preserve">able </w:t>
            </w:r>
            <w:r w:rsidR="00BC0472">
              <w:rPr>
                <w:sz w:val="18"/>
                <w:szCs w:val="18"/>
              </w:rPr>
              <w:t>37</w:t>
            </w:r>
            <w:r w:rsidR="00BC0472" w:rsidRPr="00442301">
              <w:rPr>
                <w:sz w:val="18"/>
                <w:szCs w:val="18"/>
              </w:rPr>
              <w:t>)</w:t>
            </w:r>
          </w:p>
        </w:tc>
        <w:tc>
          <w:tcPr>
            <w:tcW w:w="1619" w:type="dxa"/>
            <w:vAlign w:val="center"/>
          </w:tcPr>
          <w:p w14:paraId="09761A6A" w14:textId="573B812E" w:rsidR="00BC0472" w:rsidRPr="00442301" w:rsidRDefault="00BC0472" w:rsidP="00BC0472">
            <w:pPr>
              <w:jc w:val="right"/>
              <w:rPr>
                <w:sz w:val="18"/>
                <w:szCs w:val="18"/>
              </w:rPr>
            </w:pPr>
            <w:r w:rsidRPr="00BB3C33">
              <w:rPr>
                <w:sz w:val="18"/>
                <w:szCs w:val="18"/>
              </w:rPr>
              <w:t>$171,901,284</w:t>
            </w:r>
          </w:p>
        </w:tc>
        <w:tc>
          <w:tcPr>
            <w:tcW w:w="1477" w:type="dxa"/>
            <w:vAlign w:val="center"/>
          </w:tcPr>
          <w:p w14:paraId="12E019F8" w14:textId="20D7A67E" w:rsidR="00BC0472" w:rsidRPr="00442301" w:rsidRDefault="00BC0472" w:rsidP="00BC0472">
            <w:pPr>
              <w:jc w:val="right"/>
              <w:rPr>
                <w:sz w:val="18"/>
                <w:szCs w:val="18"/>
              </w:rPr>
            </w:pPr>
            <w:r w:rsidRPr="00BB3C33">
              <w:rPr>
                <w:sz w:val="18"/>
                <w:szCs w:val="18"/>
              </w:rPr>
              <w:t>$384,425,853</w:t>
            </w:r>
          </w:p>
        </w:tc>
        <w:tc>
          <w:tcPr>
            <w:tcW w:w="894" w:type="dxa"/>
            <w:vAlign w:val="center"/>
          </w:tcPr>
          <w:p w14:paraId="3A51012E" w14:textId="77777777" w:rsidR="00BC0472" w:rsidRPr="00442301" w:rsidRDefault="00BC0472" w:rsidP="00BC0472">
            <w:pPr>
              <w:jc w:val="right"/>
              <w:rPr>
                <w:sz w:val="18"/>
                <w:szCs w:val="18"/>
              </w:rPr>
            </w:pPr>
            <w:r w:rsidRPr="00442301">
              <w:rPr>
                <w:sz w:val="18"/>
                <w:szCs w:val="18"/>
              </w:rPr>
              <w:t>69%</w:t>
            </w:r>
          </w:p>
        </w:tc>
      </w:tr>
      <w:tr w:rsidR="00BC0472" w:rsidRPr="00EA341D" w14:paraId="7719157F" w14:textId="77777777" w:rsidTr="00400FA5">
        <w:trPr>
          <w:trHeight w:val="397"/>
        </w:trPr>
        <w:tc>
          <w:tcPr>
            <w:tcW w:w="3175" w:type="dxa"/>
            <w:vAlign w:val="center"/>
          </w:tcPr>
          <w:p w14:paraId="37097430" w14:textId="77777777" w:rsidR="00BC0472" w:rsidRPr="00442301" w:rsidRDefault="00BC0472" w:rsidP="00BC0472">
            <w:pPr>
              <w:rPr>
                <w:sz w:val="18"/>
                <w:szCs w:val="18"/>
              </w:rPr>
            </w:pPr>
            <w:r w:rsidRPr="00442301">
              <w:rPr>
                <w:sz w:val="18"/>
                <w:szCs w:val="18"/>
              </w:rPr>
              <w:t xml:space="preserve">Total excess spend on gambling </w:t>
            </w:r>
          </w:p>
        </w:tc>
        <w:tc>
          <w:tcPr>
            <w:tcW w:w="1619" w:type="dxa"/>
            <w:vAlign w:val="center"/>
          </w:tcPr>
          <w:p w14:paraId="00BB1FFF" w14:textId="1BBB5B63" w:rsidR="00BC0472" w:rsidRPr="00442301" w:rsidRDefault="00BC0472" w:rsidP="00BC0472">
            <w:pPr>
              <w:jc w:val="right"/>
              <w:rPr>
                <w:sz w:val="18"/>
                <w:szCs w:val="18"/>
              </w:rPr>
            </w:pPr>
            <w:r w:rsidRPr="00442301">
              <w:rPr>
                <w:sz w:val="18"/>
                <w:szCs w:val="18"/>
              </w:rPr>
              <w:t>$1,192,140,860 (</w:t>
            </w:r>
            <w:r>
              <w:rPr>
                <w:sz w:val="18"/>
                <w:szCs w:val="18"/>
              </w:rPr>
              <w:t>T</w:t>
            </w:r>
            <w:r w:rsidRPr="00442301">
              <w:rPr>
                <w:sz w:val="18"/>
                <w:szCs w:val="18"/>
              </w:rPr>
              <w:t xml:space="preserve">able </w:t>
            </w:r>
            <w:r>
              <w:rPr>
                <w:sz w:val="18"/>
                <w:szCs w:val="18"/>
              </w:rPr>
              <w:t>5</w:t>
            </w:r>
            <w:r w:rsidRPr="00442301">
              <w:rPr>
                <w:sz w:val="18"/>
                <w:szCs w:val="18"/>
              </w:rPr>
              <w:t>)</w:t>
            </w:r>
          </w:p>
        </w:tc>
        <w:tc>
          <w:tcPr>
            <w:tcW w:w="1619" w:type="dxa"/>
            <w:vAlign w:val="center"/>
          </w:tcPr>
          <w:p w14:paraId="25C722D9" w14:textId="0C1AEF04" w:rsidR="00BC0472" w:rsidRPr="00442301" w:rsidRDefault="00BC0472" w:rsidP="00BC0472">
            <w:pPr>
              <w:jc w:val="right"/>
              <w:rPr>
                <w:sz w:val="18"/>
                <w:szCs w:val="18"/>
              </w:rPr>
            </w:pPr>
            <w:r w:rsidRPr="00BB3C33">
              <w:rPr>
                <w:sz w:val="18"/>
                <w:szCs w:val="18"/>
              </w:rPr>
              <w:t>$807,715,006</w:t>
            </w:r>
          </w:p>
        </w:tc>
        <w:tc>
          <w:tcPr>
            <w:tcW w:w="1477" w:type="dxa"/>
            <w:vAlign w:val="center"/>
          </w:tcPr>
          <w:p w14:paraId="6390B4ED" w14:textId="00502B9F" w:rsidR="00BC0472" w:rsidRPr="00442301" w:rsidRDefault="00BC0472" w:rsidP="00BC0472">
            <w:pPr>
              <w:jc w:val="right"/>
              <w:rPr>
                <w:sz w:val="18"/>
                <w:szCs w:val="18"/>
              </w:rPr>
            </w:pPr>
            <w:r w:rsidRPr="00BB3C33">
              <w:rPr>
                <w:sz w:val="18"/>
                <w:szCs w:val="18"/>
              </w:rPr>
              <w:t>$384,425,853</w:t>
            </w:r>
          </w:p>
        </w:tc>
        <w:tc>
          <w:tcPr>
            <w:tcW w:w="894" w:type="dxa"/>
            <w:vAlign w:val="center"/>
          </w:tcPr>
          <w:p w14:paraId="4179C220" w14:textId="77777777" w:rsidR="00BC0472" w:rsidRPr="00442301" w:rsidRDefault="00BC0472" w:rsidP="00BC0472">
            <w:pPr>
              <w:jc w:val="right"/>
              <w:rPr>
                <w:sz w:val="18"/>
                <w:szCs w:val="18"/>
              </w:rPr>
            </w:pPr>
            <w:r w:rsidRPr="00442301">
              <w:rPr>
                <w:sz w:val="18"/>
                <w:szCs w:val="18"/>
              </w:rPr>
              <w:t>32%</w:t>
            </w:r>
          </w:p>
        </w:tc>
      </w:tr>
      <w:tr w:rsidR="00BC0472" w:rsidRPr="00EA341D" w14:paraId="7883CDB1" w14:textId="77777777" w:rsidTr="00400FA5">
        <w:trPr>
          <w:trHeight w:val="397"/>
        </w:trPr>
        <w:tc>
          <w:tcPr>
            <w:tcW w:w="3175" w:type="dxa"/>
            <w:vAlign w:val="center"/>
          </w:tcPr>
          <w:p w14:paraId="185A9B1B" w14:textId="77777777" w:rsidR="00BC0472" w:rsidRPr="00442301" w:rsidRDefault="00BC0472" w:rsidP="00BC0472">
            <w:pPr>
              <w:rPr>
                <w:sz w:val="18"/>
                <w:szCs w:val="18"/>
              </w:rPr>
            </w:pPr>
            <w:r w:rsidRPr="00442301">
              <w:rPr>
                <w:sz w:val="18"/>
                <w:szCs w:val="18"/>
              </w:rPr>
              <w:t xml:space="preserve">Total cost attributable to in-venue EGMs </w:t>
            </w:r>
          </w:p>
        </w:tc>
        <w:tc>
          <w:tcPr>
            <w:tcW w:w="1619" w:type="dxa"/>
            <w:vAlign w:val="center"/>
          </w:tcPr>
          <w:p w14:paraId="66FD18EC" w14:textId="1EA62AF6" w:rsidR="00BC0472" w:rsidRPr="00442301" w:rsidRDefault="00BC0472" w:rsidP="00BC0472">
            <w:pPr>
              <w:jc w:val="right"/>
              <w:rPr>
                <w:sz w:val="18"/>
                <w:szCs w:val="18"/>
              </w:rPr>
            </w:pPr>
            <w:r w:rsidRPr="00442301">
              <w:rPr>
                <w:sz w:val="18"/>
                <w:szCs w:val="18"/>
              </w:rPr>
              <w:t>$</w:t>
            </w:r>
            <w:r>
              <w:rPr>
                <w:sz w:val="18"/>
                <w:szCs w:val="18"/>
              </w:rPr>
              <w:t>983,998,064</w:t>
            </w:r>
            <w:r w:rsidRPr="00442301">
              <w:rPr>
                <w:sz w:val="18"/>
                <w:szCs w:val="18"/>
              </w:rPr>
              <w:t xml:space="preserve"> (</w:t>
            </w:r>
            <w:r>
              <w:rPr>
                <w:sz w:val="18"/>
                <w:szCs w:val="18"/>
              </w:rPr>
              <w:t>Ta</w:t>
            </w:r>
            <w:r w:rsidRPr="00442301">
              <w:rPr>
                <w:sz w:val="18"/>
                <w:szCs w:val="18"/>
              </w:rPr>
              <w:t xml:space="preserve">ble </w:t>
            </w:r>
            <w:r>
              <w:rPr>
                <w:sz w:val="18"/>
                <w:szCs w:val="18"/>
              </w:rPr>
              <w:t>8</w:t>
            </w:r>
            <w:r w:rsidRPr="00442301">
              <w:rPr>
                <w:sz w:val="18"/>
                <w:szCs w:val="18"/>
              </w:rPr>
              <w:t>)</w:t>
            </w:r>
          </w:p>
        </w:tc>
        <w:tc>
          <w:tcPr>
            <w:tcW w:w="1619" w:type="dxa"/>
            <w:vAlign w:val="center"/>
          </w:tcPr>
          <w:p w14:paraId="16B205D4" w14:textId="67CADBAF" w:rsidR="00BC0472" w:rsidRPr="00442301" w:rsidRDefault="00BC0472" w:rsidP="00BC0472">
            <w:pPr>
              <w:jc w:val="right"/>
              <w:rPr>
                <w:sz w:val="18"/>
                <w:szCs w:val="18"/>
              </w:rPr>
            </w:pPr>
            <w:r w:rsidRPr="00BB3C33">
              <w:rPr>
                <w:sz w:val="18"/>
                <w:szCs w:val="18"/>
              </w:rPr>
              <w:t>$304,048,678</w:t>
            </w:r>
          </w:p>
        </w:tc>
        <w:tc>
          <w:tcPr>
            <w:tcW w:w="1477" w:type="dxa"/>
            <w:vAlign w:val="center"/>
          </w:tcPr>
          <w:p w14:paraId="469665AA" w14:textId="6C5AB944" w:rsidR="00BC0472" w:rsidRPr="00442301" w:rsidRDefault="00BC0472" w:rsidP="00BC0472">
            <w:pPr>
              <w:jc w:val="right"/>
              <w:rPr>
                <w:sz w:val="18"/>
                <w:szCs w:val="18"/>
              </w:rPr>
            </w:pPr>
            <w:r w:rsidRPr="00BB3C33">
              <w:rPr>
                <w:sz w:val="18"/>
                <w:szCs w:val="18"/>
              </w:rPr>
              <w:t>$679,949,386</w:t>
            </w:r>
          </w:p>
        </w:tc>
        <w:tc>
          <w:tcPr>
            <w:tcW w:w="894" w:type="dxa"/>
            <w:vAlign w:val="center"/>
          </w:tcPr>
          <w:p w14:paraId="12C707D2" w14:textId="77777777" w:rsidR="00BC0472" w:rsidRPr="00442301" w:rsidRDefault="00BC0472" w:rsidP="00BC0472">
            <w:pPr>
              <w:jc w:val="right"/>
              <w:rPr>
                <w:sz w:val="18"/>
                <w:szCs w:val="18"/>
              </w:rPr>
            </w:pPr>
            <w:r w:rsidRPr="00442301">
              <w:rPr>
                <w:sz w:val="18"/>
                <w:szCs w:val="18"/>
              </w:rPr>
              <w:t>69%</w:t>
            </w:r>
          </w:p>
        </w:tc>
      </w:tr>
      <w:tr w:rsidR="00BC0472" w:rsidRPr="00EA341D" w14:paraId="3B1D20DA" w14:textId="77777777" w:rsidTr="00400FA5">
        <w:trPr>
          <w:trHeight w:val="397"/>
        </w:trPr>
        <w:tc>
          <w:tcPr>
            <w:tcW w:w="3175" w:type="dxa"/>
            <w:vAlign w:val="center"/>
          </w:tcPr>
          <w:p w14:paraId="7376E74C" w14:textId="77777777" w:rsidR="00BC0472" w:rsidRPr="00442301" w:rsidRDefault="00BC0472" w:rsidP="00BC0472">
            <w:pPr>
              <w:rPr>
                <w:sz w:val="18"/>
                <w:szCs w:val="18"/>
              </w:rPr>
            </w:pPr>
            <w:r w:rsidRPr="00442301">
              <w:rPr>
                <w:sz w:val="18"/>
                <w:szCs w:val="18"/>
              </w:rPr>
              <w:t>Total cost of gambling</w:t>
            </w:r>
          </w:p>
        </w:tc>
        <w:tc>
          <w:tcPr>
            <w:tcW w:w="1619" w:type="dxa"/>
            <w:vAlign w:val="center"/>
          </w:tcPr>
          <w:p w14:paraId="3394534F" w14:textId="73E07CD3" w:rsidR="00BC0472" w:rsidRPr="00442301" w:rsidRDefault="00BC0472" w:rsidP="00BC0472">
            <w:pPr>
              <w:jc w:val="right"/>
              <w:rPr>
                <w:sz w:val="18"/>
                <w:szCs w:val="18"/>
              </w:rPr>
            </w:pPr>
            <w:r w:rsidRPr="00442301">
              <w:rPr>
                <w:sz w:val="18"/>
                <w:szCs w:val="18"/>
              </w:rPr>
              <w:t>$</w:t>
            </w:r>
            <w:r>
              <w:rPr>
                <w:sz w:val="18"/>
                <w:szCs w:val="18"/>
              </w:rPr>
              <w:t>4,218,927,498</w:t>
            </w:r>
            <w:r w:rsidRPr="00442301" w:rsidDel="007D6159">
              <w:rPr>
                <w:sz w:val="18"/>
                <w:szCs w:val="18"/>
              </w:rPr>
              <w:t xml:space="preserve"> </w:t>
            </w:r>
            <w:r w:rsidRPr="00442301">
              <w:rPr>
                <w:sz w:val="18"/>
                <w:szCs w:val="18"/>
              </w:rPr>
              <w:t>(</w:t>
            </w:r>
            <w:r>
              <w:rPr>
                <w:sz w:val="18"/>
                <w:szCs w:val="18"/>
              </w:rPr>
              <w:t>T</w:t>
            </w:r>
            <w:r w:rsidRPr="00442301">
              <w:rPr>
                <w:sz w:val="18"/>
                <w:szCs w:val="18"/>
              </w:rPr>
              <w:t xml:space="preserve">able </w:t>
            </w:r>
            <w:r w:rsidR="005E7410">
              <w:rPr>
                <w:sz w:val="18"/>
                <w:szCs w:val="18"/>
              </w:rPr>
              <w:t>5</w:t>
            </w:r>
            <w:r w:rsidRPr="00442301">
              <w:rPr>
                <w:sz w:val="18"/>
                <w:szCs w:val="18"/>
              </w:rPr>
              <w:t>)</w:t>
            </w:r>
          </w:p>
        </w:tc>
        <w:tc>
          <w:tcPr>
            <w:tcW w:w="1619" w:type="dxa"/>
            <w:vAlign w:val="center"/>
          </w:tcPr>
          <w:p w14:paraId="5C4CCB8C" w14:textId="0621A577" w:rsidR="00BC0472" w:rsidRPr="00442301" w:rsidRDefault="00BC0472" w:rsidP="00BC0472">
            <w:pPr>
              <w:jc w:val="right"/>
              <w:rPr>
                <w:sz w:val="18"/>
                <w:szCs w:val="18"/>
              </w:rPr>
            </w:pPr>
            <w:r w:rsidRPr="00BB3C33">
              <w:rPr>
                <w:sz w:val="18"/>
                <w:szCs w:val="18"/>
              </w:rPr>
              <w:t>$3,538,978,112</w:t>
            </w:r>
          </w:p>
        </w:tc>
        <w:tc>
          <w:tcPr>
            <w:tcW w:w="1477" w:type="dxa"/>
            <w:vAlign w:val="center"/>
          </w:tcPr>
          <w:p w14:paraId="0929AF80" w14:textId="53D56E9E" w:rsidR="00BC0472" w:rsidRPr="00442301" w:rsidRDefault="00BC0472" w:rsidP="00BC0472">
            <w:pPr>
              <w:jc w:val="right"/>
              <w:rPr>
                <w:sz w:val="18"/>
                <w:szCs w:val="18"/>
              </w:rPr>
            </w:pPr>
            <w:r w:rsidRPr="00BB3C33">
              <w:rPr>
                <w:sz w:val="18"/>
                <w:szCs w:val="18"/>
              </w:rPr>
              <w:t>$679,949,386</w:t>
            </w:r>
          </w:p>
        </w:tc>
        <w:tc>
          <w:tcPr>
            <w:tcW w:w="894" w:type="dxa"/>
            <w:vAlign w:val="center"/>
          </w:tcPr>
          <w:p w14:paraId="1F3E7BB9" w14:textId="77777777" w:rsidR="00BC0472" w:rsidRPr="00442301" w:rsidRDefault="00BC0472" w:rsidP="00BC0472">
            <w:pPr>
              <w:jc w:val="right"/>
              <w:rPr>
                <w:sz w:val="18"/>
                <w:szCs w:val="18"/>
              </w:rPr>
            </w:pPr>
            <w:r w:rsidRPr="00442301">
              <w:rPr>
                <w:sz w:val="18"/>
                <w:szCs w:val="18"/>
              </w:rPr>
              <w:t>16%</w:t>
            </w:r>
          </w:p>
        </w:tc>
      </w:tr>
    </w:tbl>
    <w:p w14:paraId="67823152" w14:textId="77777777" w:rsidR="006F418B" w:rsidRDefault="006F418B" w:rsidP="006F418B">
      <w:pPr>
        <w:rPr>
          <w:highlight w:val="yellow"/>
        </w:rPr>
      </w:pPr>
    </w:p>
    <w:p w14:paraId="013469C6" w14:textId="77777777" w:rsidR="00EA341D" w:rsidRDefault="00EA341D" w:rsidP="00135DF0">
      <w:pPr>
        <w:spacing w:line="360" w:lineRule="auto"/>
      </w:pPr>
    </w:p>
    <w:p w14:paraId="08AB06BC" w14:textId="3595B715" w:rsidR="006F418B" w:rsidRDefault="006F418B" w:rsidP="00135DF0">
      <w:pPr>
        <w:spacing w:line="360" w:lineRule="auto"/>
      </w:pPr>
      <w:r>
        <w:t xml:space="preserve">Table </w:t>
      </w:r>
      <w:r w:rsidR="007D6159">
        <w:t>40</w:t>
      </w:r>
      <w:r>
        <w:t xml:space="preserve"> breaks down the total reduction in gambling-related costs by ethnic subgroup. The European population group shows the largest overall reduction in total costs at $</w:t>
      </w:r>
      <w:r w:rsidR="00BD3BA9">
        <w:t xml:space="preserve">396 </w:t>
      </w:r>
      <w:r>
        <w:t>million. However, the greatest reductions per-</w:t>
      </w:r>
      <w:r w:rsidR="001152A8">
        <w:t>person</w:t>
      </w:r>
      <w:r>
        <w:t xml:space="preserve"> are observed in the Māori ($</w:t>
      </w:r>
      <w:r w:rsidR="00BD3BA9">
        <w:t>474</w:t>
      </w:r>
      <w:r>
        <w:t>) and Pacific ($32</w:t>
      </w:r>
      <w:r w:rsidR="00BD3BA9">
        <w:t>6</w:t>
      </w:r>
      <w:r>
        <w:t>) population groups. Notably, the per-</w:t>
      </w:r>
      <w:r w:rsidR="001152A8">
        <w:t>person</w:t>
      </w:r>
      <w:r>
        <w:t xml:space="preserve"> reductions in the Māori group are almost twice that of the European group. This difference is likely driven by the higher proportions of people who gamble in these population groups reporting using EGMs in pubs and clubs (non-casino venues) - </w:t>
      </w:r>
      <w:r w:rsidRPr="00894123">
        <w:t>approximately 35% for Māori and 24% for Pacific populations, compared to 18% for European and 5% for Asian populations (</w:t>
      </w:r>
      <w:r w:rsidR="0070129E">
        <w:t xml:space="preserve">calculated as </w:t>
      </w:r>
      <w:r w:rsidRPr="00894123">
        <w:t xml:space="preserve">b/a </w:t>
      </w:r>
      <w:r w:rsidR="0070129E">
        <w:t>from</w:t>
      </w:r>
      <w:r w:rsidRPr="00894123">
        <w:t xml:space="preserve"> Table </w:t>
      </w:r>
      <w:r w:rsidR="007D6159">
        <w:t>40</w:t>
      </w:r>
      <w:r w:rsidRPr="00894123">
        <w:t>). This highlights the potential for targeted policy intervention to address gambling-related inequalities.</w:t>
      </w:r>
    </w:p>
    <w:p w14:paraId="242E1C03" w14:textId="77777777" w:rsidR="006F418B" w:rsidRDefault="006F418B" w:rsidP="006F418B">
      <w:pPr>
        <w:rPr>
          <w:b/>
          <w:highlight w:val="yellow"/>
        </w:rPr>
      </w:pPr>
    </w:p>
    <w:p w14:paraId="17F55E08" w14:textId="77777777" w:rsidR="006F418B" w:rsidRDefault="006F418B" w:rsidP="006F418B">
      <w:pPr>
        <w:rPr>
          <w:b/>
          <w:highlight w:val="yellow"/>
        </w:rPr>
      </w:pPr>
    </w:p>
    <w:p w14:paraId="37571C75" w14:textId="5CB5A8D2" w:rsidR="007D6159" w:rsidRDefault="007D6159" w:rsidP="00DB094D">
      <w:pPr>
        <w:pStyle w:val="Caption"/>
      </w:pPr>
      <w:bookmarkStart w:id="534" w:name="_Toc207619082"/>
      <w:r>
        <w:t xml:space="preserve">Table </w:t>
      </w:r>
      <w:r>
        <w:fldChar w:fldCharType="begin"/>
      </w:r>
      <w:r>
        <w:instrText xml:space="preserve"> SEQ Table \* ARABIC </w:instrText>
      </w:r>
      <w:r>
        <w:fldChar w:fldCharType="separate"/>
      </w:r>
      <w:r w:rsidR="00986A0D">
        <w:rPr>
          <w:noProof/>
        </w:rPr>
        <w:t>40</w:t>
      </w:r>
      <w:r>
        <w:fldChar w:fldCharType="end"/>
      </w:r>
      <w:r w:rsidR="00A5378B">
        <w:t>.</w:t>
      </w:r>
      <w:r>
        <w:t xml:space="preserve"> </w:t>
      </w:r>
      <w:r w:rsidRPr="003F2E5E">
        <w:t>Summary of changes in total costs of gambling due to EGM loss limits by ethnic group</w:t>
      </w:r>
      <w:bookmarkEnd w:id="534"/>
    </w:p>
    <w:tbl>
      <w:tblPr>
        <w:tblStyle w:val="TableGridLight"/>
        <w:tblW w:w="9351" w:type="dxa"/>
        <w:tblLayout w:type="fixed"/>
        <w:tblLook w:val="0600" w:firstRow="0" w:lastRow="0" w:firstColumn="0" w:lastColumn="0" w:noHBand="1" w:noVBand="1"/>
      </w:tblPr>
      <w:tblGrid>
        <w:gridCol w:w="1129"/>
        <w:gridCol w:w="1134"/>
        <w:gridCol w:w="1164"/>
        <w:gridCol w:w="1388"/>
        <w:gridCol w:w="1559"/>
        <w:gridCol w:w="1492"/>
        <w:gridCol w:w="1485"/>
      </w:tblGrid>
      <w:tr w:rsidR="00BB3C33" w:rsidRPr="003C3FC2" w14:paraId="2869FD40" w14:textId="77777777" w:rsidTr="00BB3C33">
        <w:trPr>
          <w:trHeight w:val="397"/>
        </w:trPr>
        <w:tc>
          <w:tcPr>
            <w:tcW w:w="1129" w:type="dxa"/>
            <w:vMerge w:val="restart"/>
            <w:shd w:val="clear" w:color="auto" w:fill="F2F2F2" w:themeFill="background1" w:themeFillShade="F2"/>
            <w:vAlign w:val="center"/>
          </w:tcPr>
          <w:p w14:paraId="1AABB6FF" w14:textId="77777777" w:rsidR="006F418B" w:rsidRPr="00400FA5" w:rsidRDefault="006F418B" w:rsidP="00BB3C33">
            <w:pPr>
              <w:rPr>
                <w:b/>
                <w:sz w:val="20"/>
                <w:szCs w:val="20"/>
              </w:rPr>
            </w:pPr>
            <w:r w:rsidRPr="00400FA5">
              <w:rPr>
                <w:b/>
                <w:sz w:val="20"/>
                <w:szCs w:val="20"/>
              </w:rPr>
              <w:t>Group</w:t>
            </w:r>
          </w:p>
          <w:p w14:paraId="48980F75" w14:textId="77777777" w:rsidR="006F418B" w:rsidRPr="00400FA5" w:rsidRDefault="006F418B" w:rsidP="00BB3C33">
            <w:pPr>
              <w:rPr>
                <w:b/>
                <w:sz w:val="20"/>
                <w:szCs w:val="20"/>
              </w:rPr>
            </w:pPr>
          </w:p>
        </w:tc>
        <w:tc>
          <w:tcPr>
            <w:tcW w:w="1134" w:type="dxa"/>
            <w:shd w:val="clear" w:color="auto" w:fill="F2F2F2" w:themeFill="background1" w:themeFillShade="F2"/>
            <w:vAlign w:val="center"/>
          </w:tcPr>
          <w:p w14:paraId="0C95C589" w14:textId="642E47E6" w:rsidR="006F418B" w:rsidRPr="00400FA5" w:rsidRDefault="006F418B" w:rsidP="00BB3C33">
            <w:pPr>
              <w:jc w:val="center"/>
              <w:rPr>
                <w:b/>
                <w:sz w:val="20"/>
                <w:szCs w:val="20"/>
              </w:rPr>
            </w:pPr>
            <w:r w:rsidRPr="00400FA5">
              <w:rPr>
                <w:b/>
                <w:sz w:val="20"/>
                <w:szCs w:val="20"/>
              </w:rPr>
              <w:t xml:space="preserve">Total </w:t>
            </w:r>
            <w:r w:rsidR="001152A8" w:rsidRPr="00400FA5">
              <w:rPr>
                <w:b/>
                <w:sz w:val="20"/>
                <w:szCs w:val="20"/>
              </w:rPr>
              <w:t>number of people who gamble</w:t>
            </w:r>
          </w:p>
        </w:tc>
        <w:tc>
          <w:tcPr>
            <w:tcW w:w="1164" w:type="dxa"/>
            <w:shd w:val="clear" w:color="auto" w:fill="F2F2F2" w:themeFill="background1" w:themeFillShade="F2"/>
            <w:vAlign w:val="center"/>
          </w:tcPr>
          <w:p w14:paraId="68C7DDED" w14:textId="34780A57" w:rsidR="006F418B" w:rsidRPr="00400FA5" w:rsidRDefault="006F418B" w:rsidP="00BB3C33">
            <w:pPr>
              <w:jc w:val="center"/>
              <w:rPr>
                <w:b/>
                <w:sz w:val="20"/>
                <w:szCs w:val="20"/>
              </w:rPr>
            </w:pPr>
            <w:r w:rsidRPr="00400FA5">
              <w:rPr>
                <w:b/>
                <w:sz w:val="20"/>
                <w:szCs w:val="20"/>
              </w:rPr>
              <w:t xml:space="preserve">Total in-venue </w:t>
            </w:r>
            <w:r w:rsidR="00494DC3">
              <w:rPr>
                <w:b/>
                <w:sz w:val="20"/>
                <w:szCs w:val="20"/>
              </w:rPr>
              <w:t>Class 4 pokies</w:t>
            </w:r>
            <w:r w:rsidRPr="00400FA5">
              <w:rPr>
                <w:b/>
                <w:sz w:val="20"/>
                <w:szCs w:val="20"/>
              </w:rPr>
              <w:t xml:space="preserve"> gamblers</w:t>
            </w:r>
          </w:p>
        </w:tc>
        <w:tc>
          <w:tcPr>
            <w:tcW w:w="1388" w:type="dxa"/>
            <w:shd w:val="clear" w:color="auto" w:fill="F2F2F2" w:themeFill="background1" w:themeFillShade="F2"/>
            <w:vAlign w:val="center"/>
          </w:tcPr>
          <w:p w14:paraId="5699C009" w14:textId="5D28B0F0" w:rsidR="006F418B" w:rsidRPr="00400FA5" w:rsidRDefault="006F418B" w:rsidP="00BB3C33">
            <w:pPr>
              <w:jc w:val="center"/>
              <w:rPr>
                <w:b/>
                <w:sz w:val="20"/>
                <w:szCs w:val="20"/>
              </w:rPr>
            </w:pPr>
            <w:r w:rsidRPr="00400FA5">
              <w:rPr>
                <w:b/>
                <w:sz w:val="20"/>
                <w:szCs w:val="20"/>
              </w:rPr>
              <w:t xml:space="preserve">Population shares of in-venue </w:t>
            </w:r>
            <w:r w:rsidR="00494DC3">
              <w:rPr>
                <w:b/>
                <w:sz w:val="20"/>
                <w:szCs w:val="20"/>
              </w:rPr>
              <w:t>Class 4 pokies</w:t>
            </w:r>
            <w:r w:rsidRPr="00400FA5">
              <w:rPr>
                <w:b/>
                <w:sz w:val="20"/>
                <w:szCs w:val="20"/>
              </w:rPr>
              <w:t xml:space="preserve"> gamblers</w:t>
            </w:r>
          </w:p>
        </w:tc>
        <w:tc>
          <w:tcPr>
            <w:tcW w:w="1559" w:type="dxa"/>
            <w:shd w:val="clear" w:color="auto" w:fill="F2F2F2" w:themeFill="background1" w:themeFillShade="F2"/>
            <w:vAlign w:val="center"/>
          </w:tcPr>
          <w:p w14:paraId="63690B89" w14:textId="77777777" w:rsidR="006F418B" w:rsidRPr="00400FA5" w:rsidRDefault="006F418B" w:rsidP="00BB3C33">
            <w:pPr>
              <w:jc w:val="center"/>
              <w:rPr>
                <w:b/>
                <w:sz w:val="20"/>
                <w:szCs w:val="20"/>
              </w:rPr>
            </w:pPr>
            <w:r w:rsidRPr="00400FA5">
              <w:rPr>
                <w:b/>
                <w:sz w:val="20"/>
                <w:szCs w:val="20"/>
              </w:rPr>
              <w:t>Total reduction in gambling costs following EGM loss limits</w:t>
            </w:r>
          </w:p>
        </w:tc>
        <w:tc>
          <w:tcPr>
            <w:tcW w:w="1492" w:type="dxa"/>
            <w:shd w:val="clear" w:color="auto" w:fill="F2F2F2" w:themeFill="background1" w:themeFillShade="F2"/>
            <w:vAlign w:val="center"/>
          </w:tcPr>
          <w:p w14:paraId="4FEC60AF" w14:textId="77777777" w:rsidR="006F418B" w:rsidRPr="00400FA5" w:rsidRDefault="006F418B" w:rsidP="00BB3C33">
            <w:pPr>
              <w:jc w:val="center"/>
              <w:rPr>
                <w:b/>
                <w:sz w:val="20"/>
                <w:szCs w:val="20"/>
              </w:rPr>
            </w:pPr>
            <w:r w:rsidRPr="00400FA5">
              <w:rPr>
                <w:b/>
                <w:sz w:val="20"/>
                <w:szCs w:val="20"/>
              </w:rPr>
              <w:t>Proportional reduction in gambling costs following EGM loss limits</w:t>
            </w:r>
          </w:p>
        </w:tc>
        <w:tc>
          <w:tcPr>
            <w:tcW w:w="1485" w:type="dxa"/>
            <w:shd w:val="clear" w:color="auto" w:fill="F2F2F2" w:themeFill="background1" w:themeFillShade="F2"/>
            <w:vAlign w:val="center"/>
          </w:tcPr>
          <w:p w14:paraId="3A45F237" w14:textId="77777777" w:rsidR="006F418B" w:rsidRPr="00400FA5" w:rsidRDefault="006F418B" w:rsidP="00BB3C33">
            <w:pPr>
              <w:jc w:val="center"/>
              <w:rPr>
                <w:b/>
                <w:sz w:val="20"/>
                <w:szCs w:val="20"/>
              </w:rPr>
            </w:pPr>
            <w:r w:rsidRPr="00400FA5">
              <w:rPr>
                <w:b/>
                <w:sz w:val="20"/>
                <w:szCs w:val="20"/>
              </w:rPr>
              <w:t>Total reduction in gambling costs per-gambler following EGM loss limits</w:t>
            </w:r>
          </w:p>
        </w:tc>
      </w:tr>
      <w:tr w:rsidR="00BB3C33" w:rsidRPr="003C3FC2" w14:paraId="001D414F" w14:textId="77777777" w:rsidTr="00BB3C33">
        <w:trPr>
          <w:trHeight w:val="397"/>
        </w:trPr>
        <w:tc>
          <w:tcPr>
            <w:tcW w:w="1129" w:type="dxa"/>
            <w:vMerge/>
            <w:shd w:val="clear" w:color="auto" w:fill="F2F2F2" w:themeFill="background1" w:themeFillShade="F2"/>
            <w:vAlign w:val="center"/>
          </w:tcPr>
          <w:p w14:paraId="05254EDB" w14:textId="77777777" w:rsidR="006F418B" w:rsidRPr="00400FA5" w:rsidRDefault="006F418B" w:rsidP="0088589C">
            <w:pPr>
              <w:widowControl w:val="0"/>
              <w:pBdr>
                <w:top w:val="nil"/>
                <w:left w:val="nil"/>
                <w:bottom w:val="nil"/>
                <w:right w:val="nil"/>
                <w:between w:val="nil"/>
              </w:pBdr>
              <w:rPr>
                <w:b/>
                <w:sz w:val="20"/>
                <w:szCs w:val="20"/>
              </w:rPr>
            </w:pPr>
          </w:p>
        </w:tc>
        <w:tc>
          <w:tcPr>
            <w:tcW w:w="1134" w:type="dxa"/>
            <w:shd w:val="clear" w:color="auto" w:fill="F2F2F2" w:themeFill="background1" w:themeFillShade="F2"/>
            <w:vAlign w:val="center"/>
          </w:tcPr>
          <w:p w14:paraId="034EC96E" w14:textId="77777777" w:rsidR="006F418B" w:rsidRPr="00400FA5" w:rsidRDefault="006F418B" w:rsidP="00BB3C33">
            <w:pPr>
              <w:jc w:val="center"/>
              <w:rPr>
                <w:b/>
                <w:i/>
                <w:sz w:val="20"/>
                <w:szCs w:val="20"/>
              </w:rPr>
            </w:pPr>
            <w:r w:rsidRPr="00400FA5">
              <w:rPr>
                <w:b/>
                <w:i/>
                <w:sz w:val="20"/>
                <w:szCs w:val="20"/>
              </w:rPr>
              <w:t>a</w:t>
            </w:r>
          </w:p>
        </w:tc>
        <w:tc>
          <w:tcPr>
            <w:tcW w:w="1164" w:type="dxa"/>
            <w:shd w:val="clear" w:color="auto" w:fill="F2F2F2" w:themeFill="background1" w:themeFillShade="F2"/>
            <w:vAlign w:val="center"/>
          </w:tcPr>
          <w:p w14:paraId="00923856" w14:textId="77777777" w:rsidR="006F418B" w:rsidRPr="00400FA5" w:rsidRDefault="006F418B" w:rsidP="00BB3C33">
            <w:pPr>
              <w:jc w:val="center"/>
              <w:rPr>
                <w:b/>
                <w:i/>
                <w:sz w:val="20"/>
                <w:szCs w:val="20"/>
              </w:rPr>
            </w:pPr>
            <w:r w:rsidRPr="00400FA5">
              <w:rPr>
                <w:b/>
                <w:i/>
                <w:sz w:val="20"/>
                <w:szCs w:val="20"/>
              </w:rPr>
              <w:t>b</w:t>
            </w:r>
          </w:p>
        </w:tc>
        <w:tc>
          <w:tcPr>
            <w:tcW w:w="1388" w:type="dxa"/>
            <w:shd w:val="clear" w:color="auto" w:fill="F2F2F2" w:themeFill="background1" w:themeFillShade="F2"/>
            <w:vAlign w:val="center"/>
          </w:tcPr>
          <w:p w14:paraId="0487F7A4" w14:textId="1245DF6C" w:rsidR="006F418B" w:rsidRPr="00400FA5" w:rsidRDefault="0088589C" w:rsidP="00BB3C33">
            <w:pPr>
              <w:jc w:val="center"/>
              <w:rPr>
                <w:b/>
                <w:i/>
                <w:sz w:val="20"/>
                <w:szCs w:val="20"/>
              </w:rPr>
            </w:pPr>
            <w:r w:rsidRPr="00400FA5">
              <w:rPr>
                <w:b/>
                <w:i/>
                <w:sz w:val="20"/>
                <w:szCs w:val="20"/>
              </w:rPr>
              <w:t xml:space="preserve">c </w:t>
            </w:r>
            <w:r w:rsidR="006F418B" w:rsidRPr="00400FA5">
              <w:rPr>
                <w:b/>
                <w:i/>
                <w:sz w:val="20"/>
                <w:szCs w:val="20"/>
              </w:rPr>
              <w:t>=</w:t>
            </w:r>
            <w:r w:rsidRPr="00400FA5">
              <w:rPr>
                <w:b/>
                <w:i/>
                <w:sz w:val="20"/>
                <w:szCs w:val="20"/>
              </w:rPr>
              <w:t xml:space="preserve"> </w:t>
            </w:r>
            <w:r w:rsidR="006F418B" w:rsidRPr="00400FA5">
              <w:rPr>
                <w:b/>
                <w:i/>
                <w:sz w:val="20"/>
                <w:szCs w:val="20"/>
              </w:rPr>
              <w:t>b</w:t>
            </w:r>
            <w:r w:rsidRPr="00400FA5">
              <w:rPr>
                <w:b/>
                <w:i/>
                <w:sz w:val="20"/>
                <w:szCs w:val="20"/>
              </w:rPr>
              <w:t xml:space="preserve"> </w:t>
            </w:r>
            <w:r w:rsidR="006F418B" w:rsidRPr="00400FA5">
              <w:rPr>
                <w:b/>
                <w:i/>
                <w:sz w:val="20"/>
                <w:szCs w:val="20"/>
              </w:rPr>
              <w:t>/</w:t>
            </w:r>
            <w:r w:rsidRPr="00400FA5">
              <w:rPr>
                <w:b/>
                <w:i/>
                <w:sz w:val="20"/>
                <w:szCs w:val="20"/>
              </w:rPr>
              <w:t xml:space="preserve"> </w:t>
            </w:r>
            <w:r w:rsidR="006F418B" w:rsidRPr="00400FA5">
              <w:rPr>
                <w:b/>
                <w:i/>
                <w:sz w:val="20"/>
                <w:szCs w:val="20"/>
              </w:rPr>
              <w:t>'total'</w:t>
            </w:r>
            <w:r w:rsidRPr="00400FA5">
              <w:rPr>
                <w:b/>
                <w:i/>
                <w:sz w:val="20"/>
                <w:szCs w:val="20"/>
              </w:rPr>
              <w:t xml:space="preserve"> </w:t>
            </w:r>
            <w:r w:rsidR="006F418B" w:rsidRPr="00400FA5">
              <w:rPr>
                <w:b/>
                <w:i/>
                <w:sz w:val="20"/>
                <w:szCs w:val="20"/>
              </w:rPr>
              <w:t>b</w:t>
            </w:r>
          </w:p>
        </w:tc>
        <w:tc>
          <w:tcPr>
            <w:tcW w:w="1559" w:type="dxa"/>
            <w:shd w:val="clear" w:color="auto" w:fill="F2F2F2" w:themeFill="background1" w:themeFillShade="F2"/>
            <w:vAlign w:val="center"/>
          </w:tcPr>
          <w:p w14:paraId="6F34021F" w14:textId="1D98E410" w:rsidR="006F418B" w:rsidRPr="00400FA5" w:rsidRDefault="0088589C" w:rsidP="00BB3C33">
            <w:pPr>
              <w:jc w:val="center"/>
              <w:rPr>
                <w:b/>
                <w:i/>
                <w:sz w:val="20"/>
                <w:szCs w:val="20"/>
              </w:rPr>
            </w:pPr>
            <w:r w:rsidRPr="00400FA5">
              <w:rPr>
                <w:b/>
                <w:i/>
                <w:sz w:val="20"/>
                <w:szCs w:val="20"/>
              </w:rPr>
              <w:t>d</w:t>
            </w:r>
            <w:r w:rsidR="00E54157" w:rsidRPr="00400FA5">
              <w:rPr>
                <w:b/>
                <w:i/>
                <w:sz w:val="20"/>
                <w:szCs w:val="20"/>
              </w:rPr>
              <w:t xml:space="preserve"> (Table 38)</w:t>
            </w:r>
          </w:p>
        </w:tc>
        <w:tc>
          <w:tcPr>
            <w:tcW w:w="1492" w:type="dxa"/>
            <w:shd w:val="clear" w:color="auto" w:fill="F2F2F2" w:themeFill="background1" w:themeFillShade="F2"/>
            <w:vAlign w:val="center"/>
          </w:tcPr>
          <w:p w14:paraId="39424B24" w14:textId="5BE1D6CA" w:rsidR="006F418B" w:rsidRPr="00400FA5" w:rsidRDefault="006F418B" w:rsidP="00BB3C33">
            <w:pPr>
              <w:jc w:val="center"/>
              <w:rPr>
                <w:b/>
                <w:i/>
                <w:sz w:val="20"/>
                <w:szCs w:val="20"/>
              </w:rPr>
            </w:pPr>
            <w:r w:rsidRPr="00400FA5">
              <w:rPr>
                <w:b/>
                <w:i/>
                <w:sz w:val="20"/>
                <w:szCs w:val="20"/>
              </w:rPr>
              <w:t>e</w:t>
            </w:r>
            <w:r w:rsidR="0088589C" w:rsidRPr="00400FA5">
              <w:rPr>
                <w:b/>
                <w:i/>
                <w:sz w:val="20"/>
                <w:szCs w:val="20"/>
              </w:rPr>
              <w:t xml:space="preserve"> </w:t>
            </w:r>
            <w:r w:rsidRPr="00400FA5">
              <w:rPr>
                <w:b/>
                <w:i/>
                <w:sz w:val="20"/>
                <w:szCs w:val="20"/>
              </w:rPr>
              <w:t>=</w:t>
            </w:r>
            <w:r w:rsidR="0088589C" w:rsidRPr="00400FA5">
              <w:rPr>
                <w:b/>
                <w:i/>
                <w:sz w:val="20"/>
                <w:szCs w:val="20"/>
              </w:rPr>
              <w:t xml:space="preserve"> </w:t>
            </w:r>
            <w:r w:rsidRPr="00400FA5">
              <w:rPr>
                <w:b/>
                <w:i/>
                <w:sz w:val="20"/>
                <w:szCs w:val="20"/>
              </w:rPr>
              <w:t>d</w:t>
            </w:r>
            <w:r w:rsidR="0088589C" w:rsidRPr="00400FA5">
              <w:rPr>
                <w:b/>
                <w:i/>
                <w:sz w:val="20"/>
                <w:szCs w:val="20"/>
              </w:rPr>
              <w:t xml:space="preserve"> </w:t>
            </w:r>
            <w:r w:rsidRPr="00400FA5">
              <w:rPr>
                <w:b/>
                <w:i/>
                <w:sz w:val="20"/>
                <w:szCs w:val="20"/>
              </w:rPr>
              <w:t>*</w:t>
            </w:r>
            <w:r w:rsidR="0088589C" w:rsidRPr="00400FA5">
              <w:rPr>
                <w:b/>
                <w:i/>
                <w:sz w:val="20"/>
                <w:szCs w:val="20"/>
              </w:rPr>
              <w:t xml:space="preserve"> </w:t>
            </w:r>
            <w:r w:rsidRPr="00400FA5">
              <w:rPr>
                <w:b/>
                <w:i/>
                <w:sz w:val="20"/>
                <w:szCs w:val="20"/>
              </w:rPr>
              <w:t>c</w:t>
            </w:r>
          </w:p>
        </w:tc>
        <w:tc>
          <w:tcPr>
            <w:tcW w:w="1485" w:type="dxa"/>
            <w:shd w:val="clear" w:color="auto" w:fill="F2F2F2" w:themeFill="background1" w:themeFillShade="F2"/>
            <w:vAlign w:val="center"/>
          </w:tcPr>
          <w:p w14:paraId="3F497513" w14:textId="1806AD92" w:rsidR="006F418B" w:rsidRPr="00400FA5" w:rsidRDefault="006F418B" w:rsidP="00BB3C33">
            <w:pPr>
              <w:jc w:val="center"/>
              <w:rPr>
                <w:b/>
                <w:i/>
                <w:sz w:val="20"/>
                <w:szCs w:val="20"/>
              </w:rPr>
            </w:pPr>
            <w:r w:rsidRPr="00400FA5">
              <w:rPr>
                <w:b/>
                <w:i/>
                <w:sz w:val="20"/>
                <w:szCs w:val="20"/>
              </w:rPr>
              <w:t>f</w:t>
            </w:r>
            <w:r w:rsidR="0088589C" w:rsidRPr="00400FA5">
              <w:rPr>
                <w:b/>
                <w:i/>
                <w:sz w:val="20"/>
                <w:szCs w:val="20"/>
              </w:rPr>
              <w:t xml:space="preserve"> </w:t>
            </w:r>
            <w:r w:rsidRPr="00400FA5">
              <w:rPr>
                <w:b/>
                <w:i/>
                <w:sz w:val="20"/>
                <w:szCs w:val="20"/>
              </w:rPr>
              <w:t>=</w:t>
            </w:r>
            <w:r w:rsidR="0088589C" w:rsidRPr="00400FA5">
              <w:rPr>
                <w:b/>
                <w:i/>
                <w:sz w:val="20"/>
                <w:szCs w:val="20"/>
              </w:rPr>
              <w:t xml:space="preserve"> </w:t>
            </w:r>
            <w:r w:rsidRPr="00400FA5">
              <w:rPr>
                <w:b/>
                <w:i/>
                <w:sz w:val="20"/>
                <w:szCs w:val="20"/>
              </w:rPr>
              <w:t>e</w:t>
            </w:r>
            <w:r w:rsidR="0088589C" w:rsidRPr="00400FA5">
              <w:rPr>
                <w:b/>
                <w:i/>
                <w:sz w:val="20"/>
                <w:szCs w:val="20"/>
              </w:rPr>
              <w:t xml:space="preserve"> </w:t>
            </w:r>
            <w:r w:rsidRPr="00400FA5">
              <w:rPr>
                <w:b/>
                <w:i/>
                <w:sz w:val="20"/>
                <w:szCs w:val="20"/>
              </w:rPr>
              <w:t>/</w:t>
            </w:r>
            <w:r w:rsidR="0088589C" w:rsidRPr="00400FA5">
              <w:rPr>
                <w:b/>
                <w:i/>
                <w:sz w:val="20"/>
                <w:szCs w:val="20"/>
              </w:rPr>
              <w:t xml:space="preserve"> </w:t>
            </w:r>
            <w:r w:rsidRPr="00400FA5">
              <w:rPr>
                <w:b/>
                <w:i/>
                <w:sz w:val="20"/>
                <w:szCs w:val="20"/>
              </w:rPr>
              <w:t>a</w:t>
            </w:r>
          </w:p>
        </w:tc>
      </w:tr>
      <w:tr w:rsidR="0088589C" w:rsidRPr="003C3FC2" w14:paraId="297F465D" w14:textId="77777777" w:rsidTr="00BB3C33">
        <w:trPr>
          <w:trHeight w:val="397"/>
        </w:trPr>
        <w:tc>
          <w:tcPr>
            <w:tcW w:w="1129" w:type="dxa"/>
            <w:vAlign w:val="center"/>
          </w:tcPr>
          <w:p w14:paraId="7D5F1A49" w14:textId="1C31FE3B" w:rsidR="0088589C" w:rsidRPr="001152A8" w:rsidRDefault="0088589C" w:rsidP="00BB3C33">
            <w:pPr>
              <w:rPr>
                <w:sz w:val="20"/>
                <w:szCs w:val="20"/>
              </w:rPr>
            </w:pPr>
            <w:r w:rsidRPr="001152A8">
              <w:rPr>
                <w:sz w:val="20"/>
                <w:szCs w:val="20"/>
              </w:rPr>
              <w:t>European/ Other</w:t>
            </w:r>
          </w:p>
        </w:tc>
        <w:tc>
          <w:tcPr>
            <w:tcW w:w="1134" w:type="dxa"/>
            <w:vAlign w:val="center"/>
          </w:tcPr>
          <w:p w14:paraId="44805144" w14:textId="1C76058B" w:rsidR="0088589C" w:rsidRPr="001152A8" w:rsidRDefault="0088589C" w:rsidP="00BB3C33">
            <w:pPr>
              <w:jc w:val="right"/>
              <w:rPr>
                <w:sz w:val="20"/>
                <w:szCs w:val="20"/>
              </w:rPr>
            </w:pPr>
            <w:r w:rsidRPr="001152A8">
              <w:rPr>
                <w:sz w:val="20"/>
                <w:szCs w:val="20"/>
              </w:rPr>
              <w:t>1,662,682</w:t>
            </w:r>
          </w:p>
        </w:tc>
        <w:tc>
          <w:tcPr>
            <w:tcW w:w="1164" w:type="dxa"/>
            <w:vAlign w:val="center"/>
          </w:tcPr>
          <w:p w14:paraId="09BA7167" w14:textId="5DBFC1FA" w:rsidR="0088589C" w:rsidRPr="001152A8" w:rsidRDefault="0088589C" w:rsidP="00BB3C33">
            <w:pPr>
              <w:jc w:val="right"/>
              <w:rPr>
                <w:sz w:val="20"/>
                <w:szCs w:val="20"/>
              </w:rPr>
            </w:pPr>
            <w:r w:rsidRPr="001152A8">
              <w:rPr>
                <w:sz w:val="20"/>
                <w:szCs w:val="20"/>
              </w:rPr>
              <w:t>294,254</w:t>
            </w:r>
          </w:p>
        </w:tc>
        <w:tc>
          <w:tcPr>
            <w:tcW w:w="1388" w:type="dxa"/>
            <w:vAlign w:val="center"/>
          </w:tcPr>
          <w:p w14:paraId="509D2BC6" w14:textId="77777777" w:rsidR="0088589C" w:rsidRPr="001152A8" w:rsidRDefault="0088589C" w:rsidP="00BB3C33">
            <w:pPr>
              <w:jc w:val="right"/>
              <w:rPr>
                <w:sz w:val="20"/>
                <w:szCs w:val="20"/>
              </w:rPr>
            </w:pPr>
            <w:r w:rsidRPr="001152A8">
              <w:rPr>
                <w:sz w:val="20"/>
                <w:szCs w:val="20"/>
              </w:rPr>
              <w:t>58%</w:t>
            </w:r>
          </w:p>
        </w:tc>
        <w:tc>
          <w:tcPr>
            <w:tcW w:w="1559" w:type="dxa"/>
            <w:vAlign w:val="center"/>
          </w:tcPr>
          <w:p w14:paraId="38A51CFA" w14:textId="0D720BA3" w:rsidR="0088589C" w:rsidRPr="001152A8" w:rsidRDefault="0088589C" w:rsidP="00BB3C33">
            <w:pPr>
              <w:jc w:val="right"/>
              <w:rPr>
                <w:sz w:val="20"/>
                <w:szCs w:val="20"/>
              </w:rPr>
            </w:pPr>
            <w:r w:rsidRPr="001152A8">
              <w:rPr>
                <w:color w:val="000000"/>
                <w:sz w:val="20"/>
                <w:szCs w:val="20"/>
              </w:rPr>
              <w:t>$679,949,386</w:t>
            </w:r>
          </w:p>
        </w:tc>
        <w:tc>
          <w:tcPr>
            <w:tcW w:w="1492" w:type="dxa"/>
            <w:vAlign w:val="center"/>
          </w:tcPr>
          <w:p w14:paraId="315578B0" w14:textId="6B352D2D" w:rsidR="0088589C" w:rsidRPr="001152A8" w:rsidRDefault="0088589C" w:rsidP="00BB3C33">
            <w:pPr>
              <w:jc w:val="right"/>
              <w:rPr>
                <w:sz w:val="20"/>
                <w:szCs w:val="20"/>
              </w:rPr>
            </w:pPr>
            <w:r w:rsidRPr="001152A8">
              <w:rPr>
                <w:color w:val="000000"/>
                <w:sz w:val="20"/>
                <w:szCs w:val="20"/>
              </w:rPr>
              <w:t>$395,854,300</w:t>
            </w:r>
          </w:p>
        </w:tc>
        <w:tc>
          <w:tcPr>
            <w:tcW w:w="1485" w:type="dxa"/>
            <w:vAlign w:val="center"/>
          </w:tcPr>
          <w:p w14:paraId="3703D7EC" w14:textId="721303B1" w:rsidR="0088589C" w:rsidRPr="001152A8" w:rsidRDefault="0088589C" w:rsidP="00BB3C33">
            <w:pPr>
              <w:jc w:val="right"/>
              <w:rPr>
                <w:sz w:val="20"/>
                <w:szCs w:val="20"/>
              </w:rPr>
            </w:pPr>
            <w:r w:rsidRPr="001152A8">
              <w:rPr>
                <w:color w:val="000000"/>
                <w:sz w:val="20"/>
                <w:szCs w:val="20"/>
              </w:rPr>
              <w:t>$238</w:t>
            </w:r>
          </w:p>
        </w:tc>
      </w:tr>
      <w:tr w:rsidR="0088589C" w:rsidRPr="003C3FC2" w14:paraId="73BE69D3" w14:textId="77777777" w:rsidTr="00BB3C33">
        <w:trPr>
          <w:trHeight w:val="397"/>
        </w:trPr>
        <w:tc>
          <w:tcPr>
            <w:tcW w:w="1129" w:type="dxa"/>
            <w:vAlign w:val="center"/>
          </w:tcPr>
          <w:p w14:paraId="12BB1828" w14:textId="77777777" w:rsidR="0088589C" w:rsidRPr="001152A8" w:rsidRDefault="0088589C" w:rsidP="00BB3C33">
            <w:pPr>
              <w:rPr>
                <w:sz w:val="20"/>
                <w:szCs w:val="20"/>
              </w:rPr>
            </w:pPr>
            <w:r w:rsidRPr="001152A8">
              <w:rPr>
                <w:sz w:val="20"/>
                <w:szCs w:val="20"/>
              </w:rPr>
              <w:t>Māori</w:t>
            </w:r>
          </w:p>
        </w:tc>
        <w:tc>
          <w:tcPr>
            <w:tcW w:w="1134" w:type="dxa"/>
            <w:vAlign w:val="center"/>
          </w:tcPr>
          <w:p w14:paraId="2E9A7D1D" w14:textId="657BBEDB" w:rsidR="0088589C" w:rsidRPr="001152A8" w:rsidRDefault="0088589C" w:rsidP="00BB3C33">
            <w:pPr>
              <w:jc w:val="right"/>
              <w:rPr>
                <w:sz w:val="20"/>
                <w:szCs w:val="20"/>
              </w:rPr>
            </w:pPr>
            <w:r w:rsidRPr="001152A8">
              <w:rPr>
                <w:sz w:val="20"/>
                <w:szCs w:val="20"/>
              </w:rPr>
              <w:t>433,698</w:t>
            </w:r>
          </w:p>
        </w:tc>
        <w:tc>
          <w:tcPr>
            <w:tcW w:w="1164" w:type="dxa"/>
            <w:vAlign w:val="center"/>
          </w:tcPr>
          <w:p w14:paraId="77BE9F6B" w14:textId="7BBD7300" w:rsidR="0088589C" w:rsidRPr="001152A8" w:rsidRDefault="0088589C" w:rsidP="00BB3C33">
            <w:pPr>
              <w:jc w:val="right"/>
              <w:rPr>
                <w:sz w:val="20"/>
                <w:szCs w:val="20"/>
              </w:rPr>
            </w:pPr>
            <w:r w:rsidRPr="001152A8">
              <w:rPr>
                <w:sz w:val="20"/>
                <w:szCs w:val="20"/>
              </w:rPr>
              <w:t>152,919</w:t>
            </w:r>
          </w:p>
        </w:tc>
        <w:tc>
          <w:tcPr>
            <w:tcW w:w="1388" w:type="dxa"/>
            <w:vAlign w:val="center"/>
          </w:tcPr>
          <w:p w14:paraId="66F6BC90" w14:textId="77777777" w:rsidR="0088589C" w:rsidRPr="001152A8" w:rsidRDefault="0088589C" w:rsidP="00BB3C33">
            <w:pPr>
              <w:jc w:val="right"/>
              <w:rPr>
                <w:sz w:val="20"/>
                <w:szCs w:val="20"/>
              </w:rPr>
            </w:pPr>
            <w:r w:rsidRPr="001152A8">
              <w:rPr>
                <w:sz w:val="20"/>
                <w:szCs w:val="20"/>
              </w:rPr>
              <w:t>30%</w:t>
            </w:r>
          </w:p>
        </w:tc>
        <w:tc>
          <w:tcPr>
            <w:tcW w:w="1559" w:type="dxa"/>
            <w:vAlign w:val="center"/>
          </w:tcPr>
          <w:p w14:paraId="22ACC159" w14:textId="5E81902A" w:rsidR="0088589C" w:rsidRPr="001152A8" w:rsidRDefault="0088589C" w:rsidP="00BB3C33">
            <w:pPr>
              <w:jc w:val="right"/>
              <w:rPr>
                <w:sz w:val="20"/>
                <w:szCs w:val="20"/>
              </w:rPr>
            </w:pPr>
            <w:r w:rsidRPr="001152A8">
              <w:rPr>
                <w:color w:val="000000"/>
                <w:sz w:val="20"/>
                <w:szCs w:val="20"/>
              </w:rPr>
              <w:t>$679,949,386</w:t>
            </w:r>
          </w:p>
        </w:tc>
        <w:tc>
          <w:tcPr>
            <w:tcW w:w="1492" w:type="dxa"/>
            <w:vAlign w:val="center"/>
          </w:tcPr>
          <w:p w14:paraId="58822F6C" w14:textId="2B8486A2" w:rsidR="0088589C" w:rsidRPr="001152A8" w:rsidRDefault="0088589C" w:rsidP="00BB3C33">
            <w:pPr>
              <w:jc w:val="right"/>
              <w:rPr>
                <w:sz w:val="20"/>
                <w:szCs w:val="20"/>
              </w:rPr>
            </w:pPr>
            <w:r w:rsidRPr="001152A8">
              <w:rPr>
                <w:color w:val="000000"/>
                <w:sz w:val="20"/>
                <w:szCs w:val="20"/>
              </w:rPr>
              <w:t>$205,719,017</w:t>
            </w:r>
          </w:p>
        </w:tc>
        <w:tc>
          <w:tcPr>
            <w:tcW w:w="1485" w:type="dxa"/>
            <w:vAlign w:val="center"/>
          </w:tcPr>
          <w:p w14:paraId="15623600" w14:textId="162DB37F" w:rsidR="0088589C" w:rsidRPr="001152A8" w:rsidRDefault="0088589C" w:rsidP="00BB3C33">
            <w:pPr>
              <w:jc w:val="right"/>
              <w:rPr>
                <w:sz w:val="20"/>
                <w:szCs w:val="20"/>
              </w:rPr>
            </w:pPr>
            <w:r w:rsidRPr="001152A8">
              <w:rPr>
                <w:color w:val="000000"/>
                <w:sz w:val="20"/>
                <w:szCs w:val="20"/>
              </w:rPr>
              <w:t>$474</w:t>
            </w:r>
          </w:p>
        </w:tc>
      </w:tr>
      <w:tr w:rsidR="0088589C" w:rsidRPr="003C3FC2" w14:paraId="184FB195" w14:textId="77777777" w:rsidTr="00BB3C33">
        <w:trPr>
          <w:trHeight w:val="397"/>
        </w:trPr>
        <w:tc>
          <w:tcPr>
            <w:tcW w:w="1129" w:type="dxa"/>
            <w:vAlign w:val="center"/>
          </w:tcPr>
          <w:p w14:paraId="6AEEBCF5" w14:textId="77777777" w:rsidR="0088589C" w:rsidRPr="001152A8" w:rsidRDefault="0088589C" w:rsidP="00BB3C33">
            <w:pPr>
              <w:rPr>
                <w:sz w:val="20"/>
                <w:szCs w:val="20"/>
              </w:rPr>
            </w:pPr>
            <w:r w:rsidRPr="001152A8">
              <w:rPr>
                <w:sz w:val="20"/>
                <w:szCs w:val="20"/>
              </w:rPr>
              <w:t>Pacific</w:t>
            </w:r>
          </w:p>
        </w:tc>
        <w:tc>
          <w:tcPr>
            <w:tcW w:w="1134" w:type="dxa"/>
            <w:vAlign w:val="center"/>
          </w:tcPr>
          <w:p w14:paraId="63D40634" w14:textId="45517460" w:rsidR="0088589C" w:rsidRPr="001152A8" w:rsidRDefault="0088589C" w:rsidP="00BB3C33">
            <w:pPr>
              <w:jc w:val="right"/>
              <w:rPr>
                <w:sz w:val="20"/>
                <w:szCs w:val="20"/>
              </w:rPr>
            </w:pPr>
            <w:r w:rsidRPr="001152A8">
              <w:rPr>
                <w:sz w:val="20"/>
                <w:szCs w:val="20"/>
              </w:rPr>
              <w:t>159,766</w:t>
            </w:r>
          </w:p>
        </w:tc>
        <w:tc>
          <w:tcPr>
            <w:tcW w:w="1164" w:type="dxa"/>
            <w:vAlign w:val="center"/>
          </w:tcPr>
          <w:p w14:paraId="57FED4D4" w14:textId="00B71738" w:rsidR="0088589C" w:rsidRPr="001152A8" w:rsidRDefault="0088589C" w:rsidP="00BB3C33">
            <w:pPr>
              <w:jc w:val="right"/>
              <w:rPr>
                <w:sz w:val="20"/>
                <w:szCs w:val="20"/>
              </w:rPr>
            </w:pPr>
            <w:r w:rsidRPr="001152A8">
              <w:rPr>
                <w:sz w:val="20"/>
                <w:szCs w:val="20"/>
              </w:rPr>
              <w:t>38,763</w:t>
            </w:r>
          </w:p>
        </w:tc>
        <w:tc>
          <w:tcPr>
            <w:tcW w:w="1388" w:type="dxa"/>
            <w:vAlign w:val="center"/>
          </w:tcPr>
          <w:p w14:paraId="66379DFB" w14:textId="77777777" w:rsidR="0088589C" w:rsidRPr="001152A8" w:rsidRDefault="0088589C" w:rsidP="00BB3C33">
            <w:pPr>
              <w:jc w:val="right"/>
              <w:rPr>
                <w:sz w:val="20"/>
                <w:szCs w:val="20"/>
              </w:rPr>
            </w:pPr>
            <w:r w:rsidRPr="001152A8">
              <w:rPr>
                <w:sz w:val="20"/>
                <w:szCs w:val="20"/>
              </w:rPr>
              <w:t>8%</w:t>
            </w:r>
          </w:p>
        </w:tc>
        <w:tc>
          <w:tcPr>
            <w:tcW w:w="1559" w:type="dxa"/>
            <w:vAlign w:val="center"/>
          </w:tcPr>
          <w:p w14:paraId="7EB4A5A2" w14:textId="724BBCEA" w:rsidR="0088589C" w:rsidRPr="001152A8" w:rsidRDefault="0088589C" w:rsidP="00BB3C33">
            <w:pPr>
              <w:jc w:val="right"/>
              <w:rPr>
                <w:sz w:val="20"/>
                <w:szCs w:val="20"/>
              </w:rPr>
            </w:pPr>
            <w:r w:rsidRPr="001152A8">
              <w:rPr>
                <w:color w:val="000000"/>
                <w:sz w:val="20"/>
                <w:szCs w:val="20"/>
              </w:rPr>
              <w:t>$679,949,386</w:t>
            </w:r>
          </w:p>
        </w:tc>
        <w:tc>
          <w:tcPr>
            <w:tcW w:w="1492" w:type="dxa"/>
            <w:vAlign w:val="center"/>
          </w:tcPr>
          <w:p w14:paraId="734336ED" w14:textId="5E9B5C89" w:rsidR="0088589C" w:rsidRPr="001152A8" w:rsidRDefault="0088589C" w:rsidP="00BB3C33">
            <w:pPr>
              <w:jc w:val="right"/>
              <w:rPr>
                <w:sz w:val="20"/>
                <w:szCs w:val="20"/>
              </w:rPr>
            </w:pPr>
            <w:r w:rsidRPr="001152A8">
              <w:rPr>
                <w:color w:val="000000"/>
                <w:sz w:val="20"/>
                <w:szCs w:val="20"/>
              </w:rPr>
              <w:t>$52,147,125</w:t>
            </w:r>
          </w:p>
        </w:tc>
        <w:tc>
          <w:tcPr>
            <w:tcW w:w="1485" w:type="dxa"/>
            <w:vAlign w:val="center"/>
          </w:tcPr>
          <w:p w14:paraId="749F24B2" w14:textId="0939D375" w:rsidR="0088589C" w:rsidRPr="001152A8" w:rsidRDefault="0088589C" w:rsidP="00BB3C33">
            <w:pPr>
              <w:jc w:val="right"/>
              <w:rPr>
                <w:sz w:val="20"/>
                <w:szCs w:val="20"/>
              </w:rPr>
            </w:pPr>
            <w:r w:rsidRPr="001152A8">
              <w:rPr>
                <w:color w:val="000000"/>
                <w:sz w:val="20"/>
                <w:szCs w:val="20"/>
              </w:rPr>
              <w:t>$326</w:t>
            </w:r>
          </w:p>
        </w:tc>
      </w:tr>
      <w:tr w:rsidR="0088589C" w:rsidRPr="003C3FC2" w14:paraId="5324EE35" w14:textId="77777777" w:rsidTr="00BB3C33">
        <w:trPr>
          <w:trHeight w:val="397"/>
        </w:trPr>
        <w:tc>
          <w:tcPr>
            <w:tcW w:w="1129" w:type="dxa"/>
            <w:vAlign w:val="center"/>
          </w:tcPr>
          <w:p w14:paraId="445C70C7" w14:textId="77777777" w:rsidR="0088589C" w:rsidRPr="001152A8" w:rsidRDefault="0088589C" w:rsidP="00BB3C33">
            <w:pPr>
              <w:rPr>
                <w:sz w:val="20"/>
                <w:szCs w:val="20"/>
              </w:rPr>
            </w:pPr>
            <w:r w:rsidRPr="001152A8">
              <w:rPr>
                <w:sz w:val="20"/>
                <w:szCs w:val="20"/>
              </w:rPr>
              <w:t>Asian</w:t>
            </w:r>
          </w:p>
        </w:tc>
        <w:tc>
          <w:tcPr>
            <w:tcW w:w="1134" w:type="dxa"/>
            <w:vAlign w:val="center"/>
          </w:tcPr>
          <w:p w14:paraId="295F5F5B" w14:textId="418A6FC9" w:rsidR="0088589C" w:rsidRPr="001152A8" w:rsidRDefault="0088589C" w:rsidP="00BB3C33">
            <w:pPr>
              <w:jc w:val="right"/>
              <w:rPr>
                <w:sz w:val="20"/>
                <w:szCs w:val="20"/>
              </w:rPr>
            </w:pPr>
            <w:r w:rsidRPr="001152A8">
              <w:rPr>
                <w:sz w:val="20"/>
                <w:szCs w:val="20"/>
              </w:rPr>
              <w:t>358,578</w:t>
            </w:r>
          </w:p>
        </w:tc>
        <w:tc>
          <w:tcPr>
            <w:tcW w:w="1164" w:type="dxa"/>
            <w:vAlign w:val="center"/>
          </w:tcPr>
          <w:p w14:paraId="4AD9F076" w14:textId="389B3FF4" w:rsidR="0088589C" w:rsidRPr="001152A8" w:rsidRDefault="0088589C" w:rsidP="00BB3C33">
            <w:pPr>
              <w:jc w:val="right"/>
              <w:rPr>
                <w:sz w:val="20"/>
                <w:szCs w:val="20"/>
              </w:rPr>
            </w:pPr>
            <w:r w:rsidRPr="001152A8">
              <w:rPr>
                <w:sz w:val="20"/>
                <w:szCs w:val="20"/>
              </w:rPr>
              <w:t>19,497</w:t>
            </w:r>
          </w:p>
        </w:tc>
        <w:tc>
          <w:tcPr>
            <w:tcW w:w="1388" w:type="dxa"/>
            <w:vAlign w:val="center"/>
          </w:tcPr>
          <w:p w14:paraId="25EAC6DF" w14:textId="77777777" w:rsidR="0088589C" w:rsidRPr="001152A8" w:rsidRDefault="0088589C" w:rsidP="00BB3C33">
            <w:pPr>
              <w:jc w:val="right"/>
              <w:rPr>
                <w:sz w:val="20"/>
                <w:szCs w:val="20"/>
              </w:rPr>
            </w:pPr>
            <w:r w:rsidRPr="001152A8">
              <w:rPr>
                <w:sz w:val="20"/>
                <w:szCs w:val="20"/>
              </w:rPr>
              <w:t>4%</w:t>
            </w:r>
          </w:p>
        </w:tc>
        <w:tc>
          <w:tcPr>
            <w:tcW w:w="1559" w:type="dxa"/>
            <w:vAlign w:val="center"/>
          </w:tcPr>
          <w:p w14:paraId="3ADC10FC" w14:textId="0A71E143" w:rsidR="0088589C" w:rsidRPr="001152A8" w:rsidRDefault="0088589C" w:rsidP="00BB3C33">
            <w:pPr>
              <w:jc w:val="right"/>
              <w:rPr>
                <w:sz w:val="20"/>
                <w:szCs w:val="20"/>
              </w:rPr>
            </w:pPr>
            <w:r w:rsidRPr="001152A8">
              <w:rPr>
                <w:color w:val="000000"/>
                <w:sz w:val="20"/>
                <w:szCs w:val="20"/>
              </w:rPr>
              <w:t>$679,949,386</w:t>
            </w:r>
          </w:p>
        </w:tc>
        <w:tc>
          <w:tcPr>
            <w:tcW w:w="1492" w:type="dxa"/>
            <w:vAlign w:val="center"/>
          </w:tcPr>
          <w:p w14:paraId="27846153" w14:textId="4DDB6BD4" w:rsidR="0088589C" w:rsidRPr="001152A8" w:rsidRDefault="0088589C" w:rsidP="00BB3C33">
            <w:pPr>
              <w:jc w:val="right"/>
              <w:rPr>
                <w:sz w:val="20"/>
                <w:szCs w:val="20"/>
              </w:rPr>
            </w:pPr>
            <w:r w:rsidRPr="001152A8">
              <w:rPr>
                <w:color w:val="000000"/>
                <w:sz w:val="20"/>
                <w:szCs w:val="20"/>
              </w:rPr>
              <w:t>$26,228,943</w:t>
            </w:r>
          </w:p>
        </w:tc>
        <w:tc>
          <w:tcPr>
            <w:tcW w:w="1485" w:type="dxa"/>
            <w:vAlign w:val="center"/>
          </w:tcPr>
          <w:p w14:paraId="1C967576" w14:textId="75C48F76" w:rsidR="0088589C" w:rsidRPr="001152A8" w:rsidRDefault="0088589C" w:rsidP="00BB3C33">
            <w:pPr>
              <w:jc w:val="right"/>
              <w:rPr>
                <w:sz w:val="20"/>
                <w:szCs w:val="20"/>
              </w:rPr>
            </w:pPr>
            <w:r w:rsidRPr="001152A8">
              <w:rPr>
                <w:color w:val="000000"/>
                <w:sz w:val="20"/>
                <w:szCs w:val="20"/>
              </w:rPr>
              <w:t>$73</w:t>
            </w:r>
          </w:p>
        </w:tc>
      </w:tr>
      <w:tr w:rsidR="0088589C" w:rsidRPr="003C3FC2" w14:paraId="448C9158" w14:textId="77777777" w:rsidTr="00BB3C33">
        <w:trPr>
          <w:trHeight w:val="397"/>
        </w:trPr>
        <w:tc>
          <w:tcPr>
            <w:tcW w:w="1129" w:type="dxa"/>
            <w:vAlign w:val="center"/>
          </w:tcPr>
          <w:p w14:paraId="4AD345E3" w14:textId="77777777" w:rsidR="0088589C" w:rsidRPr="001152A8" w:rsidRDefault="0088589C" w:rsidP="00BB3C33">
            <w:pPr>
              <w:rPr>
                <w:sz w:val="20"/>
                <w:szCs w:val="20"/>
              </w:rPr>
            </w:pPr>
            <w:r w:rsidRPr="001152A8">
              <w:rPr>
                <w:sz w:val="20"/>
                <w:szCs w:val="20"/>
              </w:rPr>
              <w:t>Total</w:t>
            </w:r>
          </w:p>
        </w:tc>
        <w:tc>
          <w:tcPr>
            <w:tcW w:w="1134" w:type="dxa"/>
            <w:vAlign w:val="center"/>
          </w:tcPr>
          <w:p w14:paraId="262CFF1E" w14:textId="64574E9F" w:rsidR="0088589C" w:rsidRPr="001152A8" w:rsidRDefault="0088589C" w:rsidP="00BB3C33">
            <w:pPr>
              <w:jc w:val="right"/>
              <w:rPr>
                <w:sz w:val="20"/>
                <w:szCs w:val="20"/>
              </w:rPr>
            </w:pPr>
            <w:r w:rsidRPr="001152A8">
              <w:rPr>
                <w:sz w:val="20"/>
                <w:szCs w:val="20"/>
              </w:rPr>
              <w:t>2,614,725</w:t>
            </w:r>
          </w:p>
        </w:tc>
        <w:tc>
          <w:tcPr>
            <w:tcW w:w="1164" w:type="dxa"/>
            <w:vAlign w:val="center"/>
          </w:tcPr>
          <w:p w14:paraId="2743D9B9" w14:textId="7D266B35" w:rsidR="0088589C" w:rsidRPr="001152A8" w:rsidRDefault="0088589C" w:rsidP="00BB3C33">
            <w:pPr>
              <w:jc w:val="right"/>
              <w:rPr>
                <w:sz w:val="20"/>
                <w:szCs w:val="20"/>
              </w:rPr>
            </w:pPr>
            <w:r w:rsidRPr="001152A8">
              <w:rPr>
                <w:sz w:val="20"/>
                <w:szCs w:val="20"/>
              </w:rPr>
              <w:t>505,433</w:t>
            </w:r>
          </w:p>
        </w:tc>
        <w:tc>
          <w:tcPr>
            <w:tcW w:w="1388" w:type="dxa"/>
            <w:vAlign w:val="center"/>
          </w:tcPr>
          <w:p w14:paraId="71044E0B" w14:textId="77777777" w:rsidR="0088589C" w:rsidRPr="001152A8" w:rsidRDefault="0088589C" w:rsidP="00BB3C33">
            <w:pPr>
              <w:jc w:val="right"/>
              <w:rPr>
                <w:sz w:val="20"/>
                <w:szCs w:val="20"/>
              </w:rPr>
            </w:pPr>
            <w:r w:rsidRPr="001152A8">
              <w:rPr>
                <w:sz w:val="20"/>
                <w:szCs w:val="20"/>
              </w:rPr>
              <w:t>100%</w:t>
            </w:r>
          </w:p>
        </w:tc>
        <w:tc>
          <w:tcPr>
            <w:tcW w:w="1559" w:type="dxa"/>
            <w:vAlign w:val="center"/>
          </w:tcPr>
          <w:p w14:paraId="4D32F2E8" w14:textId="10C08DD8" w:rsidR="0088589C" w:rsidRPr="001152A8" w:rsidRDefault="0088589C" w:rsidP="00BB3C33">
            <w:pPr>
              <w:jc w:val="right"/>
              <w:rPr>
                <w:sz w:val="20"/>
                <w:szCs w:val="20"/>
              </w:rPr>
            </w:pPr>
            <w:r w:rsidRPr="001152A8">
              <w:rPr>
                <w:color w:val="000000"/>
                <w:sz w:val="20"/>
                <w:szCs w:val="20"/>
              </w:rPr>
              <w:t>$679,949,386</w:t>
            </w:r>
          </w:p>
        </w:tc>
        <w:tc>
          <w:tcPr>
            <w:tcW w:w="1492" w:type="dxa"/>
            <w:vAlign w:val="center"/>
          </w:tcPr>
          <w:p w14:paraId="369D9250" w14:textId="460E4134" w:rsidR="0088589C" w:rsidRPr="001152A8" w:rsidRDefault="0088589C" w:rsidP="00BB3C33">
            <w:pPr>
              <w:jc w:val="right"/>
              <w:rPr>
                <w:sz w:val="20"/>
                <w:szCs w:val="20"/>
              </w:rPr>
            </w:pPr>
            <w:r w:rsidRPr="001152A8">
              <w:rPr>
                <w:color w:val="000000"/>
                <w:sz w:val="20"/>
                <w:szCs w:val="20"/>
              </w:rPr>
              <w:t>$679,949,386</w:t>
            </w:r>
          </w:p>
        </w:tc>
        <w:tc>
          <w:tcPr>
            <w:tcW w:w="1485" w:type="dxa"/>
            <w:vAlign w:val="center"/>
          </w:tcPr>
          <w:p w14:paraId="5602CD58" w14:textId="2BE84866" w:rsidR="0088589C" w:rsidRPr="001152A8" w:rsidRDefault="0088589C" w:rsidP="00BB3C33">
            <w:pPr>
              <w:jc w:val="right"/>
              <w:rPr>
                <w:sz w:val="20"/>
                <w:szCs w:val="20"/>
              </w:rPr>
            </w:pPr>
            <w:r w:rsidRPr="001152A8">
              <w:rPr>
                <w:color w:val="000000"/>
                <w:sz w:val="20"/>
                <w:szCs w:val="20"/>
              </w:rPr>
              <w:t>$260</w:t>
            </w:r>
          </w:p>
        </w:tc>
      </w:tr>
    </w:tbl>
    <w:p w14:paraId="5FB0B7C8" w14:textId="77777777" w:rsidR="006F418B" w:rsidRDefault="006F418B" w:rsidP="006F418B"/>
    <w:p w14:paraId="19875331" w14:textId="77777777" w:rsidR="006F418B" w:rsidRDefault="006F418B" w:rsidP="00657824">
      <w:pPr>
        <w:pStyle w:val="Heading2"/>
      </w:pPr>
      <w:bookmarkStart w:id="535" w:name="_heading=h.i2o4si9jkrv" w:colFirst="0" w:colLast="0"/>
      <w:bookmarkStart w:id="536" w:name="_Toc207196002"/>
      <w:bookmarkEnd w:id="535"/>
      <w:r>
        <w:t>Policy 3: Reducing the accessibility of in-person EGMs</w:t>
      </w:r>
      <w:bookmarkEnd w:id="536"/>
    </w:p>
    <w:p w14:paraId="778F48FA" w14:textId="77777777" w:rsidR="006F418B" w:rsidRDefault="006F418B" w:rsidP="00C30E1A">
      <w:pPr>
        <w:pStyle w:val="Heading3"/>
      </w:pPr>
      <w:bookmarkStart w:id="537" w:name="_Toc207196003"/>
      <w:r>
        <w:t>Introduction</w:t>
      </w:r>
      <w:bookmarkEnd w:id="537"/>
      <w:r>
        <w:t xml:space="preserve"> </w:t>
      </w:r>
    </w:p>
    <w:p w14:paraId="4EEF9847" w14:textId="73039345" w:rsidR="006F418B" w:rsidRDefault="006F418B" w:rsidP="00135DF0">
      <w:pPr>
        <w:spacing w:line="360" w:lineRule="auto"/>
      </w:pPr>
      <w:r>
        <w:t xml:space="preserve">Western Australia (WA) is unique in permitting EGMs only within a single casino located in Perth, in contrast to other Australian states where EGMs are widely accessible. Russell et al. </w:t>
      </w:r>
      <w:r w:rsidR="004918EB">
        <w:t xml:space="preserve">(2023) </w:t>
      </w:r>
      <w:r>
        <w:t>found that EGM participation in WA was approximately half that of other states, with self-reported gambling harms 2.7 times lower</w:t>
      </w:r>
      <w:r w:rsidR="003C3FC2">
        <w:t>.</w:t>
      </w:r>
      <w:r>
        <w:t xml:space="preserve"> The study employed a natural experimental design strengthening the causal inference that restricting the availability of EGMs directly reduces EGM participation and harms. Drawing on this study, along with findings from Rockloff et al. </w:t>
      </w:r>
      <w:r w:rsidR="003C3FC2">
        <w:t>(2021)</w:t>
      </w:r>
      <w:r w:rsidR="004918EB">
        <w:t>, Browne et al. (2023)</w:t>
      </w:r>
      <w:r>
        <w:t xml:space="preserve"> estimate </w:t>
      </w:r>
      <w:r w:rsidR="004918EB">
        <w:t xml:space="preserve">the implementation of </w:t>
      </w:r>
      <w:r>
        <w:t xml:space="preserve">a similar policy in Victoria, Australia could reduce total gambling harms attributable to EGMs by around two thirds </w:t>
      </w:r>
      <w:r w:rsidR="003C3FC2">
        <w:t>(Browne et al., 2023)</w:t>
      </w:r>
      <w:r>
        <w:t>. Given the substantial contribution of in-person EGMs to gambling harm in New Zealand, it would be valuable to estimate the impact of adopting a similar policy on gambling harms.</w:t>
      </w:r>
    </w:p>
    <w:p w14:paraId="371B7C4C" w14:textId="26698405" w:rsidR="006F418B" w:rsidRDefault="006F418B" w:rsidP="00135DF0">
      <w:pPr>
        <w:spacing w:line="360" w:lineRule="auto"/>
      </w:pPr>
      <w:r>
        <w:t xml:space="preserve">New Zealand differs from Australia in the density and accessibility of in-venue EGMs, as well as its geographical and demographic makeup. Rather than directly apply the findings from Australia, </w:t>
      </w:r>
      <w:r w:rsidR="00EA341D">
        <w:t xml:space="preserve">estimations were made </w:t>
      </w:r>
      <w:r w:rsidR="00001C68">
        <w:t>to evaluate</w:t>
      </w:r>
      <w:r w:rsidR="00EA341D">
        <w:t xml:space="preserve"> </w:t>
      </w:r>
      <w:r>
        <w:t xml:space="preserve">the impact of a similar hypothetical policy that restricts EGMs to casino venues only, effectively banning </w:t>
      </w:r>
      <w:r w:rsidR="00D35699">
        <w:t>Class 4 pokies</w:t>
      </w:r>
      <w:r>
        <w:t>. This approach is supported by the above studies demonstrating a causal relationship between reduced EGM availability and lower rates of EGM harm. As noted previously, non-casino venues operate the majority of EGMs in New Zealand and are classified as the highest-risk category, highlighting the potential importance of a targeted policy response.</w:t>
      </w:r>
    </w:p>
    <w:p w14:paraId="347C3E5C" w14:textId="77777777" w:rsidR="006F418B" w:rsidRDefault="006F418B" w:rsidP="00C30E1A">
      <w:pPr>
        <w:pStyle w:val="Heading3"/>
      </w:pPr>
      <w:bookmarkStart w:id="538" w:name="_Toc207196004"/>
      <w:r>
        <w:t>Methods</w:t>
      </w:r>
      <w:bookmarkEnd w:id="538"/>
    </w:p>
    <w:p w14:paraId="1D712598" w14:textId="58FDE85D" w:rsidR="006F418B" w:rsidRDefault="006F418B" w:rsidP="00135DF0">
      <w:pPr>
        <w:spacing w:line="360" w:lineRule="auto"/>
      </w:pPr>
      <w:r>
        <w:t>This hypothetical policy assumes a complete ban on EGMs in pubs and clubs, restricting their accessibility to the five licensed and currently operating casinos located in Auckland, Christchurch, Dunedin, Hamilton, and Queenstown. There is a sixth casino in Queenstown, however it is not currently operational. An 80% reduction in all (</w:t>
      </w:r>
      <w:sdt>
        <w:sdtPr>
          <w:tag w:val="goog_rdk_4"/>
          <w:id w:val="-523398680"/>
        </w:sdtPr>
        <w:sdtEndPr/>
        <w:sdtContent/>
      </w:sdt>
      <w:r>
        <w:t xml:space="preserve">tangible) cost forms attributable to in-venue, </w:t>
      </w:r>
      <w:r w:rsidR="00D35699">
        <w:t xml:space="preserve">Class 4 pokies </w:t>
      </w:r>
      <w:r>
        <w:t xml:space="preserve">was applied, allowing for a 20% substitution to other forms of gambling. Outputs for this policy evaluation are changes in total costs attributable to in-venue, </w:t>
      </w:r>
      <w:r w:rsidR="00D35699">
        <w:t xml:space="preserve">Class 4 pokies </w:t>
      </w:r>
      <w:r>
        <w:t>and changes to the total cost of gambling harm in New Zealand with results presented for the total adult population and by ethnic group.</w:t>
      </w:r>
    </w:p>
    <w:p w14:paraId="18BBE75A" w14:textId="77777777" w:rsidR="006F418B" w:rsidRDefault="006F418B" w:rsidP="00C30E1A">
      <w:pPr>
        <w:pStyle w:val="Heading3"/>
      </w:pPr>
      <w:bookmarkStart w:id="539" w:name="_Toc207196005"/>
      <w:r>
        <w:t>Results</w:t>
      </w:r>
      <w:bookmarkEnd w:id="539"/>
    </w:p>
    <w:p w14:paraId="7BA724D5" w14:textId="3967B6B0" w:rsidR="006F418B" w:rsidRDefault="006F418B" w:rsidP="00135DF0">
      <w:pPr>
        <w:spacing w:line="360" w:lineRule="auto"/>
      </w:pPr>
      <w:r>
        <w:t xml:space="preserve">Table </w:t>
      </w:r>
      <w:r w:rsidR="009F404A">
        <w:t>41</w:t>
      </w:r>
      <w:r>
        <w:t xml:space="preserve"> presents the detailed cost calculations behind this hypothetical policy scenario. As previously noted, this policy is assumed to reduce total costs attributable to in-venue, </w:t>
      </w:r>
      <w:r w:rsidR="00D35699">
        <w:t xml:space="preserve">Class 4 pokies </w:t>
      </w:r>
      <w:r>
        <w:t>by 80% ($</w:t>
      </w:r>
      <w:r w:rsidR="002C7EB3">
        <w:t>787m</w:t>
      </w:r>
      <w:r>
        <w:t xml:space="preserve">), which represents an </w:t>
      </w:r>
      <w:r w:rsidR="002C7EB3">
        <w:t>19</w:t>
      </w:r>
      <w:r>
        <w:t>% reduction in the total costs of gambling harm in New Zealand.</w:t>
      </w:r>
    </w:p>
    <w:p w14:paraId="3AF014E3" w14:textId="77777777" w:rsidR="002A6362" w:rsidRDefault="002A6362" w:rsidP="00135DF0">
      <w:pPr>
        <w:spacing w:line="360" w:lineRule="auto"/>
      </w:pPr>
    </w:p>
    <w:p w14:paraId="0CEF65FF" w14:textId="77F0FEDA" w:rsidR="002A6362" w:rsidRDefault="002A6362" w:rsidP="002A6362">
      <w:pPr>
        <w:spacing w:line="360" w:lineRule="auto"/>
      </w:pPr>
      <w:r>
        <w:t>Table 42 breaks down the estimated cost reductions by ethnic group. The greatest proportional reduction in the total cost of gambling harm is observed within the European population. However, the largest per-</w:t>
      </w:r>
      <w:r w:rsidR="001152A8">
        <w:t>person</w:t>
      </w:r>
      <w:r>
        <w:t xml:space="preserve"> reductions are identified among Māori ($</w:t>
      </w:r>
      <w:r w:rsidR="002C7EB3">
        <w:t>549</w:t>
      </w:r>
      <w:r>
        <w:t>) and Pacific ($</w:t>
      </w:r>
      <w:r w:rsidR="002C7EB3">
        <w:t>378</w:t>
      </w:r>
      <w:r>
        <w:t>) populations, consistent with findings from the evaluation of the introduction of loss limits on in-person EGMs.</w:t>
      </w:r>
    </w:p>
    <w:p w14:paraId="585088BE" w14:textId="77777777" w:rsidR="002A6362" w:rsidRDefault="002A6362" w:rsidP="00135DF0">
      <w:pPr>
        <w:spacing w:line="360" w:lineRule="auto"/>
      </w:pPr>
    </w:p>
    <w:p w14:paraId="22F8BBE2" w14:textId="37B30166" w:rsidR="009F404A" w:rsidRDefault="009F404A" w:rsidP="00DB094D">
      <w:pPr>
        <w:pStyle w:val="Caption"/>
      </w:pPr>
      <w:bookmarkStart w:id="540" w:name="_Toc207619083"/>
      <w:r>
        <w:t xml:space="preserve">Table </w:t>
      </w:r>
      <w:r>
        <w:fldChar w:fldCharType="begin"/>
      </w:r>
      <w:r>
        <w:instrText xml:space="preserve"> SEQ Table \* ARABIC </w:instrText>
      </w:r>
      <w:r>
        <w:fldChar w:fldCharType="separate"/>
      </w:r>
      <w:r w:rsidR="00986A0D">
        <w:rPr>
          <w:noProof/>
        </w:rPr>
        <w:t>41</w:t>
      </w:r>
      <w:r>
        <w:fldChar w:fldCharType="end"/>
      </w:r>
      <w:r w:rsidR="00A5378B">
        <w:t>.</w:t>
      </w:r>
      <w:r>
        <w:t xml:space="preserve"> </w:t>
      </w:r>
      <w:r w:rsidRPr="00B03FE9">
        <w:t>Detailed changes to total costs following a ban on EGMs in non-casino venues</w:t>
      </w:r>
      <w:bookmarkEnd w:id="540"/>
    </w:p>
    <w:tbl>
      <w:tblPr>
        <w:tblStyle w:val="TableGridLight"/>
        <w:tblW w:w="9493" w:type="dxa"/>
        <w:tblLayout w:type="fixed"/>
        <w:tblLook w:val="0600" w:firstRow="0" w:lastRow="0" w:firstColumn="0" w:lastColumn="0" w:noHBand="1" w:noVBand="1"/>
      </w:tblPr>
      <w:tblGrid>
        <w:gridCol w:w="5949"/>
        <w:gridCol w:w="1417"/>
        <w:gridCol w:w="2127"/>
      </w:tblGrid>
      <w:tr w:rsidR="006F418B" w:rsidRPr="00657824" w14:paraId="1BB9CE7E" w14:textId="77777777" w:rsidTr="00400FA5">
        <w:trPr>
          <w:trHeight w:val="397"/>
        </w:trPr>
        <w:tc>
          <w:tcPr>
            <w:tcW w:w="5949" w:type="dxa"/>
            <w:vMerge w:val="restart"/>
            <w:shd w:val="clear" w:color="auto" w:fill="F2F2F2" w:themeFill="background1" w:themeFillShade="F2"/>
            <w:vAlign w:val="center"/>
          </w:tcPr>
          <w:p w14:paraId="6C666D7C" w14:textId="77777777" w:rsidR="006F418B" w:rsidRPr="00657824" w:rsidRDefault="006F418B" w:rsidP="00BB3C33">
            <w:pPr>
              <w:jc w:val="center"/>
              <w:rPr>
                <w:b/>
                <w:sz w:val="20"/>
                <w:szCs w:val="20"/>
              </w:rPr>
            </w:pPr>
            <w:r w:rsidRPr="00657824">
              <w:rPr>
                <w:b/>
                <w:sz w:val="20"/>
                <w:szCs w:val="20"/>
              </w:rPr>
              <w:t>Cost Element</w:t>
            </w:r>
          </w:p>
        </w:tc>
        <w:tc>
          <w:tcPr>
            <w:tcW w:w="1417" w:type="dxa"/>
            <w:vMerge w:val="restart"/>
            <w:shd w:val="clear" w:color="auto" w:fill="F2F2F2" w:themeFill="background1" w:themeFillShade="F2"/>
            <w:vAlign w:val="center"/>
          </w:tcPr>
          <w:p w14:paraId="30832243" w14:textId="2E000834" w:rsidR="006F418B" w:rsidRPr="00657824" w:rsidRDefault="006F418B" w:rsidP="00BB3C33">
            <w:pPr>
              <w:jc w:val="center"/>
              <w:rPr>
                <w:b/>
                <w:sz w:val="20"/>
                <w:szCs w:val="20"/>
              </w:rPr>
            </w:pPr>
          </w:p>
        </w:tc>
        <w:tc>
          <w:tcPr>
            <w:tcW w:w="2127" w:type="dxa"/>
            <w:vMerge w:val="restart"/>
            <w:shd w:val="clear" w:color="auto" w:fill="F2F2F2" w:themeFill="background1" w:themeFillShade="F2"/>
            <w:vAlign w:val="center"/>
          </w:tcPr>
          <w:p w14:paraId="31C633B1" w14:textId="77777777" w:rsidR="006F418B" w:rsidRPr="00657824" w:rsidRDefault="006F418B" w:rsidP="00BB3C33">
            <w:pPr>
              <w:jc w:val="center"/>
              <w:rPr>
                <w:b/>
                <w:sz w:val="20"/>
                <w:szCs w:val="20"/>
              </w:rPr>
            </w:pPr>
            <w:r w:rsidRPr="00657824">
              <w:rPr>
                <w:b/>
                <w:sz w:val="20"/>
                <w:szCs w:val="20"/>
              </w:rPr>
              <w:t>Total</w:t>
            </w:r>
          </w:p>
        </w:tc>
      </w:tr>
      <w:tr w:rsidR="006F418B" w:rsidRPr="00657824" w14:paraId="60E4B6B0" w14:textId="77777777" w:rsidTr="00400FA5">
        <w:trPr>
          <w:trHeight w:val="230"/>
        </w:trPr>
        <w:tc>
          <w:tcPr>
            <w:tcW w:w="5949" w:type="dxa"/>
            <w:vMerge/>
            <w:shd w:val="clear" w:color="auto" w:fill="F2F2F2" w:themeFill="background1" w:themeFillShade="F2"/>
          </w:tcPr>
          <w:p w14:paraId="42336C4C" w14:textId="77777777" w:rsidR="006F418B" w:rsidRPr="00657824" w:rsidRDefault="006F418B" w:rsidP="002C7EB3">
            <w:pPr>
              <w:widowControl w:val="0"/>
              <w:pBdr>
                <w:top w:val="nil"/>
                <w:left w:val="nil"/>
                <w:bottom w:val="nil"/>
                <w:right w:val="nil"/>
                <w:between w:val="nil"/>
              </w:pBdr>
              <w:rPr>
                <w:b/>
                <w:sz w:val="20"/>
                <w:szCs w:val="20"/>
              </w:rPr>
            </w:pPr>
          </w:p>
        </w:tc>
        <w:tc>
          <w:tcPr>
            <w:tcW w:w="1417" w:type="dxa"/>
            <w:vMerge/>
            <w:shd w:val="clear" w:color="auto" w:fill="F2F2F2" w:themeFill="background1" w:themeFillShade="F2"/>
          </w:tcPr>
          <w:p w14:paraId="49CE861C" w14:textId="77777777" w:rsidR="006F418B" w:rsidRPr="00657824" w:rsidRDefault="006F418B" w:rsidP="002C7EB3">
            <w:pPr>
              <w:widowControl w:val="0"/>
              <w:pBdr>
                <w:top w:val="nil"/>
                <w:left w:val="nil"/>
                <w:bottom w:val="nil"/>
                <w:right w:val="nil"/>
                <w:between w:val="nil"/>
              </w:pBdr>
              <w:rPr>
                <w:b/>
                <w:sz w:val="20"/>
                <w:szCs w:val="20"/>
              </w:rPr>
            </w:pPr>
          </w:p>
        </w:tc>
        <w:tc>
          <w:tcPr>
            <w:tcW w:w="2127" w:type="dxa"/>
            <w:vMerge/>
            <w:shd w:val="clear" w:color="auto" w:fill="F2F2F2" w:themeFill="background1" w:themeFillShade="F2"/>
          </w:tcPr>
          <w:p w14:paraId="12FBCC99" w14:textId="77777777" w:rsidR="006F418B" w:rsidRPr="00657824" w:rsidRDefault="006F418B" w:rsidP="002C7EB3">
            <w:pPr>
              <w:widowControl w:val="0"/>
              <w:pBdr>
                <w:top w:val="nil"/>
                <w:left w:val="nil"/>
                <w:bottom w:val="nil"/>
                <w:right w:val="nil"/>
                <w:between w:val="nil"/>
              </w:pBdr>
              <w:rPr>
                <w:b/>
                <w:sz w:val="20"/>
                <w:szCs w:val="20"/>
              </w:rPr>
            </w:pPr>
          </w:p>
        </w:tc>
      </w:tr>
      <w:tr w:rsidR="00AE5A69" w:rsidRPr="00657824" w14:paraId="4AACE195" w14:textId="77777777" w:rsidTr="00400FA5">
        <w:trPr>
          <w:trHeight w:val="397"/>
        </w:trPr>
        <w:tc>
          <w:tcPr>
            <w:tcW w:w="5949" w:type="dxa"/>
            <w:vAlign w:val="center"/>
          </w:tcPr>
          <w:p w14:paraId="5D5F03A8" w14:textId="17911E1F" w:rsidR="00AE5A69" w:rsidRPr="00657824" w:rsidRDefault="00AE5A69" w:rsidP="00BB3C33">
            <w:pPr>
              <w:rPr>
                <w:sz w:val="20"/>
                <w:szCs w:val="20"/>
              </w:rPr>
            </w:pPr>
            <w:r w:rsidRPr="00657824">
              <w:rPr>
                <w:sz w:val="20"/>
                <w:szCs w:val="20"/>
              </w:rPr>
              <w:t xml:space="preserve">Total cost attributed to in-venue </w:t>
            </w:r>
            <w:r w:rsidR="00D35699">
              <w:rPr>
                <w:sz w:val="20"/>
                <w:szCs w:val="20"/>
              </w:rPr>
              <w:t>Class 4 pokies</w:t>
            </w:r>
            <w:r w:rsidRPr="00657824">
              <w:rPr>
                <w:sz w:val="20"/>
                <w:szCs w:val="20"/>
              </w:rPr>
              <w:t xml:space="preserve"> (pre-restriction) (Table 8)</w:t>
            </w:r>
          </w:p>
        </w:tc>
        <w:tc>
          <w:tcPr>
            <w:tcW w:w="1417" w:type="dxa"/>
            <w:vAlign w:val="center"/>
          </w:tcPr>
          <w:p w14:paraId="211C2E95" w14:textId="77777777" w:rsidR="00AE5A69" w:rsidRPr="00657824" w:rsidRDefault="00AE5A69" w:rsidP="00BB3C33">
            <w:pPr>
              <w:rPr>
                <w:sz w:val="20"/>
                <w:szCs w:val="20"/>
              </w:rPr>
            </w:pPr>
            <w:r w:rsidRPr="00657824">
              <w:rPr>
                <w:sz w:val="20"/>
                <w:szCs w:val="20"/>
              </w:rPr>
              <w:t>a</w:t>
            </w:r>
          </w:p>
        </w:tc>
        <w:tc>
          <w:tcPr>
            <w:tcW w:w="2127" w:type="dxa"/>
            <w:vAlign w:val="center"/>
          </w:tcPr>
          <w:p w14:paraId="5133C8D8" w14:textId="674D65CC" w:rsidR="00AE5A69" w:rsidRPr="00657824" w:rsidRDefault="00AE5A69" w:rsidP="00BB3C33">
            <w:pPr>
              <w:jc w:val="right"/>
              <w:rPr>
                <w:sz w:val="20"/>
                <w:szCs w:val="20"/>
              </w:rPr>
            </w:pPr>
            <w:r w:rsidRPr="00657824">
              <w:rPr>
                <w:color w:val="000000"/>
                <w:sz w:val="20"/>
                <w:szCs w:val="20"/>
              </w:rPr>
              <w:t>$983,998,064</w:t>
            </w:r>
          </w:p>
        </w:tc>
      </w:tr>
      <w:tr w:rsidR="00AE5A69" w:rsidRPr="00657824" w14:paraId="2FC58578" w14:textId="77777777" w:rsidTr="00400FA5">
        <w:trPr>
          <w:trHeight w:val="397"/>
        </w:trPr>
        <w:tc>
          <w:tcPr>
            <w:tcW w:w="5949" w:type="dxa"/>
            <w:vAlign w:val="center"/>
          </w:tcPr>
          <w:p w14:paraId="6556E62C" w14:textId="3694CB81" w:rsidR="00AE5A69" w:rsidRPr="00657824" w:rsidRDefault="00AE5A69" w:rsidP="00BB3C33">
            <w:pPr>
              <w:rPr>
                <w:sz w:val="20"/>
                <w:szCs w:val="20"/>
              </w:rPr>
            </w:pPr>
            <w:r w:rsidRPr="00657824">
              <w:rPr>
                <w:sz w:val="20"/>
                <w:szCs w:val="20"/>
              </w:rPr>
              <w:t xml:space="preserve">Reduction in in-venue </w:t>
            </w:r>
            <w:r w:rsidR="00D35699">
              <w:rPr>
                <w:sz w:val="20"/>
                <w:szCs w:val="20"/>
              </w:rPr>
              <w:t>Class 4 pokies</w:t>
            </w:r>
            <w:r w:rsidR="00D35699" w:rsidRPr="00657824">
              <w:rPr>
                <w:sz w:val="20"/>
                <w:szCs w:val="20"/>
              </w:rPr>
              <w:t xml:space="preserve"> </w:t>
            </w:r>
            <w:r w:rsidRPr="00657824">
              <w:rPr>
                <w:sz w:val="20"/>
                <w:szCs w:val="20"/>
              </w:rPr>
              <w:t>costs (post-restriction) (%)</w:t>
            </w:r>
          </w:p>
        </w:tc>
        <w:tc>
          <w:tcPr>
            <w:tcW w:w="1417" w:type="dxa"/>
            <w:vAlign w:val="center"/>
          </w:tcPr>
          <w:p w14:paraId="51C9060B" w14:textId="77777777" w:rsidR="00AE5A69" w:rsidRPr="00657824" w:rsidRDefault="00AE5A69" w:rsidP="00BB3C33">
            <w:pPr>
              <w:rPr>
                <w:sz w:val="20"/>
                <w:szCs w:val="20"/>
              </w:rPr>
            </w:pPr>
            <w:r w:rsidRPr="00657824">
              <w:rPr>
                <w:sz w:val="20"/>
                <w:szCs w:val="20"/>
              </w:rPr>
              <w:t>b</w:t>
            </w:r>
          </w:p>
        </w:tc>
        <w:tc>
          <w:tcPr>
            <w:tcW w:w="2127" w:type="dxa"/>
            <w:vAlign w:val="center"/>
          </w:tcPr>
          <w:p w14:paraId="27F9A898" w14:textId="1F473142" w:rsidR="00AE5A69" w:rsidRPr="00657824" w:rsidRDefault="00AE5A69" w:rsidP="00BB3C33">
            <w:pPr>
              <w:jc w:val="right"/>
              <w:rPr>
                <w:sz w:val="20"/>
                <w:szCs w:val="20"/>
              </w:rPr>
            </w:pPr>
            <w:r w:rsidRPr="00657824">
              <w:rPr>
                <w:color w:val="000000"/>
                <w:sz w:val="20"/>
                <w:szCs w:val="20"/>
              </w:rPr>
              <w:t>80%</w:t>
            </w:r>
          </w:p>
        </w:tc>
      </w:tr>
      <w:tr w:rsidR="00AE5A69" w:rsidRPr="00657824" w14:paraId="6CA8C0AB" w14:textId="77777777" w:rsidTr="00400FA5">
        <w:trPr>
          <w:trHeight w:val="397"/>
        </w:trPr>
        <w:tc>
          <w:tcPr>
            <w:tcW w:w="5949" w:type="dxa"/>
            <w:vAlign w:val="center"/>
          </w:tcPr>
          <w:p w14:paraId="479E138D" w14:textId="661CC709" w:rsidR="00AE5A69" w:rsidRPr="00657824" w:rsidRDefault="00AE5A69" w:rsidP="00BB3C33">
            <w:pPr>
              <w:rPr>
                <w:sz w:val="20"/>
                <w:szCs w:val="20"/>
              </w:rPr>
            </w:pPr>
            <w:r w:rsidRPr="00657824">
              <w:rPr>
                <w:sz w:val="20"/>
                <w:szCs w:val="20"/>
              </w:rPr>
              <w:t xml:space="preserve">Reduction in in-venue </w:t>
            </w:r>
            <w:r w:rsidR="00D35699">
              <w:rPr>
                <w:sz w:val="20"/>
                <w:szCs w:val="20"/>
              </w:rPr>
              <w:t>Class 4 pokies</w:t>
            </w:r>
            <w:r w:rsidR="00D35699" w:rsidRPr="00657824">
              <w:rPr>
                <w:sz w:val="20"/>
                <w:szCs w:val="20"/>
              </w:rPr>
              <w:t xml:space="preserve"> </w:t>
            </w:r>
            <w:r w:rsidRPr="00657824">
              <w:rPr>
                <w:sz w:val="20"/>
                <w:szCs w:val="20"/>
              </w:rPr>
              <w:t>costs (post-restriction) ($)</w:t>
            </w:r>
          </w:p>
        </w:tc>
        <w:tc>
          <w:tcPr>
            <w:tcW w:w="1417" w:type="dxa"/>
            <w:vAlign w:val="center"/>
          </w:tcPr>
          <w:p w14:paraId="1660E297" w14:textId="0F2E596C" w:rsidR="00AE5A69" w:rsidRPr="00657824" w:rsidRDefault="00AE5A69" w:rsidP="00BB3C33">
            <w:pPr>
              <w:rPr>
                <w:sz w:val="20"/>
                <w:szCs w:val="20"/>
              </w:rPr>
            </w:pPr>
            <w:r w:rsidRPr="00657824">
              <w:rPr>
                <w:sz w:val="20"/>
                <w:szCs w:val="20"/>
              </w:rPr>
              <w:t>c = a * b</w:t>
            </w:r>
          </w:p>
        </w:tc>
        <w:tc>
          <w:tcPr>
            <w:tcW w:w="2127" w:type="dxa"/>
            <w:vAlign w:val="center"/>
          </w:tcPr>
          <w:p w14:paraId="1DE17095" w14:textId="093964E8" w:rsidR="00AE5A69" w:rsidRPr="00657824" w:rsidRDefault="00AE5A69" w:rsidP="00BB3C33">
            <w:pPr>
              <w:jc w:val="right"/>
              <w:rPr>
                <w:sz w:val="20"/>
                <w:szCs w:val="20"/>
              </w:rPr>
            </w:pPr>
            <w:r w:rsidRPr="00657824">
              <w:rPr>
                <w:color w:val="000000"/>
                <w:sz w:val="20"/>
                <w:szCs w:val="20"/>
              </w:rPr>
              <w:t>$787,198,451</w:t>
            </w:r>
          </w:p>
        </w:tc>
      </w:tr>
      <w:tr w:rsidR="00AE5A69" w:rsidRPr="00657824" w14:paraId="111DC6C8" w14:textId="77777777" w:rsidTr="00400FA5">
        <w:trPr>
          <w:trHeight w:val="397"/>
        </w:trPr>
        <w:tc>
          <w:tcPr>
            <w:tcW w:w="5949" w:type="dxa"/>
            <w:vAlign w:val="center"/>
          </w:tcPr>
          <w:p w14:paraId="20F45756" w14:textId="71F24B73" w:rsidR="00AE5A69" w:rsidRPr="00657824" w:rsidRDefault="00AE5A69" w:rsidP="00BB3C33">
            <w:pPr>
              <w:rPr>
                <w:sz w:val="20"/>
                <w:szCs w:val="20"/>
              </w:rPr>
            </w:pPr>
            <w:r w:rsidRPr="00657824">
              <w:rPr>
                <w:sz w:val="20"/>
                <w:szCs w:val="20"/>
              </w:rPr>
              <w:t xml:space="preserve">Total cost attributed to in-venue </w:t>
            </w:r>
            <w:r w:rsidR="00D35699">
              <w:rPr>
                <w:sz w:val="20"/>
                <w:szCs w:val="20"/>
              </w:rPr>
              <w:t>Class 4 pokies</w:t>
            </w:r>
            <w:r w:rsidR="00D35699" w:rsidRPr="00657824">
              <w:rPr>
                <w:sz w:val="20"/>
                <w:szCs w:val="20"/>
              </w:rPr>
              <w:t xml:space="preserve"> </w:t>
            </w:r>
            <w:r w:rsidRPr="00657824">
              <w:rPr>
                <w:sz w:val="20"/>
                <w:szCs w:val="20"/>
              </w:rPr>
              <w:t>(post-restriction)</w:t>
            </w:r>
          </w:p>
        </w:tc>
        <w:tc>
          <w:tcPr>
            <w:tcW w:w="1417" w:type="dxa"/>
            <w:vAlign w:val="center"/>
          </w:tcPr>
          <w:p w14:paraId="58C7316B" w14:textId="369AE787" w:rsidR="00AE5A69" w:rsidRPr="00657824" w:rsidRDefault="00AE5A69" w:rsidP="00BB3C33">
            <w:pPr>
              <w:rPr>
                <w:sz w:val="20"/>
                <w:szCs w:val="20"/>
              </w:rPr>
            </w:pPr>
            <w:r w:rsidRPr="00657824">
              <w:rPr>
                <w:sz w:val="20"/>
                <w:szCs w:val="20"/>
              </w:rPr>
              <w:t>d = a - c</w:t>
            </w:r>
          </w:p>
        </w:tc>
        <w:tc>
          <w:tcPr>
            <w:tcW w:w="2127" w:type="dxa"/>
            <w:vAlign w:val="center"/>
          </w:tcPr>
          <w:p w14:paraId="6CBFB208" w14:textId="79E0C709" w:rsidR="00AE5A69" w:rsidRPr="00657824" w:rsidRDefault="00AE5A69" w:rsidP="00BB3C33">
            <w:pPr>
              <w:jc w:val="right"/>
              <w:rPr>
                <w:sz w:val="20"/>
                <w:szCs w:val="20"/>
              </w:rPr>
            </w:pPr>
            <w:r w:rsidRPr="00657824">
              <w:rPr>
                <w:color w:val="000000"/>
                <w:sz w:val="20"/>
                <w:szCs w:val="20"/>
              </w:rPr>
              <w:t>$196,799,613</w:t>
            </w:r>
          </w:p>
        </w:tc>
      </w:tr>
      <w:tr w:rsidR="006F418B" w:rsidRPr="00657824" w14:paraId="7874704F" w14:textId="77777777" w:rsidTr="00400FA5">
        <w:trPr>
          <w:trHeight w:val="397"/>
        </w:trPr>
        <w:tc>
          <w:tcPr>
            <w:tcW w:w="9493" w:type="dxa"/>
            <w:gridSpan w:val="3"/>
            <w:vAlign w:val="center"/>
          </w:tcPr>
          <w:p w14:paraId="3E5FB375" w14:textId="116FBF52" w:rsidR="006F418B" w:rsidRPr="00657824" w:rsidRDefault="006F418B" w:rsidP="00BB3C33">
            <w:pPr>
              <w:jc w:val="right"/>
              <w:rPr>
                <w:sz w:val="20"/>
                <w:szCs w:val="20"/>
              </w:rPr>
            </w:pPr>
          </w:p>
        </w:tc>
      </w:tr>
      <w:tr w:rsidR="00AE5A69" w:rsidRPr="00657824" w14:paraId="3B755EC0" w14:textId="77777777" w:rsidTr="00400FA5">
        <w:trPr>
          <w:trHeight w:val="397"/>
        </w:trPr>
        <w:tc>
          <w:tcPr>
            <w:tcW w:w="5949" w:type="dxa"/>
            <w:vAlign w:val="center"/>
          </w:tcPr>
          <w:p w14:paraId="26057A9D" w14:textId="3F408B4C" w:rsidR="00AE5A69" w:rsidRPr="00657824" w:rsidRDefault="00AE5A69" w:rsidP="00AE5A69">
            <w:pPr>
              <w:spacing w:before="240"/>
              <w:rPr>
                <w:sz w:val="20"/>
                <w:szCs w:val="20"/>
              </w:rPr>
            </w:pPr>
            <w:r w:rsidRPr="00657824">
              <w:rPr>
                <w:sz w:val="20"/>
                <w:szCs w:val="20"/>
              </w:rPr>
              <w:t xml:space="preserve">Total cost of gambling problems (pre-restriction) (Table </w:t>
            </w:r>
            <w:r w:rsidR="005E7410" w:rsidRPr="00657824">
              <w:rPr>
                <w:sz w:val="20"/>
                <w:szCs w:val="20"/>
              </w:rPr>
              <w:t>5</w:t>
            </w:r>
            <w:r w:rsidRPr="00657824">
              <w:rPr>
                <w:sz w:val="20"/>
                <w:szCs w:val="20"/>
              </w:rPr>
              <w:t>)</w:t>
            </w:r>
          </w:p>
        </w:tc>
        <w:tc>
          <w:tcPr>
            <w:tcW w:w="1417" w:type="dxa"/>
            <w:vAlign w:val="center"/>
          </w:tcPr>
          <w:p w14:paraId="3B3DB2E0" w14:textId="77777777" w:rsidR="00AE5A69" w:rsidRPr="00657824" w:rsidRDefault="00AE5A69" w:rsidP="00BB3C33">
            <w:pPr>
              <w:spacing w:before="240"/>
              <w:rPr>
                <w:sz w:val="20"/>
                <w:szCs w:val="20"/>
              </w:rPr>
            </w:pPr>
            <w:r w:rsidRPr="00657824">
              <w:rPr>
                <w:sz w:val="20"/>
                <w:szCs w:val="20"/>
              </w:rPr>
              <w:t>f</w:t>
            </w:r>
          </w:p>
        </w:tc>
        <w:tc>
          <w:tcPr>
            <w:tcW w:w="2127" w:type="dxa"/>
            <w:vAlign w:val="center"/>
          </w:tcPr>
          <w:p w14:paraId="49040D0C" w14:textId="2A2CB329" w:rsidR="00AE5A69" w:rsidRPr="00657824" w:rsidRDefault="00AE5A69" w:rsidP="00AE5A69">
            <w:pPr>
              <w:spacing w:before="240"/>
              <w:jc w:val="right"/>
              <w:rPr>
                <w:sz w:val="20"/>
                <w:szCs w:val="20"/>
              </w:rPr>
            </w:pPr>
            <w:r w:rsidRPr="00657824">
              <w:rPr>
                <w:color w:val="000000"/>
                <w:sz w:val="20"/>
                <w:szCs w:val="20"/>
              </w:rPr>
              <w:t>$4,218,927,498</w:t>
            </w:r>
          </w:p>
        </w:tc>
      </w:tr>
      <w:tr w:rsidR="00AE5A69" w:rsidRPr="00657824" w14:paraId="048F8020" w14:textId="77777777" w:rsidTr="00400FA5">
        <w:trPr>
          <w:trHeight w:val="397"/>
        </w:trPr>
        <w:tc>
          <w:tcPr>
            <w:tcW w:w="5949" w:type="dxa"/>
            <w:vAlign w:val="center"/>
          </w:tcPr>
          <w:p w14:paraId="20C0B9FA" w14:textId="77777777" w:rsidR="00AE5A69" w:rsidRPr="00657824" w:rsidRDefault="00AE5A69" w:rsidP="00BB3C33">
            <w:pPr>
              <w:rPr>
                <w:sz w:val="20"/>
                <w:szCs w:val="20"/>
              </w:rPr>
            </w:pPr>
            <w:r w:rsidRPr="00657824">
              <w:rPr>
                <w:sz w:val="20"/>
                <w:szCs w:val="20"/>
              </w:rPr>
              <w:t>Total cost of gambling problems (post-restriction)</w:t>
            </w:r>
          </w:p>
        </w:tc>
        <w:tc>
          <w:tcPr>
            <w:tcW w:w="1417" w:type="dxa"/>
            <w:vAlign w:val="center"/>
          </w:tcPr>
          <w:p w14:paraId="1CAB7793" w14:textId="358408D2" w:rsidR="00AE5A69" w:rsidRPr="00657824" w:rsidRDefault="00AE5A69" w:rsidP="00BB3C33">
            <w:pPr>
              <w:rPr>
                <w:sz w:val="20"/>
                <w:szCs w:val="20"/>
              </w:rPr>
            </w:pPr>
            <w:r w:rsidRPr="00657824">
              <w:rPr>
                <w:sz w:val="20"/>
                <w:szCs w:val="20"/>
              </w:rPr>
              <w:t>g = f - c</w:t>
            </w:r>
          </w:p>
        </w:tc>
        <w:tc>
          <w:tcPr>
            <w:tcW w:w="2127" w:type="dxa"/>
            <w:vAlign w:val="center"/>
          </w:tcPr>
          <w:p w14:paraId="79170E60" w14:textId="0FE1E97D" w:rsidR="00AE5A69" w:rsidRPr="00657824" w:rsidRDefault="00AE5A69" w:rsidP="00BB3C33">
            <w:pPr>
              <w:jc w:val="right"/>
              <w:rPr>
                <w:sz w:val="20"/>
                <w:szCs w:val="20"/>
              </w:rPr>
            </w:pPr>
            <w:r w:rsidRPr="00657824">
              <w:rPr>
                <w:color w:val="000000"/>
                <w:sz w:val="20"/>
                <w:szCs w:val="20"/>
              </w:rPr>
              <w:t>$3,431,729,047</w:t>
            </w:r>
          </w:p>
        </w:tc>
      </w:tr>
      <w:tr w:rsidR="00AE5A69" w:rsidRPr="00657824" w14:paraId="120898EB" w14:textId="77777777" w:rsidTr="00400FA5">
        <w:trPr>
          <w:trHeight w:val="397"/>
        </w:trPr>
        <w:tc>
          <w:tcPr>
            <w:tcW w:w="5949" w:type="dxa"/>
            <w:vAlign w:val="center"/>
          </w:tcPr>
          <w:p w14:paraId="1032F9DC" w14:textId="77777777" w:rsidR="00AE5A69" w:rsidRPr="00657824" w:rsidRDefault="00AE5A69" w:rsidP="00BB3C33">
            <w:pPr>
              <w:rPr>
                <w:sz w:val="20"/>
                <w:szCs w:val="20"/>
              </w:rPr>
            </w:pPr>
            <w:r w:rsidRPr="00657824">
              <w:rPr>
                <w:sz w:val="20"/>
                <w:szCs w:val="20"/>
              </w:rPr>
              <w:t>Percentage change in total cost of gambling problems (post-restriction)</w:t>
            </w:r>
          </w:p>
        </w:tc>
        <w:tc>
          <w:tcPr>
            <w:tcW w:w="1417" w:type="dxa"/>
            <w:vAlign w:val="center"/>
          </w:tcPr>
          <w:p w14:paraId="0EA8232C" w14:textId="22DCF50D" w:rsidR="00AE5A69" w:rsidRPr="00657824" w:rsidRDefault="00AE5A69" w:rsidP="00BB3C33">
            <w:pPr>
              <w:rPr>
                <w:sz w:val="20"/>
                <w:szCs w:val="20"/>
              </w:rPr>
            </w:pPr>
            <w:r w:rsidRPr="00657824">
              <w:rPr>
                <w:sz w:val="20"/>
                <w:szCs w:val="20"/>
              </w:rPr>
              <w:t xml:space="preserve">h = </w:t>
            </w:r>
            <w:r w:rsidR="00657824" w:rsidRPr="00657824">
              <w:rPr>
                <w:sz w:val="20"/>
                <w:szCs w:val="20"/>
              </w:rPr>
              <w:t>(f</w:t>
            </w:r>
            <w:r w:rsidRPr="00657824">
              <w:rPr>
                <w:sz w:val="20"/>
                <w:szCs w:val="20"/>
              </w:rPr>
              <w:t xml:space="preserve"> – g) / f</w:t>
            </w:r>
          </w:p>
        </w:tc>
        <w:tc>
          <w:tcPr>
            <w:tcW w:w="2127" w:type="dxa"/>
            <w:vAlign w:val="center"/>
          </w:tcPr>
          <w:p w14:paraId="635A15F1" w14:textId="3A18E8B4" w:rsidR="00AE5A69" w:rsidRPr="00657824" w:rsidRDefault="00AE5A69" w:rsidP="00BB3C33">
            <w:pPr>
              <w:jc w:val="right"/>
              <w:rPr>
                <w:sz w:val="20"/>
                <w:szCs w:val="20"/>
              </w:rPr>
            </w:pPr>
            <w:r w:rsidRPr="00657824">
              <w:rPr>
                <w:color w:val="000000"/>
                <w:sz w:val="20"/>
                <w:szCs w:val="20"/>
              </w:rPr>
              <w:t>19%</w:t>
            </w:r>
          </w:p>
        </w:tc>
      </w:tr>
    </w:tbl>
    <w:p w14:paraId="6EDF2518" w14:textId="77777777" w:rsidR="006F418B" w:rsidRPr="00657824" w:rsidRDefault="006F418B" w:rsidP="006F418B">
      <w:pPr>
        <w:rPr>
          <w:b/>
          <w:sz w:val="20"/>
          <w:szCs w:val="20"/>
        </w:rPr>
      </w:pPr>
    </w:p>
    <w:p w14:paraId="42E8E61D" w14:textId="77777777" w:rsidR="00135DF0" w:rsidRPr="00C5146A" w:rsidRDefault="00135DF0" w:rsidP="00135DF0">
      <w:pPr>
        <w:spacing w:line="360" w:lineRule="auto"/>
      </w:pPr>
    </w:p>
    <w:p w14:paraId="6F8F618D" w14:textId="37C7E7E2" w:rsidR="0014763B" w:rsidRDefault="0014763B" w:rsidP="00DB094D">
      <w:pPr>
        <w:pStyle w:val="Caption"/>
      </w:pPr>
      <w:bookmarkStart w:id="541" w:name="_Toc207619084"/>
      <w:r>
        <w:t xml:space="preserve">Table </w:t>
      </w:r>
      <w:r>
        <w:fldChar w:fldCharType="begin"/>
      </w:r>
      <w:r>
        <w:instrText xml:space="preserve"> SEQ Table \* ARABIC </w:instrText>
      </w:r>
      <w:r>
        <w:fldChar w:fldCharType="separate"/>
      </w:r>
      <w:r w:rsidR="00986A0D">
        <w:rPr>
          <w:noProof/>
        </w:rPr>
        <w:t>42</w:t>
      </w:r>
      <w:r>
        <w:fldChar w:fldCharType="end"/>
      </w:r>
      <w:r w:rsidR="00A5378B">
        <w:t>.</w:t>
      </w:r>
      <w:r>
        <w:t xml:space="preserve"> </w:t>
      </w:r>
      <w:r w:rsidRPr="00807E99">
        <w:t>Detailed changes to the total cost of gambling problems by ethnic group following a ban on EGMs in non-casino venues</w:t>
      </w:r>
      <w:bookmarkEnd w:id="541"/>
    </w:p>
    <w:tbl>
      <w:tblPr>
        <w:tblStyle w:val="TableGridLight"/>
        <w:tblW w:w="9493" w:type="dxa"/>
        <w:tblLayout w:type="fixed"/>
        <w:tblLook w:val="0600" w:firstRow="0" w:lastRow="0" w:firstColumn="0" w:lastColumn="0" w:noHBand="1" w:noVBand="1"/>
      </w:tblPr>
      <w:tblGrid>
        <w:gridCol w:w="988"/>
        <w:gridCol w:w="1134"/>
        <w:gridCol w:w="1134"/>
        <w:gridCol w:w="1275"/>
        <w:gridCol w:w="1560"/>
        <w:gridCol w:w="1559"/>
        <w:gridCol w:w="1843"/>
      </w:tblGrid>
      <w:tr w:rsidR="00657824" w:rsidRPr="003C3FC2" w14:paraId="1B7FD6A9" w14:textId="77777777" w:rsidTr="00400FA5">
        <w:trPr>
          <w:trHeight w:val="397"/>
        </w:trPr>
        <w:tc>
          <w:tcPr>
            <w:tcW w:w="988" w:type="dxa"/>
            <w:vMerge w:val="restart"/>
            <w:shd w:val="clear" w:color="auto" w:fill="F2F2F2" w:themeFill="background1" w:themeFillShade="F2"/>
            <w:vAlign w:val="center"/>
          </w:tcPr>
          <w:p w14:paraId="1B8ED7ED" w14:textId="77777777" w:rsidR="006F418B" w:rsidRPr="00400FA5" w:rsidRDefault="006F418B" w:rsidP="00BB3C33">
            <w:pPr>
              <w:jc w:val="center"/>
              <w:rPr>
                <w:b/>
                <w:sz w:val="20"/>
                <w:szCs w:val="20"/>
              </w:rPr>
            </w:pPr>
            <w:r w:rsidRPr="00400FA5">
              <w:rPr>
                <w:b/>
                <w:sz w:val="20"/>
                <w:szCs w:val="20"/>
              </w:rPr>
              <w:t>Group</w:t>
            </w:r>
          </w:p>
        </w:tc>
        <w:tc>
          <w:tcPr>
            <w:tcW w:w="1134" w:type="dxa"/>
            <w:shd w:val="clear" w:color="auto" w:fill="F2F2F2" w:themeFill="background1" w:themeFillShade="F2"/>
            <w:vAlign w:val="center"/>
          </w:tcPr>
          <w:p w14:paraId="51FE5964" w14:textId="3FE71E87" w:rsidR="006F418B" w:rsidRPr="00400FA5" w:rsidRDefault="001152A8" w:rsidP="00BB3C33">
            <w:pPr>
              <w:jc w:val="center"/>
              <w:rPr>
                <w:b/>
                <w:sz w:val="20"/>
                <w:szCs w:val="20"/>
              </w:rPr>
            </w:pPr>
            <w:r w:rsidRPr="00400FA5">
              <w:rPr>
                <w:b/>
                <w:sz w:val="20"/>
                <w:szCs w:val="20"/>
              </w:rPr>
              <w:t>Total number of people who gamble</w:t>
            </w:r>
          </w:p>
        </w:tc>
        <w:tc>
          <w:tcPr>
            <w:tcW w:w="1134" w:type="dxa"/>
            <w:shd w:val="clear" w:color="auto" w:fill="F2F2F2" w:themeFill="background1" w:themeFillShade="F2"/>
            <w:vAlign w:val="center"/>
          </w:tcPr>
          <w:p w14:paraId="25B8374F" w14:textId="3D52062E" w:rsidR="006F418B" w:rsidRPr="00400FA5" w:rsidRDefault="006F418B" w:rsidP="00BB3C33">
            <w:pPr>
              <w:jc w:val="center"/>
              <w:rPr>
                <w:b/>
                <w:sz w:val="20"/>
                <w:szCs w:val="20"/>
              </w:rPr>
            </w:pPr>
            <w:r w:rsidRPr="00400FA5">
              <w:rPr>
                <w:b/>
                <w:sz w:val="20"/>
                <w:szCs w:val="20"/>
              </w:rPr>
              <w:t xml:space="preserve">Total in-venue </w:t>
            </w:r>
            <w:r w:rsidR="00D35699">
              <w:rPr>
                <w:b/>
                <w:sz w:val="20"/>
                <w:szCs w:val="20"/>
              </w:rPr>
              <w:t>Class 4 pokies</w:t>
            </w:r>
            <w:r w:rsidRPr="00400FA5">
              <w:rPr>
                <w:b/>
                <w:sz w:val="20"/>
                <w:szCs w:val="20"/>
              </w:rPr>
              <w:t xml:space="preserve"> gamblers</w:t>
            </w:r>
          </w:p>
        </w:tc>
        <w:tc>
          <w:tcPr>
            <w:tcW w:w="1275" w:type="dxa"/>
            <w:shd w:val="clear" w:color="auto" w:fill="F2F2F2" w:themeFill="background1" w:themeFillShade="F2"/>
            <w:vAlign w:val="center"/>
          </w:tcPr>
          <w:p w14:paraId="272E8D58" w14:textId="6DD4BBEE" w:rsidR="006F418B" w:rsidRPr="00400FA5" w:rsidRDefault="006F418B" w:rsidP="00BB3C33">
            <w:pPr>
              <w:jc w:val="center"/>
              <w:rPr>
                <w:b/>
                <w:sz w:val="20"/>
                <w:szCs w:val="20"/>
              </w:rPr>
            </w:pPr>
            <w:r w:rsidRPr="00400FA5">
              <w:rPr>
                <w:b/>
                <w:sz w:val="20"/>
                <w:szCs w:val="20"/>
              </w:rPr>
              <w:t xml:space="preserve">Population shares of </w:t>
            </w:r>
            <w:r w:rsidR="00E92BAC" w:rsidRPr="00400FA5">
              <w:rPr>
                <w:b/>
                <w:sz w:val="20"/>
                <w:szCs w:val="20"/>
              </w:rPr>
              <w:br/>
            </w:r>
            <w:r w:rsidRPr="00400FA5">
              <w:rPr>
                <w:b/>
                <w:sz w:val="20"/>
                <w:szCs w:val="20"/>
              </w:rPr>
              <w:t xml:space="preserve">in-venue </w:t>
            </w:r>
            <w:r w:rsidR="00D35699">
              <w:rPr>
                <w:b/>
                <w:sz w:val="20"/>
                <w:szCs w:val="20"/>
              </w:rPr>
              <w:t>Class 4 pokies</w:t>
            </w:r>
            <w:r w:rsidRPr="00400FA5">
              <w:rPr>
                <w:b/>
                <w:sz w:val="20"/>
                <w:szCs w:val="20"/>
              </w:rPr>
              <w:t xml:space="preserve"> gamblers</w:t>
            </w:r>
          </w:p>
        </w:tc>
        <w:tc>
          <w:tcPr>
            <w:tcW w:w="1560" w:type="dxa"/>
            <w:shd w:val="clear" w:color="auto" w:fill="F2F2F2" w:themeFill="background1" w:themeFillShade="F2"/>
            <w:vAlign w:val="center"/>
          </w:tcPr>
          <w:p w14:paraId="3FF132EC" w14:textId="77777777" w:rsidR="006F418B" w:rsidRPr="00400FA5" w:rsidRDefault="006F418B" w:rsidP="00BB3C33">
            <w:pPr>
              <w:jc w:val="center"/>
              <w:rPr>
                <w:b/>
                <w:sz w:val="20"/>
                <w:szCs w:val="20"/>
              </w:rPr>
            </w:pPr>
            <w:r w:rsidRPr="00400FA5">
              <w:rPr>
                <w:b/>
                <w:sz w:val="20"/>
                <w:szCs w:val="20"/>
              </w:rPr>
              <w:t xml:space="preserve">Total reduction in cost of gambling </w:t>
            </w:r>
            <w:r w:rsidRPr="00D35699">
              <w:rPr>
                <w:b/>
                <w:bCs/>
                <w:sz w:val="20"/>
                <w:szCs w:val="20"/>
              </w:rPr>
              <w:t>problems</w:t>
            </w:r>
            <w:r w:rsidRPr="00400FA5">
              <w:rPr>
                <w:sz w:val="20"/>
                <w:szCs w:val="20"/>
              </w:rPr>
              <w:t xml:space="preserve"> </w:t>
            </w:r>
            <w:r w:rsidRPr="00400FA5">
              <w:rPr>
                <w:b/>
                <w:sz w:val="20"/>
                <w:szCs w:val="20"/>
              </w:rPr>
              <w:t>following restriction</w:t>
            </w:r>
          </w:p>
        </w:tc>
        <w:tc>
          <w:tcPr>
            <w:tcW w:w="1559" w:type="dxa"/>
            <w:shd w:val="clear" w:color="auto" w:fill="F2F2F2" w:themeFill="background1" w:themeFillShade="F2"/>
            <w:vAlign w:val="center"/>
          </w:tcPr>
          <w:p w14:paraId="233B6C4A" w14:textId="68A41BD4" w:rsidR="006F418B" w:rsidRPr="00400FA5" w:rsidRDefault="006F418B" w:rsidP="00BB3C33">
            <w:pPr>
              <w:jc w:val="center"/>
              <w:rPr>
                <w:b/>
                <w:sz w:val="20"/>
                <w:szCs w:val="20"/>
              </w:rPr>
            </w:pPr>
            <w:r w:rsidRPr="00400FA5">
              <w:rPr>
                <w:b/>
                <w:sz w:val="20"/>
                <w:szCs w:val="20"/>
              </w:rPr>
              <w:t xml:space="preserve">Proportional reduction in cost of gambling </w:t>
            </w:r>
            <w:r w:rsidRPr="00D35699">
              <w:rPr>
                <w:b/>
                <w:bCs/>
                <w:sz w:val="20"/>
                <w:szCs w:val="20"/>
              </w:rPr>
              <w:t>problems</w:t>
            </w:r>
            <w:r w:rsidRPr="00400FA5">
              <w:rPr>
                <w:sz w:val="20"/>
                <w:szCs w:val="20"/>
              </w:rPr>
              <w:t xml:space="preserve"> </w:t>
            </w:r>
            <w:r w:rsidRPr="00400FA5">
              <w:rPr>
                <w:b/>
                <w:sz w:val="20"/>
                <w:szCs w:val="20"/>
              </w:rPr>
              <w:t>following restriction</w:t>
            </w:r>
          </w:p>
        </w:tc>
        <w:tc>
          <w:tcPr>
            <w:tcW w:w="1843" w:type="dxa"/>
            <w:shd w:val="clear" w:color="auto" w:fill="F2F2F2" w:themeFill="background1" w:themeFillShade="F2"/>
            <w:vAlign w:val="center"/>
          </w:tcPr>
          <w:p w14:paraId="39B62395" w14:textId="77777777" w:rsidR="006F418B" w:rsidRPr="00400FA5" w:rsidRDefault="006F418B" w:rsidP="00BB3C33">
            <w:pPr>
              <w:jc w:val="center"/>
              <w:rPr>
                <w:b/>
                <w:sz w:val="20"/>
                <w:szCs w:val="20"/>
              </w:rPr>
            </w:pPr>
            <w:r w:rsidRPr="00400FA5">
              <w:rPr>
                <w:b/>
                <w:sz w:val="20"/>
                <w:szCs w:val="20"/>
              </w:rPr>
              <w:t>Total reduction in cost of gambling problems per-gambler following restriction</w:t>
            </w:r>
          </w:p>
        </w:tc>
      </w:tr>
      <w:tr w:rsidR="00657824" w:rsidRPr="003C3FC2" w14:paraId="05D9FAE7" w14:textId="77777777" w:rsidTr="00400FA5">
        <w:trPr>
          <w:trHeight w:val="397"/>
        </w:trPr>
        <w:tc>
          <w:tcPr>
            <w:tcW w:w="988" w:type="dxa"/>
            <w:vMerge/>
          </w:tcPr>
          <w:p w14:paraId="125AC878" w14:textId="77777777" w:rsidR="006F418B" w:rsidRPr="00657824" w:rsidRDefault="006F418B" w:rsidP="001817B9">
            <w:pPr>
              <w:widowControl w:val="0"/>
              <w:pBdr>
                <w:top w:val="nil"/>
                <w:left w:val="nil"/>
                <w:bottom w:val="nil"/>
                <w:right w:val="nil"/>
                <w:between w:val="nil"/>
              </w:pBdr>
              <w:rPr>
                <w:b/>
                <w:sz w:val="20"/>
                <w:szCs w:val="20"/>
              </w:rPr>
            </w:pPr>
          </w:p>
        </w:tc>
        <w:tc>
          <w:tcPr>
            <w:tcW w:w="1134" w:type="dxa"/>
            <w:shd w:val="clear" w:color="auto" w:fill="F2F2F2" w:themeFill="background1" w:themeFillShade="F2"/>
            <w:vAlign w:val="center"/>
          </w:tcPr>
          <w:p w14:paraId="3FC96A7A" w14:textId="77777777" w:rsidR="006F418B" w:rsidRPr="00657824" w:rsidRDefault="006F418B" w:rsidP="00400FA5">
            <w:pPr>
              <w:jc w:val="center"/>
              <w:rPr>
                <w:b/>
                <w:bCs/>
                <w:i/>
                <w:sz w:val="20"/>
                <w:szCs w:val="20"/>
              </w:rPr>
            </w:pPr>
            <w:r w:rsidRPr="00657824">
              <w:rPr>
                <w:b/>
                <w:bCs/>
                <w:i/>
                <w:sz w:val="20"/>
                <w:szCs w:val="20"/>
              </w:rPr>
              <w:t>a</w:t>
            </w:r>
          </w:p>
        </w:tc>
        <w:tc>
          <w:tcPr>
            <w:tcW w:w="1134" w:type="dxa"/>
            <w:shd w:val="clear" w:color="auto" w:fill="F2F2F2" w:themeFill="background1" w:themeFillShade="F2"/>
            <w:vAlign w:val="center"/>
          </w:tcPr>
          <w:p w14:paraId="2D069DB8" w14:textId="77777777" w:rsidR="006F418B" w:rsidRPr="00657824" w:rsidRDefault="006F418B" w:rsidP="00400FA5">
            <w:pPr>
              <w:jc w:val="center"/>
              <w:rPr>
                <w:b/>
                <w:bCs/>
                <w:i/>
                <w:sz w:val="20"/>
                <w:szCs w:val="20"/>
              </w:rPr>
            </w:pPr>
            <w:r w:rsidRPr="00657824">
              <w:rPr>
                <w:b/>
                <w:bCs/>
                <w:i/>
                <w:sz w:val="20"/>
                <w:szCs w:val="20"/>
              </w:rPr>
              <w:t>b</w:t>
            </w:r>
          </w:p>
        </w:tc>
        <w:tc>
          <w:tcPr>
            <w:tcW w:w="1275" w:type="dxa"/>
            <w:shd w:val="clear" w:color="auto" w:fill="F2F2F2" w:themeFill="background1" w:themeFillShade="F2"/>
            <w:vAlign w:val="center"/>
          </w:tcPr>
          <w:p w14:paraId="71DD55B0" w14:textId="624A7E16" w:rsidR="006F418B" w:rsidRPr="00657824" w:rsidRDefault="006F418B" w:rsidP="00400FA5">
            <w:pPr>
              <w:jc w:val="center"/>
              <w:rPr>
                <w:b/>
                <w:bCs/>
                <w:i/>
                <w:sz w:val="20"/>
                <w:szCs w:val="20"/>
              </w:rPr>
            </w:pPr>
            <w:r w:rsidRPr="00657824">
              <w:rPr>
                <w:b/>
                <w:bCs/>
                <w:i/>
                <w:sz w:val="20"/>
                <w:szCs w:val="20"/>
              </w:rPr>
              <w:t>c</w:t>
            </w:r>
            <w:r w:rsidR="001817B9" w:rsidRPr="00657824">
              <w:rPr>
                <w:b/>
                <w:bCs/>
                <w:i/>
                <w:sz w:val="20"/>
                <w:szCs w:val="20"/>
              </w:rPr>
              <w:t xml:space="preserve"> </w:t>
            </w:r>
            <w:r w:rsidRPr="00657824">
              <w:rPr>
                <w:b/>
                <w:bCs/>
                <w:i/>
                <w:sz w:val="20"/>
                <w:szCs w:val="20"/>
              </w:rPr>
              <w:t>=</w:t>
            </w:r>
            <w:r w:rsidR="001817B9" w:rsidRPr="00657824">
              <w:rPr>
                <w:b/>
                <w:bCs/>
                <w:i/>
                <w:sz w:val="20"/>
                <w:szCs w:val="20"/>
              </w:rPr>
              <w:t xml:space="preserve"> </w:t>
            </w:r>
            <w:r w:rsidRPr="00657824">
              <w:rPr>
                <w:b/>
                <w:bCs/>
                <w:i/>
                <w:sz w:val="20"/>
                <w:szCs w:val="20"/>
              </w:rPr>
              <w:t>b</w:t>
            </w:r>
            <w:r w:rsidR="001817B9" w:rsidRPr="00657824">
              <w:rPr>
                <w:b/>
                <w:bCs/>
                <w:i/>
                <w:sz w:val="20"/>
                <w:szCs w:val="20"/>
              </w:rPr>
              <w:t xml:space="preserve"> </w:t>
            </w:r>
            <w:r w:rsidRPr="00657824">
              <w:rPr>
                <w:b/>
                <w:bCs/>
                <w:i/>
                <w:sz w:val="20"/>
                <w:szCs w:val="20"/>
              </w:rPr>
              <w:t>/</w:t>
            </w:r>
            <w:r w:rsidR="001817B9" w:rsidRPr="00657824">
              <w:rPr>
                <w:b/>
                <w:bCs/>
                <w:i/>
                <w:sz w:val="20"/>
                <w:szCs w:val="20"/>
              </w:rPr>
              <w:t xml:space="preserve"> </w:t>
            </w:r>
            <w:r w:rsidRPr="00657824">
              <w:rPr>
                <w:b/>
                <w:bCs/>
                <w:i/>
                <w:sz w:val="20"/>
                <w:szCs w:val="20"/>
              </w:rPr>
              <w:t>'total'b</w:t>
            </w:r>
          </w:p>
        </w:tc>
        <w:tc>
          <w:tcPr>
            <w:tcW w:w="1560" w:type="dxa"/>
            <w:shd w:val="clear" w:color="auto" w:fill="F2F2F2" w:themeFill="background1" w:themeFillShade="F2"/>
            <w:vAlign w:val="center"/>
          </w:tcPr>
          <w:p w14:paraId="532D2378" w14:textId="7ACC7711" w:rsidR="006F418B" w:rsidRPr="00657824" w:rsidRDefault="001817B9" w:rsidP="00400FA5">
            <w:pPr>
              <w:jc w:val="center"/>
              <w:rPr>
                <w:b/>
                <w:bCs/>
                <w:i/>
                <w:sz w:val="20"/>
                <w:szCs w:val="20"/>
              </w:rPr>
            </w:pPr>
            <w:r w:rsidRPr="00657824">
              <w:rPr>
                <w:b/>
                <w:bCs/>
                <w:i/>
                <w:sz w:val="20"/>
                <w:szCs w:val="20"/>
              </w:rPr>
              <w:t>d</w:t>
            </w:r>
            <w:r w:rsidR="00E54157" w:rsidRPr="00657824">
              <w:rPr>
                <w:b/>
                <w:bCs/>
                <w:i/>
                <w:sz w:val="20"/>
                <w:szCs w:val="20"/>
              </w:rPr>
              <w:t xml:space="preserve"> (Table 41)</w:t>
            </w:r>
          </w:p>
        </w:tc>
        <w:tc>
          <w:tcPr>
            <w:tcW w:w="1559" w:type="dxa"/>
            <w:shd w:val="clear" w:color="auto" w:fill="F2F2F2" w:themeFill="background1" w:themeFillShade="F2"/>
            <w:vAlign w:val="center"/>
          </w:tcPr>
          <w:p w14:paraId="05B6870B" w14:textId="73AF7380" w:rsidR="006F418B" w:rsidRPr="00657824" w:rsidRDefault="006F418B" w:rsidP="00400FA5">
            <w:pPr>
              <w:jc w:val="center"/>
              <w:rPr>
                <w:b/>
                <w:bCs/>
                <w:i/>
                <w:sz w:val="20"/>
                <w:szCs w:val="20"/>
              </w:rPr>
            </w:pPr>
            <w:r w:rsidRPr="00657824">
              <w:rPr>
                <w:b/>
                <w:bCs/>
                <w:i/>
                <w:sz w:val="20"/>
                <w:szCs w:val="20"/>
              </w:rPr>
              <w:t>e</w:t>
            </w:r>
            <w:r w:rsidR="001817B9" w:rsidRPr="00657824">
              <w:rPr>
                <w:b/>
                <w:bCs/>
                <w:i/>
                <w:sz w:val="20"/>
                <w:szCs w:val="20"/>
              </w:rPr>
              <w:t xml:space="preserve"> </w:t>
            </w:r>
            <w:r w:rsidRPr="00657824">
              <w:rPr>
                <w:b/>
                <w:bCs/>
                <w:i/>
                <w:sz w:val="20"/>
                <w:szCs w:val="20"/>
              </w:rPr>
              <w:t>=</w:t>
            </w:r>
            <w:r w:rsidR="001817B9" w:rsidRPr="00657824">
              <w:rPr>
                <w:b/>
                <w:bCs/>
                <w:i/>
                <w:sz w:val="20"/>
                <w:szCs w:val="20"/>
              </w:rPr>
              <w:t xml:space="preserve"> </w:t>
            </w:r>
            <w:r w:rsidRPr="00657824">
              <w:rPr>
                <w:b/>
                <w:bCs/>
                <w:i/>
                <w:sz w:val="20"/>
                <w:szCs w:val="20"/>
              </w:rPr>
              <w:t>d</w:t>
            </w:r>
            <w:r w:rsidR="001817B9" w:rsidRPr="00657824">
              <w:rPr>
                <w:b/>
                <w:bCs/>
                <w:i/>
                <w:sz w:val="20"/>
                <w:szCs w:val="20"/>
              </w:rPr>
              <w:t xml:space="preserve"> </w:t>
            </w:r>
            <w:r w:rsidRPr="00657824">
              <w:rPr>
                <w:b/>
                <w:bCs/>
                <w:i/>
                <w:sz w:val="20"/>
                <w:szCs w:val="20"/>
              </w:rPr>
              <w:t>*</w:t>
            </w:r>
            <w:r w:rsidR="001817B9" w:rsidRPr="00657824">
              <w:rPr>
                <w:b/>
                <w:bCs/>
                <w:i/>
                <w:sz w:val="20"/>
                <w:szCs w:val="20"/>
              </w:rPr>
              <w:t xml:space="preserve"> </w:t>
            </w:r>
            <w:r w:rsidRPr="00657824">
              <w:rPr>
                <w:b/>
                <w:bCs/>
                <w:i/>
                <w:sz w:val="20"/>
                <w:szCs w:val="20"/>
              </w:rPr>
              <w:t>c</w:t>
            </w:r>
          </w:p>
        </w:tc>
        <w:tc>
          <w:tcPr>
            <w:tcW w:w="1843" w:type="dxa"/>
            <w:shd w:val="clear" w:color="auto" w:fill="F2F2F2" w:themeFill="background1" w:themeFillShade="F2"/>
            <w:vAlign w:val="center"/>
          </w:tcPr>
          <w:p w14:paraId="4667594F" w14:textId="1100CC54" w:rsidR="006F418B" w:rsidRPr="00657824" w:rsidRDefault="001817B9" w:rsidP="00400FA5">
            <w:pPr>
              <w:jc w:val="center"/>
              <w:rPr>
                <w:b/>
                <w:bCs/>
                <w:i/>
                <w:sz w:val="20"/>
                <w:szCs w:val="20"/>
              </w:rPr>
            </w:pPr>
            <w:r w:rsidRPr="00657824">
              <w:rPr>
                <w:b/>
                <w:bCs/>
                <w:i/>
                <w:sz w:val="20"/>
                <w:szCs w:val="20"/>
              </w:rPr>
              <w:t xml:space="preserve">f </w:t>
            </w:r>
            <w:r w:rsidR="006F418B" w:rsidRPr="00657824">
              <w:rPr>
                <w:b/>
                <w:bCs/>
                <w:i/>
                <w:sz w:val="20"/>
                <w:szCs w:val="20"/>
              </w:rPr>
              <w:t>=</w:t>
            </w:r>
            <w:r w:rsidRPr="00657824">
              <w:rPr>
                <w:b/>
                <w:bCs/>
                <w:i/>
                <w:sz w:val="20"/>
                <w:szCs w:val="20"/>
              </w:rPr>
              <w:t xml:space="preserve"> </w:t>
            </w:r>
            <w:r w:rsidR="006F418B" w:rsidRPr="00657824">
              <w:rPr>
                <w:b/>
                <w:bCs/>
                <w:i/>
                <w:sz w:val="20"/>
                <w:szCs w:val="20"/>
              </w:rPr>
              <w:t>e</w:t>
            </w:r>
            <w:r w:rsidRPr="00657824">
              <w:rPr>
                <w:b/>
                <w:bCs/>
                <w:i/>
                <w:sz w:val="20"/>
                <w:szCs w:val="20"/>
              </w:rPr>
              <w:t xml:space="preserve"> </w:t>
            </w:r>
            <w:r w:rsidR="006F418B" w:rsidRPr="00657824">
              <w:rPr>
                <w:b/>
                <w:bCs/>
                <w:i/>
                <w:sz w:val="20"/>
                <w:szCs w:val="20"/>
              </w:rPr>
              <w:t>/</w:t>
            </w:r>
            <w:r w:rsidRPr="00657824">
              <w:rPr>
                <w:b/>
                <w:bCs/>
                <w:i/>
                <w:sz w:val="20"/>
                <w:szCs w:val="20"/>
              </w:rPr>
              <w:t xml:space="preserve"> </w:t>
            </w:r>
            <w:r w:rsidR="006F418B" w:rsidRPr="00657824">
              <w:rPr>
                <w:b/>
                <w:bCs/>
                <w:i/>
                <w:sz w:val="20"/>
                <w:szCs w:val="20"/>
              </w:rPr>
              <w:t>a</w:t>
            </w:r>
          </w:p>
        </w:tc>
      </w:tr>
      <w:tr w:rsidR="00E92BAC" w:rsidRPr="003C3FC2" w14:paraId="33938933" w14:textId="77777777" w:rsidTr="00400FA5">
        <w:trPr>
          <w:trHeight w:val="397"/>
        </w:trPr>
        <w:tc>
          <w:tcPr>
            <w:tcW w:w="988" w:type="dxa"/>
            <w:vAlign w:val="center"/>
          </w:tcPr>
          <w:p w14:paraId="167B232C" w14:textId="77777777" w:rsidR="001817B9" w:rsidRPr="00657824" w:rsidRDefault="001817B9" w:rsidP="00BB3C33">
            <w:pPr>
              <w:rPr>
                <w:sz w:val="20"/>
                <w:szCs w:val="20"/>
              </w:rPr>
            </w:pPr>
            <w:r w:rsidRPr="00657824">
              <w:rPr>
                <w:sz w:val="20"/>
                <w:szCs w:val="20"/>
              </w:rPr>
              <w:t>European /Other</w:t>
            </w:r>
          </w:p>
        </w:tc>
        <w:tc>
          <w:tcPr>
            <w:tcW w:w="1134" w:type="dxa"/>
            <w:vAlign w:val="center"/>
          </w:tcPr>
          <w:p w14:paraId="0D010BC1" w14:textId="6D5C886E" w:rsidR="001817B9" w:rsidRPr="00657824" w:rsidRDefault="001817B9" w:rsidP="00BB3C33">
            <w:pPr>
              <w:jc w:val="right"/>
              <w:rPr>
                <w:sz w:val="20"/>
                <w:szCs w:val="20"/>
              </w:rPr>
            </w:pPr>
            <w:r w:rsidRPr="00657824">
              <w:rPr>
                <w:sz w:val="20"/>
                <w:szCs w:val="20"/>
              </w:rPr>
              <w:t>1,662,682</w:t>
            </w:r>
          </w:p>
        </w:tc>
        <w:tc>
          <w:tcPr>
            <w:tcW w:w="1134" w:type="dxa"/>
            <w:vAlign w:val="center"/>
          </w:tcPr>
          <w:p w14:paraId="7C2CAA80" w14:textId="0A49AA5A" w:rsidR="001817B9" w:rsidRPr="00657824" w:rsidRDefault="001817B9" w:rsidP="00BB3C33">
            <w:pPr>
              <w:jc w:val="right"/>
              <w:rPr>
                <w:sz w:val="20"/>
                <w:szCs w:val="20"/>
              </w:rPr>
            </w:pPr>
            <w:r w:rsidRPr="00657824">
              <w:rPr>
                <w:sz w:val="20"/>
                <w:szCs w:val="20"/>
              </w:rPr>
              <w:t>294,254</w:t>
            </w:r>
          </w:p>
        </w:tc>
        <w:tc>
          <w:tcPr>
            <w:tcW w:w="1275" w:type="dxa"/>
            <w:vAlign w:val="center"/>
          </w:tcPr>
          <w:p w14:paraId="5895E3F7" w14:textId="77777777" w:rsidR="001817B9" w:rsidRPr="00657824" w:rsidRDefault="001817B9" w:rsidP="00BB3C33">
            <w:pPr>
              <w:jc w:val="right"/>
              <w:rPr>
                <w:sz w:val="20"/>
                <w:szCs w:val="20"/>
              </w:rPr>
            </w:pPr>
            <w:r w:rsidRPr="00657824">
              <w:rPr>
                <w:sz w:val="20"/>
                <w:szCs w:val="20"/>
              </w:rPr>
              <w:t>58.2%</w:t>
            </w:r>
          </w:p>
        </w:tc>
        <w:tc>
          <w:tcPr>
            <w:tcW w:w="1560" w:type="dxa"/>
            <w:vAlign w:val="center"/>
          </w:tcPr>
          <w:p w14:paraId="09575120" w14:textId="66AB5D73" w:rsidR="001817B9" w:rsidRPr="00657824" w:rsidRDefault="001817B9" w:rsidP="00BB3C33">
            <w:pPr>
              <w:jc w:val="right"/>
              <w:rPr>
                <w:sz w:val="20"/>
                <w:szCs w:val="20"/>
              </w:rPr>
            </w:pPr>
            <w:r w:rsidRPr="00657824">
              <w:rPr>
                <w:color w:val="000000"/>
                <w:sz w:val="20"/>
                <w:szCs w:val="20"/>
              </w:rPr>
              <w:t>$787,198,451</w:t>
            </w:r>
          </w:p>
        </w:tc>
        <w:tc>
          <w:tcPr>
            <w:tcW w:w="1559" w:type="dxa"/>
            <w:vAlign w:val="center"/>
          </w:tcPr>
          <w:p w14:paraId="75CFFCA8" w14:textId="1C150F79" w:rsidR="001817B9" w:rsidRPr="00657824" w:rsidRDefault="001817B9" w:rsidP="00BB3C33">
            <w:pPr>
              <w:jc w:val="right"/>
              <w:rPr>
                <w:sz w:val="20"/>
                <w:szCs w:val="20"/>
              </w:rPr>
            </w:pPr>
            <w:r w:rsidRPr="00657824">
              <w:rPr>
                <w:color w:val="000000"/>
                <w:sz w:val="20"/>
                <w:szCs w:val="20"/>
              </w:rPr>
              <w:t>$458,292,77</w:t>
            </w:r>
            <w:r w:rsidR="00657824">
              <w:rPr>
                <w:color w:val="000000"/>
                <w:sz w:val="20"/>
                <w:szCs w:val="20"/>
              </w:rPr>
              <w:t>7</w:t>
            </w:r>
          </w:p>
        </w:tc>
        <w:tc>
          <w:tcPr>
            <w:tcW w:w="1843" w:type="dxa"/>
            <w:vAlign w:val="center"/>
          </w:tcPr>
          <w:p w14:paraId="471CB689" w14:textId="6FDAFFC4" w:rsidR="001817B9" w:rsidRPr="00657824" w:rsidRDefault="001817B9" w:rsidP="00BB3C33">
            <w:pPr>
              <w:jc w:val="right"/>
              <w:rPr>
                <w:sz w:val="20"/>
                <w:szCs w:val="20"/>
              </w:rPr>
            </w:pPr>
            <w:r w:rsidRPr="00657824">
              <w:rPr>
                <w:color w:val="000000"/>
                <w:sz w:val="20"/>
                <w:szCs w:val="20"/>
              </w:rPr>
              <w:t>$276</w:t>
            </w:r>
          </w:p>
        </w:tc>
      </w:tr>
      <w:tr w:rsidR="00E92BAC" w:rsidRPr="003C3FC2" w14:paraId="412B6B87" w14:textId="77777777" w:rsidTr="00400FA5">
        <w:trPr>
          <w:trHeight w:val="397"/>
        </w:trPr>
        <w:tc>
          <w:tcPr>
            <w:tcW w:w="988" w:type="dxa"/>
            <w:vAlign w:val="center"/>
          </w:tcPr>
          <w:p w14:paraId="3E0344CA" w14:textId="77777777" w:rsidR="001817B9" w:rsidRPr="00657824" w:rsidRDefault="001817B9" w:rsidP="00BB3C33">
            <w:pPr>
              <w:rPr>
                <w:sz w:val="20"/>
                <w:szCs w:val="20"/>
              </w:rPr>
            </w:pPr>
            <w:r w:rsidRPr="00657824">
              <w:rPr>
                <w:sz w:val="20"/>
                <w:szCs w:val="20"/>
              </w:rPr>
              <w:t>Māori</w:t>
            </w:r>
          </w:p>
        </w:tc>
        <w:tc>
          <w:tcPr>
            <w:tcW w:w="1134" w:type="dxa"/>
            <w:vAlign w:val="center"/>
          </w:tcPr>
          <w:p w14:paraId="1E72DC5E" w14:textId="773C926A" w:rsidR="001817B9" w:rsidRPr="00657824" w:rsidRDefault="001817B9" w:rsidP="00BB3C33">
            <w:pPr>
              <w:jc w:val="right"/>
              <w:rPr>
                <w:sz w:val="20"/>
                <w:szCs w:val="20"/>
              </w:rPr>
            </w:pPr>
            <w:r w:rsidRPr="00657824">
              <w:rPr>
                <w:sz w:val="20"/>
                <w:szCs w:val="20"/>
              </w:rPr>
              <w:t>433,698</w:t>
            </w:r>
          </w:p>
        </w:tc>
        <w:tc>
          <w:tcPr>
            <w:tcW w:w="1134" w:type="dxa"/>
            <w:vAlign w:val="center"/>
          </w:tcPr>
          <w:p w14:paraId="377CB39A" w14:textId="00524F11" w:rsidR="001817B9" w:rsidRPr="00657824" w:rsidRDefault="001817B9" w:rsidP="00BB3C33">
            <w:pPr>
              <w:jc w:val="right"/>
              <w:rPr>
                <w:sz w:val="20"/>
                <w:szCs w:val="20"/>
              </w:rPr>
            </w:pPr>
            <w:r w:rsidRPr="00657824">
              <w:rPr>
                <w:sz w:val="20"/>
                <w:szCs w:val="20"/>
              </w:rPr>
              <w:t>152,919</w:t>
            </w:r>
          </w:p>
        </w:tc>
        <w:tc>
          <w:tcPr>
            <w:tcW w:w="1275" w:type="dxa"/>
            <w:vAlign w:val="center"/>
          </w:tcPr>
          <w:p w14:paraId="4602F04A" w14:textId="77777777" w:rsidR="001817B9" w:rsidRPr="00657824" w:rsidRDefault="001817B9" w:rsidP="00BB3C33">
            <w:pPr>
              <w:jc w:val="right"/>
              <w:rPr>
                <w:sz w:val="20"/>
                <w:szCs w:val="20"/>
              </w:rPr>
            </w:pPr>
            <w:r w:rsidRPr="00657824">
              <w:rPr>
                <w:sz w:val="20"/>
                <w:szCs w:val="20"/>
              </w:rPr>
              <w:t>30.3%</w:t>
            </w:r>
          </w:p>
        </w:tc>
        <w:tc>
          <w:tcPr>
            <w:tcW w:w="1560" w:type="dxa"/>
            <w:vAlign w:val="center"/>
          </w:tcPr>
          <w:p w14:paraId="79C91C73" w14:textId="3F92F272" w:rsidR="001817B9" w:rsidRPr="00657824" w:rsidRDefault="001817B9" w:rsidP="00BB3C33">
            <w:pPr>
              <w:jc w:val="right"/>
              <w:rPr>
                <w:sz w:val="20"/>
                <w:szCs w:val="20"/>
              </w:rPr>
            </w:pPr>
            <w:r w:rsidRPr="00657824">
              <w:rPr>
                <w:color w:val="000000"/>
                <w:sz w:val="20"/>
                <w:szCs w:val="20"/>
              </w:rPr>
              <w:t>$787,198,451</w:t>
            </w:r>
          </w:p>
        </w:tc>
        <w:tc>
          <w:tcPr>
            <w:tcW w:w="1559" w:type="dxa"/>
            <w:vAlign w:val="center"/>
          </w:tcPr>
          <w:p w14:paraId="33555240" w14:textId="20331F09" w:rsidR="001817B9" w:rsidRPr="00657824" w:rsidRDefault="001817B9" w:rsidP="00BB3C33">
            <w:pPr>
              <w:jc w:val="right"/>
              <w:rPr>
                <w:sz w:val="20"/>
                <w:szCs w:val="20"/>
              </w:rPr>
            </w:pPr>
            <w:r w:rsidRPr="00657824">
              <w:rPr>
                <w:color w:val="000000"/>
                <w:sz w:val="20"/>
                <w:szCs w:val="20"/>
              </w:rPr>
              <w:t>$238,167,274</w:t>
            </w:r>
          </w:p>
        </w:tc>
        <w:tc>
          <w:tcPr>
            <w:tcW w:w="1843" w:type="dxa"/>
            <w:vAlign w:val="center"/>
          </w:tcPr>
          <w:p w14:paraId="6B413F6F" w14:textId="5C0A1DD1" w:rsidR="001817B9" w:rsidRPr="00657824" w:rsidRDefault="001817B9" w:rsidP="00BB3C33">
            <w:pPr>
              <w:jc w:val="right"/>
              <w:rPr>
                <w:sz w:val="20"/>
                <w:szCs w:val="20"/>
              </w:rPr>
            </w:pPr>
            <w:r w:rsidRPr="00657824">
              <w:rPr>
                <w:color w:val="000000"/>
                <w:sz w:val="20"/>
                <w:szCs w:val="20"/>
              </w:rPr>
              <w:t>$549</w:t>
            </w:r>
          </w:p>
        </w:tc>
      </w:tr>
      <w:tr w:rsidR="00E92BAC" w:rsidRPr="003C3FC2" w14:paraId="68B801FF" w14:textId="77777777" w:rsidTr="00400FA5">
        <w:trPr>
          <w:trHeight w:val="397"/>
        </w:trPr>
        <w:tc>
          <w:tcPr>
            <w:tcW w:w="988" w:type="dxa"/>
            <w:vAlign w:val="center"/>
          </w:tcPr>
          <w:p w14:paraId="39C8EA97" w14:textId="77777777" w:rsidR="001817B9" w:rsidRPr="00657824" w:rsidRDefault="001817B9" w:rsidP="00BB3C33">
            <w:pPr>
              <w:rPr>
                <w:sz w:val="20"/>
                <w:szCs w:val="20"/>
              </w:rPr>
            </w:pPr>
            <w:r w:rsidRPr="00657824">
              <w:rPr>
                <w:sz w:val="20"/>
                <w:szCs w:val="20"/>
              </w:rPr>
              <w:t>Pacific</w:t>
            </w:r>
          </w:p>
        </w:tc>
        <w:tc>
          <w:tcPr>
            <w:tcW w:w="1134" w:type="dxa"/>
            <w:vAlign w:val="center"/>
          </w:tcPr>
          <w:p w14:paraId="6BDC86CF" w14:textId="1678330D" w:rsidR="001817B9" w:rsidRPr="00657824" w:rsidRDefault="001817B9" w:rsidP="00BB3C33">
            <w:pPr>
              <w:jc w:val="right"/>
              <w:rPr>
                <w:sz w:val="20"/>
                <w:szCs w:val="20"/>
              </w:rPr>
            </w:pPr>
            <w:r w:rsidRPr="00657824">
              <w:rPr>
                <w:sz w:val="20"/>
                <w:szCs w:val="20"/>
              </w:rPr>
              <w:t>159,766</w:t>
            </w:r>
          </w:p>
        </w:tc>
        <w:tc>
          <w:tcPr>
            <w:tcW w:w="1134" w:type="dxa"/>
            <w:vAlign w:val="center"/>
          </w:tcPr>
          <w:p w14:paraId="062C98E1" w14:textId="775B292A" w:rsidR="001817B9" w:rsidRPr="00657824" w:rsidRDefault="001817B9" w:rsidP="00BB3C33">
            <w:pPr>
              <w:jc w:val="right"/>
              <w:rPr>
                <w:sz w:val="20"/>
                <w:szCs w:val="20"/>
              </w:rPr>
            </w:pPr>
            <w:r w:rsidRPr="00657824">
              <w:rPr>
                <w:sz w:val="20"/>
                <w:szCs w:val="20"/>
              </w:rPr>
              <w:t>38,763</w:t>
            </w:r>
          </w:p>
        </w:tc>
        <w:tc>
          <w:tcPr>
            <w:tcW w:w="1275" w:type="dxa"/>
            <w:vAlign w:val="center"/>
          </w:tcPr>
          <w:p w14:paraId="77F1B5F1" w14:textId="77777777" w:rsidR="001817B9" w:rsidRPr="00657824" w:rsidRDefault="001817B9" w:rsidP="00BB3C33">
            <w:pPr>
              <w:jc w:val="right"/>
              <w:rPr>
                <w:sz w:val="20"/>
                <w:szCs w:val="20"/>
              </w:rPr>
            </w:pPr>
            <w:r w:rsidRPr="00657824">
              <w:rPr>
                <w:sz w:val="20"/>
                <w:szCs w:val="20"/>
              </w:rPr>
              <w:t>7.7%</w:t>
            </w:r>
          </w:p>
        </w:tc>
        <w:tc>
          <w:tcPr>
            <w:tcW w:w="1560" w:type="dxa"/>
            <w:vAlign w:val="center"/>
          </w:tcPr>
          <w:p w14:paraId="0EDDE653" w14:textId="0B26CC72" w:rsidR="001817B9" w:rsidRPr="00657824" w:rsidRDefault="001817B9" w:rsidP="00BB3C33">
            <w:pPr>
              <w:jc w:val="right"/>
              <w:rPr>
                <w:sz w:val="20"/>
                <w:szCs w:val="20"/>
              </w:rPr>
            </w:pPr>
            <w:r w:rsidRPr="00657824">
              <w:rPr>
                <w:color w:val="000000"/>
                <w:sz w:val="20"/>
                <w:szCs w:val="20"/>
              </w:rPr>
              <w:t>$787,198,451</w:t>
            </w:r>
          </w:p>
        </w:tc>
        <w:tc>
          <w:tcPr>
            <w:tcW w:w="1559" w:type="dxa"/>
            <w:vAlign w:val="center"/>
          </w:tcPr>
          <w:p w14:paraId="71D9B6B8" w14:textId="4C7BB73D" w:rsidR="001817B9" w:rsidRPr="00657824" w:rsidRDefault="001817B9" w:rsidP="00BB3C33">
            <w:pPr>
              <w:jc w:val="right"/>
              <w:rPr>
                <w:sz w:val="20"/>
                <w:szCs w:val="20"/>
              </w:rPr>
            </w:pPr>
            <w:r w:rsidRPr="00657824">
              <w:rPr>
                <w:color w:val="000000"/>
                <w:sz w:val="20"/>
                <w:szCs w:val="20"/>
              </w:rPr>
              <w:t>$60,372,341</w:t>
            </w:r>
          </w:p>
        </w:tc>
        <w:tc>
          <w:tcPr>
            <w:tcW w:w="1843" w:type="dxa"/>
            <w:vAlign w:val="center"/>
          </w:tcPr>
          <w:p w14:paraId="4843B65E" w14:textId="7BD3E436" w:rsidR="001817B9" w:rsidRPr="00657824" w:rsidRDefault="001817B9" w:rsidP="00BB3C33">
            <w:pPr>
              <w:jc w:val="right"/>
              <w:rPr>
                <w:sz w:val="20"/>
                <w:szCs w:val="20"/>
              </w:rPr>
            </w:pPr>
            <w:r w:rsidRPr="00657824">
              <w:rPr>
                <w:color w:val="000000"/>
                <w:sz w:val="20"/>
                <w:szCs w:val="20"/>
              </w:rPr>
              <w:t>$378</w:t>
            </w:r>
          </w:p>
        </w:tc>
      </w:tr>
      <w:tr w:rsidR="00E92BAC" w:rsidRPr="003C3FC2" w14:paraId="6886C8D8" w14:textId="77777777" w:rsidTr="00400FA5">
        <w:trPr>
          <w:trHeight w:val="397"/>
        </w:trPr>
        <w:tc>
          <w:tcPr>
            <w:tcW w:w="988" w:type="dxa"/>
            <w:vAlign w:val="center"/>
          </w:tcPr>
          <w:p w14:paraId="76318945" w14:textId="77777777" w:rsidR="001817B9" w:rsidRPr="00657824" w:rsidRDefault="001817B9" w:rsidP="00BB3C33">
            <w:pPr>
              <w:rPr>
                <w:sz w:val="20"/>
                <w:szCs w:val="20"/>
              </w:rPr>
            </w:pPr>
            <w:r w:rsidRPr="00657824">
              <w:rPr>
                <w:sz w:val="20"/>
                <w:szCs w:val="20"/>
              </w:rPr>
              <w:t>Asian</w:t>
            </w:r>
          </w:p>
        </w:tc>
        <w:tc>
          <w:tcPr>
            <w:tcW w:w="1134" w:type="dxa"/>
            <w:vAlign w:val="center"/>
          </w:tcPr>
          <w:p w14:paraId="656C2303" w14:textId="0C1FD330" w:rsidR="001817B9" w:rsidRPr="00657824" w:rsidRDefault="001817B9" w:rsidP="00BB3C33">
            <w:pPr>
              <w:jc w:val="right"/>
              <w:rPr>
                <w:sz w:val="20"/>
                <w:szCs w:val="20"/>
              </w:rPr>
            </w:pPr>
            <w:r w:rsidRPr="00657824">
              <w:rPr>
                <w:sz w:val="20"/>
                <w:szCs w:val="20"/>
              </w:rPr>
              <w:t>358,578</w:t>
            </w:r>
          </w:p>
        </w:tc>
        <w:tc>
          <w:tcPr>
            <w:tcW w:w="1134" w:type="dxa"/>
            <w:vAlign w:val="center"/>
          </w:tcPr>
          <w:p w14:paraId="0088092E" w14:textId="13A15390" w:rsidR="001817B9" w:rsidRPr="00657824" w:rsidRDefault="001817B9" w:rsidP="00BB3C33">
            <w:pPr>
              <w:jc w:val="right"/>
              <w:rPr>
                <w:sz w:val="20"/>
                <w:szCs w:val="20"/>
              </w:rPr>
            </w:pPr>
            <w:r w:rsidRPr="00657824">
              <w:rPr>
                <w:sz w:val="20"/>
                <w:szCs w:val="20"/>
              </w:rPr>
              <w:t>19,497</w:t>
            </w:r>
          </w:p>
        </w:tc>
        <w:tc>
          <w:tcPr>
            <w:tcW w:w="1275" w:type="dxa"/>
            <w:vAlign w:val="center"/>
          </w:tcPr>
          <w:p w14:paraId="7DD4CA14" w14:textId="77777777" w:rsidR="001817B9" w:rsidRPr="00657824" w:rsidRDefault="001817B9" w:rsidP="00BB3C33">
            <w:pPr>
              <w:jc w:val="right"/>
              <w:rPr>
                <w:sz w:val="20"/>
                <w:szCs w:val="20"/>
              </w:rPr>
            </w:pPr>
            <w:r w:rsidRPr="00657824">
              <w:rPr>
                <w:sz w:val="20"/>
                <w:szCs w:val="20"/>
              </w:rPr>
              <w:t>3.9%</w:t>
            </w:r>
          </w:p>
        </w:tc>
        <w:tc>
          <w:tcPr>
            <w:tcW w:w="1560" w:type="dxa"/>
            <w:vAlign w:val="center"/>
          </w:tcPr>
          <w:p w14:paraId="67594D16" w14:textId="0AE6E382" w:rsidR="001817B9" w:rsidRPr="00657824" w:rsidRDefault="001817B9" w:rsidP="00BB3C33">
            <w:pPr>
              <w:jc w:val="right"/>
              <w:rPr>
                <w:sz w:val="20"/>
                <w:szCs w:val="20"/>
              </w:rPr>
            </w:pPr>
            <w:r w:rsidRPr="00657824">
              <w:rPr>
                <w:color w:val="000000"/>
                <w:sz w:val="20"/>
                <w:szCs w:val="20"/>
              </w:rPr>
              <w:t>$787,198,451</w:t>
            </w:r>
          </w:p>
        </w:tc>
        <w:tc>
          <w:tcPr>
            <w:tcW w:w="1559" w:type="dxa"/>
            <w:vAlign w:val="center"/>
          </w:tcPr>
          <w:p w14:paraId="67EF390E" w14:textId="4486DFDA" w:rsidR="001817B9" w:rsidRPr="00657824" w:rsidRDefault="001817B9" w:rsidP="00BB3C33">
            <w:pPr>
              <w:jc w:val="right"/>
              <w:rPr>
                <w:sz w:val="20"/>
                <w:szCs w:val="20"/>
              </w:rPr>
            </w:pPr>
            <w:r w:rsidRPr="00657824">
              <w:rPr>
                <w:color w:val="000000"/>
                <w:sz w:val="20"/>
                <w:szCs w:val="20"/>
              </w:rPr>
              <w:t>$30,366,05</w:t>
            </w:r>
            <w:r w:rsidR="00657824">
              <w:rPr>
                <w:color w:val="000000"/>
                <w:sz w:val="20"/>
                <w:szCs w:val="20"/>
              </w:rPr>
              <w:t>9</w:t>
            </w:r>
          </w:p>
        </w:tc>
        <w:tc>
          <w:tcPr>
            <w:tcW w:w="1843" w:type="dxa"/>
            <w:vAlign w:val="center"/>
          </w:tcPr>
          <w:p w14:paraId="5F6CB5C9" w14:textId="1C63D4E5" w:rsidR="001817B9" w:rsidRPr="00657824" w:rsidRDefault="001817B9" w:rsidP="00BB3C33">
            <w:pPr>
              <w:jc w:val="right"/>
              <w:rPr>
                <w:sz w:val="20"/>
                <w:szCs w:val="20"/>
              </w:rPr>
            </w:pPr>
            <w:r w:rsidRPr="00657824">
              <w:rPr>
                <w:color w:val="000000"/>
                <w:sz w:val="20"/>
                <w:szCs w:val="20"/>
              </w:rPr>
              <w:t>$85</w:t>
            </w:r>
          </w:p>
        </w:tc>
      </w:tr>
      <w:tr w:rsidR="00E92BAC" w:rsidRPr="003C3FC2" w14:paraId="21A6CF5A" w14:textId="77777777" w:rsidTr="00400FA5">
        <w:trPr>
          <w:trHeight w:val="397"/>
        </w:trPr>
        <w:tc>
          <w:tcPr>
            <w:tcW w:w="988" w:type="dxa"/>
            <w:vAlign w:val="center"/>
          </w:tcPr>
          <w:p w14:paraId="15D3E4BB" w14:textId="77777777" w:rsidR="001817B9" w:rsidRPr="00657824" w:rsidRDefault="001817B9" w:rsidP="00BB3C33">
            <w:pPr>
              <w:rPr>
                <w:sz w:val="20"/>
                <w:szCs w:val="20"/>
              </w:rPr>
            </w:pPr>
            <w:r w:rsidRPr="00657824">
              <w:rPr>
                <w:sz w:val="20"/>
                <w:szCs w:val="20"/>
              </w:rPr>
              <w:t>Total</w:t>
            </w:r>
          </w:p>
        </w:tc>
        <w:tc>
          <w:tcPr>
            <w:tcW w:w="1134" w:type="dxa"/>
            <w:vAlign w:val="center"/>
          </w:tcPr>
          <w:p w14:paraId="7CFAA0BD" w14:textId="130F27DA" w:rsidR="001817B9" w:rsidRPr="00657824" w:rsidRDefault="001817B9" w:rsidP="00BB3C33">
            <w:pPr>
              <w:jc w:val="right"/>
              <w:rPr>
                <w:sz w:val="20"/>
                <w:szCs w:val="20"/>
              </w:rPr>
            </w:pPr>
            <w:r w:rsidRPr="00657824">
              <w:rPr>
                <w:sz w:val="20"/>
                <w:szCs w:val="20"/>
              </w:rPr>
              <w:t>2,614,725</w:t>
            </w:r>
          </w:p>
        </w:tc>
        <w:tc>
          <w:tcPr>
            <w:tcW w:w="1134" w:type="dxa"/>
            <w:vAlign w:val="center"/>
          </w:tcPr>
          <w:p w14:paraId="35F56574" w14:textId="2C941B1C" w:rsidR="001817B9" w:rsidRPr="00657824" w:rsidRDefault="001817B9" w:rsidP="00BB3C33">
            <w:pPr>
              <w:jc w:val="right"/>
              <w:rPr>
                <w:sz w:val="20"/>
                <w:szCs w:val="20"/>
              </w:rPr>
            </w:pPr>
            <w:r w:rsidRPr="00657824">
              <w:rPr>
                <w:sz w:val="20"/>
                <w:szCs w:val="20"/>
              </w:rPr>
              <w:t>505,433</w:t>
            </w:r>
          </w:p>
        </w:tc>
        <w:tc>
          <w:tcPr>
            <w:tcW w:w="1275" w:type="dxa"/>
            <w:vAlign w:val="center"/>
          </w:tcPr>
          <w:p w14:paraId="2241D11C" w14:textId="77777777" w:rsidR="001817B9" w:rsidRPr="00657824" w:rsidRDefault="001817B9" w:rsidP="00BB3C33">
            <w:pPr>
              <w:jc w:val="right"/>
              <w:rPr>
                <w:sz w:val="20"/>
                <w:szCs w:val="20"/>
              </w:rPr>
            </w:pPr>
            <w:r w:rsidRPr="00657824">
              <w:rPr>
                <w:sz w:val="20"/>
                <w:szCs w:val="20"/>
              </w:rPr>
              <w:t>100%</w:t>
            </w:r>
          </w:p>
        </w:tc>
        <w:tc>
          <w:tcPr>
            <w:tcW w:w="1560" w:type="dxa"/>
            <w:vAlign w:val="center"/>
          </w:tcPr>
          <w:p w14:paraId="51FFDAF7" w14:textId="3CEB2032" w:rsidR="001817B9" w:rsidRPr="00657824" w:rsidRDefault="001817B9" w:rsidP="00BB3C33">
            <w:pPr>
              <w:jc w:val="right"/>
              <w:rPr>
                <w:sz w:val="20"/>
                <w:szCs w:val="20"/>
              </w:rPr>
            </w:pPr>
            <w:r w:rsidRPr="00657824">
              <w:rPr>
                <w:color w:val="000000"/>
                <w:sz w:val="20"/>
                <w:szCs w:val="20"/>
              </w:rPr>
              <w:t>$787,198,451</w:t>
            </w:r>
          </w:p>
        </w:tc>
        <w:tc>
          <w:tcPr>
            <w:tcW w:w="1559" w:type="dxa"/>
            <w:vAlign w:val="center"/>
          </w:tcPr>
          <w:p w14:paraId="5F800D9F" w14:textId="63E631D7" w:rsidR="001817B9" w:rsidRPr="00657824" w:rsidRDefault="001817B9" w:rsidP="00BB3C33">
            <w:pPr>
              <w:jc w:val="right"/>
              <w:rPr>
                <w:sz w:val="20"/>
                <w:szCs w:val="20"/>
              </w:rPr>
            </w:pPr>
            <w:r w:rsidRPr="00657824">
              <w:rPr>
                <w:color w:val="000000"/>
                <w:sz w:val="20"/>
                <w:szCs w:val="20"/>
              </w:rPr>
              <w:t>$787,198,451</w:t>
            </w:r>
          </w:p>
        </w:tc>
        <w:tc>
          <w:tcPr>
            <w:tcW w:w="1843" w:type="dxa"/>
            <w:vAlign w:val="center"/>
          </w:tcPr>
          <w:p w14:paraId="4E976913" w14:textId="40B77BCE" w:rsidR="001817B9" w:rsidRPr="00657824" w:rsidRDefault="001817B9" w:rsidP="00BB3C33">
            <w:pPr>
              <w:jc w:val="right"/>
              <w:rPr>
                <w:sz w:val="20"/>
                <w:szCs w:val="20"/>
              </w:rPr>
            </w:pPr>
            <w:r w:rsidRPr="00657824">
              <w:rPr>
                <w:color w:val="000000"/>
                <w:sz w:val="20"/>
                <w:szCs w:val="20"/>
              </w:rPr>
              <w:t>$301</w:t>
            </w:r>
          </w:p>
        </w:tc>
      </w:tr>
    </w:tbl>
    <w:p w14:paraId="176D742F" w14:textId="77777777" w:rsidR="006F418B" w:rsidRDefault="006F418B" w:rsidP="006F418B">
      <w:pPr>
        <w:rPr>
          <w:b/>
        </w:rPr>
      </w:pPr>
    </w:p>
    <w:p w14:paraId="5D0EE34C" w14:textId="77777777" w:rsidR="006F418B" w:rsidRDefault="006F418B" w:rsidP="00657824">
      <w:pPr>
        <w:pStyle w:val="Heading2"/>
      </w:pPr>
      <w:bookmarkStart w:id="542" w:name="_heading=h.qz0n5niz7lba" w:colFirst="0" w:colLast="0"/>
      <w:bookmarkStart w:id="543" w:name="_Toc207196006"/>
      <w:bookmarkEnd w:id="542"/>
      <w:r>
        <w:t xml:space="preserve">Policy 4: A sinking-lid policy to reduce the number of in-person </w:t>
      </w:r>
      <w:r w:rsidRPr="00657824">
        <w:t>EGMs</w:t>
      </w:r>
      <w:bookmarkEnd w:id="543"/>
    </w:p>
    <w:p w14:paraId="1F32CB9B" w14:textId="77777777" w:rsidR="006F418B" w:rsidRDefault="006F418B" w:rsidP="00C30E1A">
      <w:pPr>
        <w:pStyle w:val="Heading3"/>
      </w:pPr>
      <w:bookmarkStart w:id="544" w:name="_Toc207196007"/>
      <w:r>
        <w:t>Introduction</w:t>
      </w:r>
      <w:bookmarkEnd w:id="544"/>
    </w:p>
    <w:p w14:paraId="7AB9A97C" w14:textId="2A9ECDC1" w:rsidR="006F418B" w:rsidRDefault="006F418B" w:rsidP="00135DF0">
      <w:pPr>
        <w:spacing w:line="360" w:lineRule="auto"/>
      </w:pPr>
      <w:r>
        <w:t>Several territorial authorities in New Zealand have introduced sinking</w:t>
      </w:r>
      <w:r w:rsidR="00502394">
        <w:t>-</w:t>
      </w:r>
      <w:r>
        <w:t xml:space="preserve">lid policies for EGMs. These policies are designed to gradually reduce the number of EGMs by prohibiting the transfer of licences for </w:t>
      </w:r>
      <w:r w:rsidR="00502394">
        <w:t>C</w:t>
      </w:r>
      <w:r>
        <w:t>lass 4 gambling venues (i.e., not casinos). </w:t>
      </w:r>
      <w:r w:rsidR="003C3FC2">
        <w:t xml:space="preserve">Erwin et al. (2022) </w:t>
      </w:r>
      <w:r>
        <w:t>estimated the impact of these sinking</w:t>
      </w:r>
      <w:r w:rsidR="00502394">
        <w:t>-</w:t>
      </w:r>
      <w:r>
        <w:t>lid policies on gambling expenditure and found that each year expenditure in territorial authorities with the sinking</w:t>
      </w:r>
      <w:r w:rsidR="00502394">
        <w:t>-</w:t>
      </w:r>
      <w:r>
        <w:t xml:space="preserve">lid policy in place reduced by 13% compared to areas without the policy. </w:t>
      </w:r>
      <w:r w:rsidR="001C63C0">
        <w:t>R</w:t>
      </w:r>
      <w:r>
        <w:t xml:space="preserve">esults of this study </w:t>
      </w:r>
      <w:r w:rsidR="001C63C0">
        <w:t xml:space="preserve">are used </w:t>
      </w:r>
      <w:r>
        <w:t>to look at the potential impact of implementing sinking</w:t>
      </w:r>
      <w:r w:rsidR="00502394">
        <w:t>-</w:t>
      </w:r>
      <w:r>
        <w:t>lid policies across the whole of New Zealand on the cost of gambling harm.</w:t>
      </w:r>
    </w:p>
    <w:p w14:paraId="3FA7F262" w14:textId="77777777" w:rsidR="006F418B" w:rsidRDefault="006F418B" w:rsidP="00C30E1A">
      <w:pPr>
        <w:pStyle w:val="Heading3"/>
      </w:pPr>
      <w:bookmarkStart w:id="545" w:name="_Toc207196008"/>
      <w:r>
        <w:t>Methods</w:t>
      </w:r>
      <w:bookmarkEnd w:id="545"/>
    </w:p>
    <w:p w14:paraId="290A68A7" w14:textId="0092B88E" w:rsidR="006F418B" w:rsidRDefault="006F418B" w:rsidP="00135DF0">
      <w:pPr>
        <w:pBdr>
          <w:top w:val="nil"/>
          <w:left w:val="nil"/>
          <w:bottom w:val="nil"/>
          <w:right w:val="nil"/>
          <w:between w:val="nil"/>
        </w:pBdr>
        <w:spacing w:line="360" w:lineRule="auto"/>
        <w:rPr>
          <w:color w:val="000000"/>
        </w:rPr>
      </w:pPr>
      <w:r>
        <w:rPr>
          <w:color w:val="000000"/>
        </w:rPr>
        <w:t>To estimate the impact of a nationwide sinking</w:t>
      </w:r>
      <w:r w:rsidR="00502394">
        <w:rPr>
          <w:color w:val="000000"/>
        </w:rPr>
        <w:t>-</w:t>
      </w:r>
      <w:r>
        <w:rPr>
          <w:color w:val="000000"/>
        </w:rPr>
        <w:t>lid policy, a 13% reduction</w:t>
      </w:r>
      <w:r w:rsidR="00212089">
        <w:rPr>
          <w:color w:val="000000"/>
        </w:rPr>
        <w:t xml:space="preserve"> was applied</w:t>
      </w:r>
      <w:r>
        <w:rPr>
          <w:color w:val="000000"/>
        </w:rPr>
        <w:t xml:space="preserve"> to the (</w:t>
      </w:r>
      <w:sdt>
        <w:sdtPr>
          <w:tag w:val="goog_rdk_5"/>
          <w:id w:val="382795215"/>
        </w:sdtPr>
        <w:sdtEndPr/>
        <w:sdtContent/>
      </w:sdt>
      <w:r>
        <w:rPr>
          <w:color w:val="000000"/>
        </w:rPr>
        <w:t>tan</w:t>
      </w:r>
      <w:r>
        <w:t xml:space="preserve">gible) </w:t>
      </w:r>
      <w:r>
        <w:rPr>
          <w:color w:val="000000"/>
        </w:rPr>
        <w:t xml:space="preserve">cost of gambling problems attributable to in-venue </w:t>
      </w:r>
      <w:r w:rsidR="00D35699">
        <w:rPr>
          <w:color w:val="000000"/>
        </w:rPr>
        <w:t>Class 4 pokies</w:t>
      </w:r>
      <w:r>
        <w:rPr>
          <w:color w:val="000000"/>
        </w:rPr>
        <w:t>. This is the same approach taken when evaluating the introduction of loss limits and reducing the accessibility of in-person EGMs. While individual experiences with gambling vary widely, it is reasonable to assume that each dollar spent on gambling corresponds to approximately one dollar in social cost when estimating population-level harm.</w:t>
      </w:r>
    </w:p>
    <w:p w14:paraId="0F5D9A59" w14:textId="77777777" w:rsidR="006F418B" w:rsidRDefault="006F418B" w:rsidP="00135DF0">
      <w:pPr>
        <w:pBdr>
          <w:top w:val="nil"/>
          <w:left w:val="nil"/>
          <w:bottom w:val="nil"/>
          <w:right w:val="nil"/>
          <w:between w:val="nil"/>
        </w:pBdr>
        <w:spacing w:line="360" w:lineRule="auto"/>
        <w:rPr>
          <w:color w:val="000000"/>
        </w:rPr>
      </w:pPr>
    </w:p>
    <w:p w14:paraId="14F70D58" w14:textId="40FF3F75" w:rsidR="006F418B" w:rsidRDefault="006F418B" w:rsidP="00135DF0">
      <w:pPr>
        <w:pBdr>
          <w:top w:val="nil"/>
          <w:left w:val="nil"/>
          <w:bottom w:val="nil"/>
          <w:right w:val="nil"/>
          <w:between w:val="nil"/>
        </w:pBdr>
        <w:spacing w:line="360" w:lineRule="auto"/>
        <w:rPr>
          <w:color w:val="000000"/>
        </w:rPr>
      </w:pPr>
      <w:r>
        <w:rPr>
          <w:color w:val="000000"/>
        </w:rPr>
        <w:t>An alternative approach to estimating the impact of the sinking</w:t>
      </w:r>
      <w:r w:rsidR="00502394">
        <w:rPr>
          <w:color w:val="000000"/>
        </w:rPr>
        <w:t>-</w:t>
      </w:r>
      <w:r>
        <w:rPr>
          <w:color w:val="000000"/>
        </w:rPr>
        <w:t xml:space="preserve">lid policy would have been to reduce excessive spending on in-venue </w:t>
      </w:r>
      <w:r w:rsidR="00D35699">
        <w:rPr>
          <w:color w:val="000000"/>
        </w:rPr>
        <w:t xml:space="preserve">Class 4 pokies </w:t>
      </w:r>
      <w:r>
        <w:rPr>
          <w:color w:val="000000"/>
        </w:rPr>
        <w:t xml:space="preserve">by 13%. However, it is not possible to directly link excessive spending to gambling problems in the costing; </w:t>
      </w:r>
      <w:r w:rsidR="003C3FC2">
        <w:rPr>
          <w:color w:val="000000"/>
        </w:rPr>
        <w:t>therefore,</w:t>
      </w:r>
      <w:r>
        <w:rPr>
          <w:color w:val="000000"/>
        </w:rPr>
        <w:t xml:space="preserve"> this approach would have hugely underestimated the impact of the policy on the cost of gambling harm. </w:t>
      </w:r>
    </w:p>
    <w:p w14:paraId="64C7A79B" w14:textId="77777777" w:rsidR="006F418B" w:rsidRDefault="006F418B" w:rsidP="00135DF0">
      <w:pPr>
        <w:spacing w:line="360" w:lineRule="auto"/>
      </w:pPr>
    </w:p>
    <w:p w14:paraId="5A75DFD1" w14:textId="3C25F1F2" w:rsidR="006F418B" w:rsidRDefault="006F418B" w:rsidP="00135DF0">
      <w:pPr>
        <w:spacing w:line="360" w:lineRule="auto"/>
      </w:pPr>
      <w:r>
        <w:t xml:space="preserve">It is likely that if people no longer have access to in-venue </w:t>
      </w:r>
      <w:r w:rsidR="00D35699">
        <w:rPr>
          <w:color w:val="000000"/>
        </w:rPr>
        <w:t>Class 4 pokies</w:t>
      </w:r>
      <w:r w:rsidR="00D35699">
        <w:t xml:space="preserve"> </w:t>
      </w:r>
      <w:r>
        <w:t xml:space="preserve">they might switch to gambling on other products. </w:t>
      </w:r>
      <w:r w:rsidR="001C63C0">
        <w:t>T</w:t>
      </w:r>
      <w:r>
        <w:t>herefore</w:t>
      </w:r>
      <w:r w:rsidR="001C63C0">
        <w:t>,</w:t>
      </w:r>
      <w:r>
        <w:t xml:space="preserve"> conservative assum</w:t>
      </w:r>
      <w:r w:rsidR="001C63C0">
        <w:t>ptions were made</w:t>
      </w:r>
      <w:r>
        <w:t xml:space="preserve"> that 20% of harm will still be experienced as people spend money elsewhere</w:t>
      </w:r>
      <w:r w:rsidR="004C074E">
        <w:t>, including online gambling</w:t>
      </w:r>
      <w:r>
        <w:t xml:space="preserve">. </w:t>
      </w:r>
    </w:p>
    <w:p w14:paraId="47D82922" w14:textId="77777777" w:rsidR="0014763B" w:rsidRDefault="0014763B" w:rsidP="00135DF0">
      <w:pPr>
        <w:spacing w:line="360" w:lineRule="auto"/>
      </w:pPr>
    </w:p>
    <w:p w14:paraId="77182E16" w14:textId="5CB8718F" w:rsidR="006F418B" w:rsidRDefault="006F418B" w:rsidP="00135DF0">
      <w:pPr>
        <w:spacing w:line="360" w:lineRule="auto"/>
      </w:pPr>
      <w:r>
        <w:t xml:space="preserve">Outputs of this evaluation are changes in total costs attributable to in-venue, </w:t>
      </w:r>
      <w:r w:rsidR="00D35699">
        <w:rPr>
          <w:color w:val="000000"/>
        </w:rPr>
        <w:t>Class 4 pokies</w:t>
      </w:r>
      <w:r w:rsidR="00D35699">
        <w:t xml:space="preserve"> </w:t>
      </w:r>
      <w:r>
        <w:t>and changes to the total cost of gambling harm in New Zealand with results presented for the total adult population and by ethnic group.</w:t>
      </w:r>
    </w:p>
    <w:p w14:paraId="0A1A3FD4" w14:textId="77777777" w:rsidR="006F418B" w:rsidRDefault="006F418B" w:rsidP="00C30E1A">
      <w:pPr>
        <w:pStyle w:val="Heading3"/>
      </w:pPr>
      <w:bookmarkStart w:id="546" w:name="_Toc207196009"/>
      <w:r>
        <w:t>Results</w:t>
      </w:r>
      <w:bookmarkEnd w:id="546"/>
    </w:p>
    <w:p w14:paraId="2C0F538D" w14:textId="6D8A034F" w:rsidR="006F418B" w:rsidRDefault="006F418B" w:rsidP="00135DF0">
      <w:pPr>
        <w:spacing w:line="360" w:lineRule="auto"/>
      </w:pPr>
      <w:r>
        <w:t xml:space="preserve">Table </w:t>
      </w:r>
      <w:r w:rsidR="005F3B0A">
        <w:t>43</w:t>
      </w:r>
      <w:r>
        <w:t xml:space="preserve"> shows the impact of applying a nationwide sinking</w:t>
      </w:r>
      <w:r w:rsidR="00502394">
        <w:t>-</w:t>
      </w:r>
      <w:r>
        <w:t>lid policy. Overall, there was an estimated 2.4% reduction in the overall cost of gambling harm, a reduction of $102,</w:t>
      </w:r>
      <w:r w:rsidR="00362B32">
        <w:t>335,799</w:t>
      </w:r>
      <w:r>
        <w:t xml:space="preserve">. </w:t>
      </w:r>
    </w:p>
    <w:p w14:paraId="7092DFB1" w14:textId="77777777" w:rsidR="00657824" w:rsidRDefault="00657824" w:rsidP="00135DF0">
      <w:pPr>
        <w:spacing w:line="360" w:lineRule="auto"/>
      </w:pPr>
    </w:p>
    <w:p w14:paraId="68CFA074" w14:textId="77777777" w:rsidR="00400FA5" w:rsidRDefault="00400FA5" w:rsidP="00135DF0">
      <w:pPr>
        <w:spacing w:line="360" w:lineRule="auto"/>
      </w:pPr>
    </w:p>
    <w:p w14:paraId="3091A640" w14:textId="56E47592" w:rsidR="005F3B0A" w:rsidRDefault="005F3B0A" w:rsidP="00DB094D">
      <w:pPr>
        <w:pStyle w:val="Caption"/>
      </w:pPr>
      <w:bookmarkStart w:id="547" w:name="_Toc207619085"/>
      <w:r>
        <w:t xml:space="preserve">Table </w:t>
      </w:r>
      <w:r>
        <w:fldChar w:fldCharType="begin"/>
      </w:r>
      <w:r>
        <w:instrText xml:space="preserve"> SEQ Table \* ARABIC </w:instrText>
      </w:r>
      <w:r>
        <w:fldChar w:fldCharType="separate"/>
      </w:r>
      <w:r w:rsidR="00986A0D">
        <w:rPr>
          <w:noProof/>
        </w:rPr>
        <w:t>43</w:t>
      </w:r>
      <w:r>
        <w:fldChar w:fldCharType="end"/>
      </w:r>
      <w:r w:rsidR="00111369">
        <w:t>.</w:t>
      </w:r>
      <w:r>
        <w:t xml:space="preserve"> </w:t>
      </w:r>
      <w:r w:rsidRPr="00180E35">
        <w:t>Detailed changes to costs of gambling harm following the introduction of a sinking</w:t>
      </w:r>
      <w:r w:rsidR="00502394">
        <w:t>-</w:t>
      </w:r>
      <w:r w:rsidRPr="00180E35">
        <w:t xml:space="preserve">lid policy to reduce the number of in-venue </w:t>
      </w:r>
      <w:r w:rsidR="00D35699">
        <w:t>Class 4 pokies</w:t>
      </w:r>
      <w:bookmarkEnd w:id="547"/>
    </w:p>
    <w:tbl>
      <w:tblPr>
        <w:tblStyle w:val="TableGridLight"/>
        <w:tblW w:w="9209" w:type="dxa"/>
        <w:tblLayout w:type="fixed"/>
        <w:tblLook w:val="0600" w:firstRow="0" w:lastRow="0" w:firstColumn="0" w:lastColumn="0" w:noHBand="1" w:noVBand="1"/>
      </w:tblPr>
      <w:tblGrid>
        <w:gridCol w:w="5665"/>
        <w:gridCol w:w="1701"/>
        <w:gridCol w:w="1843"/>
      </w:tblGrid>
      <w:tr w:rsidR="006F418B" w:rsidRPr="00657824" w14:paraId="6D87C72D" w14:textId="77777777" w:rsidTr="00BB3C33">
        <w:trPr>
          <w:trHeight w:val="397"/>
        </w:trPr>
        <w:tc>
          <w:tcPr>
            <w:tcW w:w="5665" w:type="dxa"/>
            <w:vMerge w:val="restart"/>
            <w:shd w:val="clear" w:color="auto" w:fill="F2F2F2" w:themeFill="background1" w:themeFillShade="F2"/>
            <w:vAlign w:val="center"/>
          </w:tcPr>
          <w:p w14:paraId="25353F92" w14:textId="3B1E2E69" w:rsidR="006F418B" w:rsidRPr="00657824" w:rsidRDefault="006F418B" w:rsidP="00BB3C33">
            <w:pPr>
              <w:jc w:val="center"/>
              <w:rPr>
                <w:b/>
                <w:sz w:val="20"/>
                <w:szCs w:val="20"/>
              </w:rPr>
            </w:pPr>
            <w:r w:rsidRPr="00657824">
              <w:rPr>
                <w:b/>
                <w:sz w:val="20"/>
                <w:szCs w:val="20"/>
              </w:rPr>
              <w:t>Cost Element</w:t>
            </w:r>
          </w:p>
        </w:tc>
        <w:tc>
          <w:tcPr>
            <w:tcW w:w="1701" w:type="dxa"/>
            <w:vMerge w:val="restart"/>
            <w:shd w:val="clear" w:color="auto" w:fill="F2F2F2" w:themeFill="background1" w:themeFillShade="F2"/>
            <w:vAlign w:val="center"/>
          </w:tcPr>
          <w:p w14:paraId="06D48575" w14:textId="0FE74398" w:rsidR="006F418B" w:rsidRPr="00657824" w:rsidRDefault="006F418B" w:rsidP="00BB3C33">
            <w:pPr>
              <w:jc w:val="center"/>
              <w:rPr>
                <w:b/>
                <w:sz w:val="20"/>
                <w:szCs w:val="20"/>
              </w:rPr>
            </w:pPr>
          </w:p>
        </w:tc>
        <w:tc>
          <w:tcPr>
            <w:tcW w:w="1843" w:type="dxa"/>
            <w:vMerge w:val="restart"/>
            <w:shd w:val="clear" w:color="auto" w:fill="F2F2F2" w:themeFill="background1" w:themeFillShade="F2"/>
            <w:vAlign w:val="center"/>
          </w:tcPr>
          <w:p w14:paraId="22107C93" w14:textId="77777777" w:rsidR="006F418B" w:rsidRPr="00657824" w:rsidRDefault="006F418B" w:rsidP="00BB3C33">
            <w:pPr>
              <w:jc w:val="center"/>
              <w:rPr>
                <w:b/>
                <w:sz w:val="20"/>
                <w:szCs w:val="20"/>
              </w:rPr>
            </w:pPr>
            <w:r w:rsidRPr="00657824">
              <w:rPr>
                <w:b/>
                <w:sz w:val="20"/>
                <w:szCs w:val="20"/>
              </w:rPr>
              <w:t>Total</w:t>
            </w:r>
          </w:p>
        </w:tc>
      </w:tr>
      <w:tr w:rsidR="006F418B" w:rsidRPr="00657824" w14:paraId="08E264A6" w14:textId="77777777" w:rsidTr="00BB3C33">
        <w:trPr>
          <w:trHeight w:val="397"/>
        </w:trPr>
        <w:tc>
          <w:tcPr>
            <w:tcW w:w="5665" w:type="dxa"/>
            <w:vMerge/>
            <w:shd w:val="clear" w:color="auto" w:fill="F2F2F2" w:themeFill="background1" w:themeFillShade="F2"/>
          </w:tcPr>
          <w:p w14:paraId="0CF0F6E5" w14:textId="77777777" w:rsidR="006F418B" w:rsidRPr="00657824" w:rsidRDefault="006F418B" w:rsidP="00362B32">
            <w:pPr>
              <w:widowControl w:val="0"/>
              <w:pBdr>
                <w:top w:val="nil"/>
                <w:left w:val="nil"/>
                <w:bottom w:val="nil"/>
                <w:right w:val="nil"/>
                <w:between w:val="nil"/>
              </w:pBdr>
              <w:rPr>
                <w:b/>
                <w:sz w:val="20"/>
                <w:szCs w:val="20"/>
              </w:rPr>
            </w:pPr>
          </w:p>
        </w:tc>
        <w:tc>
          <w:tcPr>
            <w:tcW w:w="1701" w:type="dxa"/>
            <w:vMerge/>
            <w:shd w:val="clear" w:color="auto" w:fill="F2F2F2" w:themeFill="background1" w:themeFillShade="F2"/>
          </w:tcPr>
          <w:p w14:paraId="133C7840" w14:textId="77777777" w:rsidR="006F418B" w:rsidRPr="00657824" w:rsidRDefault="006F418B" w:rsidP="00362B32">
            <w:pPr>
              <w:widowControl w:val="0"/>
              <w:pBdr>
                <w:top w:val="nil"/>
                <w:left w:val="nil"/>
                <w:bottom w:val="nil"/>
                <w:right w:val="nil"/>
                <w:between w:val="nil"/>
              </w:pBdr>
              <w:rPr>
                <w:b/>
                <w:sz w:val="20"/>
                <w:szCs w:val="20"/>
              </w:rPr>
            </w:pPr>
          </w:p>
        </w:tc>
        <w:tc>
          <w:tcPr>
            <w:tcW w:w="1843" w:type="dxa"/>
            <w:vMerge/>
            <w:shd w:val="clear" w:color="auto" w:fill="F2F2F2" w:themeFill="background1" w:themeFillShade="F2"/>
          </w:tcPr>
          <w:p w14:paraId="11DDE68D" w14:textId="77777777" w:rsidR="006F418B" w:rsidRPr="00657824" w:rsidRDefault="006F418B" w:rsidP="00362B32">
            <w:pPr>
              <w:widowControl w:val="0"/>
              <w:pBdr>
                <w:top w:val="nil"/>
                <w:left w:val="nil"/>
                <w:bottom w:val="nil"/>
                <w:right w:val="nil"/>
                <w:between w:val="nil"/>
              </w:pBdr>
              <w:rPr>
                <w:b/>
                <w:sz w:val="20"/>
                <w:szCs w:val="20"/>
              </w:rPr>
            </w:pPr>
          </w:p>
        </w:tc>
      </w:tr>
      <w:tr w:rsidR="00362B32" w:rsidRPr="00657824" w14:paraId="1B15A74D" w14:textId="77777777" w:rsidTr="00BB3C33">
        <w:trPr>
          <w:trHeight w:val="397"/>
        </w:trPr>
        <w:tc>
          <w:tcPr>
            <w:tcW w:w="5665" w:type="dxa"/>
            <w:vAlign w:val="center"/>
          </w:tcPr>
          <w:p w14:paraId="703BFB56" w14:textId="625AF3D0" w:rsidR="00362B32" w:rsidRPr="00657824" w:rsidRDefault="00362B32" w:rsidP="00BB3C33">
            <w:pPr>
              <w:rPr>
                <w:sz w:val="20"/>
                <w:szCs w:val="20"/>
              </w:rPr>
            </w:pPr>
            <w:r w:rsidRPr="00657824">
              <w:rPr>
                <w:sz w:val="20"/>
                <w:szCs w:val="20"/>
              </w:rPr>
              <w:t xml:space="preserve">Total cost attributed to in-venue </w:t>
            </w:r>
            <w:r w:rsidR="00D35699">
              <w:rPr>
                <w:sz w:val="20"/>
                <w:szCs w:val="20"/>
              </w:rPr>
              <w:t>Class 4 pokies</w:t>
            </w:r>
            <w:r w:rsidRPr="00657824">
              <w:rPr>
                <w:sz w:val="20"/>
                <w:szCs w:val="20"/>
              </w:rPr>
              <w:t xml:space="preserve"> (pre-sinking-lid policy) (Table 8)</w:t>
            </w:r>
          </w:p>
        </w:tc>
        <w:tc>
          <w:tcPr>
            <w:tcW w:w="1701" w:type="dxa"/>
            <w:vAlign w:val="center"/>
          </w:tcPr>
          <w:p w14:paraId="4825F393" w14:textId="77777777" w:rsidR="00362B32" w:rsidRPr="00657824" w:rsidRDefault="00362B32" w:rsidP="00BB3C33">
            <w:pPr>
              <w:rPr>
                <w:sz w:val="20"/>
                <w:szCs w:val="20"/>
              </w:rPr>
            </w:pPr>
            <w:r w:rsidRPr="00657824">
              <w:rPr>
                <w:sz w:val="20"/>
                <w:szCs w:val="20"/>
              </w:rPr>
              <w:t>a</w:t>
            </w:r>
          </w:p>
        </w:tc>
        <w:tc>
          <w:tcPr>
            <w:tcW w:w="1843" w:type="dxa"/>
            <w:vAlign w:val="center"/>
          </w:tcPr>
          <w:p w14:paraId="72FE2671" w14:textId="70A700F8" w:rsidR="00362B32" w:rsidRPr="00657824" w:rsidRDefault="00362B32" w:rsidP="00BB3C33">
            <w:pPr>
              <w:jc w:val="right"/>
              <w:rPr>
                <w:sz w:val="20"/>
                <w:szCs w:val="20"/>
              </w:rPr>
            </w:pPr>
            <w:r w:rsidRPr="00657824">
              <w:rPr>
                <w:color w:val="000000"/>
                <w:sz w:val="20"/>
                <w:szCs w:val="20"/>
              </w:rPr>
              <w:t xml:space="preserve">$983,998,064 </w:t>
            </w:r>
          </w:p>
        </w:tc>
      </w:tr>
      <w:tr w:rsidR="00362B32" w:rsidRPr="00657824" w14:paraId="4D5B190E" w14:textId="77777777" w:rsidTr="00BB3C33">
        <w:trPr>
          <w:trHeight w:val="397"/>
        </w:trPr>
        <w:tc>
          <w:tcPr>
            <w:tcW w:w="5665" w:type="dxa"/>
            <w:vAlign w:val="center"/>
          </w:tcPr>
          <w:p w14:paraId="28BFFE54" w14:textId="77777777" w:rsidR="00362B32" w:rsidRPr="00657824" w:rsidRDefault="00362B32" w:rsidP="00BB3C33">
            <w:pPr>
              <w:rPr>
                <w:sz w:val="20"/>
                <w:szCs w:val="20"/>
              </w:rPr>
            </w:pPr>
            <w:r w:rsidRPr="00657824">
              <w:rPr>
                <w:sz w:val="20"/>
                <w:szCs w:val="20"/>
              </w:rPr>
              <w:t>Policy reduction (13%)</w:t>
            </w:r>
          </w:p>
        </w:tc>
        <w:tc>
          <w:tcPr>
            <w:tcW w:w="1701" w:type="dxa"/>
            <w:vAlign w:val="center"/>
          </w:tcPr>
          <w:p w14:paraId="688CAFAF" w14:textId="12FDE2FC" w:rsidR="00362B32" w:rsidRPr="00657824" w:rsidRDefault="00362B32" w:rsidP="00BB3C33">
            <w:pPr>
              <w:rPr>
                <w:sz w:val="20"/>
                <w:szCs w:val="20"/>
              </w:rPr>
            </w:pPr>
            <w:r w:rsidRPr="00657824">
              <w:rPr>
                <w:color w:val="000000"/>
                <w:sz w:val="20"/>
                <w:szCs w:val="20"/>
              </w:rPr>
              <w:t>b = (a × 0.13)</w:t>
            </w:r>
          </w:p>
        </w:tc>
        <w:tc>
          <w:tcPr>
            <w:tcW w:w="1843" w:type="dxa"/>
            <w:vAlign w:val="center"/>
          </w:tcPr>
          <w:p w14:paraId="783CBE3D" w14:textId="69B71239" w:rsidR="00362B32" w:rsidRPr="00657824" w:rsidRDefault="00362B32" w:rsidP="00BB3C33">
            <w:pPr>
              <w:jc w:val="right"/>
              <w:rPr>
                <w:sz w:val="20"/>
                <w:szCs w:val="20"/>
              </w:rPr>
            </w:pPr>
            <w:r w:rsidRPr="00657824">
              <w:rPr>
                <w:color w:val="000000"/>
                <w:sz w:val="20"/>
                <w:szCs w:val="20"/>
              </w:rPr>
              <w:t xml:space="preserve">$127,919,748 </w:t>
            </w:r>
          </w:p>
        </w:tc>
      </w:tr>
      <w:tr w:rsidR="00362B32" w:rsidRPr="00657824" w14:paraId="2CCAF963" w14:textId="77777777" w:rsidTr="00BB3C33">
        <w:trPr>
          <w:trHeight w:val="397"/>
        </w:trPr>
        <w:tc>
          <w:tcPr>
            <w:tcW w:w="5665" w:type="dxa"/>
            <w:vAlign w:val="center"/>
          </w:tcPr>
          <w:p w14:paraId="3ADD0155" w14:textId="77777777" w:rsidR="00362B32" w:rsidRPr="00657824" w:rsidRDefault="00362B32" w:rsidP="00BB3C33">
            <w:pPr>
              <w:rPr>
                <w:sz w:val="20"/>
                <w:szCs w:val="20"/>
              </w:rPr>
            </w:pPr>
            <w:r w:rsidRPr="00657824">
              <w:rPr>
                <w:color w:val="000000"/>
                <w:sz w:val="20"/>
                <w:szCs w:val="20"/>
              </w:rPr>
              <w:t>Substitution (20%)</w:t>
            </w:r>
          </w:p>
        </w:tc>
        <w:tc>
          <w:tcPr>
            <w:tcW w:w="1701" w:type="dxa"/>
            <w:vAlign w:val="center"/>
          </w:tcPr>
          <w:p w14:paraId="4B88EC26" w14:textId="2EE7171B" w:rsidR="00362B32" w:rsidRPr="00657824" w:rsidRDefault="00362B32" w:rsidP="00BB3C33">
            <w:pPr>
              <w:rPr>
                <w:sz w:val="20"/>
                <w:szCs w:val="20"/>
              </w:rPr>
            </w:pPr>
            <w:r w:rsidRPr="00657824">
              <w:rPr>
                <w:color w:val="000000"/>
                <w:sz w:val="20"/>
                <w:szCs w:val="20"/>
              </w:rPr>
              <w:t>c = (b × 0.20)</w:t>
            </w:r>
          </w:p>
        </w:tc>
        <w:tc>
          <w:tcPr>
            <w:tcW w:w="1843" w:type="dxa"/>
            <w:vAlign w:val="center"/>
          </w:tcPr>
          <w:p w14:paraId="5ED85893" w14:textId="661FBE3D" w:rsidR="00362B32" w:rsidRPr="00657824" w:rsidRDefault="00362B32" w:rsidP="00BB3C33">
            <w:pPr>
              <w:jc w:val="right"/>
              <w:rPr>
                <w:sz w:val="20"/>
                <w:szCs w:val="20"/>
              </w:rPr>
            </w:pPr>
            <w:r w:rsidRPr="00657824">
              <w:rPr>
                <w:color w:val="000000"/>
                <w:sz w:val="20"/>
                <w:szCs w:val="20"/>
              </w:rPr>
              <w:t>$25,583,9</w:t>
            </w:r>
            <w:r w:rsidR="00657824">
              <w:rPr>
                <w:color w:val="000000"/>
                <w:sz w:val="20"/>
                <w:szCs w:val="20"/>
              </w:rPr>
              <w:t>50</w:t>
            </w:r>
            <w:r w:rsidRPr="00657824">
              <w:rPr>
                <w:color w:val="000000"/>
                <w:sz w:val="20"/>
                <w:szCs w:val="20"/>
              </w:rPr>
              <w:t xml:space="preserve"> </w:t>
            </w:r>
          </w:p>
        </w:tc>
      </w:tr>
      <w:tr w:rsidR="00362B32" w:rsidRPr="00657824" w14:paraId="01A09C9F" w14:textId="77777777" w:rsidTr="00BB3C33">
        <w:trPr>
          <w:trHeight w:val="397"/>
        </w:trPr>
        <w:tc>
          <w:tcPr>
            <w:tcW w:w="5665" w:type="dxa"/>
            <w:vAlign w:val="center"/>
          </w:tcPr>
          <w:p w14:paraId="01CE19B8" w14:textId="05FCB349" w:rsidR="00362B32" w:rsidRPr="00657824" w:rsidRDefault="00362B32" w:rsidP="00BB3C33">
            <w:pPr>
              <w:rPr>
                <w:sz w:val="20"/>
                <w:szCs w:val="20"/>
              </w:rPr>
            </w:pPr>
            <w:r w:rsidRPr="00657824">
              <w:rPr>
                <w:color w:val="000000"/>
                <w:sz w:val="20"/>
                <w:szCs w:val="20"/>
              </w:rPr>
              <w:t xml:space="preserve">Net Reduction in cost attributable to </w:t>
            </w:r>
            <w:r w:rsidR="00D35699">
              <w:rPr>
                <w:sz w:val="20"/>
                <w:szCs w:val="20"/>
              </w:rPr>
              <w:t>Class 4 pokies</w:t>
            </w:r>
          </w:p>
        </w:tc>
        <w:tc>
          <w:tcPr>
            <w:tcW w:w="1701" w:type="dxa"/>
            <w:vAlign w:val="center"/>
          </w:tcPr>
          <w:p w14:paraId="5ABD57A6" w14:textId="5E1352A3" w:rsidR="00362B32" w:rsidRPr="00657824" w:rsidRDefault="00362B32" w:rsidP="00BB3C33">
            <w:pPr>
              <w:rPr>
                <w:sz w:val="20"/>
                <w:szCs w:val="20"/>
              </w:rPr>
            </w:pPr>
            <w:r w:rsidRPr="00657824">
              <w:rPr>
                <w:color w:val="000000"/>
                <w:sz w:val="20"/>
                <w:szCs w:val="20"/>
              </w:rPr>
              <w:t xml:space="preserve">d = </w:t>
            </w:r>
            <w:r w:rsidR="00675455" w:rsidRPr="00657824">
              <w:rPr>
                <w:color w:val="000000"/>
                <w:sz w:val="20"/>
                <w:szCs w:val="20"/>
              </w:rPr>
              <w:t>(b</w:t>
            </w:r>
            <w:r w:rsidRPr="00657824">
              <w:rPr>
                <w:color w:val="000000"/>
                <w:sz w:val="20"/>
                <w:szCs w:val="20"/>
              </w:rPr>
              <w:t xml:space="preserve"> - c)</w:t>
            </w:r>
          </w:p>
        </w:tc>
        <w:tc>
          <w:tcPr>
            <w:tcW w:w="1843" w:type="dxa"/>
            <w:vAlign w:val="center"/>
          </w:tcPr>
          <w:p w14:paraId="2CD850CD" w14:textId="2E1151E3" w:rsidR="00362B32" w:rsidRPr="00657824" w:rsidRDefault="00362B32" w:rsidP="00BB3C33">
            <w:pPr>
              <w:jc w:val="right"/>
              <w:rPr>
                <w:sz w:val="20"/>
                <w:szCs w:val="20"/>
              </w:rPr>
            </w:pPr>
            <w:r w:rsidRPr="00657824">
              <w:rPr>
                <w:color w:val="000000"/>
                <w:sz w:val="20"/>
                <w:szCs w:val="20"/>
              </w:rPr>
              <w:t>$102,335,79</w:t>
            </w:r>
            <w:r w:rsidR="00657824">
              <w:rPr>
                <w:color w:val="000000"/>
                <w:sz w:val="20"/>
                <w:szCs w:val="20"/>
              </w:rPr>
              <w:t>9</w:t>
            </w:r>
            <w:r w:rsidRPr="00657824">
              <w:rPr>
                <w:color w:val="000000"/>
                <w:sz w:val="20"/>
                <w:szCs w:val="20"/>
              </w:rPr>
              <w:t xml:space="preserve"> </w:t>
            </w:r>
          </w:p>
        </w:tc>
      </w:tr>
      <w:tr w:rsidR="00362B32" w:rsidRPr="00657824" w14:paraId="11C04E1E" w14:textId="77777777" w:rsidTr="00BB3C33">
        <w:trPr>
          <w:trHeight w:val="397"/>
        </w:trPr>
        <w:tc>
          <w:tcPr>
            <w:tcW w:w="5665" w:type="dxa"/>
            <w:vAlign w:val="center"/>
          </w:tcPr>
          <w:p w14:paraId="09A53291" w14:textId="0C7FB424" w:rsidR="00362B32" w:rsidRPr="00657824" w:rsidRDefault="00362B32" w:rsidP="00BB3C33">
            <w:pPr>
              <w:rPr>
                <w:sz w:val="20"/>
                <w:szCs w:val="20"/>
              </w:rPr>
            </w:pPr>
            <w:r w:rsidRPr="00657824">
              <w:rPr>
                <w:sz w:val="20"/>
                <w:szCs w:val="20"/>
              </w:rPr>
              <w:t xml:space="preserve">Total cost attributed to in-venue </w:t>
            </w:r>
            <w:r w:rsidR="00D35699">
              <w:rPr>
                <w:sz w:val="20"/>
                <w:szCs w:val="20"/>
              </w:rPr>
              <w:t>Class 4 pokies</w:t>
            </w:r>
            <w:r w:rsidR="00D35699" w:rsidRPr="00657824">
              <w:rPr>
                <w:sz w:val="20"/>
                <w:szCs w:val="20"/>
              </w:rPr>
              <w:t xml:space="preserve"> </w:t>
            </w:r>
            <w:r w:rsidRPr="00657824">
              <w:rPr>
                <w:sz w:val="20"/>
                <w:szCs w:val="20"/>
              </w:rPr>
              <w:t>(post-sinking-lid policy)</w:t>
            </w:r>
          </w:p>
        </w:tc>
        <w:tc>
          <w:tcPr>
            <w:tcW w:w="1701" w:type="dxa"/>
            <w:vAlign w:val="center"/>
          </w:tcPr>
          <w:p w14:paraId="21919E00" w14:textId="3E887828" w:rsidR="00362B32" w:rsidRPr="00657824" w:rsidRDefault="00362B32" w:rsidP="00BB3C33">
            <w:pPr>
              <w:rPr>
                <w:sz w:val="20"/>
                <w:szCs w:val="20"/>
              </w:rPr>
            </w:pPr>
            <w:r w:rsidRPr="00657824">
              <w:rPr>
                <w:color w:val="000000"/>
                <w:sz w:val="20"/>
                <w:szCs w:val="20"/>
              </w:rPr>
              <w:t>e = (a - d)</w:t>
            </w:r>
          </w:p>
        </w:tc>
        <w:tc>
          <w:tcPr>
            <w:tcW w:w="1843" w:type="dxa"/>
            <w:vAlign w:val="center"/>
          </w:tcPr>
          <w:p w14:paraId="6A672340" w14:textId="0450A8C5" w:rsidR="00362B32" w:rsidRPr="00657824" w:rsidRDefault="00362B32" w:rsidP="00BB3C33">
            <w:pPr>
              <w:jc w:val="right"/>
              <w:rPr>
                <w:sz w:val="20"/>
                <w:szCs w:val="20"/>
              </w:rPr>
            </w:pPr>
            <w:r w:rsidRPr="00657824">
              <w:rPr>
                <w:color w:val="000000"/>
                <w:sz w:val="20"/>
                <w:szCs w:val="20"/>
              </w:rPr>
              <w:t>$881,662,26</w:t>
            </w:r>
            <w:r w:rsidR="00657824">
              <w:rPr>
                <w:color w:val="000000"/>
                <w:sz w:val="20"/>
                <w:szCs w:val="20"/>
              </w:rPr>
              <w:t>6</w:t>
            </w:r>
            <w:r w:rsidRPr="00657824">
              <w:rPr>
                <w:color w:val="000000"/>
                <w:sz w:val="20"/>
                <w:szCs w:val="20"/>
              </w:rPr>
              <w:t xml:space="preserve"> </w:t>
            </w:r>
          </w:p>
        </w:tc>
      </w:tr>
      <w:tr w:rsidR="00362B32" w:rsidRPr="00657824" w14:paraId="0A376658" w14:textId="77777777" w:rsidTr="00BB3C33">
        <w:trPr>
          <w:trHeight w:val="397"/>
        </w:trPr>
        <w:tc>
          <w:tcPr>
            <w:tcW w:w="5665" w:type="dxa"/>
            <w:vAlign w:val="center"/>
          </w:tcPr>
          <w:p w14:paraId="19819A6F" w14:textId="5A642060" w:rsidR="00362B32" w:rsidRPr="00657824" w:rsidRDefault="00362B32" w:rsidP="00BB3C33">
            <w:pPr>
              <w:rPr>
                <w:sz w:val="20"/>
                <w:szCs w:val="20"/>
              </w:rPr>
            </w:pPr>
            <w:r w:rsidRPr="00657824">
              <w:rPr>
                <w:sz w:val="20"/>
                <w:szCs w:val="20"/>
              </w:rPr>
              <w:t xml:space="preserve">Total cost of gambling problems (pre-sinking-lid policy) (Table </w:t>
            </w:r>
            <w:r w:rsidR="005E7410" w:rsidRPr="00657824">
              <w:rPr>
                <w:sz w:val="20"/>
                <w:szCs w:val="20"/>
              </w:rPr>
              <w:t>5</w:t>
            </w:r>
            <w:r w:rsidRPr="00657824">
              <w:rPr>
                <w:sz w:val="20"/>
                <w:szCs w:val="20"/>
              </w:rPr>
              <w:t>)</w:t>
            </w:r>
          </w:p>
        </w:tc>
        <w:tc>
          <w:tcPr>
            <w:tcW w:w="1701" w:type="dxa"/>
            <w:vAlign w:val="center"/>
          </w:tcPr>
          <w:p w14:paraId="1C0E5D62" w14:textId="77777777" w:rsidR="00362B32" w:rsidRPr="00657824" w:rsidRDefault="00362B32" w:rsidP="00BB3C33">
            <w:pPr>
              <w:rPr>
                <w:color w:val="000000"/>
                <w:sz w:val="20"/>
                <w:szCs w:val="20"/>
              </w:rPr>
            </w:pPr>
            <w:r w:rsidRPr="00657824">
              <w:rPr>
                <w:color w:val="000000"/>
                <w:sz w:val="20"/>
                <w:szCs w:val="20"/>
              </w:rPr>
              <w:t>f</w:t>
            </w:r>
          </w:p>
        </w:tc>
        <w:tc>
          <w:tcPr>
            <w:tcW w:w="1843" w:type="dxa"/>
            <w:vAlign w:val="center"/>
          </w:tcPr>
          <w:p w14:paraId="6E212FE5" w14:textId="098E7430" w:rsidR="00362B32" w:rsidRPr="00657824" w:rsidRDefault="00362B32" w:rsidP="00BB3C33">
            <w:pPr>
              <w:jc w:val="right"/>
              <w:rPr>
                <w:sz w:val="20"/>
                <w:szCs w:val="20"/>
              </w:rPr>
            </w:pPr>
            <w:r w:rsidRPr="00657824">
              <w:rPr>
                <w:color w:val="000000"/>
                <w:sz w:val="20"/>
                <w:szCs w:val="20"/>
              </w:rPr>
              <w:t xml:space="preserve">$4,218,927,498 </w:t>
            </w:r>
          </w:p>
        </w:tc>
      </w:tr>
      <w:tr w:rsidR="00362B32" w:rsidRPr="00657824" w14:paraId="27B417F4" w14:textId="77777777" w:rsidTr="00BB3C33">
        <w:trPr>
          <w:trHeight w:val="397"/>
        </w:trPr>
        <w:tc>
          <w:tcPr>
            <w:tcW w:w="5665" w:type="dxa"/>
            <w:vAlign w:val="center"/>
          </w:tcPr>
          <w:p w14:paraId="0A5E0514" w14:textId="77777777" w:rsidR="00362B32" w:rsidRPr="00657824" w:rsidRDefault="00362B32" w:rsidP="00BB3C33">
            <w:pPr>
              <w:rPr>
                <w:sz w:val="20"/>
                <w:szCs w:val="20"/>
              </w:rPr>
            </w:pPr>
            <w:r w:rsidRPr="00657824">
              <w:rPr>
                <w:sz w:val="20"/>
                <w:szCs w:val="20"/>
              </w:rPr>
              <w:t>Total cost of gambling problems (post-sinking-lid policy)</w:t>
            </w:r>
          </w:p>
        </w:tc>
        <w:tc>
          <w:tcPr>
            <w:tcW w:w="1701" w:type="dxa"/>
            <w:vAlign w:val="center"/>
          </w:tcPr>
          <w:p w14:paraId="53F59234" w14:textId="7C2DB60E" w:rsidR="00362B32" w:rsidRPr="00657824" w:rsidRDefault="00362B32" w:rsidP="00BB3C33">
            <w:pPr>
              <w:rPr>
                <w:sz w:val="20"/>
                <w:szCs w:val="20"/>
              </w:rPr>
            </w:pPr>
            <w:r w:rsidRPr="00657824">
              <w:rPr>
                <w:color w:val="000000"/>
                <w:sz w:val="20"/>
                <w:szCs w:val="20"/>
              </w:rPr>
              <w:t>g = (f – d)</w:t>
            </w:r>
          </w:p>
        </w:tc>
        <w:tc>
          <w:tcPr>
            <w:tcW w:w="1843" w:type="dxa"/>
            <w:vAlign w:val="center"/>
          </w:tcPr>
          <w:p w14:paraId="0EF6A8BD" w14:textId="0A19B367" w:rsidR="00362B32" w:rsidRPr="00657824" w:rsidRDefault="00362B32" w:rsidP="00BB3C33">
            <w:pPr>
              <w:jc w:val="right"/>
              <w:rPr>
                <w:sz w:val="20"/>
                <w:szCs w:val="20"/>
              </w:rPr>
            </w:pPr>
            <w:r w:rsidRPr="00657824">
              <w:rPr>
                <w:color w:val="000000"/>
                <w:sz w:val="20"/>
                <w:szCs w:val="20"/>
              </w:rPr>
              <w:t>$4,116,591,</w:t>
            </w:r>
            <w:r w:rsidR="00657824">
              <w:rPr>
                <w:color w:val="000000"/>
                <w:sz w:val="20"/>
                <w:szCs w:val="20"/>
              </w:rPr>
              <w:t>700</w:t>
            </w:r>
            <w:r w:rsidRPr="00657824">
              <w:rPr>
                <w:color w:val="000000"/>
                <w:sz w:val="20"/>
                <w:szCs w:val="20"/>
              </w:rPr>
              <w:t xml:space="preserve"> </w:t>
            </w:r>
          </w:p>
        </w:tc>
      </w:tr>
      <w:tr w:rsidR="006F418B" w:rsidRPr="00657824" w14:paraId="7E32239B" w14:textId="77777777" w:rsidTr="00BB3C33">
        <w:trPr>
          <w:trHeight w:val="397"/>
        </w:trPr>
        <w:tc>
          <w:tcPr>
            <w:tcW w:w="5665" w:type="dxa"/>
            <w:vAlign w:val="center"/>
          </w:tcPr>
          <w:p w14:paraId="4307B572" w14:textId="77777777" w:rsidR="006F418B" w:rsidRPr="00657824" w:rsidRDefault="006F418B" w:rsidP="00BB3C33">
            <w:pPr>
              <w:rPr>
                <w:sz w:val="20"/>
                <w:szCs w:val="20"/>
              </w:rPr>
            </w:pPr>
            <w:r w:rsidRPr="00657824">
              <w:rPr>
                <w:sz w:val="20"/>
                <w:szCs w:val="20"/>
              </w:rPr>
              <w:t>Percentage change in the total cost of gambling</w:t>
            </w:r>
          </w:p>
        </w:tc>
        <w:tc>
          <w:tcPr>
            <w:tcW w:w="1701" w:type="dxa"/>
            <w:vAlign w:val="center"/>
          </w:tcPr>
          <w:p w14:paraId="19C8AD09" w14:textId="79479481" w:rsidR="006F418B" w:rsidRPr="00657824" w:rsidRDefault="006F418B" w:rsidP="00BB3C33">
            <w:pPr>
              <w:rPr>
                <w:color w:val="000000"/>
                <w:sz w:val="20"/>
                <w:szCs w:val="20"/>
              </w:rPr>
            </w:pPr>
            <w:r w:rsidRPr="00657824">
              <w:rPr>
                <w:color w:val="000000"/>
                <w:sz w:val="20"/>
                <w:szCs w:val="20"/>
              </w:rPr>
              <w:t>h</w:t>
            </w:r>
            <w:r w:rsidR="00362B32" w:rsidRPr="00657824">
              <w:rPr>
                <w:color w:val="000000"/>
                <w:sz w:val="20"/>
                <w:szCs w:val="20"/>
              </w:rPr>
              <w:t xml:space="preserve"> </w:t>
            </w:r>
            <w:r w:rsidRPr="00657824">
              <w:rPr>
                <w:color w:val="000000"/>
                <w:sz w:val="20"/>
                <w:szCs w:val="20"/>
              </w:rPr>
              <w:t>=</w:t>
            </w:r>
            <w:r w:rsidR="00362B32" w:rsidRPr="00657824">
              <w:rPr>
                <w:color w:val="000000"/>
                <w:sz w:val="20"/>
                <w:szCs w:val="20"/>
              </w:rPr>
              <w:t xml:space="preserve"> </w:t>
            </w:r>
            <w:r w:rsidRPr="00657824">
              <w:rPr>
                <w:color w:val="000000"/>
                <w:sz w:val="20"/>
                <w:szCs w:val="20"/>
              </w:rPr>
              <w:t>((f</w:t>
            </w:r>
            <w:r w:rsidR="00362B32" w:rsidRPr="00657824">
              <w:rPr>
                <w:color w:val="000000"/>
                <w:sz w:val="20"/>
                <w:szCs w:val="20"/>
              </w:rPr>
              <w:t xml:space="preserve"> </w:t>
            </w:r>
            <w:r w:rsidRPr="00657824">
              <w:rPr>
                <w:color w:val="000000"/>
                <w:sz w:val="20"/>
                <w:szCs w:val="20"/>
              </w:rPr>
              <w:t>-</w:t>
            </w:r>
            <w:r w:rsidR="00362B32" w:rsidRPr="00657824">
              <w:rPr>
                <w:color w:val="000000"/>
                <w:sz w:val="20"/>
                <w:szCs w:val="20"/>
              </w:rPr>
              <w:t xml:space="preserve"> </w:t>
            </w:r>
            <w:r w:rsidRPr="00657824">
              <w:rPr>
                <w:color w:val="000000"/>
                <w:sz w:val="20"/>
                <w:szCs w:val="20"/>
              </w:rPr>
              <w:t>g)</w:t>
            </w:r>
            <w:r w:rsidR="00362B32" w:rsidRPr="00657824">
              <w:rPr>
                <w:color w:val="000000"/>
                <w:sz w:val="20"/>
                <w:szCs w:val="20"/>
              </w:rPr>
              <w:t xml:space="preserve"> </w:t>
            </w:r>
            <w:r w:rsidRPr="00657824">
              <w:rPr>
                <w:color w:val="000000"/>
                <w:sz w:val="20"/>
                <w:szCs w:val="20"/>
              </w:rPr>
              <w:t>/</w:t>
            </w:r>
            <w:r w:rsidR="00362B32" w:rsidRPr="00657824">
              <w:rPr>
                <w:color w:val="000000"/>
                <w:sz w:val="20"/>
                <w:szCs w:val="20"/>
              </w:rPr>
              <w:t xml:space="preserve"> </w:t>
            </w:r>
            <w:r w:rsidRPr="00657824">
              <w:rPr>
                <w:color w:val="000000"/>
                <w:sz w:val="20"/>
                <w:szCs w:val="20"/>
              </w:rPr>
              <w:t>f)</w:t>
            </w:r>
            <w:r w:rsidR="00362B32" w:rsidRPr="00657824">
              <w:rPr>
                <w:color w:val="000000"/>
                <w:sz w:val="20"/>
                <w:szCs w:val="20"/>
              </w:rPr>
              <w:t xml:space="preserve"> </w:t>
            </w:r>
            <w:r w:rsidRPr="00657824">
              <w:rPr>
                <w:color w:val="000000"/>
                <w:sz w:val="20"/>
                <w:szCs w:val="20"/>
              </w:rPr>
              <w:t>*</w:t>
            </w:r>
            <w:r w:rsidR="00362B32" w:rsidRPr="00657824">
              <w:rPr>
                <w:color w:val="000000"/>
                <w:sz w:val="20"/>
                <w:szCs w:val="20"/>
              </w:rPr>
              <w:t xml:space="preserve"> </w:t>
            </w:r>
            <w:r w:rsidRPr="00657824">
              <w:rPr>
                <w:color w:val="000000"/>
                <w:sz w:val="20"/>
                <w:szCs w:val="20"/>
              </w:rPr>
              <w:t>100</w:t>
            </w:r>
          </w:p>
        </w:tc>
        <w:tc>
          <w:tcPr>
            <w:tcW w:w="1843" w:type="dxa"/>
            <w:vAlign w:val="center"/>
          </w:tcPr>
          <w:p w14:paraId="42A2E4D9" w14:textId="1166A6AB" w:rsidR="006F418B" w:rsidRPr="00657824" w:rsidRDefault="006F418B" w:rsidP="00BB3C33">
            <w:pPr>
              <w:jc w:val="right"/>
              <w:rPr>
                <w:color w:val="000000"/>
                <w:sz w:val="20"/>
                <w:szCs w:val="20"/>
              </w:rPr>
            </w:pPr>
            <w:r w:rsidRPr="00657824">
              <w:rPr>
                <w:color w:val="000000"/>
                <w:sz w:val="20"/>
                <w:szCs w:val="20"/>
              </w:rPr>
              <w:t>2.4</w:t>
            </w:r>
            <w:r w:rsidR="00362B32" w:rsidRPr="00657824">
              <w:rPr>
                <w:color w:val="000000"/>
                <w:sz w:val="20"/>
                <w:szCs w:val="20"/>
              </w:rPr>
              <w:t>3</w:t>
            </w:r>
            <w:r w:rsidRPr="00657824">
              <w:rPr>
                <w:color w:val="000000"/>
                <w:sz w:val="20"/>
                <w:szCs w:val="20"/>
              </w:rPr>
              <w:t>%</w:t>
            </w:r>
          </w:p>
        </w:tc>
      </w:tr>
    </w:tbl>
    <w:p w14:paraId="648CFC26" w14:textId="77777777" w:rsidR="006F418B" w:rsidRDefault="006F418B" w:rsidP="006F418B"/>
    <w:p w14:paraId="11206B98" w14:textId="77777777" w:rsidR="002A6362" w:rsidRDefault="002A6362" w:rsidP="00135DF0">
      <w:pPr>
        <w:spacing w:line="360" w:lineRule="auto"/>
      </w:pPr>
    </w:p>
    <w:p w14:paraId="17BC21DB" w14:textId="78C0C843" w:rsidR="00E9111B" w:rsidRDefault="006F418B" w:rsidP="00657824">
      <w:pPr>
        <w:spacing w:line="360" w:lineRule="auto"/>
      </w:pPr>
      <w:r>
        <w:t xml:space="preserve">Table </w:t>
      </w:r>
      <w:r w:rsidR="005F3B0A">
        <w:t>44</w:t>
      </w:r>
      <w:r>
        <w:t xml:space="preserve"> shows the total reduction in the cost of gambling harm per </w:t>
      </w:r>
      <w:r w:rsidR="00DA02A7">
        <w:t>person who gambles</w:t>
      </w:r>
      <w:r>
        <w:t xml:space="preserve">, for each ethnic group. The Māori population group had the highest reduction in the cost of gambling harm per </w:t>
      </w:r>
      <w:r w:rsidR="00DA02A7">
        <w:t>person who gambles</w:t>
      </w:r>
      <w:r w:rsidR="00AF6E5B">
        <w:t xml:space="preserve"> (</w:t>
      </w:r>
      <w:r>
        <w:t>$</w:t>
      </w:r>
      <w:r w:rsidR="000E2ED7">
        <w:t>71.5</w:t>
      </w:r>
      <w:r w:rsidR="00AF6E5B">
        <w:t>)</w:t>
      </w:r>
      <w:r>
        <w:t xml:space="preserve">. As described earlier, this is due to a higher proportion of the Māori population participating in </w:t>
      </w:r>
      <w:r w:rsidR="00D35699">
        <w:t>Class 4 pokies</w:t>
      </w:r>
      <w:r>
        <w:t>. This indicates that a sinking</w:t>
      </w:r>
      <w:r w:rsidR="00502394">
        <w:t>-</w:t>
      </w:r>
      <w:r>
        <w:t>lid policy could reduce the inequality in gambling harms between ethnic groups.</w:t>
      </w:r>
    </w:p>
    <w:p w14:paraId="74F202D6" w14:textId="77777777" w:rsidR="002A6362" w:rsidRDefault="002A6362" w:rsidP="006F418B"/>
    <w:p w14:paraId="13B38F5B" w14:textId="7A7A15DE" w:rsidR="005F3B0A" w:rsidRDefault="005F3B0A" w:rsidP="00DB094D">
      <w:pPr>
        <w:pStyle w:val="Caption"/>
      </w:pPr>
      <w:bookmarkStart w:id="548" w:name="_Toc207619086"/>
      <w:r>
        <w:t xml:space="preserve">Table </w:t>
      </w:r>
      <w:r>
        <w:fldChar w:fldCharType="begin"/>
      </w:r>
      <w:r>
        <w:instrText xml:space="preserve"> SEQ Table \* ARABIC </w:instrText>
      </w:r>
      <w:r>
        <w:fldChar w:fldCharType="separate"/>
      </w:r>
      <w:r w:rsidR="00986A0D">
        <w:rPr>
          <w:noProof/>
        </w:rPr>
        <w:t>44</w:t>
      </w:r>
      <w:r>
        <w:fldChar w:fldCharType="end"/>
      </w:r>
      <w:r w:rsidR="00111369">
        <w:t>.</w:t>
      </w:r>
      <w:r>
        <w:t xml:space="preserve"> </w:t>
      </w:r>
      <w:r w:rsidRPr="00F632EF">
        <w:t>Detailed changes to the total cost of gambling harm by ethnic group following the introduction of a sinking</w:t>
      </w:r>
      <w:r w:rsidR="00502394">
        <w:t>-</w:t>
      </w:r>
      <w:r w:rsidRPr="00F632EF">
        <w:t>lid policy to reduce the number of in-venue non-casino in-person EGMs</w:t>
      </w:r>
      <w:bookmarkEnd w:id="548"/>
    </w:p>
    <w:tbl>
      <w:tblPr>
        <w:tblStyle w:val="TableGridLight"/>
        <w:tblW w:w="9493" w:type="dxa"/>
        <w:tblLayout w:type="fixed"/>
        <w:tblLook w:val="0600" w:firstRow="0" w:lastRow="0" w:firstColumn="0" w:lastColumn="0" w:noHBand="1" w:noVBand="1"/>
      </w:tblPr>
      <w:tblGrid>
        <w:gridCol w:w="1271"/>
        <w:gridCol w:w="1134"/>
        <w:gridCol w:w="1149"/>
        <w:gridCol w:w="1261"/>
        <w:gridCol w:w="1446"/>
        <w:gridCol w:w="1562"/>
        <w:gridCol w:w="1670"/>
      </w:tblGrid>
      <w:tr w:rsidR="006F418B" w:rsidRPr="00657824" w14:paraId="6970F26F" w14:textId="77777777" w:rsidTr="001152A8">
        <w:trPr>
          <w:trHeight w:val="397"/>
        </w:trPr>
        <w:tc>
          <w:tcPr>
            <w:tcW w:w="1271" w:type="dxa"/>
            <w:shd w:val="clear" w:color="auto" w:fill="F2F2F2" w:themeFill="background1" w:themeFillShade="F2"/>
            <w:vAlign w:val="center"/>
          </w:tcPr>
          <w:p w14:paraId="56F4F63F" w14:textId="77777777" w:rsidR="006F418B" w:rsidRPr="00657824" w:rsidRDefault="006F418B" w:rsidP="00BB3C33">
            <w:pPr>
              <w:jc w:val="center"/>
              <w:rPr>
                <w:b/>
                <w:sz w:val="20"/>
                <w:szCs w:val="20"/>
              </w:rPr>
            </w:pPr>
            <w:r w:rsidRPr="00657824">
              <w:rPr>
                <w:b/>
                <w:sz w:val="20"/>
                <w:szCs w:val="20"/>
              </w:rPr>
              <w:t>Group</w:t>
            </w:r>
          </w:p>
        </w:tc>
        <w:tc>
          <w:tcPr>
            <w:tcW w:w="1134" w:type="dxa"/>
            <w:shd w:val="clear" w:color="auto" w:fill="F2F2F2" w:themeFill="background1" w:themeFillShade="F2"/>
            <w:vAlign w:val="center"/>
          </w:tcPr>
          <w:p w14:paraId="0E97B35E" w14:textId="7F3D3A0A" w:rsidR="006F418B" w:rsidRPr="00657824" w:rsidRDefault="001152A8" w:rsidP="00BB3C33">
            <w:pPr>
              <w:jc w:val="center"/>
              <w:rPr>
                <w:b/>
                <w:sz w:val="20"/>
                <w:szCs w:val="20"/>
              </w:rPr>
            </w:pPr>
            <w:r w:rsidRPr="00442301">
              <w:rPr>
                <w:b/>
                <w:sz w:val="18"/>
                <w:szCs w:val="18"/>
              </w:rPr>
              <w:t xml:space="preserve">Total </w:t>
            </w:r>
            <w:r>
              <w:rPr>
                <w:b/>
                <w:sz w:val="18"/>
                <w:szCs w:val="18"/>
              </w:rPr>
              <w:t>number of people who gamble</w:t>
            </w:r>
          </w:p>
        </w:tc>
        <w:tc>
          <w:tcPr>
            <w:tcW w:w="1149" w:type="dxa"/>
            <w:shd w:val="clear" w:color="auto" w:fill="F2F2F2" w:themeFill="background1" w:themeFillShade="F2"/>
            <w:vAlign w:val="center"/>
          </w:tcPr>
          <w:p w14:paraId="6CC8E6E0" w14:textId="0E6DEE06" w:rsidR="006F418B" w:rsidRPr="00657824" w:rsidRDefault="006F418B" w:rsidP="00BB3C33">
            <w:pPr>
              <w:jc w:val="center"/>
              <w:rPr>
                <w:b/>
                <w:sz w:val="20"/>
                <w:szCs w:val="20"/>
              </w:rPr>
            </w:pPr>
            <w:r w:rsidRPr="00657824">
              <w:rPr>
                <w:b/>
                <w:sz w:val="20"/>
                <w:szCs w:val="20"/>
              </w:rPr>
              <w:t xml:space="preserve">Total in-venue </w:t>
            </w:r>
            <w:r w:rsidR="00D35699">
              <w:rPr>
                <w:b/>
                <w:sz w:val="20"/>
                <w:szCs w:val="20"/>
              </w:rPr>
              <w:t>Class 4 pokies</w:t>
            </w:r>
            <w:r w:rsidRPr="00657824">
              <w:rPr>
                <w:b/>
                <w:sz w:val="20"/>
                <w:szCs w:val="20"/>
              </w:rPr>
              <w:t xml:space="preserve"> gamblers</w:t>
            </w:r>
          </w:p>
        </w:tc>
        <w:tc>
          <w:tcPr>
            <w:tcW w:w="1261" w:type="dxa"/>
            <w:shd w:val="clear" w:color="auto" w:fill="F2F2F2" w:themeFill="background1" w:themeFillShade="F2"/>
            <w:vAlign w:val="center"/>
          </w:tcPr>
          <w:p w14:paraId="724E1562" w14:textId="338C9064" w:rsidR="006F418B" w:rsidRPr="00657824" w:rsidRDefault="006F418B" w:rsidP="00BB3C33">
            <w:pPr>
              <w:jc w:val="center"/>
              <w:rPr>
                <w:b/>
                <w:sz w:val="20"/>
                <w:szCs w:val="20"/>
              </w:rPr>
            </w:pPr>
            <w:bookmarkStart w:id="549" w:name="_heading=h.pv97v1p3179z" w:colFirst="0" w:colLast="0"/>
            <w:bookmarkEnd w:id="549"/>
            <w:r w:rsidRPr="00657824">
              <w:rPr>
                <w:b/>
                <w:sz w:val="20"/>
                <w:szCs w:val="20"/>
              </w:rPr>
              <w:t xml:space="preserve">Population shares of in-venue </w:t>
            </w:r>
            <w:r w:rsidR="00D35699">
              <w:rPr>
                <w:b/>
                <w:sz w:val="20"/>
                <w:szCs w:val="20"/>
              </w:rPr>
              <w:t>Class 4 pokies</w:t>
            </w:r>
            <w:r w:rsidR="00D35699" w:rsidRPr="00657824">
              <w:rPr>
                <w:b/>
                <w:sz w:val="20"/>
                <w:szCs w:val="20"/>
              </w:rPr>
              <w:t xml:space="preserve"> </w:t>
            </w:r>
            <w:r w:rsidRPr="00657824">
              <w:rPr>
                <w:b/>
                <w:sz w:val="20"/>
                <w:szCs w:val="20"/>
              </w:rPr>
              <w:t>gamblers</w:t>
            </w:r>
          </w:p>
        </w:tc>
        <w:tc>
          <w:tcPr>
            <w:tcW w:w="1446" w:type="dxa"/>
            <w:shd w:val="clear" w:color="auto" w:fill="F2F2F2" w:themeFill="background1" w:themeFillShade="F2"/>
            <w:vAlign w:val="center"/>
          </w:tcPr>
          <w:p w14:paraId="3897541A" w14:textId="77777777" w:rsidR="006F418B" w:rsidRPr="00657824" w:rsidRDefault="006F418B" w:rsidP="00BB3C33">
            <w:pPr>
              <w:jc w:val="center"/>
              <w:rPr>
                <w:b/>
                <w:sz w:val="20"/>
                <w:szCs w:val="20"/>
              </w:rPr>
            </w:pPr>
            <w:r w:rsidRPr="00657824">
              <w:rPr>
                <w:b/>
                <w:sz w:val="20"/>
                <w:szCs w:val="20"/>
              </w:rPr>
              <w:t>Total reduction in cost of gambling harm following restriction</w:t>
            </w:r>
          </w:p>
        </w:tc>
        <w:tc>
          <w:tcPr>
            <w:tcW w:w="1562" w:type="dxa"/>
            <w:shd w:val="clear" w:color="auto" w:fill="F2F2F2" w:themeFill="background1" w:themeFillShade="F2"/>
            <w:vAlign w:val="center"/>
          </w:tcPr>
          <w:p w14:paraId="20823AE5" w14:textId="424762A9" w:rsidR="006F418B" w:rsidRPr="00657824" w:rsidRDefault="006F418B" w:rsidP="00BB3C33">
            <w:pPr>
              <w:jc w:val="center"/>
              <w:rPr>
                <w:b/>
                <w:sz w:val="20"/>
                <w:szCs w:val="20"/>
              </w:rPr>
            </w:pPr>
            <w:r w:rsidRPr="00657824">
              <w:rPr>
                <w:b/>
                <w:sz w:val="20"/>
                <w:szCs w:val="20"/>
              </w:rPr>
              <w:t>Proportional reduction in cost of gambling harm following restriction</w:t>
            </w:r>
          </w:p>
        </w:tc>
        <w:tc>
          <w:tcPr>
            <w:tcW w:w="1670" w:type="dxa"/>
            <w:shd w:val="clear" w:color="auto" w:fill="F2F2F2" w:themeFill="background1" w:themeFillShade="F2"/>
            <w:vAlign w:val="center"/>
          </w:tcPr>
          <w:p w14:paraId="3F1A27AD" w14:textId="77777777" w:rsidR="006F418B" w:rsidRPr="00657824" w:rsidRDefault="006F418B" w:rsidP="00BB3C33">
            <w:pPr>
              <w:jc w:val="center"/>
              <w:rPr>
                <w:b/>
                <w:sz w:val="20"/>
                <w:szCs w:val="20"/>
              </w:rPr>
            </w:pPr>
            <w:r w:rsidRPr="00657824">
              <w:rPr>
                <w:b/>
                <w:sz w:val="20"/>
                <w:szCs w:val="20"/>
              </w:rPr>
              <w:t>Total reduction in cost of gambling harm per-gambler following restriction</w:t>
            </w:r>
          </w:p>
        </w:tc>
      </w:tr>
      <w:tr w:rsidR="006F418B" w:rsidRPr="00657824" w14:paraId="53D03E17" w14:textId="77777777" w:rsidTr="001152A8">
        <w:trPr>
          <w:trHeight w:val="397"/>
        </w:trPr>
        <w:tc>
          <w:tcPr>
            <w:tcW w:w="1271" w:type="dxa"/>
            <w:vAlign w:val="center"/>
          </w:tcPr>
          <w:p w14:paraId="2D117D51" w14:textId="77777777" w:rsidR="006F418B" w:rsidRPr="00657824" w:rsidRDefault="006F418B" w:rsidP="000E2ED7">
            <w:pPr>
              <w:jc w:val="center"/>
              <w:rPr>
                <w:b/>
                <w:sz w:val="20"/>
                <w:szCs w:val="20"/>
              </w:rPr>
            </w:pPr>
          </w:p>
        </w:tc>
        <w:tc>
          <w:tcPr>
            <w:tcW w:w="1134" w:type="dxa"/>
            <w:vAlign w:val="center"/>
          </w:tcPr>
          <w:p w14:paraId="130162F9" w14:textId="77777777" w:rsidR="006F418B" w:rsidRPr="00657824" w:rsidRDefault="006F418B" w:rsidP="00BB3C33">
            <w:pPr>
              <w:jc w:val="center"/>
              <w:rPr>
                <w:i/>
                <w:sz w:val="20"/>
                <w:szCs w:val="20"/>
              </w:rPr>
            </w:pPr>
            <w:r w:rsidRPr="00657824">
              <w:rPr>
                <w:i/>
                <w:sz w:val="20"/>
                <w:szCs w:val="20"/>
              </w:rPr>
              <w:t>a</w:t>
            </w:r>
          </w:p>
        </w:tc>
        <w:tc>
          <w:tcPr>
            <w:tcW w:w="1149" w:type="dxa"/>
            <w:vAlign w:val="center"/>
          </w:tcPr>
          <w:p w14:paraId="373E9611" w14:textId="77777777" w:rsidR="006F418B" w:rsidRPr="00657824" w:rsidRDefault="006F418B" w:rsidP="00BB3C33">
            <w:pPr>
              <w:jc w:val="center"/>
              <w:rPr>
                <w:i/>
                <w:sz w:val="20"/>
                <w:szCs w:val="20"/>
              </w:rPr>
            </w:pPr>
            <w:r w:rsidRPr="00657824">
              <w:rPr>
                <w:i/>
                <w:sz w:val="20"/>
                <w:szCs w:val="20"/>
              </w:rPr>
              <w:t>b</w:t>
            </w:r>
          </w:p>
        </w:tc>
        <w:tc>
          <w:tcPr>
            <w:tcW w:w="1261" w:type="dxa"/>
            <w:vAlign w:val="center"/>
          </w:tcPr>
          <w:p w14:paraId="770FD912" w14:textId="03A19804" w:rsidR="006F418B" w:rsidRPr="00657824" w:rsidRDefault="006F418B" w:rsidP="00BB3C33">
            <w:pPr>
              <w:jc w:val="center"/>
              <w:rPr>
                <w:i/>
                <w:sz w:val="20"/>
                <w:szCs w:val="20"/>
              </w:rPr>
            </w:pPr>
            <w:r w:rsidRPr="00657824">
              <w:rPr>
                <w:i/>
                <w:sz w:val="20"/>
                <w:szCs w:val="20"/>
              </w:rPr>
              <w:t>c</w:t>
            </w:r>
            <w:r w:rsidR="000E2ED7" w:rsidRPr="00657824">
              <w:rPr>
                <w:i/>
                <w:sz w:val="20"/>
                <w:szCs w:val="20"/>
              </w:rPr>
              <w:t xml:space="preserve"> </w:t>
            </w:r>
            <w:r w:rsidRPr="00657824">
              <w:rPr>
                <w:i/>
                <w:sz w:val="20"/>
                <w:szCs w:val="20"/>
              </w:rPr>
              <w:t>=</w:t>
            </w:r>
            <w:r w:rsidR="000E2ED7" w:rsidRPr="00657824">
              <w:rPr>
                <w:i/>
                <w:sz w:val="20"/>
                <w:szCs w:val="20"/>
              </w:rPr>
              <w:t xml:space="preserve"> </w:t>
            </w:r>
            <w:r w:rsidRPr="00657824">
              <w:rPr>
                <w:i/>
                <w:sz w:val="20"/>
                <w:szCs w:val="20"/>
              </w:rPr>
              <w:t>b</w:t>
            </w:r>
            <w:r w:rsidR="000E2ED7" w:rsidRPr="00657824">
              <w:rPr>
                <w:i/>
                <w:sz w:val="20"/>
                <w:szCs w:val="20"/>
              </w:rPr>
              <w:t xml:space="preserve"> </w:t>
            </w:r>
            <w:r w:rsidRPr="00657824">
              <w:rPr>
                <w:i/>
                <w:sz w:val="20"/>
                <w:szCs w:val="20"/>
              </w:rPr>
              <w:t>/</w:t>
            </w:r>
            <w:r w:rsidR="000E2ED7" w:rsidRPr="00657824">
              <w:rPr>
                <w:i/>
                <w:sz w:val="20"/>
                <w:szCs w:val="20"/>
              </w:rPr>
              <w:t xml:space="preserve"> </w:t>
            </w:r>
            <w:r w:rsidRPr="00657824">
              <w:rPr>
                <w:i/>
                <w:sz w:val="20"/>
                <w:szCs w:val="20"/>
              </w:rPr>
              <w:t>'total'b</w:t>
            </w:r>
          </w:p>
        </w:tc>
        <w:tc>
          <w:tcPr>
            <w:tcW w:w="1446" w:type="dxa"/>
            <w:vAlign w:val="center"/>
          </w:tcPr>
          <w:p w14:paraId="36079202" w14:textId="1218606C" w:rsidR="006F418B" w:rsidRPr="00657824" w:rsidRDefault="00AF6E5B" w:rsidP="00BB3C33">
            <w:pPr>
              <w:jc w:val="center"/>
              <w:rPr>
                <w:i/>
                <w:sz w:val="20"/>
                <w:szCs w:val="20"/>
              </w:rPr>
            </w:pPr>
            <w:r w:rsidRPr="00657824">
              <w:rPr>
                <w:i/>
                <w:sz w:val="20"/>
                <w:szCs w:val="20"/>
              </w:rPr>
              <w:t>d</w:t>
            </w:r>
            <w:r w:rsidR="006F418B" w:rsidRPr="00657824">
              <w:rPr>
                <w:i/>
                <w:sz w:val="20"/>
                <w:szCs w:val="20"/>
              </w:rPr>
              <w:t xml:space="preserve"> (Table </w:t>
            </w:r>
            <w:r w:rsidR="009374F6" w:rsidRPr="00657824">
              <w:rPr>
                <w:i/>
                <w:sz w:val="20"/>
                <w:szCs w:val="20"/>
              </w:rPr>
              <w:t>43</w:t>
            </w:r>
            <w:r w:rsidR="006F418B" w:rsidRPr="00657824">
              <w:rPr>
                <w:i/>
                <w:sz w:val="20"/>
                <w:szCs w:val="20"/>
              </w:rPr>
              <w:t>)</w:t>
            </w:r>
          </w:p>
        </w:tc>
        <w:tc>
          <w:tcPr>
            <w:tcW w:w="1562" w:type="dxa"/>
            <w:vAlign w:val="center"/>
          </w:tcPr>
          <w:p w14:paraId="5B7923FA" w14:textId="01C9F901" w:rsidR="006F418B" w:rsidRPr="00657824" w:rsidRDefault="006F418B" w:rsidP="00BB3C33">
            <w:pPr>
              <w:jc w:val="center"/>
              <w:rPr>
                <w:i/>
                <w:sz w:val="20"/>
                <w:szCs w:val="20"/>
              </w:rPr>
            </w:pPr>
            <w:r w:rsidRPr="00657824">
              <w:rPr>
                <w:i/>
                <w:sz w:val="20"/>
                <w:szCs w:val="20"/>
              </w:rPr>
              <w:t>e</w:t>
            </w:r>
            <w:r w:rsidR="000E2ED7" w:rsidRPr="00657824">
              <w:rPr>
                <w:i/>
                <w:sz w:val="20"/>
                <w:szCs w:val="20"/>
              </w:rPr>
              <w:t xml:space="preserve"> </w:t>
            </w:r>
            <w:r w:rsidRPr="00657824">
              <w:rPr>
                <w:i/>
                <w:sz w:val="20"/>
                <w:szCs w:val="20"/>
              </w:rPr>
              <w:t>=</w:t>
            </w:r>
            <w:r w:rsidR="000E2ED7" w:rsidRPr="00657824">
              <w:rPr>
                <w:i/>
                <w:sz w:val="20"/>
                <w:szCs w:val="20"/>
              </w:rPr>
              <w:t xml:space="preserve"> </w:t>
            </w:r>
            <w:r w:rsidRPr="00657824">
              <w:rPr>
                <w:i/>
                <w:sz w:val="20"/>
                <w:szCs w:val="20"/>
              </w:rPr>
              <w:t>d</w:t>
            </w:r>
            <w:r w:rsidR="000E2ED7" w:rsidRPr="00657824">
              <w:rPr>
                <w:i/>
                <w:sz w:val="20"/>
                <w:szCs w:val="20"/>
              </w:rPr>
              <w:t xml:space="preserve"> </w:t>
            </w:r>
            <w:r w:rsidRPr="00657824">
              <w:rPr>
                <w:i/>
                <w:sz w:val="20"/>
                <w:szCs w:val="20"/>
              </w:rPr>
              <w:t>*</w:t>
            </w:r>
            <w:r w:rsidR="000E2ED7" w:rsidRPr="00657824">
              <w:rPr>
                <w:i/>
                <w:sz w:val="20"/>
                <w:szCs w:val="20"/>
              </w:rPr>
              <w:t xml:space="preserve"> </w:t>
            </w:r>
            <w:r w:rsidRPr="00657824">
              <w:rPr>
                <w:i/>
                <w:sz w:val="20"/>
                <w:szCs w:val="20"/>
              </w:rPr>
              <w:t>c</w:t>
            </w:r>
          </w:p>
        </w:tc>
        <w:tc>
          <w:tcPr>
            <w:tcW w:w="1670" w:type="dxa"/>
            <w:vAlign w:val="center"/>
          </w:tcPr>
          <w:p w14:paraId="51661213" w14:textId="48AF0B07" w:rsidR="006F418B" w:rsidRPr="00657824" w:rsidRDefault="006F418B" w:rsidP="00BB3C33">
            <w:pPr>
              <w:jc w:val="center"/>
              <w:rPr>
                <w:i/>
                <w:sz w:val="20"/>
                <w:szCs w:val="20"/>
              </w:rPr>
            </w:pPr>
            <w:r w:rsidRPr="00657824">
              <w:rPr>
                <w:i/>
                <w:sz w:val="20"/>
                <w:szCs w:val="20"/>
              </w:rPr>
              <w:t>f</w:t>
            </w:r>
            <w:r w:rsidR="000E2ED7" w:rsidRPr="00657824">
              <w:rPr>
                <w:i/>
                <w:sz w:val="20"/>
                <w:szCs w:val="20"/>
              </w:rPr>
              <w:t xml:space="preserve"> </w:t>
            </w:r>
            <w:r w:rsidRPr="00657824">
              <w:rPr>
                <w:i/>
                <w:sz w:val="20"/>
                <w:szCs w:val="20"/>
              </w:rPr>
              <w:t>=</w:t>
            </w:r>
            <w:r w:rsidR="000E2ED7" w:rsidRPr="00657824">
              <w:rPr>
                <w:i/>
                <w:sz w:val="20"/>
                <w:szCs w:val="20"/>
              </w:rPr>
              <w:t xml:space="preserve"> </w:t>
            </w:r>
            <w:r w:rsidRPr="00657824">
              <w:rPr>
                <w:i/>
                <w:sz w:val="20"/>
                <w:szCs w:val="20"/>
              </w:rPr>
              <w:t>e</w:t>
            </w:r>
            <w:r w:rsidR="000E2ED7" w:rsidRPr="00657824">
              <w:rPr>
                <w:i/>
                <w:sz w:val="20"/>
                <w:szCs w:val="20"/>
              </w:rPr>
              <w:t xml:space="preserve"> </w:t>
            </w:r>
            <w:r w:rsidRPr="00657824">
              <w:rPr>
                <w:i/>
                <w:sz w:val="20"/>
                <w:szCs w:val="20"/>
              </w:rPr>
              <w:t>/</w:t>
            </w:r>
            <w:r w:rsidR="000E2ED7" w:rsidRPr="00657824">
              <w:rPr>
                <w:i/>
                <w:sz w:val="20"/>
                <w:szCs w:val="20"/>
              </w:rPr>
              <w:t xml:space="preserve"> </w:t>
            </w:r>
            <w:r w:rsidRPr="00657824">
              <w:rPr>
                <w:i/>
                <w:sz w:val="20"/>
                <w:szCs w:val="20"/>
              </w:rPr>
              <w:t>a</w:t>
            </w:r>
          </w:p>
        </w:tc>
      </w:tr>
      <w:tr w:rsidR="000E2ED7" w:rsidRPr="00657824" w14:paraId="763DB32E" w14:textId="77777777" w:rsidTr="001152A8">
        <w:trPr>
          <w:trHeight w:val="397"/>
        </w:trPr>
        <w:tc>
          <w:tcPr>
            <w:tcW w:w="1271" w:type="dxa"/>
            <w:vAlign w:val="center"/>
          </w:tcPr>
          <w:p w14:paraId="76EAD45D" w14:textId="77777777" w:rsidR="000E2ED7" w:rsidRPr="00657824" w:rsidRDefault="000E2ED7" w:rsidP="00BB3C33">
            <w:pPr>
              <w:rPr>
                <w:sz w:val="20"/>
                <w:szCs w:val="20"/>
              </w:rPr>
            </w:pPr>
            <w:r w:rsidRPr="00657824">
              <w:rPr>
                <w:sz w:val="20"/>
                <w:szCs w:val="20"/>
              </w:rPr>
              <w:t>European /Other</w:t>
            </w:r>
          </w:p>
        </w:tc>
        <w:tc>
          <w:tcPr>
            <w:tcW w:w="1134" w:type="dxa"/>
            <w:vAlign w:val="center"/>
          </w:tcPr>
          <w:p w14:paraId="29E1F616" w14:textId="7F5B1924" w:rsidR="000E2ED7" w:rsidRPr="00657824" w:rsidRDefault="000E2ED7" w:rsidP="00BB3C33">
            <w:pPr>
              <w:jc w:val="right"/>
              <w:rPr>
                <w:sz w:val="20"/>
                <w:szCs w:val="20"/>
              </w:rPr>
            </w:pPr>
            <w:r w:rsidRPr="00657824">
              <w:rPr>
                <w:sz w:val="20"/>
                <w:szCs w:val="20"/>
              </w:rPr>
              <w:t>1,662,682</w:t>
            </w:r>
          </w:p>
        </w:tc>
        <w:tc>
          <w:tcPr>
            <w:tcW w:w="1149" w:type="dxa"/>
            <w:vAlign w:val="center"/>
          </w:tcPr>
          <w:p w14:paraId="5CAA7F09" w14:textId="456D2A0C" w:rsidR="000E2ED7" w:rsidRPr="00657824" w:rsidRDefault="000E2ED7" w:rsidP="00BB3C33">
            <w:pPr>
              <w:jc w:val="right"/>
              <w:rPr>
                <w:sz w:val="20"/>
                <w:szCs w:val="20"/>
              </w:rPr>
            </w:pPr>
            <w:r w:rsidRPr="00657824">
              <w:rPr>
                <w:sz w:val="20"/>
                <w:szCs w:val="20"/>
              </w:rPr>
              <w:t>294,254</w:t>
            </w:r>
          </w:p>
        </w:tc>
        <w:tc>
          <w:tcPr>
            <w:tcW w:w="1261" w:type="dxa"/>
            <w:vAlign w:val="center"/>
          </w:tcPr>
          <w:p w14:paraId="13D85C55" w14:textId="77777777" w:rsidR="000E2ED7" w:rsidRPr="00657824" w:rsidRDefault="000E2ED7" w:rsidP="00BB3C33">
            <w:pPr>
              <w:jc w:val="right"/>
              <w:rPr>
                <w:sz w:val="20"/>
                <w:szCs w:val="20"/>
              </w:rPr>
            </w:pPr>
            <w:r w:rsidRPr="00657824">
              <w:rPr>
                <w:sz w:val="20"/>
                <w:szCs w:val="20"/>
              </w:rPr>
              <w:t>58.2%</w:t>
            </w:r>
          </w:p>
        </w:tc>
        <w:tc>
          <w:tcPr>
            <w:tcW w:w="1446" w:type="dxa"/>
            <w:vAlign w:val="center"/>
          </w:tcPr>
          <w:p w14:paraId="6E5AD71B" w14:textId="47A0B3E7" w:rsidR="000E2ED7" w:rsidRPr="00657824" w:rsidRDefault="000E2ED7" w:rsidP="00BB3C33">
            <w:pPr>
              <w:jc w:val="right"/>
              <w:rPr>
                <w:sz w:val="20"/>
                <w:szCs w:val="20"/>
              </w:rPr>
            </w:pPr>
            <w:r w:rsidRPr="00657824">
              <w:rPr>
                <w:sz w:val="20"/>
                <w:szCs w:val="20"/>
              </w:rPr>
              <w:t>$102,335,799</w:t>
            </w:r>
          </w:p>
        </w:tc>
        <w:tc>
          <w:tcPr>
            <w:tcW w:w="1562" w:type="dxa"/>
            <w:vAlign w:val="center"/>
          </w:tcPr>
          <w:p w14:paraId="2DFB29C9" w14:textId="4AD9E195" w:rsidR="000E2ED7" w:rsidRPr="00657824" w:rsidRDefault="000E2ED7" w:rsidP="00BB3C33">
            <w:pPr>
              <w:jc w:val="right"/>
              <w:rPr>
                <w:sz w:val="20"/>
                <w:szCs w:val="20"/>
              </w:rPr>
            </w:pPr>
            <w:r w:rsidRPr="00657824">
              <w:rPr>
                <w:color w:val="000000"/>
                <w:sz w:val="20"/>
                <w:szCs w:val="20"/>
              </w:rPr>
              <w:t>$59,559,43</w:t>
            </w:r>
            <w:r w:rsidR="00657824">
              <w:rPr>
                <w:color w:val="000000"/>
                <w:sz w:val="20"/>
                <w:szCs w:val="20"/>
              </w:rPr>
              <w:t>4</w:t>
            </w:r>
          </w:p>
        </w:tc>
        <w:tc>
          <w:tcPr>
            <w:tcW w:w="1670" w:type="dxa"/>
            <w:vAlign w:val="center"/>
          </w:tcPr>
          <w:p w14:paraId="177ECAFB" w14:textId="74F58F30" w:rsidR="000E2ED7" w:rsidRPr="00657824" w:rsidRDefault="000E2ED7" w:rsidP="00BB3C33">
            <w:pPr>
              <w:jc w:val="right"/>
              <w:rPr>
                <w:sz w:val="20"/>
                <w:szCs w:val="20"/>
              </w:rPr>
            </w:pPr>
            <w:r w:rsidRPr="00657824">
              <w:rPr>
                <w:color w:val="000000"/>
                <w:sz w:val="20"/>
                <w:szCs w:val="20"/>
              </w:rPr>
              <w:t>$35.8</w:t>
            </w:r>
          </w:p>
        </w:tc>
      </w:tr>
      <w:tr w:rsidR="000E2ED7" w:rsidRPr="00657824" w14:paraId="12F9A153" w14:textId="77777777" w:rsidTr="001152A8">
        <w:trPr>
          <w:trHeight w:val="397"/>
        </w:trPr>
        <w:tc>
          <w:tcPr>
            <w:tcW w:w="1271" w:type="dxa"/>
            <w:vAlign w:val="center"/>
          </w:tcPr>
          <w:p w14:paraId="380FEE29" w14:textId="77777777" w:rsidR="000E2ED7" w:rsidRPr="00657824" w:rsidRDefault="000E2ED7" w:rsidP="00BB3C33">
            <w:pPr>
              <w:rPr>
                <w:sz w:val="20"/>
                <w:szCs w:val="20"/>
              </w:rPr>
            </w:pPr>
            <w:r w:rsidRPr="00657824">
              <w:rPr>
                <w:sz w:val="20"/>
                <w:szCs w:val="20"/>
              </w:rPr>
              <w:t>Māori</w:t>
            </w:r>
          </w:p>
        </w:tc>
        <w:tc>
          <w:tcPr>
            <w:tcW w:w="1134" w:type="dxa"/>
            <w:vAlign w:val="center"/>
          </w:tcPr>
          <w:p w14:paraId="56307DE0" w14:textId="7CFA1E8C" w:rsidR="000E2ED7" w:rsidRPr="00657824" w:rsidRDefault="000E2ED7" w:rsidP="00BB3C33">
            <w:pPr>
              <w:jc w:val="right"/>
              <w:rPr>
                <w:sz w:val="20"/>
                <w:szCs w:val="20"/>
              </w:rPr>
            </w:pPr>
            <w:r w:rsidRPr="00657824">
              <w:rPr>
                <w:sz w:val="20"/>
                <w:szCs w:val="20"/>
              </w:rPr>
              <w:t>433,698</w:t>
            </w:r>
          </w:p>
        </w:tc>
        <w:tc>
          <w:tcPr>
            <w:tcW w:w="1149" w:type="dxa"/>
            <w:vAlign w:val="center"/>
          </w:tcPr>
          <w:p w14:paraId="1D59D232" w14:textId="71889D8E" w:rsidR="000E2ED7" w:rsidRPr="00657824" w:rsidRDefault="000E2ED7" w:rsidP="00BB3C33">
            <w:pPr>
              <w:jc w:val="right"/>
              <w:rPr>
                <w:sz w:val="20"/>
                <w:szCs w:val="20"/>
              </w:rPr>
            </w:pPr>
            <w:r w:rsidRPr="00657824">
              <w:rPr>
                <w:sz w:val="20"/>
                <w:szCs w:val="20"/>
              </w:rPr>
              <w:t>152,919</w:t>
            </w:r>
          </w:p>
        </w:tc>
        <w:tc>
          <w:tcPr>
            <w:tcW w:w="1261" w:type="dxa"/>
            <w:vAlign w:val="center"/>
          </w:tcPr>
          <w:p w14:paraId="19E17726" w14:textId="77777777" w:rsidR="000E2ED7" w:rsidRPr="00657824" w:rsidRDefault="000E2ED7" w:rsidP="00BB3C33">
            <w:pPr>
              <w:jc w:val="right"/>
              <w:rPr>
                <w:sz w:val="20"/>
                <w:szCs w:val="20"/>
              </w:rPr>
            </w:pPr>
            <w:r w:rsidRPr="00657824">
              <w:rPr>
                <w:sz w:val="20"/>
                <w:szCs w:val="20"/>
              </w:rPr>
              <w:t>30.3%</w:t>
            </w:r>
          </w:p>
        </w:tc>
        <w:tc>
          <w:tcPr>
            <w:tcW w:w="1446" w:type="dxa"/>
            <w:vAlign w:val="center"/>
          </w:tcPr>
          <w:p w14:paraId="79A49C02" w14:textId="0B832B89" w:rsidR="000E2ED7" w:rsidRPr="00657824" w:rsidRDefault="000E2ED7" w:rsidP="00BB3C33">
            <w:pPr>
              <w:jc w:val="right"/>
              <w:rPr>
                <w:sz w:val="20"/>
                <w:szCs w:val="20"/>
              </w:rPr>
            </w:pPr>
            <w:r w:rsidRPr="00657824">
              <w:rPr>
                <w:sz w:val="20"/>
                <w:szCs w:val="20"/>
              </w:rPr>
              <w:t>$102,335,799</w:t>
            </w:r>
          </w:p>
        </w:tc>
        <w:tc>
          <w:tcPr>
            <w:tcW w:w="1562" w:type="dxa"/>
            <w:vAlign w:val="center"/>
          </w:tcPr>
          <w:p w14:paraId="3B01E333" w14:textId="4A6B4DC2" w:rsidR="000E2ED7" w:rsidRPr="00657824" w:rsidRDefault="000E2ED7" w:rsidP="00BB3C33">
            <w:pPr>
              <w:jc w:val="right"/>
              <w:rPr>
                <w:sz w:val="20"/>
                <w:szCs w:val="20"/>
              </w:rPr>
            </w:pPr>
            <w:r w:rsidRPr="00657824">
              <w:rPr>
                <w:color w:val="000000"/>
                <w:sz w:val="20"/>
                <w:szCs w:val="20"/>
              </w:rPr>
              <w:t>$31,007,747</w:t>
            </w:r>
          </w:p>
        </w:tc>
        <w:tc>
          <w:tcPr>
            <w:tcW w:w="1670" w:type="dxa"/>
            <w:vAlign w:val="center"/>
          </w:tcPr>
          <w:p w14:paraId="5275F9B6" w14:textId="5D865373" w:rsidR="000E2ED7" w:rsidRPr="00657824" w:rsidRDefault="000E2ED7" w:rsidP="00BB3C33">
            <w:pPr>
              <w:jc w:val="right"/>
              <w:rPr>
                <w:sz w:val="20"/>
                <w:szCs w:val="20"/>
              </w:rPr>
            </w:pPr>
            <w:r w:rsidRPr="00657824">
              <w:rPr>
                <w:color w:val="000000"/>
                <w:sz w:val="20"/>
                <w:szCs w:val="20"/>
              </w:rPr>
              <w:t>$71.5</w:t>
            </w:r>
          </w:p>
        </w:tc>
      </w:tr>
      <w:tr w:rsidR="000E2ED7" w:rsidRPr="00657824" w14:paraId="215E1E85" w14:textId="77777777" w:rsidTr="001152A8">
        <w:trPr>
          <w:trHeight w:val="397"/>
        </w:trPr>
        <w:tc>
          <w:tcPr>
            <w:tcW w:w="1271" w:type="dxa"/>
            <w:vAlign w:val="center"/>
          </w:tcPr>
          <w:p w14:paraId="0DAE9757" w14:textId="77777777" w:rsidR="000E2ED7" w:rsidRPr="00657824" w:rsidRDefault="000E2ED7" w:rsidP="00BB3C33">
            <w:pPr>
              <w:rPr>
                <w:sz w:val="20"/>
                <w:szCs w:val="20"/>
              </w:rPr>
            </w:pPr>
            <w:r w:rsidRPr="00657824">
              <w:rPr>
                <w:sz w:val="20"/>
                <w:szCs w:val="20"/>
              </w:rPr>
              <w:t>Pacific</w:t>
            </w:r>
          </w:p>
        </w:tc>
        <w:tc>
          <w:tcPr>
            <w:tcW w:w="1134" w:type="dxa"/>
            <w:vAlign w:val="center"/>
          </w:tcPr>
          <w:p w14:paraId="7DF0A231" w14:textId="224D4669" w:rsidR="000E2ED7" w:rsidRPr="00657824" w:rsidRDefault="000E2ED7" w:rsidP="00BB3C33">
            <w:pPr>
              <w:jc w:val="right"/>
              <w:rPr>
                <w:sz w:val="20"/>
                <w:szCs w:val="20"/>
              </w:rPr>
            </w:pPr>
            <w:r w:rsidRPr="00657824">
              <w:rPr>
                <w:sz w:val="20"/>
                <w:szCs w:val="20"/>
              </w:rPr>
              <w:t>159,766</w:t>
            </w:r>
          </w:p>
        </w:tc>
        <w:tc>
          <w:tcPr>
            <w:tcW w:w="1149" w:type="dxa"/>
            <w:vAlign w:val="center"/>
          </w:tcPr>
          <w:p w14:paraId="138B3DD8" w14:textId="488638FF" w:rsidR="000E2ED7" w:rsidRPr="00657824" w:rsidRDefault="000E2ED7" w:rsidP="00BB3C33">
            <w:pPr>
              <w:jc w:val="right"/>
              <w:rPr>
                <w:sz w:val="20"/>
                <w:szCs w:val="20"/>
              </w:rPr>
            </w:pPr>
            <w:r w:rsidRPr="00657824">
              <w:rPr>
                <w:sz w:val="20"/>
                <w:szCs w:val="20"/>
              </w:rPr>
              <w:t>38,763</w:t>
            </w:r>
          </w:p>
        </w:tc>
        <w:tc>
          <w:tcPr>
            <w:tcW w:w="1261" w:type="dxa"/>
            <w:vAlign w:val="center"/>
          </w:tcPr>
          <w:p w14:paraId="5FD04DAD" w14:textId="77777777" w:rsidR="000E2ED7" w:rsidRPr="00657824" w:rsidRDefault="000E2ED7" w:rsidP="00BB3C33">
            <w:pPr>
              <w:jc w:val="right"/>
              <w:rPr>
                <w:sz w:val="20"/>
                <w:szCs w:val="20"/>
              </w:rPr>
            </w:pPr>
            <w:r w:rsidRPr="00657824">
              <w:rPr>
                <w:sz w:val="20"/>
                <w:szCs w:val="20"/>
              </w:rPr>
              <w:t>7.7%</w:t>
            </w:r>
          </w:p>
        </w:tc>
        <w:tc>
          <w:tcPr>
            <w:tcW w:w="1446" w:type="dxa"/>
            <w:vAlign w:val="center"/>
          </w:tcPr>
          <w:p w14:paraId="5540C741" w14:textId="053C4F5A" w:rsidR="000E2ED7" w:rsidRPr="00657824" w:rsidRDefault="000E2ED7" w:rsidP="00BB3C33">
            <w:pPr>
              <w:jc w:val="right"/>
              <w:rPr>
                <w:sz w:val="20"/>
                <w:szCs w:val="20"/>
              </w:rPr>
            </w:pPr>
            <w:r w:rsidRPr="00657824">
              <w:rPr>
                <w:sz w:val="20"/>
                <w:szCs w:val="20"/>
              </w:rPr>
              <w:t>$102,335,799</w:t>
            </w:r>
          </w:p>
        </w:tc>
        <w:tc>
          <w:tcPr>
            <w:tcW w:w="1562" w:type="dxa"/>
            <w:vAlign w:val="center"/>
          </w:tcPr>
          <w:p w14:paraId="3128E78C" w14:textId="303A3D10" w:rsidR="000E2ED7" w:rsidRPr="00657824" w:rsidRDefault="000E2ED7" w:rsidP="00BB3C33">
            <w:pPr>
              <w:jc w:val="right"/>
              <w:rPr>
                <w:sz w:val="20"/>
                <w:szCs w:val="20"/>
              </w:rPr>
            </w:pPr>
            <w:r w:rsidRPr="00657824">
              <w:rPr>
                <w:color w:val="000000"/>
                <w:sz w:val="20"/>
                <w:szCs w:val="20"/>
              </w:rPr>
              <w:t>$7,879,85</w:t>
            </w:r>
            <w:r w:rsidR="00657824">
              <w:rPr>
                <w:color w:val="000000"/>
                <w:sz w:val="20"/>
                <w:szCs w:val="20"/>
              </w:rPr>
              <w:t>7</w:t>
            </w:r>
          </w:p>
        </w:tc>
        <w:tc>
          <w:tcPr>
            <w:tcW w:w="1670" w:type="dxa"/>
            <w:vAlign w:val="center"/>
          </w:tcPr>
          <w:p w14:paraId="0947C506" w14:textId="6B863398" w:rsidR="000E2ED7" w:rsidRPr="00657824" w:rsidRDefault="000E2ED7" w:rsidP="00BB3C33">
            <w:pPr>
              <w:jc w:val="right"/>
              <w:rPr>
                <w:sz w:val="20"/>
                <w:szCs w:val="20"/>
              </w:rPr>
            </w:pPr>
            <w:r w:rsidRPr="00657824">
              <w:rPr>
                <w:color w:val="000000"/>
                <w:sz w:val="20"/>
                <w:szCs w:val="20"/>
              </w:rPr>
              <w:t>$49.3</w:t>
            </w:r>
          </w:p>
        </w:tc>
      </w:tr>
      <w:tr w:rsidR="000E2ED7" w:rsidRPr="00657824" w14:paraId="763B9FFE" w14:textId="77777777" w:rsidTr="001152A8">
        <w:trPr>
          <w:trHeight w:val="397"/>
        </w:trPr>
        <w:tc>
          <w:tcPr>
            <w:tcW w:w="1271" w:type="dxa"/>
            <w:vAlign w:val="center"/>
          </w:tcPr>
          <w:p w14:paraId="32C595A8" w14:textId="77777777" w:rsidR="000E2ED7" w:rsidRPr="00657824" w:rsidRDefault="000E2ED7" w:rsidP="00BB3C33">
            <w:pPr>
              <w:rPr>
                <w:sz w:val="20"/>
                <w:szCs w:val="20"/>
              </w:rPr>
            </w:pPr>
            <w:r w:rsidRPr="00657824">
              <w:rPr>
                <w:sz w:val="20"/>
                <w:szCs w:val="20"/>
              </w:rPr>
              <w:t>Asian</w:t>
            </w:r>
          </w:p>
        </w:tc>
        <w:tc>
          <w:tcPr>
            <w:tcW w:w="1134" w:type="dxa"/>
            <w:vAlign w:val="center"/>
          </w:tcPr>
          <w:p w14:paraId="610B107E" w14:textId="2790D6D5" w:rsidR="000E2ED7" w:rsidRPr="00657824" w:rsidRDefault="000E2ED7" w:rsidP="00BB3C33">
            <w:pPr>
              <w:jc w:val="right"/>
              <w:rPr>
                <w:sz w:val="20"/>
                <w:szCs w:val="20"/>
              </w:rPr>
            </w:pPr>
            <w:r w:rsidRPr="00657824">
              <w:rPr>
                <w:sz w:val="20"/>
                <w:szCs w:val="20"/>
              </w:rPr>
              <w:t>358,578</w:t>
            </w:r>
          </w:p>
        </w:tc>
        <w:tc>
          <w:tcPr>
            <w:tcW w:w="1149" w:type="dxa"/>
            <w:vAlign w:val="center"/>
          </w:tcPr>
          <w:p w14:paraId="0084900A" w14:textId="7094DE46" w:rsidR="000E2ED7" w:rsidRPr="00657824" w:rsidRDefault="000E2ED7" w:rsidP="00BB3C33">
            <w:pPr>
              <w:jc w:val="right"/>
              <w:rPr>
                <w:sz w:val="20"/>
                <w:szCs w:val="20"/>
              </w:rPr>
            </w:pPr>
            <w:r w:rsidRPr="00657824">
              <w:rPr>
                <w:sz w:val="20"/>
                <w:szCs w:val="20"/>
              </w:rPr>
              <w:t>19,497</w:t>
            </w:r>
          </w:p>
        </w:tc>
        <w:tc>
          <w:tcPr>
            <w:tcW w:w="1261" w:type="dxa"/>
            <w:vAlign w:val="center"/>
          </w:tcPr>
          <w:p w14:paraId="78967013" w14:textId="77777777" w:rsidR="000E2ED7" w:rsidRPr="00657824" w:rsidRDefault="000E2ED7" w:rsidP="00BB3C33">
            <w:pPr>
              <w:jc w:val="right"/>
              <w:rPr>
                <w:sz w:val="20"/>
                <w:szCs w:val="20"/>
              </w:rPr>
            </w:pPr>
            <w:r w:rsidRPr="00657824">
              <w:rPr>
                <w:sz w:val="20"/>
                <w:szCs w:val="20"/>
              </w:rPr>
              <w:t>3.9%</w:t>
            </w:r>
          </w:p>
        </w:tc>
        <w:tc>
          <w:tcPr>
            <w:tcW w:w="1446" w:type="dxa"/>
            <w:vAlign w:val="center"/>
          </w:tcPr>
          <w:p w14:paraId="3E567BB2" w14:textId="16762D75" w:rsidR="000E2ED7" w:rsidRPr="00657824" w:rsidRDefault="000E2ED7" w:rsidP="00BB3C33">
            <w:pPr>
              <w:jc w:val="right"/>
              <w:rPr>
                <w:sz w:val="20"/>
                <w:szCs w:val="20"/>
              </w:rPr>
            </w:pPr>
            <w:r w:rsidRPr="00657824">
              <w:rPr>
                <w:sz w:val="20"/>
                <w:szCs w:val="20"/>
              </w:rPr>
              <w:t>$102,335,799</w:t>
            </w:r>
          </w:p>
        </w:tc>
        <w:tc>
          <w:tcPr>
            <w:tcW w:w="1562" w:type="dxa"/>
            <w:vAlign w:val="center"/>
          </w:tcPr>
          <w:p w14:paraId="16D4252C" w14:textId="2C1A2E19" w:rsidR="000E2ED7" w:rsidRPr="00657824" w:rsidRDefault="000E2ED7" w:rsidP="00BB3C33">
            <w:pPr>
              <w:jc w:val="right"/>
              <w:rPr>
                <w:sz w:val="20"/>
                <w:szCs w:val="20"/>
              </w:rPr>
            </w:pPr>
            <w:r w:rsidRPr="00657824">
              <w:rPr>
                <w:color w:val="000000"/>
                <w:sz w:val="20"/>
                <w:szCs w:val="20"/>
              </w:rPr>
              <w:t>$3,991,096</w:t>
            </w:r>
          </w:p>
        </w:tc>
        <w:tc>
          <w:tcPr>
            <w:tcW w:w="1670" w:type="dxa"/>
            <w:vAlign w:val="center"/>
          </w:tcPr>
          <w:p w14:paraId="63A2C3BA" w14:textId="662EBBA6" w:rsidR="000E2ED7" w:rsidRPr="00657824" w:rsidRDefault="000E2ED7" w:rsidP="00BB3C33">
            <w:pPr>
              <w:jc w:val="right"/>
              <w:rPr>
                <w:sz w:val="20"/>
                <w:szCs w:val="20"/>
              </w:rPr>
            </w:pPr>
            <w:r w:rsidRPr="00657824">
              <w:rPr>
                <w:color w:val="000000"/>
                <w:sz w:val="20"/>
                <w:szCs w:val="20"/>
              </w:rPr>
              <w:t>$11.1</w:t>
            </w:r>
          </w:p>
        </w:tc>
      </w:tr>
      <w:tr w:rsidR="000E2ED7" w:rsidRPr="00657824" w14:paraId="387E64B8" w14:textId="77777777" w:rsidTr="001152A8">
        <w:trPr>
          <w:trHeight w:val="397"/>
        </w:trPr>
        <w:tc>
          <w:tcPr>
            <w:tcW w:w="1271" w:type="dxa"/>
            <w:vAlign w:val="center"/>
          </w:tcPr>
          <w:p w14:paraId="6875C2EA" w14:textId="77777777" w:rsidR="000E2ED7" w:rsidRPr="00657824" w:rsidRDefault="000E2ED7" w:rsidP="00BB3C33">
            <w:pPr>
              <w:rPr>
                <w:sz w:val="20"/>
                <w:szCs w:val="20"/>
              </w:rPr>
            </w:pPr>
            <w:r w:rsidRPr="00657824">
              <w:rPr>
                <w:sz w:val="20"/>
                <w:szCs w:val="20"/>
              </w:rPr>
              <w:t>Total</w:t>
            </w:r>
          </w:p>
        </w:tc>
        <w:tc>
          <w:tcPr>
            <w:tcW w:w="1134" w:type="dxa"/>
            <w:vAlign w:val="center"/>
          </w:tcPr>
          <w:p w14:paraId="08C37DBA" w14:textId="0C8470C1" w:rsidR="000E2ED7" w:rsidRPr="00657824" w:rsidRDefault="000E2ED7" w:rsidP="00BB3C33">
            <w:pPr>
              <w:jc w:val="right"/>
              <w:rPr>
                <w:sz w:val="20"/>
                <w:szCs w:val="20"/>
              </w:rPr>
            </w:pPr>
            <w:r w:rsidRPr="00657824">
              <w:rPr>
                <w:sz w:val="20"/>
                <w:szCs w:val="20"/>
              </w:rPr>
              <w:t>2,614,725</w:t>
            </w:r>
          </w:p>
        </w:tc>
        <w:tc>
          <w:tcPr>
            <w:tcW w:w="1149" w:type="dxa"/>
            <w:vAlign w:val="center"/>
          </w:tcPr>
          <w:p w14:paraId="4EBAFF91" w14:textId="5A06038B" w:rsidR="000E2ED7" w:rsidRPr="00657824" w:rsidRDefault="000E2ED7" w:rsidP="00BB3C33">
            <w:pPr>
              <w:jc w:val="right"/>
              <w:rPr>
                <w:sz w:val="20"/>
                <w:szCs w:val="20"/>
              </w:rPr>
            </w:pPr>
            <w:r w:rsidRPr="00657824">
              <w:rPr>
                <w:sz w:val="20"/>
                <w:szCs w:val="20"/>
              </w:rPr>
              <w:t>505,433</w:t>
            </w:r>
          </w:p>
        </w:tc>
        <w:tc>
          <w:tcPr>
            <w:tcW w:w="1261" w:type="dxa"/>
            <w:vAlign w:val="center"/>
          </w:tcPr>
          <w:p w14:paraId="76EB43F3" w14:textId="77777777" w:rsidR="000E2ED7" w:rsidRPr="00657824" w:rsidRDefault="000E2ED7" w:rsidP="00BB3C33">
            <w:pPr>
              <w:jc w:val="right"/>
              <w:rPr>
                <w:sz w:val="20"/>
                <w:szCs w:val="20"/>
              </w:rPr>
            </w:pPr>
            <w:r w:rsidRPr="00657824">
              <w:rPr>
                <w:sz w:val="20"/>
                <w:szCs w:val="20"/>
              </w:rPr>
              <w:t>100%</w:t>
            </w:r>
          </w:p>
        </w:tc>
        <w:tc>
          <w:tcPr>
            <w:tcW w:w="1446" w:type="dxa"/>
            <w:vAlign w:val="center"/>
          </w:tcPr>
          <w:p w14:paraId="3A9ABF28" w14:textId="29E1B462" w:rsidR="000E2ED7" w:rsidRPr="00657824" w:rsidRDefault="000E2ED7" w:rsidP="00BB3C33">
            <w:pPr>
              <w:jc w:val="right"/>
              <w:rPr>
                <w:sz w:val="20"/>
                <w:szCs w:val="20"/>
              </w:rPr>
            </w:pPr>
            <w:r w:rsidRPr="00657824">
              <w:rPr>
                <w:sz w:val="20"/>
                <w:szCs w:val="20"/>
              </w:rPr>
              <w:t>$102,335,799</w:t>
            </w:r>
          </w:p>
        </w:tc>
        <w:tc>
          <w:tcPr>
            <w:tcW w:w="1562" w:type="dxa"/>
            <w:vAlign w:val="center"/>
          </w:tcPr>
          <w:p w14:paraId="5DA4415D" w14:textId="6F9BEDF2" w:rsidR="000E2ED7" w:rsidRPr="00657824" w:rsidRDefault="000E2ED7" w:rsidP="00BB3C33">
            <w:pPr>
              <w:jc w:val="right"/>
              <w:rPr>
                <w:sz w:val="20"/>
                <w:szCs w:val="20"/>
              </w:rPr>
            </w:pPr>
            <w:r w:rsidRPr="00657824">
              <w:rPr>
                <w:color w:val="000000"/>
                <w:sz w:val="20"/>
                <w:szCs w:val="20"/>
              </w:rPr>
              <w:t>$102,335,79</w:t>
            </w:r>
            <w:r w:rsidR="00657824">
              <w:rPr>
                <w:color w:val="000000"/>
                <w:sz w:val="20"/>
                <w:szCs w:val="20"/>
              </w:rPr>
              <w:t>9</w:t>
            </w:r>
          </w:p>
        </w:tc>
        <w:tc>
          <w:tcPr>
            <w:tcW w:w="1670" w:type="dxa"/>
            <w:vAlign w:val="center"/>
          </w:tcPr>
          <w:p w14:paraId="016C72D7" w14:textId="5ABFB786" w:rsidR="000E2ED7" w:rsidRPr="00657824" w:rsidRDefault="000E2ED7" w:rsidP="00BB3C33">
            <w:pPr>
              <w:jc w:val="right"/>
              <w:rPr>
                <w:sz w:val="20"/>
                <w:szCs w:val="20"/>
              </w:rPr>
            </w:pPr>
            <w:r w:rsidRPr="00657824">
              <w:rPr>
                <w:color w:val="000000"/>
                <w:sz w:val="20"/>
                <w:szCs w:val="20"/>
              </w:rPr>
              <w:t>$39.1</w:t>
            </w:r>
          </w:p>
        </w:tc>
      </w:tr>
    </w:tbl>
    <w:p w14:paraId="3CEF593E" w14:textId="77777777" w:rsidR="006F418B" w:rsidRDefault="006F418B" w:rsidP="00657824">
      <w:pPr>
        <w:pStyle w:val="Heading2"/>
      </w:pPr>
      <w:bookmarkStart w:id="550" w:name="_Toc207196010"/>
      <w:r>
        <w:t>Policy 5: Increase in treatment for those at highest risk of harm</w:t>
      </w:r>
      <w:bookmarkEnd w:id="550"/>
    </w:p>
    <w:p w14:paraId="453F64AF" w14:textId="77777777" w:rsidR="006F418B" w:rsidRDefault="006F418B" w:rsidP="00C30E1A">
      <w:pPr>
        <w:pStyle w:val="Heading3"/>
      </w:pPr>
      <w:bookmarkStart w:id="551" w:name="_Toc207196011"/>
      <w:r>
        <w:t>Introduction</w:t>
      </w:r>
      <w:bookmarkEnd w:id="551"/>
    </w:p>
    <w:p w14:paraId="2C065A27" w14:textId="5F58B5B4" w:rsidR="006F418B" w:rsidRDefault="006F418B" w:rsidP="00135DF0">
      <w:pPr>
        <w:spacing w:line="360" w:lineRule="auto"/>
      </w:pPr>
      <w:r>
        <w:t xml:space="preserve">The New Zealand Ministry of Health Strategy to Prevent and Minimise Gambling Harm 2025/26 to 2027/28 </w:t>
      </w:r>
      <w:r w:rsidR="00A42502">
        <w:t xml:space="preserve">(2024) </w:t>
      </w:r>
      <w:r>
        <w:t>highlighted the need to increase the number of people receiving treatment. Recent data showed that the number of people seeking treatment has remained stagnant despite the number of people experiencing harm increasing. In the United Kingdom, the National Institute for Health and Care Excellence (NICE</w:t>
      </w:r>
      <w:r w:rsidR="00A42502">
        <w:t>, 2025</w:t>
      </w:r>
      <w:r>
        <w:t>), the organisation which outlines the best practice in terms of effective and cost-effectiveness, recently used health economic modelling to determine the most cost-effective treatment for harmful gambling. The study focused on people identified as being in the problem gambling category of the PGSI. Group Cognitive Behavioural Therapy (CBT) was determined to be the only cost-effective treatment for harmful gambling. Using the data from this modelling the current study looks at two policy scenarios, focusing on the high-risk group. Data from the NZGS (2023/24) shows that 19.6% of people in the problem gambling category got professional help for their gambling, meaning that 80.4% did not get any treatment. Furthermore, 16.3% of this population reported that they felt they needed help for their gambling, but they did not seek help. The aim of this analysis will be to estimate the impact of two scenarios on the proportion of the population at risk of gambling harm and the overall impact of the cost of gambling harm.</w:t>
      </w:r>
    </w:p>
    <w:p w14:paraId="68801D41" w14:textId="77777777" w:rsidR="00F84337" w:rsidRDefault="00F84337" w:rsidP="00135DF0">
      <w:pPr>
        <w:spacing w:line="360" w:lineRule="auto"/>
      </w:pPr>
    </w:p>
    <w:p w14:paraId="0ABD5613" w14:textId="77777777" w:rsidR="006F418B" w:rsidRDefault="006F418B" w:rsidP="00135DF0">
      <w:pPr>
        <w:numPr>
          <w:ilvl w:val="0"/>
          <w:numId w:val="52"/>
        </w:numPr>
        <w:pBdr>
          <w:top w:val="nil"/>
          <w:left w:val="nil"/>
          <w:bottom w:val="nil"/>
          <w:right w:val="nil"/>
          <w:between w:val="nil"/>
        </w:pBdr>
        <w:spacing w:line="360" w:lineRule="auto"/>
        <w:rPr>
          <w:color w:val="000000"/>
        </w:rPr>
      </w:pPr>
      <w:r>
        <w:rPr>
          <w:color w:val="000000"/>
        </w:rPr>
        <w:t>Scenario 1 will take a targeted approach and assume that those who reported needing help, but not receiving it, do in fact receive Group CBT therapy (16.3% of the high-risk population)</w:t>
      </w:r>
    </w:p>
    <w:p w14:paraId="1C9BCA75" w14:textId="77777777" w:rsidR="006F418B" w:rsidRDefault="006F418B" w:rsidP="00135DF0">
      <w:pPr>
        <w:numPr>
          <w:ilvl w:val="0"/>
          <w:numId w:val="52"/>
        </w:numPr>
        <w:pBdr>
          <w:top w:val="nil"/>
          <w:left w:val="nil"/>
          <w:bottom w:val="nil"/>
          <w:right w:val="nil"/>
          <w:between w:val="nil"/>
        </w:pBdr>
        <w:spacing w:line="360" w:lineRule="auto"/>
        <w:rPr>
          <w:color w:val="000000"/>
        </w:rPr>
      </w:pPr>
      <w:r>
        <w:rPr>
          <w:color w:val="000000"/>
        </w:rPr>
        <w:t>Scenario 2 will take a universal approach and assume that everyone in the high-risk PGSI category receives Group CBT therapy, except those who report already receiving treatment, affecting 80.4% of the high-risk population.</w:t>
      </w:r>
    </w:p>
    <w:p w14:paraId="1FB29CC8" w14:textId="77777777" w:rsidR="006F418B" w:rsidRDefault="006F418B" w:rsidP="00135DF0">
      <w:pPr>
        <w:spacing w:line="360" w:lineRule="auto"/>
      </w:pPr>
    </w:p>
    <w:p w14:paraId="223579ED" w14:textId="77777777" w:rsidR="006F418B" w:rsidRDefault="006F418B" w:rsidP="00C30E1A">
      <w:pPr>
        <w:pStyle w:val="Heading3"/>
      </w:pPr>
      <w:bookmarkStart w:id="552" w:name="_Toc207196012"/>
      <w:r>
        <w:t>Methods</w:t>
      </w:r>
      <w:bookmarkEnd w:id="552"/>
      <w:r>
        <w:t xml:space="preserve"> </w:t>
      </w:r>
    </w:p>
    <w:p w14:paraId="6E2DCF6A" w14:textId="07F06FBE" w:rsidR="00FE00C9" w:rsidRDefault="006F418B" w:rsidP="00135DF0">
      <w:pPr>
        <w:spacing w:line="360" w:lineRule="auto"/>
      </w:pPr>
      <w:r>
        <w:t xml:space="preserve">Figure 7 shows the process we followed to estimate the impact of the two policy scenarios. </w:t>
      </w:r>
    </w:p>
    <w:p w14:paraId="23D944AD" w14:textId="77777777" w:rsidR="00FE00C9" w:rsidRDefault="00FE00C9" w:rsidP="00135DF0">
      <w:pPr>
        <w:spacing w:line="360" w:lineRule="auto"/>
      </w:pPr>
    </w:p>
    <w:p w14:paraId="04C94288" w14:textId="77777777" w:rsidR="00C15A16" w:rsidRDefault="00C15A16" w:rsidP="00135DF0">
      <w:pPr>
        <w:spacing w:line="360" w:lineRule="auto"/>
      </w:pPr>
    </w:p>
    <w:p w14:paraId="2DFB0554" w14:textId="77777777" w:rsidR="00C15A16" w:rsidRDefault="00C15A16" w:rsidP="00135DF0">
      <w:pPr>
        <w:spacing w:line="360" w:lineRule="auto"/>
        <w:sectPr w:rsidR="00C15A16" w:rsidSect="002A6362">
          <w:pgSz w:w="11909" w:h="16834"/>
          <w:pgMar w:top="1440" w:right="1440" w:bottom="1440" w:left="1440" w:header="720" w:footer="720" w:gutter="0"/>
          <w:cols w:space="720"/>
        </w:sectPr>
      </w:pPr>
    </w:p>
    <w:p w14:paraId="2CCB315E" w14:textId="77777777" w:rsidR="00F6447C" w:rsidRDefault="00C15A16" w:rsidP="00F6447C">
      <w:pPr>
        <w:keepNext/>
        <w:spacing w:line="360" w:lineRule="auto"/>
      </w:pPr>
      <w:r>
        <w:rPr>
          <w:noProof/>
        </w:rPr>
        <w:drawing>
          <wp:inline distT="0" distB="0" distL="0" distR="0" wp14:anchorId="36420B8D" wp14:editId="638F84A3">
            <wp:extent cx="8538047" cy="5422006"/>
            <wp:effectExtent l="0" t="0" r="0" b="1270"/>
            <wp:docPr id="2067651662" name="image3.png" descr="A horizontal–then‑vertical flow‑chart with six dark‑blue rounded rectangles linked by light‑grey arrows:&#10;&#10;Step 1 – Prepare the dataset&#10;Create a dataset of PGSI (Problem Gambling Severity Index) scores from the New Zealand survey by ethnicity and add a PGSI category variable.&#10;&#10;Step 2 – Identify who would be affected by the policy&#10;Scenario 1: people in the high‑risk group who felt they needed help but had not sought it (16.3 %).&#10;Scenario 2: high‑risk individuals who have not already received treatment (80.4 %).&#10;&#10;Step 3 – Determine the treatment effect&#10;Use the mean treatment effect and its 95 % confidence interval to derive a standard error and a probability distribution for the effect.&#10;&#10;Step 4 – Simulate the impact of treatment&#10;Assuming treatment effects are normally distributed, assign each eligible person a simulated effect and reduce their PGSI score accordingly.&#10;&#10;Step 5 – Compare the results&#10;Compare PGSI category distributions for both scenarios with the base case, broken down by ethnicity.&#10;&#10;Step 6 – Calculate the impact on the cost of gambling harm&#10;Feed the new PGSI distributions into a costing spreadsheet and compare total harm costs with the base case, factoring in treatment costs."/>
            <wp:cNvGraphicFramePr/>
            <a:graphic xmlns:a="http://schemas.openxmlformats.org/drawingml/2006/main">
              <a:graphicData uri="http://schemas.openxmlformats.org/drawingml/2006/picture">
                <pic:pic xmlns:pic="http://schemas.openxmlformats.org/drawingml/2006/picture">
                  <pic:nvPicPr>
                    <pic:cNvPr id="2067651662" name="image3.png" descr="A horizontal–then‑vertical flow‑chart with six dark‑blue rounded rectangles linked by light‑grey arrows:&#10;&#10;Step 1 – Prepare the dataset&#10;Create a dataset of PGSI (Problem Gambling Severity Index) scores from the New Zealand survey by ethnicity and add a PGSI category variable.&#10;&#10;Step 2 – Identify who would be affected by the policy&#10;Scenario 1: people in the high‑risk group who felt they needed help but had not sought it (16.3 %).&#10;Scenario 2: high‑risk individuals who have not already received treatment (80.4 %).&#10;&#10;Step 3 – Determine the treatment effect&#10;Use the mean treatment effect and its 95 % confidence interval to derive a standard error and a probability distribution for the effect.&#10;&#10;Step 4 – Simulate the impact of treatment&#10;Assuming treatment effects are normally distributed, assign each eligible person a simulated effect and reduce their PGSI score accordingly.&#10;&#10;Step 5 – Compare the results&#10;Compare PGSI category distributions for both scenarios with the base case, broken down by ethnicity.&#10;&#10;Step 6 – Calculate the impact on the cost of gambling harm&#10;Feed the new PGSI distributions into a costing spreadsheet and compare total harm costs with the base case, factoring in treatment costs."/>
                    <pic:cNvPicPr/>
                  </pic:nvPicPr>
                  <pic:blipFill rotWithShape="1">
                    <a:blip r:embed="rId25"/>
                    <a:srcRect l="9236"/>
                    <a:stretch>
                      <a:fillRect/>
                    </a:stretch>
                  </pic:blipFill>
                  <pic:spPr bwMode="auto">
                    <a:xfrm>
                      <a:off x="0" y="0"/>
                      <a:ext cx="8625551" cy="5477575"/>
                    </a:xfrm>
                    <a:prstGeom prst="rect">
                      <a:avLst/>
                    </a:prstGeom>
                    <a:ln>
                      <a:noFill/>
                    </a:ln>
                    <a:extLst>
                      <a:ext uri="{53640926-AAD7-44D8-BBD7-CCE9431645EC}">
                        <a14:shadowObscured xmlns:a14="http://schemas.microsoft.com/office/drawing/2010/main"/>
                      </a:ext>
                    </a:extLst>
                  </pic:spPr>
                </pic:pic>
              </a:graphicData>
            </a:graphic>
          </wp:inline>
        </w:drawing>
      </w:r>
    </w:p>
    <w:p w14:paraId="12C560BE" w14:textId="28992053" w:rsidR="00C15A16" w:rsidRDefault="00F6447C" w:rsidP="00DB094D">
      <w:pPr>
        <w:pStyle w:val="Caption"/>
      </w:pPr>
      <w:bookmarkStart w:id="553" w:name="_Toc207196080"/>
      <w:r>
        <w:t xml:space="preserve">Figure </w:t>
      </w:r>
      <w:r>
        <w:fldChar w:fldCharType="begin"/>
      </w:r>
      <w:r>
        <w:instrText xml:space="preserve"> SEQ Figure \* ARABIC </w:instrText>
      </w:r>
      <w:r>
        <w:fldChar w:fldCharType="separate"/>
      </w:r>
      <w:r w:rsidR="00986A0D">
        <w:rPr>
          <w:noProof/>
        </w:rPr>
        <w:t>7</w:t>
      </w:r>
      <w:r>
        <w:fldChar w:fldCharType="end"/>
      </w:r>
      <w:r>
        <w:t xml:space="preserve">. </w:t>
      </w:r>
      <w:r w:rsidRPr="00D1702E">
        <w:t>Policy impact estimation process</w:t>
      </w:r>
      <w:bookmarkEnd w:id="553"/>
    </w:p>
    <w:p w14:paraId="3A2A36E3" w14:textId="3B4F2937" w:rsidR="00F6447C" w:rsidRPr="00F6447C" w:rsidRDefault="00F6447C" w:rsidP="00F6447C">
      <w:pPr>
        <w:sectPr w:rsidR="00F6447C" w:rsidRPr="00F6447C" w:rsidSect="00C15A16">
          <w:pgSz w:w="16820" w:h="11900" w:orient="landscape"/>
          <w:pgMar w:top="1440" w:right="1440" w:bottom="1440" w:left="1440" w:header="720" w:footer="720" w:gutter="0"/>
          <w:cols w:space="720"/>
          <w:docGrid w:linePitch="326"/>
        </w:sectPr>
      </w:pPr>
    </w:p>
    <w:p w14:paraId="0C6D75A5" w14:textId="2DFB7A41" w:rsidR="00C15A16" w:rsidRDefault="00C15A16" w:rsidP="00135DF0">
      <w:pPr>
        <w:spacing w:line="360" w:lineRule="auto"/>
      </w:pPr>
    </w:p>
    <w:p w14:paraId="76F25BDF" w14:textId="28998CBB" w:rsidR="006F418B" w:rsidRDefault="006F418B" w:rsidP="00135DF0">
      <w:pPr>
        <w:spacing w:line="360" w:lineRule="auto"/>
      </w:pPr>
      <w:bookmarkStart w:id="554" w:name="_heading=h.uzbcb921wi6a" w:colFirst="0" w:colLast="0"/>
      <w:bookmarkEnd w:id="554"/>
      <w:r>
        <w:rPr>
          <w:i/>
        </w:rPr>
        <w:t>Data:</w:t>
      </w:r>
      <w:r>
        <w:t xml:space="preserve"> </w:t>
      </w:r>
      <w:r w:rsidR="0093655F">
        <w:t>W</w:t>
      </w:r>
      <w:r>
        <w:t>eighted summary data from the NZGS (2023/24)</w:t>
      </w:r>
      <w:r w:rsidR="0093655F">
        <w:t xml:space="preserve"> was used in this study</w:t>
      </w:r>
      <w:r>
        <w:t xml:space="preserve">. This provided us with the number of people in New Zealand with each possible PGSI score and their ethnicity. </w:t>
      </w:r>
    </w:p>
    <w:p w14:paraId="4ABB6349" w14:textId="65DB1F7E" w:rsidR="006F418B" w:rsidRDefault="006F418B" w:rsidP="00135DF0">
      <w:pPr>
        <w:spacing w:line="360" w:lineRule="auto"/>
      </w:pPr>
    </w:p>
    <w:p w14:paraId="62DB65AF" w14:textId="2ED7EBC4" w:rsidR="00E82E05" w:rsidRPr="00E82E05" w:rsidRDefault="006F418B" w:rsidP="00135DF0">
      <w:pPr>
        <w:spacing w:line="360" w:lineRule="auto"/>
        <w:rPr>
          <w:iCs/>
        </w:rPr>
      </w:pPr>
      <w:r>
        <w:rPr>
          <w:i/>
        </w:rPr>
        <w:t>Sampl</w:t>
      </w:r>
      <w:r w:rsidR="00E82E05">
        <w:rPr>
          <w:i/>
        </w:rPr>
        <w:t xml:space="preserve">e: </w:t>
      </w:r>
      <w:r w:rsidR="00E82E05">
        <w:rPr>
          <w:iCs/>
        </w:rPr>
        <w:t>The</w:t>
      </w:r>
      <w:r w:rsidR="00E82E05" w:rsidRPr="00E82E05">
        <w:rPr>
          <w:iCs/>
        </w:rPr>
        <w:t xml:space="preserve"> sample was </w:t>
      </w:r>
      <w:r w:rsidR="00E82E05">
        <w:rPr>
          <w:iCs/>
        </w:rPr>
        <w:t xml:space="preserve">comprised of </w:t>
      </w:r>
      <w:r w:rsidR="00E82E05" w:rsidRPr="00E82E05">
        <w:rPr>
          <w:iCs/>
        </w:rPr>
        <w:t>the adult population of New Zealand who are in the problem gambling category, defined as having a PGSI score ≥ 8. For scenario 1 we focused on 16.3% of this population who reported that they needed help for gambling but did not seek help. Scenario 2 focused on 80.4% of the population who did not report receiving treatment.</w:t>
      </w:r>
    </w:p>
    <w:p w14:paraId="73F6E83B" w14:textId="54804267" w:rsidR="00E82E05" w:rsidRDefault="00E82E05" w:rsidP="00135DF0">
      <w:pPr>
        <w:spacing w:line="360" w:lineRule="auto"/>
        <w:rPr>
          <w:i/>
        </w:rPr>
      </w:pPr>
    </w:p>
    <w:p w14:paraId="0FB52286" w14:textId="631AB02A" w:rsidR="006F418B" w:rsidRDefault="006F418B" w:rsidP="00135DF0">
      <w:pPr>
        <w:spacing w:line="360" w:lineRule="auto"/>
      </w:pPr>
      <w:r>
        <w:rPr>
          <w:i/>
        </w:rPr>
        <w:t>Treatment effect:</w:t>
      </w:r>
      <w:r>
        <w:t xml:space="preserve"> </w:t>
      </w:r>
      <w:r w:rsidR="00DA02A7">
        <w:t xml:space="preserve">Using </w:t>
      </w:r>
      <w:r>
        <w:t xml:space="preserve">the NICE </w:t>
      </w:r>
      <w:r w:rsidR="00DA02A7">
        <w:t xml:space="preserve">(2025) </w:t>
      </w:r>
      <w:r>
        <w:t xml:space="preserve">review to inform the health economic modelling, the average treatment effect of Group CBT therapy for those in the problem gambling category is -1.08 with 95% confidence limits of -0.34 to -1.83 and a standard error of 0.38. </w:t>
      </w:r>
      <w:r w:rsidR="00DA02A7">
        <w:t>O</w:t>
      </w:r>
      <w:r>
        <w:t xml:space="preserve">n average, receiving Group CBT therapy decreased PGSI score by approximately 1. Using the standard error and assuming a normal distribution a treatment effect from </w:t>
      </w:r>
      <w:r w:rsidR="00DA02A7">
        <w:t xml:space="preserve">the </w:t>
      </w:r>
      <w:r>
        <w:t>distribution</w:t>
      </w:r>
      <w:r w:rsidR="0093655F">
        <w:t xml:space="preserve"> was sampled</w:t>
      </w:r>
      <w:r>
        <w:t xml:space="preserve">. </w:t>
      </w:r>
      <w:r w:rsidR="00DA02A7">
        <w:t>O</w:t>
      </w:r>
      <w:r>
        <w:t xml:space="preserve">n average people receiving the treatment will reduce their PGSI score by 1, however, it could be higher or lower than this. Figure </w:t>
      </w:r>
      <w:r w:rsidR="007E2492">
        <w:t>8</w:t>
      </w:r>
      <w:r>
        <w:t xml:space="preserve"> shows the distribution of the treatment effect.</w:t>
      </w:r>
    </w:p>
    <w:p w14:paraId="32FA17E4" w14:textId="77777777" w:rsidR="006F418B" w:rsidRDefault="006F418B" w:rsidP="00135DF0">
      <w:pPr>
        <w:spacing w:line="360" w:lineRule="auto"/>
      </w:pPr>
    </w:p>
    <w:p w14:paraId="3F735BEC" w14:textId="23430F2C" w:rsidR="006F418B" w:rsidRDefault="006F418B" w:rsidP="00135DF0">
      <w:pPr>
        <w:spacing w:line="360" w:lineRule="auto"/>
      </w:pPr>
      <w:r w:rsidRPr="00001C68">
        <w:rPr>
          <w:i/>
          <w:iCs/>
        </w:rPr>
        <w:t>Cost of treatment:</w:t>
      </w:r>
      <w:r>
        <w:t xml:space="preserve"> </w:t>
      </w:r>
      <w:r w:rsidR="00DA02A7">
        <w:t>I</w:t>
      </w:r>
      <w:r>
        <w:t xml:space="preserve">t is important to consider the increase in cost </w:t>
      </w:r>
      <w:r w:rsidR="00DA02A7">
        <w:t xml:space="preserve">of gambling problems associated with </w:t>
      </w:r>
      <w:r>
        <w:t>increasing number</w:t>
      </w:r>
      <w:r w:rsidR="00DA02A7">
        <w:t>s</w:t>
      </w:r>
      <w:r>
        <w:t xml:space="preserve"> of people who receive treatment. In the UK, the cost of 3-months of group CBT for one individual was calculated to be £453. Using </w:t>
      </w:r>
      <w:r w:rsidR="004D5309">
        <w:t xml:space="preserve">2024 </w:t>
      </w:r>
      <w:r>
        <w:t xml:space="preserve">Purchasing Power Parities, this was converted into $972 NZ. This is the cost of treatment only and does not consider the cost associated with setting up new treatment services. To take these into account an additional 20% </w:t>
      </w:r>
      <w:r w:rsidR="0093655F">
        <w:t xml:space="preserve">was added </w:t>
      </w:r>
      <w:r>
        <w:t xml:space="preserve">to the cost per person, $194 NZ. This makes the total cost of the intervention $1,166 per person. </w:t>
      </w:r>
    </w:p>
    <w:p w14:paraId="40F08559" w14:textId="238DEC3A" w:rsidR="00B85783" w:rsidRDefault="00B85783" w:rsidP="00135DF0">
      <w:pPr>
        <w:spacing w:line="360" w:lineRule="auto"/>
      </w:pPr>
    </w:p>
    <w:p w14:paraId="6564FFA2" w14:textId="77777777" w:rsidR="00625327" w:rsidRDefault="006F418B" w:rsidP="00625327">
      <w:pPr>
        <w:keepNext/>
        <w:spacing w:line="360" w:lineRule="auto"/>
      </w:pPr>
      <w:r>
        <w:rPr>
          <w:noProof/>
        </w:rPr>
        <w:drawing>
          <wp:inline distT="0" distB="0" distL="0" distR="0" wp14:anchorId="3174817F" wp14:editId="603846C8">
            <wp:extent cx="4687200" cy="3243600"/>
            <wp:effectExtent l="0" t="0" r="0" b="0"/>
            <wp:docPr id="2067651663" name="image1.png" descr="A smooth blue bell‑shaped density curve (kernel density estimate) spans the horizontal axis from roughly –4 on the left to +1 on the right, peaking a little above 1.0 on the vertical density scale. A dashed red vertical line marks the centre of the distribution at about –1. The chart has a black background with a white grid of horizontal and vertical lines."/>
            <wp:cNvGraphicFramePr/>
            <a:graphic xmlns:a="http://schemas.openxmlformats.org/drawingml/2006/main">
              <a:graphicData uri="http://schemas.openxmlformats.org/drawingml/2006/picture">
                <pic:pic xmlns:pic="http://schemas.openxmlformats.org/drawingml/2006/picture">
                  <pic:nvPicPr>
                    <pic:cNvPr id="2067651663" name="image1.png" descr="A smooth blue bell‑shaped density curve (kernel density estimate) spans the horizontal axis from roughly –4 on the left to +1 on the right, peaking a little above 1.0 on the vertical density scale. A dashed red vertical line marks the centre of the distribution at about –1. The chart has a black background with a white grid of horizontal and vertical lines."/>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4687200" cy="3243600"/>
                    </a:xfrm>
                    <a:prstGeom prst="rect">
                      <a:avLst/>
                    </a:prstGeom>
                    <a:ln/>
                  </pic:spPr>
                </pic:pic>
              </a:graphicData>
            </a:graphic>
          </wp:inline>
        </w:drawing>
      </w:r>
    </w:p>
    <w:p w14:paraId="479A3B42" w14:textId="115DE2E0" w:rsidR="006F418B" w:rsidRDefault="00625327" w:rsidP="00DB094D">
      <w:pPr>
        <w:pStyle w:val="Caption"/>
      </w:pPr>
      <w:bookmarkStart w:id="555" w:name="_Toc207196081"/>
      <w:r>
        <w:t xml:space="preserve">Figure </w:t>
      </w:r>
      <w:r>
        <w:fldChar w:fldCharType="begin"/>
      </w:r>
      <w:r>
        <w:instrText xml:space="preserve"> SEQ Figure \* ARABIC </w:instrText>
      </w:r>
      <w:r>
        <w:fldChar w:fldCharType="separate"/>
      </w:r>
      <w:r w:rsidR="00986A0D">
        <w:rPr>
          <w:noProof/>
        </w:rPr>
        <w:t>8</w:t>
      </w:r>
      <w:r>
        <w:fldChar w:fldCharType="end"/>
      </w:r>
      <w:r>
        <w:t xml:space="preserve">. </w:t>
      </w:r>
      <w:r w:rsidRPr="0032181C">
        <w:t>The distribution of the treatment effect of Group CBT therapy on Problem Gambling Severity Index scores, in the problem gambling category</w:t>
      </w:r>
      <w:bookmarkEnd w:id="555"/>
    </w:p>
    <w:p w14:paraId="53A91761" w14:textId="77777777" w:rsidR="008E0813" w:rsidRPr="008E0813" w:rsidRDefault="008E0813" w:rsidP="008E0813"/>
    <w:p w14:paraId="02E03A9B" w14:textId="77777777" w:rsidR="006F418B" w:rsidRDefault="006F418B" w:rsidP="00C30E1A">
      <w:pPr>
        <w:pStyle w:val="Heading3"/>
      </w:pPr>
      <w:bookmarkStart w:id="556" w:name="_Toc207196013"/>
      <w:r>
        <w:t>Results</w:t>
      </w:r>
      <w:bookmarkEnd w:id="556"/>
    </w:p>
    <w:p w14:paraId="607925DB" w14:textId="77777777" w:rsidR="006F418B" w:rsidRDefault="006F418B" w:rsidP="00135DF0">
      <w:pPr>
        <w:spacing w:line="360" w:lineRule="auto"/>
        <w:rPr>
          <w:i/>
        </w:rPr>
      </w:pPr>
      <w:r>
        <w:rPr>
          <w:i/>
        </w:rPr>
        <w:t>Change in distribution across the PGSI categories</w:t>
      </w:r>
    </w:p>
    <w:p w14:paraId="0D0E4086" w14:textId="237FF637" w:rsidR="006F418B" w:rsidRDefault="006F418B" w:rsidP="00135DF0">
      <w:pPr>
        <w:spacing w:line="360" w:lineRule="auto"/>
      </w:pPr>
      <w:r>
        <w:t xml:space="preserve">The changes in the proportion of the population in each PGSI category in each scenario can be seen in Table </w:t>
      </w:r>
      <w:r w:rsidR="007E2492">
        <w:t>45</w:t>
      </w:r>
      <w:r>
        <w:t xml:space="preserve">. Since the intervention only affected those in the Problem Gambling category, and the average treatment effect was approximately 1, changes were only observed in the problem gambling and moderate-risk categories. In scenario 1, there was a 0.03% decrease in the proportion of the population in the problem gambling category, which corresponded with a 0.03% increase in the proportion in the moderate-risk category. In scenario 2, this shift increased to 0.15%. </w:t>
      </w:r>
    </w:p>
    <w:p w14:paraId="0F74CEFA" w14:textId="77777777" w:rsidR="00802A81" w:rsidRDefault="00802A81" w:rsidP="00135DF0">
      <w:pPr>
        <w:spacing w:line="360" w:lineRule="auto"/>
      </w:pPr>
    </w:p>
    <w:p w14:paraId="45A4DA10" w14:textId="77777777" w:rsidR="00802A81" w:rsidRDefault="00802A81" w:rsidP="00802A81">
      <w:pPr>
        <w:keepNext/>
        <w:spacing w:line="360" w:lineRule="auto"/>
      </w:pPr>
      <w:r>
        <w:t>These results by ethnicity can be seen in Figure 9. The biggest change in the proportion of the population in the problem gambling group was in the Māori population, a change of 0.56% in scenario 2, compared to 0.11% in the European/Other ethnicity group. This is to be expected since this population has the highest proportion of people in the problem gambling category.</w:t>
      </w:r>
    </w:p>
    <w:p w14:paraId="7FCF0FFA" w14:textId="77777777" w:rsidR="00802A81" w:rsidRDefault="00802A81" w:rsidP="00135DF0">
      <w:pPr>
        <w:spacing w:line="360" w:lineRule="auto"/>
      </w:pPr>
    </w:p>
    <w:p w14:paraId="34198F70" w14:textId="77777777" w:rsidR="008E0813" w:rsidRDefault="008E0813" w:rsidP="00135DF0">
      <w:pPr>
        <w:spacing w:line="360" w:lineRule="auto"/>
      </w:pPr>
    </w:p>
    <w:p w14:paraId="4B295804" w14:textId="77777777" w:rsidR="008E0813" w:rsidRDefault="008E0813" w:rsidP="00135DF0">
      <w:pPr>
        <w:spacing w:line="360" w:lineRule="auto"/>
      </w:pPr>
    </w:p>
    <w:p w14:paraId="7B953E3A" w14:textId="3BB16EC3" w:rsidR="007E2492" w:rsidRDefault="007E2492" w:rsidP="00DB094D">
      <w:pPr>
        <w:pStyle w:val="Caption"/>
      </w:pPr>
      <w:bookmarkStart w:id="557" w:name="_Toc207619087"/>
      <w:r>
        <w:t xml:space="preserve">Table </w:t>
      </w:r>
      <w:r>
        <w:fldChar w:fldCharType="begin"/>
      </w:r>
      <w:r>
        <w:instrText xml:space="preserve"> SEQ Table \* ARABIC </w:instrText>
      </w:r>
      <w:r>
        <w:fldChar w:fldCharType="separate"/>
      </w:r>
      <w:r w:rsidR="00986A0D">
        <w:rPr>
          <w:noProof/>
        </w:rPr>
        <w:t>45</w:t>
      </w:r>
      <w:r>
        <w:fldChar w:fldCharType="end"/>
      </w:r>
      <w:r w:rsidR="00B85783">
        <w:t>.</w:t>
      </w:r>
      <w:r>
        <w:t xml:space="preserve"> </w:t>
      </w:r>
      <w:r w:rsidRPr="007A7822">
        <w:t>The proportion of the adult population of New Zealand in Scenario 1 and Scenario 2 compared to the current situation</w:t>
      </w:r>
      <w:bookmarkEnd w:id="557"/>
    </w:p>
    <w:tbl>
      <w:tblPr>
        <w:tblStyle w:val="TableGridLight"/>
        <w:tblpPr w:leftFromText="180" w:rightFromText="180" w:vertAnchor="text"/>
        <w:tblW w:w="9029" w:type="dxa"/>
        <w:tblLayout w:type="fixed"/>
        <w:tblLook w:val="0400" w:firstRow="0" w:lastRow="0" w:firstColumn="0" w:lastColumn="0" w:noHBand="0" w:noVBand="1"/>
      </w:tblPr>
      <w:tblGrid>
        <w:gridCol w:w="4429"/>
        <w:gridCol w:w="1130"/>
        <w:gridCol w:w="879"/>
        <w:gridCol w:w="1300"/>
        <w:gridCol w:w="1291"/>
      </w:tblGrid>
      <w:tr w:rsidR="00641873" w:rsidRPr="00095B6C" w14:paraId="7061C6DE" w14:textId="77777777" w:rsidTr="00625327">
        <w:trPr>
          <w:trHeight w:val="397"/>
        </w:trPr>
        <w:tc>
          <w:tcPr>
            <w:tcW w:w="4429" w:type="dxa"/>
            <w:vMerge w:val="restart"/>
            <w:shd w:val="clear" w:color="auto" w:fill="F2F2F2" w:themeFill="background1" w:themeFillShade="F2"/>
          </w:tcPr>
          <w:p w14:paraId="22C8B59F" w14:textId="77777777" w:rsidR="00641873" w:rsidRPr="008E0813" w:rsidRDefault="00641873" w:rsidP="008E0813">
            <w:pPr>
              <w:spacing w:line="360" w:lineRule="auto"/>
              <w:rPr>
                <w:b/>
                <w:bCs/>
                <w:sz w:val="20"/>
                <w:szCs w:val="20"/>
              </w:rPr>
            </w:pPr>
          </w:p>
        </w:tc>
        <w:tc>
          <w:tcPr>
            <w:tcW w:w="4600" w:type="dxa"/>
            <w:gridSpan w:val="4"/>
            <w:shd w:val="clear" w:color="auto" w:fill="F2F2F2" w:themeFill="background1" w:themeFillShade="F2"/>
            <w:vAlign w:val="center"/>
          </w:tcPr>
          <w:p w14:paraId="08EC6816" w14:textId="77777777" w:rsidR="00641873" w:rsidRPr="008E0813" w:rsidRDefault="00641873" w:rsidP="008E0813">
            <w:pPr>
              <w:spacing w:line="360" w:lineRule="auto"/>
              <w:jc w:val="center"/>
              <w:rPr>
                <w:b/>
                <w:bCs/>
                <w:sz w:val="20"/>
                <w:szCs w:val="20"/>
              </w:rPr>
            </w:pPr>
            <w:r w:rsidRPr="008E0813">
              <w:rPr>
                <w:b/>
                <w:bCs/>
                <w:color w:val="000000"/>
                <w:sz w:val="20"/>
                <w:szCs w:val="20"/>
              </w:rPr>
              <w:t>PGSI categories</w:t>
            </w:r>
          </w:p>
        </w:tc>
      </w:tr>
      <w:tr w:rsidR="00641873" w:rsidRPr="00095B6C" w14:paraId="7EF76A8E" w14:textId="77777777" w:rsidTr="00625327">
        <w:trPr>
          <w:trHeight w:val="397"/>
        </w:trPr>
        <w:tc>
          <w:tcPr>
            <w:tcW w:w="4429" w:type="dxa"/>
            <w:vMerge/>
            <w:shd w:val="clear" w:color="auto" w:fill="F2F2F2" w:themeFill="background1" w:themeFillShade="F2"/>
          </w:tcPr>
          <w:p w14:paraId="7217194C" w14:textId="77777777" w:rsidR="00641873" w:rsidRPr="008E0813" w:rsidRDefault="00641873" w:rsidP="008E0813">
            <w:pPr>
              <w:spacing w:line="360" w:lineRule="auto"/>
              <w:rPr>
                <w:sz w:val="20"/>
                <w:szCs w:val="20"/>
              </w:rPr>
            </w:pPr>
          </w:p>
        </w:tc>
        <w:tc>
          <w:tcPr>
            <w:tcW w:w="1130" w:type="dxa"/>
            <w:shd w:val="clear" w:color="auto" w:fill="F2F2F2" w:themeFill="background1" w:themeFillShade="F2"/>
            <w:vAlign w:val="center"/>
          </w:tcPr>
          <w:p w14:paraId="7B32731D" w14:textId="11228783" w:rsidR="00641873" w:rsidRPr="008E0813" w:rsidRDefault="00641873" w:rsidP="008E0813">
            <w:pPr>
              <w:spacing w:line="360" w:lineRule="auto"/>
              <w:jc w:val="center"/>
              <w:rPr>
                <w:b/>
                <w:bCs/>
                <w:sz w:val="20"/>
                <w:szCs w:val="20"/>
              </w:rPr>
            </w:pPr>
            <w:r>
              <w:rPr>
                <w:b/>
                <w:bCs/>
                <w:color w:val="000000"/>
                <w:sz w:val="20"/>
                <w:szCs w:val="20"/>
              </w:rPr>
              <w:t>NPG</w:t>
            </w:r>
          </w:p>
        </w:tc>
        <w:tc>
          <w:tcPr>
            <w:tcW w:w="879" w:type="dxa"/>
            <w:shd w:val="clear" w:color="auto" w:fill="F2F2F2" w:themeFill="background1" w:themeFillShade="F2"/>
            <w:vAlign w:val="center"/>
          </w:tcPr>
          <w:p w14:paraId="59771F23" w14:textId="49AF965B" w:rsidR="00641873" w:rsidRPr="008E0813" w:rsidRDefault="00641873" w:rsidP="008E0813">
            <w:pPr>
              <w:spacing w:line="360" w:lineRule="auto"/>
              <w:jc w:val="center"/>
              <w:rPr>
                <w:b/>
                <w:bCs/>
                <w:sz w:val="20"/>
                <w:szCs w:val="20"/>
              </w:rPr>
            </w:pPr>
            <w:r>
              <w:rPr>
                <w:b/>
                <w:bCs/>
                <w:color w:val="000000"/>
                <w:sz w:val="20"/>
                <w:szCs w:val="20"/>
              </w:rPr>
              <w:t>LR</w:t>
            </w:r>
          </w:p>
        </w:tc>
        <w:tc>
          <w:tcPr>
            <w:tcW w:w="1300" w:type="dxa"/>
            <w:shd w:val="clear" w:color="auto" w:fill="F2F2F2" w:themeFill="background1" w:themeFillShade="F2"/>
            <w:vAlign w:val="center"/>
          </w:tcPr>
          <w:p w14:paraId="49F26871" w14:textId="32FF115C" w:rsidR="00641873" w:rsidRPr="008E0813" w:rsidRDefault="00641873" w:rsidP="008E0813">
            <w:pPr>
              <w:spacing w:line="360" w:lineRule="auto"/>
              <w:jc w:val="center"/>
              <w:rPr>
                <w:b/>
                <w:bCs/>
                <w:sz w:val="20"/>
                <w:szCs w:val="20"/>
              </w:rPr>
            </w:pPr>
            <w:r>
              <w:rPr>
                <w:b/>
                <w:bCs/>
                <w:color w:val="000000"/>
                <w:sz w:val="20"/>
                <w:szCs w:val="20"/>
              </w:rPr>
              <w:t>MR</w:t>
            </w:r>
          </w:p>
        </w:tc>
        <w:tc>
          <w:tcPr>
            <w:tcW w:w="1291" w:type="dxa"/>
            <w:shd w:val="clear" w:color="auto" w:fill="F2F2F2" w:themeFill="background1" w:themeFillShade="F2"/>
            <w:vAlign w:val="center"/>
          </w:tcPr>
          <w:p w14:paraId="739D9203" w14:textId="0440930A" w:rsidR="00641873" w:rsidRPr="008E0813" w:rsidRDefault="00641873" w:rsidP="008E0813">
            <w:pPr>
              <w:spacing w:line="360" w:lineRule="auto"/>
              <w:jc w:val="center"/>
              <w:rPr>
                <w:b/>
                <w:bCs/>
                <w:sz w:val="20"/>
                <w:szCs w:val="20"/>
              </w:rPr>
            </w:pPr>
            <w:r>
              <w:rPr>
                <w:b/>
                <w:bCs/>
                <w:color w:val="000000"/>
                <w:sz w:val="20"/>
                <w:szCs w:val="20"/>
              </w:rPr>
              <w:t>PG</w:t>
            </w:r>
          </w:p>
        </w:tc>
      </w:tr>
      <w:tr w:rsidR="006F418B" w:rsidRPr="00095B6C" w14:paraId="12186254" w14:textId="77777777" w:rsidTr="00625327">
        <w:trPr>
          <w:trHeight w:val="397"/>
        </w:trPr>
        <w:tc>
          <w:tcPr>
            <w:tcW w:w="4429" w:type="dxa"/>
            <w:vAlign w:val="center"/>
          </w:tcPr>
          <w:p w14:paraId="74BFD852" w14:textId="77777777" w:rsidR="006F418B" w:rsidRPr="008E0813" w:rsidRDefault="006F418B" w:rsidP="008E0813">
            <w:pPr>
              <w:spacing w:line="360" w:lineRule="auto"/>
              <w:rPr>
                <w:sz w:val="20"/>
                <w:szCs w:val="20"/>
              </w:rPr>
            </w:pPr>
            <w:r w:rsidRPr="008E0813">
              <w:rPr>
                <w:color w:val="000000"/>
                <w:sz w:val="20"/>
                <w:szCs w:val="20"/>
              </w:rPr>
              <w:t>Current situation </w:t>
            </w:r>
          </w:p>
        </w:tc>
        <w:tc>
          <w:tcPr>
            <w:tcW w:w="1130" w:type="dxa"/>
            <w:vAlign w:val="center"/>
          </w:tcPr>
          <w:p w14:paraId="7EDAC309" w14:textId="77777777" w:rsidR="006F418B" w:rsidRPr="008E0813" w:rsidRDefault="006F418B" w:rsidP="008E0813">
            <w:pPr>
              <w:spacing w:line="360" w:lineRule="auto"/>
              <w:jc w:val="right"/>
              <w:rPr>
                <w:sz w:val="20"/>
                <w:szCs w:val="20"/>
              </w:rPr>
            </w:pPr>
            <w:r w:rsidRPr="008E0813">
              <w:rPr>
                <w:color w:val="000000"/>
                <w:sz w:val="20"/>
                <w:szCs w:val="20"/>
              </w:rPr>
              <w:t>52.40%</w:t>
            </w:r>
          </w:p>
        </w:tc>
        <w:tc>
          <w:tcPr>
            <w:tcW w:w="879" w:type="dxa"/>
            <w:vAlign w:val="center"/>
          </w:tcPr>
          <w:p w14:paraId="29793D36" w14:textId="77777777" w:rsidR="006F418B" w:rsidRPr="008E0813" w:rsidRDefault="006F418B" w:rsidP="008E0813">
            <w:pPr>
              <w:spacing w:line="360" w:lineRule="auto"/>
              <w:jc w:val="right"/>
              <w:rPr>
                <w:sz w:val="20"/>
                <w:szCs w:val="20"/>
              </w:rPr>
            </w:pPr>
            <w:r w:rsidRPr="008E0813">
              <w:rPr>
                <w:color w:val="000000"/>
                <w:sz w:val="20"/>
                <w:szCs w:val="20"/>
              </w:rPr>
              <w:t>5.93%</w:t>
            </w:r>
          </w:p>
        </w:tc>
        <w:tc>
          <w:tcPr>
            <w:tcW w:w="1300" w:type="dxa"/>
            <w:vAlign w:val="center"/>
          </w:tcPr>
          <w:p w14:paraId="2B2E0DB8" w14:textId="77777777" w:rsidR="006F418B" w:rsidRPr="008E0813" w:rsidRDefault="006F418B" w:rsidP="008E0813">
            <w:pPr>
              <w:spacing w:line="360" w:lineRule="auto"/>
              <w:jc w:val="right"/>
              <w:rPr>
                <w:sz w:val="20"/>
                <w:szCs w:val="20"/>
              </w:rPr>
            </w:pPr>
            <w:r w:rsidRPr="008E0813">
              <w:rPr>
                <w:color w:val="000000"/>
                <w:sz w:val="20"/>
                <w:szCs w:val="20"/>
              </w:rPr>
              <w:t>1.94%</w:t>
            </w:r>
          </w:p>
        </w:tc>
        <w:tc>
          <w:tcPr>
            <w:tcW w:w="1291" w:type="dxa"/>
            <w:vAlign w:val="center"/>
          </w:tcPr>
          <w:p w14:paraId="20D1222A" w14:textId="77777777" w:rsidR="006F418B" w:rsidRPr="008E0813" w:rsidRDefault="006F418B" w:rsidP="008E0813">
            <w:pPr>
              <w:spacing w:line="360" w:lineRule="auto"/>
              <w:jc w:val="right"/>
              <w:rPr>
                <w:sz w:val="20"/>
                <w:szCs w:val="20"/>
              </w:rPr>
            </w:pPr>
            <w:r w:rsidRPr="008E0813">
              <w:rPr>
                <w:color w:val="000000"/>
                <w:sz w:val="20"/>
                <w:szCs w:val="20"/>
              </w:rPr>
              <w:t>0.47%</w:t>
            </w:r>
          </w:p>
        </w:tc>
      </w:tr>
      <w:tr w:rsidR="006F418B" w:rsidRPr="00095B6C" w14:paraId="2C588661" w14:textId="77777777" w:rsidTr="00625327">
        <w:trPr>
          <w:trHeight w:val="397"/>
        </w:trPr>
        <w:tc>
          <w:tcPr>
            <w:tcW w:w="4429" w:type="dxa"/>
            <w:vAlign w:val="center"/>
          </w:tcPr>
          <w:p w14:paraId="4C80E56A" w14:textId="150CD9FE" w:rsidR="006F418B" w:rsidRPr="008E0813" w:rsidRDefault="006F418B" w:rsidP="008E0813">
            <w:pPr>
              <w:spacing w:line="360" w:lineRule="auto"/>
              <w:rPr>
                <w:sz w:val="20"/>
                <w:szCs w:val="20"/>
              </w:rPr>
            </w:pPr>
            <w:r w:rsidRPr="008E0813">
              <w:rPr>
                <w:color w:val="000000"/>
                <w:sz w:val="20"/>
                <w:szCs w:val="20"/>
              </w:rPr>
              <w:t>Scenario 1: CBT therapy for those in the problem gambling PGSI category who felt that they needed help but did not seek it group</w:t>
            </w:r>
          </w:p>
        </w:tc>
        <w:tc>
          <w:tcPr>
            <w:tcW w:w="1130" w:type="dxa"/>
            <w:vAlign w:val="center"/>
          </w:tcPr>
          <w:p w14:paraId="07EDF67E" w14:textId="77777777" w:rsidR="006F418B" w:rsidRPr="008E0813" w:rsidRDefault="006F418B" w:rsidP="008E0813">
            <w:pPr>
              <w:spacing w:line="360" w:lineRule="auto"/>
              <w:jc w:val="right"/>
              <w:rPr>
                <w:sz w:val="20"/>
                <w:szCs w:val="20"/>
              </w:rPr>
            </w:pPr>
            <w:r w:rsidRPr="008E0813">
              <w:rPr>
                <w:color w:val="000000"/>
                <w:sz w:val="20"/>
                <w:szCs w:val="20"/>
              </w:rPr>
              <w:t>52.40%</w:t>
            </w:r>
          </w:p>
        </w:tc>
        <w:tc>
          <w:tcPr>
            <w:tcW w:w="879" w:type="dxa"/>
            <w:vAlign w:val="center"/>
          </w:tcPr>
          <w:p w14:paraId="4F15F13A" w14:textId="77777777" w:rsidR="006F418B" w:rsidRPr="008E0813" w:rsidRDefault="006F418B" w:rsidP="008E0813">
            <w:pPr>
              <w:spacing w:line="360" w:lineRule="auto"/>
              <w:jc w:val="right"/>
              <w:rPr>
                <w:sz w:val="20"/>
                <w:szCs w:val="20"/>
              </w:rPr>
            </w:pPr>
            <w:r w:rsidRPr="008E0813">
              <w:rPr>
                <w:color w:val="000000"/>
                <w:sz w:val="20"/>
                <w:szCs w:val="20"/>
              </w:rPr>
              <w:t>5.93%</w:t>
            </w:r>
          </w:p>
        </w:tc>
        <w:tc>
          <w:tcPr>
            <w:tcW w:w="1300" w:type="dxa"/>
            <w:vAlign w:val="center"/>
          </w:tcPr>
          <w:p w14:paraId="17D4136B" w14:textId="77777777" w:rsidR="006F418B" w:rsidRPr="008E0813" w:rsidRDefault="006F418B" w:rsidP="008E0813">
            <w:pPr>
              <w:spacing w:line="360" w:lineRule="auto"/>
              <w:jc w:val="right"/>
              <w:rPr>
                <w:sz w:val="20"/>
                <w:szCs w:val="20"/>
              </w:rPr>
            </w:pPr>
            <w:r w:rsidRPr="008E0813">
              <w:rPr>
                <w:color w:val="000000"/>
                <w:sz w:val="20"/>
                <w:szCs w:val="20"/>
              </w:rPr>
              <w:t>1.97%</w:t>
            </w:r>
          </w:p>
        </w:tc>
        <w:tc>
          <w:tcPr>
            <w:tcW w:w="1291" w:type="dxa"/>
            <w:vAlign w:val="center"/>
          </w:tcPr>
          <w:p w14:paraId="3DF99F14" w14:textId="77777777" w:rsidR="006F418B" w:rsidRPr="008E0813" w:rsidRDefault="006F418B" w:rsidP="008E0813">
            <w:pPr>
              <w:spacing w:line="360" w:lineRule="auto"/>
              <w:jc w:val="right"/>
              <w:rPr>
                <w:sz w:val="20"/>
                <w:szCs w:val="20"/>
              </w:rPr>
            </w:pPr>
            <w:r w:rsidRPr="008E0813">
              <w:rPr>
                <w:color w:val="000000"/>
                <w:sz w:val="20"/>
                <w:szCs w:val="20"/>
              </w:rPr>
              <w:t>0.44%</w:t>
            </w:r>
          </w:p>
        </w:tc>
      </w:tr>
      <w:tr w:rsidR="006F418B" w:rsidRPr="00095B6C" w14:paraId="2FD58A17" w14:textId="77777777" w:rsidTr="00625327">
        <w:trPr>
          <w:trHeight w:val="397"/>
        </w:trPr>
        <w:tc>
          <w:tcPr>
            <w:tcW w:w="4429" w:type="dxa"/>
            <w:vAlign w:val="center"/>
          </w:tcPr>
          <w:p w14:paraId="5B27EEFC" w14:textId="77777777" w:rsidR="006F418B" w:rsidRPr="008E0813" w:rsidRDefault="006F418B" w:rsidP="008E0813">
            <w:pPr>
              <w:spacing w:line="360" w:lineRule="auto"/>
              <w:rPr>
                <w:sz w:val="20"/>
                <w:szCs w:val="20"/>
              </w:rPr>
            </w:pPr>
            <w:r w:rsidRPr="008E0813">
              <w:rPr>
                <w:color w:val="000000"/>
                <w:sz w:val="20"/>
                <w:szCs w:val="20"/>
              </w:rPr>
              <w:t>Scenario 2: Universal Group CBT therapy for those categorised as problem gambling, excluding those who report already receiving treatment</w:t>
            </w:r>
          </w:p>
        </w:tc>
        <w:tc>
          <w:tcPr>
            <w:tcW w:w="1130" w:type="dxa"/>
            <w:vAlign w:val="center"/>
          </w:tcPr>
          <w:p w14:paraId="260818C8" w14:textId="77777777" w:rsidR="006F418B" w:rsidRPr="008E0813" w:rsidRDefault="006F418B" w:rsidP="008E0813">
            <w:pPr>
              <w:spacing w:line="360" w:lineRule="auto"/>
              <w:jc w:val="right"/>
              <w:rPr>
                <w:sz w:val="20"/>
                <w:szCs w:val="20"/>
              </w:rPr>
            </w:pPr>
            <w:r w:rsidRPr="008E0813">
              <w:rPr>
                <w:color w:val="000000"/>
                <w:sz w:val="20"/>
                <w:szCs w:val="20"/>
              </w:rPr>
              <w:t>52.40%</w:t>
            </w:r>
          </w:p>
        </w:tc>
        <w:tc>
          <w:tcPr>
            <w:tcW w:w="879" w:type="dxa"/>
            <w:vAlign w:val="center"/>
          </w:tcPr>
          <w:p w14:paraId="1FAB8554" w14:textId="77777777" w:rsidR="006F418B" w:rsidRPr="008E0813" w:rsidRDefault="006F418B" w:rsidP="008E0813">
            <w:pPr>
              <w:spacing w:line="360" w:lineRule="auto"/>
              <w:jc w:val="right"/>
              <w:rPr>
                <w:sz w:val="20"/>
                <w:szCs w:val="20"/>
              </w:rPr>
            </w:pPr>
            <w:r w:rsidRPr="008E0813">
              <w:rPr>
                <w:color w:val="000000"/>
                <w:sz w:val="20"/>
                <w:szCs w:val="20"/>
              </w:rPr>
              <w:t>5.93%</w:t>
            </w:r>
          </w:p>
        </w:tc>
        <w:tc>
          <w:tcPr>
            <w:tcW w:w="1300" w:type="dxa"/>
            <w:vAlign w:val="center"/>
          </w:tcPr>
          <w:p w14:paraId="1226A4BC" w14:textId="77777777" w:rsidR="006F418B" w:rsidRPr="008E0813" w:rsidRDefault="006F418B" w:rsidP="008E0813">
            <w:pPr>
              <w:spacing w:line="360" w:lineRule="auto"/>
              <w:jc w:val="right"/>
              <w:rPr>
                <w:sz w:val="20"/>
                <w:szCs w:val="20"/>
              </w:rPr>
            </w:pPr>
            <w:r w:rsidRPr="008E0813">
              <w:rPr>
                <w:color w:val="000000"/>
                <w:sz w:val="20"/>
                <w:szCs w:val="20"/>
              </w:rPr>
              <w:t>2.09%</w:t>
            </w:r>
          </w:p>
        </w:tc>
        <w:tc>
          <w:tcPr>
            <w:tcW w:w="1291" w:type="dxa"/>
            <w:vAlign w:val="center"/>
          </w:tcPr>
          <w:p w14:paraId="6F8A8321" w14:textId="77777777" w:rsidR="006F418B" w:rsidRPr="008E0813" w:rsidRDefault="006F418B" w:rsidP="008E0813">
            <w:pPr>
              <w:spacing w:line="360" w:lineRule="auto"/>
              <w:jc w:val="right"/>
              <w:rPr>
                <w:sz w:val="20"/>
                <w:szCs w:val="20"/>
              </w:rPr>
            </w:pPr>
            <w:r w:rsidRPr="008E0813">
              <w:rPr>
                <w:color w:val="000000"/>
                <w:sz w:val="20"/>
                <w:szCs w:val="20"/>
              </w:rPr>
              <w:t>0.32%</w:t>
            </w:r>
          </w:p>
        </w:tc>
      </w:tr>
    </w:tbl>
    <w:p w14:paraId="2E1F6CFF" w14:textId="77777777" w:rsidR="006F418B" w:rsidRDefault="006F418B" w:rsidP="006F418B">
      <w:pPr>
        <w:rPr>
          <w:u w:val="single"/>
        </w:rPr>
      </w:pPr>
    </w:p>
    <w:p w14:paraId="24560E91" w14:textId="77777777" w:rsidR="00715703" w:rsidRDefault="00715703" w:rsidP="00135DF0">
      <w:pPr>
        <w:keepNext/>
        <w:spacing w:line="360" w:lineRule="auto"/>
      </w:pPr>
    </w:p>
    <w:p w14:paraId="2C6D4320" w14:textId="77777777" w:rsidR="00181837" w:rsidRDefault="00181837" w:rsidP="00135DF0">
      <w:pPr>
        <w:keepNext/>
        <w:spacing w:line="360" w:lineRule="auto"/>
      </w:pPr>
    </w:p>
    <w:p w14:paraId="161B6BDD" w14:textId="77777777" w:rsidR="00181837" w:rsidRDefault="00181837" w:rsidP="00135DF0">
      <w:pPr>
        <w:keepNext/>
        <w:spacing w:line="360" w:lineRule="auto"/>
      </w:pPr>
    </w:p>
    <w:p w14:paraId="06A547E9" w14:textId="3588916D" w:rsidR="006F418B" w:rsidRDefault="00715703" w:rsidP="00135DF0">
      <w:pPr>
        <w:keepNext/>
        <w:spacing w:line="360" w:lineRule="auto"/>
      </w:pPr>
      <w:r>
        <w:rPr>
          <w:noProof/>
        </w:rPr>
        <w:drawing>
          <wp:inline distT="0" distB="0" distL="0" distR="0" wp14:anchorId="05C21C9D" wp14:editId="33FEE00B">
            <wp:extent cx="5733415" cy="3590290"/>
            <wp:effectExtent l="0" t="0" r="0" b="3810"/>
            <wp:docPr id="1057118660" name="Picture 6" descr="A series of four bar charts, one for each ethnic group, showing the effect of two treatment scenarios on the prevalence of moderate-risk and problem gambling. For all groups, but most noticeably for Māori, the percentage of individuals in the &quot;Problem Gambling&quot; category decreases under Scenario 1 (Targeted Treatment) and Scenario 2 (Universal Treatment), while the percentage in the &quot;Moderate-Risk&quot; category increases, reflecting the impact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18660" name="Picture 6" descr="A series of four bar charts, one for each ethnic group, showing the effect of two treatment scenarios on the prevalence of moderate-risk and problem gambling. For all groups, but most noticeably for Māori, the percentage of individuals in the &quot;Problem Gambling&quot; category decreases under Scenario 1 (Targeted Treatment) and Scenario 2 (Universal Treatment), while the percentage in the &quot;Moderate-Risk&quot; category increases, reflecting the impact of treat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3415" cy="3590290"/>
                    </a:xfrm>
                    <a:prstGeom prst="rect">
                      <a:avLst/>
                    </a:prstGeom>
                  </pic:spPr>
                </pic:pic>
              </a:graphicData>
            </a:graphic>
          </wp:inline>
        </w:drawing>
      </w:r>
    </w:p>
    <w:p w14:paraId="0DC45DE2" w14:textId="77777777" w:rsidR="006F418B" w:rsidRDefault="006F418B" w:rsidP="006F418B">
      <w:pPr>
        <w:keepNext/>
      </w:pPr>
    </w:p>
    <w:p w14:paraId="1E8A5D3B" w14:textId="249196FB" w:rsidR="00625327" w:rsidRDefault="00625327" w:rsidP="00DB094D">
      <w:pPr>
        <w:pStyle w:val="Caption"/>
      </w:pPr>
      <w:bookmarkStart w:id="558" w:name="_Toc207196082"/>
      <w:r>
        <w:t xml:space="preserve">Figure </w:t>
      </w:r>
      <w:r>
        <w:fldChar w:fldCharType="begin"/>
      </w:r>
      <w:r>
        <w:instrText xml:space="preserve"> SEQ Figure \* ARABIC </w:instrText>
      </w:r>
      <w:r>
        <w:fldChar w:fldCharType="separate"/>
      </w:r>
      <w:r w:rsidR="00986A0D">
        <w:rPr>
          <w:noProof/>
        </w:rPr>
        <w:t>9</w:t>
      </w:r>
      <w:r>
        <w:fldChar w:fldCharType="end"/>
      </w:r>
      <w:r>
        <w:t xml:space="preserve">. </w:t>
      </w:r>
      <w:r w:rsidR="0052154A" w:rsidRPr="00DF51BC">
        <w:t>The percentage of each ethnic group in each of the PGSI Category in the current situation, scenario 1 and scenario 2</w:t>
      </w:r>
      <w:bookmarkEnd w:id="558"/>
    </w:p>
    <w:p w14:paraId="41526F55" w14:textId="762C76A3" w:rsidR="006F418B" w:rsidRDefault="006F418B" w:rsidP="006F418B">
      <w:pPr>
        <w:pBdr>
          <w:top w:val="nil"/>
          <w:left w:val="nil"/>
          <w:bottom w:val="nil"/>
          <w:right w:val="nil"/>
          <w:between w:val="nil"/>
        </w:pBdr>
        <w:spacing w:after="200"/>
        <w:rPr>
          <w:i/>
          <w:color w:val="000000"/>
          <w:sz w:val="18"/>
          <w:szCs w:val="18"/>
        </w:rPr>
      </w:pPr>
    </w:p>
    <w:p w14:paraId="3F8AD6BD" w14:textId="77777777" w:rsidR="006F418B" w:rsidRDefault="006F418B" w:rsidP="00135DF0">
      <w:pPr>
        <w:spacing w:line="360" w:lineRule="auto"/>
        <w:rPr>
          <w:color w:val="000000"/>
          <w:sz w:val="20"/>
          <w:szCs w:val="20"/>
        </w:rPr>
      </w:pPr>
    </w:p>
    <w:p w14:paraId="7C3EB43C" w14:textId="77777777" w:rsidR="00041414" w:rsidRDefault="00041414" w:rsidP="00135DF0">
      <w:pPr>
        <w:spacing w:line="360" w:lineRule="auto"/>
        <w:rPr>
          <w:color w:val="000000"/>
          <w:sz w:val="20"/>
          <w:szCs w:val="20"/>
        </w:rPr>
        <w:sectPr w:rsidR="00041414" w:rsidSect="002A6362">
          <w:pgSz w:w="11909" w:h="16834"/>
          <w:pgMar w:top="1440" w:right="1440" w:bottom="1440" w:left="1440" w:header="720" w:footer="720" w:gutter="0"/>
          <w:cols w:space="720"/>
        </w:sectPr>
      </w:pPr>
    </w:p>
    <w:p w14:paraId="1C603899" w14:textId="77777777" w:rsidR="00181837" w:rsidRDefault="00181837" w:rsidP="00181837">
      <w:pPr>
        <w:spacing w:line="360" w:lineRule="auto"/>
      </w:pPr>
      <w:r>
        <w:t>Table 46 shows the impact of the two scenarios on the cost of gambling problems, accounting for the cost of increasing treatment. Overall, scenario 1 resulted in a 2.44% reduction in the cost of gambling problems, whereas scenario 2 resulted in a 10.87% reduction.</w:t>
      </w:r>
    </w:p>
    <w:p w14:paraId="59EA24B2" w14:textId="77777777" w:rsidR="00181837" w:rsidRDefault="00181837" w:rsidP="00DB094D">
      <w:pPr>
        <w:pStyle w:val="Caption"/>
      </w:pPr>
    </w:p>
    <w:p w14:paraId="4C88FAA6" w14:textId="1C039754" w:rsidR="00041414" w:rsidRDefault="00041414" w:rsidP="00DB094D">
      <w:pPr>
        <w:pStyle w:val="Caption"/>
      </w:pPr>
      <w:bookmarkStart w:id="559" w:name="_Toc207619088"/>
      <w:r>
        <w:t xml:space="preserve">Table </w:t>
      </w:r>
      <w:r>
        <w:fldChar w:fldCharType="begin"/>
      </w:r>
      <w:r>
        <w:instrText xml:space="preserve"> SEQ Table \* ARABIC </w:instrText>
      </w:r>
      <w:r>
        <w:fldChar w:fldCharType="separate"/>
      </w:r>
      <w:r w:rsidR="00986A0D">
        <w:rPr>
          <w:noProof/>
        </w:rPr>
        <w:t>46</w:t>
      </w:r>
      <w:r>
        <w:fldChar w:fldCharType="end"/>
      </w:r>
      <w:r w:rsidR="00BB14B4">
        <w:t>.</w:t>
      </w:r>
      <w:r>
        <w:t xml:space="preserve"> </w:t>
      </w:r>
      <w:r w:rsidRPr="0045251A">
        <w:t>The impact of scenario 1 and scenario 2 on the cost of gambling harm in New Zealand, compared to the current situation.</w:t>
      </w:r>
      <w:bookmarkEnd w:id="559"/>
    </w:p>
    <w:tbl>
      <w:tblPr>
        <w:tblStyle w:val="TableGridLight"/>
        <w:tblW w:w="13954" w:type="dxa"/>
        <w:tblLayout w:type="fixed"/>
        <w:tblLook w:val="0400" w:firstRow="0" w:lastRow="0" w:firstColumn="0" w:lastColumn="0" w:noHBand="0" w:noVBand="1"/>
      </w:tblPr>
      <w:tblGrid>
        <w:gridCol w:w="2793"/>
        <w:gridCol w:w="1313"/>
        <w:gridCol w:w="1985"/>
        <w:gridCol w:w="1631"/>
        <w:gridCol w:w="1661"/>
        <w:gridCol w:w="2389"/>
        <w:gridCol w:w="2182"/>
      </w:tblGrid>
      <w:tr w:rsidR="00041414" w:rsidRPr="00095B6C" w14:paraId="17CB64FC" w14:textId="77777777" w:rsidTr="00BB3C33">
        <w:trPr>
          <w:trHeight w:val="397"/>
        </w:trPr>
        <w:tc>
          <w:tcPr>
            <w:tcW w:w="2793" w:type="dxa"/>
            <w:shd w:val="clear" w:color="auto" w:fill="F2F2F2" w:themeFill="background1" w:themeFillShade="F2"/>
            <w:vAlign w:val="center"/>
          </w:tcPr>
          <w:p w14:paraId="3E049463" w14:textId="77777777" w:rsidR="00041414" w:rsidRPr="00BB14B4" w:rsidRDefault="00041414" w:rsidP="00560DCD">
            <w:pPr>
              <w:spacing w:line="276" w:lineRule="auto"/>
              <w:rPr>
                <w:b/>
                <w:bCs/>
                <w:color w:val="000000"/>
                <w:sz w:val="18"/>
                <w:szCs w:val="18"/>
              </w:rPr>
            </w:pPr>
            <w:r w:rsidRPr="00BB14B4">
              <w:rPr>
                <w:b/>
                <w:bCs/>
                <w:color w:val="000000"/>
                <w:sz w:val="18"/>
                <w:szCs w:val="18"/>
              </w:rPr>
              <w:t>Cost category</w:t>
            </w:r>
          </w:p>
        </w:tc>
        <w:tc>
          <w:tcPr>
            <w:tcW w:w="1313" w:type="dxa"/>
            <w:shd w:val="clear" w:color="auto" w:fill="F2F2F2" w:themeFill="background1" w:themeFillShade="F2"/>
          </w:tcPr>
          <w:p w14:paraId="50BD6AE3" w14:textId="77777777" w:rsidR="00041414" w:rsidRPr="00BB14B4" w:rsidRDefault="00041414">
            <w:pPr>
              <w:spacing w:line="276" w:lineRule="auto"/>
              <w:rPr>
                <w:b/>
                <w:bCs/>
                <w:color w:val="000000"/>
                <w:sz w:val="18"/>
                <w:szCs w:val="18"/>
              </w:rPr>
            </w:pPr>
          </w:p>
        </w:tc>
        <w:tc>
          <w:tcPr>
            <w:tcW w:w="1985" w:type="dxa"/>
            <w:shd w:val="clear" w:color="auto" w:fill="F2F2F2" w:themeFill="background1" w:themeFillShade="F2"/>
            <w:vAlign w:val="center"/>
          </w:tcPr>
          <w:p w14:paraId="0DBA66E7" w14:textId="77777777" w:rsidR="00041414" w:rsidRPr="00BB14B4" w:rsidRDefault="00041414" w:rsidP="00BB3C33">
            <w:pPr>
              <w:spacing w:line="276" w:lineRule="auto"/>
              <w:jc w:val="right"/>
              <w:rPr>
                <w:b/>
                <w:bCs/>
                <w:color w:val="000000"/>
                <w:sz w:val="18"/>
                <w:szCs w:val="18"/>
              </w:rPr>
            </w:pPr>
            <w:r w:rsidRPr="00BB14B4">
              <w:rPr>
                <w:b/>
                <w:bCs/>
                <w:color w:val="000000"/>
                <w:sz w:val="18"/>
                <w:szCs w:val="18"/>
              </w:rPr>
              <w:t>Current Situation (CS)</w:t>
            </w:r>
          </w:p>
        </w:tc>
        <w:tc>
          <w:tcPr>
            <w:tcW w:w="1631" w:type="dxa"/>
            <w:shd w:val="clear" w:color="auto" w:fill="F2F2F2" w:themeFill="background1" w:themeFillShade="F2"/>
          </w:tcPr>
          <w:p w14:paraId="430A56A1" w14:textId="77777777" w:rsidR="00041414" w:rsidRPr="00BB14B4" w:rsidRDefault="00041414">
            <w:pPr>
              <w:spacing w:line="276" w:lineRule="auto"/>
              <w:jc w:val="center"/>
              <w:rPr>
                <w:b/>
                <w:bCs/>
                <w:color w:val="000000"/>
                <w:sz w:val="18"/>
                <w:szCs w:val="18"/>
              </w:rPr>
            </w:pPr>
            <w:r w:rsidRPr="00BB14B4">
              <w:rPr>
                <w:b/>
                <w:bCs/>
                <w:color w:val="000000"/>
                <w:sz w:val="18"/>
                <w:szCs w:val="18"/>
              </w:rPr>
              <w:t>Scenario 1 (S1)</w:t>
            </w:r>
          </w:p>
        </w:tc>
        <w:tc>
          <w:tcPr>
            <w:tcW w:w="1661" w:type="dxa"/>
            <w:shd w:val="clear" w:color="auto" w:fill="F2F2F2" w:themeFill="background1" w:themeFillShade="F2"/>
          </w:tcPr>
          <w:p w14:paraId="7EAA267E" w14:textId="77777777" w:rsidR="00041414" w:rsidRPr="00BB14B4" w:rsidRDefault="00041414">
            <w:pPr>
              <w:spacing w:line="276" w:lineRule="auto"/>
              <w:jc w:val="center"/>
              <w:rPr>
                <w:b/>
                <w:bCs/>
                <w:color w:val="000000"/>
                <w:sz w:val="18"/>
                <w:szCs w:val="18"/>
              </w:rPr>
            </w:pPr>
            <w:r w:rsidRPr="00BB14B4">
              <w:rPr>
                <w:b/>
                <w:bCs/>
                <w:color w:val="000000"/>
                <w:sz w:val="18"/>
                <w:szCs w:val="18"/>
              </w:rPr>
              <w:t>Scenario 2 (S2)</w:t>
            </w:r>
          </w:p>
        </w:tc>
        <w:tc>
          <w:tcPr>
            <w:tcW w:w="2389" w:type="dxa"/>
            <w:shd w:val="clear" w:color="auto" w:fill="F2F2F2" w:themeFill="background1" w:themeFillShade="F2"/>
          </w:tcPr>
          <w:p w14:paraId="60939EF7" w14:textId="77777777" w:rsidR="00041414" w:rsidRPr="00BB14B4" w:rsidRDefault="00041414">
            <w:pPr>
              <w:spacing w:line="276" w:lineRule="auto"/>
              <w:jc w:val="center"/>
              <w:rPr>
                <w:b/>
                <w:bCs/>
                <w:color w:val="000000"/>
                <w:sz w:val="18"/>
                <w:szCs w:val="18"/>
              </w:rPr>
            </w:pPr>
            <w:r w:rsidRPr="00BB14B4">
              <w:rPr>
                <w:b/>
                <w:bCs/>
                <w:color w:val="000000"/>
                <w:sz w:val="18"/>
                <w:szCs w:val="18"/>
              </w:rPr>
              <w:t>Scenario 1- change in cost (%) (CS-S1)</w:t>
            </w:r>
          </w:p>
        </w:tc>
        <w:tc>
          <w:tcPr>
            <w:tcW w:w="2182" w:type="dxa"/>
            <w:shd w:val="clear" w:color="auto" w:fill="F2F2F2" w:themeFill="background1" w:themeFillShade="F2"/>
          </w:tcPr>
          <w:p w14:paraId="1A4658DA" w14:textId="77777777" w:rsidR="00041414" w:rsidRPr="00BB14B4" w:rsidRDefault="00041414">
            <w:pPr>
              <w:spacing w:line="276" w:lineRule="auto"/>
              <w:jc w:val="center"/>
              <w:rPr>
                <w:b/>
                <w:bCs/>
                <w:color w:val="000000"/>
                <w:sz w:val="18"/>
                <w:szCs w:val="18"/>
              </w:rPr>
            </w:pPr>
            <w:r w:rsidRPr="00BB14B4">
              <w:rPr>
                <w:b/>
                <w:bCs/>
                <w:color w:val="000000"/>
                <w:sz w:val="18"/>
                <w:szCs w:val="18"/>
              </w:rPr>
              <w:t>Scenario 2- change in cost (%) (CS-S2)</w:t>
            </w:r>
          </w:p>
        </w:tc>
      </w:tr>
      <w:tr w:rsidR="008E3CBA" w:rsidRPr="00095B6C" w14:paraId="17A59873" w14:textId="77777777" w:rsidTr="00BB3C33">
        <w:trPr>
          <w:trHeight w:val="397"/>
        </w:trPr>
        <w:tc>
          <w:tcPr>
            <w:tcW w:w="2793" w:type="dxa"/>
            <w:vAlign w:val="center"/>
          </w:tcPr>
          <w:p w14:paraId="70EDDD74" w14:textId="77777777" w:rsidR="008E3CBA" w:rsidRPr="00BB14B4" w:rsidRDefault="008E3CBA" w:rsidP="008E3CBA">
            <w:pPr>
              <w:rPr>
                <w:sz w:val="18"/>
                <w:szCs w:val="18"/>
              </w:rPr>
            </w:pPr>
            <w:r w:rsidRPr="00BB14B4">
              <w:rPr>
                <w:color w:val="000000"/>
                <w:sz w:val="18"/>
                <w:szCs w:val="18"/>
              </w:rPr>
              <w:t>Financial impacts</w:t>
            </w:r>
          </w:p>
        </w:tc>
        <w:tc>
          <w:tcPr>
            <w:tcW w:w="1313" w:type="dxa"/>
            <w:vAlign w:val="center"/>
          </w:tcPr>
          <w:p w14:paraId="70559709" w14:textId="77777777" w:rsidR="008E3CBA" w:rsidRPr="00BB14B4" w:rsidRDefault="008E3CBA" w:rsidP="008E3CBA">
            <w:pPr>
              <w:rPr>
                <w:color w:val="000000"/>
                <w:sz w:val="18"/>
                <w:szCs w:val="18"/>
              </w:rPr>
            </w:pPr>
            <w:r w:rsidRPr="00BB14B4">
              <w:rPr>
                <w:color w:val="000000"/>
                <w:sz w:val="18"/>
                <w:szCs w:val="18"/>
              </w:rPr>
              <w:t>a</w:t>
            </w:r>
          </w:p>
        </w:tc>
        <w:tc>
          <w:tcPr>
            <w:tcW w:w="1985" w:type="dxa"/>
            <w:vAlign w:val="center"/>
          </w:tcPr>
          <w:p w14:paraId="1AB5F4AD" w14:textId="7DDCB30D" w:rsidR="008E3CBA" w:rsidRPr="00BB14B4" w:rsidRDefault="008E3CBA" w:rsidP="008E3CBA">
            <w:pPr>
              <w:jc w:val="right"/>
              <w:rPr>
                <w:sz w:val="18"/>
                <w:szCs w:val="18"/>
              </w:rPr>
            </w:pPr>
            <w:r>
              <w:rPr>
                <w:color w:val="000000"/>
                <w:sz w:val="20"/>
                <w:szCs w:val="20"/>
              </w:rPr>
              <w:t>$1,193,208,654</w:t>
            </w:r>
          </w:p>
        </w:tc>
        <w:tc>
          <w:tcPr>
            <w:tcW w:w="1631" w:type="dxa"/>
            <w:vAlign w:val="center"/>
          </w:tcPr>
          <w:p w14:paraId="51784D3D" w14:textId="16CDF0F0" w:rsidR="008E3CBA" w:rsidRPr="00BB14B4" w:rsidRDefault="008E3CBA" w:rsidP="008E3CBA">
            <w:pPr>
              <w:jc w:val="right"/>
              <w:rPr>
                <w:sz w:val="18"/>
                <w:szCs w:val="18"/>
              </w:rPr>
            </w:pPr>
            <w:r>
              <w:rPr>
                <w:color w:val="000000"/>
                <w:sz w:val="20"/>
                <w:szCs w:val="20"/>
              </w:rPr>
              <w:t>$1,150,006,917</w:t>
            </w:r>
          </w:p>
        </w:tc>
        <w:tc>
          <w:tcPr>
            <w:tcW w:w="1661" w:type="dxa"/>
            <w:vAlign w:val="center"/>
          </w:tcPr>
          <w:p w14:paraId="0F380670" w14:textId="75A0DA5C" w:rsidR="008E3CBA" w:rsidRPr="00BB14B4" w:rsidRDefault="008E3CBA" w:rsidP="008E3CBA">
            <w:pPr>
              <w:jc w:val="right"/>
              <w:rPr>
                <w:sz w:val="18"/>
                <w:szCs w:val="18"/>
              </w:rPr>
            </w:pPr>
            <w:r>
              <w:rPr>
                <w:color w:val="000000"/>
                <w:sz w:val="20"/>
                <w:szCs w:val="20"/>
              </w:rPr>
              <w:t>$1,002,671,067</w:t>
            </w:r>
          </w:p>
        </w:tc>
        <w:tc>
          <w:tcPr>
            <w:tcW w:w="2389" w:type="dxa"/>
            <w:vAlign w:val="center"/>
          </w:tcPr>
          <w:p w14:paraId="735BB207" w14:textId="36E5FDF3" w:rsidR="008E3CBA" w:rsidRPr="00BB14B4" w:rsidRDefault="008E3CBA" w:rsidP="008E3CBA">
            <w:pPr>
              <w:jc w:val="right"/>
              <w:rPr>
                <w:sz w:val="18"/>
                <w:szCs w:val="18"/>
              </w:rPr>
            </w:pPr>
            <w:r>
              <w:rPr>
                <w:color w:val="000000"/>
                <w:sz w:val="18"/>
                <w:szCs w:val="18"/>
              </w:rPr>
              <w:t>$43,201,737 (3.62)</w:t>
            </w:r>
          </w:p>
        </w:tc>
        <w:tc>
          <w:tcPr>
            <w:tcW w:w="2182" w:type="dxa"/>
            <w:vAlign w:val="center"/>
          </w:tcPr>
          <w:p w14:paraId="1FC9B15A" w14:textId="304C16CA" w:rsidR="008E3CBA" w:rsidRPr="00BB14B4" w:rsidRDefault="008E3CBA" w:rsidP="008E3CBA">
            <w:pPr>
              <w:jc w:val="right"/>
              <w:rPr>
                <w:color w:val="000000"/>
                <w:sz w:val="18"/>
                <w:szCs w:val="18"/>
              </w:rPr>
            </w:pPr>
            <w:r>
              <w:rPr>
                <w:color w:val="000000"/>
                <w:sz w:val="18"/>
                <w:szCs w:val="18"/>
              </w:rPr>
              <w:t>$190,537,587 (15.97)</w:t>
            </w:r>
          </w:p>
        </w:tc>
      </w:tr>
      <w:tr w:rsidR="008E3CBA" w:rsidRPr="00095B6C" w14:paraId="298F57F1" w14:textId="77777777" w:rsidTr="00BB3C33">
        <w:trPr>
          <w:trHeight w:val="397"/>
        </w:trPr>
        <w:tc>
          <w:tcPr>
            <w:tcW w:w="2793" w:type="dxa"/>
            <w:vAlign w:val="center"/>
          </w:tcPr>
          <w:p w14:paraId="46D62395" w14:textId="77777777" w:rsidR="008E3CBA" w:rsidRPr="00BB14B4" w:rsidRDefault="008E3CBA" w:rsidP="008E3CBA">
            <w:pPr>
              <w:rPr>
                <w:color w:val="000000"/>
                <w:sz w:val="18"/>
                <w:szCs w:val="18"/>
              </w:rPr>
            </w:pPr>
            <w:r w:rsidRPr="00BB14B4">
              <w:rPr>
                <w:color w:val="000000"/>
                <w:sz w:val="18"/>
                <w:szCs w:val="18"/>
              </w:rPr>
              <w:t>Relationship disruption, conflict or breakdown</w:t>
            </w:r>
          </w:p>
        </w:tc>
        <w:tc>
          <w:tcPr>
            <w:tcW w:w="1313" w:type="dxa"/>
            <w:vAlign w:val="center"/>
          </w:tcPr>
          <w:p w14:paraId="201FE0A0" w14:textId="77777777" w:rsidR="008E3CBA" w:rsidRPr="00BB14B4" w:rsidRDefault="008E3CBA" w:rsidP="008E3CBA">
            <w:pPr>
              <w:rPr>
                <w:color w:val="000000"/>
                <w:sz w:val="18"/>
                <w:szCs w:val="18"/>
              </w:rPr>
            </w:pPr>
            <w:r w:rsidRPr="00BB14B4">
              <w:rPr>
                <w:color w:val="000000"/>
                <w:sz w:val="18"/>
                <w:szCs w:val="18"/>
              </w:rPr>
              <w:t>b</w:t>
            </w:r>
          </w:p>
        </w:tc>
        <w:tc>
          <w:tcPr>
            <w:tcW w:w="1985" w:type="dxa"/>
            <w:vAlign w:val="center"/>
          </w:tcPr>
          <w:p w14:paraId="01F91745" w14:textId="7213101B" w:rsidR="008E3CBA" w:rsidRPr="00BB14B4" w:rsidRDefault="008E3CBA" w:rsidP="008E3CBA">
            <w:pPr>
              <w:jc w:val="right"/>
              <w:rPr>
                <w:color w:val="000000"/>
                <w:sz w:val="18"/>
                <w:szCs w:val="18"/>
              </w:rPr>
            </w:pPr>
            <w:r>
              <w:rPr>
                <w:color w:val="000000"/>
                <w:sz w:val="20"/>
                <w:szCs w:val="20"/>
              </w:rPr>
              <w:t>$185,225,197</w:t>
            </w:r>
          </w:p>
        </w:tc>
        <w:tc>
          <w:tcPr>
            <w:tcW w:w="1631" w:type="dxa"/>
            <w:vAlign w:val="center"/>
          </w:tcPr>
          <w:p w14:paraId="4BFE6DEF" w14:textId="605DDC02" w:rsidR="008E3CBA" w:rsidRPr="00BB14B4" w:rsidRDefault="008E3CBA" w:rsidP="008E3CBA">
            <w:pPr>
              <w:jc w:val="right"/>
              <w:rPr>
                <w:sz w:val="18"/>
                <w:szCs w:val="18"/>
              </w:rPr>
            </w:pPr>
            <w:r>
              <w:rPr>
                <w:color w:val="000000"/>
                <w:sz w:val="20"/>
                <w:szCs w:val="20"/>
              </w:rPr>
              <w:t>$177,634,778</w:t>
            </w:r>
          </w:p>
        </w:tc>
        <w:tc>
          <w:tcPr>
            <w:tcW w:w="1661" w:type="dxa"/>
            <w:vAlign w:val="center"/>
          </w:tcPr>
          <w:p w14:paraId="7ACC48AF" w14:textId="0BCE30D7" w:rsidR="008E3CBA" w:rsidRPr="00BB14B4" w:rsidRDefault="008E3CBA" w:rsidP="008E3CBA">
            <w:pPr>
              <w:jc w:val="right"/>
              <w:rPr>
                <w:sz w:val="18"/>
                <w:szCs w:val="18"/>
              </w:rPr>
            </w:pPr>
            <w:r>
              <w:rPr>
                <w:color w:val="000000"/>
                <w:sz w:val="20"/>
                <w:szCs w:val="20"/>
              </w:rPr>
              <w:t>$151,741,138</w:t>
            </w:r>
          </w:p>
        </w:tc>
        <w:tc>
          <w:tcPr>
            <w:tcW w:w="2389" w:type="dxa"/>
            <w:vAlign w:val="center"/>
          </w:tcPr>
          <w:p w14:paraId="0A0D50C5" w14:textId="0034621B" w:rsidR="008E3CBA" w:rsidRPr="00BB14B4" w:rsidRDefault="008E3CBA" w:rsidP="008E3CBA">
            <w:pPr>
              <w:jc w:val="right"/>
              <w:rPr>
                <w:sz w:val="18"/>
                <w:szCs w:val="18"/>
              </w:rPr>
            </w:pPr>
            <w:r>
              <w:rPr>
                <w:color w:val="000000"/>
                <w:sz w:val="18"/>
                <w:szCs w:val="18"/>
              </w:rPr>
              <w:t xml:space="preserve">$7,590,419 (4.10) </w:t>
            </w:r>
          </w:p>
        </w:tc>
        <w:tc>
          <w:tcPr>
            <w:tcW w:w="2182" w:type="dxa"/>
            <w:vAlign w:val="center"/>
          </w:tcPr>
          <w:p w14:paraId="3BE05E53" w14:textId="74A4498C" w:rsidR="008E3CBA" w:rsidRPr="00BB14B4" w:rsidRDefault="008E3CBA" w:rsidP="008E3CBA">
            <w:pPr>
              <w:jc w:val="right"/>
              <w:rPr>
                <w:color w:val="000000"/>
                <w:sz w:val="18"/>
                <w:szCs w:val="18"/>
              </w:rPr>
            </w:pPr>
            <w:r>
              <w:rPr>
                <w:color w:val="000000"/>
                <w:sz w:val="18"/>
                <w:szCs w:val="18"/>
              </w:rPr>
              <w:t xml:space="preserve">$33,484,059 (18.08) </w:t>
            </w:r>
          </w:p>
        </w:tc>
      </w:tr>
      <w:tr w:rsidR="008E3CBA" w:rsidRPr="00095B6C" w14:paraId="3C90750F" w14:textId="77777777" w:rsidTr="00BB3C33">
        <w:trPr>
          <w:trHeight w:val="397"/>
        </w:trPr>
        <w:tc>
          <w:tcPr>
            <w:tcW w:w="2793" w:type="dxa"/>
            <w:vAlign w:val="center"/>
          </w:tcPr>
          <w:p w14:paraId="7B2D7E75" w14:textId="77777777" w:rsidR="008E3CBA" w:rsidRPr="00BB14B4" w:rsidRDefault="008E3CBA" w:rsidP="008E3CBA">
            <w:pPr>
              <w:rPr>
                <w:color w:val="000000"/>
                <w:sz w:val="18"/>
                <w:szCs w:val="18"/>
              </w:rPr>
            </w:pPr>
            <w:r w:rsidRPr="00BB14B4">
              <w:rPr>
                <w:color w:val="000000"/>
                <w:sz w:val="18"/>
                <w:szCs w:val="18"/>
              </w:rPr>
              <w:t>Health</w:t>
            </w:r>
          </w:p>
        </w:tc>
        <w:tc>
          <w:tcPr>
            <w:tcW w:w="1313" w:type="dxa"/>
            <w:vAlign w:val="center"/>
          </w:tcPr>
          <w:p w14:paraId="1B593A67" w14:textId="77777777" w:rsidR="008E3CBA" w:rsidRPr="00BB14B4" w:rsidRDefault="008E3CBA" w:rsidP="008E3CBA">
            <w:pPr>
              <w:rPr>
                <w:color w:val="000000"/>
                <w:sz w:val="18"/>
                <w:szCs w:val="18"/>
              </w:rPr>
            </w:pPr>
            <w:r w:rsidRPr="00BB14B4">
              <w:rPr>
                <w:color w:val="000000"/>
                <w:sz w:val="18"/>
                <w:szCs w:val="18"/>
              </w:rPr>
              <w:t>c</w:t>
            </w:r>
          </w:p>
        </w:tc>
        <w:tc>
          <w:tcPr>
            <w:tcW w:w="1985" w:type="dxa"/>
            <w:vAlign w:val="center"/>
          </w:tcPr>
          <w:p w14:paraId="49224A79" w14:textId="5DA6725A" w:rsidR="008E3CBA" w:rsidRPr="00BB14B4" w:rsidRDefault="008E3CBA" w:rsidP="008E3CBA">
            <w:pPr>
              <w:jc w:val="right"/>
              <w:rPr>
                <w:color w:val="000000"/>
                <w:sz w:val="18"/>
                <w:szCs w:val="18"/>
              </w:rPr>
            </w:pPr>
            <w:r>
              <w:rPr>
                <w:color w:val="000000"/>
                <w:sz w:val="20"/>
                <w:szCs w:val="20"/>
              </w:rPr>
              <w:t>$2,043,344,805</w:t>
            </w:r>
          </w:p>
        </w:tc>
        <w:tc>
          <w:tcPr>
            <w:tcW w:w="1631" w:type="dxa"/>
            <w:vAlign w:val="center"/>
          </w:tcPr>
          <w:p w14:paraId="438FE19E" w14:textId="557DBD89" w:rsidR="008E3CBA" w:rsidRPr="00BB14B4" w:rsidRDefault="008E3CBA" w:rsidP="008E3CBA">
            <w:pPr>
              <w:jc w:val="right"/>
              <w:rPr>
                <w:sz w:val="18"/>
                <w:szCs w:val="18"/>
              </w:rPr>
            </w:pPr>
            <w:r>
              <w:rPr>
                <w:color w:val="000000"/>
                <w:sz w:val="20"/>
                <w:szCs w:val="20"/>
              </w:rPr>
              <w:t>$1,989,077,579</w:t>
            </w:r>
          </w:p>
        </w:tc>
        <w:tc>
          <w:tcPr>
            <w:tcW w:w="1661" w:type="dxa"/>
            <w:vAlign w:val="center"/>
          </w:tcPr>
          <w:p w14:paraId="01CF4631" w14:textId="53DD1E9D" w:rsidR="008E3CBA" w:rsidRPr="00BB14B4" w:rsidRDefault="008E3CBA" w:rsidP="008E3CBA">
            <w:pPr>
              <w:jc w:val="right"/>
              <w:rPr>
                <w:sz w:val="18"/>
                <w:szCs w:val="18"/>
              </w:rPr>
            </w:pPr>
            <w:r>
              <w:rPr>
                <w:color w:val="000000"/>
                <w:sz w:val="20"/>
                <w:szCs w:val="20"/>
              </w:rPr>
              <w:t>$1,805,049,608</w:t>
            </w:r>
          </w:p>
        </w:tc>
        <w:tc>
          <w:tcPr>
            <w:tcW w:w="2389" w:type="dxa"/>
            <w:vAlign w:val="center"/>
          </w:tcPr>
          <w:p w14:paraId="07C46679" w14:textId="64EC51D0" w:rsidR="008E3CBA" w:rsidRPr="00BB14B4" w:rsidRDefault="008E3CBA" w:rsidP="008E3CBA">
            <w:pPr>
              <w:jc w:val="right"/>
              <w:rPr>
                <w:sz w:val="18"/>
                <w:szCs w:val="18"/>
              </w:rPr>
            </w:pPr>
            <w:r>
              <w:rPr>
                <w:color w:val="000000"/>
                <w:sz w:val="18"/>
                <w:szCs w:val="18"/>
              </w:rPr>
              <w:t xml:space="preserve">$54,267,226 (2.66) </w:t>
            </w:r>
          </w:p>
        </w:tc>
        <w:tc>
          <w:tcPr>
            <w:tcW w:w="2182" w:type="dxa"/>
            <w:vAlign w:val="center"/>
          </w:tcPr>
          <w:p w14:paraId="149BEAEE" w14:textId="590B7E2A" w:rsidR="008E3CBA" w:rsidRPr="00BB14B4" w:rsidRDefault="008E3CBA" w:rsidP="008E3CBA">
            <w:pPr>
              <w:jc w:val="right"/>
              <w:rPr>
                <w:color w:val="000000"/>
                <w:sz w:val="18"/>
                <w:szCs w:val="18"/>
              </w:rPr>
            </w:pPr>
            <w:r>
              <w:rPr>
                <w:color w:val="000000"/>
                <w:sz w:val="18"/>
                <w:szCs w:val="18"/>
              </w:rPr>
              <w:t xml:space="preserve">$238,295,197 (11.66) </w:t>
            </w:r>
          </w:p>
        </w:tc>
      </w:tr>
      <w:tr w:rsidR="008E3CBA" w:rsidRPr="00095B6C" w14:paraId="68E072C0" w14:textId="77777777" w:rsidTr="00BB3C33">
        <w:trPr>
          <w:trHeight w:val="397"/>
        </w:trPr>
        <w:tc>
          <w:tcPr>
            <w:tcW w:w="2793" w:type="dxa"/>
            <w:vAlign w:val="center"/>
          </w:tcPr>
          <w:p w14:paraId="0CE78B6B" w14:textId="77777777" w:rsidR="008E3CBA" w:rsidRPr="00BB14B4" w:rsidRDefault="008E3CBA" w:rsidP="008E3CBA">
            <w:pPr>
              <w:rPr>
                <w:sz w:val="18"/>
                <w:szCs w:val="18"/>
              </w:rPr>
            </w:pPr>
            <w:r w:rsidRPr="00BB14B4">
              <w:rPr>
                <w:color w:val="000000"/>
                <w:sz w:val="18"/>
                <w:szCs w:val="18"/>
              </w:rPr>
              <w:t>Work or study impacts</w:t>
            </w:r>
          </w:p>
        </w:tc>
        <w:tc>
          <w:tcPr>
            <w:tcW w:w="1313" w:type="dxa"/>
            <w:vAlign w:val="center"/>
          </w:tcPr>
          <w:p w14:paraId="29DC4444" w14:textId="77777777" w:rsidR="008E3CBA" w:rsidRPr="00BB14B4" w:rsidRDefault="008E3CBA" w:rsidP="008E3CBA">
            <w:pPr>
              <w:rPr>
                <w:color w:val="000000"/>
                <w:sz w:val="18"/>
                <w:szCs w:val="18"/>
              </w:rPr>
            </w:pPr>
            <w:r w:rsidRPr="00BB14B4">
              <w:rPr>
                <w:color w:val="000000"/>
                <w:sz w:val="18"/>
                <w:szCs w:val="18"/>
              </w:rPr>
              <w:t>d</w:t>
            </w:r>
          </w:p>
        </w:tc>
        <w:tc>
          <w:tcPr>
            <w:tcW w:w="1985" w:type="dxa"/>
            <w:vAlign w:val="center"/>
          </w:tcPr>
          <w:p w14:paraId="0233A79E" w14:textId="28F3F6CA" w:rsidR="008E3CBA" w:rsidRPr="00BB14B4" w:rsidRDefault="008E3CBA" w:rsidP="008E3CBA">
            <w:pPr>
              <w:jc w:val="right"/>
              <w:rPr>
                <w:sz w:val="18"/>
                <w:szCs w:val="18"/>
              </w:rPr>
            </w:pPr>
            <w:r>
              <w:rPr>
                <w:color w:val="000000"/>
                <w:sz w:val="20"/>
                <w:szCs w:val="20"/>
              </w:rPr>
              <w:t>$678,829,001</w:t>
            </w:r>
          </w:p>
        </w:tc>
        <w:tc>
          <w:tcPr>
            <w:tcW w:w="1631" w:type="dxa"/>
            <w:vAlign w:val="center"/>
          </w:tcPr>
          <w:p w14:paraId="12B213BF" w14:textId="324F5B95" w:rsidR="008E3CBA" w:rsidRPr="00BB14B4" w:rsidRDefault="008E3CBA" w:rsidP="008E3CBA">
            <w:pPr>
              <w:jc w:val="right"/>
              <w:rPr>
                <w:sz w:val="18"/>
                <w:szCs w:val="18"/>
              </w:rPr>
            </w:pPr>
            <w:r>
              <w:rPr>
                <w:color w:val="000000"/>
                <w:sz w:val="20"/>
                <w:szCs w:val="20"/>
              </w:rPr>
              <w:t>$663,032,858</w:t>
            </w:r>
          </w:p>
        </w:tc>
        <w:tc>
          <w:tcPr>
            <w:tcW w:w="1661" w:type="dxa"/>
            <w:vAlign w:val="center"/>
          </w:tcPr>
          <w:p w14:paraId="54AC3478" w14:textId="29791F73" w:rsidR="008E3CBA" w:rsidRPr="00BB14B4" w:rsidRDefault="008E3CBA" w:rsidP="008E3CBA">
            <w:pPr>
              <w:jc w:val="right"/>
              <w:rPr>
                <w:sz w:val="18"/>
                <w:szCs w:val="18"/>
              </w:rPr>
            </w:pPr>
            <w:r>
              <w:rPr>
                <w:color w:val="000000"/>
                <w:sz w:val="20"/>
                <w:szCs w:val="20"/>
              </w:rPr>
              <w:t>$609,920,764</w:t>
            </w:r>
          </w:p>
        </w:tc>
        <w:tc>
          <w:tcPr>
            <w:tcW w:w="2389" w:type="dxa"/>
            <w:vAlign w:val="center"/>
          </w:tcPr>
          <w:p w14:paraId="6D65C545" w14:textId="26B83AB9" w:rsidR="008E3CBA" w:rsidRPr="00BB14B4" w:rsidRDefault="008E3CBA" w:rsidP="008E3CBA">
            <w:pPr>
              <w:jc w:val="right"/>
              <w:rPr>
                <w:sz w:val="18"/>
                <w:szCs w:val="18"/>
              </w:rPr>
            </w:pPr>
            <w:r>
              <w:rPr>
                <w:color w:val="000000"/>
                <w:sz w:val="18"/>
                <w:szCs w:val="18"/>
              </w:rPr>
              <w:t xml:space="preserve">$15,796,143 (2.33) </w:t>
            </w:r>
          </w:p>
        </w:tc>
        <w:tc>
          <w:tcPr>
            <w:tcW w:w="2182" w:type="dxa"/>
            <w:vAlign w:val="center"/>
          </w:tcPr>
          <w:p w14:paraId="744DD48F" w14:textId="04B18AAD" w:rsidR="008E3CBA" w:rsidRPr="00BB14B4" w:rsidRDefault="008E3CBA" w:rsidP="008E3CBA">
            <w:pPr>
              <w:jc w:val="right"/>
              <w:rPr>
                <w:color w:val="000000"/>
                <w:sz w:val="18"/>
                <w:szCs w:val="18"/>
              </w:rPr>
            </w:pPr>
            <w:r>
              <w:rPr>
                <w:color w:val="000000"/>
                <w:sz w:val="18"/>
                <w:szCs w:val="18"/>
              </w:rPr>
              <w:t xml:space="preserve">$68,908,237 (10.15) </w:t>
            </w:r>
          </w:p>
        </w:tc>
      </w:tr>
      <w:tr w:rsidR="008E3CBA" w:rsidRPr="00095B6C" w14:paraId="3A095242" w14:textId="77777777" w:rsidTr="00BB3C33">
        <w:trPr>
          <w:trHeight w:val="397"/>
        </w:trPr>
        <w:tc>
          <w:tcPr>
            <w:tcW w:w="2793" w:type="dxa"/>
            <w:vAlign w:val="center"/>
          </w:tcPr>
          <w:p w14:paraId="059F12E2" w14:textId="77777777" w:rsidR="008E3CBA" w:rsidRPr="00BB14B4" w:rsidRDefault="008E3CBA" w:rsidP="008E3CBA">
            <w:pPr>
              <w:rPr>
                <w:sz w:val="18"/>
                <w:szCs w:val="18"/>
              </w:rPr>
            </w:pPr>
            <w:r w:rsidRPr="00BB14B4">
              <w:rPr>
                <w:color w:val="000000"/>
                <w:sz w:val="18"/>
                <w:szCs w:val="18"/>
              </w:rPr>
              <w:t>Criminal activity</w:t>
            </w:r>
          </w:p>
        </w:tc>
        <w:tc>
          <w:tcPr>
            <w:tcW w:w="1313" w:type="dxa"/>
            <w:vAlign w:val="center"/>
          </w:tcPr>
          <w:p w14:paraId="42A4277E" w14:textId="77777777" w:rsidR="008E3CBA" w:rsidRPr="00BB14B4" w:rsidRDefault="008E3CBA" w:rsidP="008E3CBA">
            <w:pPr>
              <w:rPr>
                <w:color w:val="000000"/>
                <w:sz w:val="18"/>
                <w:szCs w:val="18"/>
              </w:rPr>
            </w:pPr>
            <w:r w:rsidRPr="00BB14B4">
              <w:rPr>
                <w:color w:val="000000"/>
                <w:sz w:val="18"/>
                <w:szCs w:val="18"/>
              </w:rPr>
              <w:t>e</w:t>
            </w:r>
          </w:p>
        </w:tc>
        <w:tc>
          <w:tcPr>
            <w:tcW w:w="1985" w:type="dxa"/>
            <w:vAlign w:val="center"/>
          </w:tcPr>
          <w:p w14:paraId="2E8BD9E0" w14:textId="2A21BC8E" w:rsidR="008E3CBA" w:rsidRPr="00BB14B4" w:rsidRDefault="008E3CBA" w:rsidP="008E3CBA">
            <w:pPr>
              <w:jc w:val="right"/>
              <w:rPr>
                <w:sz w:val="18"/>
                <w:szCs w:val="18"/>
              </w:rPr>
            </w:pPr>
            <w:r>
              <w:rPr>
                <w:color w:val="000000"/>
                <w:sz w:val="20"/>
                <w:szCs w:val="20"/>
              </w:rPr>
              <w:t>$54,347,468</w:t>
            </w:r>
          </w:p>
        </w:tc>
        <w:tc>
          <w:tcPr>
            <w:tcW w:w="1631" w:type="dxa"/>
            <w:vAlign w:val="center"/>
          </w:tcPr>
          <w:p w14:paraId="46323CB1" w14:textId="6B4B65C8" w:rsidR="008E3CBA" w:rsidRPr="00BB14B4" w:rsidRDefault="008E3CBA" w:rsidP="008E3CBA">
            <w:pPr>
              <w:jc w:val="right"/>
              <w:rPr>
                <w:sz w:val="18"/>
                <w:szCs w:val="18"/>
              </w:rPr>
            </w:pPr>
            <w:r>
              <w:rPr>
                <w:color w:val="000000"/>
                <w:sz w:val="20"/>
                <w:szCs w:val="20"/>
              </w:rPr>
              <w:t>$53,132,344</w:t>
            </w:r>
          </w:p>
        </w:tc>
        <w:tc>
          <w:tcPr>
            <w:tcW w:w="1661" w:type="dxa"/>
            <w:vAlign w:val="center"/>
          </w:tcPr>
          <w:p w14:paraId="104F35BC" w14:textId="468C8D76" w:rsidR="008E3CBA" w:rsidRPr="00BB14B4" w:rsidRDefault="008E3CBA" w:rsidP="008E3CBA">
            <w:pPr>
              <w:jc w:val="right"/>
              <w:rPr>
                <w:sz w:val="18"/>
                <w:szCs w:val="18"/>
              </w:rPr>
            </w:pPr>
            <w:r>
              <w:rPr>
                <w:color w:val="000000"/>
                <w:sz w:val="20"/>
                <w:szCs w:val="20"/>
              </w:rPr>
              <w:t>$48,999,320</w:t>
            </w:r>
          </w:p>
        </w:tc>
        <w:tc>
          <w:tcPr>
            <w:tcW w:w="2389" w:type="dxa"/>
            <w:vAlign w:val="center"/>
          </w:tcPr>
          <w:p w14:paraId="49CD2232" w14:textId="191BBF9C" w:rsidR="008E3CBA" w:rsidRPr="00BB14B4" w:rsidRDefault="008E3CBA" w:rsidP="008E3CBA">
            <w:pPr>
              <w:jc w:val="right"/>
              <w:rPr>
                <w:sz w:val="18"/>
                <w:szCs w:val="18"/>
              </w:rPr>
            </w:pPr>
            <w:r>
              <w:rPr>
                <w:color w:val="000000"/>
                <w:sz w:val="18"/>
                <w:szCs w:val="18"/>
              </w:rPr>
              <w:t xml:space="preserve">$1,215,124 (2.24) </w:t>
            </w:r>
          </w:p>
        </w:tc>
        <w:tc>
          <w:tcPr>
            <w:tcW w:w="2182" w:type="dxa"/>
            <w:vAlign w:val="center"/>
          </w:tcPr>
          <w:p w14:paraId="5DA5BB25" w14:textId="5892920C" w:rsidR="008E3CBA" w:rsidRPr="00BB14B4" w:rsidRDefault="008E3CBA" w:rsidP="008E3CBA">
            <w:pPr>
              <w:jc w:val="right"/>
              <w:rPr>
                <w:color w:val="000000"/>
                <w:sz w:val="18"/>
                <w:szCs w:val="18"/>
              </w:rPr>
            </w:pPr>
            <w:r>
              <w:rPr>
                <w:color w:val="000000"/>
                <w:sz w:val="18"/>
                <w:szCs w:val="18"/>
              </w:rPr>
              <w:t xml:space="preserve">$5,348,148 (9.84) </w:t>
            </w:r>
          </w:p>
        </w:tc>
      </w:tr>
      <w:tr w:rsidR="008E3CBA" w:rsidRPr="00095B6C" w14:paraId="46E22088" w14:textId="77777777" w:rsidTr="00BB3C33">
        <w:trPr>
          <w:trHeight w:val="397"/>
        </w:trPr>
        <w:tc>
          <w:tcPr>
            <w:tcW w:w="2793" w:type="dxa"/>
            <w:vAlign w:val="center"/>
          </w:tcPr>
          <w:p w14:paraId="12A58353" w14:textId="77777777" w:rsidR="008E3CBA" w:rsidRPr="00BB14B4" w:rsidRDefault="008E3CBA" w:rsidP="008E3CBA">
            <w:pPr>
              <w:rPr>
                <w:sz w:val="18"/>
                <w:szCs w:val="18"/>
              </w:rPr>
            </w:pPr>
            <w:r w:rsidRPr="00BB14B4">
              <w:rPr>
                <w:color w:val="000000"/>
                <w:sz w:val="18"/>
                <w:szCs w:val="18"/>
              </w:rPr>
              <w:t>Life course harm (homelessness)</w:t>
            </w:r>
          </w:p>
        </w:tc>
        <w:tc>
          <w:tcPr>
            <w:tcW w:w="1313" w:type="dxa"/>
            <w:vAlign w:val="center"/>
          </w:tcPr>
          <w:p w14:paraId="72ABB65B" w14:textId="77777777" w:rsidR="008E3CBA" w:rsidRPr="00BB14B4" w:rsidRDefault="008E3CBA" w:rsidP="008E3CBA">
            <w:pPr>
              <w:rPr>
                <w:color w:val="000000"/>
                <w:sz w:val="18"/>
                <w:szCs w:val="18"/>
              </w:rPr>
            </w:pPr>
            <w:r w:rsidRPr="00BB14B4">
              <w:rPr>
                <w:color w:val="000000"/>
                <w:sz w:val="18"/>
                <w:szCs w:val="18"/>
              </w:rPr>
              <w:t>f</w:t>
            </w:r>
          </w:p>
        </w:tc>
        <w:tc>
          <w:tcPr>
            <w:tcW w:w="1985" w:type="dxa"/>
            <w:vAlign w:val="center"/>
          </w:tcPr>
          <w:p w14:paraId="407FAB88" w14:textId="09F9B00D" w:rsidR="008E3CBA" w:rsidRPr="00BB14B4" w:rsidRDefault="008E3CBA" w:rsidP="008E3CBA">
            <w:pPr>
              <w:jc w:val="right"/>
              <w:rPr>
                <w:sz w:val="18"/>
                <w:szCs w:val="18"/>
              </w:rPr>
            </w:pPr>
            <w:r>
              <w:rPr>
                <w:color w:val="000000"/>
                <w:sz w:val="20"/>
                <w:szCs w:val="20"/>
              </w:rPr>
              <w:t>$5,203,623</w:t>
            </w:r>
          </w:p>
        </w:tc>
        <w:tc>
          <w:tcPr>
            <w:tcW w:w="1631" w:type="dxa"/>
            <w:vAlign w:val="center"/>
          </w:tcPr>
          <w:p w14:paraId="7CE45E96" w14:textId="4AE3A675" w:rsidR="008E3CBA" w:rsidRPr="00BB14B4" w:rsidRDefault="008E3CBA" w:rsidP="008E3CBA">
            <w:pPr>
              <w:jc w:val="right"/>
              <w:rPr>
                <w:sz w:val="18"/>
                <w:szCs w:val="18"/>
              </w:rPr>
            </w:pPr>
            <w:r>
              <w:rPr>
                <w:color w:val="000000"/>
                <w:sz w:val="20"/>
                <w:szCs w:val="20"/>
              </w:rPr>
              <w:t>$4,989,738</w:t>
            </w:r>
          </w:p>
        </w:tc>
        <w:tc>
          <w:tcPr>
            <w:tcW w:w="1661" w:type="dxa"/>
            <w:vAlign w:val="center"/>
          </w:tcPr>
          <w:p w14:paraId="600DAD0E" w14:textId="1A75B823" w:rsidR="008E3CBA" w:rsidRPr="00BB14B4" w:rsidRDefault="008E3CBA" w:rsidP="008E3CBA">
            <w:pPr>
              <w:jc w:val="right"/>
              <w:rPr>
                <w:sz w:val="18"/>
                <w:szCs w:val="18"/>
              </w:rPr>
            </w:pPr>
            <w:r>
              <w:rPr>
                <w:color w:val="000000"/>
                <w:sz w:val="20"/>
                <w:szCs w:val="20"/>
              </w:rPr>
              <w:t>$4,260,015</w:t>
            </w:r>
          </w:p>
        </w:tc>
        <w:tc>
          <w:tcPr>
            <w:tcW w:w="2389" w:type="dxa"/>
            <w:vAlign w:val="center"/>
          </w:tcPr>
          <w:p w14:paraId="07B4E900" w14:textId="3125E431" w:rsidR="008E3CBA" w:rsidRPr="00BB14B4" w:rsidRDefault="008E3CBA" w:rsidP="008E3CBA">
            <w:pPr>
              <w:jc w:val="right"/>
              <w:rPr>
                <w:sz w:val="18"/>
                <w:szCs w:val="18"/>
              </w:rPr>
            </w:pPr>
            <w:r>
              <w:rPr>
                <w:color w:val="000000"/>
                <w:sz w:val="18"/>
                <w:szCs w:val="18"/>
              </w:rPr>
              <w:t xml:space="preserve">$213,885 (4.11) </w:t>
            </w:r>
          </w:p>
        </w:tc>
        <w:tc>
          <w:tcPr>
            <w:tcW w:w="2182" w:type="dxa"/>
            <w:vAlign w:val="center"/>
          </w:tcPr>
          <w:p w14:paraId="425B6297" w14:textId="15AFFE99" w:rsidR="008E3CBA" w:rsidRPr="00BB14B4" w:rsidRDefault="008E3CBA" w:rsidP="008E3CBA">
            <w:pPr>
              <w:jc w:val="right"/>
              <w:rPr>
                <w:color w:val="000000"/>
                <w:sz w:val="18"/>
                <w:szCs w:val="18"/>
              </w:rPr>
            </w:pPr>
            <w:r>
              <w:rPr>
                <w:color w:val="000000"/>
                <w:sz w:val="18"/>
                <w:szCs w:val="18"/>
              </w:rPr>
              <w:t xml:space="preserve">$943,608 (18.13) </w:t>
            </w:r>
          </w:p>
        </w:tc>
      </w:tr>
      <w:tr w:rsidR="008E3CBA" w:rsidRPr="00095B6C" w14:paraId="554E0F55" w14:textId="77777777" w:rsidTr="00BB3C33">
        <w:trPr>
          <w:trHeight w:val="397"/>
        </w:trPr>
        <w:tc>
          <w:tcPr>
            <w:tcW w:w="2793" w:type="dxa"/>
            <w:vAlign w:val="center"/>
          </w:tcPr>
          <w:p w14:paraId="6C06EDE6" w14:textId="77777777" w:rsidR="008E3CBA" w:rsidRPr="00BB14B4" w:rsidRDefault="008E3CBA" w:rsidP="008E3CBA">
            <w:pPr>
              <w:rPr>
                <w:sz w:val="18"/>
                <w:szCs w:val="18"/>
              </w:rPr>
            </w:pPr>
            <w:r w:rsidRPr="00BB14B4">
              <w:rPr>
                <w:color w:val="000000"/>
                <w:sz w:val="18"/>
                <w:szCs w:val="18"/>
              </w:rPr>
              <w:t>Other government or community costs</w:t>
            </w:r>
          </w:p>
        </w:tc>
        <w:tc>
          <w:tcPr>
            <w:tcW w:w="1313" w:type="dxa"/>
            <w:vAlign w:val="center"/>
          </w:tcPr>
          <w:p w14:paraId="60E1915B" w14:textId="77777777" w:rsidR="008E3CBA" w:rsidRPr="00BB14B4" w:rsidRDefault="008E3CBA" w:rsidP="008E3CBA">
            <w:pPr>
              <w:rPr>
                <w:color w:val="000000"/>
                <w:sz w:val="18"/>
                <w:szCs w:val="18"/>
              </w:rPr>
            </w:pPr>
            <w:r w:rsidRPr="00BB14B4">
              <w:rPr>
                <w:color w:val="000000"/>
                <w:sz w:val="18"/>
                <w:szCs w:val="18"/>
              </w:rPr>
              <w:t>g</w:t>
            </w:r>
          </w:p>
        </w:tc>
        <w:tc>
          <w:tcPr>
            <w:tcW w:w="1985" w:type="dxa"/>
            <w:vAlign w:val="center"/>
          </w:tcPr>
          <w:p w14:paraId="48923330" w14:textId="1BC70269" w:rsidR="008E3CBA" w:rsidRPr="00BB14B4" w:rsidRDefault="008E3CBA" w:rsidP="008E3CBA">
            <w:pPr>
              <w:jc w:val="right"/>
              <w:rPr>
                <w:sz w:val="18"/>
                <w:szCs w:val="18"/>
              </w:rPr>
            </w:pPr>
            <w:r>
              <w:rPr>
                <w:color w:val="000000"/>
                <w:sz w:val="20"/>
                <w:szCs w:val="20"/>
              </w:rPr>
              <w:t>$58,768,750</w:t>
            </w:r>
          </w:p>
        </w:tc>
        <w:tc>
          <w:tcPr>
            <w:tcW w:w="1631" w:type="dxa"/>
            <w:vAlign w:val="center"/>
          </w:tcPr>
          <w:p w14:paraId="2BC29E31" w14:textId="3CB42CEB" w:rsidR="008E3CBA" w:rsidRPr="00BB14B4" w:rsidRDefault="008E3CBA" w:rsidP="008E3CBA">
            <w:pPr>
              <w:jc w:val="right"/>
              <w:rPr>
                <w:sz w:val="18"/>
                <w:szCs w:val="18"/>
              </w:rPr>
            </w:pPr>
            <w:r>
              <w:rPr>
                <w:color w:val="000000"/>
                <w:sz w:val="20"/>
                <w:szCs w:val="20"/>
              </w:rPr>
              <w:t>$58,749,286</w:t>
            </w:r>
          </w:p>
        </w:tc>
        <w:tc>
          <w:tcPr>
            <w:tcW w:w="1661" w:type="dxa"/>
            <w:vAlign w:val="center"/>
          </w:tcPr>
          <w:p w14:paraId="643B8AE6" w14:textId="672C04BE" w:rsidR="008E3CBA" w:rsidRPr="00BB14B4" w:rsidRDefault="008E3CBA" w:rsidP="008E3CBA">
            <w:pPr>
              <w:jc w:val="right"/>
              <w:rPr>
                <w:sz w:val="18"/>
                <w:szCs w:val="18"/>
              </w:rPr>
            </w:pPr>
            <w:r>
              <w:rPr>
                <w:color w:val="000000"/>
                <w:sz w:val="20"/>
                <w:szCs w:val="20"/>
              </w:rPr>
              <w:t>$58,684,498</w:t>
            </w:r>
          </w:p>
        </w:tc>
        <w:tc>
          <w:tcPr>
            <w:tcW w:w="2389" w:type="dxa"/>
            <w:vAlign w:val="center"/>
          </w:tcPr>
          <w:p w14:paraId="5B4C963C" w14:textId="1EBED0E8" w:rsidR="008E3CBA" w:rsidRPr="00BB14B4" w:rsidRDefault="008E3CBA" w:rsidP="008E3CBA">
            <w:pPr>
              <w:jc w:val="right"/>
              <w:rPr>
                <w:sz w:val="18"/>
                <w:szCs w:val="18"/>
              </w:rPr>
            </w:pPr>
            <w:r>
              <w:rPr>
                <w:color w:val="000000"/>
                <w:sz w:val="18"/>
                <w:szCs w:val="18"/>
              </w:rPr>
              <w:t xml:space="preserve">$19,464 (0.03) </w:t>
            </w:r>
          </w:p>
        </w:tc>
        <w:tc>
          <w:tcPr>
            <w:tcW w:w="2182" w:type="dxa"/>
            <w:vAlign w:val="center"/>
          </w:tcPr>
          <w:p w14:paraId="242C5F3B" w14:textId="19610CA1" w:rsidR="008E3CBA" w:rsidRPr="00BB14B4" w:rsidRDefault="008E3CBA" w:rsidP="008E3CBA">
            <w:pPr>
              <w:jc w:val="right"/>
              <w:rPr>
                <w:color w:val="000000"/>
                <w:sz w:val="18"/>
                <w:szCs w:val="18"/>
              </w:rPr>
            </w:pPr>
            <w:r>
              <w:rPr>
                <w:color w:val="000000"/>
                <w:sz w:val="18"/>
                <w:szCs w:val="18"/>
              </w:rPr>
              <w:t xml:space="preserve">$84,252 (0.14) </w:t>
            </w:r>
          </w:p>
        </w:tc>
      </w:tr>
      <w:tr w:rsidR="008E3CBA" w:rsidRPr="00095B6C" w14:paraId="4BC42A31" w14:textId="77777777" w:rsidTr="00BB3C33">
        <w:trPr>
          <w:trHeight w:val="397"/>
        </w:trPr>
        <w:tc>
          <w:tcPr>
            <w:tcW w:w="2793" w:type="dxa"/>
            <w:vAlign w:val="center"/>
          </w:tcPr>
          <w:p w14:paraId="2EAF12DC" w14:textId="77777777" w:rsidR="008E3CBA" w:rsidRPr="00BB14B4" w:rsidRDefault="008E3CBA" w:rsidP="008E3CBA">
            <w:pPr>
              <w:rPr>
                <w:color w:val="000000"/>
                <w:sz w:val="18"/>
                <w:szCs w:val="18"/>
              </w:rPr>
            </w:pPr>
            <w:r w:rsidRPr="00BB14B4">
              <w:rPr>
                <w:color w:val="000000"/>
                <w:sz w:val="18"/>
                <w:szCs w:val="18"/>
              </w:rPr>
              <w:t xml:space="preserve">Subtotal cost of harm </w:t>
            </w:r>
          </w:p>
        </w:tc>
        <w:tc>
          <w:tcPr>
            <w:tcW w:w="1313" w:type="dxa"/>
            <w:vAlign w:val="center"/>
          </w:tcPr>
          <w:p w14:paraId="0D7359BE" w14:textId="77777777" w:rsidR="008E3CBA" w:rsidRPr="00BB14B4" w:rsidRDefault="008E3CBA" w:rsidP="008E3CBA">
            <w:pPr>
              <w:rPr>
                <w:color w:val="000000"/>
                <w:sz w:val="18"/>
                <w:szCs w:val="18"/>
              </w:rPr>
            </w:pPr>
            <w:r w:rsidRPr="00BB14B4">
              <w:rPr>
                <w:color w:val="000000"/>
                <w:sz w:val="18"/>
                <w:szCs w:val="18"/>
              </w:rPr>
              <w:t>h = (a+b+c+d+e+f+g)</w:t>
            </w:r>
          </w:p>
        </w:tc>
        <w:tc>
          <w:tcPr>
            <w:tcW w:w="1985" w:type="dxa"/>
            <w:vAlign w:val="center"/>
          </w:tcPr>
          <w:p w14:paraId="1D467D02" w14:textId="3B2E46BE" w:rsidR="008E3CBA" w:rsidRPr="00BB14B4" w:rsidRDefault="008E3CBA" w:rsidP="008E3CBA">
            <w:pPr>
              <w:jc w:val="right"/>
              <w:rPr>
                <w:color w:val="000000"/>
                <w:sz w:val="18"/>
                <w:szCs w:val="18"/>
              </w:rPr>
            </w:pPr>
            <w:r>
              <w:rPr>
                <w:b/>
                <w:bCs/>
                <w:color w:val="000000"/>
                <w:sz w:val="20"/>
                <w:szCs w:val="20"/>
              </w:rPr>
              <w:t>$4,218,927,498</w:t>
            </w:r>
          </w:p>
        </w:tc>
        <w:tc>
          <w:tcPr>
            <w:tcW w:w="1631" w:type="dxa"/>
            <w:vAlign w:val="center"/>
          </w:tcPr>
          <w:p w14:paraId="343664EF" w14:textId="795CC116" w:rsidR="008E3CBA" w:rsidRPr="00BB14B4" w:rsidRDefault="008E3CBA" w:rsidP="008E3CBA">
            <w:pPr>
              <w:jc w:val="right"/>
              <w:rPr>
                <w:color w:val="000000"/>
                <w:sz w:val="18"/>
                <w:szCs w:val="18"/>
              </w:rPr>
            </w:pPr>
            <w:r>
              <w:rPr>
                <w:b/>
                <w:bCs/>
                <w:color w:val="000000"/>
                <w:sz w:val="20"/>
                <w:szCs w:val="20"/>
              </w:rPr>
              <w:t>$4,096,623,499</w:t>
            </w:r>
          </w:p>
        </w:tc>
        <w:tc>
          <w:tcPr>
            <w:tcW w:w="1661" w:type="dxa"/>
            <w:vAlign w:val="center"/>
          </w:tcPr>
          <w:p w14:paraId="25CAE8F0" w14:textId="76684F91" w:rsidR="008E3CBA" w:rsidRPr="00BB14B4" w:rsidRDefault="008E3CBA" w:rsidP="008E3CBA">
            <w:pPr>
              <w:jc w:val="right"/>
              <w:rPr>
                <w:color w:val="000000"/>
                <w:sz w:val="18"/>
                <w:szCs w:val="18"/>
              </w:rPr>
            </w:pPr>
            <w:r>
              <w:rPr>
                <w:b/>
                <w:bCs/>
                <w:color w:val="000000"/>
                <w:sz w:val="20"/>
                <w:szCs w:val="20"/>
              </w:rPr>
              <w:t>$3,681,326,412</w:t>
            </w:r>
          </w:p>
        </w:tc>
        <w:tc>
          <w:tcPr>
            <w:tcW w:w="2389" w:type="dxa"/>
            <w:vAlign w:val="center"/>
          </w:tcPr>
          <w:p w14:paraId="7456F6EE" w14:textId="1AC16125" w:rsidR="008E3CBA" w:rsidRPr="00BB14B4" w:rsidRDefault="008E3CBA" w:rsidP="008E3CBA">
            <w:pPr>
              <w:jc w:val="right"/>
              <w:rPr>
                <w:sz w:val="18"/>
                <w:szCs w:val="18"/>
              </w:rPr>
            </w:pPr>
            <w:r>
              <w:rPr>
                <w:color w:val="000000"/>
                <w:sz w:val="18"/>
                <w:szCs w:val="18"/>
              </w:rPr>
              <w:t xml:space="preserve">$122,303,999 (2.90) </w:t>
            </w:r>
          </w:p>
        </w:tc>
        <w:tc>
          <w:tcPr>
            <w:tcW w:w="2182" w:type="dxa"/>
            <w:vAlign w:val="center"/>
          </w:tcPr>
          <w:p w14:paraId="474C0E0F" w14:textId="07B87879" w:rsidR="008E3CBA" w:rsidRPr="00BB14B4" w:rsidRDefault="008E3CBA" w:rsidP="008E3CBA">
            <w:pPr>
              <w:jc w:val="right"/>
              <w:rPr>
                <w:color w:val="000000"/>
                <w:sz w:val="18"/>
                <w:szCs w:val="18"/>
              </w:rPr>
            </w:pPr>
            <w:r>
              <w:rPr>
                <w:color w:val="000000"/>
                <w:sz w:val="18"/>
                <w:szCs w:val="18"/>
              </w:rPr>
              <w:t xml:space="preserve">$537,601,086 (12.74) </w:t>
            </w:r>
          </w:p>
        </w:tc>
      </w:tr>
      <w:tr w:rsidR="00041414" w:rsidRPr="00095B6C" w14:paraId="0A5FE7B7" w14:textId="77777777" w:rsidTr="00BB3C33">
        <w:trPr>
          <w:trHeight w:val="397"/>
        </w:trPr>
        <w:tc>
          <w:tcPr>
            <w:tcW w:w="2793" w:type="dxa"/>
            <w:vAlign w:val="center"/>
          </w:tcPr>
          <w:p w14:paraId="3F938459" w14:textId="77777777" w:rsidR="00041414" w:rsidRPr="00BB14B4" w:rsidRDefault="00041414">
            <w:pPr>
              <w:rPr>
                <w:color w:val="000000"/>
                <w:sz w:val="18"/>
                <w:szCs w:val="18"/>
              </w:rPr>
            </w:pPr>
            <w:r w:rsidRPr="00BB14B4">
              <w:rPr>
                <w:color w:val="000000"/>
                <w:sz w:val="18"/>
                <w:szCs w:val="18"/>
              </w:rPr>
              <w:t>Number of additional people receiving Group CBT</w:t>
            </w:r>
          </w:p>
        </w:tc>
        <w:tc>
          <w:tcPr>
            <w:tcW w:w="1313" w:type="dxa"/>
            <w:vAlign w:val="center"/>
          </w:tcPr>
          <w:p w14:paraId="19492F6A" w14:textId="77777777" w:rsidR="00041414" w:rsidRPr="00BB14B4" w:rsidRDefault="00041414">
            <w:pPr>
              <w:rPr>
                <w:color w:val="000000"/>
                <w:sz w:val="18"/>
                <w:szCs w:val="18"/>
              </w:rPr>
            </w:pPr>
            <w:r w:rsidRPr="00BB14B4">
              <w:rPr>
                <w:color w:val="000000"/>
                <w:sz w:val="18"/>
                <w:szCs w:val="18"/>
              </w:rPr>
              <w:t>i</w:t>
            </w:r>
          </w:p>
        </w:tc>
        <w:tc>
          <w:tcPr>
            <w:tcW w:w="1985" w:type="dxa"/>
            <w:vAlign w:val="center"/>
          </w:tcPr>
          <w:p w14:paraId="27ACAA42" w14:textId="77777777" w:rsidR="00041414" w:rsidRPr="00BB14B4" w:rsidRDefault="00041414">
            <w:pPr>
              <w:jc w:val="right"/>
              <w:rPr>
                <w:color w:val="000000"/>
                <w:sz w:val="18"/>
                <w:szCs w:val="18"/>
              </w:rPr>
            </w:pPr>
            <w:r w:rsidRPr="00BB14B4">
              <w:rPr>
                <w:color w:val="000000"/>
                <w:sz w:val="18"/>
                <w:szCs w:val="18"/>
              </w:rPr>
              <w:t>NA</w:t>
            </w:r>
          </w:p>
        </w:tc>
        <w:tc>
          <w:tcPr>
            <w:tcW w:w="1631" w:type="dxa"/>
            <w:vAlign w:val="center"/>
          </w:tcPr>
          <w:p w14:paraId="260C7B06" w14:textId="77777777" w:rsidR="00041414" w:rsidRPr="00BB14B4" w:rsidRDefault="00041414">
            <w:pPr>
              <w:jc w:val="right"/>
              <w:rPr>
                <w:color w:val="000000"/>
                <w:sz w:val="18"/>
                <w:szCs w:val="18"/>
              </w:rPr>
            </w:pPr>
            <w:r w:rsidRPr="00BB14B4">
              <w:rPr>
                <w:color w:val="000000"/>
                <w:sz w:val="18"/>
                <w:szCs w:val="18"/>
              </w:rPr>
              <w:t xml:space="preserve">3331                  </w:t>
            </w:r>
          </w:p>
        </w:tc>
        <w:tc>
          <w:tcPr>
            <w:tcW w:w="1661" w:type="dxa"/>
            <w:vAlign w:val="center"/>
          </w:tcPr>
          <w:p w14:paraId="47D84EE0" w14:textId="77777777" w:rsidR="00041414" w:rsidRPr="00BB14B4" w:rsidRDefault="00041414">
            <w:pPr>
              <w:jc w:val="right"/>
              <w:rPr>
                <w:color w:val="000000"/>
                <w:sz w:val="18"/>
                <w:szCs w:val="18"/>
              </w:rPr>
            </w:pPr>
            <w:r w:rsidRPr="00BB14B4">
              <w:rPr>
                <w:color w:val="000000"/>
                <w:sz w:val="18"/>
                <w:szCs w:val="18"/>
              </w:rPr>
              <w:t xml:space="preserve">16430                   </w:t>
            </w:r>
          </w:p>
        </w:tc>
        <w:tc>
          <w:tcPr>
            <w:tcW w:w="2389" w:type="dxa"/>
            <w:vAlign w:val="center"/>
          </w:tcPr>
          <w:p w14:paraId="5056BBF8" w14:textId="77777777" w:rsidR="00041414" w:rsidRPr="00BB14B4" w:rsidRDefault="00041414">
            <w:pPr>
              <w:jc w:val="right"/>
              <w:rPr>
                <w:sz w:val="18"/>
                <w:szCs w:val="18"/>
              </w:rPr>
            </w:pPr>
            <w:r w:rsidRPr="00BB14B4">
              <w:rPr>
                <w:sz w:val="18"/>
                <w:szCs w:val="18"/>
              </w:rPr>
              <w:t>NA</w:t>
            </w:r>
          </w:p>
        </w:tc>
        <w:tc>
          <w:tcPr>
            <w:tcW w:w="2182" w:type="dxa"/>
            <w:vAlign w:val="center"/>
          </w:tcPr>
          <w:p w14:paraId="2A75F5B5" w14:textId="77777777" w:rsidR="00041414" w:rsidRPr="00BB14B4" w:rsidRDefault="00041414">
            <w:pPr>
              <w:jc w:val="right"/>
              <w:rPr>
                <w:sz w:val="18"/>
                <w:szCs w:val="18"/>
              </w:rPr>
            </w:pPr>
            <w:r w:rsidRPr="00BB14B4">
              <w:rPr>
                <w:sz w:val="18"/>
                <w:szCs w:val="18"/>
              </w:rPr>
              <w:t>NA</w:t>
            </w:r>
          </w:p>
        </w:tc>
      </w:tr>
      <w:tr w:rsidR="00041414" w:rsidRPr="00095B6C" w14:paraId="7E89B92A" w14:textId="77777777" w:rsidTr="00BB3C33">
        <w:trPr>
          <w:trHeight w:val="397"/>
        </w:trPr>
        <w:tc>
          <w:tcPr>
            <w:tcW w:w="2793" w:type="dxa"/>
            <w:vAlign w:val="center"/>
          </w:tcPr>
          <w:p w14:paraId="1C490B7C" w14:textId="77777777" w:rsidR="00041414" w:rsidRPr="00BB14B4" w:rsidRDefault="00041414">
            <w:pPr>
              <w:rPr>
                <w:color w:val="000000"/>
                <w:sz w:val="18"/>
                <w:szCs w:val="18"/>
              </w:rPr>
            </w:pPr>
            <w:r w:rsidRPr="00BB14B4">
              <w:rPr>
                <w:color w:val="000000"/>
                <w:sz w:val="18"/>
                <w:szCs w:val="18"/>
              </w:rPr>
              <w:t>Cost of treatment per person</w:t>
            </w:r>
          </w:p>
        </w:tc>
        <w:tc>
          <w:tcPr>
            <w:tcW w:w="1313" w:type="dxa"/>
            <w:vAlign w:val="center"/>
          </w:tcPr>
          <w:p w14:paraId="394A49C5" w14:textId="77777777" w:rsidR="00041414" w:rsidRPr="00BB14B4" w:rsidRDefault="00041414">
            <w:pPr>
              <w:rPr>
                <w:color w:val="000000"/>
                <w:sz w:val="18"/>
                <w:szCs w:val="18"/>
              </w:rPr>
            </w:pPr>
            <w:r w:rsidRPr="00BB14B4">
              <w:rPr>
                <w:color w:val="000000"/>
                <w:sz w:val="18"/>
                <w:szCs w:val="18"/>
              </w:rPr>
              <w:t>j</w:t>
            </w:r>
          </w:p>
        </w:tc>
        <w:tc>
          <w:tcPr>
            <w:tcW w:w="1985" w:type="dxa"/>
            <w:vAlign w:val="center"/>
          </w:tcPr>
          <w:p w14:paraId="71FCED78" w14:textId="77777777" w:rsidR="00041414" w:rsidRPr="00BB14B4" w:rsidRDefault="00041414">
            <w:pPr>
              <w:jc w:val="right"/>
              <w:rPr>
                <w:color w:val="000000"/>
                <w:sz w:val="18"/>
                <w:szCs w:val="18"/>
              </w:rPr>
            </w:pPr>
            <w:r w:rsidRPr="00BB14B4">
              <w:rPr>
                <w:color w:val="000000"/>
                <w:sz w:val="18"/>
                <w:szCs w:val="18"/>
              </w:rPr>
              <w:t>NA</w:t>
            </w:r>
          </w:p>
        </w:tc>
        <w:tc>
          <w:tcPr>
            <w:tcW w:w="1631" w:type="dxa"/>
            <w:vAlign w:val="center"/>
          </w:tcPr>
          <w:p w14:paraId="0F2F0BCF" w14:textId="56F0C91E" w:rsidR="00041414" w:rsidRPr="00BB14B4" w:rsidRDefault="00041414">
            <w:pPr>
              <w:jc w:val="right"/>
              <w:rPr>
                <w:color w:val="000000"/>
                <w:sz w:val="18"/>
                <w:szCs w:val="18"/>
              </w:rPr>
            </w:pPr>
            <w:r w:rsidRPr="00BB14B4">
              <w:rPr>
                <w:color w:val="000000"/>
                <w:sz w:val="18"/>
                <w:szCs w:val="18"/>
              </w:rPr>
              <w:t>$972</w:t>
            </w:r>
          </w:p>
        </w:tc>
        <w:tc>
          <w:tcPr>
            <w:tcW w:w="1661" w:type="dxa"/>
            <w:vAlign w:val="center"/>
          </w:tcPr>
          <w:p w14:paraId="1AE4B761" w14:textId="6928DB7C" w:rsidR="00041414" w:rsidRPr="00BB14B4" w:rsidRDefault="00041414">
            <w:pPr>
              <w:jc w:val="right"/>
              <w:rPr>
                <w:color w:val="000000"/>
                <w:sz w:val="18"/>
                <w:szCs w:val="18"/>
              </w:rPr>
            </w:pPr>
            <w:r w:rsidRPr="00BB14B4">
              <w:rPr>
                <w:color w:val="000000"/>
                <w:sz w:val="18"/>
                <w:szCs w:val="18"/>
              </w:rPr>
              <w:t>$972</w:t>
            </w:r>
          </w:p>
        </w:tc>
        <w:tc>
          <w:tcPr>
            <w:tcW w:w="2389" w:type="dxa"/>
            <w:vAlign w:val="center"/>
          </w:tcPr>
          <w:p w14:paraId="535BBA09" w14:textId="77777777" w:rsidR="00041414" w:rsidRPr="00BB14B4" w:rsidRDefault="00041414">
            <w:pPr>
              <w:jc w:val="right"/>
              <w:rPr>
                <w:sz w:val="18"/>
                <w:szCs w:val="18"/>
              </w:rPr>
            </w:pPr>
            <w:r w:rsidRPr="00BB14B4">
              <w:rPr>
                <w:sz w:val="18"/>
                <w:szCs w:val="18"/>
              </w:rPr>
              <w:t>NA</w:t>
            </w:r>
          </w:p>
        </w:tc>
        <w:tc>
          <w:tcPr>
            <w:tcW w:w="2182" w:type="dxa"/>
            <w:vAlign w:val="center"/>
          </w:tcPr>
          <w:p w14:paraId="00FCD526" w14:textId="77777777" w:rsidR="00041414" w:rsidRPr="00BB14B4" w:rsidRDefault="00041414">
            <w:pPr>
              <w:jc w:val="right"/>
              <w:rPr>
                <w:sz w:val="18"/>
                <w:szCs w:val="18"/>
              </w:rPr>
            </w:pPr>
            <w:r w:rsidRPr="00BB14B4">
              <w:rPr>
                <w:sz w:val="18"/>
                <w:szCs w:val="18"/>
              </w:rPr>
              <w:t>NA</w:t>
            </w:r>
          </w:p>
        </w:tc>
      </w:tr>
      <w:tr w:rsidR="00041414" w:rsidRPr="00095B6C" w14:paraId="4A60C93B" w14:textId="77777777" w:rsidTr="00BB3C33">
        <w:trPr>
          <w:trHeight w:val="397"/>
        </w:trPr>
        <w:tc>
          <w:tcPr>
            <w:tcW w:w="2793" w:type="dxa"/>
            <w:vAlign w:val="center"/>
          </w:tcPr>
          <w:p w14:paraId="04918077" w14:textId="77777777" w:rsidR="00041414" w:rsidRPr="00BB14B4" w:rsidRDefault="00041414">
            <w:pPr>
              <w:rPr>
                <w:color w:val="000000"/>
                <w:sz w:val="18"/>
                <w:szCs w:val="18"/>
              </w:rPr>
            </w:pPr>
            <w:r w:rsidRPr="00BB14B4">
              <w:rPr>
                <w:color w:val="000000"/>
                <w:sz w:val="18"/>
                <w:szCs w:val="18"/>
              </w:rPr>
              <w:t>20% uplift to account for administrative costs</w:t>
            </w:r>
          </w:p>
        </w:tc>
        <w:tc>
          <w:tcPr>
            <w:tcW w:w="1313" w:type="dxa"/>
            <w:vAlign w:val="center"/>
          </w:tcPr>
          <w:p w14:paraId="5CFA0C27" w14:textId="77777777" w:rsidR="00041414" w:rsidRPr="00BB14B4" w:rsidRDefault="00041414">
            <w:pPr>
              <w:rPr>
                <w:color w:val="000000"/>
                <w:sz w:val="18"/>
                <w:szCs w:val="18"/>
              </w:rPr>
            </w:pPr>
            <w:r w:rsidRPr="00BB14B4">
              <w:rPr>
                <w:color w:val="000000"/>
                <w:sz w:val="18"/>
                <w:szCs w:val="18"/>
              </w:rPr>
              <w:t>k</w:t>
            </w:r>
          </w:p>
        </w:tc>
        <w:tc>
          <w:tcPr>
            <w:tcW w:w="1985" w:type="dxa"/>
            <w:vAlign w:val="center"/>
          </w:tcPr>
          <w:p w14:paraId="7FB11379" w14:textId="77777777" w:rsidR="00041414" w:rsidRPr="00BB14B4" w:rsidRDefault="00041414">
            <w:pPr>
              <w:jc w:val="right"/>
              <w:rPr>
                <w:color w:val="000000"/>
                <w:sz w:val="18"/>
                <w:szCs w:val="18"/>
              </w:rPr>
            </w:pPr>
            <w:r w:rsidRPr="00BB14B4">
              <w:rPr>
                <w:color w:val="000000"/>
                <w:sz w:val="18"/>
                <w:szCs w:val="18"/>
              </w:rPr>
              <w:t>NA</w:t>
            </w:r>
          </w:p>
        </w:tc>
        <w:tc>
          <w:tcPr>
            <w:tcW w:w="1631" w:type="dxa"/>
            <w:vAlign w:val="center"/>
          </w:tcPr>
          <w:p w14:paraId="47450AF5" w14:textId="13AEE424" w:rsidR="00041414" w:rsidRPr="00BB14B4" w:rsidRDefault="00041414">
            <w:pPr>
              <w:jc w:val="right"/>
              <w:rPr>
                <w:color w:val="000000"/>
                <w:sz w:val="18"/>
                <w:szCs w:val="18"/>
              </w:rPr>
            </w:pPr>
            <w:r w:rsidRPr="00BB14B4">
              <w:rPr>
                <w:color w:val="000000"/>
                <w:sz w:val="18"/>
                <w:szCs w:val="18"/>
              </w:rPr>
              <w:t>$19</w:t>
            </w:r>
            <w:r w:rsidR="00487878">
              <w:rPr>
                <w:color w:val="000000"/>
                <w:sz w:val="18"/>
                <w:szCs w:val="18"/>
              </w:rPr>
              <w:t>5</w:t>
            </w:r>
          </w:p>
        </w:tc>
        <w:tc>
          <w:tcPr>
            <w:tcW w:w="1661" w:type="dxa"/>
            <w:vAlign w:val="center"/>
          </w:tcPr>
          <w:p w14:paraId="3EC2388A" w14:textId="639AAAF9" w:rsidR="00041414" w:rsidRPr="00BB14B4" w:rsidRDefault="00041414">
            <w:pPr>
              <w:jc w:val="right"/>
              <w:rPr>
                <w:color w:val="000000"/>
                <w:sz w:val="18"/>
                <w:szCs w:val="18"/>
              </w:rPr>
            </w:pPr>
            <w:r w:rsidRPr="00BB14B4">
              <w:rPr>
                <w:color w:val="000000"/>
                <w:sz w:val="18"/>
                <w:szCs w:val="18"/>
              </w:rPr>
              <w:t>$19</w:t>
            </w:r>
            <w:r w:rsidR="00487878">
              <w:rPr>
                <w:color w:val="000000"/>
                <w:sz w:val="18"/>
                <w:szCs w:val="18"/>
              </w:rPr>
              <w:t>5</w:t>
            </w:r>
          </w:p>
        </w:tc>
        <w:tc>
          <w:tcPr>
            <w:tcW w:w="2389" w:type="dxa"/>
            <w:vAlign w:val="center"/>
          </w:tcPr>
          <w:p w14:paraId="3BFFD050" w14:textId="77777777" w:rsidR="00041414" w:rsidRPr="00BB14B4" w:rsidRDefault="00041414">
            <w:pPr>
              <w:jc w:val="right"/>
              <w:rPr>
                <w:sz w:val="18"/>
                <w:szCs w:val="18"/>
              </w:rPr>
            </w:pPr>
            <w:r w:rsidRPr="00BB14B4">
              <w:rPr>
                <w:sz w:val="18"/>
                <w:szCs w:val="18"/>
              </w:rPr>
              <w:t>NA</w:t>
            </w:r>
          </w:p>
        </w:tc>
        <w:tc>
          <w:tcPr>
            <w:tcW w:w="2182" w:type="dxa"/>
            <w:vAlign w:val="center"/>
          </w:tcPr>
          <w:p w14:paraId="5FE76028" w14:textId="77777777" w:rsidR="00041414" w:rsidRPr="00BB14B4" w:rsidRDefault="00041414">
            <w:pPr>
              <w:jc w:val="right"/>
              <w:rPr>
                <w:sz w:val="18"/>
                <w:szCs w:val="18"/>
              </w:rPr>
            </w:pPr>
            <w:r w:rsidRPr="00BB14B4">
              <w:rPr>
                <w:sz w:val="18"/>
                <w:szCs w:val="18"/>
              </w:rPr>
              <w:t>NA</w:t>
            </w:r>
          </w:p>
        </w:tc>
      </w:tr>
      <w:tr w:rsidR="00041414" w:rsidRPr="00095B6C" w14:paraId="6B8935DD" w14:textId="77777777" w:rsidTr="00BB3C33">
        <w:trPr>
          <w:trHeight w:val="397"/>
        </w:trPr>
        <w:tc>
          <w:tcPr>
            <w:tcW w:w="2793" w:type="dxa"/>
            <w:vAlign w:val="center"/>
          </w:tcPr>
          <w:p w14:paraId="7E14A915" w14:textId="77777777" w:rsidR="00041414" w:rsidRPr="00BB14B4" w:rsidRDefault="00041414">
            <w:pPr>
              <w:rPr>
                <w:sz w:val="18"/>
                <w:szCs w:val="18"/>
              </w:rPr>
            </w:pPr>
            <w:r w:rsidRPr="00BB14B4">
              <w:rPr>
                <w:color w:val="000000"/>
                <w:sz w:val="18"/>
                <w:szCs w:val="18"/>
              </w:rPr>
              <w:t>Additional cost of treatment</w:t>
            </w:r>
          </w:p>
        </w:tc>
        <w:tc>
          <w:tcPr>
            <w:tcW w:w="1313" w:type="dxa"/>
            <w:vAlign w:val="center"/>
          </w:tcPr>
          <w:p w14:paraId="79A783DC" w14:textId="0A41167D" w:rsidR="00041414" w:rsidRPr="00BB14B4" w:rsidRDefault="00041414">
            <w:pPr>
              <w:rPr>
                <w:color w:val="000000"/>
                <w:sz w:val="18"/>
                <w:szCs w:val="18"/>
              </w:rPr>
            </w:pPr>
            <w:r w:rsidRPr="00BB14B4">
              <w:rPr>
                <w:color w:val="000000"/>
                <w:sz w:val="18"/>
                <w:szCs w:val="18"/>
              </w:rPr>
              <w:t>l = (j+</w:t>
            </w:r>
            <w:r w:rsidR="00675455" w:rsidRPr="00BB14B4">
              <w:rPr>
                <w:color w:val="000000"/>
                <w:sz w:val="18"/>
                <w:szCs w:val="18"/>
              </w:rPr>
              <w:t>k) *</w:t>
            </w:r>
            <w:r w:rsidRPr="00BB14B4">
              <w:rPr>
                <w:color w:val="000000"/>
                <w:sz w:val="18"/>
                <w:szCs w:val="18"/>
              </w:rPr>
              <w:t>i</w:t>
            </w:r>
          </w:p>
        </w:tc>
        <w:tc>
          <w:tcPr>
            <w:tcW w:w="1985" w:type="dxa"/>
            <w:vAlign w:val="center"/>
          </w:tcPr>
          <w:p w14:paraId="2A7A8B3B" w14:textId="77777777" w:rsidR="00041414" w:rsidRPr="00BB14B4" w:rsidRDefault="00041414">
            <w:pPr>
              <w:jc w:val="right"/>
              <w:rPr>
                <w:sz w:val="18"/>
                <w:szCs w:val="18"/>
              </w:rPr>
            </w:pPr>
            <w:r w:rsidRPr="00BB14B4">
              <w:rPr>
                <w:color w:val="000000"/>
                <w:sz w:val="18"/>
                <w:szCs w:val="18"/>
              </w:rPr>
              <w:t>NA</w:t>
            </w:r>
          </w:p>
        </w:tc>
        <w:tc>
          <w:tcPr>
            <w:tcW w:w="1631" w:type="dxa"/>
            <w:vAlign w:val="center"/>
          </w:tcPr>
          <w:p w14:paraId="3A3C1719" w14:textId="77777777" w:rsidR="00041414" w:rsidRPr="00BB14B4" w:rsidRDefault="00041414">
            <w:pPr>
              <w:jc w:val="right"/>
              <w:rPr>
                <w:sz w:val="18"/>
                <w:szCs w:val="18"/>
              </w:rPr>
            </w:pPr>
            <w:r w:rsidRPr="00BB14B4">
              <w:rPr>
                <w:sz w:val="18"/>
                <w:szCs w:val="18"/>
              </w:rPr>
              <w:t>$3,885,278</w:t>
            </w:r>
          </w:p>
        </w:tc>
        <w:tc>
          <w:tcPr>
            <w:tcW w:w="1661" w:type="dxa"/>
            <w:vAlign w:val="center"/>
          </w:tcPr>
          <w:p w14:paraId="2E4EEA8E" w14:textId="77777777" w:rsidR="00041414" w:rsidRPr="00BB14B4" w:rsidRDefault="00041414">
            <w:pPr>
              <w:jc w:val="right"/>
              <w:rPr>
                <w:sz w:val="18"/>
                <w:szCs w:val="18"/>
              </w:rPr>
            </w:pPr>
            <w:r w:rsidRPr="00BB14B4">
              <w:rPr>
                <w:color w:val="000000"/>
                <w:sz w:val="18"/>
                <w:szCs w:val="18"/>
              </w:rPr>
              <w:t>$19,163,952</w:t>
            </w:r>
          </w:p>
        </w:tc>
        <w:tc>
          <w:tcPr>
            <w:tcW w:w="2389" w:type="dxa"/>
            <w:vAlign w:val="center"/>
          </w:tcPr>
          <w:p w14:paraId="24892693" w14:textId="77777777" w:rsidR="00041414" w:rsidRPr="00BB14B4" w:rsidRDefault="00041414">
            <w:pPr>
              <w:jc w:val="right"/>
              <w:rPr>
                <w:sz w:val="18"/>
                <w:szCs w:val="18"/>
              </w:rPr>
            </w:pPr>
            <w:r w:rsidRPr="00BB14B4">
              <w:rPr>
                <w:sz w:val="18"/>
                <w:szCs w:val="18"/>
              </w:rPr>
              <w:t>NA</w:t>
            </w:r>
          </w:p>
        </w:tc>
        <w:tc>
          <w:tcPr>
            <w:tcW w:w="2182" w:type="dxa"/>
            <w:vAlign w:val="center"/>
          </w:tcPr>
          <w:p w14:paraId="3C9998D7" w14:textId="77777777" w:rsidR="00041414" w:rsidRPr="00BB14B4" w:rsidRDefault="00041414">
            <w:pPr>
              <w:jc w:val="right"/>
              <w:rPr>
                <w:sz w:val="18"/>
                <w:szCs w:val="18"/>
              </w:rPr>
            </w:pPr>
            <w:r w:rsidRPr="00BB14B4">
              <w:rPr>
                <w:sz w:val="18"/>
                <w:szCs w:val="18"/>
              </w:rPr>
              <w:t>NA</w:t>
            </w:r>
          </w:p>
        </w:tc>
      </w:tr>
      <w:tr w:rsidR="00041414" w:rsidRPr="00095B6C" w14:paraId="5DD1641C" w14:textId="77777777" w:rsidTr="00BB3C33">
        <w:trPr>
          <w:trHeight w:val="397"/>
        </w:trPr>
        <w:tc>
          <w:tcPr>
            <w:tcW w:w="2793" w:type="dxa"/>
            <w:shd w:val="clear" w:color="auto" w:fill="F2F2F2" w:themeFill="background1" w:themeFillShade="F2"/>
            <w:vAlign w:val="center"/>
          </w:tcPr>
          <w:p w14:paraId="09E43D40" w14:textId="77777777" w:rsidR="00041414" w:rsidRPr="00BB14B4" w:rsidRDefault="00041414">
            <w:pPr>
              <w:rPr>
                <w:b/>
                <w:bCs/>
                <w:sz w:val="18"/>
                <w:szCs w:val="18"/>
              </w:rPr>
            </w:pPr>
            <w:r w:rsidRPr="00BB14B4">
              <w:rPr>
                <w:b/>
                <w:bCs/>
                <w:color w:val="000000"/>
                <w:sz w:val="18"/>
                <w:szCs w:val="18"/>
              </w:rPr>
              <w:t>Total cost</w:t>
            </w:r>
          </w:p>
        </w:tc>
        <w:tc>
          <w:tcPr>
            <w:tcW w:w="1313" w:type="dxa"/>
            <w:shd w:val="clear" w:color="auto" w:fill="F2F2F2" w:themeFill="background1" w:themeFillShade="F2"/>
            <w:vAlign w:val="center"/>
          </w:tcPr>
          <w:p w14:paraId="140E6B56" w14:textId="77777777" w:rsidR="00041414" w:rsidRPr="00BB14B4" w:rsidRDefault="00041414">
            <w:pPr>
              <w:rPr>
                <w:b/>
                <w:bCs/>
                <w:color w:val="000000"/>
                <w:sz w:val="18"/>
                <w:szCs w:val="18"/>
              </w:rPr>
            </w:pPr>
            <w:r w:rsidRPr="00BB14B4">
              <w:rPr>
                <w:b/>
                <w:bCs/>
                <w:color w:val="000000"/>
                <w:sz w:val="18"/>
                <w:szCs w:val="18"/>
              </w:rPr>
              <w:t>m = h + l</w:t>
            </w:r>
          </w:p>
        </w:tc>
        <w:tc>
          <w:tcPr>
            <w:tcW w:w="1985" w:type="dxa"/>
            <w:shd w:val="clear" w:color="auto" w:fill="F2F2F2" w:themeFill="background1" w:themeFillShade="F2"/>
            <w:vAlign w:val="center"/>
          </w:tcPr>
          <w:p w14:paraId="083886BB" w14:textId="4AF27DFE" w:rsidR="00041414" w:rsidRPr="00BB14B4" w:rsidRDefault="00041414">
            <w:pPr>
              <w:jc w:val="right"/>
              <w:rPr>
                <w:b/>
                <w:bCs/>
                <w:sz w:val="18"/>
                <w:szCs w:val="18"/>
              </w:rPr>
            </w:pPr>
            <w:r w:rsidRPr="00BB14B4">
              <w:rPr>
                <w:b/>
                <w:bCs/>
                <w:color w:val="000000"/>
                <w:sz w:val="18"/>
                <w:szCs w:val="18"/>
              </w:rPr>
              <w:t>$4,</w:t>
            </w:r>
            <w:r w:rsidR="008E3CBA">
              <w:rPr>
                <w:b/>
                <w:bCs/>
                <w:color w:val="000000"/>
                <w:sz w:val="18"/>
                <w:szCs w:val="18"/>
              </w:rPr>
              <w:t>218,927,498</w:t>
            </w:r>
          </w:p>
        </w:tc>
        <w:tc>
          <w:tcPr>
            <w:tcW w:w="1631" w:type="dxa"/>
            <w:shd w:val="clear" w:color="auto" w:fill="F2F2F2" w:themeFill="background1" w:themeFillShade="F2"/>
            <w:vAlign w:val="center"/>
          </w:tcPr>
          <w:p w14:paraId="7B956828" w14:textId="53D8506A" w:rsidR="00041414" w:rsidRPr="00BB14B4" w:rsidRDefault="00041414">
            <w:pPr>
              <w:jc w:val="right"/>
              <w:rPr>
                <w:b/>
                <w:bCs/>
                <w:sz w:val="18"/>
                <w:szCs w:val="18"/>
              </w:rPr>
            </w:pPr>
            <w:r w:rsidRPr="00BB14B4">
              <w:rPr>
                <w:b/>
                <w:bCs/>
                <w:sz w:val="18"/>
                <w:szCs w:val="18"/>
              </w:rPr>
              <w:t>$4,</w:t>
            </w:r>
            <w:r w:rsidR="008E3CBA">
              <w:rPr>
                <w:b/>
                <w:bCs/>
                <w:sz w:val="18"/>
                <w:szCs w:val="18"/>
              </w:rPr>
              <w:t>100,508,777</w:t>
            </w:r>
          </w:p>
        </w:tc>
        <w:tc>
          <w:tcPr>
            <w:tcW w:w="1661" w:type="dxa"/>
            <w:shd w:val="clear" w:color="auto" w:fill="F2F2F2" w:themeFill="background1" w:themeFillShade="F2"/>
            <w:vAlign w:val="center"/>
          </w:tcPr>
          <w:p w14:paraId="2DC9B786" w14:textId="2C91D5DD" w:rsidR="00041414" w:rsidRPr="00BB14B4" w:rsidRDefault="00041414">
            <w:pPr>
              <w:jc w:val="right"/>
              <w:rPr>
                <w:b/>
                <w:bCs/>
                <w:color w:val="000000"/>
                <w:sz w:val="18"/>
                <w:szCs w:val="18"/>
              </w:rPr>
            </w:pPr>
            <w:r w:rsidRPr="00BB14B4">
              <w:rPr>
                <w:b/>
                <w:bCs/>
                <w:color w:val="000000"/>
                <w:sz w:val="18"/>
                <w:szCs w:val="18"/>
              </w:rPr>
              <w:t>$3,</w:t>
            </w:r>
            <w:r w:rsidR="008E3CBA">
              <w:rPr>
                <w:b/>
                <w:bCs/>
                <w:color w:val="000000"/>
                <w:sz w:val="18"/>
                <w:szCs w:val="18"/>
              </w:rPr>
              <w:t>700,490,364</w:t>
            </w:r>
          </w:p>
        </w:tc>
        <w:tc>
          <w:tcPr>
            <w:tcW w:w="2389" w:type="dxa"/>
            <w:shd w:val="clear" w:color="auto" w:fill="F2F2F2" w:themeFill="background1" w:themeFillShade="F2"/>
            <w:vAlign w:val="center"/>
          </w:tcPr>
          <w:p w14:paraId="2E926639" w14:textId="60813BDE" w:rsidR="00041414" w:rsidRPr="00BB14B4" w:rsidRDefault="00041414">
            <w:pPr>
              <w:jc w:val="right"/>
              <w:rPr>
                <w:b/>
                <w:bCs/>
                <w:sz w:val="18"/>
                <w:szCs w:val="18"/>
              </w:rPr>
            </w:pPr>
            <w:r w:rsidRPr="00BB14B4">
              <w:rPr>
                <w:b/>
                <w:bCs/>
                <w:color w:val="000000"/>
                <w:sz w:val="18"/>
                <w:szCs w:val="18"/>
              </w:rPr>
              <w:t>$</w:t>
            </w:r>
            <w:r w:rsidR="008E3CBA">
              <w:rPr>
                <w:b/>
                <w:bCs/>
                <w:color w:val="000000"/>
                <w:sz w:val="18"/>
                <w:szCs w:val="18"/>
              </w:rPr>
              <w:t>118,418,721</w:t>
            </w:r>
            <w:r w:rsidRPr="00BB14B4">
              <w:rPr>
                <w:b/>
                <w:bCs/>
                <w:color w:val="000000"/>
                <w:sz w:val="18"/>
                <w:szCs w:val="18"/>
              </w:rPr>
              <w:t xml:space="preserve"> (2.</w:t>
            </w:r>
            <w:r w:rsidR="008E3CBA">
              <w:rPr>
                <w:b/>
                <w:bCs/>
                <w:color w:val="000000"/>
                <w:sz w:val="18"/>
                <w:szCs w:val="18"/>
              </w:rPr>
              <w:t>81</w:t>
            </w:r>
            <w:r w:rsidRPr="00BB14B4">
              <w:rPr>
                <w:b/>
                <w:bCs/>
                <w:color w:val="000000"/>
                <w:sz w:val="18"/>
                <w:szCs w:val="18"/>
              </w:rPr>
              <w:t>)</w:t>
            </w:r>
          </w:p>
        </w:tc>
        <w:tc>
          <w:tcPr>
            <w:tcW w:w="2182" w:type="dxa"/>
            <w:shd w:val="clear" w:color="auto" w:fill="F2F2F2" w:themeFill="background1" w:themeFillShade="F2"/>
            <w:vAlign w:val="center"/>
          </w:tcPr>
          <w:p w14:paraId="41686AAE" w14:textId="05FECA39" w:rsidR="00041414" w:rsidRPr="00BB14B4" w:rsidRDefault="00041414">
            <w:pPr>
              <w:jc w:val="right"/>
              <w:rPr>
                <w:b/>
                <w:bCs/>
                <w:color w:val="000000"/>
                <w:sz w:val="18"/>
                <w:szCs w:val="18"/>
              </w:rPr>
            </w:pPr>
            <w:r w:rsidRPr="00BB14B4">
              <w:rPr>
                <w:b/>
                <w:bCs/>
                <w:color w:val="000000"/>
                <w:sz w:val="18"/>
                <w:szCs w:val="18"/>
              </w:rPr>
              <w:t>$</w:t>
            </w:r>
            <w:r w:rsidR="008E3CBA">
              <w:rPr>
                <w:b/>
                <w:bCs/>
                <w:color w:val="000000"/>
                <w:sz w:val="18"/>
                <w:szCs w:val="18"/>
              </w:rPr>
              <w:t>518,437,134</w:t>
            </w:r>
            <w:r w:rsidRPr="00BB14B4">
              <w:rPr>
                <w:b/>
                <w:bCs/>
                <w:color w:val="000000"/>
                <w:sz w:val="18"/>
                <w:szCs w:val="18"/>
              </w:rPr>
              <w:t xml:space="preserve"> (12.</w:t>
            </w:r>
            <w:r w:rsidR="008E3CBA">
              <w:rPr>
                <w:b/>
                <w:bCs/>
                <w:color w:val="000000"/>
                <w:sz w:val="18"/>
                <w:szCs w:val="18"/>
              </w:rPr>
              <w:t>29</w:t>
            </w:r>
            <w:r w:rsidRPr="00BB14B4">
              <w:rPr>
                <w:b/>
                <w:bCs/>
                <w:color w:val="000000"/>
                <w:sz w:val="18"/>
                <w:szCs w:val="18"/>
              </w:rPr>
              <w:t>)</w:t>
            </w:r>
          </w:p>
        </w:tc>
      </w:tr>
    </w:tbl>
    <w:p w14:paraId="06BA0347" w14:textId="77777777" w:rsidR="00041414" w:rsidRDefault="00041414" w:rsidP="00135DF0">
      <w:pPr>
        <w:spacing w:line="360" w:lineRule="auto"/>
        <w:rPr>
          <w:color w:val="000000"/>
          <w:sz w:val="20"/>
          <w:szCs w:val="20"/>
        </w:rPr>
        <w:sectPr w:rsidR="00041414" w:rsidSect="00D82048">
          <w:pgSz w:w="16834" w:h="11909" w:orient="landscape"/>
          <w:pgMar w:top="1440" w:right="1440" w:bottom="1440" w:left="1440" w:header="720" w:footer="720" w:gutter="0"/>
          <w:cols w:space="720"/>
          <w:docGrid w:linePitch="299"/>
        </w:sectPr>
      </w:pPr>
    </w:p>
    <w:p w14:paraId="22CE0B7C" w14:textId="28416483" w:rsidR="006F418B" w:rsidRDefault="006F418B" w:rsidP="00657824">
      <w:pPr>
        <w:pStyle w:val="Heading2"/>
      </w:pPr>
      <w:bookmarkStart w:id="560" w:name="_Toc207196014"/>
      <w:r>
        <w:t xml:space="preserve">Strengths and </w:t>
      </w:r>
      <w:r w:rsidR="006F1A3E">
        <w:t>l</w:t>
      </w:r>
      <w:r>
        <w:t xml:space="preserve">imitations of the </w:t>
      </w:r>
      <w:r w:rsidR="006F1A3E">
        <w:t>e</w:t>
      </w:r>
      <w:r>
        <w:t xml:space="preserve">valuation of </w:t>
      </w:r>
      <w:r w:rsidR="006F1A3E">
        <w:t>p</w:t>
      </w:r>
      <w:r>
        <w:t xml:space="preserve">olicy </w:t>
      </w:r>
      <w:r w:rsidR="006F1A3E">
        <w:t>o</w:t>
      </w:r>
      <w:r>
        <w:t>ption</w:t>
      </w:r>
      <w:r w:rsidR="00BB14B4">
        <w:t xml:space="preserve"> </w:t>
      </w:r>
      <w:r w:rsidR="006F1A3E">
        <w:t>e</w:t>
      </w:r>
      <w:r w:rsidR="00BB14B4">
        <w:t>valuation</w:t>
      </w:r>
      <w:bookmarkEnd w:id="560"/>
    </w:p>
    <w:p w14:paraId="220DEE24" w14:textId="77777777" w:rsidR="00FB7151" w:rsidRDefault="00FB7151" w:rsidP="00135DF0">
      <w:pPr>
        <w:spacing w:line="360" w:lineRule="auto"/>
      </w:pPr>
    </w:p>
    <w:p w14:paraId="0D4CAEA2" w14:textId="35319B1C" w:rsidR="006F418B" w:rsidRDefault="006F418B" w:rsidP="00135DF0">
      <w:pPr>
        <w:spacing w:line="360" w:lineRule="auto"/>
      </w:pPr>
      <w:r>
        <w:t>This study has estimated the potential impact of several policy interventions on gambling-related harm costs in New Zealand, including their differential effects across population groups. However, it is important to acknowledge that these evaluations are constrained by data gaps, and several assumptions were required.</w:t>
      </w:r>
      <w:r w:rsidR="00DB20DD">
        <w:t xml:space="preserve"> </w:t>
      </w:r>
      <w:r>
        <w:t xml:space="preserve">In most cases, a uniform cost reduction across all cost forms including excess spend, harms to people who gamble and harms to others was applied. The distribution of expenditure on EGMs, and the potential effect of treatment for high-risk people who gamble was also estimated. </w:t>
      </w:r>
      <w:r w:rsidR="007E2492">
        <w:t>A</w:t>
      </w:r>
      <w:r>
        <w:t xml:space="preserve"> 1:1 ratio between gambling expenditure and harm</w:t>
      </w:r>
      <w:r w:rsidR="007E2492">
        <w:t xml:space="preserve"> was assumed</w:t>
      </w:r>
      <w:r>
        <w:t>. Whilst these assumptions likely do not capture the true variability in these measures, they were essential given the evidence gaps, and they likely result in an underestimation of projected impact.</w:t>
      </w:r>
    </w:p>
    <w:p w14:paraId="51D43C3D" w14:textId="77777777" w:rsidR="006F418B" w:rsidRDefault="006F418B" w:rsidP="00135DF0">
      <w:pPr>
        <w:spacing w:line="360" w:lineRule="auto"/>
      </w:pPr>
    </w:p>
    <w:p w14:paraId="5617E3A0" w14:textId="4C339339" w:rsidR="006F418B" w:rsidRDefault="00DB20DD" w:rsidP="00135DF0">
      <w:pPr>
        <w:spacing w:line="360" w:lineRule="auto"/>
      </w:pPr>
      <w:r>
        <w:t>T</w:t>
      </w:r>
      <w:r w:rsidR="006F418B">
        <w:t xml:space="preserve">hese evaluations do not account for the dynamic complexities of the gambling system, including potential behavioural responses from both individuals who gamble and the industry following policy implementation. </w:t>
      </w:r>
      <w:sdt>
        <w:sdtPr>
          <w:tag w:val="goog_rdk_7"/>
          <w:id w:val="-558937718"/>
        </w:sdtPr>
        <w:sdtEndPr/>
        <w:sdtContent/>
      </w:sdt>
      <w:r w:rsidR="006F418B">
        <w:t>Reductions in cost attributable to specific forms apply only to tangible costs and therefore do not account for additional harms such as longer-term life course harms. As such, these estimates should be viewed as indicative rather than definitive. They offer a starting point for understanding policy options available to reduce gambling harm in New Zealand. More accurate estimates</w:t>
      </w:r>
      <w:sdt>
        <w:sdtPr>
          <w:tag w:val="goog_rdk_8"/>
          <w:id w:val="1111946608"/>
        </w:sdtPr>
        <w:sdtEndPr/>
        <w:sdtContent/>
      </w:sdt>
      <w:r w:rsidR="006F418B">
        <w:t xml:space="preserve">, including an understanding of longer-term impact, would require additional data to support a more sophisticated modelling approach. </w:t>
      </w:r>
    </w:p>
    <w:p w14:paraId="6D844771" w14:textId="77777777" w:rsidR="006F418B" w:rsidRDefault="006F418B" w:rsidP="00135DF0">
      <w:pPr>
        <w:spacing w:line="360" w:lineRule="auto"/>
      </w:pPr>
    </w:p>
    <w:p w14:paraId="06B59D7C" w14:textId="3D9A49A5" w:rsidR="006F418B" w:rsidRDefault="006F418B" w:rsidP="00135DF0">
      <w:pPr>
        <w:spacing w:line="360" w:lineRule="auto"/>
      </w:pPr>
      <w:r>
        <w:t>Public health economic models can estimate policy impacts, including longer-term impacts. They have been used extensively in other areas of public health including in the modelling of alcohol and tobacco policies and interventions</w:t>
      </w:r>
      <w:r w:rsidR="00A42502">
        <w:t xml:space="preserve"> (Brennan et al., 2015; Hoang et al., 2016; Singh et al., 202</w:t>
      </w:r>
      <w:r w:rsidR="00C17440">
        <w:t>1</w:t>
      </w:r>
      <w:r w:rsidR="00A42502">
        <w:t>).</w:t>
      </w:r>
      <w:r>
        <w:t xml:space="preserve"> However, they usually require large amounts of data and can take years to develop and </w:t>
      </w:r>
      <w:r w:rsidRPr="00DD3B11">
        <w:t>validate. Improved</w:t>
      </w:r>
      <w:r>
        <w:t xml:space="preserve"> data collection efforts could enable the development of such models in New Zealand. </w:t>
      </w:r>
      <w:r w:rsidRPr="00084FC2">
        <w:t>Additionally, any policy implementation should be accompanied by a full evaluation, with results used to inform public health economic models for estimating longer-term impacts</w:t>
      </w:r>
      <w:r w:rsidR="004D5309">
        <w:t xml:space="preserve">. </w:t>
      </w:r>
      <w:r w:rsidR="004D5309" w:rsidRPr="004D5309">
        <w:t xml:space="preserve">Future research should prioritize filling these data gaps and developing more sophisticated models to capture </w:t>
      </w:r>
      <w:r w:rsidR="004D5309">
        <w:t xml:space="preserve">population </w:t>
      </w:r>
      <w:r w:rsidR="004D5309" w:rsidRPr="004D5309">
        <w:t>behavioural responses and industry adaptations to policy changes.</w:t>
      </w:r>
    </w:p>
    <w:p w14:paraId="75300579" w14:textId="50DC84EE" w:rsidR="00DB689D" w:rsidRDefault="00310A10" w:rsidP="00367A8D">
      <w:pPr>
        <w:pStyle w:val="Heading1"/>
        <w:spacing w:line="360" w:lineRule="auto"/>
      </w:pPr>
      <w:bookmarkStart w:id="561" w:name="_telv0sqgwwcm" w:colFirst="0" w:colLast="0"/>
      <w:bookmarkStart w:id="562" w:name="_5dbzxtt4utl7" w:colFirst="0" w:colLast="0"/>
      <w:bookmarkStart w:id="563" w:name="_edrkbzb1vh" w:colFirst="0" w:colLast="0"/>
      <w:bookmarkStart w:id="564" w:name="_uda40lcw1vz0" w:colFirst="0" w:colLast="0"/>
      <w:bookmarkStart w:id="565" w:name="_2qzmx99lzcmj" w:colFirst="0" w:colLast="0"/>
      <w:bookmarkStart w:id="566" w:name="_to43a4xfj5yg" w:colFirst="0" w:colLast="0"/>
      <w:bookmarkStart w:id="567" w:name="_beddxkk7bq4b" w:colFirst="0" w:colLast="0"/>
      <w:bookmarkStart w:id="568" w:name="_5fe9a9713uko" w:colFirst="0" w:colLast="0"/>
      <w:bookmarkStart w:id="569" w:name="_Toc201572482"/>
      <w:bookmarkStart w:id="570" w:name="_Toc207196015"/>
      <w:bookmarkEnd w:id="519"/>
      <w:bookmarkEnd w:id="561"/>
      <w:bookmarkEnd w:id="562"/>
      <w:bookmarkEnd w:id="563"/>
      <w:bookmarkEnd w:id="564"/>
      <w:bookmarkEnd w:id="565"/>
      <w:bookmarkEnd w:id="566"/>
      <w:bookmarkEnd w:id="567"/>
      <w:bookmarkEnd w:id="568"/>
      <w:r>
        <w:t>Discussion</w:t>
      </w:r>
      <w:bookmarkEnd w:id="569"/>
      <w:bookmarkEnd w:id="570"/>
    </w:p>
    <w:p w14:paraId="4E4EF748" w14:textId="40A45C44" w:rsidR="00DB689D" w:rsidRDefault="00310A10" w:rsidP="00367A8D">
      <w:pPr>
        <w:spacing w:line="360" w:lineRule="auto"/>
      </w:pPr>
      <w:r>
        <w:t xml:space="preserve">This study aimed to provide a comprehensive assessment of the economic and social costs associated with gambling harm in Aotearoa New Zealand for the 2023-24 period. Recognising the significant impact of gambling harm on individuals, </w:t>
      </w:r>
      <w:r w:rsidRPr="00134B05">
        <w:t>whānau</w:t>
      </w:r>
      <w:r>
        <w:t xml:space="preserve">, and communities, the analysis sought to quantify these effects by integrating both tangible and intangible costs. The scope included estimating the distribution of costs across different cost categories among various bearers (individuals who gamble, affected others, and the wider community/government), and specifically for Māori and Pacific communities who experience disproportionate harm. A central finding of this research is the substantial scale of these impacts, with the total estimated social cost of gambling harm in </w:t>
      </w:r>
      <w:r w:rsidR="0056494A">
        <w:t xml:space="preserve">Aotearoa </w:t>
      </w:r>
      <w:r>
        <w:t>New Zealand calculated at $4.</w:t>
      </w:r>
      <w:r w:rsidR="009C0E58">
        <w:t xml:space="preserve">219 </w:t>
      </w:r>
      <w:r>
        <w:t>billion for 2023-24. This headline figure provides context for the following discussion, which will review the key drivers of this cost, its distribution, methodological considerations, and implications for future policy and research.</w:t>
      </w:r>
    </w:p>
    <w:p w14:paraId="46715674" w14:textId="1C8CB1CE" w:rsidR="00DB689D" w:rsidRDefault="00310A10" w:rsidP="00657824">
      <w:pPr>
        <w:pStyle w:val="Heading2"/>
      </w:pPr>
      <w:bookmarkStart w:id="571" w:name="_tmmvnm7m58ee" w:colFirst="0" w:colLast="0"/>
      <w:bookmarkStart w:id="572" w:name="_Toc201572483"/>
      <w:bookmarkStart w:id="573" w:name="_Toc207196016"/>
      <w:bookmarkEnd w:id="571"/>
      <w:r>
        <w:t xml:space="preserve">Key </w:t>
      </w:r>
      <w:r w:rsidR="006F1A3E">
        <w:t>c</w:t>
      </w:r>
      <w:r>
        <w:t xml:space="preserve">ost </w:t>
      </w:r>
      <w:r w:rsidR="006F1A3E">
        <w:t>d</w:t>
      </w:r>
      <w:r>
        <w:t>rivers</w:t>
      </w:r>
      <w:bookmarkEnd w:id="572"/>
      <w:bookmarkEnd w:id="573"/>
    </w:p>
    <w:p w14:paraId="050E7D0E" w14:textId="7E5F67FF" w:rsidR="00DB689D" w:rsidRDefault="00310A10" w:rsidP="00367A8D">
      <w:pPr>
        <w:spacing w:line="360" w:lineRule="auto"/>
      </w:pPr>
      <w:r>
        <w:t>The total estimated social cost of $4.</w:t>
      </w:r>
      <w:r w:rsidR="009C0E58">
        <w:t xml:space="preserve">219 </w:t>
      </w:r>
      <w:r>
        <w:t xml:space="preserve">billion is driven primarily by two major categories: </w:t>
      </w:r>
      <w:r w:rsidR="00DB20DD">
        <w:t>h</w:t>
      </w:r>
      <w:r>
        <w:t xml:space="preserve">ealth impacts and </w:t>
      </w:r>
      <w:r w:rsidR="00DB20DD">
        <w:t>financial</w:t>
      </w:r>
      <w:r>
        <w:t xml:space="preserve"> impacts. Health-related costs account for nearly half of the total burden, estimated at approximately $2.043 billion. The large majority of this health impact stems from the intangible costs associated with decrements in HRQoL, totalling $1.68 billion. This highlights the profound, though often hidden, effect of gambling harm on wellbeing. Notably, this HRQoL impact is almost evenly split between the individuals who gamble ($830.6 million) and their affected others ($852.2 million), underscoring the significant burden carried by those close to the person experiencing gambling problems. </w:t>
      </w:r>
    </w:p>
    <w:p w14:paraId="17E03E8E" w14:textId="77777777" w:rsidR="00DB689D" w:rsidRDefault="00DB689D" w:rsidP="00367A8D">
      <w:pPr>
        <w:spacing w:line="360" w:lineRule="auto"/>
      </w:pPr>
    </w:p>
    <w:p w14:paraId="10CC9778" w14:textId="2795E2C6" w:rsidR="00DB689D" w:rsidRDefault="00310A10" w:rsidP="00367A8D">
      <w:pPr>
        <w:spacing w:line="360" w:lineRule="auto"/>
      </w:pPr>
      <w:r>
        <w:t xml:space="preserve">The second-largest category, </w:t>
      </w:r>
      <w:r w:rsidR="00870D31">
        <w:t>f</w:t>
      </w:r>
      <w:r>
        <w:t>inancial impacts, contributes approximately $1.</w:t>
      </w:r>
      <w:r w:rsidR="003348D5">
        <w:t xml:space="preserve">192 </w:t>
      </w:r>
      <w:r>
        <w:t>billion (</w:t>
      </w:r>
      <w:r w:rsidR="003348D5">
        <w:t>28.3</w:t>
      </w:r>
      <w:r>
        <w:t xml:space="preserve">%) to the total cost. This is predominantly driven by the opportunity cost associated with excess gambling expenditure, calculated at $1.192 billion. This specific cost represents the estimated value of money spent on gambling by individuals experiencing harm, beyond rational </w:t>
      </w:r>
      <w:r w:rsidR="00A91E61">
        <w:t>expenditure,</w:t>
      </w:r>
      <w:r>
        <w:t xml:space="preserve"> i.e., the typical recreational spending by people categorised as non-problem gambling. It reflects the lost utility that would have been gained had these funds been spent on other category necessary or beneficial economic consumption. These two components – HRQoL decrements and the opportunity cost of excess spend – represent the most substantial drivers of the overall social cost of gambling identified in this study.</w:t>
      </w:r>
    </w:p>
    <w:p w14:paraId="13DB8DD2" w14:textId="3C298385" w:rsidR="00DB689D" w:rsidRDefault="00310A10" w:rsidP="00657824">
      <w:pPr>
        <w:pStyle w:val="Heading2"/>
      </w:pPr>
      <w:bookmarkStart w:id="574" w:name="_nzynlas3zw8v" w:colFirst="0" w:colLast="0"/>
      <w:bookmarkStart w:id="575" w:name="_Toc201572484"/>
      <w:bookmarkStart w:id="576" w:name="_Toc207196017"/>
      <w:bookmarkEnd w:id="574"/>
      <w:r>
        <w:t xml:space="preserve">Distribution of </w:t>
      </w:r>
      <w:r w:rsidR="006F1A3E">
        <w:t>c</w:t>
      </w:r>
      <w:r>
        <w:t>osts</w:t>
      </w:r>
      <w:bookmarkEnd w:id="575"/>
      <w:bookmarkEnd w:id="576"/>
    </w:p>
    <w:p w14:paraId="68DC5FBE" w14:textId="0D95F387" w:rsidR="00DB689D" w:rsidRDefault="00310A10" w:rsidP="00367A8D">
      <w:pPr>
        <w:spacing w:line="360" w:lineRule="auto"/>
      </w:pPr>
      <w:r>
        <w:t>The economic burden of gambling is spread across several groups, with individuals who gamble bearing the largest single share (</w:t>
      </w:r>
      <w:r w:rsidR="00B074A5">
        <w:t>4</w:t>
      </w:r>
      <w:r w:rsidR="003348D5">
        <w:t>3.5</w:t>
      </w:r>
      <w:r>
        <w:t xml:space="preserve">% or $1.84 billion). However, a very significant proportion is also borne by affected others (family, </w:t>
      </w:r>
      <w:r w:rsidRPr="00134B05">
        <w:t>whānau</w:t>
      </w:r>
      <w:r>
        <w:t>, friends, and community members), who shoulder approximately 33.</w:t>
      </w:r>
      <w:r w:rsidR="003348D5">
        <w:t>8</w:t>
      </w:r>
      <w:r>
        <w:t xml:space="preserve">% ($1.43 billion) of the total cost. The remaining </w:t>
      </w:r>
      <w:r w:rsidR="003348D5">
        <w:t>22.7</w:t>
      </w:r>
      <w:r>
        <w:t>% ($</w:t>
      </w:r>
      <w:r w:rsidR="003348D5">
        <w:t>0.96</w:t>
      </w:r>
      <w:r>
        <w:t xml:space="preserve"> billion) falls upon the wider community, businesses, and government. </w:t>
      </w:r>
    </w:p>
    <w:p w14:paraId="6951ED8A" w14:textId="77777777" w:rsidR="00DB689D" w:rsidRDefault="00310A10" w:rsidP="00367A8D">
      <w:pPr>
        <w:spacing w:line="360" w:lineRule="auto"/>
      </w:pPr>
      <w:r>
        <w:t xml:space="preserve">These costs should be interpreted in the context of differing distribution patterns of gambling's economic benefits versus its social costs. Economic benefits, such as industry activity (employment, venue operations), tax revenue, and potential consumer surplus for non-problem gambling, are distributed broadly. Conversely, the social costs identified in this study, particularly intangible health and wellbeing impacts, are largely externalised and concentrated on a smaller population segment comprising individuals experiencing gambling problems and those around them. This difference in distribution provides a rationale for assessing the social costs of gambling separately from generalised economic benefits.   </w:t>
      </w:r>
    </w:p>
    <w:p w14:paraId="0712A818" w14:textId="77777777" w:rsidR="00DB689D" w:rsidRDefault="00DB689D" w:rsidP="00367A8D">
      <w:pPr>
        <w:spacing w:line="360" w:lineRule="auto"/>
      </w:pPr>
    </w:p>
    <w:p w14:paraId="71C755D7" w14:textId="0389D270" w:rsidR="00DB689D" w:rsidRDefault="00310A10" w:rsidP="00367A8D">
      <w:pPr>
        <w:spacing w:line="360" w:lineRule="auto"/>
      </w:pPr>
      <w:r>
        <w:t>When analysing the costs attributed to specific gambling forms, EGMs are overwhelmingly the primary drivers of harm costs. Offshore online EGMs</w:t>
      </w:r>
      <w:r w:rsidR="001F6A7C">
        <w:t xml:space="preserve"> (as distinct from other offshore online gambling such as offshore online casino games, sports betting, esports betting and lotteries)</w:t>
      </w:r>
      <w:r>
        <w:t xml:space="preserve"> account for an estimated $1.</w:t>
      </w:r>
      <w:r w:rsidR="003348D5">
        <w:t xml:space="preserve">57 </w:t>
      </w:r>
      <w:r>
        <w:t>billion, and venue-based EGMs contribute approximately $98</w:t>
      </w:r>
      <w:r w:rsidR="003348D5">
        <w:t>4</w:t>
      </w:r>
      <w:r>
        <w:t xml:space="preserve"> million. Combined, these EGM activities are responsible for 63.5% of all form-attributable gambling harm costs. This aligns strongly with feedback received during Community Consultations, which identified offshore online gambling as a principal area of concern.  </w:t>
      </w:r>
    </w:p>
    <w:p w14:paraId="073510FF" w14:textId="77777777" w:rsidR="00DB689D" w:rsidRDefault="00DB689D" w:rsidP="00367A8D">
      <w:pPr>
        <w:spacing w:line="360" w:lineRule="auto"/>
      </w:pPr>
    </w:p>
    <w:p w14:paraId="19D9ABBB" w14:textId="094BD820" w:rsidR="00DB689D" w:rsidRDefault="00310A10" w:rsidP="00367A8D">
      <w:pPr>
        <w:spacing w:line="360" w:lineRule="auto"/>
      </w:pPr>
      <w:r>
        <w:t>Offshore online gambling presents a substantial and disproportionate burden on New Zealand, with social costs nearing $2 billion in 2023/24 - primarily driven by online. This economic drain occurs with minimal local benefits like employment, and a significant portion of gambling industry revenue stems from harmful 'excess spend' rather than recreational enjoyment. Individuals engaging with offshore platforms face a higher risk of problem gambling due to factors like 24/7 accessibility and aggressive marketing, as supported by findings from the Community Consultation. Crucially, addressing harms from offshore gambling would likely not disrupt the domestic industry; rather, it could protect it from competition and ensure player protection, making it a prime area for policy intervention.</w:t>
      </w:r>
    </w:p>
    <w:p w14:paraId="4E9DD509" w14:textId="77777777" w:rsidR="00DB689D" w:rsidRDefault="00DB689D" w:rsidP="00367A8D">
      <w:pPr>
        <w:spacing w:line="360" w:lineRule="auto"/>
      </w:pPr>
    </w:p>
    <w:p w14:paraId="1802ABA4" w14:textId="73DA2A0A" w:rsidR="00DB689D" w:rsidRDefault="00310A10" w:rsidP="00367A8D">
      <w:pPr>
        <w:spacing w:line="360" w:lineRule="auto"/>
      </w:pPr>
      <w:r>
        <w:t xml:space="preserve">A critical finding in the New Zealand context is the inequitable distribution of gambling harm costs across cultural groups. Māori experience a disproportionately high share of the burden, accounting for 31.5% of gambling problems despite representing 15.0% of the </w:t>
      </w:r>
      <w:r w:rsidR="00B717AF">
        <w:t>population and</w:t>
      </w:r>
      <w:r>
        <w:t xml:space="preserve"> bearing an estimated cost of $1.</w:t>
      </w:r>
      <w:r w:rsidR="003348D5">
        <w:t xml:space="preserve">33 </w:t>
      </w:r>
      <w:r>
        <w:t>billion. Similarly, Pacific peoples account for 10.9% of gambling problems compared to their 6.4% share of the population, bearing an estimated cost of $</w:t>
      </w:r>
      <w:r w:rsidR="003348D5">
        <w:t xml:space="preserve">460 </w:t>
      </w:r>
      <w:r>
        <w:t>million. While this analysis highlights significant disparities based on problem prevalence, it is important to acknowledge the limitations in quantifying the unique nature and full extent of cultural harms due to current data constraints.</w:t>
      </w:r>
    </w:p>
    <w:p w14:paraId="397F5F3C" w14:textId="41B99981" w:rsidR="00DB689D" w:rsidRDefault="00310A10" w:rsidP="00657824">
      <w:pPr>
        <w:pStyle w:val="Heading2"/>
      </w:pPr>
      <w:bookmarkStart w:id="577" w:name="_b3vcfbwyv68y" w:colFirst="0" w:colLast="0"/>
      <w:bookmarkStart w:id="578" w:name="_Toc201572485"/>
      <w:bookmarkStart w:id="579" w:name="_Toc207196018"/>
      <w:bookmarkEnd w:id="577"/>
      <w:r>
        <w:t xml:space="preserve">Methodological </w:t>
      </w:r>
      <w:r w:rsidR="006F1A3E">
        <w:t>c</w:t>
      </w:r>
      <w:r>
        <w:t xml:space="preserve">onsiderations &amp; </w:t>
      </w:r>
      <w:r w:rsidR="006F1A3E">
        <w:t>l</w:t>
      </w:r>
      <w:r>
        <w:t>imitations</w:t>
      </w:r>
      <w:bookmarkEnd w:id="578"/>
      <w:bookmarkEnd w:id="579"/>
    </w:p>
    <w:p w14:paraId="66756486" w14:textId="77777777" w:rsidR="00DB689D" w:rsidRDefault="00310A10" w:rsidP="00367A8D">
      <w:pPr>
        <w:spacing w:line="360" w:lineRule="auto"/>
      </w:pPr>
      <w:r>
        <w:t>As with any complex economic costing exercise, particularly one addressing multifaceted social issues like gambling harm, certain limitations and uncertainties exist. Firstly, it is important to reiterate that this study focuses exclusively on estimating the costs associated with gambling harm in New Zealand. It does not attempt to quantify the potential economic benefits of the gambling industry nor the recreational consumer surplus that may be experienced by people classified as non-problem gambling. As discussed previously, this focus on costs is justified by the observed pattern where the costs of harm are highly concentrated, while economic and recreational benefits are more broadly distributed across the population.</w:t>
      </w:r>
    </w:p>
    <w:p w14:paraId="409E5FD1" w14:textId="77777777" w:rsidR="00DB689D" w:rsidRDefault="00DB689D" w:rsidP="00367A8D">
      <w:pPr>
        <w:spacing w:line="360" w:lineRule="auto"/>
      </w:pPr>
    </w:p>
    <w:p w14:paraId="16CEA76D" w14:textId="6BCAFF1F" w:rsidR="00DB689D" w:rsidRDefault="00310A10" w:rsidP="00367A8D">
      <w:pPr>
        <w:spacing w:line="360" w:lineRule="auto"/>
      </w:pPr>
      <w:r>
        <w:t xml:space="preserve">It's important to acknowledge that a number of our foundational estimates rely on the 2017 'Measuring the Burden of Gambling Harm in New Zealand' study </w:t>
      </w:r>
      <w:r w:rsidR="00DB2449">
        <w:rPr>
          <w:noProof/>
          <w:color w:val="000000"/>
        </w:rPr>
        <w:t>(</w:t>
      </w:r>
      <w:r w:rsidR="002A3095">
        <w:rPr>
          <w:noProof/>
          <w:color w:val="000000"/>
        </w:rPr>
        <w:t>Browne, Greer et al., 2017</w:t>
      </w:r>
      <w:r w:rsidR="00DB2449">
        <w:rPr>
          <w:noProof/>
          <w:color w:val="000000"/>
        </w:rPr>
        <w:t>)</w:t>
      </w:r>
      <w:r>
        <w:t xml:space="preserve">. While comprehensive, the survey of harms, from which specific harm prevalences were derived, was based on an online panel rather than a strictly representative population sample. Furthermore, when segmenting the survey data to create profiles for different gambling risk categories, the number of individuals was relatively modest for detailed subgroup analysis (314 people reporting gambling problems and harms). </w:t>
      </w:r>
    </w:p>
    <w:p w14:paraId="10F9B38D" w14:textId="65AA332F" w:rsidR="00DB689D" w:rsidRPr="003348D5" w:rsidRDefault="00FA5350" w:rsidP="00BB3C33">
      <w:pPr>
        <w:pStyle w:val="NormalWeb"/>
        <w:spacing w:line="360" w:lineRule="auto"/>
      </w:pPr>
      <w:r w:rsidRPr="003348D5">
        <w:t>While findings from Australian jurisdictions provide a useful point of comparison, it is important to acknowledge a major structural difference between the two markets. In Australia, online casinos (including products like online EGMs) are illegal. This prohibition has fostered a</w:t>
      </w:r>
      <w:r w:rsidR="008B6AF0" w:rsidRPr="00BB3C33">
        <w:rPr>
          <w:rFonts w:eastAsia="Arial"/>
        </w:rPr>
        <w:t>n</w:t>
      </w:r>
      <w:r w:rsidRPr="003348D5">
        <w:t xml:space="preserve"> illegal ‘black market’ that operates outside of regulatory controls</w:t>
      </w:r>
      <w:r w:rsidR="008B6AF0" w:rsidRPr="00BB3C33">
        <w:rPr>
          <w:rFonts w:eastAsia="Arial"/>
        </w:rPr>
        <w:t xml:space="preserve">. This black market, </w:t>
      </w:r>
      <w:r w:rsidR="008B6AF0" w:rsidRPr="00BB3C33">
        <w:rPr>
          <w:rFonts w:eastAsia="Arial"/>
          <w:lang w:eastAsia="en-GB"/>
        </w:rPr>
        <w:t xml:space="preserve">comprising completely unregulated and unlicenced operators, differs from the ‘grey market’, </w:t>
      </w:r>
      <w:r w:rsidR="008B6AF0" w:rsidRPr="003348D5">
        <w:t>which involves operators licensed in a different country outside of Australia</w:t>
      </w:r>
      <w:r w:rsidR="008B6AF0" w:rsidRPr="00BB3C33">
        <w:rPr>
          <w:rFonts w:eastAsia="Arial"/>
          <w:lang w:eastAsia="en-GB"/>
        </w:rPr>
        <w:t xml:space="preserve"> (H2, 2023).</w:t>
      </w:r>
      <w:r w:rsidRPr="003348D5">
        <w:t xml:space="preserve"> Recent market analysis </w:t>
      </w:r>
      <w:r w:rsidR="008B6AF0" w:rsidRPr="00BB3C33">
        <w:rPr>
          <w:rFonts w:eastAsia="Arial"/>
          <w:lang w:eastAsia="en-GB"/>
        </w:rPr>
        <w:t>estimates</w:t>
      </w:r>
      <w:r w:rsidRPr="003348D5">
        <w:t xml:space="preserve"> Australia's offshore wagering black market alone to be worth approximately </w:t>
      </w:r>
      <w:r w:rsidRPr="00BB3C33">
        <w:t>A$571 million</w:t>
      </w:r>
      <w:r w:rsidRPr="003348D5">
        <w:t xml:space="preserve"> in 2022 (</w:t>
      </w:r>
      <w:r w:rsidRPr="00BB3C33">
        <w:rPr>
          <w:rFonts w:eastAsia="Arial"/>
          <w:lang w:eastAsia="en-GB"/>
        </w:rPr>
        <w:t>H2, 2023</w:t>
      </w:r>
      <w:r w:rsidRPr="003348D5">
        <w:t>).</w:t>
      </w:r>
      <w:r w:rsidR="008B6AF0" w:rsidRPr="00BB3C33">
        <w:rPr>
          <w:rFonts w:eastAsia="Arial"/>
          <w:lang w:eastAsia="en-GB"/>
        </w:rPr>
        <w:t xml:space="preserve"> </w:t>
      </w:r>
      <w:r w:rsidRPr="00BB3C33">
        <w:t xml:space="preserve">In New Zealand, the estimated annual expenditure on offshore online gambling ranges from $342 million to $500 million </w:t>
      </w:r>
      <w:r w:rsidR="00684E04" w:rsidRPr="00BB3C33">
        <w:t>(Regulatory impact statement: Offshore online gambling, 2024; SkyCity Entertainment Group, 2023)</w:t>
      </w:r>
      <w:r w:rsidRPr="003348D5">
        <w:t>. The lower end of this range is primarily derived from more traceable sources, such as GST data from registered offshore providers, and is therefore unlikely to capture the full extent of any untracked 'black market' activity similar to that identified in Australia. This key difference complicates direct comparisons and suggests the total offshore expenditure and resulting harm, in New Zealand may be greater than this report has been able to estimate.</w:t>
      </w:r>
    </w:p>
    <w:p w14:paraId="5669EF7A" w14:textId="77777777" w:rsidR="00DB689D" w:rsidRDefault="00310A10" w:rsidP="00367A8D">
      <w:pPr>
        <w:spacing w:line="360" w:lineRule="auto"/>
        <w:rPr>
          <w:b/>
        </w:rPr>
      </w:pPr>
      <w:r>
        <w:t>A significant methodological consideration relates to the calculation of the opportunity cost of excess gambling spend, estimated at $1.192 billion. Due to limitations in the available data from the NZGS (2023/24) (specifically, the lack of detailed self-reported expenditure per gambling form), it was necessary to apply relative expenditure patterns derived from recent Australian prevalence studies. While checks across Australian jurisdictions showed reasonable consistency in these relative patterns, this reliance on external data represents a deviation from the preferred approach of using jurisdiction-specific expenditure data and introduces a degree of uncertainty to this major cost component. In a similar vein, challenges in capturing the full extent of gambling-related issues from available data sources were highlighted during Community Consultations. For example, feedback from a financial counsellor suggested that the true prevalence of gambling as a contributing factor to financial distress among service users may be significantly higher than indicated by initial intake data (e.g., 6% at intake versus a believed 25% actual), as clients often disclose gambling-related issues only in subsequent sessions after trust has been established. This indicates another potential area where the quantified costs related to financial support services might be conservative, as initial reporting may not capture the full demand driven by gambling harm.</w:t>
      </w:r>
    </w:p>
    <w:p w14:paraId="3915118F" w14:textId="77777777" w:rsidR="00DB689D" w:rsidRDefault="00DB689D" w:rsidP="00367A8D">
      <w:pPr>
        <w:spacing w:line="360" w:lineRule="auto"/>
      </w:pPr>
    </w:p>
    <w:p w14:paraId="784F668C" w14:textId="77777777" w:rsidR="00DB689D" w:rsidRDefault="00310A10" w:rsidP="00367A8D">
      <w:pPr>
        <w:spacing w:line="360" w:lineRule="auto"/>
      </w:pPr>
      <w:r>
        <w:t>Furthermore, while this study identifies the disproportionate burden of gambling harm costs borne by Māori and Pacific peoples based on problem prevalence, significant limitations remain in quantifying the unique cultural interactions with harm that potentially exist in these communities. The current knowledge base prevents a robust quantitative assessment of these specific cultural impacts. Similarly, adequately costing the harms experienced by children affected by others' gambling is challenging due to difficulties in accessing representative data and the ethical complexities involved in researching this group. These areas represent acknowledged gaps where the full social cost of gambling is likely underestimated in the current analysis.</w:t>
      </w:r>
    </w:p>
    <w:p w14:paraId="191E13A1" w14:textId="77777777" w:rsidR="00DB689D" w:rsidRDefault="00DB689D" w:rsidP="00367A8D">
      <w:pPr>
        <w:spacing w:line="360" w:lineRule="auto"/>
      </w:pPr>
    </w:p>
    <w:p w14:paraId="31E3CA40" w14:textId="77777777" w:rsidR="00DB689D" w:rsidRDefault="00310A10" w:rsidP="00367A8D">
      <w:pPr>
        <w:spacing w:line="360" w:lineRule="auto"/>
      </w:pPr>
      <w:r>
        <w:t xml:space="preserve">Across most economic costing studies, a standard 20% causality discount was often applied to account for the potential influence of co-occurring factors, when better evidence for discounting was not available. This approach aligns with precedents set in studies such as those by the Australian Productivity Commission. However, applying a uniform discount has inherent limitations, as the true strength of the causal link between gambling and specific impacts likely varies across different types of harm and severity levels. This heuristic is employed due to the current lack of empirical evidence to support more nuanced differential discounting. Furthermore, we took a conservative stance such that for certain severe harms such as divorce, homelessness, and suicide attempts, costs attributable to low-risk and potentially moderate-risk gambling were excluded entirely.  </w:t>
      </w:r>
    </w:p>
    <w:p w14:paraId="0AD2CD06" w14:textId="77777777" w:rsidR="00DB689D" w:rsidRDefault="00DB689D" w:rsidP="00367A8D">
      <w:pPr>
        <w:spacing w:line="360" w:lineRule="auto"/>
      </w:pPr>
    </w:p>
    <w:p w14:paraId="54101580" w14:textId="1452DE4A" w:rsidR="00DB689D" w:rsidRDefault="00310A10" w:rsidP="00367A8D">
      <w:pPr>
        <w:spacing w:line="360" w:lineRule="auto"/>
      </w:pPr>
      <w:r>
        <w:t xml:space="preserve">The specific regulatory context of New Zealand also influences certain cost estimations. For instance, the approach to offshore </w:t>
      </w:r>
      <w:r w:rsidR="003011C8">
        <w:t>gambling</w:t>
      </w:r>
      <w:r>
        <w:t xml:space="preserve">, where </w:t>
      </w:r>
      <w:r w:rsidR="003011C8">
        <w:t xml:space="preserve">GST has been collected since 2016, and </w:t>
      </w:r>
      <w:r>
        <w:t>a</w:t>
      </w:r>
      <w:r w:rsidR="00FD5094">
        <w:t>n</w:t>
      </w:r>
      <w:r>
        <w:t xml:space="preserve"> </w:t>
      </w:r>
      <w:r w:rsidR="00FD5094">
        <w:t>online gambling duty</w:t>
      </w:r>
      <w:r>
        <w:t xml:space="preserve"> was introduced in July 2024, differs from jurisdictions like Australia which largely ban such operators. This framework may affect the scale of illegal offshore gambling and related economic losses. While this study costs offshore wagering primarily in terms of estimated excess gambling spend and the costs of regulation, the ongoing challenges in monitoring all offshore activity mean that some gambling expenditure and associated harms might still escape the regulatory net and, consequently, full quantification in this costing.</w:t>
      </w:r>
    </w:p>
    <w:p w14:paraId="0815C3CB" w14:textId="77777777" w:rsidR="00DB689D" w:rsidRDefault="00DB689D" w:rsidP="00367A8D">
      <w:pPr>
        <w:spacing w:line="360" w:lineRule="auto"/>
      </w:pPr>
    </w:p>
    <w:p w14:paraId="4604F2A0" w14:textId="77777777" w:rsidR="00DB689D" w:rsidRDefault="00310A10" w:rsidP="00367A8D">
      <w:pPr>
        <w:spacing w:line="360" w:lineRule="auto"/>
      </w:pPr>
      <w:r>
        <w:t xml:space="preserve">Similarly, the New Zealand context regarding personal insolvency influences the cost estimates for bankruptcy. Processes designed to avoid formal bankruptcy proceedings may contribute to lower formal bankruptcy rates compared to jurisdictions like Australia. However, there appears to be a lack of data on how many people are turning to these options as a result of a gambling problem. Consultation feedback also indicated that financial counsellors often steer clients towards alternatives before pursuing bankruptcy. This specific context affects the comparability of bankruptcy-related costs and means the calculated figure likely represents only a portion of severe gambling-related debt issues.  </w:t>
      </w:r>
    </w:p>
    <w:p w14:paraId="46DCC096" w14:textId="77777777" w:rsidR="00DB689D" w:rsidRDefault="00DB689D" w:rsidP="00367A8D">
      <w:pPr>
        <w:spacing w:line="360" w:lineRule="auto"/>
      </w:pPr>
    </w:p>
    <w:p w14:paraId="1DD519E1" w14:textId="6006FF63" w:rsidR="00DB689D" w:rsidRDefault="00310A10" w:rsidP="00367A8D">
      <w:pPr>
        <w:spacing w:line="360" w:lineRule="auto"/>
      </w:pPr>
      <w:r>
        <w:t>The costing of criminal activity also faces limitations. Feedback during consultations highlighted that a significant amount of gambling-related crime, particularly theft from family and friends, often goes unreported to the police. However, reliable data on the prevalence of these crimes is unavailable. Consequently, the cost estimate was based on crimes to government, business and other people (not family/wh</w:t>
      </w:r>
      <w:r w:rsidR="00463767">
        <w:t>ā</w:t>
      </w:r>
      <w:r>
        <w:t xml:space="preserve">nau/friends). These crimes are more likely to be associated with official justice system statistics (police, courts, corrections). However, they are likely to underestimate the true societal cost arising from gambling-related criminal behaviour.  </w:t>
      </w:r>
    </w:p>
    <w:p w14:paraId="134E88FC" w14:textId="77777777" w:rsidR="00DB689D" w:rsidRDefault="00DB689D" w:rsidP="00367A8D">
      <w:pPr>
        <w:spacing w:line="360" w:lineRule="auto"/>
      </w:pPr>
    </w:p>
    <w:p w14:paraId="46E9E085" w14:textId="3EBEBC55" w:rsidR="00DB689D" w:rsidRDefault="00310A10" w:rsidP="00367A8D">
      <w:pPr>
        <w:spacing w:line="360" w:lineRule="auto"/>
      </w:pPr>
      <w:r>
        <w:t>The cumulative impact of these methodological considerations, data gaps, and inherent assumptions contributes to uncertainty in the final cost estimate. While efforts were made to use the best available data and apply conservative assumptions where necessary, the overall figure should be interpreted with these limitations in mind. The use of parametric bootstrapping to generate a 90% confidence interval ($3.</w:t>
      </w:r>
      <w:r w:rsidR="008716E4">
        <w:t xml:space="preserve">72 </w:t>
      </w:r>
      <w:r>
        <w:t>billion to $4.73 billion) provides a quantitative measure of this uncertainty around the central estimate of $4.</w:t>
      </w:r>
      <w:r w:rsidR="009C0E58">
        <w:t xml:space="preserve">219 </w:t>
      </w:r>
      <w:r>
        <w:t xml:space="preserve">billion.  </w:t>
      </w:r>
    </w:p>
    <w:p w14:paraId="15573845" w14:textId="364BED0F" w:rsidR="00DB689D" w:rsidRDefault="00310A10" w:rsidP="00657824">
      <w:pPr>
        <w:pStyle w:val="Heading2"/>
      </w:pPr>
      <w:bookmarkStart w:id="580" w:name="_lebbrqpbvq8u" w:colFirst="0" w:colLast="0"/>
      <w:bookmarkStart w:id="581" w:name="_Toc201572486"/>
      <w:bookmarkStart w:id="582" w:name="_Toc207196019"/>
      <w:bookmarkEnd w:id="580"/>
      <w:r>
        <w:t xml:space="preserve">Contextual </w:t>
      </w:r>
      <w:r w:rsidR="006F1A3E">
        <w:t>c</w:t>
      </w:r>
      <w:r>
        <w:t>omparisons</w:t>
      </w:r>
      <w:bookmarkEnd w:id="581"/>
      <w:bookmarkEnd w:id="582"/>
    </w:p>
    <w:p w14:paraId="164F9FFB" w14:textId="2F015F6B" w:rsidR="00DB689D" w:rsidRPr="00A91E61" w:rsidRDefault="00310A10" w:rsidP="00367A8D">
      <w:pPr>
        <w:spacing w:line="360" w:lineRule="auto"/>
      </w:pPr>
      <w:r w:rsidRPr="00A91E61">
        <w:t xml:space="preserve">Comparing the findings from this New Zealand study with recent research from Victoria, Australia </w:t>
      </w:r>
      <w:r w:rsidR="00DB2449">
        <w:rPr>
          <w:noProof/>
        </w:rPr>
        <w:t>(Browne, Tulloch, Rawat, et al., 2025)</w:t>
      </w:r>
      <w:r w:rsidRPr="00A91E61">
        <w:t xml:space="preserve"> provides valuable context, particularly regarding gambling prevalence, market size, and structural differences.</w:t>
      </w:r>
      <w:r w:rsidR="004A104E">
        <w:t xml:space="preserve"> However, it is important to acknowledge that direct comparisons between the New Zealand and Australian gambling environments must be made with caution. Significant differences exist in regulatory frameworks, state-level variations, and cultural attitudes to gambling. However, the recent comprehensive social cost study from Victoria, Australia, represents one of the few comparable and contemporary benchmarks available. Therefore, the following comparison is not intended to suggest the jurisdictions are identical, but rather to use the Victorian findings to contextualise and highlight the unique aspects of New Zealand’s gambling landscape, its market structure, and the scale of harm.</w:t>
      </w:r>
    </w:p>
    <w:p w14:paraId="07B90FB1" w14:textId="7C1A3D32" w:rsidR="00DB689D" w:rsidRPr="00A91E61" w:rsidRDefault="00310A10" w:rsidP="00C30E1A">
      <w:pPr>
        <w:pStyle w:val="Heading3"/>
      </w:pPr>
      <w:bookmarkStart w:id="583" w:name="_bw844jphrcx3" w:colFirst="0" w:colLast="0"/>
      <w:bookmarkStart w:id="584" w:name="_Toc201572487"/>
      <w:bookmarkStart w:id="585" w:name="_Toc207196020"/>
      <w:bookmarkEnd w:id="583"/>
      <w:r w:rsidRPr="00A91E61">
        <w:t xml:space="preserve">Different </w:t>
      </w:r>
      <w:r w:rsidR="006F1A3E">
        <w:t>p</w:t>
      </w:r>
      <w:r w:rsidRPr="00A91E61">
        <w:t xml:space="preserve">revalence </w:t>
      </w:r>
      <w:r w:rsidR="006F1A3E">
        <w:t>p</w:t>
      </w:r>
      <w:r w:rsidRPr="00A91E61">
        <w:t>atterns</w:t>
      </w:r>
      <w:bookmarkEnd w:id="584"/>
      <w:bookmarkEnd w:id="585"/>
    </w:p>
    <w:p w14:paraId="619BB2EB" w14:textId="77777777" w:rsidR="00DB689D" w:rsidRPr="00A91E61" w:rsidRDefault="00310A10" w:rsidP="00367A8D">
      <w:pPr>
        <w:spacing w:line="360" w:lineRule="auto"/>
      </w:pPr>
      <w:r w:rsidRPr="00A91E61">
        <w:t xml:space="preserve">The profile of gambling risk levels differs between New Zealand and Victoria. While the overall prevalence of individuals experiencing some level of gambling problem (low-risk or higher on the PGSI) is broadly similar (NZ 8.34% vs. Vic 8.51%), the distribution across severity levels varies. New Zealand tends to have a higher proportion of people classified as low-risk gambling (5.93% vs. Vic's 5.31%). Conversely, Victoria has shown higher rates of moderate-risk gambling (2.27% vs. NZ's 1.94%) and nearly double the rate of people classified as problem gambling (0.93% vs. NZ's 0.47%). </w:t>
      </w:r>
    </w:p>
    <w:p w14:paraId="2D2BD55D" w14:textId="770F2F30" w:rsidR="00DB689D" w:rsidRPr="00A91E61" w:rsidRDefault="00310A10" w:rsidP="00C30E1A">
      <w:pPr>
        <w:pStyle w:val="Heading3"/>
      </w:pPr>
      <w:bookmarkStart w:id="586" w:name="_rhz8ou9j99ol" w:colFirst="0" w:colLast="0"/>
      <w:bookmarkStart w:id="587" w:name="_Toc201572488"/>
      <w:bookmarkStart w:id="588" w:name="_Toc207196021"/>
      <w:bookmarkEnd w:id="586"/>
      <w:r w:rsidRPr="00A91E61">
        <w:t xml:space="preserve">Total </w:t>
      </w:r>
      <w:r w:rsidR="006F1A3E">
        <w:t>s</w:t>
      </w:r>
      <w:r w:rsidRPr="00A91E61">
        <w:t xml:space="preserve">ocial </w:t>
      </w:r>
      <w:r w:rsidR="006F1A3E">
        <w:t>c</w:t>
      </w:r>
      <w:r w:rsidRPr="00A91E61">
        <w:t xml:space="preserve">osts and </w:t>
      </w:r>
      <w:r w:rsidR="006F1A3E">
        <w:t>m</w:t>
      </w:r>
      <w:r w:rsidRPr="00A91E61">
        <w:t xml:space="preserve">arket </w:t>
      </w:r>
      <w:r w:rsidR="006F1A3E">
        <w:t>s</w:t>
      </w:r>
      <w:r w:rsidRPr="00A91E61">
        <w:t>ize</w:t>
      </w:r>
      <w:bookmarkEnd w:id="587"/>
      <w:bookmarkEnd w:id="588"/>
    </w:p>
    <w:p w14:paraId="05A50B28" w14:textId="03FCDBA4" w:rsidR="00DB689D" w:rsidRPr="00A91E61" w:rsidRDefault="00310A10" w:rsidP="00367A8D">
      <w:pPr>
        <w:spacing w:line="360" w:lineRule="auto"/>
      </w:pPr>
      <w:r w:rsidRPr="00A91E61">
        <w:t>The total estimated social cost of gambling harm differs significantly between the two jurisdictions. This study estimates the cost in New Zealand at approximately $4.</w:t>
      </w:r>
      <w:r w:rsidR="009C0E58" w:rsidRPr="00A91E61">
        <w:t>2</w:t>
      </w:r>
      <w:r w:rsidR="009C0E58">
        <w:t>19</w:t>
      </w:r>
      <w:r w:rsidR="009C0E58" w:rsidRPr="00A91E61">
        <w:t xml:space="preserve"> </w:t>
      </w:r>
      <w:r w:rsidRPr="00A91E61">
        <w:t xml:space="preserve">billion NZD, whereas the comparable figure for Victoria in 2022-23 was $14.1 billion AUD (equivalent to around $15.26 billion NDZ). This substantial difference in overall cost is linked to variations in both the total market size (gambling expenditure/losses) and the prevalence profiles mentioned above. The total gambling market size in New Zealand is estimated at approximately $3.1 billion NZD (combining regulated losses of $2.792 billion and estimated offshore losses of $354 million), compared to $7.4 billion AUD in Victoria (NZD $8.01 billion). The higher prevalence of moderate-risk and problem gambling in Victoria also contributes to its larger overall social cost. </w:t>
      </w:r>
    </w:p>
    <w:p w14:paraId="27A9C41E" w14:textId="31CB463F" w:rsidR="00DB689D" w:rsidRPr="00A91E61" w:rsidRDefault="00310A10" w:rsidP="00C30E1A">
      <w:pPr>
        <w:pStyle w:val="Heading3"/>
      </w:pPr>
      <w:bookmarkStart w:id="589" w:name="_vusy65g3vf6u" w:colFirst="0" w:colLast="0"/>
      <w:bookmarkStart w:id="590" w:name="_Toc201572489"/>
      <w:bookmarkStart w:id="591" w:name="_Toc207196022"/>
      <w:bookmarkEnd w:id="589"/>
      <w:r w:rsidRPr="00A91E61">
        <w:t xml:space="preserve">Structural </w:t>
      </w:r>
      <w:r w:rsidR="006F1A3E">
        <w:t>d</w:t>
      </w:r>
      <w:r w:rsidRPr="00A91E61">
        <w:t xml:space="preserve">ifferences in EGM </w:t>
      </w:r>
      <w:r w:rsidR="006F1A3E">
        <w:t>m</w:t>
      </w:r>
      <w:r w:rsidRPr="00A91E61">
        <w:t>arkets</w:t>
      </w:r>
      <w:bookmarkEnd w:id="590"/>
      <w:bookmarkEnd w:id="591"/>
    </w:p>
    <w:p w14:paraId="36D56A6C" w14:textId="64EC54D0" w:rsidR="00DB689D" w:rsidRPr="00A91E61" w:rsidRDefault="00310A10" w:rsidP="00367A8D">
      <w:pPr>
        <w:spacing w:line="360" w:lineRule="auto"/>
      </w:pPr>
      <w:r w:rsidRPr="00A91E61">
        <w:t>Key structural differences in the EGM markets also contribute to the distinct contexts in New Zealand and Victoria. As noted during Community Consultations for this study, New Zealand employs unique regulatory approaches such as 'sinking</w:t>
      </w:r>
      <w:r w:rsidR="00502394">
        <w:t>-</w:t>
      </w:r>
      <w:r w:rsidRPr="00A91E61">
        <w:t>lid' policies in several council areas, which prevent the relicensing of EGMs once a venue removes them or closes. Furthermore, EGM venues in New Zealand are generally smaller in scale compared to the large sporting clubs commonly found in some Australian states like Victoria. These structural and regulatory differences likely influence EGM accessibility, expenditure patterns, and potentially the associated harms within each jurisdiction.</w:t>
      </w:r>
    </w:p>
    <w:p w14:paraId="34607B90" w14:textId="77777777" w:rsidR="00DB689D" w:rsidRPr="00A91E61" w:rsidRDefault="00DB689D" w:rsidP="00367A8D">
      <w:pPr>
        <w:spacing w:line="360" w:lineRule="auto"/>
      </w:pPr>
    </w:p>
    <w:p w14:paraId="74712457" w14:textId="77777777" w:rsidR="00DB689D" w:rsidRPr="00A91E61" w:rsidRDefault="00310A10" w:rsidP="00367A8D">
      <w:pPr>
        <w:spacing w:line="360" w:lineRule="auto"/>
      </w:pPr>
      <w:r w:rsidRPr="00A91E61">
        <w:t>Further comparisons reveal nuances in how gambling harm costs are driven and contextualised. In terms of attribution to specific gambling forms, both New Zealand and Victoria identify EGMs as the predominant source of social costs. In New Zealand, EGMs collectively (offshore online and venue-based) account for approximately 63.5% of form-attributable costs, with offshore online EGMs alone representing the largest single contributor at 39.0%. Similarly, in Victoria, EGMs are responsible for around half of all gambling costs, but this tends to reflect in-venue rather than online play. Wagering also emerges as a significant cost driver in both jurisdictions, though secondary to EGMs.</w:t>
      </w:r>
    </w:p>
    <w:p w14:paraId="338C266D" w14:textId="77777777" w:rsidR="00DB689D" w:rsidRDefault="00DB689D" w:rsidP="00367A8D">
      <w:pPr>
        <w:spacing w:line="360" w:lineRule="auto"/>
        <w:rPr>
          <w:shd w:val="clear" w:color="auto" w:fill="CCCCCC"/>
        </w:rPr>
      </w:pPr>
    </w:p>
    <w:p w14:paraId="22AAF100" w14:textId="685E2F96" w:rsidR="00DB689D" w:rsidRDefault="00310A10" w:rsidP="00367A8D">
      <w:pPr>
        <w:spacing w:line="360" w:lineRule="auto"/>
      </w:pPr>
      <w:r w:rsidRPr="00A91E61">
        <w:t xml:space="preserve">The regulatory context also presents differences. For instance, New Zealand's lower costs associated with bankruptcy may be influenced by its distinct personal insolvency management framework. Consultation feedback also indicated that New Zealand financial counsellors often prioritise alternatives to formal bankruptcy. </w:t>
      </w:r>
    </w:p>
    <w:p w14:paraId="6A66F26E" w14:textId="77777777" w:rsidR="00181837" w:rsidRPr="00A91E61" w:rsidRDefault="00181837" w:rsidP="00367A8D">
      <w:pPr>
        <w:spacing w:line="360" w:lineRule="auto"/>
      </w:pPr>
    </w:p>
    <w:p w14:paraId="12EC58D5" w14:textId="77777777" w:rsidR="00DB689D" w:rsidRDefault="00310A10" w:rsidP="00657824">
      <w:pPr>
        <w:pStyle w:val="Heading2"/>
      </w:pPr>
      <w:bookmarkStart w:id="592" w:name="_bxdi49hhuh08" w:colFirst="0" w:colLast="0"/>
      <w:bookmarkStart w:id="593" w:name="_Toc201572490"/>
      <w:bookmarkStart w:id="594" w:name="_Toc207196023"/>
      <w:bookmarkEnd w:id="592"/>
      <w:r>
        <w:t>Conclusions</w:t>
      </w:r>
      <w:bookmarkEnd w:id="593"/>
      <w:bookmarkEnd w:id="594"/>
    </w:p>
    <w:p w14:paraId="3A828AA9" w14:textId="77777777" w:rsidR="00181837" w:rsidRPr="00181837" w:rsidRDefault="00181837" w:rsidP="00181837"/>
    <w:p w14:paraId="10188FF7" w14:textId="005472B9" w:rsidR="00DB689D" w:rsidRDefault="00310A10" w:rsidP="00367A8D">
      <w:pPr>
        <w:spacing w:line="360" w:lineRule="auto"/>
      </w:pPr>
      <w:r>
        <w:t>The findings of this study, estimating the total social cost of gambling harm in New Zealand at $4.</w:t>
      </w:r>
      <w:r w:rsidR="009C0E58">
        <w:t xml:space="preserve">219 </w:t>
      </w:r>
      <w:r>
        <w:t>billion for 2023-24, have significant implications for future policy development and harm minimisation strategies, and future research priorities.</w:t>
      </w:r>
    </w:p>
    <w:p w14:paraId="1957AD22" w14:textId="77777777" w:rsidR="00DB689D" w:rsidRDefault="00310A10" w:rsidP="00C30E1A">
      <w:pPr>
        <w:pStyle w:val="Heading3"/>
      </w:pPr>
      <w:bookmarkStart w:id="595" w:name="_xdfxxyf2wzga" w:colFirst="0" w:colLast="0"/>
      <w:bookmarkStart w:id="596" w:name="_Toc201572491"/>
      <w:bookmarkStart w:id="597" w:name="_Toc207196024"/>
      <w:bookmarkEnd w:id="595"/>
      <w:r>
        <w:t>Implications for policy and harm minimisation</w:t>
      </w:r>
      <w:bookmarkEnd w:id="596"/>
      <w:bookmarkEnd w:id="597"/>
    </w:p>
    <w:p w14:paraId="53999FE2" w14:textId="77777777" w:rsidR="00DB689D" w:rsidRDefault="00310A10" w:rsidP="00367A8D">
      <w:pPr>
        <w:spacing w:line="360" w:lineRule="auto"/>
      </w:pPr>
      <w:r>
        <w:t>A primary implication is the clear need to focus on high-harm gambling forms. This study identified that specific products, particularly offshore online EGMs which account for 39.0% of form-attributable costs, are major drivers of the total social cost in New Zealand. This finding, reinforced by Community Consultation feedback highlighting concerns around offshore online gambling, suggests that regulatory and harm minimisation efforts should be directed towards these high-risk products and platforms to achieve the most significant impact in reducing negative impacts from gambling.</w:t>
      </w:r>
    </w:p>
    <w:p w14:paraId="47977339" w14:textId="77777777" w:rsidR="00DB689D" w:rsidRDefault="00DB689D" w:rsidP="00367A8D">
      <w:pPr>
        <w:spacing w:line="360" w:lineRule="auto"/>
      </w:pPr>
    </w:p>
    <w:p w14:paraId="182C2E8C" w14:textId="64EC5577" w:rsidR="00DB689D" w:rsidRDefault="00310A10" w:rsidP="00367A8D">
      <w:pPr>
        <w:spacing w:line="360" w:lineRule="auto"/>
      </w:pPr>
      <w:r>
        <w:t>Secondly, the disproportionate burden of gambling harm costs on Māori and Pacific peoples signals a need for culturally tailored and equitable strategies</w:t>
      </w:r>
      <w:r w:rsidR="00ED16BD">
        <w:t xml:space="preserve"> to reduce this harm</w:t>
      </w:r>
      <w:r>
        <w:t>. With Māori accounting for 31.5% of gambling problems (against a 15.0% population share) and bearing an estimated $1.</w:t>
      </w:r>
      <w:r w:rsidR="003348D5">
        <w:t xml:space="preserve">33 </w:t>
      </w:r>
      <w:r>
        <w:t>billion in costs, and Pacific peoples accounting for 10.9% of problems (against a 6.4% population share) and $</w:t>
      </w:r>
      <w:r w:rsidR="003348D5">
        <w:t xml:space="preserve">460 </w:t>
      </w:r>
      <w:r>
        <w:t xml:space="preserve">million in costs, approaches </w:t>
      </w:r>
      <w:r w:rsidR="00CD557C">
        <w:t xml:space="preserve">that fail to address the core drivers of this inequality </w:t>
      </w:r>
      <w:r>
        <w:t>are likely to be insufficient. Policy and service provision must be co-designed and implemented in partnership with these communities to ensure they are culturally safe, relevant, and effective in addressing specific needs and reducing these disparities.</w:t>
      </w:r>
      <w:r w:rsidR="00CD557C" w:rsidRPr="00CD557C">
        <w:t xml:space="preserve"> </w:t>
      </w:r>
      <w:r w:rsidR="00CD557C">
        <w:rPr>
          <w:rStyle w:val="citation-22"/>
        </w:rPr>
        <w:t>As the economic modelling in this report indicates, structural changes targeting high-harm products represent a particularly powerful lever for achieving this equity</w:t>
      </w:r>
      <w:r w:rsidR="00CD557C">
        <w:t>.</w:t>
      </w:r>
    </w:p>
    <w:p w14:paraId="7202665B" w14:textId="77777777" w:rsidR="00DB689D" w:rsidRDefault="00DB689D" w:rsidP="00367A8D">
      <w:pPr>
        <w:spacing w:line="360" w:lineRule="auto"/>
      </w:pPr>
    </w:p>
    <w:p w14:paraId="611DA56C" w14:textId="5997A559" w:rsidR="00DB689D" w:rsidRDefault="00310A10" w:rsidP="00367A8D">
      <w:pPr>
        <w:spacing w:line="360" w:lineRule="auto"/>
      </w:pPr>
      <w:r>
        <w:t>The substantial costs borne by affected others, estimated at 33.</w:t>
      </w:r>
      <w:r w:rsidR="00070AF4">
        <w:t>8</w:t>
      </w:r>
      <w:r>
        <w:t xml:space="preserve">% of the total cost in New Zealand, highlight that the impacts of gambling harm extend far beyond the individual who gambles. This implies a necessity for increased recognition of affected others within policy frameworks and the development and funding of dedicated support services, resources, and interventions for families, </w:t>
      </w:r>
      <w:r w:rsidRPr="00134B05">
        <w:t>whānau</w:t>
      </w:r>
      <w:r>
        <w:t>, and friends impacted by someone else’s gambling.</w:t>
      </w:r>
    </w:p>
    <w:p w14:paraId="495FFD85" w14:textId="77777777" w:rsidR="00DB689D" w:rsidRDefault="00DB689D" w:rsidP="00367A8D">
      <w:pPr>
        <w:spacing w:line="360" w:lineRule="auto"/>
      </w:pPr>
    </w:p>
    <w:p w14:paraId="028DB6A1" w14:textId="18072DF1" w:rsidR="00DB689D" w:rsidRDefault="00310A10" w:rsidP="00367A8D">
      <w:pPr>
        <w:spacing w:line="360" w:lineRule="auto"/>
      </w:pPr>
      <w:r>
        <w:t xml:space="preserve">The prominent costs linked to offshore online gambling in the New Zealand context underscore the critical importance and inherent challenges of effective regulation and enforcement in this space. </w:t>
      </w:r>
      <w:r w:rsidR="00BF5F3D">
        <w:t xml:space="preserve">Levies, such as the </w:t>
      </w:r>
      <w:r>
        <w:t>New Zealand's Offshore Gambling Duty represents one approach to this issue, but the high degree of costs attributable to online sources suggests that ongoing efforts, potentially including enhanced monitoring, international cooperation, and public awareness campaigns about the risks of unregulated offshore sites, are necessary to mitigate these harms.</w:t>
      </w:r>
    </w:p>
    <w:p w14:paraId="76E19C47" w14:textId="77777777" w:rsidR="009B2F24" w:rsidRDefault="009B2F24" w:rsidP="00367A8D">
      <w:pPr>
        <w:spacing w:line="360" w:lineRule="auto"/>
      </w:pPr>
    </w:p>
    <w:p w14:paraId="3D56EAA0" w14:textId="6C27C718" w:rsidR="009B2F24" w:rsidRDefault="009B2F24" w:rsidP="009B2F24">
      <w:pPr>
        <w:spacing w:line="360" w:lineRule="auto"/>
      </w:pPr>
      <w:r>
        <w:t>Furthermore, the report's economic modelling of several potential policy options suggests that substantial reductions in these social costs are achievable through targeted interventions. The analysis indicates that structural changes aimed at the highest-harm products offer the most significant potential for harm reduction. Specifically, a hypothetical ban on offshore online EGMs</w:t>
      </w:r>
      <w:r w:rsidR="00070AF4">
        <w:t xml:space="preserve"> - </w:t>
      </w:r>
      <w:r>
        <w:t>the single largest contributor to harm identified in this study—is estimated to reduce the total social cost of gambling by approximately $1.</w:t>
      </w:r>
      <w:r w:rsidR="00AE5A69">
        <w:t xml:space="preserve">26 </w:t>
      </w:r>
      <w:r>
        <w:t>billion (30%). Major interventions for in-person EGMs also show significant promise; introducing universal loss limits is projected to lower the total cost by $</w:t>
      </w:r>
      <w:r w:rsidR="00AE5A69">
        <w:t xml:space="preserve">679 </w:t>
      </w:r>
      <w:r>
        <w:t>million (16%), while restricting their availability to casinos could reduce costs by $</w:t>
      </w:r>
      <w:r w:rsidR="00AE5A69">
        <w:t xml:space="preserve">787 </w:t>
      </w:r>
      <w:r>
        <w:t>million (1</w:t>
      </w:r>
      <w:r w:rsidR="00AE5A69">
        <w:t>9</w:t>
      </w:r>
      <w:r>
        <w:t>%). The evaluation considered a spectrum of interventions, finding that expanded access to treatment for high-risk individuals and sinking-lid policies also yield positive, albeit more modest, cost reductions.</w:t>
      </w:r>
    </w:p>
    <w:p w14:paraId="4A73CC86" w14:textId="77777777" w:rsidR="009B2F24" w:rsidRDefault="009B2F24" w:rsidP="009B2F24">
      <w:pPr>
        <w:spacing w:line="360" w:lineRule="auto"/>
      </w:pPr>
    </w:p>
    <w:p w14:paraId="6519E0C3" w14:textId="2E3DAC97" w:rsidR="009B2F24" w:rsidRDefault="009B2F24" w:rsidP="009B2F24">
      <w:pPr>
        <w:spacing w:line="360" w:lineRule="auto"/>
      </w:pPr>
      <w:r>
        <w:t>The modelling suggests that these EGM-focused policies would deliver disproportionately large benefits to Māori and Pacific communities, making them a key lever for addressing the inequities identified in this report. For example, under a policy restricting in-person EGMs to casinos, the per-gambler cost reduction for Māori was estimated to be $</w:t>
      </w:r>
      <w:r w:rsidR="00AE5A69">
        <w:t>549</w:t>
      </w:r>
      <w:r>
        <w:t>, and for Pacific peoples, $</w:t>
      </w:r>
      <w:r w:rsidR="00AE5A69">
        <w:t>378</w:t>
      </w:r>
      <w:r>
        <w:t xml:space="preserve">. These disproportionate benefits are linked to higher reported use of </w:t>
      </w:r>
      <w:r w:rsidR="00D35699">
        <w:t>Class 4 venues</w:t>
      </w:r>
      <w:r>
        <w:t xml:space="preserve"> among these groups. The evaluation underscores that while knowledge is limited and a variety of costing assumptions were by necessity employed, broad regulatory changes targeting the most harmful products offer the most substantial pathway to mitigating the overall economic and social costs of gambling in New Zealand.</w:t>
      </w:r>
    </w:p>
    <w:p w14:paraId="11A3F3C4" w14:textId="77777777" w:rsidR="00DB689D" w:rsidRDefault="00DB689D" w:rsidP="00367A8D">
      <w:pPr>
        <w:spacing w:line="360" w:lineRule="auto"/>
      </w:pPr>
    </w:p>
    <w:p w14:paraId="59CB5F4D" w14:textId="5E11B22C" w:rsidR="00DB689D" w:rsidRDefault="00310A10" w:rsidP="00367A8D">
      <w:pPr>
        <w:spacing w:line="360" w:lineRule="auto"/>
      </w:pPr>
      <w:r>
        <w:t>Finally, this costing has highlighted that the primary driver of impact</w:t>
      </w:r>
      <w:r w:rsidR="00314454">
        <w:t xml:space="preserve"> overall</w:t>
      </w:r>
      <w:r>
        <w:t xml:space="preserve"> is via excessive financial losses, resulting in a significant net negative consumer surplus among at-risk gambling, which then contributes to a lower HRQoL among people who gamble and affected others. The total negative consumer surplus of $1.192 billion constitutes a very significant portion of the total gross industry revenue ($3.146 billion). Specifically, this 'excess spend' that is costed as a welfare loss represents approximately 37.9% of the entire gambling industry's revenue. This implies that a substantial part of the money flowing to the gambling industry is derived from expenditure patterns deemed harmful and economically inefficient for the consumers involved. </w:t>
      </w:r>
    </w:p>
    <w:p w14:paraId="6A13E72F" w14:textId="77777777" w:rsidR="00DB689D" w:rsidRDefault="00DB689D" w:rsidP="00367A8D">
      <w:pPr>
        <w:spacing w:line="360" w:lineRule="auto"/>
      </w:pPr>
    </w:p>
    <w:p w14:paraId="1898EA97" w14:textId="77777777" w:rsidR="00DB689D" w:rsidRDefault="00310A10" w:rsidP="00367A8D">
      <w:pPr>
        <w:spacing w:line="360" w:lineRule="auto"/>
      </w:pPr>
      <w:r>
        <w:t xml:space="preserve">The high economic impact of excess gambling expenditure and the role of financial counsellors in New Zealand in seeking alternatives to bankruptcy for their clients suggest an avenue for intervention. Bolstering financial counselling services with specific expertise in gambling-related financial harm, alongside exploring and promoting effective debt management solutions, could help alleviate some of the severe financial consequences for individuals and their families. Given the central role of gambling losses in driving negative impacts, relatively straight-forward and non-stigmatising 'money management' interventions – involving both people who gamble and affected others – might warrant further attention. </w:t>
      </w:r>
    </w:p>
    <w:p w14:paraId="3D6C67A4" w14:textId="610D9E5F" w:rsidR="00DB689D" w:rsidRDefault="00A91E61" w:rsidP="00367A8D">
      <w:pPr>
        <w:pStyle w:val="Heading4"/>
        <w:keepNext w:val="0"/>
        <w:keepLines w:val="0"/>
        <w:spacing w:line="360" w:lineRule="auto"/>
      </w:pPr>
      <w:bookmarkStart w:id="598" w:name="_y0naizkbmt6" w:colFirst="0" w:colLast="0"/>
      <w:bookmarkEnd w:id="598"/>
      <w:r>
        <w:t xml:space="preserve">Future </w:t>
      </w:r>
      <w:r w:rsidR="006F1A3E">
        <w:t>r</w:t>
      </w:r>
      <w:r>
        <w:t xml:space="preserve">esearch </w:t>
      </w:r>
      <w:r w:rsidR="006F1A3E">
        <w:t>d</w:t>
      </w:r>
      <w:r>
        <w:t>irections</w:t>
      </w:r>
    </w:p>
    <w:p w14:paraId="02D0CEAE" w14:textId="77777777" w:rsidR="00DB689D" w:rsidRDefault="00310A10" w:rsidP="00367A8D">
      <w:pPr>
        <w:spacing w:line="360" w:lineRule="auto"/>
      </w:pPr>
      <w:r>
        <w:t>The current study also highlights several areas where further research is essential to refine understanding, improve data quality, and enhance the precision of future costings. Addressing these knowledge gaps will be crucial for informing more effective and targeted harm minimisation strategies.</w:t>
      </w:r>
    </w:p>
    <w:p w14:paraId="1F95A35C" w14:textId="77777777" w:rsidR="00DB689D" w:rsidRDefault="00310A10" w:rsidP="00367A8D">
      <w:pPr>
        <w:numPr>
          <w:ilvl w:val="0"/>
          <w:numId w:val="16"/>
        </w:numPr>
        <w:spacing w:before="480" w:line="360" w:lineRule="auto"/>
        <w:rPr>
          <w:color w:val="0E101A"/>
        </w:rPr>
      </w:pPr>
      <w:r w:rsidRPr="00181837">
        <w:rPr>
          <w:bCs/>
          <w:i/>
          <w:iCs/>
          <w:color w:val="0E101A"/>
        </w:rPr>
        <w:t>Collection of NZ-Specific Gambling Expenditure Data:</w:t>
      </w:r>
      <w:r>
        <w:rPr>
          <w:color w:val="0E101A"/>
        </w:rPr>
        <w:t xml:space="preserve"> A significant limitation in this study was the necessity of using relative gambling expenditure patterns from Australian data to calculate the 'excess spend' component of financial costs This was due to the lack of detailed New Zealand-specific expenditure data broken down by gambling risk categories and product type. Future research should prioritise the regular collection of more precise, form-specific data on gambling expenditure to enable more precise local estimations of this major cost driver. </w:t>
      </w:r>
    </w:p>
    <w:p w14:paraId="4AA8B21A" w14:textId="77777777" w:rsidR="00DB689D" w:rsidRDefault="00310A10" w:rsidP="00367A8D">
      <w:pPr>
        <w:numPr>
          <w:ilvl w:val="0"/>
          <w:numId w:val="16"/>
        </w:numPr>
        <w:spacing w:line="360" w:lineRule="auto"/>
        <w:rPr>
          <w:color w:val="0E101A"/>
        </w:rPr>
      </w:pPr>
      <w:r w:rsidRPr="00DB20DD">
        <w:rPr>
          <w:bCs/>
          <w:i/>
          <w:iCs/>
          <w:color w:val="0E101A"/>
        </w:rPr>
        <w:t>Methodologies for Costing Cultural Harm</w:t>
      </w:r>
      <w:r w:rsidRPr="00DB20DD">
        <w:rPr>
          <w:bCs/>
          <w:color w:val="0E101A"/>
        </w:rPr>
        <w:t>:</w:t>
      </w:r>
      <w:r>
        <w:rPr>
          <w:color w:val="0E101A"/>
        </w:rPr>
        <w:t xml:space="preserve"> This report acknowledges the profound impact of gambling harm on Māori and Pacific peoples, and the current limitations in quantitatively costing the unique cultural dimensions of this harm. Developing and validating culturally appropriate quantitative research methodologies to better understand, measure, and value these culturally contingent impacts is a critical priority for future work. This will require close collaboration with Māori and Pacific communities. </w:t>
      </w:r>
    </w:p>
    <w:p w14:paraId="44C56A55" w14:textId="77777777" w:rsidR="00DB689D" w:rsidRDefault="00310A10" w:rsidP="00367A8D">
      <w:pPr>
        <w:numPr>
          <w:ilvl w:val="0"/>
          <w:numId w:val="16"/>
        </w:numPr>
        <w:spacing w:line="360" w:lineRule="auto"/>
        <w:rPr>
          <w:color w:val="0E101A"/>
        </w:rPr>
      </w:pPr>
      <w:r w:rsidRPr="00DB20DD">
        <w:rPr>
          <w:bCs/>
          <w:i/>
          <w:iCs/>
          <w:color w:val="0E101A"/>
        </w:rPr>
        <w:t>Understanding and Costing Impacts on Children:</w:t>
      </w:r>
      <w:r>
        <w:rPr>
          <w:color w:val="0E101A"/>
        </w:rPr>
        <w:t xml:space="preserve"> Consistent with findings in other jurisdictions like Victoria, this study was unable to effectively cost impacts to children and the potential for long-lasting impacts. While challenging, dedicated research employing ethical and sensitive methodologies is needed to understand and quantify these harms more thoroughly. </w:t>
      </w:r>
    </w:p>
    <w:p w14:paraId="648D2561" w14:textId="77777777" w:rsidR="00DB689D" w:rsidRDefault="00310A10" w:rsidP="00367A8D">
      <w:pPr>
        <w:numPr>
          <w:ilvl w:val="0"/>
          <w:numId w:val="16"/>
        </w:numPr>
        <w:spacing w:line="360" w:lineRule="auto"/>
        <w:rPr>
          <w:color w:val="0E101A"/>
        </w:rPr>
      </w:pPr>
      <w:r w:rsidRPr="00DB20DD">
        <w:rPr>
          <w:bCs/>
          <w:i/>
          <w:iCs/>
          <w:color w:val="0E101A"/>
        </w:rPr>
        <w:t>Longitudinal Studies and Legacy Harms:</w:t>
      </w:r>
      <w:r>
        <w:rPr>
          <w:color w:val="0E101A"/>
        </w:rPr>
        <w:t xml:space="preserve"> This study primarily captures the costs associated with gambling harm within a 12-month period. However, gambling harm can have enduring consequences, or 'legacy harms,' that persist even after gambling behaviour ceases. Longitudinal studies are needed to track the progression of gambling problems, recovery, relapse, and the long-term economic and social costs associated with these trajectories, including intergenerational impacts. </w:t>
      </w:r>
    </w:p>
    <w:p w14:paraId="15DFE6AA" w14:textId="08C1BA14" w:rsidR="00DB689D" w:rsidRDefault="00310A10" w:rsidP="00367A8D">
      <w:pPr>
        <w:numPr>
          <w:ilvl w:val="0"/>
          <w:numId w:val="16"/>
        </w:numPr>
        <w:spacing w:line="360" w:lineRule="auto"/>
        <w:rPr>
          <w:color w:val="0E101A"/>
        </w:rPr>
      </w:pPr>
      <w:r w:rsidRPr="00DB20DD">
        <w:rPr>
          <w:bCs/>
          <w:i/>
          <w:iCs/>
          <w:color w:val="0E101A"/>
        </w:rPr>
        <w:t>Refining Causality and Attribution Models:</w:t>
      </w:r>
      <w:r>
        <w:rPr>
          <w:color w:val="0E101A"/>
        </w:rPr>
        <w:t xml:space="preserve"> The standard 20% causality discount applied in </w:t>
      </w:r>
      <w:r w:rsidR="003468C6">
        <w:rPr>
          <w:color w:val="0E101A"/>
        </w:rPr>
        <w:t>this,</w:t>
      </w:r>
      <w:r>
        <w:rPr>
          <w:color w:val="0E101A"/>
        </w:rPr>
        <w:t xml:space="preserve"> and other studies</w:t>
      </w:r>
      <w:r w:rsidR="003468C6">
        <w:rPr>
          <w:color w:val="0E101A"/>
        </w:rPr>
        <w:t>,</w:t>
      </w:r>
      <w:r>
        <w:rPr>
          <w:color w:val="0E101A"/>
        </w:rPr>
        <w:t xml:space="preserve"> is a heuristic to account for co-occurring conditions or causes when better information is not available. Further research into the complex causal pathways between gambling, co-morbidities (like mental health issues or substance use), and specific harms could lead to more nuanced and accurate attribution models, refining the precision of cost estimates. </w:t>
      </w:r>
    </w:p>
    <w:p w14:paraId="49A0B4DD" w14:textId="77777777" w:rsidR="00DB689D" w:rsidRDefault="00310A10" w:rsidP="00367A8D">
      <w:pPr>
        <w:numPr>
          <w:ilvl w:val="0"/>
          <w:numId w:val="16"/>
        </w:numPr>
        <w:spacing w:line="360" w:lineRule="auto"/>
        <w:rPr>
          <w:color w:val="0E101A"/>
        </w:rPr>
      </w:pPr>
      <w:r w:rsidRPr="00DB20DD">
        <w:rPr>
          <w:bCs/>
          <w:i/>
          <w:iCs/>
          <w:color w:val="0E101A"/>
        </w:rPr>
        <w:t>Investigating Unreported Gambling-Related Crime:</w:t>
      </w:r>
      <w:r>
        <w:rPr>
          <w:color w:val="0E101A"/>
        </w:rPr>
        <w:t xml:space="preserve"> Community Consultations highlighted that a considerable amount of gambling-related crime, particularly theft from family and friends, may go unreported to authorities. Future research could explore methodologies to better capture the prevalence and costs of these hidden crimes, providing a more complete understanding of this aspect of gambling harm. </w:t>
      </w:r>
    </w:p>
    <w:p w14:paraId="35476976" w14:textId="77777777" w:rsidR="00DB689D" w:rsidRDefault="00310A10" w:rsidP="00367A8D">
      <w:pPr>
        <w:numPr>
          <w:ilvl w:val="0"/>
          <w:numId w:val="16"/>
        </w:numPr>
        <w:spacing w:after="240" w:line="360" w:lineRule="auto"/>
        <w:rPr>
          <w:color w:val="0E101A"/>
        </w:rPr>
      </w:pPr>
      <w:r w:rsidRPr="00DB20DD">
        <w:rPr>
          <w:bCs/>
          <w:i/>
          <w:iCs/>
          <w:color w:val="0E101A"/>
        </w:rPr>
        <w:t>Enhancing HRQoL Measurement:</w:t>
      </w:r>
      <w:r>
        <w:rPr>
          <w:color w:val="0E101A"/>
        </w:rPr>
        <w:t xml:space="preserve"> While this study utilised established HRQoL decrements, ongoing refinement in measuring the HRQoL impacts of specific gambling harms, and for diverse groups of affected others, would be beneficial. This could improve the sensitivity and accuracy of this major intangible cost component.</w:t>
      </w:r>
    </w:p>
    <w:p w14:paraId="0FA5B248" w14:textId="571F0EDB" w:rsidR="00DB689D" w:rsidRDefault="00310A10" w:rsidP="00367A8D">
      <w:pPr>
        <w:spacing w:line="360" w:lineRule="auto"/>
      </w:pPr>
      <w:r>
        <w:t xml:space="preserve">In conclusion, this </w:t>
      </w:r>
      <w:r w:rsidR="004F7C45">
        <w:t xml:space="preserve">report, the </w:t>
      </w:r>
      <w:r w:rsidR="004F7C45" w:rsidRPr="004F7C45">
        <w:t>first to apply this comprehensive public health framework to monetise social costs in New Zealand</w:t>
      </w:r>
      <w:r w:rsidR="004F7C45">
        <w:t>,</w:t>
      </w:r>
      <w:r>
        <w:t xml:space="preserve"> finds a substantial $4.</w:t>
      </w:r>
      <w:r w:rsidR="009C0E58">
        <w:t xml:space="preserve">219 </w:t>
      </w:r>
      <w:r>
        <w:t xml:space="preserve">billion annual social and economic costs from gambling in Aotearoa New Zealand, which exceeds the $2.792 billion in annual gambling industry revenue </w:t>
      </w:r>
      <w:r w:rsidR="0038398B">
        <w:rPr>
          <w:noProof/>
        </w:rPr>
        <w:t>(</w:t>
      </w:r>
      <w:r w:rsidR="002A3095">
        <w:t>Department of Internal Affairs</w:t>
      </w:r>
      <w:r w:rsidR="0038398B">
        <w:rPr>
          <w:noProof/>
        </w:rPr>
        <w:t xml:space="preserve">, </w:t>
      </w:r>
      <w:r w:rsidR="00F1255A">
        <w:rPr>
          <w:noProof/>
        </w:rPr>
        <w:t>n.d</w:t>
      </w:r>
      <w:r w:rsidR="0038398B">
        <w:rPr>
          <w:noProof/>
        </w:rPr>
        <w:t>)</w:t>
      </w:r>
      <w:r>
        <w:t xml:space="preserve">. These findings provide a critical evidence base that can guide future strategies to reduce this impact on individuals, </w:t>
      </w:r>
      <w:r w:rsidRPr="00134B05">
        <w:t>whānau</w:t>
      </w:r>
      <w:r>
        <w:t>, and communities across the nation.</w:t>
      </w:r>
    </w:p>
    <w:p w14:paraId="62B52289" w14:textId="77777777" w:rsidR="00DB689D" w:rsidRDefault="00310A10" w:rsidP="00367A8D">
      <w:pPr>
        <w:spacing w:before="240" w:after="240" w:line="360" w:lineRule="auto"/>
        <w:rPr>
          <w:color w:val="0E101A"/>
        </w:rPr>
      </w:pPr>
      <w:r>
        <w:rPr>
          <w:color w:val="0E101A"/>
        </w:rPr>
        <w:t xml:space="preserve">  </w:t>
      </w:r>
    </w:p>
    <w:p w14:paraId="59FACC51" w14:textId="77777777" w:rsidR="00DB689D" w:rsidRDefault="00DB689D" w:rsidP="00367A8D">
      <w:pPr>
        <w:spacing w:after="160" w:line="360" w:lineRule="auto"/>
        <w:rPr>
          <w:color w:val="0E101A"/>
        </w:rPr>
      </w:pPr>
    </w:p>
    <w:p w14:paraId="057D2482" w14:textId="77777777" w:rsidR="00DB689D" w:rsidRDefault="00310A10" w:rsidP="00367A8D">
      <w:pPr>
        <w:spacing w:after="160" w:line="360" w:lineRule="auto"/>
        <w:rPr>
          <w:color w:val="0E101A"/>
        </w:rPr>
      </w:pPr>
      <w:r>
        <w:br w:type="page"/>
      </w:r>
    </w:p>
    <w:p w14:paraId="2CEE43FA" w14:textId="77777777" w:rsidR="00DB689D" w:rsidRDefault="00310A10" w:rsidP="00367A8D">
      <w:pPr>
        <w:pStyle w:val="Heading1"/>
        <w:spacing w:line="360" w:lineRule="auto"/>
      </w:pPr>
      <w:bookmarkStart w:id="599" w:name="_3i8t069gsw21" w:colFirst="0" w:colLast="0"/>
      <w:bookmarkStart w:id="600" w:name="_Toc201572492"/>
      <w:bookmarkStart w:id="601" w:name="_Toc207196025"/>
      <w:bookmarkEnd w:id="599"/>
      <w:r>
        <w:t>References</w:t>
      </w:r>
      <w:bookmarkEnd w:id="600"/>
      <w:bookmarkEnd w:id="601"/>
    </w:p>
    <w:p w14:paraId="4BB2A2DD" w14:textId="77777777" w:rsidR="00DB689D" w:rsidRDefault="00DB689D" w:rsidP="00367A8D">
      <w:pPr>
        <w:spacing w:line="360" w:lineRule="auto"/>
      </w:pPr>
    </w:p>
    <w:p w14:paraId="79A3EC2E" w14:textId="15E80E74"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Abbott, M. W., Bellringer, M., &amp; Garrett, N. (2018). </w:t>
      </w:r>
      <w:r w:rsidRPr="0070706C">
        <w:rPr>
          <w:i/>
        </w:rPr>
        <w:t>New Zealand National Gambling Study: Wave 4 (2015). Report number 6</w:t>
      </w:r>
      <w:r w:rsidRPr="0070706C">
        <w:t>. Auckland: Auckland University of Technology, Gambling and Addictions Research Centre. https://www.gamblinglaw.co.nz/download/Final-Report-National-Gambling-Study-Report-6-29-March-2018.pdf</w:t>
      </w:r>
    </w:p>
    <w:p w14:paraId="0A092EC6"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Abbott, M. W., Bellringer, M., Garrett, N., &amp; Mundy-McPherson, S. (2014). </w:t>
      </w:r>
      <w:r w:rsidRPr="0070706C">
        <w:rPr>
          <w:i/>
        </w:rPr>
        <w:t>New Zealand 2012 National Gambling Study: Gambling harm and problem gambling report number 2</w:t>
      </w:r>
      <w:r w:rsidRPr="0070706C">
        <w:t>. Ministry of Health. https://niphmhr.aut.ac.nz/__data/assets/pdf_file/0018/7542/Report-final-National-Gambling-Study-Report-No.-2.pdf</w:t>
      </w:r>
    </w:p>
    <w:p w14:paraId="6B8A7756"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Abbott, M. W., McKenna, B. G., &amp; Giles, L. C. (2000). </w:t>
      </w:r>
      <w:r w:rsidRPr="0070706C">
        <w:rPr>
          <w:i/>
        </w:rPr>
        <w:t>Gambling and problem gambling among recently sentenced males in four New Zealand prisons</w:t>
      </w:r>
      <w:r w:rsidRPr="0070706C">
        <w:t>. https://scholar.google.com.au/citations?user=PNkPkm8AAAAJ&amp;hl=en&amp;oi=sra</w:t>
      </w:r>
    </w:p>
    <w:p w14:paraId="2D77EC64"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Abbott, Max W., McKenna, B. G., &amp; Giles, L. C. (2005). Gambling and problem gambling among recently sentenced male prisoners in four New Zealand prisons. </w:t>
      </w:r>
      <w:r w:rsidRPr="0070706C">
        <w:rPr>
          <w:i/>
        </w:rPr>
        <w:t>Journal of Gambling Studies</w:t>
      </w:r>
      <w:r w:rsidRPr="0070706C">
        <w:t xml:space="preserve">, </w:t>
      </w:r>
      <w:r w:rsidRPr="0070706C">
        <w:rPr>
          <w:i/>
        </w:rPr>
        <w:t>21</w:t>
      </w:r>
      <w:r w:rsidRPr="0070706C">
        <w:t>(4), 537–558. https://doi.org/10.1007/s10899-005-5562-6</w:t>
      </w:r>
    </w:p>
    <w:p w14:paraId="13F308AB"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Accident Compensation Corporation. (2024). </w:t>
      </w:r>
      <w:r w:rsidRPr="0070706C">
        <w:rPr>
          <w:i/>
        </w:rPr>
        <w:t>Financial support if someone has died from an injury</w:t>
      </w:r>
      <w:r w:rsidRPr="0070706C">
        <w:t>. Te Kaporeihana Āwhina Hunga Whara Accident Compensation Corporation. https://www.acc.co.nz/im-injured/financial-support/financial-support-after-death#one-off-payment-for-partners-children-and-other-dependants</w:t>
      </w:r>
    </w:p>
    <w:p w14:paraId="5DB8D531"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ACIL Allen Consulting, Deakin University, Central Queensland University, &amp; Social Research Centre. (2018). </w:t>
      </w:r>
      <w:r w:rsidRPr="0070706C">
        <w:rPr>
          <w:i/>
        </w:rPr>
        <w:t>Fourth Social and Economic Impact Study of Gambling in Tasmania</w:t>
      </w:r>
      <w:r w:rsidRPr="0070706C">
        <w:t>. https://acilallen.com.au/uploads/projects/158/ACILAllen_FourthTasGambling_Vol1_2018-1581307207.pdf</w:t>
      </w:r>
    </w:p>
    <w:p w14:paraId="4F7CFEF8"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Adolphe, A., Khatib, L., van Golde, C., Gainsbury, S. M., &amp; Blaszczynski, A. (2019). Crime and gambling disorders: A systematic review. </w:t>
      </w:r>
      <w:r w:rsidRPr="0070706C">
        <w:rPr>
          <w:i/>
        </w:rPr>
        <w:t>Journal of Gambling Studies</w:t>
      </w:r>
      <w:r w:rsidRPr="0070706C">
        <w:t xml:space="preserve">, </w:t>
      </w:r>
      <w:r w:rsidRPr="0070706C">
        <w:rPr>
          <w:i/>
        </w:rPr>
        <w:t>35</w:t>
      </w:r>
      <w:r w:rsidRPr="0070706C">
        <w:t>(2), 395–414. https://doi.org/10.1007/s10899-018-9794-7</w:t>
      </w:r>
    </w:p>
    <w:p w14:paraId="62751820"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Afifi, T. O., Brownridge, D. A., MacMillan, H., &amp; Sareen, J. (2010). The relationship of gambling to intimate partner violence and child maltreatment in a nationally representative sample. </w:t>
      </w:r>
      <w:r w:rsidRPr="0070706C">
        <w:rPr>
          <w:i/>
        </w:rPr>
        <w:t>Journal of Psychiatric Research</w:t>
      </w:r>
      <w:r w:rsidRPr="0070706C">
        <w:t xml:space="preserve">, </w:t>
      </w:r>
      <w:r w:rsidRPr="0070706C">
        <w:rPr>
          <w:i/>
        </w:rPr>
        <w:t>44</w:t>
      </w:r>
      <w:r w:rsidRPr="0070706C">
        <w:t>(5), 331–337. https://doi.org/10.1016/j.jpsychires.2009.07.010</w:t>
      </w:r>
    </w:p>
    <w:p w14:paraId="547F1F3B"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Allen Consulting Group, Problem Gambling Research and Treatment Centre, and the Social Research Centre. (2011). </w:t>
      </w:r>
      <w:r w:rsidRPr="0070706C">
        <w:rPr>
          <w:i/>
        </w:rPr>
        <w:t>Social and Economic Impact Study of Gambling in Tasmania: Summary Report</w:t>
      </w:r>
      <w:r w:rsidRPr="0070706C">
        <w:t>. https://www.treasury.tas.gov.au/Documents/secondgamblingSEISsummary.PDF</w:t>
      </w:r>
    </w:p>
    <w:p w14:paraId="422E9168"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Arias, D., Saxena, S., &amp; Verguet, S. (2022). Quantifying the global burden of mental disorders and their economic value. </w:t>
      </w:r>
      <w:r w:rsidRPr="0070706C">
        <w:rPr>
          <w:i/>
        </w:rPr>
        <w:t>EClinicalMedicine</w:t>
      </w:r>
      <w:r w:rsidRPr="0070706C">
        <w:t xml:space="preserve">, </w:t>
      </w:r>
      <w:r w:rsidRPr="0070706C">
        <w:rPr>
          <w:i/>
        </w:rPr>
        <w:t>54</w:t>
      </w:r>
      <w:r w:rsidRPr="0070706C">
        <w:t>, 101675. https://doi.org/10.1016/j.eclinm.2022.101675</w:t>
      </w:r>
    </w:p>
    <w:p w14:paraId="3CF0DF60"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Australian Bureau of Statistics. (2023, October). </w:t>
      </w:r>
      <w:r w:rsidRPr="0070706C">
        <w:rPr>
          <w:i/>
        </w:rPr>
        <w:t>National Study of Mental Health and Wellbeing 2020-2022</w:t>
      </w:r>
      <w:r w:rsidRPr="0070706C">
        <w:t>. Australian Bureau of Statistics. https://www.abs.gov.au/statistics/health/mental-health/national-study-mental-health-and-wellbeing/latest-release</w:t>
      </w:r>
    </w:p>
    <w:p w14:paraId="0D134887"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Australian Gambling Research Centre. (2023). </w:t>
      </w:r>
      <w:r w:rsidRPr="0070706C">
        <w:rPr>
          <w:i/>
        </w:rPr>
        <w:t>Gambling in Australia</w:t>
      </w:r>
      <w:r w:rsidRPr="0070706C">
        <w:t>. Australian Institute of Family Studies. https://www.aihw.gov.au/reports/australias-welfare/gambling</w:t>
      </w:r>
    </w:p>
    <w:p w14:paraId="19C8BFF6"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Australian Institute for Gambling Research, University of Western Sydney. (2001). </w:t>
      </w:r>
      <w:r w:rsidRPr="0070706C">
        <w:rPr>
          <w:i/>
        </w:rPr>
        <w:t>Survey of the nature and extent of gambling and problem gambling in the ACT</w:t>
      </w:r>
      <w:r w:rsidRPr="0070706C">
        <w:t>. The ACT Gambling and Racing Commission. https://www.gamblingandracing.act.gov.au/__data/assets/pdf_file/0009/745065/Survey-of-Problem-Gambling-in-the-ACT.pdf</w:t>
      </w:r>
    </w:p>
    <w:p w14:paraId="4DF5A2B5"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Australian Institute of Criminology &amp; PricewaterhouseCoopers. (2003). </w:t>
      </w:r>
      <w:r w:rsidRPr="0070706C">
        <w:rPr>
          <w:i/>
        </w:rPr>
        <w:t>Serious Fraud in Australia and New Zealand</w:t>
      </w:r>
      <w:r w:rsidRPr="0070706C">
        <w:t>. https://www.aic.gov.au/sites/default/files/2020-05/rpp048.pdf</w:t>
      </w:r>
    </w:p>
    <w:p w14:paraId="40743658"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Australian Institute of Health and Welfare. (2009). </w:t>
      </w:r>
      <w:r w:rsidRPr="0070706C">
        <w:rPr>
          <w:i/>
        </w:rPr>
        <w:t>Problem gambling among those seeking homelessness services</w:t>
      </w:r>
      <w:r w:rsidRPr="0070706C">
        <w:t>. Australian Government. https://www.aihw.gov.au/reports/housing-assistance/problem-gambling-among-seeking-homelessness/contents/table-of-contents</w:t>
      </w:r>
    </w:p>
    <w:p w14:paraId="37C88FFA"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Bellringer, M. E., Abbott, M., Coombes, R., Brown, R. L., McKenna, B., Dyall, L., &amp; Rossen, F. V. (2009). </w:t>
      </w:r>
      <w:r w:rsidRPr="0070706C">
        <w:rPr>
          <w:i/>
        </w:rPr>
        <w:t>Formative investigation of the links between gambling (including problem gambling) and crime in New Zealand</w:t>
      </w:r>
      <w:r w:rsidRPr="0070706C">
        <w:t>.</w:t>
      </w:r>
    </w:p>
    <w:p w14:paraId="0E5E119E"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Bellringer, M. E., du Preez, K. P., Pearson, J., Garrett, N., Koziol-McLain, J., Wilson, D., &amp; Abbot, M. (2016). </w:t>
      </w:r>
      <w:r w:rsidRPr="0070706C">
        <w:rPr>
          <w:i/>
        </w:rPr>
        <w:t>Problem gambling and family violence in help-seeing populations: Co-occurrence, impact and coping</w:t>
      </w:r>
      <w:r w:rsidRPr="0070706C">
        <w:t>. https://www.health.govt.nz/system/files/2017-05/problem-gambling-family-violence-in-help-seeking-populations-may17.pdf</w:t>
      </w:r>
    </w:p>
    <w:p w14:paraId="55543CEA"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Bellringer, M. E., Janicot, S., &amp; Ikeda, T. (2023). Changes in some health and lifestyle behaviours are significantly associated with changes in gambling behaviours: Findings from a longitudinal New Zealand population study. </w:t>
      </w:r>
      <w:r w:rsidRPr="0070706C">
        <w:rPr>
          <w:i/>
        </w:rPr>
        <w:t>Addictive Behaviors</w:t>
      </w:r>
      <w:r w:rsidRPr="0070706C">
        <w:t>, 107886. https://doi.org/10.1016/j.addbeh.2023.107886</w:t>
      </w:r>
    </w:p>
    <w:p w14:paraId="4FA038B7"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Bellringer, M. E., Janicot, S., Ikeda, T., Lowe, G., Garrett, N., &amp; Abbott, M. (2020). </w:t>
      </w:r>
      <w:r w:rsidRPr="0070706C">
        <w:rPr>
          <w:i/>
        </w:rPr>
        <w:t>New Zealand National Gambling Study: Correspondence between changes in gambling and gambling risk levels and health, quality of life, and health and social inequities. NGS series report number 9</w:t>
      </w:r>
      <w:r w:rsidRPr="0070706C">
        <w:t>. Auckland University of Technology, Gambling and Addictions Research Centre. https://garc.aut.ac.nz/__data/assets/pdf_file/0010/506377/NGS-secondary-analysis-health-correlates-final-report-7-September-2020.pdf</w:t>
      </w:r>
    </w:p>
    <w:p w14:paraId="616C4E00"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Bellringer, M. E., Lowe, G., Paavonen, A.-M., Palmer du Preez, K., Garrett, N., &amp; Abbott, M. (2019). </w:t>
      </w:r>
      <w:r w:rsidRPr="0070706C">
        <w:rPr>
          <w:i/>
        </w:rPr>
        <w:t>New Zealand National Gambling Study: Qualitative phase. NGS Series Report number 8</w:t>
      </w:r>
      <w:r w:rsidRPr="0070706C">
        <w:t>. Auckland: Auckland University of Technology, Gambling and Addictions Research Centre. https://www.health.govt.nz/system/files/documents/publications/new-zealand-national-gambling-study-qualitative-phase-9oct2019.pdf</w:t>
      </w:r>
    </w:p>
    <w:p w14:paraId="1F35D668"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Berman, A. L. (2011). Estimating the population of survivors of suicide: seeking an evidence base. </w:t>
      </w:r>
      <w:r w:rsidRPr="0070706C">
        <w:rPr>
          <w:i/>
        </w:rPr>
        <w:t>Suicide &amp; Life-Threatening Behavior</w:t>
      </w:r>
      <w:r w:rsidRPr="0070706C">
        <w:t xml:space="preserve">, </w:t>
      </w:r>
      <w:r w:rsidRPr="0070706C">
        <w:rPr>
          <w:i/>
        </w:rPr>
        <w:t>41</w:t>
      </w:r>
      <w:r w:rsidRPr="0070706C">
        <w:t>(1), 110–116. https://doi.org/10.1111/j.1943-278X.2010.00009.x</w:t>
      </w:r>
    </w:p>
    <w:p w14:paraId="2F1C2E8B"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Bhattacharjee, A., Dolton, P., Mosley, M., &amp; Pabst, A. (2023). </w:t>
      </w:r>
      <w:r w:rsidRPr="0070706C">
        <w:rPr>
          <w:i/>
        </w:rPr>
        <w:t>The fiscal costs and benefits of problem gambling: Towards better estimates</w:t>
      </w:r>
      <w:r w:rsidRPr="0070706C">
        <w:t>. The National Institute of Economic and Social Research. https://www.niesr.ac.uk/wp-content/uploads/2023/04/The-Fiscal-Costs-and-Benefits-of-Problem-Gambling.pdf</w:t>
      </w:r>
    </w:p>
    <w:p w14:paraId="603DD84E"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Black, D. W., Shaw, M., McCormick, B., &amp; Allen, J. (2013). Pathological gambling: relationship to obesity, self-reported chronic medical conditions, poor lifestyle choices, and impaired quality of life. </w:t>
      </w:r>
      <w:r w:rsidRPr="0070706C">
        <w:rPr>
          <w:i/>
        </w:rPr>
        <w:t>Comprehensive Psychiatry</w:t>
      </w:r>
      <w:r w:rsidRPr="0070706C">
        <w:t xml:space="preserve">, </w:t>
      </w:r>
      <w:r w:rsidRPr="0070706C">
        <w:rPr>
          <w:i/>
        </w:rPr>
        <w:t>54</w:t>
      </w:r>
      <w:r w:rsidRPr="0070706C">
        <w:t>(2), 97–104. https://doi.org/10.1016/j.comppsych.2012.07.001</w:t>
      </w:r>
    </w:p>
    <w:p w14:paraId="37589BC6" w14:textId="2B1A5EBA" w:rsidR="00645029" w:rsidRDefault="00645029" w:rsidP="00367A8D">
      <w:pPr>
        <w:widowControl w:val="0"/>
        <w:pBdr>
          <w:top w:val="nil"/>
          <w:left w:val="nil"/>
          <w:bottom w:val="nil"/>
          <w:right w:val="nil"/>
          <w:between w:val="nil"/>
        </w:pBdr>
        <w:spacing w:line="360" w:lineRule="auto"/>
        <w:ind w:left="720" w:hanging="720"/>
      </w:pPr>
      <w:r w:rsidRPr="0070706C">
        <w:t xml:space="preserve">Breen, H., &amp; Gainsbury, S. (2013). Aboriginal gambling and problem gambling: A review. </w:t>
      </w:r>
      <w:r w:rsidRPr="0070706C">
        <w:rPr>
          <w:i/>
        </w:rPr>
        <w:t>International Journal of Mental Health and Addiction</w:t>
      </w:r>
      <w:r w:rsidRPr="0070706C">
        <w:t xml:space="preserve">, </w:t>
      </w:r>
      <w:r w:rsidRPr="0070706C">
        <w:rPr>
          <w:i/>
        </w:rPr>
        <w:t>11</w:t>
      </w:r>
      <w:r w:rsidRPr="0070706C">
        <w:t xml:space="preserve">(1), 75–96. </w:t>
      </w:r>
      <w:hyperlink r:id="rId28" w:history="1">
        <w:r w:rsidR="0008762F" w:rsidRPr="0008762F">
          <w:rPr>
            <w:rStyle w:val="Hyperlink"/>
          </w:rPr>
          <w:t>https://doi.org/10.1007/s11469-012-9400-</w:t>
        </w:r>
        <w:r w:rsidR="0008762F" w:rsidRPr="00325653">
          <w:rPr>
            <w:rStyle w:val="Hyperlink"/>
          </w:rPr>
          <w:t>7</w:t>
        </w:r>
      </w:hyperlink>
    </w:p>
    <w:p w14:paraId="6172EEF9" w14:textId="437E2BDB" w:rsidR="0008762F" w:rsidRPr="0070706C" w:rsidRDefault="0008762F" w:rsidP="00367A8D">
      <w:pPr>
        <w:widowControl w:val="0"/>
        <w:pBdr>
          <w:top w:val="nil"/>
          <w:left w:val="nil"/>
          <w:bottom w:val="nil"/>
          <w:right w:val="nil"/>
          <w:between w:val="nil"/>
        </w:pBdr>
        <w:spacing w:line="360" w:lineRule="auto"/>
        <w:ind w:left="720" w:hanging="720"/>
      </w:pPr>
      <w:r w:rsidRPr="0008762F">
        <w:t xml:space="preserve">Brennan, A., Meier, P., Purshouse, R., Rafia, R., Meng, Y., Hill-Macmanus, D., et al. (2015). The Sheffield Alcohol Policy Model – A mathematical description. </w:t>
      </w:r>
      <w:r w:rsidRPr="00001C68">
        <w:rPr>
          <w:i/>
          <w:iCs/>
        </w:rPr>
        <w:t>Health Economics</w:t>
      </w:r>
      <w:r w:rsidRPr="0008762F">
        <w:t xml:space="preserve">, </w:t>
      </w:r>
      <w:r w:rsidRPr="00001C68">
        <w:rPr>
          <w:i/>
          <w:iCs/>
        </w:rPr>
        <w:t>24(10)</w:t>
      </w:r>
      <w:r w:rsidRPr="0008762F">
        <w:t>, 1368–1388. https://doi.org/10.1002/hec.3105</w:t>
      </w:r>
    </w:p>
    <w:p w14:paraId="571D3431"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Browne, M., Delfabbro, P., Thorne, H. B., Tulloch, C., Rockloff, M. J., Hing, N., Dowling, N. A., &amp; Stevens, M. (2023). Unambiguous evidence that over half of gambling problems in Australia are caused by electronic gambling machines: Results from a large-scale composite population study. </w:t>
      </w:r>
      <w:r w:rsidRPr="0070706C">
        <w:rPr>
          <w:i/>
        </w:rPr>
        <w:t>Journal of Behavioral Addictions</w:t>
      </w:r>
      <w:r w:rsidRPr="0070706C">
        <w:t>. https://doi.org/10.1556/2006.2022.00083</w:t>
      </w:r>
    </w:p>
    <w:p w14:paraId="693A67E2"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Browne, M., Greer, N., Armstrong, T., Doran, C., Kinchin, I., Langham, E., Rockloff, M., &amp; Others. (2017). </w:t>
      </w:r>
      <w:r w:rsidRPr="0070706C">
        <w:rPr>
          <w:i/>
        </w:rPr>
        <w:t>The social cost of gambling to Victoria</w:t>
      </w:r>
      <w:r w:rsidRPr="0070706C">
        <w:t>.</w:t>
      </w:r>
    </w:p>
    <w:p w14:paraId="4E17D962"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Browne, M., Newall, P. W. S., Rawat, V., Tulloch, C., Rockloff, M., Li, E., Hing, N., Russell, A., &amp; Begg, S. (2022). </w:t>
      </w:r>
      <w:r w:rsidRPr="0070706C">
        <w:rPr>
          <w:i/>
        </w:rPr>
        <w:t>The gambling harms scales: Instruments to assess impact to gamblers and affected others that are benchmarked to health utility</w:t>
      </w:r>
      <w:r w:rsidRPr="0070706C">
        <w:t>. Victorian Responsible Gambling Foundation. https://research-information.bris.ac.uk/en/publications/the-gambling-harms-scales-instruments-to-assess-impact-to-gambler</w:t>
      </w:r>
    </w:p>
    <w:p w14:paraId="2299A66D" w14:textId="4505C208" w:rsidR="00645029" w:rsidRPr="0070706C" w:rsidRDefault="00645029" w:rsidP="00367A8D">
      <w:pPr>
        <w:widowControl w:val="0"/>
        <w:pBdr>
          <w:top w:val="nil"/>
          <w:left w:val="nil"/>
          <w:bottom w:val="nil"/>
          <w:right w:val="nil"/>
          <w:between w:val="nil"/>
        </w:pBdr>
        <w:spacing w:line="360" w:lineRule="auto"/>
        <w:ind w:left="720" w:hanging="720"/>
      </w:pPr>
      <w:r w:rsidRPr="0070706C">
        <w:t>Browne, M</w:t>
      </w:r>
      <w:r w:rsidR="00224E62" w:rsidRPr="0070706C">
        <w:t>.</w:t>
      </w:r>
      <w:r w:rsidRPr="0070706C">
        <w:t xml:space="preserve">, Bellringer, M., Greer, N., Kolandai-Matchett, K., Rawat, V., Langham, E., Rockloff, M., Palmer, K., DuPreez, &amp; Abbott, M. (2017). </w:t>
      </w:r>
      <w:r w:rsidRPr="0070706C">
        <w:rPr>
          <w:i/>
        </w:rPr>
        <w:t>Measuring the burden of gambling harm in New Zealand</w:t>
      </w:r>
      <w:r w:rsidRPr="0070706C">
        <w:t>. https://www.health.govt.nz/system/files/documents/publications/measuring_the_burden_of_gambling_harm_in_new_zealand.pdf</w:t>
      </w:r>
    </w:p>
    <w:p w14:paraId="224039E5" w14:textId="3740A2BD" w:rsidR="00645029" w:rsidRPr="0070706C" w:rsidRDefault="00645029" w:rsidP="00367A8D">
      <w:pPr>
        <w:widowControl w:val="0"/>
        <w:pBdr>
          <w:top w:val="nil"/>
          <w:left w:val="nil"/>
          <w:bottom w:val="nil"/>
          <w:right w:val="nil"/>
          <w:between w:val="nil"/>
        </w:pBdr>
        <w:spacing w:line="360" w:lineRule="auto"/>
        <w:ind w:left="720" w:hanging="720"/>
      </w:pPr>
      <w:r w:rsidRPr="0070706C">
        <w:t>Browne, M</w:t>
      </w:r>
      <w:r w:rsidR="00224E62" w:rsidRPr="0070706C">
        <w:t>.</w:t>
      </w:r>
      <w:r w:rsidRPr="0070706C">
        <w:t xml:space="preserve">, Langham, E., Rawat, V., Greer, N., Li, E., Rose, J., Rockloff, M., Donaldson, P., Thorne, H., Goodwin, B., Bryden, G., &amp; Best, T. (2016). </w:t>
      </w:r>
      <w:r w:rsidRPr="0070706C">
        <w:rPr>
          <w:i/>
        </w:rPr>
        <w:t>Assessing gambling-related harm in Victoria: A public health perspective</w:t>
      </w:r>
      <w:r w:rsidRPr="0070706C">
        <w:t>. https://responsiblegambling.vic.gov.au/resources/publications/assessing-gambling-related-harm-in-victoria-a-public-health-perspective-69/</w:t>
      </w:r>
    </w:p>
    <w:p w14:paraId="36661691" w14:textId="09DFB1BD" w:rsidR="00645029" w:rsidRPr="0070706C" w:rsidRDefault="00645029" w:rsidP="00367A8D">
      <w:pPr>
        <w:widowControl w:val="0"/>
        <w:pBdr>
          <w:top w:val="nil"/>
          <w:left w:val="nil"/>
          <w:bottom w:val="nil"/>
          <w:right w:val="nil"/>
          <w:between w:val="nil"/>
        </w:pBdr>
        <w:spacing w:line="360" w:lineRule="auto"/>
        <w:ind w:left="720" w:hanging="720"/>
      </w:pPr>
      <w:r w:rsidRPr="0070706C">
        <w:t>Browne, M</w:t>
      </w:r>
      <w:r w:rsidR="00224E62" w:rsidRPr="0070706C">
        <w:t>.</w:t>
      </w:r>
      <w:r w:rsidRPr="0070706C">
        <w:t xml:space="preserve">, Rawat, V., Newall, P., Begg, S., Rockloff, M., &amp; Hing, N. (2020). A framework for indirect elicitation of the public health impact of gambling problems. </w:t>
      </w:r>
      <w:r w:rsidRPr="0070706C">
        <w:rPr>
          <w:i/>
        </w:rPr>
        <w:t>BMC Public Health</w:t>
      </w:r>
      <w:r w:rsidRPr="0070706C">
        <w:t xml:space="preserve">, </w:t>
      </w:r>
      <w:r w:rsidRPr="0070706C">
        <w:rPr>
          <w:i/>
        </w:rPr>
        <w:t>20</w:t>
      </w:r>
      <w:r w:rsidRPr="0070706C">
        <w:t>(1), 1717. https://doi.org/10.1186/s12889-020-09813-z</w:t>
      </w:r>
    </w:p>
    <w:p w14:paraId="0331EE95" w14:textId="08373458" w:rsidR="00645029" w:rsidRPr="0070706C" w:rsidRDefault="00645029" w:rsidP="00367A8D">
      <w:pPr>
        <w:widowControl w:val="0"/>
        <w:pBdr>
          <w:top w:val="nil"/>
          <w:left w:val="nil"/>
          <w:bottom w:val="nil"/>
          <w:right w:val="nil"/>
          <w:between w:val="nil"/>
        </w:pBdr>
        <w:spacing w:line="360" w:lineRule="auto"/>
        <w:ind w:left="720" w:hanging="720"/>
      </w:pPr>
      <w:r w:rsidRPr="0070706C">
        <w:t>Browne, M</w:t>
      </w:r>
      <w:r w:rsidR="00224E62" w:rsidRPr="0070706C">
        <w:t>.</w:t>
      </w:r>
      <w:r w:rsidRPr="0070706C">
        <w:t xml:space="preserve">, &amp; Rockloff, M. J. (2018). Prevalence of gambling-related harm provides evidence for the prevention paradox. </w:t>
      </w:r>
      <w:r w:rsidRPr="0070706C">
        <w:rPr>
          <w:i/>
        </w:rPr>
        <w:t>Journal of Behavioral Addictions</w:t>
      </w:r>
      <w:r w:rsidRPr="0070706C">
        <w:t xml:space="preserve">, </w:t>
      </w:r>
      <w:r w:rsidRPr="0070706C">
        <w:rPr>
          <w:i/>
        </w:rPr>
        <w:t>7</w:t>
      </w:r>
      <w:r w:rsidRPr="0070706C">
        <w:t>(2), 410–422. https://doi.org/10.1556/2006.7.2018.41</w:t>
      </w:r>
    </w:p>
    <w:p w14:paraId="356208D8" w14:textId="4B3E1A3C" w:rsidR="00645029" w:rsidRPr="0070706C" w:rsidRDefault="00645029" w:rsidP="00367A8D">
      <w:pPr>
        <w:widowControl w:val="0"/>
        <w:pBdr>
          <w:top w:val="nil"/>
          <w:left w:val="nil"/>
          <w:bottom w:val="nil"/>
          <w:right w:val="nil"/>
          <w:between w:val="nil"/>
        </w:pBdr>
        <w:spacing w:line="360" w:lineRule="auto"/>
        <w:ind w:left="720" w:hanging="720"/>
      </w:pPr>
      <w:r w:rsidRPr="0070706C">
        <w:t>Browne, M</w:t>
      </w:r>
      <w:r w:rsidR="00224E62" w:rsidRPr="0070706C">
        <w:t>.</w:t>
      </w:r>
      <w:r w:rsidRPr="0070706C">
        <w:t xml:space="preserve">, Tulloch, C., Rawat, V., Dellosa, G., Russell, A. M. T., Hing, N., Rockloff, M., &amp; Doran, C. (2025). </w:t>
      </w:r>
      <w:r w:rsidRPr="0070706C">
        <w:rPr>
          <w:i/>
        </w:rPr>
        <w:t>The Social Costs of Gambling to Victoria, 2023</w:t>
      </w:r>
      <w:r w:rsidRPr="0070706C">
        <w:t>. State Government of Victoria. https://www.justice.vic.gov.au/safer-communities/gambling/social-costs-of-gambling-to-victoria-2023.</w:t>
      </w:r>
    </w:p>
    <w:p w14:paraId="4A7AC869" w14:textId="018B740E" w:rsidR="00645029" w:rsidRPr="0070706C" w:rsidRDefault="00645029" w:rsidP="00367A8D">
      <w:pPr>
        <w:widowControl w:val="0"/>
        <w:pBdr>
          <w:top w:val="nil"/>
          <w:left w:val="nil"/>
          <w:bottom w:val="nil"/>
          <w:right w:val="nil"/>
          <w:between w:val="nil"/>
        </w:pBdr>
        <w:spacing w:line="360" w:lineRule="auto"/>
        <w:ind w:left="720" w:hanging="720"/>
      </w:pPr>
      <w:r w:rsidRPr="0070706C">
        <w:t>Browne, M</w:t>
      </w:r>
      <w:r w:rsidR="00224E62" w:rsidRPr="0070706C">
        <w:t>.</w:t>
      </w:r>
      <w:r w:rsidRPr="0070706C">
        <w:t xml:space="preserve">, Tulloch, C., &amp; Rockloff, M. (2025). It is crucial to ground harm as an impact to health-related quality of life. </w:t>
      </w:r>
      <w:r w:rsidRPr="0070706C">
        <w:rPr>
          <w:i/>
        </w:rPr>
        <w:t>Current Addiction Reports</w:t>
      </w:r>
      <w:r w:rsidRPr="0070706C">
        <w:t>. https://doi.org/10.1007/s40429-025-00647-6</w:t>
      </w:r>
    </w:p>
    <w:p w14:paraId="61066B44"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Butler, N., Quigg, Z., Bates, R., Sayle, M., &amp; Ewart, H. (2020). Gambling with your health: Associations between gambling problem severity and health risk behaviours, health and wellbeing. </w:t>
      </w:r>
      <w:r w:rsidRPr="0070706C">
        <w:rPr>
          <w:i/>
        </w:rPr>
        <w:t>Journal of Gambling Studies</w:t>
      </w:r>
      <w:r w:rsidRPr="0070706C">
        <w:t xml:space="preserve">, </w:t>
      </w:r>
      <w:r w:rsidRPr="0070706C">
        <w:rPr>
          <w:i/>
        </w:rPr>
        <w:t>36</w:t>
      </w:r>
      <w:r w:rsidRPr="0070706C">
        <w:t>(2), 527–538. https://doi.org/10.1007/s10899-019-09902-8</w:t>
      </w:r>
    </w:p>
    <w:p w14:paraId="104732A4"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Campbell, C. S., &amp; Marshall, D. (2007). </w:t>
      </w:r>
      <w:r w:rsidRPr="0070706C">
        <w:rPr>
          <w:i/>
        </w:rPr>
        <w:t>Gambling and crime</w:t>
      </w:r>
      <w:r w:rsidRPr="0070706C">
        <w:t>. https://espace.library.uq.edu.au/view/UQ:195787</w:t>
      </w:r>
    </w:p>
    <w:p w14:paraId="783FB4DC"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Canale, N., Vieno, A., &amp; Griffiths, M. D. (2016). The extent and distribution of gambling-related harms and the prevention paradox in a British population survey. </w:t>
      </w:r>
      <w:r w:rsidRPr="0070706C">
        <w:rPr>
          <w:i/>
        </w:rPr>
        <w:t>Journal of Behavioral Addictions</w:t>
      </w:r>
      <w:r w:rsidRPr="0070706C">
        <w:t xml:space="preserve">, </w:t>
      </w:r>
      <w:r w:rsidRPr="0070706C">
        <w:rPr>
          <w:i/>
        </w:rPr>
        <w:t>5</w:t>
      </w:r>
      <w:r w:rsidRPr="0070706C">
        <w:t>(2), 204–212. https://doi.org/10.1556/2006.5.2016.023</w:t>
      </w:r>
    </w:p>
    <w:p w14:paraId="084F8DE6"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Castrén, S., Lind, K., Hagfors, H., &amp; Salonen, A. H. (2021). Gambling-related harms for affected others: A Finnish population-based survey. </w:t>
      </w:r>
      <w:r w:rsidRPr="0070706C">
        <w:rPr>
          <w:i/>
        </w:rPr>
        <w:t>Environmental Research and Public Health</w:t>
      </w:r>
      <w:r w:rsidRPr="0070706C">
        <w:t xml:space="preserve">, </w:t>
      </w:r>
      <w:r w:rsidRPr="0070706C">
        <w:rPr>
          <w:i/>
        </w:rPr>
        <w:t>18</w:t>
      </w:r>
      <w:r w:rsidRPr="0070706C">
        <w:t>, 9564. https://doi.org/10.3390/ijerph18189564</w:t>
      </w:r>
    </w:p>
    <w:p w14:paraId="030C4F7A"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CEIC. (2025). </w:t>
      </w:r>
      <w:r w:rsidRPr="0070706C">
        <w:rPr>
          <w:i/>
        </w:rPr>
        <w:t>New Zealand GDP per Capita</w:t>
      </w:r>
      <w:r w:rsidRPr="0070706C">
        <w:t>. CEIC. https://www.ceicdata.com/en/indicator/new-zealand/gdp-per-capita#:~:text=New%20Zealand%20Gross%20Domestic%20Product,average%20number%20of%2013%2C450.383%20USD.</w:t>
      </w:r>
    </w:p>
    <w:p w14:paraId="5F7643E1"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Centre for Social and Health Outcomes Research and Evaluation &amp; Te Ropu Whariki. (2008). </w:t>
      </w:r>
      <w:r w:rsidRPr="0070706C">
        <w:rPr>
          <w:i/>
        </w:rPr>
        <w:t>Assessment of the Social Impacts of Gambling in New Zealand: Report to Ministry of Health</w:t>
      </w:r>
      <w:r w:rsidRPr="0070706C">
        <w:t>. https://www.health.govt.nz/system/files/documents/publications/social-impacts-gambling-nz08.pdf</w:t>
      </w:r>
    </w:p>
    <w:p w14:paraId="08CD4ECE"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Cerel, J., Brown, M. M., Maple, M., Singleton, M., van de Venne, J., Moore, M., &amp; Flaherty, C. (2019). How many people are exposed to suicide? Not six. </w:t>
      </w:r>
      <w:r w:rsidRPr="0070706C">
        <w:rPr>
          <w:i/>
        </w:rPr>
        <w:t>Suicide &amp; Life-Threatening Behavior</w:t>
      </w:r>
      <w:r w:rsidRPr="0070706C">
        <w:t xml:space="preserve">, </w:t>
      </w:r>
      <w:r w:rsidRPr="0070706C">
        <w:rPr>
          <w:i/>
        </w:rPr>
        <w:t>49</w:t>
      </w:r>
      <w:r w:rsidRPr="0070706C">
        <w:t>(2), 529–534. https://doi.org/10.1111/sltb.12450</w:t>
      </w:r>
    </w:p>
    <w:p w14:paraId="0E82873B"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Cerel, J., McIntosh, J. L., Neimeyer, R. A., Maple, M., &amp; Marshall, D. (2014). The continuum of “survivorship”: definitional issues in the aftermath of suicide. </w:t>
      </w:r>
      <w:r w:rsidRPr="0070706C">
        <w:rPr>
          <w:i/>
        </w:rPr>
        <w:t>Suicide &amp; Life-Threatening Behavior</w:t>
      </w:r>
      <w:r w:rsidRPr="0070706C">
        <w:t xml:space="preserve">, </w:t>
      </w:r>
      <w:r w:rsidRPr="0070706C">
        <w:rPr>
          <w:i/>
        </w:rPr>
        <w:t>44</w:t>
      </w:r>
      <w:r w:rsidRPr="0070706C">
        <w:t>(6), 591–600. https://doi.org/10.1111/sltb.12093</w:t>
      </w:r>
    </w:p>
    <w:p w14:paraId="5A76D9A1"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Charalampous, P., Polinder, S., Wothge, J., von der Lippe, E., &amp; Haagsma, J. A. (2022). A systematic literature review of disability weights measurement studies: evolution of methodological choices. </w:t>
      </w:r>
      <w:r w:rsidRPr="0070706C">
        <w:rPr>
          <w:i/>
        </w:rPr>
        <w:t>Archives of Public Health = Archives Belges de Sante Publique</w:t>
      </w:r>
      <w:r w:rsidRPr="0070706C">
        <w:t xml:space="preserve">, </w:t>
      </w:r>
      <w:r w:rsidRPr="0070706C">
        <w:rPr>
          <w:i/>
        </w:rPr>
        <w:t>80</w:t>
      </w:r>
      <w:r w:rsidRPr="0070706C">
        <w:t>(1), 91. https://doi.org/10.1186/s13690-022-00860-z</w:t>
      </w:r>
    </w:p>
    <w:p w14:paraId="5BCEEA15"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Christensen, D. R., Dowling, N. A., Jackson, A. C., &amp; Thomas, S. A. (2015). Gambling participation and problem gambling severity in a stratified random survey: Findings from the Second Social and Economic Impact Study of Gambling in Tasmania. </w:t>
      </w:r>
      <w:r w:rsidRPr="0070706C">
        <w:rPr>
          <w:i/>
        </w:rPr>
        <w:t>Journal of Gambling Studies</w:t>
      </w:r>
      <w:r w:rsidRPr="0070706C">
        <w:t xml:space="preserve">, </w:t>
      </w:r>
      <w:r w:rsidRPr="0070706C">
        <w:rPr>
          <w:i/>
        </w:rPr>
        <w:t>31</w:t>
      </w:r>
      <w:r w:rsidRPr="0070706C">
        <w:t>(4), 1317–1335. https://doi.org/10.1007/s10899-014-9495-9</w:t>
      </w:r>
    </w:p>
    <w:p w14:paraId="7BF6384B"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Crisp, B. R., Thomas, S. A., Jackson, A. C., Smith, S., Borrell, J., Ho, W. Y., Holt, T. A., &amp; Thomason, N. (2004). Not the same: A comparison of female and male clients seeking treatment from problem gambling counselling services. </w:t>
      </w:r>
      <w:r w:rsidRPr="0070706C">
        <w:rPr>
          <w:i/>
        </w:rPr>
        <w:t>Journal of Gambling Studies</w:t>
      </w:r>
      <w:r w:rsidRPr="0070706C">
        <w:t xml:space="preserve">, </w:t>
      </w:r>
      <w:r w:rsidRPr="0070706C">
        <w:rPr>
          <w:i/>
        </w:rPr>
        <w:t>20</w:t>
      </w:r>
      <w:r w:rsidRPr="0070706C">
        <w:t>(3), 283–299. https://doi.org/10.1023/B:JOGS.0000040280.64348.d1</w:t>
      </w:r>
    </w:p>
    <w:p w14:paraId="6ADB2B02"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Darbyshire, P., Oster, C., &amp; Carrig, H. (2001). The experience of pervasive loss: Children and young people living in a family where parental gambling is a problem. </w:t>
      </w:r>
      <w:r w:rsidRPr="0070706C">
        <w:rPr>
          <w:i/>
        </w:rPr>
        <w:t>Journal of Gambling Studies</w:t>
      </w:r>
      <w:r w:rsidRPr="0070706C">
        <w:t xml:space="preserve">, </w:t>
      </w:r>
      <w:r w:rsidRPr="0070706C">
        <w:rPr>
          <w:i/>
        </w:rPr>
        <w:t>17</w:t>
      </w:r>
      <w:r w:rsidRPr="0070706C">
        <w:t>(1), 23–45. https://doi.org/10.1023/a:1014536315167</w:t>
      </w:r>
    </w:p>
    <w:p w14:paraId="1A373B7F"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De Castella, A., Bolding, P., Lee, A., Cosic, S., &amp; Kulkarni, J. (2011). </w:t>
      </w:r>
      <w:r w:rsidRPr="0070706C">
        <w:rPr>
          <w:i/>
        </w:rPr>
        <w:t>Problem gambling in people presenting to a public mental health service</w:t>
      </w:r>
      <w:r w:rsidRPr="0070706C">
        <w:t>.</w:t>
      </w:r>
    </w:p>
    <w:p w14:paraId="237E5C02"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Delfabbro, P., &amp; King, D. (2017). Prevention paradox logic and problem gambling: Does low-risk gambling impose a greater burden of harm than high-risk gambling? </w:t>
      </w:r>
      <w:r w:rsidRPr="0070706C">
        <w:rPr>
          <w:i/>
        </w:rPr>
        <w:t>Journal of Behavioral Addictions</w:t>
      </w:r>
      <w:r w:rsidRPr="0070706C">
        <w:t xml:space="preserve">, </w:t>
      </w:r>
      <w:r w:rsidRPr="0070706C">
        <w:rPr>
          <w:i/>
        </w:rPr>
        <w:t>6</w:t>
      </w:r>
      <w:r w:rsidRPr="0070706C">
        <w:t>(2), 163–167. https://doi.org/10.1556/2006.6.2017.022</w:t>
      </w:r>
    </w:p>
    <w:p w14:paraId="0A54FCF5"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Dennison, C. R., Finkeldey, J. G., &amp; Rocheleau, G. C. (2021). Confounding bias in the relationship between problem gambling and crime. </w:t>
      </w:r>
      <w:r w:rsidRPr="0070706C">
        <w:rPr>
          <w:i/>
        </w:rPr>
        <w:t>Journal of Gambling Studies</w:t>
      </w:r>
      <w:r w:rsidRPr="0070706C">
        <w:t xml:space="preserve">, </w:t>
      </w:r>
      <w:r w:rsidRPr="0070706C">
        <w:rPr>
          <w:i/>
        </w:rPr>
        <w:t>37</w:t>
      </w:r>
      <w:r w:rsidRPr="0070706C">
        <w:t>(2), 427–444. https://doi.org/10.1007/s10899-020-09939-0</w:t>
      </w:r>
    </w:p>
    <w:p w14:paraId="3354DEAC" w14:textId="0E2E5185" w:rsidR="00645029" w:rsidRDefault="00645029" w:rsidP="00367A8D">
      <w:pPr>
        <w:widowControl w:val="0"/>
        <w:pBdr>
          <w:top w:val="nil"/>
          <w:left w:val="nil"/>
          <w:bottom w:val="nil"/>
          <w:right w:val="nil"/>
          <w:between w:val="nil"/>
        </w:pBdr>
        <w:spacing w:line="360" w:lineRule="auto"/>
        <w:ind w:left="720" w:hanging="720"/>
      </w:pPr>
      <w:r w:rsidRPr="0070706C">
        <w:t xml:space="preserve">Department of Corrections. (2023). </w:t>
      </w:r>
      <w:r w:rsidRPr="0070706C">
        <w:rPr>
          <w:i/>
        </w:rPr>
        <w:t>Annual Report 2022/23</w:t>
      </w:r>
      <w:r w:rsidRPr="0070706C">
        <w:t xml:space="preserve">. </w:t>
      </w:r>
      <w:hyperlink r:id="rId29" w:history="1">
        <w:r w:rsidR="00204ABB" w:rsidRPr="00325653">
          <w:rPr>
            <w:rStyle w:val="Hyperlink"/>
          </w:rPr>
          <w:t>https://www.corrections.govt.nz/__data/assets/pdf_file/0007/50578/Annual_Report_2023_v20.pdf</w:t>
        </w:r>
      </w:hyperlink>
    </w:p>
    <w:p w14:paraId="0E726812" w14:textId="598F5B1F" w:rsidR="00AF7D64" w:rsidRDefault="00AF7D64" w:rsidP="00AF7D64">
      <w:pPr>
        <w:widowControl w:val="0"/>
        <w:pBdr>
          <w:top w:val="nil"/>
          <w:left w:val="nil"/>
          <w:bottom w:val="nil"/>
          <w:right w:val="nil"/>
          <w:between w:val="nil"/>
        </w:pBdr>
        <w:spacing w:line="360" w:lineRule="auto"/>
        <w:ind w:left="720" w:hanging="720"/>
      </w:pPr>
      <w:r w:rsidRPr="00BB3C33">
        <w:rPr>
          <w:rFonts w:ascii="Arial" w:eastAsia="Arial" w:hAnsi="Arial" w:cs="Arial"/>
          <w:sz w:val="22"/>
          <w:szCs w:val="22"/>
          <w:lang w:val="en-GB"/>
        </w:rPr>
        <w:t xml:space="preserve">Department of Corrections. (n.d.). </w:t>
      </w:r>
      <w:r w:rsidRPr="00BB3C33">
        <w:rPr>
          <w:rFonts w:ascii="Arial" w:eastAsia="Arial" w:hAnsi="Arial" w:cs="Arial"/>
          <w:i/>
          <w:iCs/>
          <w:sz w:val="22"/>
          <w:szCs w:val="22"/>
          <w:lang w:val="en-GB"/>
        </w:rPr>
        <w:t>Parole</w:t>
      </w:r>
      <w:r w:rsidRPr="00BB3C33">
        <w:rPr>
          <w:rFonts w:ascii="Arial" w:eastAsia="Arial" w:hAnsi="Arial" w:cs="Arial"/>
          <w:sz w:val="22"/>
          <w:szCs w:val="22"/>
          <w:lang w:val="en-GB"/>
        </w:rPr>
        <w:t>. Department of Corrections. Retrieved 2025, from https://www.corrections.govt.nz/our_work/in_prison/release/parole</w:t>
      </w:r>
    </w:p>
    <w:p w14:paraId="26A47080" w14:textId="1FDAE2DA" w:rsidR="00204ABB" w:rsidRPr="0070706C" w:rsidRDefault="00204ABB" w:rsidP="00367A8D">
      <w:pPr>
        <w:widowControl w:val="0"/>
        <w:pBdr>
          <w:top w:val="nil"/>
          <w:left w:val="nil"/>
          <w:bottom w:val="nil"/>
          <w:right w:val="nil"/>
          <w:between w:val="nil"/>
        </w:pBdr>
        <w:spacing w:line="360" w:lineRule="auto"/>
        <w:ind w:left="720" w:hanging="720"/>
      </w:pPr>
      <w:r w:rsidRPr="00204ABB">
        <w:t>Department of Internal Affairs. (</w:t>
      </w:r>
      <w:r>
        <w:t>2025</w:t>
      </w:r>
      <w:r w:rsidRPr="00204ABB">
        <w:t xml:space="preserve">). Class 4 gambling venue and gaming machine numbers – quarterly lists [Dataset]. </w:t>
      </w:r>
      <w:r w:rsidRPr="00001C68">
        <w:rPr>
          <w:i/>
          <w:iCs/>
        </w:rPr>
        <w:t>New Zealand Government</w:t>
      </w:r>
      <w:r w:rsidRPr="00204ABB">
        <w:t>.</w:t>
      </w:r>
      <w:r>
        <w:t xml:space="preserve"> Retrieved July 2, 2025, from</w:t>
      </w:r>
      <w:r w:rsidRPr="00204ABB">
        <w:t xml:space="preserve"> https://catalogue.data.govt.nz/dataset/class-4-gambling-venue-and-gaming-machine-numbers-quarterly-lists/resource/556b7137-afb9-464c-87f2-b46c265238d9</w:t>
      </w:r>
    </w:p>
    <w:p w14:paraId="52558D69"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Department of Internal Affairs. (2024). </w:t>
      </w:r>
      <w:r w:rsidRPr="0070706C">
        <w:rPr>
          <w:i/>
        </w:rPr>
        <w:t>The Estimates of Appropriations 2024/25 - Finance and Government Administration Sector</w:t>
      </w:r>
      <w:r w:rsidRPr="0070706C">
        <w:t>. New Zealand Treasury. https://www.treasury.govt.nz/sites/default/files/2024-06/est24-v4-intaff.pdf</w:t>
      </w:r>
    </w:p>
    <w:p w14:paraId="33D31B90" w14:textId="6ADC245F" w:rsidR="00645029" w:rsidRDefault="00645029" w:rsidP="00367A8D">
      <w:pPr>
        <w:widowControl w:val="0"/>
        <w:pBdr>
          <w:top w:val="nil"/>
          <w:left w:val="nil"/>
          <w:bottom w:val="nil"/>
          <w:right w:val="nil"/>
          <w:between w:val="nil"/>
        </w:pBdr>
        <w:spacing w:line="360" w:lineRule="auto"/>
        <w:ind w:left="720" w:hanging="720"/>
      </w:pPr>
      <w:r w:rsidRPr="0070706C">
        <w:t xml:space="preserve">Department of Internal Affairs. (2023). </w:t>
      </w:r>
      <w:r w:rsidRPr="0070706C">
        <w:rPr>
          <w:i/>
        </w:rPr>
        <w:t>Annual Report 2022-23</w:t>
      </w:r>
      <w:r w:rsidRPr="0070706C">
        <w:t xml:space="preserve">. Government of New Zealand. </w:t>
      </w:r>
      <w:hyperlink r:id="rId30" w:history="1">
        <w:r w:rsidR="009C0258" w:rsidRPr="00325653">
          <w:rPr>
            <w:rStyle w:val="Hyperlink"/>
          </w:rPr>
          <w:t>https://www.dia.govt.nz/diawebsite.nsf/Files/Annual-Report-2022-23/$file/Annual-Report-2022-23.pdf</w:t>
        </w:r>
      </w:hyperlink>
    </w:p>
    <w:p w14:paraId="368827D3" w14:textId="3E9F4C14" w:rsidR="00636D07" w:rsidRDefault="00636D07" w:rsidP="00367A8D">
      <w:pPr>
        <w:widowControl w:val="0"/>
        <w:pBdr>
          <w:top w:val="nil"/>
          <w:left w:val="nil"/>
          <w:bottom w:val="nil"/>
          <w:right w:val="nil"/>
          <w:between w:val="nil"/>
        </w:pBdr>
        <w:spacing w:line="360" w:lineRule="auto"/>
        <w:ind w:left="720" w:hanging="720"/>
      </w:pPr>
      <w:r w:rsidRPr="00636D07">
        <w:t>Department of Internal Affairs. (</w:t>
      </w:r>
      <w:r>
        <w:t>2021</w:t>
      </w:r>
      <w:r w:rsidRPr="00636D07">
        <w:t xml:space="preserve">). </w:t>
      </w:r>
      <w:r w:rsidRPr="00001C68">
        <w:rPr>
          <w:i/>
          <w:iCs/>
        </w:rPr>
        <w:t>Regulatory stewardship – gambling</w:t>
      </w:r>
      <w:r w:rsidRPr="00636D07">
        <w:t>. New Zealand Government. https://www.dia.govt.nz/diawebsite.nsf/Files/Regulatory-stewardship-Reporting/$file/Regulatory-stewardship-reporting-Gambling-2019-2020.pdf</w:t>
      </w:r>
    </w:p>
    <w:p w14:paraId="0626E298" w14:textId="72352BE5" w:rsidR="009C0258" w:rsidRPr="0070706C" w:rsidRDefault="009C0258" w:rsidP="00367A8D">
      <w:pPr>
        <w:widowControl w:val="0"/>
        <w:pBdr>
          <w:top w:val="nil"/>
          <w:left w:val="nil"/>
          <w:bottom w:val="nil"/>
          <w:right w:val="nil"/>
          <w:between w:val="nil"/>
        </w:pBdr>
        <w:spacing w:line="360" w:lineRule="auto"/>
        <w:ind w:left="720" w:hanging="720"/>
      </w:pPr>
      <w:r w:rsidRPr="009C0258">
        <w:t>Department of Internal Affairs. (n.d.). Gambling statistics expenditure. New Zealand Government. Retrieved May 28, 2025, from  https://www.dia.govt.nz/gambling-statistics-expenditure</w:t>
      </w:r>
    </w:p>
    <w:p w14:paraId="437B1422"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Dixon, H. (2024). </w:t>
      </w:r>
      <w:r w:rsidRPr="0070706C">
        <w:rPr>
          <w:i/>
        </w:rPr>
        <w:t>2023 Census data release</w:t>
      </w:r>
      <w:r w:rsidRPr="0070706C">
        <w:t>. Berl. https://berl.co.nz/economic-insights/2023-census-data-release</w:t>
      </w:r>
    </w:p>
    <w:p w14:paraId="5331990B"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Doran, C. M. (2024). </w:t>
      </w:r>
      <w:r w:rsidRPr="0070706C">
        <w:rPr>
          <w:i/>
        </w:rPr>
        <w:t>The economic cost of suicide and non-fatal suicide behaviour to the New Zealand construction industry and the impact of MATES in Construction in reducing this cost</w:t>
      </w:r>
      <w:r w:rsidRPr="0070706C">
        <w:t>. A report conducted for MATES in Construction New Zealand by Central Queensland University. https://mates.org.au/media/documents/Doran-2024-The-economic-cost-of-suicide-and-non-fatal-suicide-behaviour_web.pdf</w:t>
      </w:r>
    </w:p>
    <w:p w14:paraId="2BAD27FA"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Dowling, N., Cowlishaw, S., Jackson, A. C., Merkouris, S. S., Francis, K. L., &amp; Christensen, D. R. (2015a). Prevalence of psychiatric co-morbidity in treatment-seeking problem gamblers: A systematic review and meta-analysis. </w:t>
      </w:r>
      <w:r w:rsidRPr="0070706C">
        <w:rPr>
          <w:i/>
        </w:rPr>
        <w:t>The Australian and New Zealand Journal of Psychiatry</w:t>
      </w:r>
      <w:r w:rsidRPr="0070706C">
        <w:t xml:space="preserve">, </w:t>
      </w:r>
      <w:r w:rsidRPr="0070706C">
        <w:rPr>
          <w:i/>
        </w:rPr>
        <w:t>49</w:t>
      </w:r>
      <w:r w:rsidRPr="0070706C">
        <w:t>(6), 519–539. https://doi.org/10.1177/0004867415575774</w:t>
      </w:r>
    </w:p>
    <w:p w14:paraId="607A71D0"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Dowling, N., Cowlishaw, S., Jackson, A. C., Merkouris, S. S., Francis, K. L., &amp; Christensen, D. R. (2015b). The prevalence of comorbid personality disorders in treatment-seeking problem gamblers: A systematic review and meta-analysis. </w:t>
      </w:r>
      <w:r w:rsidRPr="0070706C">
        <w:rPr>
          <w:i/>
        </w:rPr>
        <w:t>Journal of Personality Disorders</w:t>
      </w:r>
      <w:r w:rsidRPr="0070706C">
        <w:t xml:space="preserve">, </w:t>
      </w:r>
      <w:r w:rsidRPr="0070706C">
        <w:rPr>
          <w:i/>
        </w:rPr>
        <w:t>29</w:t>
      </w:r>
      <w:r w:rsidRPr="0070706C">
        <w:t>(6), 735–754. https://doi.org/10.1521/pedi_2014_28_168</w:t>
      </w:r>
    </w:p>
    <w:p w14:paraId="6E06EA7D"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Dowling, N., Oldenhof, E., Shandley, K., Youssef, G. J., Vasiliadis, S., Thomas, S. A., Frydenberg, E., &amp; Jackson, A. C. (2018). The intergenerational transmission of problem gambling: The mediating role of offspring gambling expectancies and motives. </w:t>
      </w:r>
      <w:r w:rsidRPr="0070706C">
        <w:rPr>
          <w:i/>
        </w:rPr>
        <w:t>Addictive Behaviors</w:t>
      </w:r>
      <w:r w:rsidRPr="0070706C">
        <w:t xml:space="preserve">, </w:t>
      </w:r>
      <w:r w:rsidRPr="0070706C">
        <w:rPr>
          <w:i/>
        </w:rPr>
        <w:t>77</w:t>
      </w:r>
      <w:r w:rsidRPr="0070706C">
        <w:t>, 16–20. https://doi.org/10.1016/j.addbeh.2017.09.003</w:t>
      </w:r>
    </w:p>
    <w:p w14:paraId="1DBE814D"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Dowling, N., Suomi, A., Jackson, A., Lavis, T., Patford, J., Cockman, S., Thomas, S., Bellringer, M., Koziol-Mclain, J., Battersby, M., Harvey, P., &amp; Abbott, M. (2016). Problem gambling and intimate partner violence: A systematic review and meta-analysis. </w:t>
      </w:r>
      <w:r w:rsidRPr="0070706C">
        <w:rPr>
          <w:i/>
        </w:rPr>
        <w:t>Trauma, Violence &amp; Abuse</w:t>
      </w:r>
      <w:r w:rsidRPr="0070706C">
        <w:t xml:space="preserve">, </w:t>
      </w:r>
      <w:r w:rsidRPr="0070706C">
        <w:rPr>
          <w:i/>
        </w:rPr>
        <w:t>17</w:t>
      </w:r>
      <w:r w:rsidRPr="0070706C">
        <w:t>(1), 43–61. https://doi.org/10.1177/1524838014561269</w:t>
      </w:r>
    </w:p>
    <w:p w14:paraId="4B0CDAFE" w14:textId="51FCEEC2"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Dowling, </w:t>
      </w:r>
      <w:r w:rsidR="00224E62" w:rsidRPr="0070706C">
        <w:t>N</w:t>
      </w:r>
      <w:r w:rsidRPr="0070706C">
        <w:t xml:space="preserve">, Butera, C. A., Merkouris, S. S., Youssef, G. J., Rodda, S. N., &amp; Jackson, A. C. (2019). The reciprocal association between problem gambling and mental health symptoms/substance use: Cross-lagged path modelling of longitudinal cohort data. </w:t>
      </w:r>
      <w:r w:rsidRPr="0070706C">
        <w:rPr>
          <w:i/>
        </w:rPr>
        <w:t>Journal of Clinical Medicine Research</w:t>
      </w:r>
      <w:r w:rsidRPr="0070706C">
        <w:t xml:space="preserve">, </w:t>
      </w:r>
      <w:r w:rsidRPr="0070706C">
        <w:rPr>
          <w:i/>
        </w:rPr>
        <w:t>8</w:t>
      </w:r>
      <w:r w:rsidRPr="0070706C">
        <w:t>(11). https://doi.org/10.3390/jcm8111888</w:t>
      </w:r>
    </w:p>
    <w:p w14:paraId="45DC41FE"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Dussault, F., Brendgen, M., Vitaro, F., Wanner, B., &amp; Tremblay, R. E. (2011). Longitudinal links between impulsivity, gambling problems and depressive symptoms: A transactional model from adolescence to early adulthood. </w:t>
      </w:r>
      <w:r w:rsidRPr="0070706C">
        <w:rPr>
          <w:i/>
        </w:rPr>
        <w:t>Journal of Child Psychology and Psychiatry, and Allied Disciplines</w:t>
      </w:r>
      <w:r w:rsidRPr="0070706C">
        <w:t xml:space="preserve">, </w:t>
      </w:r>
      <w:r w:rsidRPr="0070706C">
        <w:rPr>
          <w:i/>
        </w:rPr>
        <w:t>52</w:t>
      </w:r>
      <w:r w:rsidRPr="0070706C">
        <w:t>(2), 130–138. https://doi.org/10.1111/j.1469-7610.2010.02313.x</w:t>
      </w:r>
    </w:p>
    <w:p w14:paraId="7F1BA202"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Dyall, L., Thomas, Y., &amp; Thomas, D. (2009). </w:t>
      </w:r>
      <w:r w:rsidRPr="0070706C">
        <w:rPr>
          <w:i/>
        </w:rPr>
        <w:t>The Impact of Gambling on Māori. Contract, 27</w:t>
      </w:r>
      <w:r w:rsidRPr="0070706C">
        <w:t>. https://maramatanga.ac.nz/sites/default/files/Dyall%20web%20ready_0.pdf</w:t>
      </w:r>
    </w:p>
    <w:p w14:paraId="78E8771D" w14:textId="6B4B81AF"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Eby, L. T., Robertson, M., Williamson, R., &amp; Maupin, C. K. (2018). The development and test of a framework examining the associations between gambling </w:t>
      </w:r>
      <w:r w:rsidR="00AB42DD" w:rsidRPr="0070706C">
        <w:t>behaviour</w:t>
      </w:r>
      <w:r w:rsidRPr="0070706C">
        <w:t xml:space="preserve">, strain-based gambling interference with work and nonwork, cognitive disengagement, and role performance. </w:t>
      </w:r>
      <w:r w:rsidRPr="0070706C">
        <w:rPr>
          <w:i/>
        </w:rPr>
        <w:t>Community, Work &amp; Family</w:t>
      </w:r>
      <w:r w:rsidRPr="0070706C">
        <w:t xml:space="preserve">, </w:t>
      </w:r>
      <w:r w:rsidRPr="0070706C">
        <w:rPr>
          <w:i/>
        </w:rPr>
        <w:t>0</w:t>
      </w:r>
      <w:r w:rsidRPr="0070706C">
        <w:t>(0), 1–23. https://doi.org/10.1080/13668803.2018.1473336</w:t>
      </w:r>
    </w:p>
    <w:p w14:paraId="57295665"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ELMO Software. (2024). </w:t>
      </w:r>
      <w:r w:rsidRPr="0070706C">
        <w:rPr>
          <w:i/>
        </w:rPr>
        <w:t>2024 HR industry benchmark report: HR’s challenges, opportunities and trends for 2024</w:t>
      </w:r>
      <w:r w:rsidRPr="0070706C">
        <w:t>. https://elmosoftware.co.nz/lp/2024-hr-industry-benchmark-report</w:t>
      </w:r>
    </w:p>
    <w:p w14:paraId="4C6A7F22"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Every-Palmer, S., Grant, M. L., Thabrew, H., Hansby, O., Lawrence, M., Jenkins, M., &amp; Romans, S. (2024). Not heading in the right direction: Five hundred psychiatrists’ views on resourcing, demand, and workforce across New Zealand mental health services. </w:t>
      </w:r>
      <w:r w:rsidRPr="0070706C">
        <w:rPr>
          <w:i/>
        </w:rPr>
        <w:t>The Australian and New Zealand Journal of Psychiatry</w:t>
      </w:r>
      <w:r w:rsidRPr="0070706C">
        <w:t xml:space="preserve">, </w:t>
      </w:r>
      <w:r w:rsidRPr="0070706C">
        <w:rPr>
          <w:i/>
        </w:rPr>
        <w:t>58</w:t>
      </w:r>
      <w:r w:rsidRPr="0070706C">
        <w:t>(1), 82–91. https://doi.org/10.1177/00048674231170572</w:t>
      </w:r>
    </w:p>
    <w:p w14:paraId="0FDB3B9D"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Ferris, J., &amp; Wynne, H. (2001). </w:t>
      </w:r>
      <w:r w:rsidRPr="0070706C">
        <w:rPr>
          <w:i/>
        </w:rPr>
        <w:t>The Canadian Problem Gambling Index: Final report</w:t>
      </w:r>
      <w:r w:rsidRPr="0070706C">
        <w:t>. Canadian Centre on Substance Abuse. Retrieved from https://www.greo.ca/Modules/EvidenceCentre/files/Ferris%20et%20al(2001)The_Canadian_Problem_Gambling_Index.pdf.</w:t>
      </w:r>
    </w:p>
    <w:p w14:paraId="1A255E05"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Figure NZ. (2023). </w:t>
      </w:r>
      <w:r w:rsidRPr="0070706C">
        <w:rPr>
          <w:i/>
        </w:rPr>
        <w:t>Corrections - Annual sentenced prisoner throughput for Year ended June 1999–2023: Prison and Community-Sentence Population: Annual Sentenced Prisoner Throughput for the latest Fiscal Years YE June 2023</w:t>
      </w:r>
      <w:r w:rsidRPr="0070706C">
        <w:t>. Figure NZ. https://figure.nz/table/cJ70OqbEjPilDBzs</w:t>
      </w:r>
    </w:p>
    <w:p w14:paraId="2F64B16D"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Figure NZ. (2024). </w:t>
      </w:r>
      <w:r w:rsidRPr="0070706C">
        <w:rPr>
          <w:i/>
        </w:rPr>
        <w:t>Registered relationship status of adults in New Zealand</w:t>
      </w:r>
      <w:r w:rsidRPr="0070706C">
        <w:t>. Figure NZ. https://figure.nz/chart/baZXhAYoxhIPfUNn</w:t>
      </w:r>
    </w:p>
    <w:p w14:paraId="740AEFB1"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Folino, J. O., &amp; Abait, P. E. (2009). Pathological gambling and criminality. </w:t>
      </w:r>
      <w:r w:rsidRPr="0070706C">
        <w:rPr>
          <w:i/>
        </w:rPr>
        <w:t>Current Opinion in Psychiatry</w:t>
      </w:r>
      <w:r w:rsidRPr="0070706C">
        <w:t xml:space="preserve">, </w:t>
      </w:r>
      <w:r w:rsidRPr="0070706C">
        <w:rPr>
          <w:i/>
        </w:rPr>
        <w:t>22</w:t>
      </w:r>
      <w:r w:rsidRPr="0070706C">
        <w:t>(5), 477–481. https://doi.org/10.1097/YCO.0b013e32832ed7ed</w:t>
      </w:r>
    </w:p>
    <w:p w14:paraId="75B35D6E"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Forrest, D. (2013). An economic and social review of gambling in Great Britain. </w:t>
      </w:r>
      <w:r w:rsidRPr="0070706C">
        <w:rPr>
          <w:i/>
        </w:rPr>
        <w:t>The Journal of Gambling Business and Economics</w:t>
      </w:r>
      <w:r w:rsidRPr="0070706C">
        <w:t xml:space="preserve">, </w:t>
      </w:r>
      <w:r w:rsidRPr="0070706C">
        <w:rPr>
          <w:i/>
        </w:rPr>
        <w:t>7</w:t>
      </w:r>
      <w:r w:rsidRPr="0070706C">
        <w:t>(3), 1–33. https://doi.org/10.5750/jgbe.v7i3.816</w:t>
      </w:r>
    </w:p>
    <w:p w14:paraId="0C3E3E90"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rPr>
          <w:i/>
        </w:rPr>
        <w:t>Gambling expenditure statistics report</w:t>
      </w:r>
      <w:r w:rsidRPr="0070706C">
        <w:t>. (2024). https://catalogue.data.govt.nz/dataset/gambling-expenditure-statistics/resource/941f3304-75a7-48b7-8af0-8d6733881a36</w:t>
      </w:r>
    </w:p>
    <w:p w14:paraId="311BB6DA" w14:textId="53FDC51B" w:rsidR="00645029" w:rsidRDefault="002A3095" w:rsidP="00367A8D">
      <w:pPr>
        <w:widowControl w:val="0"/>
        <w:pBdr>
          <w:top w:val="nil"/>
          <w:left w:val="nil"/>
          <w:bottom w:val="nil"/>
          <w:right w:val="nil"/>
          <w:between w:val="nil"/>
        </w:pBdr>
        <w:spacing w:line="360" w:lineRule="auto"/>
        <w:ind w:left="720" w:hanging="720"/>
      </w:pPr>
      <w:r w:rsidRPr="0070706C">
        <w:t xml:space="preserve">Department of Internal Affairs. </w:t>
      </w:r>
      <w:r w:rsidR="00645029" w:rsidRPr="0070706C">
        <w:rPr>
          <w:i/>
        </w:rPr>
        <w:t>Gambling expenditure. Te Tari Taiwhenua</w:t>
      </w:r>
      <w:r w:rsidR="00645029" w:rsidRPr="0070706C">
        <w:t xml:space="preserve">. (2024). Department of Internal Affairs. </w:t>
      </w:r>
      <w:hyperlink r:id="rId31" w:history="1">
        <w:r w:rsidR="007606DB" w:rsidRPr="00325653">
          <w:rPr>
            <w:rStyle w:val="Hyperlink"/>
          </w:rPr>
          <w:t>https://www.dia.govt.nz/gambling-statistics-expenditure</w:t>
        </w:r>
      </w:hyperlink>
    </w:p>
    <w:p w14:paraId="39D06BCB" w14:textId="01800F85" w:rsidR="007606DB" w:rsidRPr="0070706C" w:rsidRDefault="007606DB" w:rsidP="00367A8D">
      <w:pPr>
        <w:widowControl w:val="0"/>
        <w:pBdr>
          <w:top w:val="nil"/>
          <w:left w:val="nil"/>
          <w:bottom w:val="nil"/>
          <w:right w:val="nil"/>
          <w:between w:val="nil"/>
        </w:pBdr>
        <w:spacing w:line="360" w:lineRule="auto"/>
        <w:ind w:left="720" w:hanging="720"/>
      </w:pPr>
      <w:r w:rsidRPr="007606DB">
        <w:t xml:space="preserve">Erwin, C., Pacheco, G., &amp; Turcu, A. (2022). The effectiveness of sinking lid policies in reducing gambling expenditure. </w:t>
      </w:r>
      <w:r w:rsidRPr="00001C68">
        <w:rPr>
          <w:i/>
          <w:iCs/>
        </w:rPr>
        <w:t>Journal of Gambling Studies</w:t>
      </w:r>
      <w:r w:rsidRPr="007606DB">
        <w:t>, 38(3), 1009–1028. https://doi.org/10.1007/s10899-021-10069-4</w:t>
      </w:r>
    </w:p>
    <w:p w14:paraId="68965CC1"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Gambling with Lives. (2022). </w:t>
      </w:r>
      <w:r w:rsidRPr="0070706C">
        <w:rPr>
          <w:i/>
        </w:rPr>
        <w:t>Gambling - suicidal ideation, attempts and completed suicides</w:t>
      </w:r>
      <w:r w:rsidRPr="0070706C">
        <w:t>. https://www.gamblingwithlives.org/wp-content/uploads/2022/01/Gambling-Suicidal-Ideation-and-Completed-Suicides.pdf</w:t>
      </w:r>
    </w:p>
    <w:p w14:paraId="2116B88D"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Global Burden of Disease Collaborative Network. (2024). Global Burden of Disease Study 2021 (GBD 2021) Disability Weights; Institute for Health Metrics and Evaluation (IHME) [Data set]. In </w:t>
      </w:r>
      <w:r w:rsidRPr="0070706C">
        <w:rPr>
          <w:i/>
        </w:rPr>
        <w:t>Global Burden of Disease Study 2019 (GBD 2019) Disability Weights</w:t>
      </w:r>
      <w:r w:rsidRPr="0070706C">
        <w:t>. https://ghdx.healthdata.org/record/ihme-data/gbd-2021-disability-weights</w:t>
      </w:r>
    </w:p>
    <w:p w14:paraId="2B17A4BF"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Goodwin, B. C., Browne, M., Rockloff, M., &amp; Rose, J. (2017). A typical problem gambler affects six others. </w:t>
      </w:r>
      <w:r w:rsidRPr="0070706C">
        <w:rPr>
          <w:i/>
        </w:rPr>
        <w:t>International Gambling Studies</w:t>
      </w:r>
      <w:r w:rsidRPr="0070706C">
        <w:t xml:space="preserve">, </w:t>
      </w:r>
      <w:r w:rsidRPr="0070706C">
        <w:rPr>
          <w:i/>
        </w:rPr>
        <w:t>17</w:t>
      </w:r>
      <w:r w:rsidRPr="0070706C">
        <w:t>(2), 276–289. https://doi.org/10.1080/14459795.2017.1331252</w:t>
      </w:r>
    </w:p>
    <w:p w14:paraId="6F6D3DED"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Hahmann, T., Hamilton-Wright, S., Ziegler, C., &amp; Matheson, F. I. (2021). Problem gambling within the context of poverty: a scoping review. </w:t>
      </w:r>
      <w:r w:rsidRPr="0070706C">
        <w:rPr>
          <w:i/>
        </w:rPr>
        <w:t>International Gambling Studies</w:t>
      </w:r>
      <w:r w:rsidRPr="0070706C">
        <w:t xml:space="preserve">, </w:t>
      </w:r>
      <w:r w:rsidRPr="0070706C">
        <w:rPr>
          <w:i/>
        </w:rPr>
        <w:t>21</w:t>
      </w:r>
      <w:r w:rsidRPr="0070706C">
        <w:t>(2), 183–219. https://doi.org/10.1080/14459795.2020.1819365</w:t>
      </w:r>
    </w:p>
    <w:p w14:paraId="74DBF13B" w14:textId="15C23682" w:rsidR="00FA5350" w:rsidRDefault="00FA5350" w:rsidP="00367A8D">
      <w:pPr>
        <w:widowControl w:val="0"/>
        <w:pBdr>
          <w:top w:val="nil"/>
          <w:left w:val="nil"/>
          <w:bottom w:val="nil"/>
          <w:right w:val="nil"/>
          <w:between w:val="nil"/>
        </w:pBdr>
        <w:spacing w:line="360" w:lineRule="auto"/>
        <w:ind w:left="720" w:hanging="720"/>
        <w:rPr>
          <w:i/>
        </w:rPr>
      </w:pPr>
      <w:r w:rsidRPr="00FA5350">
        <w:rPr>
          <w:i/>
        </w:rPr>
        <w:t xml:space="preserve">H2 (2023) Australia offshore wagering market analysis 2023. </w:t>
      </w:r>
      <w:hyperlink r:id="rId32" w:history="1">
        <w:r w:rsidRPr="008D2FD4">
          <w:rPr>
            <w:rStyle w:val="Hyperlink"/>
            <w:i/>
          </w:rPr>
          <w:t>https://responsiblewagering.com.au/wp- content/uploads/2023/05/H2-Australia-Offshore-Wagering-Market-Analysis-2023-Report.pdf</w:t>
        </w:r>
      </w:hyperlink>
    </w:p>
    <w:p w14:paraId="521617A3" w14:textId="7362B91E" w:rsidR="00645029" w:rsidRPr="0070706C" w:rsidRDefault="00645029" w:rsidP="00367A8D">
      <w:pPr>
        <w:widowControl w:val="0"/>
        <w:pBdr>
          <w:top w:val="nil"/>
          <w:left w:val="nil"/>
          <w:bottom w:val="nil"/>
          <w:right w:val="nil"/>
          <w:between w:val="nil"/>
        </w:pBdr>
        <w:spacing w:line="360" w:lineRule="auto"/>
        <w:ind w:left="720" w:hanging="720"/>
      </w:pPr>
      <w:r w:rsidRPr="0070706C">
        <w:rPr>
          <w:i/>
        </w:rPr>
        <w:t>He Ara oranga: Report of the government inquiry into mental health and addiction</w:t>
      </w:r>
      <w:r w:rsidRPr="0070706C">
        <w:t>. (2018).</w:t>
      </w:r>
      <w:r w:rsidR="00FA5350">
        <w:t xml:space="preserve"> </w:t>
      </w:r>
      <w:r w:rsidR="00FA5350" w:rsidRPr="00FA5350">
        <w:t>https://mentalhealth.inquiry.govt.nz/</w:t>
      </w:r>
    </w:p>
    <w:p w14:paraId="1CE1F023"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Hing, N., Breen, H., Gordon, A., &amp; Russell, A. (2014). Gambling behaviour and gambling risk factors for indigenous Australian women. </w:t>
      </w:r>
      <w:r w:rsidRPr="0070706C">
        <w:rPr>
          <w:i/>
        </w:rPr>
        <w:t>International Journal of Mental Health and Addiction</w:t>
      </w:r>
      <w:r w:rsidRPr="0070706C">
        <w:t xml:space="preserve">, </w:t>
      </w:r>
      <w:r w:rsidRPr="0070706C">
        <w:rPr>
          <w:i/>
        </w:rPr>
        <w:t>12</w:t>
      </w:r>
      <w:r w:rsidRPr="0070706C">
        <w:t>(1), 1–20. https://doi.org/10.1007/s11469-013-9458-x</w:t>
      </w:r>
    </w:p>
    <w:p w14:paraId="4DF686A3"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Hing, N., Nuske, E., Gainsbury, S. M., &amp; Russell, A. M. T. (2016). Perceived stigma and self-stigma of problem gambling: Perspectives of people with gambling problems. </w:t>
      </w:r>
      <w:r w:rsidRPr="0070706C">
        <w:rPr>
          <w:i/>
        </w:rPr>
        <w:t>International Gambling Studies</w:t>
      </w:r>
      <w:r w:rsidRPr="0070706C">
        <w:t xml:space="preserve">, </w:t>
      </w:r>
      <w:r w:rsidRPr="0070706C">
        <w:rPr>
          <w:i/>
        </w:rPr>
        <w:t>16</w:t>
      </w:r>
      <w:r w:rsidRPr="0070706C">
        <w:t>(1), 31–48. https://doi.org/10.1080/14459795.2015.1092566</w:t>
      </w:r>
    </w:p>
    <w:p w14:paraId="420B633C"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Hing, N., O’Mullan, C., Mainey, L., Greer, N., &amp; Breen, H. (2022). An integrative review of research on gambling and domestic and family violence: Fresh perspectives to guide future research. </w:t>
      </w:r>
      <w:r w:rsidRPr="0070706C">
        <w:rPr>
          <w:i/>
        </w:rPr>
        <w:t>Frontiers in Psychology</w:t>
      </w:r>
      <w:r w:rsidRPr="0070706C">
        <w:t xml:space="preserve">, </w:t>
      </w:r>
      <w:r w:rsidRPr="0070706C">
        <w:rPr>
          <w:i/>
        </w:rPr>
        <w:t>13</w:t>
      </w:r>
      <w:r w:rsidRPr="0070706C">
        <w:t>, 987379. https://doi.org/10.3389/fpsyg.2022.987379</w:t>
      </w:r>
    </w:p>
    <w:p w14:paraId="7202C078" w14:textId="14591DF8" w:rsidR="00645029" w:rsidRDefault="00645029" w:rsidP="00367A8D">
      <w:pPr>
        <w:widowControl w:val="0"/>
        <w:pBdr>
          <w:top w:val="nil"/>
          <w:left w:val="nil"/>
          <w:bottom w:val="nil"/>
          <w:right w:val="nil"/>
          <w:between w:val="nil"/>
        </w:pBdr>
        <w:spacing w:line="360" w:lineRule="auto"/>
        <w:ind w:left="720" w:hanging="720"/>
      </w:pPr>
      <w:r w:rsidRPr="0070706C">
        <w:t xml:space="preserve">Hing, N., Russell, A. M. T., Black, A., Rockloff, M., Browne, M., Tulloch, C., Rawat, V. R., Greer, N., Dowling, N. A., Merkouris, S., King, D. L., Stevens, M., Salonen, A. H., Breen, H., &amp; Woo, L. (2022). Gambling-related harms to concerned significant others: A national Australian prevalence study. </w:t>
      </w:r>
      <w:r w:rsidRPr="0070706C">
        <w:rPr>
          <w:i/>
        </w:rPr>
        <w:t>Journal of Behavioral Addictions</w:t>
      </w:r>
      <w:r w:rsidRPr="0070706C">
        <w:t xml:space="preserve">, </w:t>
      </w:r>
      <w:r w:rsidRPr="0070706C">
        <w:rPr>
          <w:i/>
        </w:rPr>
        <w:t>11</w:t>
      </w:r>
      <w:r w:rsidRPr="0070706C">
        <w:t xml:space="preserve">(2), 361–372. </w:t>
      </w:r>
      <w:hyperlink r:id="rId33" w:history="1">
        <w:r w:rsidR="00D26133" w:rsidRPr="00325653">
          <w:rPr>
            <w:rStyle w:val="Hyperlink"/>
          </w:rPr>
          <w:t>https://doi.org/10.1556/2006.2022.00045</w:t>
        </w:r>
      </w:hyperlink>
    </w:p>
    <w:p w14:paraId="325B9422" w14:textId="704B58F2" w:rsidR="00D26133" w:rsidRPr="0070706C" w:rsidRDefault="00D26133" w:rsidP="00367A8D">
      <w:pPr>
        <w:widowControl w:val="0"/>
        <w:pBdr>
          <w:top w:val="nil"/>
          <w:left w:val="nil"/>
          <w:bottom w:val="nil"/>
          <w:right w:val="nil"/>
          <w:between w:val="nil"/>
        </w:pBdr>
        <w:spacing w:line="360" w:lineRule="auto"/>
        <w:ind w:left="720" w:hanging="720"/>
      </w:pPr>
      <w:r w:rsidRPr="00D26133">
        <w:t xml:space="preserve">Hoang, V. P., Shanahan, M., Shukla, N., Perez, P., Farrell, M., &amp; Ritter, A. (2016). A systematic review of modelling approaches in economic evaluations of health interventions for drug and alcohol problems. </w:t>
      </w:r>
      <w:r w:rsidRPr="00001C68">
        <w:rPr>
          <w:i/>
          <w:iCs/>
        </w:rPr>
        <w:t>BMC Health Services Research</w:t>
      </w:r>
      <w:r w:rsidRPr="00D26133">
        <w:t>, 16(1), 127. https://doi.org/10.1186/s12913-016-1368-8</w:t>
      </w:r>
    </w:p>
    <w:p w14:paraId="5794F584"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Hofmarcher, T., Romild, U., Spångberg, J., Persson, U., &amp; Håkansson, A. (2020). The societal costs of problem gambling in Sweden. </w:t>
      </w:r>
      <w:r w:rsidRPr="0070706C">
        <w:rPr>
          <w:i/>
        </w:rPr>
        <w:t>BMC Public Health</w:t>
      </w:r>
      <w:r w:rsidRPr="0070706C">
        <w:t xml:space="preserve">, </w:t>
      </w:r>
      <w:r w:rsidRPr="0070706C">
        <w:rPr>
          <w:i/>
        </w:rPr>
        <w:t>20</w:t>
      </w:r>
      <w:r w:rsidRPr="0070706C">
        <w:t>(1), 1921. https://doi.org/10.1186/s12889-020-10008-9</w:t>
      </w:r>
    </w:p>
    <w:p w14:paraId="07C0BD83"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Hogan, S. (n.d.). </w:t>
      </w:r>
      <w:r w:rsidRPr="0070706C">
        <w:rPr>
          <w:i/>
        </w:rPr>
        <w:t>The retail employment and tax costs of Class 4 gambling in New Zealand-NZIER report to the Problem Gambling Association</w:t>
      </w:r>
      <w:r w:rsidRPr="0070706C">
        <w:t>. Retrieved August 30, 2024, from https://policycommons.net/artifacts/1635226/the-retail-employment-and-tax-costs-of-class-4-gambling-in-new-zealand/2325147/</w:t>
      </w:r>
    </w:p>
    <w:p w14:paraId="3122DAFB"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Holdsworth, L., Nuske, E., Tiyce, M., &amp; Hing, N. (2013). Impacts of gambling problems on partners: Partners’ interpretations. </w:t>
      </w:r>
      <w:r w:rsidRPr="0070706C">
        <w:rPr>
          <w:i/>
        </w:rPr>
        <w:t>Asian Journal of Gambling Issues and Public Health</w:t>
      </w:r>
      <w:r w:rsidRPr="0070706C">
        <w:t xml:space="preserve">, </w:t>
      </w:r>
      <w:r w:rsidRPr="0070706C">
        <w:rPr>
          <w:i/>
        </w:rPr>
        <w:t>3</w:t>
      </w:r>
      <w:r w:rsidRPr="0070706C">
        <w:t>, 11. https://link.springer.com/article/10.1186/2195-3007-3-11</w:t>
      </w:r>
    </w:p>
    <w:p w14:paraId="6F987A22"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Hudson Breen, R., O’Brien, D., &amp; Sanders, J. (2024). Characteristics and experiences of employees who gamble at work: A mixed-methods study. </w:t>
      </w:r>
      <w:r w:rsidRPr="0070706C">
        <w:rPr>
          <w:i/>
        </w:rPr>
        <w:t>Critical Gambling Studies</w:t>
      </w:r>
      <w:r w:rsidRPr="0070706C">
        <w:t xml:space="preserve">, </w:t>
      </w:r>
      <w:r w:rsidRPr="0070706C">
        <w:rPr>
          <w:i/>
        </w:rPr>
        <w:t>5</w:t>
      </w:r>
      <w:r w:rsidRPr="0070706C">
        <w:t>(1). https://doi.org/10.29173/cgs172</w:t>
      </w:r>
    </w:p>
    <w:p w14:paraId="62B86158"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Human Rights Review Tribunal. (2025). </w:t>
      </w:r>
      <w:r w:rsidRPr="0070706C">
        <w:rPr>
          <w:i/>
        </w:rPr>
        <w:t>Human Rights Review Tribunal - Damages Awarded</w:t>
      </w:r>
      <w:r w:rsidRPr="0070706C">
        <w:t>. Justice New Zealand. https://www.justice.govt.nz/tribunals/human-rights/damages-and-costs-awarded/</w:t>
      </w:r>
    </w:p>
    <w:p w14:paraId="61F31448"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Hutton, C. (2025, March 17). Iesha Warren defrauded Porirua trust of $1m, used company cards for online gambling. </w:t>
      </w:r>
      <w:r w:rsidRPr="0070706C">
        <w:rPr>
          <w:i/>
        </w:rPr>
        <w:t>The New Zealand Herald</w:t>
      </w:r>
      <w:r w:rsidRPr="0070706C">
        <w:t>. https://www.nzherald.co.nz/nz/crime/iesha-warren-defrauded-porirua-trust-of-1m-used-company-cards-for-online-gambling/6M2GELZK5ZFYVATZRX4GOKYEUQ/</w:t>
      </w:r>
    </w:p>
    <w:p w14:paraId="2EAE9D6E"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Iino, H., Hashiguchi, M., &amp; Hori, S. (2022). Estimating the range of incremental cost-effectiveness thresholds for healthcare based on willingness to pay and GDP per capita: A systematic review. </w:t>
      </w:r>
      <w:r w:rsidRPr="0070706C">
        <w:rPr>
          <w:i/>
        </w:rPr>
        <w:t>PloS One</w:t>
      </w:r>
      <w:r w:rsidRPr="0070706C">
        <w:t xml:space="preserve">, </w:t>
      </w:r>
      <w:r w:rsidRPr="0070706C">
        <w:rPr>
          <w:i/>
        </w:rPr>
        <w:t>17</w:t>
      </w:r>
      <w:r w:rsidRPr="0070706C">
        <w:t>(4), e0266934. https://doi.org/10.1371/journal.pone.0266934</w:t>
      </w:r>
    </w:p>
    <w:p w14:paraId="070D1F6A"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Inland Revenue. (2024). </w:t>
      </w:r>
      <w:r w:rsidRPr="0070706C">
        <w:rPr>
          <w:i/>
        </w:rPr>
        <w:t>Special Report - Offshore Gambling Duty</w:t>
      </w:r>
      <w:r w:rsidRPr="0070706C">
        <w:t>. https://www.taxpolicy.ird.govt.nz/-/media/project/ir/tp/publications/2024/2024-sp-offshore-gambling-duty/special-report---offshore-gambling-duty.pdfOffshore Gambling Duty</w:t>
      </w:r>
    </w:p>
    <w:p w14:paraId="54955889"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Inland Revenue. (2025). </w:t>
      </w:r>
      <w:r w:rsidRPr="0070706C">
        <w:rPr>
          <w:i/>
        </w:rPr>
        <w:t>Statistics on KiwiSaver fund withdrawals, by number</w:t>
      </w:r>
      <w:r w:rsidRPr="0070706C">
        <w:t>. Inland Revenue. https://www.ird.govt.nz/about-us/tax-statistics/kiwisaver/withdrawals/number</w:t>
      </w:r>
    </w:p>
    <w:p w14:paraId="18723863"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Jeffrey, L., Browne, M., Rawat, V., Langham, E., Li, E., &amp; Rockloff, M. (2019). Til debt do us part: Comparing gambling harms between gamblers and their spouses. </w:t>
      </w:r>
      <w:r w:rsidRPr="0070706C">
        <w:rPr>
          <w:i/>
        </w:rPr>
        <w:t>Journal of Gambling Studies</w:t>
      </w:r>
      <w:r w:rsidRPr="0070706C">
        <w:t xml:space="preserve">, </w:t>
      </w:r>
      <w:r w:rsidRPr="0070706C">
        <w:rPr>
          <w:i/>
        </w:rPr>
        <w:t>35</w:t>
      </w:r>
      <w:r w:rsidRPr="0070706C">
        <w:t>(3), 1015–1034. https://doi.org/10.1007/s10899-019-09826-3</w:t>
      </w:r>
    </w:p>
    <w:p w14:paraId="056F4BF9"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Kahui, S., &amp; Snively, S. (2014). </w:t>
      </w:r>
      <w:r w:rsidRPr="0070706C">
        <w:rPr>
          <w:i/>
        </w:rPr>
        <w:t>Measuring the Economic Costs of Child Abuse and Intimate Partner Violence to New Zealand</w:t>
      </w:r>
      <w:r w:rsidRPr="0070706C">
        <w:t>. The Glenn Inquiry. https://ndhadeliver.natlib.govt.nz/delivery/DeliveryManagerServlet?dps_pid=IE25595234&amp;dps_custom_att_1=ilsdb</w:t>
      </w:r>
    </w:p>
    <w:p w14:paraId="262779CA"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Kapitan, C. (2024, February 20). Auckland bank employee’s gambling addiction sparked $262,000 embezzlement from ANZ. </w:t>
      </w:r>
      <w:r w:rsidRPr="0070706C">
        <w:rPr>
          <w:i/>
        </w:rPr>
        <w:t>RNZ</w:t>
      </w:r>
      <w:r w:rsidRPr="0070706C">
        <w:t>. https://www.rnz.co.nz/news/indonz/509666/auckland-bank-employee-s-gambling-addiction-sparked-262-000-embezzlement-from-anz</w:t>
      </w:r>
    </w:p>
    <w:p w14:paraId="5217CAE4"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Karlsson, A., &amp; Håkansson, A. (2018). Gambling disorder, increased mortality, suicidality, and associated comorbidity: A longitudinal nationwide register study. </w:t>
      </w:r>
      <w:r w:rsidRPr="0070706C">
        <w:rPr>
          <w:i/>
        </w:rPr>
        <w:t>Journal of Behavioral Addictions</w:t>
      </w:r>
      <w:r w:rsidRPr="0070706C">
        <w:t xml:space="preserve">, </w:t>
      </w:r>
      <w:r w:rsidRPr="0070706C">
        <w:rPr>
          <w:i/>
        </w:rPr>
        <w:t>7</w:t>
      </w:r>
      <w:r w:rsidRPr="0070706C">
        <w:t>(4), 1091–1099. https://doi.org/10.1556/2006.7.2018.112</w:t>
      </w:r>
    </w:p>
    <w:p w14:paraId="5B2D9C92" w14:textId="574ED3AA"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Kinchin, I., &amp; Doran, C. M. (2017). The economic cost of suicide and non-fatal suicide </w:t>
      </w:r>
      <w:r w:rsidR="00AB42DD" w:rsidRPr="0070706C">
        <w:t>behaviour</w:t>
      </w:r>
      <w:r w:rsidRPr="0070706C">
        <w:t xml:space="preserve"> in the Australian workforce and the potential impact of a workplace suicide prevention strategy. </w:t>
      </w:r>
      <w:r w:rsidRPr="0070706C">
        <w:rPr>
          <w:i/>
        </w:rPr>
        <w:t>International Journal of Environmental Research and Public Health</w:t>
      </w:r>
      <w:r w:rsidRPr="0070706C">
        <w:t xml:space="preserve">, </w:t>
      </w:r>
      <w:r w:rsidRPr="0070706C">
        <w:rPr>
          <w:i/>
        </w:rPr>
        <w:t>14</w:t>
      </w:r>
      <w:r w:rsidRPr="0070706C">
        <w:t>(4). https://doi.org/10.3390/ijerph14040347</w:t>
      </w:r>
    </w:p>
    <w:p w14:paraId="3247D130"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Kolandai-Matchett, K., Langham, E., Bellringer, M., &amp; Siitia, P. A.-H. (2017). How gambling harms experienced by Pacific people in New Zealand amplify when they are culture-related. </w:t>
      </w:r>
      <w:r w:rsidRPr="0070706C">
        <w:rPr>
          <w:i/>
        </w:rPr>
        <w:t>Asian Journal of Gambling Issues and Public Health</w:t>
      </w:r>
      <w:r w:rsidRPr="0070706C">
        <w:t xml:space="preserve">, </w:t>
      </w:r>
      <w:r w:rsidRPr="0070706C">
        <w:rPr>
          <w:i/>
        </w:rPr>
        <w:t>7</w:t>
      </w:r>
      <w:r w:rsidRPr="0070706C">
        <w:t>(1). https://doi.org/10.1186/s40405-017-0026-3</w:t>
      </w:r>
    </w:p>
    <w:p w14:paraId="5660254A"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Kourgiantakis, T., Saint-Jacques, M.-C., &amp; Tremblay, J. (2013). Problem gambling and families: A systematic review. </w:t>
      </w:r>
      <w:r w:rsidRPr="0070706C">
        <w:rPr>
          <w:i/>
        </w:rPr>
        <w:t>Journal of Social Work Practice in the Addictions</w:t>
      </w:r>
      <w:r w:rsidRPr="0070706C">
        <w:t xml:space="preserve">, </w:t>
      </w:r>
      <w:r w:rsidRPr="0070706C">
        <w:rPr>
          <w:i/>
        </w:rPr>
        <w:t>13</w:t>
      </w:r>
      <w:r w:rsidRPr="0070706C">
        <w:t>(4), 353–372. https://doi.org/10.1080/1533256X.2013.838130</w:t>
      </w:r>
    </w:p>
    <w:p w14:paraId="097ABB75"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KPMG and Rethink Addiction. (2022). </w:t>
      </w:r>
      <w:r w:rsidRPr="0070706C">
        <w:rPr>
          <w:i/>
        </w:rPr>
        <w:t>Understanding the cost of addiction in Australia</w:t>
      </w:r>
      <w:r w:rsidRPr="0070706C">
        <w:t>. Rethink Addiction. https://kpmg.com/au/en/home/media/press-releases/2022/11/the-80-billion-cost-of-addiction-australia-22-november-2022.html</w:t>
      </w:r>
    </w:p>
    <w:p w14:paraId="075EEC5D"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Lancaster, H., &amp; Johnson, T. (2020). Losing a partner: the varying financial and practical impacts of bereavement in different sociodemographic groups. </w:t>
      </w:r>
      <w:r w:rsidRPr="0070706C">
        <w:rPr>
          <w:i/>
        </w:rPr>
        <w:t>BMJ Supportive &amp; Palliative Care</w:t>
      </w:r>
      <w:r w:rsidRPr="0070706C">
        <w:t xml:space="preserve">, </w:t>
      </w:r>
      <w:r w:rsidRPr="0070706C">
        <w:rPr>
          <w:i/>
        </w:rPr>
        <w:t>10</w:t>
      </w:r>
      <w:r w:rsidRPr="0070706C">
        <w:t>(2), e17. https://doi.org/10.1136/bmjspcare-2016-001215</w:t>
      </w:r>
    </w:p>
    <w:p w14:paraId="0BD48179"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Landon, J., Grayson, E., &amp; Roberts, A. (2018). An exploratory study of the impacts of gambling on affected others accessing a social service. </w:t>
      </w:r>
      <w:r w:rsidRPr="0070706C">
        <w:rPr>
          <w:i/>
        </w:rPr>
        <w:t>International Journal of Mental Health and Addiction</w:t>
      </w:r>
      <w:r w:rsidRPr="0070706C">
        <w:t xml:space="preserve">, </w:t>
      </w:r>
      <w:r w:rsidRPr="0070706C">
        <w:rPr>
          <w:i/>
        </w:rPr>
        <w:t>16</w:t>
      </w:r>
      <w:r w:rsidRPr="0070706C">
        <w:t>(3), 573–587. https://doi.org/10.1007/s11469-017-9785-4</w:t>
      </w:r>
    </w:p>
    <w:p w14:paraId="34932DE9"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Langham, E., Thorne, H., Browne, M., Donaldson, P., Rose, J., &amp; Rockloff, M. (2016). Understanding gambling related harm: A proposed definition, conceptual framework, and taxonomy of harms. </w:t>
      </w:r>
      <w:r w:rsidRPr="0070706C">
        <w:rPr>
          <w:i/>
        </w:rPr>
        <w:t>BMC Public Health</w:t>
      </w:r>
      <w:r w:rsidRPr="0070706C">
        <w:t xml:space="preserve">, </w:t>
      </w:r>
      <w:r w:rsidRPr="0070706C">
        <w:rPr>
          <w:i/>
        </w:rPr>
        <w:t>16</w:t>
      </w:r>
      <w:r w:rsidRPr="0070706C">
        <w:t>, 80. https://doi.org/10.1186/s12889-016-2747-0</w:t>
      </w:r>
    </w:p>
    <w:p w14:paraId="44FEE474"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Latvala, T., Lintonen, T., &amp; Konu, A. (2019). Public health effects of gambling - debate on a conceptual model. </w:t>
      </w:r>
      <w:r w:rsidRPr="0070706C">
        <w:rPr>
          <w:i/>
        </w:rPr>
        <w:t>BMC Public Health</w:t>
      </w:r>
      <w:r w:rsidRPr="0070706C">
        <w:t xml:space="preserve">, </w:t>
      </w:r>
      <w:r w:rsidRPr="0070706C">
        <w:rPr>
          <w:i/>
        </w:rPr>
        <w:t>19</w:t>
      </w:r>
      <w:r w:rsidRPr="0070706C">
        <w:t>(1), 1077. https://doi.org/10.1186/s12889-019-7391-z</w:t>
      </w:r>
    </w:p>
    <w:p w14:paraId="45DB8501"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Latvala, T., Lintonen, T. P., Browne, M., Rockloff, M., &amp; Salonen, A. H. (2021). Social disadvantage and gambling severity: a population-based study with register-linkage. </w:t>
      </w:r>
      <w:r w:rsidRPr="0070706C">
        <w:rPr>
          <w:i/>
        </w:rPr>
        <w:t>European Journal of Public Health</w:t>
      </w:r>
      <w:r w:rsidRPr="0070706C">
        <w:t xml:space="preserve">, </w:t>
      </w:r>
      <w:r w:rsidRPr="0070706C">
        <w:rPr>
          <w:i/>
        </w:rPr>
        <w:t>31</w:t>
      </w:r>
      <w:r w:rsidRPr="0070706C">
        <w:t>(6), 1217–1223. https://doi.org/10.1093/eurpub/ckab162</w:t>
      </w:r>
    </w:p>
    <w:p w14:paraId="3423E026"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Leung, J. (2009). </w:t>
      </w:r>
      <w:r w:rsidRPr="0070706C">
        <w:rPr>
          <w:i/>
        </w:rPr>
        <w:t>Understanding transport costs and charges. Phase 2 – Value of statistical life: a meta analysis Is the current value of safety for New Zealand too low?</w:t>
      </w:r>
      <w:r w:rsidRPr="0070706C">
        <w:t xml:space="preserve"> https://www.transport.govt.nz/assets/Uploads/Report/UTCC-Value-of-statistical-life.pdf</w:t>
      </w:r>
    </w:p>
    <w:p w14:paraId="171FB8A2"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Lin, E.-Y. J., Casswell, S., Easton, B., Huckle, T., Asiasiga, L., &amp; You, R. Q. (2010). Time and money spent gambling and the relationship with quality-of-life measures: A national study of New Zealanders. </w:t>
      </w:r>
      <w:r w:rsidRPr="0070706C">
        <w:rPr>
          <w:i/>
        </w:rPr>
        <w:t>Journal of Gambling Issues</w:t>
      </w:r>
      <w:r w:rsidRPr="0070706C">
        <w:t xml:space="preserve">, </w:t>
      </w:r>
      <w:r w:rsidRPr="0070706C">
        <w:rPr>
          <w:i/>
        </w:rPr>
        <w:t>24</w:t>
      </w:r>
      <w:r w:rsidRPr="0070706C">
        <w:t>, 33. https://doi.org/10.4309/jgi.2010.24.4</w:t>
      </w:r>
    </w:p>
    <w:p w14:paraId="4E8A66DF" w14:textId="0E93F386"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Lorains, F. K., Cowlishaw, S., &amp; Thomas, S. A. (2011). Prevalence of comorbid disorders in problem and pathological gambling: Systematic review and meta-analysis of population surveys. </w:t>
      </w:r>
      <w:r w:rsidRPr="0070706C">
        <w:rPr>
          <w:i/>
        </w:rPr>
        <w:t>Addiction</w:t>
      </w:r>
      <w:r w:rsidRPr="0070706C">
        <w:t xml:space="preserve">, </w:t>
      </w:r>
      <w:r w:rsidRPr="0070706C">
        <w:rPr>
          <w:i/>
        </w:rPr>
        <w:t>106</w:t>
      </w:r>
      <w:r w:rsidRPr="0070706C">
        <w:t>(3), 490–498. https://doi.org/10.1111/j.1360-0443.2010.03300.x</w:t>
      </w:r>
    </w:p>
    <w:p w14:paraId="4CFAB09F"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Lucchini, F., &amp; Comi, S. L. (2022). Social costs of gambling harm in Italy. </w:t>
      </w:r>
      <w:r w:rsidRPr="0070706C">
        <w:rPr>
          <w:i/>
        </w:rPr>
        <w:t>Critical Gambling Studies</w:t>
      </w:r>
      <w:r w:rsidRPr="0070706C">
        <w:t xml:space="preserve">, </w:t>
      </w:r>
      <w:r w:rsidRPr="0070706C">
        <w:rPr>
          <w:i/>
        </w:rPr>
        <w:t>3</w:t>
      </w:r>
      <w:r w:rsidRPr="0070706C">
        <w:t>(1), 71–82. https://doi.org/10.29173/cgs50</w:t>
      </w:r>
    </w:p>
    <w:p w14:paraId="6906B4BB"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Malatest International and Sapere. (2024). </w:t>
      </w:r>
      <w:r w:rsidRPr="0070706C">
        <w:rPr>
          <w:i/>
        </w:rPr>
        <w:t>Gambling Harm Needs Assessment 2024: Literature review, funding review and gap analysis informed by the sector</w:t>
      </w:r>
      <w:r w:rsidRPr="0070706C">
        <w:t>. https://www.health.govt.nz/system/files/2024-08/Strategy%20to%20Prevent%20and%20Minimise%20Gambling%20Harm%202025-26%20%202027-28%20-%20Needs%20assessment%20%28accessible%29%2020240820_1.pdf</w:t>
      </w:r>
    </w:p>
    <w:p w14:paraId="2C9434C1"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Maple, M., Kwan, M., Borrowdale, K., Riley, J., Murray, S., &amp; Sanford, R. (2016). </w:t>
      </w:r>
      <w:r w:rsidRPr="0070706C">
        <w:rPr>
          <w:i/>
        </w:rPr>
        <w:t>The ripple effect: Understanding the exposure and impact of suicide in Australia</w:t>
      </w:r>
      <w:r w:rsidRPr="0070706C">
        <w:t>. https://apo.org.au/sites/default/files/resource-files/2016-09/apo-nid67989.pdf</w:t>
      </w:r>
    </w:p>
    <w:p w14:paraId="611B014E"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Marionneau, V., Lahtinen, A. E., &amp; Nikkinen, J. T. (2024). Gambling among indebted individuals: an analysis of bank transaction data. </w:t>
      </w:r>
      <w:r w:rsidRPr="0070706C">
        <w:rPr>
          <w:i/>
        </w:rPr>
        <w:t>European Journal of Public Health</w:t>
      </w:r>
      <w:r w:rsidRPr="0070706C">
        <w:t xml:space="preserve">, </w:t>
      </w:r>
      <w:r w:rsidRPr="0070706C">
        <w:rPr>
          <w:i/>
        </w:rPr>
        <w:t>34</w:t>
      </w:r>
      <w:r w:rsidRPr="0070706C">
        <w:t>(2), 342–346. https://doi.org/10.1093/eurpub/ckad117</w:t>
      </w:r>
    </w:p>
    <w:p w14:paraId="73AF21BB"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Marionneau, V., Selin, J., Impinen, A., &amp; Roukka, T. (2024). Availability restrictions and mandatory precommitment in land-based gambling: effects on online substitutes and total consumption in longitudinal sales data. </w:t>
      </w:r>
      <w:r w:rsidRPr="0070706C">
        <w:rPr>
          <w:i/>
        </w:rPr>
        <w:t>BMC Public Health</w:t>
      </w:r>
      <w:r w:rsidRPr="0070706C">
        <w:t xml:space="preserve">, </w:t>
      </w:r>
      <w:r w:rsidRPr="0070706C">
        <w:rPr>
          <w:i/>
        </w:rPr>
        <w:t>24</w:t>
      </w:r>
      <w:r w:rsidRPr="0070706C">
        <w:t>(1), 809. https://doi.org/10.1186/s12889-024-18325-z</w:t>
      </w:r>
    </w:p>
    <w:p w14:paraId="403C84C0"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McCarthy, S., Thomas, S. L., Pitt, H., Warner, E., Roderique-Davies, G., Rintoul, A., &amp; John, B. (2022). “They loved gambling more than me.” Women’s experiences of gambling related harm as an affected other. </w:t>
      </w:r>
      <w:r w:rsidRPr="0070706C">
        <w:rPr>
          <w:i/>
        </w:rPr>
        <w:t>Health Promotion Journal of Australia</w:t>
      </w:r>
      <w:r w:rsidRPr="0070706C">
        <w:t>. https://doi.org/10.1002/hpja.608</w:t>
      </w:r>
    </w:p>
    <w:p w14:paraId="31E3910D"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McCormack, A., &amp; Griffiths, M. (2011). </w:t>
      </w:r>
      <w:r w:rsidRPr="0070706C">
        <w:rPr>
          <w:i/>
        </w:rPr>
        <w:t>The effects of problem gambling on quality of life and wellbeing: A qualitative comparison of online and offline problem gamblers</w:t>
      </w:r>
      <w:r w:rsidRPr="0070706C">
        <w:t>. https://www.semanticscholar.org/paper/The-effects-of-problem-gambling-on-quality-of-life-McCormack-Griffiths/f991277c426315326580cc98ae7ec7f7f90cd334</w:t>
      </w:r>
    </w:p>
    <w:p w14:paraId="529A0802"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McIntyre, E., Oorschot, T., Steel, A., Leach, M. J., Adams, J., &amp; Harnett, J. (2021). Conventional and complementary health care use and out-of-pocket expenses among Australians with a self-reported mental health diagnosis: a cross-sectional survey. </w:t>
      </w:r>
      <w:r w:rsidRPr="0070706C">
        <w:rPr>
          <w:i/>
        </w:rPr>
        <w:t>BMC Health Services Research</w:t>
      </w:r>
      <w:r w:rsidRPr="0070706C">
        <w:t xml:space="preserve">, </w:t>
      </w:r>
      <w:r w:rsidRPr="0070706C">
        <w:rPr>
          <w:i/>
        </w:rPr>
        <w:t>21</w:t>
      </w:r>
      <w:r w:rsidRPr="0070706C">
        <w:t>(1), 1266. https://doi.org/10.1186/s12913-021-07162-0</w:t>
      </w:r>
    </w:p>
    <w:p w14:paraId="2013AC9A"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McLauchlan, J., Browne, M., Russell, A. M. T., &amp; Rockloff, M. (2020). Evaluating the reliability and validity of the Short Gambling Harm Screen: Are binary scales worse than likert scales at capturing gambling harm? </w:t>
      </w:r>
      <w:r w:rsidRPr="0070706C">
        <w:rPr>
          <w:i/>
        </w:rPr>
        <w:t>Journal of Gambling Issues</w:t>
      </w:r>
      <w:r w:rsidRPr="0070706C">
        <w:t xml:space="preserve">, </w:t>
      </w:r>
      <w:r w:rsidRPr="0070706C">
        <w:rPr>
          <w:i/>
        </w:rPr>
        <w:t>44</w:t>
      </w:r>
      <w:r w:rsidRPr="0070706C">
        <w:t>, 103–120. https://doi.org/10.4309/jgi.2020.44.6</w:t>
      </w:r>
    </w:p>
    <w:p w14:paraId="18E7A725" w14:textId="6296FFB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Mestre-Bach, G., Steward, T., Granero, R., Fernández-Aranda, F., Talón-Navarro, M. T., Cuquerella, À., Baño, M., Moragas, L., Del Pino-Gutiérrez, A., Aymamí, N., Gómez-Peña, M., Mallorquí-Bagué, N., Vintró-Alcaraz, C., Magaña, P., Menchón, J. M., &amp; Jiménez-Murcia, S. (2018). Gambling and impulsivity traits: A recipe for criminal </w:t>
      </w:r>
      <w:r w:rsidR="00AB42DD" w:rsidRPr="0070706C">
        <w:t>behaviour</w:t>
      </w:r>
      <w:r w:rsidRPr="0070706C">
        <w:t xml:space="preserve">? </w:t>
      </w:r>
      <w:r w:rsidRPr="0070706C">
        <w:rPr>
          <w:i/>
        </w:rPr>
        <w:t>Frontiers in Psychiatry</w:t>
      </w:r>
      <w:r w:rsidRPr="0070706C">
        <w:t xml:space="preserve">, </w:t>
      </w:r>
      <w:r w:rsidRPr="0070706C">
        <w:rPr>
          <w:i/>
        </w:rPr>
        <w:t>9</w:t>
      </w:r>
      <w:r w:rsidRPr="0070706C">
        <w:t>, 6. https://doi.org/10.3389/fpsyt.2018.00006</w:t>
      </w:r>
    </w:p>
    <w:p w14:paraId="314D22AE"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Ministry of Health. (2006). </w:t>
      </w:r>
      <w:r w:rsidRPr="0070706C">
        <w:rPr>
          <w:i/>
        </w:rPr>
        <w:t>Problem Gambling Intervention Services in New Zealand: 2005 Service-user statistics</w:t>
      </w:r>
      <w:r w:rsidRPr="0070706C">
        <w:t>. https://www.researchgate.net/publication/308362894</w:t>
      </w:r>
    </w:p>
    <w:p w14:paraId="45EDA52D"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Ministry of Health. (2019). </w:t>
      </w:r>
      <w:r w:rsidRPr="0070706C">
        <w:rPr>
          <w:i/>
        </w:rPr>
        <w:t>Equity, Te mana tautika</w:t>
      </w:r>
      <w:r w:rsidRPr="0070706C">
        <w:t>. Ministry of Health. https://www.health.govt.nz/strategies-initiatives/programmes-and-initiatives/equity</w:t>
      </w:r>
    </w:p>
    <w:p w14:paraId="33E56B5A"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Ministry of Health. (2022). </w:t>
      </w:r>
      <w:r w:rsidRPr="0070706C">
        <w:rPr>
          <w:i/>
        </w:rPr>
        <w:t>Strategy to Prevent and Minimise Gambling Harm</w:t>
      </w:r>
      <w:r w:rsidRPr="0070706C">
        <w:t>. New Zealand Government. https://www.health.govt.nz/system/files/2022-06/strategy-to-prevent-and-minimise-gambling-harm-jun22.pdf</w:t>
      </w:r>
    </w:p>
    <w:p w14:paraId="0D37A44F"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Ministry of Health. (2022). </w:t>
      </w:r>
      <w:r w:rsidRPr="0070706C">
        <w:rPr>
          <w:i/>
        </w:rPr>
        <w:t>Strategy to Prevent and Minimise Gambling Harm 2022/23 to 2024/25</w:t>
      </w:r>
      <w:r w:rsidRPr="0070706C">
        <w:t xml:space="preserve"> (p. 266). Ministry of Health. https://www.beehive.govt.nz/sites/default/files/2022-06/Strategy-to-Prevent-and-Minimise-Gambling-Harm.PDF</w:t>
      </w:r>
    </w:p>
    <w:p w14:paraId="18881FE3" w14:textId="29AB5237" w:rsidR="00645029" w:rsidRDefault="00645029" w:rsidP="00367A8D">
      <w:pPr>
        <w:widowControl w:val="0"/>
        <w:pBdr>
          <w:top w:val="nil"/>
          <w:left w:val="nil"/>
          <w:bottom w:val="nil"/>
          <w:right w:val="nil"/>
          <w:between w:val="nil"/>
        </w:pBdr>
        <w:spacing w:line="360" w:lineRule="auto"/>
        <w:ind w:left="720" w:hanging="720"/>
      </w:pPr>
      <w:r w:rsidRPr="0070706C">
        <w:t xml:space="preserve">Ministry of Health. (2023). </w:t>
      </w:r>
      <w:r w:rsidRPr="0070706C">
        <w:rPr>
          <w:i/>
        </w:rPr>
        <w:t>Clients assisted by primary problem gambling mode. Table 11: Problem gambling client presentation data</w:t>
      </w:r>
      <w:r w:rsidRPr="0070706C">
        <w:t xml:space="preserve">. Ministry of Health. </w:t>
      </w:r>
      <w:hyperlink r:id="rId34" w:history="1">
        <w:r w:rsidR="00345D9A" w:rsidRPr="00325653">
          <w:rPr>
            <w:rStyle w:val="Hyperlink"/>
          </w:rPr>
          <w:t>https://www.health.govt.nz/statistics-research/statistics-and-data-sets/problem-gambling/gambling-harm-services-data</w:t>
        </w:r>
      </w:hyperlink>
    </w:p>
    <w:p w14:paraId="0907C9FB" w14:textId="0ED499E5" w:rsidR="00345D9A" w:rsidRPr="0070706C" w:rsidRDefault="00345D9A" w:rsidP="00367A8D">
      <w:pPr>
        <w:widowControl w:val="0"/>
        <w:pBdr>
          <w:top w:val="nil"/>
          <w:left w:val="nil"/>
          <w:bottom w:val="nil"/>
          <w:right w:val="nil"/>
          <w:between w:val="nil"/>
        </w:pBdr>
        <w:spacing w:line="360" w:lineRule="auto"/>
        <w:ind w:left="720" w:hanging="720"/>
      </w:pPr>
      <w:r w:rsidRPr="00345D9A">
        <w:t>Ministry of Health. (202</w:t>
      </w:r>
      <w:r>
        <w:t>4</w:t>
      </w:r>
      <w:r w:rsidRPr="00345D9A">
        <w:t xml:space="preserve">). </w:t>
      </w:r>
      <w:r w:rsidRPr="00001C68">
        <w:rPr>
          <w:i/>
          <w:iCs/>
        </w:rPr>
        <w:t>Strategy to prevent and minimise gambling harm 2025/26 to 2027/28</w:t>
      </w:r>
      <w:r w:rsidRPr="00345D9A">
        <w:t>. New Zealand Government. https://consult.health.govt.nz/gambling/strategy-to-prevent-and-minimise-gambling-harm-2/</w:t>
      </w:r>
    </w:p>
    <w:p w14:paraId="29B6E76C"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Ministry of Justice. (2023a). </w:t>
      </w:r>
      <w:r w:rsidRPr="0070706C">
        <w:rPr>
          <w:i/>
        </w:rPr>
        <w:t>NZCVS Cycle 6 resources and results: Reporting to Police</w:t>
      </w:r>
      <w:r w:rsidRPr="0070706C">
        <w:t>. https://www.justice.govt.nz/justice-sector-policy/research-data/nzcvs/nzcvs-cycle-6-resources-and-results/</w:t>
      </w:r>
    </w:p>
    <w:p w14:paraId="4202C14D"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Ministry of Justice. (2023b). </w:t>
      </w:r>
      <w:r w:rsidRPr="0070706C">
        <w:rPr>
          <w:i/>
        </w:rPr>
        <w:t>Research &amp; Data, General justice data table, Table 3a: Number of convicted charges, by offence type (ANZSOC division), 1980 - 2023</w:t>
      </w:r>
      <w:r w:rsidRPr="0070706C">
        <w:t>. Ministry of Justice. https://www.justice.govt.nz/justice-sector-policy/research-data/justice-statistics/data-tables/</w:t>
      </w:r>
    </w:p>
    <w:p w14:paraId="450C67B9"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Ministry of Justice. (2024). </w:t>
      </w:r>
      <w:r w:rsidRPr="0070706C">
        <w:rPr>
          <w:i/>
        </w:rPr>
        <w:t>Family Court fees and funding</w:t>
      </w:r>
      <w:r w:rsidRPr="0070706C">
        <w:t>. Ministry of Justice. https://www.justice.govt.nz/family/family-court/fees-and-funding/family-court-fees-and-funding/</w:t>
      </w:r>
    </w:p>
    <w:p w14:paraId="23822ACB"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Ministry of Social Development. (2024). </w:t>
      </w:r>
      <w:r w:rsidRPr="0070706C">
        <w:rPr>
          <w:i/>
        </w:rPr>
        <w:t>Benefit Fact Sheet Snapshot - June 2024 Quarter</w:t>
      </w:r>
      <w:r w:rsidRPr="0070706C">
        <w:t>. Ministry of Social Development. https://www.msd.govt.nz/about-msd-and-our-work/publications-resources/statistics/benefit/index.html</w:t>
      </w:r>
    </w:p>
    <w:p w14:paraId="34ECC712"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Morrall, A. (2010). </w:t>
      </w:r>
      <w:r w:rsidRPr="0070706C">
        <w:rPr>
          <w:i/>
        </w:rPr>
        <w:t>Divorce a financial worry</w:t>
      </w:r>
      <w:r w:rsidRPr="0070706C">
        <w:t>. Stuff. https://www.stuff.co.nz/business/3249073/Divorce-a-financial-worry</w:t>
      </w:r>
    </w:p>
    <w:p w14:paraId="1878DFDA" w14:textId="4FB7921F"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Morrison, L. (2017). Nga Pou Wahine: Gambling misuse and </w:t>
      </w:r>
      <w:r w:rsidR="004D5F67" w:rsidRPr="0070706C">
        <w:t>Māori</w:t>
      </w:r>
      <w:r w:rsidRPr="0070706C">
        <w:t xml:space="preserve"> women in New Zealand. In </w:t>
      </w:r>
      <w:r w:rsidRPr="0070706C">
        <w:rPr>
          <w:i/>
        </w:rPr>
        <w:t>Gambling Disorders in Women</w:t>
      </w:r>
      <w:r w:rsidRPr="0070706C">
        <w:t xml:space="preserve"> (pp. 268–278). Routledge. https://doi.org/10.4324/9781315627625-26/nga-pou-wahine-laurie-morrison</w:t>
      </w:r>
    </w:p>
    <w:p w14:paraId="7506D172"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Murray Boyle, C., Browne, M., Rockloff, M., &amp; Flenady, T. (2021). Opportunity costs or not? Validating the Short Gambling Harm Screen against a set of “unimpeachable” negative impacts. </w:t>
      </w:r>
      <w:r w:rsidRPr="0070706C">
        <w:rPr>
          <w:i/>
        </w:rPr>
        <w:t>Journal of Clinical Medicine Research</w:t>
      </w:r>
      <w:r w:rsidRPr="0070706C">
        <w:t>. https://doi.org/10.3390/jcm10030549</w:t>
      </w:r>
    </w:p>
    <w:p w14:paraId="248395F7"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Murray Boyle, C., Browne, M., Rockloff, M. J., &amp; Thorne, H. B. (2022). Validating the short gambling harm screen against external benchmarks. </w:t>
      </w:r>
      <w:r w:rsidRPr="0070706C">
        <w:rPr>
          <w:i/>
        </w:rPr>
        <w:t>Journal of Behavioral Addictions</w:t>
      </w:r>
      <w:r w:rsidRPr="0070706C">
        <w:t>. https://doi.org/10.1556/2006.2022.00075</w:t>
      </w:r>
    </w:p>
    <w:p w14:paraId="75591BAD"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National confidential inquiry into suicide and homicide by people with mental illness. (2017). </w:t>
      </w:r>
      <w:r w:rsidRPr="0070706C">
        <w:rPr>
          <w:i/>
        </w:rPr>
        <w:t>Suicide by children and young people</w:t>
      </w:r>
      <w:r w:rsidRPr="0070706C">
        <w:t>. Manchester: University of Manchester. https://documents.manchester.ac.uk/display.aspx?DocID=37566</w:t>
      </w:r>
    </w:p>
    <w:p w14:paraId="7601440A"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National Institute for Health and Care Excellence. (2025). </w:t>
      </w:r>
      <w:r w:rsidRPr="0070706C">
        <w:rPr>
          <w:i/>
        </w:rPr>
        <w:t>Gambling-related harms: identification, assessment and management. [F] Psychological and psychosocial treatment of harmful gambling</w:t>
      </w:r>
      <w:r w:rsidRPr="0070706C">
        <w:t>. https://www.nice.org.uk/guidance/ng248/evidence/f-psychological-and-psychosocial-treatment-of-harmful-gambling-pdf-15241031251</w:t>
      </w:r>
    </w:p>
    <w:p w14:paraId="7D85B81F"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New Zealand Families Commission. (2012). </w:t>
      </w:r>
      <w:r w:rsidRPr="0070706C">
        <w:rPr>
          <w:i/>
        </w:rPr>
        <w:t>Pacific families and problem debt: Summary report</w:t>
      </w:r>
      <w:r w:rsidRPr="0070706C">
        <w:t>. https://researchspace.auckland.ac.nz/bitstream/handle/2292/65746/Pacific%20Families%20and%20Problem%20Debt.pdf?sequence=1</w:t>
      </w:r>
    </w:p>
    <w:p w14:paraId="5899A04D"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New Zealand Gambling Survey. (2025). </w:t>
      </w:r>
      <w:r w:rsidRPr="0070706C">
        <w:rPr>
          <w:i/>
        </w:rPr>
        <w:t>Indicator: Moderate-risk and problem gambler</w:t>
      </w:r>
      <w:r w:rsidRPr="0070706C">
        <w:t>. New Zealand Gambling Survey. https://kupe.healthpromotion.govt.nz/nzgs/gambling-harm/problem-gambling-severity-index/moderate-risk-and-problem-gambler/New Zealand Gambling Survey</w:t>
      </w:r>
    </w:p>
    <w:p w14:paraId="6DB7D163"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rPr>
          <w:i/>
        </w:rPr>
        <w:t>New Zealand Gambling Survey (NZGS) 2023/24</w:t>
      </w:r>
      <w:r w:rsidRPr="0070706C">
        <w:t>. (2025). [Data set]. https://www.health.govt.nz/statistics-research/surveys/new-zealand-gambling-survey</w:t>
      </w:r>
    </w:p>
    <w:p w14:paraId="1AF4FD80"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New Zealand Government. (2024a). </w:t>
      </w:r>
      <w:r w:rsidRPr="0070706C">
        <w:rPr>
          <w:i/>
        </w:rPr>
        <w:t>2023 Census household, family, and extended family highlights</w:t>
      </w:r>
      <w:r w:rsidRPr="0070706C">
        <w:t>. Stats New Zealand. https://www.stats.govt.nz/information-releases/2023-census-household-family-and-extended-family-highlights/</w:t>
      </w:r>
    </w:p>
    <w:p w14:paraId="4354E125" w14:textId="0547B4A3"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New Zealand Government. (2024b). </w:t>
      </w:r>
      <w:r w:rsidRPr="0070706C">
        <w:rPr>
          <w:i/>
        </w:rPr>
        <w:t>2023 Census population counts (by ethnic group, age, and Māori descent) and dwelling counts</w:t>
      </w:r>
      <w:r w:rsidRPr="0070706C">
        <w:t>. Stats New Zealand. https://www.stats.govt.nz/information-releases/2023-census-population-counts-by-ethnic-group-age-and-m</w:t>
      </w:r>
      <w:r w:rsidR="00B82892" w:rsidRPr="00B82892">
        <w:t>ā</w:t>
      </w:r>
      <w:r w:rsidRPr="0070706C">
        <w:t>ori-descent-and-dwelling-counts/</w:t>
      </w:r>
    </w:p>
    <w:p w14:paraId="1A27EA6C"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New Zealand Government. (2024c). </w:t>
      </w:r>
      <w:r w:rsidRPr="0070706C">
        <w:rPr>
          <w:i/>
        </w:rPr>
        <w:t>Adults convicted in court by sentence type - most serious offence fiscal year</w:t>
      </w:r>
      <w:r w:rsidRPr="0070706C">
        <w:t>. Stats New Zealand. https://nzdotstat.stats.govt.nz/wbos/Index.aspx?DataSetCode=TABLECODE7373#</w:t>
      </w:r>
    </w:p>
    <w:p w14:paraId="43759D1D"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New Zealand Government. (2024d). </w:t>
      </w:r>
      <w:r w:rsidRPr="0070706C">
        <w:rPr>
          <w:i/>
        </w:rPr>
        <w:t>Household Labour Force Survey: Unemployed by Sex by Duration of Unemployment (Quarterly) June 2024</w:t>
      </w:r>
      <w:r w:rsidRPr="0070706C">
        <w:t>. Stats New Zealand. https://www.stats.govt.nz/information-releases/labour-market-statistics-june-2024-quarter/</w:t>
      </w:r>
    </w:p>
    <w:p w14:paraId="2FF232D7"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New Zealand Government. (2024e). </w:t>
      </w:r>
      <w:r w:rsidRPr="0070706C">
        <w:rPr>
          <w:i/>
        </w:rPr>
        <w:t>Labour market statistics (income): June 2024 quarter</w:t>
      </w:r>
      <w:r w:rsidRPr="0070706C">
        <w:t>. Stats NZ. https://www.stats.govt.nz/information-releases/labour-market-statistics-income-june-2024-quarter/</w:t>
      </w:r>
    </w:p>
    <w:p w14:paraId="558122B0"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New Zealand Insolvency and Trustee Service. (2023). </w:t>
      </w:r>
      <w:r w:rsidRPr="0070706C">
        <w:rPr>
          <w:i/>
        </w:rPr>
        <w:t>Insolvency Statistics and Debtor Profile Report 1 July 2022 to 30 June 2023</w:t>
      </w:r>
      <w:r w:rsidRPr="0070706C">
        <w:t>. https://www.insolvency.govt.nz/assets/pdf/Statistical-Data-Reports/its-statistical-data-report-2022-23.pdf</w:t>
      </w:r>
    </w:p>
    <w:p w14:paraId="217AC9AC"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New Zealand Police. (2024a). </w:t>
      </w:r>
      <w:r w:rsidRPr="0070706C">
        <w:rPr>
          <w:i/>
        </w:rPr>
        <w:t>New Zealand Police Annual Report 2023/24</w:t>
      </w:r>
      <w:r w:rsidRPr="0070706C">
        <w:t>. New Zealand Police. https://www.police.govt.nz/sites/default/files/publications/annual-report-2023-2024.pdf</w:t>
      </w:r>
    </w:p>
    <w:p w14:paraId="33C66EDB"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New Zealand Police. (2024b). </w:t>
      </w:r>
      <w:r w:rsidRPr="0070706C">
        <w:rPr>
          <w:i/>
        </w:rPr>
        <w:t>Proceedings (police stations)</w:t>
      </w:r>
      <w:r w:rsidRPr="0070706C">
        <w:t>. New Zealand Police. https://www.police.govt.nz/about-us/statistics-and-publications/data-and-statistics/proceedings-police-stations</w:t>
      </w:r>
    </w:p>
    <w:p w14:paraId="6CFF76F5"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New Zealand Treasury. (2024). </w:t>
      </w:r>
      <w:r w:rsidRPr="0070706C">
        <w:rPr>
          <w:i/>
        </w:rPr>
        <w:t>Business, Science and Innovation - Supplementary Estimates of Appropriations 2023/24 - Budget 2024</w:t>
      </w:r>
      <w:r w:rsidRPr="0070706C">
        <w:t>. https://www.treasury.govt.nz/sites/default/files/2024-09/b24-frs-sig-buscin-4983507.pdf</w:t>
      </w:r>
    </w:p>
    <w:p w14:paraId="55CE2664"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Nichols, L. (2023, March 20). ‘Broker’ Joshua Calvert who promised to double investors’ money on share market admits blowing $60k on sports betting. </w:t>
      </w:r>
      <w:r w:rsidRPr="0070706C">
        <w:rPr>
          <w:i/>
        </w:rPr>
        <w:t>The New Zealand Herald</w:t>
      </w:r>
      <w:r w:rsidRPr="0070706C">
        <w:t>. https://www.nzherald.co.nz/nz/broker-joshua-calvert-who-promised-to-double-investors-money-on-share-market-admits-blowing-60k-on-sports-betting/AJC6GC5WUJH6HEYFFC6QZ7LCEA/</w:t>
      </w:r>
    </w:p>
    <w:p w14:paraId="28978EC2"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O’Dea, D., &amp; Tucker, S. (2005). </w:t>
      </w:r>
      <w:r w:rsidRPr="0070706C">
        <w:rPr>
          <w:i/>
        </w:rPr>
        <w:t>The cost of suicide to society</w:t>
      </w:r>
      <w:r w:rsidRPr="0070706C">
        <w:t>. https://thehub.sia.govt.nz/assets/documents/42743_thecostofsuicidetosociety_0.pdf</w:t>
      </w:r>
    </w:p>
    <w:p w14:paraId="7FFB91ED"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OECD. (2022). </w:t>
      </w:r>
      <w:r w:rsidRPr="0070706C">
        <w:rPr>
          <w:i/>
        </w:rPr>
        <w:t>Purchasing power parities (PPP)</w:t>
      </w:r>
      <w:r w:rsidRPr="0070706C">
        <w:t>. OECD. https://www.oecd.org/en/data/indicators/purchasing-power-parities-ppp.html?oecdcontrol-00b22b2429-var3=2022&amp;oecdcontrol-38c744bfa4-var1=AUS%7CNZL&amp;oecdcontrol-38c744bfa4-var2=AUS%7CNZL</w:t>
      </w:r>
    </w:p>
    <w:p w14:paraId="6C46D6B5" w14:textId="2299C569"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Office for Health Improvement and Disparities. (2023). </w:t>
      </w:r>
      <w:r w:rsidRPr="0070706C">
        <w:rPr>
          <w:i/>
        </w:rPr>
        <w:t>The economic and social cost of harms associated with gambling in England</w:t>
      </w:r>
      <w:r w:rsidRPr="0070706C">
        <w:t xml:space="preserve">. Office for Health Improvement and </w:t>
      </w:r>
      <w:r w:rsidR="00675455" w:rsidRPr="0070706C">
        <w:t>Disparities.</w:t>
      </w:r>
      <w:r w:rsidRPr="0070706C">
        <w:t xml:space="preserve"> https://assets.publishing.service.gov.uk/media/63bc25b4d3bf7f262c5ad31f/The-economic-cost-of-gambling-related-harm-in-England_evidence-update-2023.pdf</w:t>
      </w:r>
    </w:p>
    <w:p w14:paraId="3DC12692"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Palmer du Preez, K., Landon, J., Maunchline, L., &amp; Thurlow, R. (2021). A critical analysis of interventions for women harmed by others’ gambling. </w:t>
      </w:r>
      <w:r w:rsidRPr="0070706C">
        <w:rPr>
          <w:i/>
        </w:rPr>
        <w:t>Critical Gambling Studies</w:t>
      </w:r>
      <w:r w:rsidRPr="0070706C">
        <w:t xml:space="preserve">, </w:t>
      </w:r>
      <w:r w:rsidRPr="0070706C">
        <w:rPr>
          <w:i/>
        </w:rPr>
        <w:t>2</w:t>
      </w:r>
      <w:r w:rsidRPr="0070706C">
        <w:t>(1), 1–12. https://doi.org/10.29173/cgs76</w:t>
      </w:r>
    </w:p>
    <w:p w14:paraId="64504DA2"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Palmer Du Preez, K., Mauchline, L., Paavonen, A., Thurlow, R., Garrett, N., Bellringer, M., Landon, J., &amp; Abbott, M. (2019). </w:t>
      </w:r>
      <w:r w:rsidRPr="0070706C">
        <w:rPr>
          <w:i/>
        </w:rPr>
        <w:t>A mixed methods analysis of gambling harm for women in New Zealand</w:t>
      </w:r>
      <w:r w:rsidRPr="0070706C">
        <w:t>. http://openrepository.aut.ac.nz/handle/10292/13236</w:t>
      </w:r>
    </w:p>
    <w:p w14:paraId="4352785D"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Parliament of New Zealand. (2016). </w:t>
      </w:r>
      <w:r w:rsidRPr="0070706C">
        <w:rPr>
          <w:i/>
        </w:rPr>
        <w:t>Final Report of the Cross-Party Inquiry on Homelessness</w:t>
      </w:r>
      <w:r w:rsidRPr="0070706C">
        <w:t>. https://www.healthyhousing.org.nz/sites/default/files/2022-02/CPHI_report_final.pdf</w:t>
      </w:r>
    </w:p>
    <w:p w14:paraId="0BE5DCD7" w14:textId="3B48790D"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Pastwa-Wojciechowska, B. (2011). The relationship of pathological gambling to criminality </w:t>
      </w:r>
      <w:r w:rsidR="00AB42DD" w:rsidRPr="0070706C">
        <w:t>behaviour</w:t>
      </w:r>
      <w:r w:rsidRPr="0070706C">
        <w:t xml:space="preserve"> in a sample of Polish male offenders. </w:t>
      </w:r>
      <w:r w:rsidRPr="0070706C">
        <w:rPr>
          <w:i/>
        </w:rPr>
        <w:t>Medical Science Monitor: International Medical Journal of Experimental and Clinical Research</w:t>
      </w:r>
      <w:r w:rsidRPr="0070706C">
        <w:t xml:space="preserve">, </w:t>
      </w:r>
      <w:r w:rsidRPr="0070706C">
        <w:rPr>
          <w:i/>
        </w:rPr>
        <w:t>17</w:t>
      </w:r>
      <w:r w:rsidRPr="0070706C">
        <w:t>(11), CR669-675. https://doi.org/10.12659/msm.882054</w:t>
      </w:r>
    </w:p>
    <w:p w14:paraId="37CBF38B"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Patel, A., &amp; McDaid, D. (2019). </w:t>
      </w:r>
      <w:r w:rsidRPr="0070706C">
        <w:rPr>
          <w:i/>
        </w:rPr>
        <w:t>Methods for assessing costs of gambling related harms and cost- effectiveness of interventions</w:t>
      </w:r>
      <w:r w:rsidRPr="0070706C">
        <w:t>. London School of Economics and Political Science. https://eprints.lse.ac.uk/105220/1/McDaid_Measuring_harms_costing_guide_2019_V1.2_final.pdf</w:t>
      </w:r>
    </w:p>
    <w:p w14:paraId="260026EA"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Penfold, A. (n.d.). </w:t>
      </w:r>
      <w:r w:rsidRPr="0070706C">
        <w:rPr>
          <w:i/>
        </w:rPr>
        <w:t>Suicide and problem gambling: evaluating intervention needs</w:t>
      </w:r>
      <w:r w:rsidRPr="0070706C">
        <w:t xml:space="preserve"> (R. Tan &amp; S. Wurtzburg, Eds.).</w:t>
      </w:r>
    </w:p>
    <w:p w14:paraId="72DDCAB6"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Perrone, S. (2000). </w:t>
      </w:r>
      <w:r w:rsidRPr="0070706C">
        <w:rPr>
          <w:i/>
        </w:rPr>
        <w:t>Crimes Against Small Business in Australia: A Preliminary Analysis</w:t>
      </w:r>
      <w:r w:rsidRPr="0070706C">
        <w:t>. Australian Institute of Criminology. https://www.aic.gov.au/sites/default/files/2020-05/tandi184.pdf</w:t>
      </w:r>
    </w:p>
    <w:p w14:paraId="13E6328B"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Pickering, D. (2019). </w:t>
      </w:r>
      <w:r w:rsidRPr="0070706C">
        <w:rPr>
          <w:i/>
        </w:rPr>
        <w:t>Investigating the associations of problem gambling with mental health risk factors among Pacific women living in New Zealand</w:t>
      </w:r>
      <w:r w:rsidRPr="0070706C">
        <w:t>. http://openrepository.aut.ac.nz/handle/10292/12372</w:t>
      </w:r>
    </w:p>
    <w:p w14:paraId="532DD6D1"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Productivity Commission. (1999). </w:t>
      </w:r>
      <w:r w:rsidRPr="0070706C">
        <w:rPr>
          <w:i/>
        </w:rPr>
        <w:t>Australia’s Gambling Industries</w:t>
      </w:r>
      <w:r w:rsidRPr="0070706C">
        <w:t>. Australian Government. https://doi.org/10.2139/ssrn.281756</w:t>
      </w:r>
    </w:p>
    <w:p w14:paraId="6CB3BF91"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Productivity Commission. (2010). </w:t>
      </w:r>
      <w:r w:rsidRPr="0070706C">
        <w:rPr>
          <w:i/>
        </w:rPr>
        <w:t>Gambling. Report no. 50, Canberra</w:t>
      </w:r>
      <w:r w:rsidRPr="0070706C">
        <w:t>. https://www.pc.gov.au/inquiries/completed/gambling-2010/report</w:t>
      </w:r>
    </w:p>
    <w:p w14:paraId="7FC232B3"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Productivity Commission. (2020). </w:t>
      </w:r>
      <w:r w:rsidRPr="0070706C">
        <w:rPr>
          <w:i/>
        </w:rPr>
        <w:t>Mental Health. Productivity Commission Inquiry Report</w:t>
      </w:r>
      <w:r w:rsidRPr="0070706C">
        <w:t>. {Productivity Commission}. https://www.pc.gov.au/inquiries/completed/mental-health/report/mental-health-volume2.pdf</w:t>
      </w:r>
    </w:p>
    <w:p w14:paraId="5CAA648B"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Raybould, J., Larkin, M., &amp; Tunney, R. J. (2020). Is there a health inequality in gambling related harms? A systematic review. </w:t>
      </w:r>
      <w:r w:rsidRPr="0070706C">
        <w:rPr>
          <w:i/>
        </w:rPr>
        <w:t>MedRxiv</w:t>
      </w:r>
      <w:r w:rsidRPr="0070706C">
        <w:t>, 19012104. https://doi.org/10.1101/19012104</w:t>
      </w:r>
    </w:p>
    <w:p w14:paraId="1449A2AD"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rPr>
          <w:i/>
        </w:rPr>
        <w:t>Regulatory impact statement: Offshore online gambling</w:t>
      </w:r>
      <w:r w:rsidRPr="0070706C">
        <w:t>. (2024). Inland Revenue Department. https://www.taxpolicy.ird.govt.nz/-/media/1b1e6f7dbd764e6e874bcea2942d5d6a.ashx</w:t>
      </w:r>
    </w:p>
    <w:p w14:paraId="5C97FD51"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Reid, P., Paine, S.-J., Te Ao, B., Willing, E. J., Wyeth, E., Vaithianathan, R., &amp; Loring, B. (2022). Estimating the economic costs of Indigenous health inequities in New Zealand: a retrospective cohort analysis. </w:t>
      </w:r>
      <w:r w:rsidRPr="0070706C">
        <w:rPr>
          <w:i/>
        </w:rPr>
        <w:t>BMJ Open</w:t>
      </w:r>
      <w:r w:rsidRPr="0070706C">
        <w:t xml:space="preserve">, </w:t>
      </w:r>
      <w:r w:rsidRPr="0070706C">
        <w:rPr>
          <w:i/>
        </w:rPr>
        <w:t>12</w:t>
      </w:r>
      <w:r w:rsidRPr="0070706C">
        <w:t>(10), e065430. https://doi.org/10.1136/bmjopen-2022-065430</w:t>
      </w:r>
    </w:p>
    <w:p w14:paraId="4C8996A3" w14:textId="5919E5B1"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Rimal, R., Shepherd, R.-M., Curley, L. E., &amp; Sundram, F. (2023). Perspectives from gambling expert stakeholders in relation to electronic gaming machines in New Zealand. </w:t>
      </w:r>
      <w:r w:rsidRPr="0070706C">
        <w:rPr>
          <w:i/>
        </w:rPr>
        <w:t xml:space="preserve">Health </w:t>
      </w:r>
      <w:r w:rsidR="00675455" w:rsidRPr="0070706C">
        <w:rPr>
          <w:i/>
        </w:rPr>
        <w:t>Policy,</w:t>
      </w:r>
      <w:r w:rsidRPr="0070706C">
        <w:t xml:space="preserve"> </w:t>
      </w:r>
      <w:r w:rsidRPr="0070706C">
        <w:rPr>
          <w:i/>
        </w:rPr>
        <w:t>136</w:t>
      </w:r>
      <w:r w:rsidRPr="0070706C">
        <w:t>, 104897. https://doi.org/10.1016/j.healthpol.2023.104897</w:t>
      </w:r>
    </w:p>
    <w:p w14:paraId="067E59A2"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Rintoul, A., Dwyer, J., Millar, C., Bugeja, L., &amp; Nguyen, H. (2023). Gambling-related suicide in Victoria, Australia: a population-based cross-sectional study. </w:t>
      </w:r>
      <w:r w:rsidRPr="0070706C">
        <w:rPr>
          <w:i/>
        </w:rPr>
        <w:t>The Lancet Regional Health. Western Pacific</w:t>
      </w:r>
      <w:r w:rsidRPr="0070706C">
        <w:t xml:space="preserve">, </w:t>
      </w:r>
      <w:r w:rsidRPr="0070706C">
        <w:rPr>
          <w:i/>
        </w:rPr>
        <w:t>41</w:t>
      </w:r>
      <w:r w:rsidRPr="0070706C">
        <w:t>, 100903. https://doi.org/10.1016/j.lanwpc.2023.100903</w:t>
      </w:r>
    </w:p>
    <w:p w14:paraId="63501E86"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Rockloff, M., Browne, M., Russell, A. M. T., Hing, N., Armstrong, T., &amp; Greer, N. (2022). Legacy gambling harms: What are they and how long do they last? </w:t>
      </w:r>
      <w:r w:rsidRPr="0070706C">
        <w:rPr>
          <w:i/>
        </w:rPr>
        <w:t>Journal of Behavioral Addictions</w:t>
      </w:r>
      <w:r w:rsidRPr="0070706C">
        <w:t xml:space="preserve">, </w:t>
      </w:r>
      <w:r w:rsidRPr="0070706C">
        <w:rPr>
          <w:i/>
        </w:rPr>
        <w:t>11</w:t>
      </w:r>
      <w:r w:rsidRPr="0070706C">
        <w:t>(4), 1002–1011. https://doi.org/10.1556/2006.2022.00073</w:t>
      </w:r>
    </w:p>
    <w:p w14:paraId="4ADD64C5"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Rockloff, M., Hing, N., Browne, M., Russell, A. M. T., Thorne, H., Newall, P., &amp; Visintin, T. (2021). </w:t>
      </w:r>
      <w:r w:rsidRPr="0070706C">
        <w:rPr>
          <w:i/>
        </w:rPr>
        <w:t>Gambling Harm and Harm Minimisation in Western Australia</w:t>
      </w:r>
      <w:r w:rsidRPr="0070706C">
        <w:t>. https://www.wa.gov.au/system/files/2021-11/Prof.%20Rockloff%20-%20Gambling%20Harm%20and%20Harm%20Minimisation%20in%20WA%20-%20Expert%20Report%20%28amended%29.pdf</w:t>
      </w:r>
    </w:p>
    <w:p w14:paraId="643308D2"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Rook, H., Rippon, R., Pauls, R., Doust, E., &amp; Prince, J. (2018). </w:t>
      </w:r>
      <w:r w:rsidRPr="0070706C">
        <w:rPr>
          <w:i/>
        </w:rPr>
        <w:t>Gambling Harm Reduction Needs Assessment</w:t>
      </w:r>
      <w:r w:rsidRPr="0070706C">
        <w:t>. Ministry of Health. https://www.health.govt.nz/system/files/2018-08/gambling-harm-reduction-needs-assessment-v2-aug18.pdf</w:t>
      </w:r>
    </w:p>
    <w:p w14:paraId="7D41353C"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Roper, A., &amp; Thompson, T. (2006). </w:t>
      </w:r>
      <w:r w:rsidRPr="0070706C">
        <w:rPr>
          <w:i/>
        </w:rPr>
        <w:t>Estimating the costs of crime in New Zealand in 2003/04</w:t>
      </w:r>
      <w:r w:rsidRPr="0070706C">
        <w:t>. https://www.treasury.govt.nz/sites/default/files/2007-09/twp06-04.pdf</w:t>
      </w:r>
    </w:p>
    <w:p w14:paraId="3DFA0C04"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Russell, A. M. T., Browne, M., Hing, N., Rockloff, M., Newall, P., Dowling, N. A., Merkouris, S., King, D. L., Stevens, M., Salonen, A. H., Breen, H., Greer, N., Thorne, H. B., Visintin, T., Rawat, V., &amp; Woo, L. (2023). Electronic gaming machine accessibility and gambling problems: A natural policy experiment. </w:t>
      </w:r>
      <w:r w:rsidRPr="0070706C">
        <w:rPr>
          <w:i/>
        </w:rPr>
        <w:t>Journal of Behavioral Addictions</w:t>
      </w:r>
      <w:r w:rsidRPr="0070706C">
        <w:t>. https://doi.org/10.1556/2006.2023.00044</w:t>
      </w:r>
    </w:p>
    <w:p w14:paraId="4978B96A"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Segar, L. B., Laidi, C., Godin, O., Courtet, P., Vaiva, G., Leboyer, M., &amp; Durand-Zaleski, I. (2024). The cost of illness and burden of suicide and suicide attempts in France. </w:t>
      </w:r>
      <w:r w:rsidRPr="0070706C">
        <w:rPr>
          <w:i/>
        </w:rPr>
        <w:t>BMC Psychiatry</w:t>
      </w:r>
      <w:r w:rsidRPr="0070706C">
        <w:t xml:space="preserve">, </w:t>
      </w:r>
      <w:r w:rsidRPr="0070706C">
        <w:rPr>
          <w:i/>
        </w:rPr>
        <w:t>24</w:t>
      </w:r>
      <w:r w:rsidRPr="0070706C">
        <w:t>(1), 215. https://doi.org/10.1186/s12888-024-05632-3</w:t>
      </w:r>
    </w:p>
    <w:p w14:paraId="58A9A5FC"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Sharman, S. (2019). Gambling and homelessness: Prevalence and pathways. </w:t>
      </w:r>
      <w:r w:rsidRPr="0070706C">
        <w:rPr>
          <w:i/>
        </w:rPr>
        <w:t>Current Addiction Reports</w:t>
      </w:r>
      <w:r w:rsidRPr="0070706C">
        <w:t xml:space="preserve">, </w:t>
      </w:r>
      <w:r w:rsidRPr="0070706C">
        <w:rPr>
          <w:i/>
        </w:rPr>
        <w:t>6</w:t>
      </w:r>
      <w:r w:rsidRPr="0070706C">
        <w:t>(2), 57–64. https://doi.org/10.1007/s40429-019-00242-6</w:t>
      </w:r>
    </w:p>
    <w:p w14:paraId="09AB94BF"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Shaskey, T. (2024, June 17). TSB Bank teller stole $28,000 from customers to feed her gambling addiction. </w:t>
      </w:r>
      <w:r w:rsidRPr="0070706C">
        <w:rPr>
          <w:i/>
        </w:rPr>
        <w:t>The New Zealand Herald</w:t>
      </w:r>
      <w:r w:rsidRPr="0070706C">
        <w:t>. https://www.nzherald.co.nz/nz/tsb-bank-teller-stole-28000-from-customers-to-feed-her-gambling-addiction/AS5GXS6SIVEDPHEPH3ONBHOGLE/</w:t>
      </w:r>
    </w:p>
    <w:p w14:paraId="559457DF" w14:textId="4685238A" w:rsidR="00645029" w:rsidRDefault="00645029" w:rsidP="00367A8D">
      <w:pPr>
        <w:widowControl w:val="0"/>
        <w:pBdr>
          <w:top w:val="nil"/>
          <w:left w:val="nil"/>
          <w:bottom w:val="nil"/>
          <w:right w:val="nil"/>
          <w:between w:val="nil"/>
        </w:pBdr>
        <w:spacing w:line="360" w:lineRule="auto"/>
        <w:ind w:left="720" w:hanging="720"/>
      </w:pPr>
      <w:r w:rsidRPr="0070706C">
        <w:t xml:space="preserve">Shepard, D. S., Gurewich, D., Lwin, A. K., Reed, G. A., Jr, &amp; Silverman, M. M. (2016). Suicide and suicidal attempts in the United States: Costs and policy implications. </w:t>
      </w:r>
      <w:r w:rsidRPr="0070706C">
        <w:rPr>
          <w:i/>
        </w:rPr>
        <w:t>Suicide &amp; Life-Threatening Behavior</w:t>
      </w:r>
      <w:r w:rsidRPr="0070706C">
        <w:t xml:space="preserve">, </w:t>
      </w:r>
      <w:r w:rsidRPr="0070706C">
        <w:rPr>
          <w:i/>
        </w:rPr>
        <w:t>46</w:t>
      </w:r>
      <w:r w:rsidRPr="0070706C">
        <w:t xml:space="preserve">(3), 352–362. </w:t>
      </w:r>
      <w:hyperlink r:id="rId35" w:history="1">
        <w:r w:rsidR="00C17440" w:rsidRPr="00325653">
          <w:rPr>
            <w:rStyle w:val="Hyperlink"/>
          </w:rPr>
          <w:t>https://doi.org/10.1111/sltb.12225</w:t>
        </w:r>
      </w:hyperlink>
    </w:p>
    <w:p w14:paraId="76667E9B" w14:textId="414E3B31" w:rsidR="00C17440" w:rsidRPr="0070706C" w:rsidRDefault="00C17440" w:rsidP="00367A8D">
      <w:pPr>
        <w:widowControl w:val="0"/>
        <w:pBdr>
          <w:top w:val="nil"/>
          <w:left w:val="nil"/>
          <w:bottom w:val="nil"/>
          <w:right w:val="nil"/>
          <w:between w:val="nil"/>
        </w:pBdr>
        <w:spacing w:line="360" w:lineRule="auto"/>
        <w:ind w:left="720" w:hanging="720"/>
      </w:pPr>
      <w:r w:rsidRPr="00C17440">
        <w:t xml:space="preserve">Singh, A., Wilson, N., &amp; Blakely, T. (2021). Simulating future public health benefits of tobacco control interventions: A systematic review of models. </w:t>
      </w:r>
      <w:r w:rsidRPr="00001C68">
        <w:rPr>
          <w:i/>
          <w:iCs/>
        </w:rPr>
        <w:t>Tobacco Control, 30(4)</w:t>
      </w:r>
      <w:r w:rsidRPr="00C17440">
        <w:t>, 460–468. https://doi.org/10.1136/tobaccocontrol-2019-055425</w:t>
      </w:r>
    </w:p>
    <w:p w14:paraId="6489FC57"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SkyCity Entertainment Group. (2023). </w:t>
      </w:r>
      <w:r w:rsidRPr="0070706C">
        <w:rPr>
          <w:i/>
        </w:rPr>
        <w:t>Annual report 2023</w:t>
      </w:r>
      <w:r w:rsidRPr="0070706C">
        <w:t>. SkyCity Entertainment Group. https://www.skycityentertainmentgroup.com/media/3590/20230823-annual-report.pdf</w:t>
      </w:r>
    </w:p>
    <w:p w14:paraId="1968FAD4"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Sobrun-Maharaj, A., Rossen, F., &amp; Wong, A. S. K. (2012). </w:t>
      </w:r>
      <w:r w:rsidRPr="0070706C">
        <w:rPr>
          <w:i/>
        </w:rPr>
        <w:t>The impact of gambling and problem gambling on Asian families and communities in New Zealand</w:t>
      </w:r>
      <w:r w:rsidRPr="0070706C">
        <w:t>. Ministry of Health. https://www.fmhs.auckland.ac.nz/assets/fmhs/soph/sch/cahre/docs/Final%20IGAF%20report%202012.pdf</w:t>
      </w:r>
    </w:p>
    <w:p w14:paraId="11265224"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Southern Cross Health Insurance &amp; BusinessNZ. (2023). </w:t>
      </w:r>
      <w:r w:rsidRPr="0070706C">
        <w:rPr>
          <w:i/>
        </w:rPr>
        <w:t>Workplace Wellness 2023</w:t>
      </w:r>
      <w:r w:rsidRPr="0070706C">
        <w:t>. https://businessnz.org.nz/wp-content/uploads/2023/08/Workplace-Wellness-Report-2023.pdf</w:t>
      </w:r>
    </w:p>
    <w:p w14:paraId="5C70E731"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Spapens, T. (2008). Crime problems related to gambling: An overview. In </w:t>
      </w:r>
      <w:r w:rsidRPr="0070706C">
        <w:rPr>
          <w:i/>
        </w:rPr>
        <w:t>Crime, Addiction and the Regulation of Gambling</w:t>
      </w:r>
      <w:r w:rsidRPr="0070706C">
        <w:t xml:space="preserve"> (pp. 19–54). Brill | Nijhoff. https://doi.org/10.1163/ej.9789004172180.i-254.10</w:t>
      </w:r>
    </w:p>
    <w:p w14:paraId="06D7D6BC"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Stats New Zealand. (2023). </w:t>
      </w:r>
      <w:r w:rsidRPr="0070706C">
        <w:rPr>
          <w:i/>
        </w:rPr>
        <w:t>Investigating the relationship between unemployment and benefit receipt corrected</w:t>
      </w:r>
      <w:r w:rsidRPr="0070706C">
        <w:t>. New Zealand Government. https://www.stats.govt.nz/research/investigating-the-relationship-between-unemployment-and-benefit-receipt/</w:t>
      </w:r>
    </w:p>
    <w:p w14:paraId="79959331" w14:textId="76E02D0F"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Stats New Zealand. (2024). </w:t>
      </w:r>
      <w:r w:rsidRPr="0070706C">
        <w:rPr>
          <w:i/>
        </w:rPr>
        <w:t>Severe housing deprivation (homelessness) estimates – updated methodology: Census 2023</w:t>
      </w:r>
      <w:r w:rsidRPr="0070706C">
        <w:t>. New Zealand Government</w:t>
      </w:r>
      <w:r w:rsidR="0070706C" w:rsidRPr="0070706C">
        <w:t>. https://www.stats.govt.nz/methods/severe-housing-deprivation-homelessness-estimates-updated-methodology-2023-census/</w:t>
      </w:r>
    </w:p>
    <w:p w14:paraId="4D48DBD8"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Stevens, R. (2024, June 18). Gambling addict fraudster takes $500,000 from Allied Petroleum, leaves colleagues with ‘trauma.’ </w:t>
      </w:r>
      <w:r w:rsidRPr="0070706C">
        <w:rPr>
          <w:i/>
        </w:rPr>
        <w:t>The New Zealand Herald</w:t>
      </w:r>
      <w:r w:rsidRPr="0070706C">
        <w:t>. https://www.nzherald.co.nz/nz/gambling-addict-fraudster-takes-500000-from-allied-petroleum-leaves-colleagues-with-trauma/KLSPBJBEEBFATDNDS63MJHCGVA/</w:t>
      </w:r>
    </w:p>
    <w:p w14:paraId="6199F308"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Suicide Prevention Australia and Financial Counselling Australia. (2022). </w:t>
      </w:r>
      <w:r w:rsidRPr="0070706C">
        <w:rPr>
          <w:i/>
        </w:rPr>
        <w:t>Gambling and suicide prevention: A roadmap for change</w:t>
      </w:r>
      <w:r w:rsidRPr="0070706C">
        <w:t>. https://www.suicidepreventionaust.org/wp-content/uploads/2022/02/Gambling-Report_2022.pdf</w:t>
      </w:r>
    </w:p>
    <w:p w14:paraId="1C6C76E6"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rPr>
          <w:i/>
        </w:rPr>
        <w:t>Suicide web tool</w:t>
      </w:r>
      <w:r w:rsidRPr="0070706C">
        <w:t>. (2024). Health New Zealand. https://www.tewhatuora.govt.nz/for-health-professionals/data-and-statistics/suicide-web-tool/#:~:text=Overview,deaths%20in%20Aotearoa%20New%20Zealand.</w:t>
      </w:r>
    </w:p>
    <w:p w14:paraId="4B9D1AFD" w14:textId="4030E4B0"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Suomi, A., Dowling, N. A., Thomas, S., Abbott, M., Bellringer, M., Battersby, M., Koziol-McLain, J., Lavis, T., &amp; Jackson, A. C. (2018). Patterns of family and intimate partner violence in problem gamblers. </w:t>
      </w:r>
      <w:r w:rsidRPr="0070706C">
        <w:rPr>
          <w:i/>
        </w:rPr>
        <w:t xml:space="preserve">Journal of Gambling </w:t>
      </w:r>
      <w:r w:rsidR="00675455" w:rsidRPr="0070706C">
        <w:rPr>
          <w:i/>
        </w:rPr>
        <w:t>Studies,</w:t>
      </w:r>
      <w:r w:rsidRPr="0070706C">
        <w:t xml:space="preserve"> </w:t>
      </w:r>
      <w:r w:rsidRPr="0070706C">
        <w:rPr>
          <w:i/>
        </w:rPr>
        <w:t>35</w:t>
      </w:r>
      <w:r w:rsidRPr="0070706C">
        <w:t>(2), 465–484. https://doi.org/10.1007/s10899-018-9768-9</w:t>
      </w:r>
    </w:p>
    <w:p w14:paraId="78C0ABB9" w14:textId="63D13165"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Suomi, A., Lucas, N., Dowling, N., &amp; Delfabbro, P. (2022). </w:t>
      </w:r>
      <w:r w:rsidRPr="0070706C">
        <w:rPr>
          <w:i/>
        </w:rPr>
        <w:t xml:space="preserve">Gambling harm experienced by children of parents who </w:t>
      </w:r>
      <w:r w:rsidR="00675455" w:rsidRPr="0070706C">
        <w:rPr>
          <w:i/>
        </w:rPr>
        <w:t>gamble.</w:t>
      </w:r>
      <w:r w:rsidRPr="0070706C">
        <w:t xml:space="preserve"> https://responsiblegambling.vic.gov.au/resources/publications/gambling-harm-experienced-by-children-of-parents-who-gamble-1112/</w:t>
      </w:r>
    </w:p>
    <w:p w14:paraId="25CF124F"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Suomi, Aino, Lucas, N., Dowling, N., &amp; Delfabbro, P. (2023). Gambling harm experienced by children exposed to parental gambling: An online survey of Australians. </w:t>
      </w:r>
      <w:r w:rsidRPr="0070706C">
        <w:rPr>
          <w:i/>
        </w:rPr>
        <w:t>Journal of Gambling Studies</w:t>
      </w:r>
      <w:r w:rsidRPr="0070706C">
        <w:t>. https://doi.org/10.1007/s10899-023-10211-4</w:t>
      </w:r>
    </w:p>
    <w:p w14:paraId="181ED414"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rPr>
          <w:i/>
        </w:rPr>
        <w:t>Taking the Pulse on Gambling and Problem Gambling in New Zealand: A Report on Phase One of the 1999 National Prevalence Survey</w:t>
      </w:r>
      <w:r w:rsidRPr="0070706C">
        <w:t>. (n.d.).</w:t>
      </w:r>
    </w:p>
    <w:p w14:paraId="74A91C6C"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The South Australian Centre for Economic Studies, ENGINE Asia Pacific Pty Ltd, Centre of Policy Studies Victoria University, &amp; Corinna Economic Advisory. (2021). </w:t>
      </w:r>
      <w:r w:rsidRPr="0070706C">
        <w:rPr>
          <w:i/>
        </w:rPr>
        <w:t>Fifth Social and Economic Impact Study of Gambling in Tasmania 2021</w:t>
      </w:r>
      <w:r w:rsidRPr="0070706C">
        <w:t>. Department of Treasury and Finance Tasmanian Government. https://www.treasury.tas.gov.au/Documents/Fifth%20SEIS%20Volume%201%20-%20Industry%20Trends%20and%20Impacts.PDF</w:t>
      </w:r>
    </w:p>
    <w:p w14:paraId="20EDE062"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The Treasury. (2024). </w:t>
      </w:r>
      <w:r w:rsidRPr="0070706C">
        <w:rPr>
          <w:i/>
        </w:rPr>
        <w:t>Budget Economic and Fiscal Update 2024</w:t>
      </w:r>
      <w:r w:rsidRPr="0070706C">
        <w:t>. https://www.treasury.govt.nz/sites/default/files/2024-05/befu24.pdf</w:t>
      </w:r>
    </w:p>
    <w:p w14:paraId="33A4392B"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Thimasarn-Anwar, T., Squire, H., Trowland, H., &amp; Martin, G. (2018). </w:t>
      </w:r>
      <w:r w:rsidRPr="0070706C">
        <w:rPr>
          <w:i/>
        </w:rPr>
        <w:t>Gambling report: Results from the 2016 Health and Lifestyles Survey</w:t>
      </w:r>
      <w:r w:rsidRPr="0070706C">
        <w:t>. Health Promotion Agency Research and Evaluation Unit. https://www.hpa.org.nz/sites/default/files/Final-Report_Results-from-2016-Health-And-Lifestyles-Survey_Gambling-Feb2018.pdf</w:t>
      </w:r>
    </w:p>
    <w:p w14:paraId="0851465E"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Townsley, M., &amp; Hutchins, B. (2023). </w:t>
      </w:r>
      <w:r w:rsidRPr="0070706C">
        <w:rPr>
          <w:i/>
        </w:rPr>
        <w:t>2022 Australia and NZ Retail Crime Study.pdf</w:t>
      </w:r>
      <w:r w:rsidRPr="0070706C">
        <w:t>. https://www.retaildrinks.org.au/documents/item/1326</w:t>
      </w:r>
    </w:p>
    <w:p w14:paraId="15CE3EAF"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Tulloch, C., Browne, M., Hing, N., Rockloff, M., &amp; Hilbrecht, M. (2021). How gambling harms the wellbeing of family and others: A review. </w:t>
      </w:r>
      <w:r w:rsidRPr="0070706C">
        <w:rPr>
          <w:i/>
        </w:rPr>
        <w:t>International Gambling Studies</w:t>
      </w:r>
      <w:r w:rsidRPr="0070706C">
        <w:t xml:space="preserve">, </w:t>
      </w:r>
      <w:r w:rsidRPr="0070706C">
        <w:rPr>
          <w:i/>
        </w:rPr>
        <w:t>22</w:t>
      </w:r>
      <w:r w:rsidRPr="0070706C">
        <w:t>(3), 522–540. https://doi.org/10.1080/14459795.2021.2002384</w:t>
      </w:r>
    </w:p>
    <w:p w14:paraId="357747E5"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Tulloch, C., Browne, M., Hing, N., Rockloff, M., &amp; Hilbrecht, M. (2023). How gambling harms others: The influence of relationship-type and closeness on harm, health and wellbeing. </w:t>
      </w:r>
      <w:r w:rsidRPr="0070706C">
        <w:rPr>
          <w:i/>
        </w:rPr>
        <w:t>Journal of Behavioral Addictions</w:t>
      </w:r>
      <w:r w:rsidRPr="0070706C">
        <w:t xml:space="preserve">, </w:t>
      </w:r>
      <w:r w:rsidRPr="0070706C">
        <w:rPr>
          <w:i/>
        </w:rPr>
        <w:t>12</w:t>
      </w:r>
      <w:r w:rsidRPr="0070706C">
        <w:t>(3), 697–710. https://doi.org/10.1556/2006.2023.00036</w:t>
      </w:r>
    </w:p>
    <w:p w14:paraId="7A418427"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Tulloch, C., Browne, M., Russell, A. M. T., &amp; Rockloff, M. (submitted 2025). Synthesising the available evidence to identify the health impact of gambling harm and gambling problems. </w:t>
      </w:r>
      <w:r w:rsidRPr="0070706C">
        <w:rPr>
          <w:i/>
        </w:rPr>
        <w:t>Addictive Behaviors</w:t>
      </w:r>
      <w:r w:rsidRPr="0070706C">
        <w:t>.</w:t>
      </w:r>
    </w:p>
    <w:p w14:paraId="6A9D785D"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Tulloch, C., Hing, N., Browne, M., Rockloff, M., &amp; Hilbrecht, M. (2022). Parental gambling and the health and wellbeing of children, derived from two nationally representative cohorts of Australian children. </w:t>
      </w:r>
      <w:r w:rsidRPr="0070706C">
        <w:rPr>
          <w:i/>
        </w:rPr>
        <w:t>Applied Research in Quality of Life</w:t>
      </w:r>
      <w:r w:rsidRPr="0070706C">
        <w:t xml:space="preserve">, </w:t>
      </w:r>
      <w:r w:rsidRPr="0070706C">
        <w:rPr>
          <w:i/>
        </w:rPr>
        <w:t>17</w:t>
      </w:r>
      <w:r w:rsidRPr="0070706C">
        <w:t>, 3049–3068. https://doi.org/10.1007/s11482-022-10052-0</w:t>
      </w:r>
    </w:p>
    <w:p w14:paraId="51BD78A3"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Tulloch, C., Hing, N., Browne, M., Russell, A. M. T., Rockloff, M., &amp; Rawat, V. (2024). Harm-to-self from gambling: A national study of Australian adults. </w:t>
      </w:r>
      <w:r w:rsidRPr="0070706C">
        <w:rPr>
          <w:i/>
        </w:rPr>
        <w:t>Journal of Behavioral Addictions</w:t>
      </w:r>
      <w:r w:rsidRPr="0070706C">
        <w:t>. https://doi.org/10.1556/2006.2024.00025</w:t>
      </w:r>
    </w:p>
    <w:p w14:paraId="49B7B358"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University of Western Sydney. (2001). </w:t>
      </w:r>
      <w:r w:rsidRPr="0070706C">
        <w:rPr>
          <w:i/>
        </w:rPr>
        <w:t>Social and economic impacts of gambling in New Zealand</w:t>
      </w:r>
      <w:r w:rsidRPr="0070706C">
        <w:t>. Australian Institute for Gambling Research. https://www.dia.govt.nz/Pubforms.nsf/URL/Social&amp;EconomicImpacts.pdf/$file/Social&amp;EconomicImpacts.pdf</w:t>
      </w:r>
    </w:p>
    <w:p w14:paraId="596C4DB4"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Urale, P. W. B., Bellringer, M., Landon, J., &amp; Abbott, M. (2015). God, family and money: Pacific people and gambling in New Zealand. </w:t>
      </w:r>
      <w:r w:rsidRPr="0070706C">
        <w:rPr>
          <w:i/>
        </w:rPr>
        <w:t>International Gambling Studies</w:t>
      </w:r>
      <w:r w:rsidRPr="0070706C">
        <w:t xml:space="preserve">, </w:t>
      </w:r>
      <w:r w:rsidRPr="0070706C">
        <w:rPr>
          <w:i/>
        </w:rPr>
        <w:t>15</w:t>
      </w:r>
      <w:r w:rsidRPr="0070706C">
        <w:t>(1), 72–87. https://doi.org/10.1080/14459795.2014.998252</w:t>
      </w:r>
    </w:p>
    <w:p w14:paraId="1D0C39A5"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Victoria Institute of Strategic Economic Studies. (2016). </w:t>
      </w:r>
      <w:r w:rsidRPr="0070706C">
        <w:rPr>
          <w:i/>
        </w:rPr>
        <w:t>The economic cost of serious mental illness and comorbidities in Australia and New Zealand</w:t>
      </w:r>
      <w:r w:rsidRPr="0070706C">
        <w:t>. https://www.ranzcp.org/getmedia/218dc671-aacd-4c40-a598-9b3c7b4d46f3/economic-cost-serious-mental-illness.pdf</w:t>
      </w:r>
    </w:p>
    <w:p w14:paraId="3722F656"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Victorian Competition and Efficiency Commission. (2012). </w:t>
      </w:r>
      <w:r w:rsidRPr="0070706C">
        <w:rPr>
          <w:i/>
        </w:rPr>
        <w:t>Counting the Cost: Inquiry into the Costs of Problem Gambling</w:t>
      </w:r>
      <w:r w:rsidRPr="0070706C">
        <w:t>. https://www.dtf.vic.gov.au/sites/default/files/2018-02/counting-the-cost-inquiry-into-the-costs-of-problem-gambling.pdf</w:t>
      </w:r>
    </w:p>
    <w:p w14:paraId="0E8805CE"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Wagner, B., Mathar, D., &amp; Peters, J. (2022). Gambling environment exposure increases temporal discounting but improves model-based control in regular slot-machine gamblers. </w:t>
      </w:r>
      <w:r w:rsidRPr="0070706C">
        <w:rPr>
          <w:i/>
        </w:rPr>
        <w:t>Computational Psychiatry (Cambridge, Mass.)</w:t>
      </w:r>
      <w:r w:rsidRPr="0070706C">
        <w:t xml:space="preserve">, </w:t>
      </w:r>
      <w:r w:rsidRPr="0070706C">
        <w:rPr>
          <w:i/>
        </w:rPr>
        <w:t>6</w:t>
      </w:r>
      <w:r w:rsidRPr="0070706C">
        <w:t>(1), 142–165. https://doi.org/10.5334/cpsy.84</w:t>
      </w:r>
    </w:p>
    <w:p w14:paraId="36C71FEB"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Wall, M., Peter, M., You, R., Mavoa, S., &amp; Witten, K. (2010). </w:t>
      </w:r>
      <w:r w:rsidRPr="0070706C">
        <w:rPr>
          <w:i/>
        </w:rPr>
        <w:t>Problem Gambling Research: A study of community level harm from gambling Phase one Final Report</w:t>
      </w:r>
      <w:r w:rsidRPr="0070706C">
        <w:t>. Centre for Social and Health Outcomes Research and Evaluation - &amp; Te Ropu Whariki. https://www.academia.edu/778511/Problem_Gambling_Research_A_study_of_community_level_harm_from_gambling_Phase_one_Final_Report?auto=download</w:t>
      </w:r>
    </w:p>
    <w:p w14:paraId="3DE4C251"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Wang, G. Y., &amp; Bellringer, M. E. (2022). Social connectedness and associations with gambling risk in New Zealand. </w:t>
      </w:r>
      <w:r w:rsidRPr="0070706C">
        <w:rPr>
          <w:i/>
        </w:rPr>
        <w:t>Journal of Clinical Medicine Research</w:t>
      </w:r>
      <w:r w:rsidRPr="0070706C">
        <w:t xml:space="preserve">, </w:t>
      </w:r>
      <w:r w:rsidRPr="0070706C">
        <w:rPr>
          <w:i/>
        </w:rPr>
        <w:t>11</w:t>
      </w:r>
      <w:r w:rsidRPr="0070706C">
        <w:t>(23). https://doi.org/10.3390/jcm11237123</w:t>
      </w:r>
    </w:p>
    <w:p w14:paraId="60E5D083"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Warburton, S. (2021). </w:t>
      </w:r>
      <w:r w:rsidRPr="0070706C">
        <w:rPr>
          <w:i/>
        </w:rPr>
        <w:t>Awarding damages for emotional harm</w:t>
      </w:r>
      <w:r w:rsidRPr="0070706C">
        <w:t>. Privacy Commissioner. https://www.privacy.org.nz/blog/awarding-new-blog-post/</w:t>
      </w:r>
    </w:p>
    <w:p w14:paraId="0D8CA0CF"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Wardle, H., Dymond, S., John, A., &amp; McManus, S. (2019). Problem gambling and suicidal thoughts, suicide attempts and non-suicidal self-harm in England: evidence from the Adult Psychiatric Morbidity Survey 2007. </w:t>
      </w:r>
      <w:r w:rsidRPr="0070706C">
        <w:rPr>
          <w:i/>
        </w:rPr>
        <w:t>London: GambleAware</w:t>
      </w:r>
      <w:r w:rsidRPr="0070706C">
        <w:t>. https://www.begambleaware.org/sites/default/files/2020-12/suicide-report_0.pdf</w:t>
      </w:r>
    </w:p>
    <w:p w14:paraId="4CA2F95D"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Wardle, H., Reith, G., Langham, E., &amp; Rogers, R. D. (2019). Gambling and public health: We need policy action to prevent harm. </w:t>
      </w:r>
      <w:r w:rsidRPr="0070706C">
        <w:rPr>
          <w:i/>
        </w:rPr>
        <w:t xml:space="preserve">BMJ </w:t>
      </w:r>
      <w:r w:rsidRPr="0070706C">
        <w:t xml:space="preserve">, </w:t>
      </w:r>
      <w:r w:rsidRPr="0070706C">
        <w:rPr>
          <w:i/>
        </w:rPr>
        <w:t>365</w:t>
      </w:r>
      <w:r w:rsidRPr="0070706C">
        <w:t>, l1807. https://doi.org/10.1136/bmj.l1807</w:t>
      </w:r>
    </w:p>
    <w:p w14:paraId="09514CD2"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Warfield &amp; Associates. (2016). </w:t>
      </w:r>
      <w:r w:rsidRPr="0070706C">
        <w:rPr>
          <w:i/>
        </w:rPr>
        <w:t>Gambling motivated fraud in Australia 2011-2016</w:t>
      </w:r>
      <w:r w:rsidRPr="0070706C">
        <w:t>. Warfield &amp; Associates. https://warfield.com.au/wp-content/uploads/2024/03/Gambling-Motivated-Fraud-in-Australia-2011-to-2016.pdf</w:t>
      </w:r>
    </w:p>
    <w:p w14:paraId="771B7A49"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Wheeler, B. W., Rigby, J. E., &amp; Huriwai, T. (2006). Pokies and poverty: problem gambling risk factor geography in New Zealand. </w:t>
      </w:r>
      <w:r w:rsidRPr="0070706C">
        <w:rPr>
          <w:i/>
        </w:rPr>
        <w:t>Health &amp; Place</w:t>
      </w:r>
      <w:r w:rsidRPr="0070706C">
        <w:t xml:space="preserve">, </w:t>
      </w:r>
      <w:r w:rsidRPr="0070706C">
        <w:rPr>
          <w:i/>
        </w:rPr>
        <w:t>12</w:t>
      </w:r>
      <w:r w:rsidRPr="0070706C">
        <w:t>(1), 86–96. https://doi.org/10.1016/j.healthplace.2004.10.011</w:t>
      </w:r>
    </w:p>
    <w:p w14:paraId="50629A9A"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Whetton, S., Stevens, M., Dey, T., Knight, G., &amp; O’Neill, M. (2018). </w:t>
      </w:r>
      <w:r w:rsidRPr="0070706C">
        <w:rPr>
          <w:i/>
        </w:rPr>
        <w:t>The social costs of gambling harms in the Northern Territory in 2018</w:t>
      </w:r>
      <w:r w:rsidRPr="0070706C">
        <w:t>. Menzies School of Health Research, Darwin. . https://industry.nt.gov.au/__data/assets/pdf_file/0008/1137644/the-social-cost-of-gambling-harms-nt-2018.pdf</w:t>
      </w:r>
    </w:p>
    <w:p w14:paraId="0930153C"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Winkler, P., Bejdová, M., Csémy, L., &amp; Weissová, A. (2017). Social Costs of Gambling in the Czech Republic 2012. </w:t>
      </w:r>
      <w:r w:rsidRPr="0070706C">
        <w:rPr>
          <w:i/>
        </w:rPr>
        <w:t>Journal of Gambling Studies</w:t>
      </w:r>
      <w:r w:rsidRPr="0070706C">
        <w:t xml:space="preserve">, </w:t>
      </w:r>
      <w:r w:rsidRPr="0070706C">
        <w:rPr>
          <w:i/>
        </w:rPr>
        <w:t>33</w:t>
      </w:r>
      <w:r w:rsidRPr="0070706C">
        <w:t>(4), 1293–1310. https://doi.org/10.1007/s10899-016-9660-4</w:t>
      </w:r>
    </w:p>
    <w:p w14:paraId="6DBCFEE1"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Wong, P. W. C., Cheung, D. Y. T., Conner, K. R., Conwell, Y., &amp; Yip, P. S. F. (2010). Gambling and completed suicide in Hong Kong: A review of coroner court files. </w:t>
      </w:r>
      <w:r w:rsidRPr="0070706C">
        <w:rPr>
          <w:i/>
        </w:rPr>
        <w:t>Primary Care Companion to the Journal of Clinical Psychiatry</w:t>
      </w:r>
      <w:r w:rsidRPr="0070706C">
        <w:t xml:space="preserve">, </w:t>
      </w:r>
      <w:r w:rsidRPr="0070706C">
        <w:rPr>
          <w:i/>
        </w:rPr>
        <w:t>12</w:t>
      </w:r>
      <w:r w:rsidRPr="0070706C">
        <w:t>(6). https://doi.org/10.4088/PCC.09m00932blu</w:t>
      </w:r>
    </w:p>
    <w:p w14:paraId="24C27628"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Wood, R., &amp; Griffiths, M. (2007). A qualitative investigation of problem gambling as an escape-based coping strategy. </w:t>
      </w:r>
      <w:r w:rsidRPr="0070706C">
        <w:rPr>
          <w:i/>
        </w:rPr>
        <w:t>Psychology and Psychotherapy</w:t>
      </w:r>
      <w:r w:rsidRPr="0070706C">
        <w:t xml:space="preserve">, </w:t>
      </w:r>
      <w:r w:rsidRPr="0070706C">
        <w:rPr>
          <w:i/>
        </w:rPr>
        <w:t>80</w:t>
      </w:r>
      <w:r w:rsidRPr="0070706C">
        <w:t>(Pt 1), 107–125. https://doi.org/10.1348/147608306X107881</w:t>
      </w:r>
    </w:p>
    <w:p w14:paraId="31551447"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World Bank Group. (2024). </w:t>
      </w:r>
      <w:r w:rsidRPr="0070706C">
        <w:rPr>
          <w:i/>
        </w:rPr>
        <w:t>GDP per capita (current US$) - New Zealand</w:t>
      </w:r>
      <w:r w:rsidRPr="0070706C">
        <w:t>. World Bank Group. https://data.worldbank.org/indicator/NY.GDP.PCAP.CD?locations=NZ</w:t>
      </w:r>
    </w:p>
    <w:p w14:paraId="770F9EDD"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Wurtzburg, S. J., &amp; Tan, R. H. K. (2011). Sociology of gambling: Gambling parents’ impact on their children in Christchurch. </w:t>
      </w:r>
      <w:r w:rsidRPr="0070706C">
        <w:rPr>
          <w:i/>
        </w:rPr>
        <w:t>New Zealand Sociology</w:t>
      </w:r>
      <w:r w:rsidRPr="0070706C">
        <w:t xml:space="preserve">, </w:t>
      </w:r>
      <w:r w:rsidRPr="0070706C">
        <w:rPr>
          <w:i/>
        </w:rPr>
        <w:t>26</w:t>
      </w:r>
      <w:r w:rsidRPr="0070706C">
        <w:t>(2), 36–57. https://doi.org/10.3316/informit.071018495670010</w:t>
      </w:r>
    </w:p>
    <w:p w14:paraId="1CA20E0A" w14:textId="77777777"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Wynd, D. (2005). </w:t>
      </w:r>
      <w:r w:rsidRPr="0070706C">
        <w:rPr>
          <w:i/>
        </w:rPr>
        <w:t>Hard to swallow: Foodbank use in New Zealand</w:t>
      </w:r>
      <w:r w:rsidRPr="0070706C">
        <w:t>. https://static1.squarespace.com/static/60189fe639b6d67b861cf5c4/t/619dd9e26d5506758ededc23/1637734886355/Hard+to+Swallow_+Foodbank+use+in+New+Zealand.pdf</w:t>
      </w:r>
    </w:p>
    <w:p w14:paraId="67777CE5" w14:textId="08256DFB" w:rsidR="00645029" w:rsidRPr="0070706C" w:rsidRDefault="00645029" w:rsidP="00367A8D">
      <w:pPr>
        <w:widowControl w:val="0"/>
        <w:pBdr>
          <w:top w:val="nil"/>
          <w:left w:val="nil"/>
          <w:bottom w:val="nil"/>
          <w:right w:val="nil"/>
          <w:between w:val="nil"/>
        </w:pBdr>
        <w:spacing w:line="360" w:lineRule="auto"/>
        <w:ind w:left="720" w:hanging="720"/>
      </w:pPr>
      <w:r w:rsidRPr="0070706C">
        <w:t xml:space="preserve">Zendle, D., &amp; Newall, P. (2024). The relationship between gambling behaviour and gambling-related harm: A data fusion approach using open banking data. </w:t>
      </w:r>
      <w:r w:rsidR="005B2944" w:rsidRPr="0070706C">
        <w:rPr>
          <w:i/>
        </w:rPr>
        <w:t>Addiction.</w:t>
      </w:r>
      <w:r w:rsidRPr="0070706C">
        <w:t xml:space="preserve"> https://doi.org/10.1111/add.16571</w:t>
      </w:r>
    </w:p>
    <w:p w14:paraId="318A6E99" w14:textId="1F803E70" w:rsidR="0038398B" w:rsidRPr="0070706C" w:rsidRDefault="00645029" w:rsidP="00367A8D">
      <w:pPr>
        <w:widowControl w:val="0"/>
        <w:pBdr>
          <w:top w:val="nil"/>
          <w:left w:val="nil"/>
          <w:bottom w:val="nil"/>
          <w:right w:val="nil"/>
          <w:between w:val="nil"/>
        </w:pBdr>
        <w:spacing w:line="360" w:lineRule="auto"/>
        <w:ind w:left="720" w:hanging="720"/>
      </w:pPr>
      <w:r w:rsidRPr="0070706C">
        <w:t xml:space="preserve">Zhang, W., Fouche, C., &amp; Adams, P. J. (2022). Qualitative research: Chinese migrants’ experiences of responding to gambling harm in Aotearoa New Zealand. </w:t>
      </w:r>
      <w:r w:rsidRPr="0070706C">
        <w:rPr>
          <w:i/>
        </w:rPr>
        <w:t>Aotearoa New Zealand Social Work</w:t>
      </w:r>
      <w:r w:rsidRPr="0070706C">
        <w:t xml:space="preserve">, </w:t>
      </w:r>
      <w:r w:rsidRPr="0070706C">
        <w:rPr>
          <w:i/>
        </w:rPr>
        <w:t>34</w:t>
      </w:r>
      <w:r w:rsidRPr="0070706C">
        <w:t>(2), 16–29. https://doi.org/10.3316/informit.594535179342963</w:t>
      </w:r>
    </w:p>
    <w:p w14:paraId="4390CD81" w14:textId="77777777" w:rsidR="00DB689D" w:rsidRDefault="00DB689D" w:rsidP="00367A8D">
      <w:pPr>
        <w:widowControl w:val="0"/>
        <w:pBdr>
          <w:top w:val="nil"/>
          <w:left w:val="nil"/>
          <w:bottom w:val="nil"/>
          <w:right w:val="nil"/>
          <w:between w:val="nil"/>
        </w:pBdr>
        <w:spacing w:line="360" w:lineRule="auto"/>
      </w:pPr>
    </w:p>
    <w:sectPr w:rsidR="00DB689D">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94AA2" w14:textId="77777777" w:rsidR="001A4F66" w:rsidRDefault="001A4F66">
      <w:r>
        <w:separator/>
      </w:r>
    </w:p>
    <w:p w14:paraId="11611F64" w14:textId="77777777" w:rsidR="001A4F66" w:rsidRDefault="001A4F66"/>
  </w:endnote>
  <w:endnote w:type="continuationSeparator" w:id="0">
    <w:p w14:paraId="0C6982B7" w14:textId="77777777" w:rsidR="001A4F66" w:rsidRDefault="001A4F66">
      <w:r>
        <w:continuationSeparator/>
      </w:r>
    </w:p>
    <w:p w14:paraId="46C8627F" w14:textId="77777777" w:rsidR="001A4F66" w:rsidRDefault="001A4F66"/>
  </w:endnote>
  <w:endnote w:type="continuationNotice" w:id="1">
    <w:p w14:paraId="55B336C6" w14:textId="77777777" w:rsidR="001A4F66" w:rsidRDefault="001A4F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13901943"/>
      <w:docPartObj>
        <w:docPartGallery w:val="Page Numbers (Bottom of Page)"/>
        <w:docPartUnique/>
      </w:docPartObj>
    </w:sdtPr>
    <w:sdtEndPr>
      <w:rPr>
        <w:rStyle w:val="PageNumber"/>
      </w:rPr>
    </w:sdtEndPr>
    <w:sdtContent>
      <w:p w14:paraId="6BA55C46" w14:textId="2CC8FFED" w:rsidR="00B135FD" w:rsidRDefault="00B135F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EE82A23" w14:textId="77777777" w:rsidR="00B135FD" w:rsidRDefault="00B135FD" w:rsidP="00B135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7152428"/>
      <w:docPartObj>
        <w:docPartGallery w:val="Page Numbers (Bottom of Page)"/>
        <w:docPartUnique/>
      </w:docPartObj>
    </w:sdtPr>
    <w:sdtEndPr>
      <w:rPr>
        <w:rStyle w:val="PageNumber"/>
      </w:rPr>
    </w:sdtEndPr>
    <w:sdtContent>
      <w:p w14:paraId="04F06EA7" w14:textId="37901CC8" w:rsidR="00B135FD" w:rsidRDefault="00B135F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CB41E04" w14:textId="77777777" w:rsidR="00B135FD" w:rsidRDefault="00B135FD" w:rsidP="00B135F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3BB9F9" w14:textId="77777777" w:rsidR="001A4F66" w:rsidRDefault="001A4F66">
      <w:r>
        <w:separator/>
      </w:r>
    </w:p>
    <w:p w14:paraId="2A5A52A3" w14:textId="77777777" w:rsidR="001A4F66" w:rsidRDefault="001A4F66"/>
  </w:footnote>
  <w:footnote w:type="continuationSeparator" w:id="0">
    <w:p w14:paraId="185C9407" w14:textId="77777777" w:rsidR="001A4F66" w:rsidRDefault="001A4F66">
      <w:r>
        <w:continuationSeparator/>
      </w:r>
    </w:p>
    <w:p w14:paraId="32A785D1" w14:textId="77777777" w:rsidR="001A4F66" w:rsidRDefault="001A4F66"/>
  </w:footnote>
  <w:footnote w:type="continuationNotice" w:id="1">
    <w:p w14:paraId="3727D32D" w14:textId="77777777" w:rsidR="001A4F66" w:rsidRDefault="001A4F66"/>
  </w:footnote>
  <w:footnote w:id="2">
    <w:p w14:paraId="79E6ECBE" w14:textId="2625635F" w:rsidR="00DB689D" w:rsidRDefault="00310A10">
      <w:pPr>
        <w:rPr>
          <w:sz w:val="20"/>
          <w:szCs w:val="20"/>
        </w:rPr>
      </w:pPr>
      <w:r>
        <w:rPr>
          <w:vertAlign w:val="superscript"/>
        </w:rPr>
        <w:footnoteRef/>
      </w:r>
      <w:r>
        <w:rPr>
          <w:sz w:val="20"/>
          <w:szCs w:val="20"/>
        </w:rPr>
        <w:t xml:space="preserve"> Consumer surplus occurs when the price someone pays is less than the maximum price they are willing to pay; it represents the extra benefit or value consumers receive because they pay less than what they were prepared to spend </w:t>
      </w:r>
      <w:r w:rsidR="0038398B">
        <w:rPr>
          <w:noProof/>
          <w:color w:val="000000"/>
          <w:sz w:val="20"/>
          <w:szCs w:val="20"/>
        </w:rPr>
        <w:t>(Forrest, 2013; Productivity Commission, 1999)</w:t>
      </w:r>
      <w:r>
        <w:rPr>
          <w:sz w:val="20"/>
          <w:szCs w:val="20"/>
        </w:rPr>
        <w:t xml:space="preserve">. Financial opportunity costs due to excessive expenditure by those experiencing gambling problems represent the value of the next best alternative uses for money spent on gambling. In economic terms, this misallocation results in a </w:t>
      </w:r>
      <w:r>
        <w:rPr>
          <w:i/>
          <w:sz w:val="20"/>
          <w:szCs w:val="20"/>
        </w:rPr>
        <w:t xml:space="preserve">negative </w:t>
      </w:r>
      <w:r>
        <w:rPr>
          <w:sz w:val="20"/>
          <w:szCs w:val="20"/>
        </w:rPr>
        <w:t>consumer surplus. This includes essential expenses, savings, investments, and other expenditures that could improve individual and family well-being, which are forgone due to excessive gambling spend.</w:t>
      </w:r>
    </w:p>
  </w:footnote>
  <w:footnote w:id="3">
    <w:p w14:paraId="2B152172" w14:textId="77777777" w:rsidR="00DB689D" w:rsidRDefault="00310A10">
      <w:pPr>
        <w:rPr>
          <w:sz w:val="20"/>
          <w:szCs w:val="20"/>
        </w:rPr>
      </w:pPr>
      <w:r>
        <w:rPr>
          <w:vertAlign w:val="superscript"/>
        </w:rPr>
        <w:footnoteRef/>
      </w:r>
      <w:r>
        <w:rPr>
          <w:sz w:val="20"/>
          <w:szCs w:val="20"/>
        </w:rPr>
        <w:t xml:space="preserve"> A portion of the financial impact from the total opportunity cost of excess gambling spend was allocated to affected others based on the proportion of people with gambling problems who are married (44.86%). This reflects the fact that gambling losses in married households often affect both partners. The remaining amount was attributed to the person who gambles.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A22F5" w14:textId="76069BC7" w:rsidR="00CF48ED" w:rsidRDefault="00CF48ED">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ACC22" w14:textId="199DB29F" w:rsidR="00DB689D" w:rsidRDefault="00DB689D">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C4881"/>
    <w:multiLevelType w:val="multilevel"/>
    <w:tmpl w:val="A1328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065019"/>
    <w:multiLevelType w:val="multilevel"/>
    <w:tmpl w:val="1C9CE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432B45"/>
    <w:multiLevelType w:val="multilevel"/>
    <w:tmpl w:val="529CA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AC5D54"/>
    <w:multiLevelType w:val="multilevel"/>
    <w:tmpl w:val="5F944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82565C"/>
    <w:multiLevelType w:val="multilevel"/>
    <w:tmpl w:val="B7A015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AB70C2"/>
    <w:multiLevelType w:val="multilevel"/>
    <w:tmpl w:val="0C5A2C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E0B3AE8"/>
    <w:multiLevelType w:val="multilevel"/>
    <w:tmpl w:val="47807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AD4AA1"/>
    <w:multiLevelType w:val="multilevel"/>
    <w:tmpl w:val="9648E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282894"/>
    <w:multiLevelType w:val="multilevel"/>
    <w:tmpl w:val="C712A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9C22113"/>
    <w:multiLevelType w:val="multilevel"/>
    <w:tmpl w:val="3ECEC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ABC277E"/>
    <w:multiLevelType w:val="multilevel"/>
    <w:tmpl w:val="AC48CF8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8F4837"/>
    <w:multiLevelType w:val="multilevel"/>
    <w:tmpl w:val="3E64E6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CC0740F"/>
    <w:multiLevelType w:val="multilevel"/>
    <w:tmpl w:val="55CAB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F5C096C"/>
    <w:multiLevelType w:val="multilevel"/>
    <w:tmpl w:val="5E685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4752572"/>
    <w:multiLevelType w:val="multilevel"/>
    <w:tmpl w:val="72BAD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4A43CFF"/>
    <w:multiLevelType w:val="multilevel"/>
    <w:tmpl w:val="6E3EA2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35524839"/>
    <w:multiLevelType w:val="multilevel"/>
    <w:tmpl w:val="F000B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64074DE"/>
    <w:multiLevelType w:val="multilevel"/>
    <w:tmpl w:val="83EEE2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7C24575"/>
    <w:multiLevelType w:val="multilevel"/>
    <w:tmpl w:val="D54ECA6E"/>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15:restartNumberingAfterBreak="0">
    <w:nsid w:val="398D2689"/>
    <w:multiLevelType w:val="multilevel"/>
    <w:tmpl w:val="2B18821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3A83636B"/>
    <w:multiLevelType w:val="multilevel"/>
    <w:tmpl w:val="8BACE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BB958B0"/>
    <w:multiLevelType w:val="multilevel"/>
    <w:tmpl w:val="5712A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E2D116B"/>
    <w:multiLevelType w:val="multilevel"/>
    <w:tmpl w:val="D2301D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E3E1C29"/>
    <w:multiLevelType w:val="multilevel"/>
    <w:tmpl w:val="14600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EE80D7C"/>
    <w:multiLevelType w:val="multilevel"/>
    <w:tmpl w:val="010EB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B3513F"/>
    <w:multiLevelType w:val="multilevel"/>
    <w:tmpl w:val="5BA8B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26B32AC"/>
    <w:multiLevelType w:val="multilevel"/>
    <w:tmpl w:val="37FAEB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42E62A13"/>
    <w:multiLevelType w:val="multilevel"/>
    <w:tmpl w:val="BC9AD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3DB7C64"/>
    <w:multiLevelType w:val="multilevel"/>
    <w:tmpl w:val="AD4A71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452F593F"/>
    <w:multiLevelType w:val="multilevel"/>
    <w:tmpl w:val="2998F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82C07B0"/>
    <w:multiLevelType w:val="multilevel"/>
    <w:tmpl w:val="2FF65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FAD6D10"/>
    <w:multiLevelType w:val="multilevel"/>
    <w:tmpl w:val="9B72F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0226E20"/>
    <w:multiLevelType w:val="multilevel"/>
    <w:tmpl w:val="39584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0621830"/>
    <w:multiLevelType w:val="multilevel"/>
    <w:tmpl w:val="51DA9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1F3164D"/>
    <w:multiLevelType w:val="multilevel"/>
    <w:tmpl w:val="67246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6107916"/>
    <w:multiLevelType w:val="multilevel"/>
    <w:tmpl w:val="19264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7203FD9"/>
    <w:multiLevelType w:val="multilevel"/>
    <w:tmpl w:val="CE82EB82"/>
    <w:lvl w:ilvl="0">
      <w:start w:val="1"/>
      <w:numFmt w:val="decimal"/>
      <w:pStyle w:val="Heading1"/>
      <w:suff w:val="space"/>
      <w:lvlText w:val="Chapter %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7" w15:restartNumberingAfterBreak="0">
    <w:nsid w:val="594331F1"/>
    <w:multiLevelType w:val="multilevel"/>
    <w:tmpl w:val="49744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C612EC1"/>
    <w:multiLevelType w:val="multilevel"/>
    <w:tmpl w:val="DF740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D27608B"/>
    <w:multiLevelType w:val="multilevel"/>
    <w:tmpl w:val="16BEC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D2C35C5"/>
    <w:multiLevelType w:val="multilevel"/>
    <w:tmpl w:val="17465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4556BC2"/>
    <w:multiLevelType w:val="multilevel"/>
    <w:tmpl w:val="9EEAE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4F96438"/>
    <w:multiLevelType w:val="multilevel"/>
    <w:tmpl w:val="2DF8C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55A07C9"/>
    <w:multiLevelType w:val="hybridMultilevel"/>
    <w:tmpl w:val="A94AE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C52AC7"/>
    <w:multiLevelType w:val="hybridMultilevel"/>
    <w:tmpl w:val="7BA29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DBD490A"/>
    <w:multiLevelType w:val="multilevel"/>
    <w:tmpl w:val="91C0E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FCC2E0B"/>
    <w:multiLevelType w:val="multilevel"/>
    <w:tmpl w:val="0D605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0541618"/>
    <w:multiLevelType w:val="multilevel"/>
    <w:tmpl w:val="AC26D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83E3B7E"/>
    <w:multiLevelType w:val="multilevel"/>
    <w:tmpl w:val="088C36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79B32A4B"/>
    <w:multiLevelType w:val="multilevel"/>
    <w:tmpl w:val="8984E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A531A20"/>
    <w:multiLevelType w:val="multilevel"/>
    <w:tmpl w:val="0122B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B606E2C"/>
    <w:multiLevelType w:val="multilevel"/>
    <w:tmpl w:val="BD0C0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BA836C9"/>
    <w:multiLevelType w:val="multilevel"/>
    <w:tmpl w:val="1D8E0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E317FFC"/>
    <w:multiLevelType w:val="multilevel"/>
    <w:tmpl w:val="598CA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E4870F2"/>
    <w:multiLevelType w:val="multilevel"/>
    <w:tmpl w:val="A7D2BE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75849416">
    <w:abstractNumId w:val="13"/>
  </w:num>
  <w:num w:numId="2" w16cid:durableId="1030379353">
    <w:abstractNumId w:val="51"/>
  </w:num>
  <w:num w:numId="3" w16cid:durableId="1250507723">
    <w:abstractNumId w:val="7"/>
  </w:num>
  <w:num w:numId="4" w16cid:durableId="1166364508">
    <w:abstractNumId w:val="34"/>
  </w:num>
  <w:num w:numId="5" w16cid:durableId="1405689488">
    <w:abstractNumId w:val="8"/>
  </w:num>
  <w:num w:numId="6" w16cid:durableId="1936013138">
    <w:abstractNumId w:val="50"/>
  </w:num>
  <w:num w:numId="7" w16cid:durableId="1959097099">
    <w:abstractNumId w:val="5"/>
  </w:num>
  <w:num w:numId="8" w16cid:durableId="1429038705">
    <w:abstractNumId w:val="19"/>
  </w:num>
  <w:num w:numId="9" w16cid:durableId="1942907225">
    <w:abstractNumId w:val="33"/>
  </w:num>
  <w:num w:numId="10" w16cid:durableId="817185802">
    <w:abstractNumId w:val="0"/>
  </w:num>
  <w:num w:numId="11" w16cid:durableId="2037608898">
    <w:abstractNumId w:val="37"/>
  </w:num>
  <w:num w:numId="12" w16cid:durableId="1612853548">
    <w:abstractNumId w:val="25"/>
  </w:num>
  <w:num w:numId="13" w16cid:durableId="2090930310">
    <w:abstractNumId w:val="32"/>
  </w:num>
  <w:num w:numId="14" w16cid:durableId="813452283">
    <w:abstractNumId w:val="31"/>
  </w:num>
  <w:num w:numId="15" w16cid:durableId="227811961">
    <w:abstractNumId w:val="45"/>
  </w:num>
  <w:num w:numId="16" w16cid:durableId="884677936">
    <w:abstractNumId w:val="41"/>
  </w:num>
  <w:num w:numId="17" w16cid:durableId="261568947">
    <w:abstractNumId w:val="12"/>
  </w:num>
  <w:num w:numId="18" w16cid:durableId="1174495915">
    <w:abstractNumId w:val="2"/>
  </w:num>
  <w:num w:numId="19" w16cid:durableId="345330040">
    <w:abstractNumId w:val="21"/>
  </w:num>
  <w:num w:numId="20" w16cid:durableId="485440593">
    <w:abstractNumId w:val="30"/>
  </w:num>
  <w:num w:numId="21" w16cid:durableId="826432491">
    <w:abstractNumId w:val="53"/>
  </w:num>
  <w:num w:numId="22" w16cid:durableId="1657802122">
    <w:abstractNumId w:val="23"/>
  </w:num>
  <w:num w:numId="23" w16cid:durableId="992756157">
    <w:abstractNumId w:val="49"/>
  </w:num>
  <w:num w:numId="24" w16cid:durableId="571549156">
    <w:abstractNumId w:val="14"/>
  </w:num>
  <w:num w:numId="25" w16cid:durableId="636954121">
    <w:abstractNumId w:val="18"/>
  </w:num>
  <w:num w:numId="26" w16cid:durableId="1266034274">
    <w:abstractNumId w:val="26"/>
  </w:num>
  <w:num w:numId="27" w16cid:durableId="1339311953">
    <w:abstractNumId w:val="28"/>
  </w:num>
  <w:num w:numId="28" w16cid:durableId="220023917">
    <w:abstractNumId w:val="27"/>
  </w:num>
  <w:num w:numId="29" w16cid:durableId="989098345">
    <w:abstractNumId w:val="15"/>
  </w:num>
  <w:num w:numId="30" w16cid:durableId="263810711">
    <w:abstractNumId w:val="16"/>
  </w:num>
  <w:num w:numId="31" w16cid:durableId="609511647">
    <w:abstractNumId w:val="38"/>
  </w:num>
  <w:num w:numId="32" w16cid:durableId="769861485">
    <w:abstractNumId w:val="20"/>
  </w:num>
  <w:num w:numId="33" w16cid:durableId="1597399005">
    <w:abstractNumId w:val="29"/>
  </w:num>
  <w:num w:numId="34" w16cid:durableId="15281196">
    <w:abstractNumId w:val="46"/>
  </w:num>
  <w:num w:numId="35" w16cid:durableId="751008523">
    <w:abstractNumId w:val="40"/>
  </w:num>
  <w:num w:numId="36" w16cid:durableId="1852798875">
    <w:abstractNumId w:val="11"/>
  </w:num>
  <w:num w:numId="37" w16cid:durableId="356583769">
    <w:abstractNumId w:val="1"/>
  </w:num>
  <w:num w:numId="38" w16cid:durableId="1049719081">
    <w:abstractNumId w:val="52"/>
  </w:num>
  <w:num w:numId="39" w16cid:durableId="2040932107">
    <w:abstractNumId w:val="54"/>
  </w:num>
  <w:num w:numId="40" w16cid:durableId="597905743">
    <w:abstractNumId w:val="35"/>
  </w:num>
  <w:num w:numId="41" w16cid:durableId="2106459839">
    <w:abstractNumId w:val="22"/>
  </w:num>
  <w:num w:numId="42" w16cid:durableId="595090374">
    <w:abstractNumId w:val="6"/>
  </w:num>
  <w:num w:numId="43" w16cid:durableId="859703971">
    <w:abstractNumId w:val="10"/>
  </w:num>
  <w:num w:numId="44" w16cid:durableId="749278942">
    <w:abstractNumId w:val="3"/>
  </w:num>
  <w:num w:numId="45" w16cid:durableId="1861965984">
    <w:abstractNumId w:val="42"/>
  </w:num>
  <w:num w:numId="46" w16cid:durableId="1329671073">
    <w:abstractNumId w:val="9"/>
  </w:num>
  <w:num w:numId="47" w16cid:durableId="1274282633">
    <w:abstractNumId w:val="47"/>
  </w:num>
  <w:num w:numId="48" w16cid:durableId="68385677">
    <w:abstractNumId w:val="39"/>
  </w:num>
  <w:num w:numId="49" w16cid:durableId="1203245939">
    <w:abstractNumId w:val="43"/>
  </w:num>
  <w:num w:numId="50" w16cid:durableId="1529299634">
    <w:abstractNumId w:val="36"/>
  </w:num>
  <w:num w:numId="51" w16cid:durableId="1300916531">
    <w:abstractNumId w:val="48"/>
  </w:num>
  <w:num w:numId="52" w16cid:durableId="1361320413">
    <w:abstractNumId w:val="17"/>
  </w:num>
  <w:num w:numId="53" w16cid:durableId="1161195285">
    <w:abstractNumId w:val="4"/>
  </w:num>
  <w:num w:numId="54" w16cid:durableId="370422112">
    <w:abstractNumId w:val="44"/>
  </w:num>
  <w:num w:numId="55" w16cid:durableId="1070349009">
    <w:abstractNumId w:val="2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activeWritingStyle w:appName="MSWord" w:lang="en-AU" w:vendorID="64" w:dllVersion="0" w:nlCheck="1" w:checkStyle="0"/>
  <w:activeWritingStyle w:appName="MSWord" w:lang="en-NZ"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OxNDU0NzUxNQfSJko6SsGpxcWZ+XkgBYZGtQCDuBY3LQAAAA=="/>
    <w:docVar w:name="paperpile-clusterType" w:val="normal"/>
    <w:docVar w:name="paperpile-doc-id" w:val="J884W242S532Q325"/>
    <w:docVar w:name="paperpile-doc-name" w:val="NZ MOH Social Cost of Gambling Milestone DRAFT 230625v2.docx"/>
    <w:docVar w:name="paperpile-includeDoi" w:val="true"/>
    <w:docVar w:name="paperpile-styleFile" w:val="apa-7th-edition.csl"/>
    <w:docVar w:name="paperpile-styleId" w:val="pp-apa7"/>
    <w:docVar w:name="paperpile-styleLabel" w:val="American Psychological Association 7th edition"/>
    <w:docVar w:name="paperpile-styleLocale" w:val="default"/>
  </w:docVars>
  <w:rsids>
    <w:rsidRoot w:val="00DB689D"/>
    <w:rsid w:val="000004DC"/>
    <w:rsid w:val="000005FD"/>
    <w:rsid w:val="00001495"/>
    <w:rsid w:val="00001C68"/>
    <w:rsid w:val="00002AD5"/>
    <w:rsid w:val="000166E9"/>
    <w:rsid w:val="00023893"/>
    <w:rsid w:val="0002481E"/>
    <w:rsid w:val="000258F8"/>
    <w:rsid w:val="00025DC5"/>
    <w:rsid w:val="00034D8D"/>
    <w:rsid w:val="0003664E"/>
    <w:rsid w:val="0003670C"/>
    <w:rsid w:val="00041414"/>
    <w:rsid w:val="00055CD3"/>
    <w:rsid w:val="00056AB7"/>
    <w:rsid w:val="00060A71"/>
    <w:rsid w:val="000624B8"/>
    <w:rsid w:val="00070AF4"/>
    <w:rsid w:val="00072240"/>
    <w:rsid w:val="00073EA9"/>
    <w:rsid w:val="00083610"/>
    <w:rsid w:val="00083EF6"/>
    <w:rsid w:val="0008762F"/>
    <w:rsid w:val="00095B6C"/>
    <w:rsid w:val="000A3FE3"/>
    <w:rsid w:val="000A4317"/>
    <w:rsid w:val="000A6A79"/>
    <w:rsid w:val="000B43FF"/>
    <w:rsid w:val="000C22C4"/>
    <w:rsid w:val="000C5F9F"/>
    <w:rsid w:val="000C6DB0"/>
    <w:rsid w:val="000C7B7D"/>
    <w:rsid w:val="000D4AC1"/>
    <w:rsid w:val="000E2ED7"/>
    <w:rsid w:val="000E5BF8"/>
    <w:rsid w:val="000E60CB"/>
    <w:rsid w:val="000F1A8F"/>
    <w:rsid w:val="00104438"/>
    <w:rsid w:val="00106AF5"/>
    <w:rsid w:val="00107D64"/>
    <w:rsid w:val="00111369"/>
    <w:rsid w:val="001152A8"/>
    <w:rsid w:val="00120BA7"/>
    <w:rsid w:val="00124393"/>
    <w:rsid w:val="00125053"/>
    <w:rsid w:val="0013333B"/>
    <w:rsid w:val="00134B05"/>
    <w:rsid w:val="00135DF0"/>
    <w:rsid w:val="001419A6"/>
    <w:rsid w:val="001421C6"/>
    <w:rsid w:val="00142F31"/>
    <w:rsid w:val="0014763B"/>
    <w:rsid w:val="00154915"/>
    <w:rsid w:val="00156462"/>
    <w:rsid w:val="001638C2"/>
    <w:rsid w:val="00173251"/>
    <w:rsid w:val="001817B9"/>
    <w:rsid w:val="00181837"/>
    <w:rsid w:val="00186931"/>
    <w:rsid w:val="0019037B"/>
    <w:rsid w:val="00192B8C"/>
    <w:rsid w:val="001A4F66"/>
    <w:rsid w:val="001A61AD"/>
    <w:rsid w:val="001B0757"/>
    <w:rsid w:val="001B3ABF"/>
    <w:rsid w:val="001B5D7E"/>
    <w:rsid w:val="001C63C0"/>
    <w:rsid w:val="001D0336"/>
    <w:rsid w:val="001D3926"/>
    <w:rsid w:val="001D7B0D"/>
    <w:rsid w:val="001E71C1"/>
    <w:rsid w:val="001F6A7C"/>
    <w:rsid w:val="00204ABB"/>
    <w:rsid w:val="002061D6"/>
    <w:rsid w:val="0020729E"/>
    <w:rsid w:val="00207B95"/>
    <w:rsid w:val="002105ED"/>
    <w:rsid w:val="00212089"/>
    <w:rsid w:val="00212ED7"/>
    <w:rsid w:val="00224E62"/>
    <w:rsid w:val="00227557"/>
    <w:rsid w:val="00227D9B"/>
    <w:rsid w:val="00232087"/>
    <w:rsid w:val="00240187"/>
    <w:rsid w:val="002405FA"/>
    <w:rsid w:val="00250090"/>
    <w:rsid w:val="00267B09"/>
    <w:rsid w:val="0027187C"/>
    <w:rsid w:val="002742A4"/>
    <w:rsid w:val="00286216"/>
    <w:rsid w:val="00290F35"/>
    <w:rsid w:val="002966B1"/>
    <w:rsid w:val="002A3095"/>
    <w:rsid w:val="002A58F1"/>
    <w:rsid w:val="002A6362"/>
    <w:rsid w:val="002A65C3"/>
    <w:rsid w:val="002B1620"/>
    <w:rsid w:val="002B23FF"/>
    <w:rsid w:val="002B4EA6"/>
    <w:rsid w:val="002C39F4"/>
    <w:rsid w:val="002C7EB3"/>
    <w:rsid w:val="002D1F89"/>
    <w:rsid w:val="002D2ED7"/>
    <w:rsid w:val="002F7055"/>
    <w:rsid w:val="003011C8"/>
    <w:rsid w:val="00302740"/>
    <w:rsid w:val="003029C4"/>
    <w:rsid w:val="003043E5"/>
    <w:rsid w:val="003062AD"/>
    <w:rsid w:val="00306B00"/>
    <w:rsid w:val="00310A10"/>
    <w:rsid w:val="00314454"/>
    <w:rsid w:val="00315A34"/>
    <w:rsid w:val="00317243"/>
    <w:rsid w:val="003213A6"/>
    <w:rsid w:val="00321DBA"/>
    <w:rsid w:val="003249DE"/>
    <w:rsid w:val="003315DB"/>
    <w:rsid w:val="00331991"/>
    <w:rsid w:val="003348D5"/>
    <w:rsid w:val="00345CD3"/>
    <w:rsid w:val="00345D9A"/>
    <w:rsid w:val="003460FB"/>
    <w:rsid w:val="003468C6"/>
    <w:rsid w:val="003625C5"/>
    <w:rsid w:val="00362B32"/>
    <w:rsid w:val="00367A8D"/>
    <w:rsid w:val="00367C05"/>
    <w:rsid w:val="00374DC4"/>
    <w:rsid w:val="00374FE7"/>
    <w:rsid w:val="00375390"/>
    <w:rsid w:val="0038398B"/>
    <w:rsid w:val="00383F13"/>
    <w:rsid w:val="003921C3"/>
    <w:rsid w:val="003967D6"/>
    <w:rsid w:val="003A2050"/>
    <w:rsid w:val="003A7A08"/>
    <w:rsid w:val="003B64A6"/>
    <w:rsid w:val="003C3FC2"/>
    <w:rsid w:val="003E4FD2"/>
    <w:rsid w:val="003F29E6"/>
    <w:rsid w:val="003F3666"/>
    <w:rsid w:val="003F7C51"/>
    <w:rsid w:val="00400FA5"/>
    <w:rsid w:val="00403222"/>
    <w:rsid w:val="00413F6D"/>
    <w:rsid w:val="00415BC6"/>
    <w:rsid w:val="004212F3"/>
    <w:rsid w:val="00421EA7"/>
    <w:rsid w:val="004250AD"/>
    <w:rsid w:val="00432E0E"/>
    <w:rsid w:val="00441857"/>
    <w:rsid w:val="00442301"/>
    <w:rsid w:val="00447491"/>
    <w:rsid w:val="00463767"/>
    <w:rsid w:val="00466367"/>
    <w:rsid w:val="004860AF"/>
    <w:rsid w:val="0048640D"/>
    <w:rsid w:val="00486938"/>
    <w:rsid w:val="0048712A"/>
    <w:rsid w:val="00487878"/>
    <w:rsid w:val="004918EB"/>
    <w:rsid w:val="00494DC3"/>
    <w:rsid w:val="004A104E"/>
    <w:rsid w:val="004A2E8C"/>
    <w:rsid w:val="004A7DB0"/>
    <w:rsid w:val="004B459A"/>
    <w:rsid w:val="004B4C51"/>
    <w:rsid w:val="004C074E"/>
    <w:rsid w:val="004D5309"/>
    <w:rsid w:val="004D5F67"/>
    <w:rsid w:val="004F1FFD"/>
    <w:rsid w:val="004F2A87"/>
    <w:rsid w:val="004F5D07"/>
    <w:rsid w:val="004F6C37"/>
    <w:rsid w:val="004F7C45"/>
    <w:rsid w:val="00502394"/>
    <w:rsid w:val="00512558"/>
    <w:rsid w:val="00513A23"/>
    <w:rsid w:val="0052154A"/>
    <w:rsid w:val="00523B7E"/>
    <w:rsid w:val="00536773"/>
    <w:rsid w:val="00541D7C"/>
    <w:rsid w:val="00544EC7"/>
    <w:rsid w:val="00560DCD"/>
    <w:rsid w:val="0056494A"/>
    <w:rsid w:val="0058107E"/>
    <w:rsid w:val="00590FFA"/>
    <w:rsid w:val="00596350"/>
    <w:rsid w:val="00597256"/>
    <w:rsid w:val="005A387F"/>
    <w:rsid w:val="005B2944"/>
    <w:rsid w:val="005B7C79"/>
    <w:rsid w:val="005C346D"/>
    <w:rsid w:val="005C651F"/>
    <w:rsid w:val="005D1C0F"/>
    <w:rsid w:val="005D2E81"/>
    <w:rsid w:val="005D5F48"/>
    <w:rsid w:val="005D6CDF"/>
    <w:rsid w:val="005E0B1E"/>
    <w:rsid w:val="005E7410"/>
    <w:rsid w:val="005E7CE6"/>
    <w:rsid w:val="005F397F"/>
    <w:rsid w:val="005F3B0A"/>
    <w:rsid w:val="00617795"/>
    <w:rsid w:val="00620957"/>
    <w:rsid w:val="0062502C"/>
    <w:rsid w:val="00625327"/>
    <w:rsid w:val="00636D07"/>
    <w:rsid w:val="00640EB9"/>
    <w:rsid w:val="00641873"/>
    <w:rsid w:val="00645029"/>
    <w:rsid w:val="00645D6B"/>
    <w:rsid w:val="00654F54"/>
    <w:rsid w:val="00655BEB"/>
    <w:rsid w:val="00655E14"/>
    <w:rsid w:val="00657824"/>
    <w:rsid w:val="006602BD"/>
    <w:rsid w:val="00665820"/>
    <w:rsid w:val="00671904"/>
    <w:rsid w:val="00673A17"/>
    <w:rsid w:val="00673A53"/>
    <w:rsid w:val="006753B7"/>
    <w:rsid w:val="00675455"/>
    <w:rsid w:val="006806DD"/>
    <w:rsid w:val="00684C41"/>
    <w:rsid w:val="00684E04"/>
    <w:rsid w:val="006865B8"/>
    <w:rsid w:val="006903A5"/>
    <w:rsid w:val="00691889"/>
    <w:rsid w:val="006A1508"/>
    <w:rsid w:val="006A29B3"/>
    <w:rsid w:val="006A555A"/>
    <w:rsid w:val="006A58E9"/>
    <w:rsid w:val="006A622B"/>
    <w:rsid w:val="006B04AA"/>
    <w:rsid w:val="006B2E6B"/>
    <w:rsid w:val="006B5094"/>
    <w:rsid w:val="006B5F22"/>
    <w:rsid w:val="006C10AC"/>
    <w:rsid w:val="006D4DA0"/>
    <w:rsid w:val="006D7FAF"/>
    <w:rsid w:val="006E6579"/>
    <w:rsid w:val="006F1A3E"/>
    <w:rsid w:val="006F418B"/>
    <w:rsid w:val="006F64C7"/>
    <w:rsid w:val="0070129E"/>
    <w:rsid w:val="0070706C"/>
    <w:rsid w:val="00715703"/>
    <w:rsid w:val="0071715F"/>
    <w:rsid w:val="00724BBB"/>
    <w:rsid w:val="0074090A"/>
    <w:rsid w:val="00740B3A"/>
    <w:rsid w:val="007473EA"/>
    <w:rsid w:val="00757932"/>
    <w:rsid w:val="007606DB"/>
    <w:rsid w:val="007630FA"/>
    <w:rsid w:val="00773079"/>
    <w:rsid w:val="0078032A"/>
    <w:rsid w:val="00792860"/>
    <w:rsid w:val="007A0B0E"/>
    <w:rsid w:val="007B1742"/>
    <w:rsid w:val="007B18FC"/>
    <w:rsid w:val="007B401D"/>
    <w:rsid w:val="007B7D20"/>
    <w:rsid w:val="007C1B5E"/>
    <w:rsid w:val="007C7A91"/>
    <w:rsid w:val="007D5808"/>
    <w:rsid w:val="007D6159"/>
    <w:rsid w:val="007D6B3B"/>
    <w:rsid w:val="007D7121"/>
    <w:rsid w:val="007E2448"/>
    <w:rsid w:val="007E2492"/>
    <w:rsid w:val="007E5100"/>
    <w:rsid w:val="007E53B9"/>
    <w:rsid w:val="007E5825"/>
    <w:rsid w:val="00802A81"/>
    <w:rsid w:val="00814094"/>
    <w:rsid w:val="008143DA"/>
    <w:rsid w:val="00815687"/>
    <w:rsid w:val="008211FE"/>
    <w:rsid w:val="0083047C"/>
    <w:rsid w:val="00832134"/>
    <w:rsid w:val="0083600D"/>
    <w:rsid w:val="00841D8C"/>
    <w:rsid w:val="00843927"/>
    <w:rsid w:val="00854C97"/>
    <w:rsid w:val="00854F2A"/>
    <w:rsid w:val="008567F0"/>
    <w:rsid w:val="008602CC"/>
    <w:rsid w:val="00864453"/>
    <w:rsid w:val="00870D31"/>
    <w:rsid w:val="008716E4"/>
    <w:rsid w:val="00871FB1"/>
    <w:rsid w:val="0088589C"/>
    <w:rsid w:val="00897D9A"/>
    <w:rsid w:val="008A2A0D"/>
    <w:rsid w:val="008A6970"/>
    <w:rsid w:val="008B6AF0"/>
    <w:rsid w:val="008D29AD"/>
    <w:rsid w:val="008D72BB"/>
    <w:rsid w:val="008E0813"/>
    <w:rsid w:val="008E27FF"/>
    <w:rsid w:val="008E3AD8"/>
    <w:rsid w:val="008E3CBA"/>
    <w:rsid w:val="009075AF"/>
    <w:rsid w:val="0091639E"/>
    <w:rsid w:val="00920540"/>
    <w:rsid w:val="00923A16"/>
    <w:rsid w:val="0092684E"/>
    <w:rsid w:val="0093245D"/>
    <w:rsid w:val="009324E8"/>
    <w:rsid w:val="00934A39"/>
    <w:rsid w:val="0093655F"/>
    <w:rsid w:val="009374F6"/>
    <w:rsid w:val="009451C0"/>
    <w:rsid w:val="00946BFF"/>
    <w:rsid w:val="00950A32"/>
    <w:rsid w:val="00962068"/>
    <w:rsid w:val="00972A1E"/>
    <w:rsid w:val="0097369F"/>
    <w:rsid w:val="00986A0D"/>
    <w:rsid w:val="00995A77"/>
    <w:rsid w:val="009A00CF"/>
    <w:rsid w:val="009A1A5A"/>
    <w:rsid w:val="009A1C30"/>
    <w:rsid w:val="009A256A"/>
    <w:rsid w:val="009B2F24"/>
    <w:rsid w:val="009C0258"/>
    <w:rsid w:val="009C0E58"/>
    <w:rsid w:val="009E056B"/>
    <w:rsid w:val="009F2E0D"/>
    <w:rsid w:val="009F3BA9"/>
    <w:rsid w:val="009F404A"/>
    <w:rsid w:val="00A0188B"/>
    <w:rsid w:val="00A0657F"/>
    <w:rsid w:val="00A11811"/>
    <w:rsid w:val="00A20B5A"/>
    <w:rsid w:val="00A24DD9"/>
    <w:rsid w:val="00A4059A"/>
    <w:rsid w:val="00A41E33"/>
    <w:rsid w:val="00A42502"/>
    <w:rsid w:val="00A42DF6"/>
    <w:rsid w:val="00A50DA9"/>
    <w:rsid w:val="00A52C49"/>
    <w:rsid w:val="00A5378B"/>
    <w:rsid w:val="00A544B6"/>
    <w:rsid w:val="00A551AF"/>
    <w:rsid w:val="00A6041F"/>
    <w:rsid w:val="00A62409"/>
    <w:rsid w:val="00A6416B"/>
    <w:rsid w:val="00A6507B"/>
    <w:rsid w:val="00A706A7"/>
    <w:rsid w:val="00A71962"/>
    <w:rsid w:val="00A75A1E"/>
    <w:rsid w:val="00A776E2"/>
    <w:rsid w:val="00A83657"/>
    <w:rsid w:val="00A91E61"/>
    <w:rsid w:val="00A95D3E"/>
    <w:rsid w:val="00A96C0B"/>
    <w:rsid w:val="00A97C9A"/>
    <w:rsid w:val="00AA018A"/>
    <w:rsid w:val="00AA378A"/>
    <w:rsid w:val="00AB42DD"/>
    <w:rsid w:val="00AB4BAE"/>
    <w:rsid w:val="00AB568A"/>
    <w:rsid w:val="00AB64D2"/>
    <w:rsid w:val="00AC0C0B"/>
    <w:rsid w:val="00AC0D62"/>
    <w:rsid w:val="00AC4CA3"/>
    <w:rsid w:val="00AD78F4"/>
    <w:rsid w:val="00AE2B3D"/>
    <w:rsid w:val="00AE5A69"/>
    <w:rsid w:val="00AE637F"/>
    <w:rsid w:val="00AF04C9"/>
    <w:rsid w:val="00AF6E5B"/>
    <w:rsid w:val="00AF7A77"/>
    <w:rsid w:val="00AF7D64"/>
    <w:rsid w:val="00B06FAA"/>
    <w:rsid w:val="00B074A5"/>
    <w:rsid w:val="00B135FD"/>
    <w:rsid w:val="00B1479C"/>
    <w:rsid w:val="00B33435"/>
    <w:rsid w:val="00B366FA"/>
    <w:rsid w:val="00B41F1C"/>
    <w:rsid w:val="00B521EB"/>
    <w:rsid w:val="00B717AF"/>
    <w:rsid w:val="00B7719A"/>
    <w:rsid w:val="00B82892"/>
    <w:rsid w:val="00B84DC7"/>
    <w:rsid w:val="00B85783"/>
    <w:rsid w:val="00B94AAF"/>
    <w:rsid w:val="00B961CB"/>
    <w:rsid w:val="00B966EF"/>
    <w:rsid w:val="00BB14B4"/>
    <w:rsid w:val="00BB18DD"/>
    <w:rsid w:val="00BB3C33"/>
    <w:rsid w:val="00BC0472"/>
    <w:rsid w:val="00BD3BA9"/>
    <w:rsid w:val="00BE4BC7"/>
    <w:rsid w:val="00BE5A0D"/>
    <w:rsid w:val="00BF11A0"/>
    <w:rsid w:val="00BF5F3D"/>
    <w:rsid w:val="00BF7AF9"/>
    <w:rsid w:val="00C04197"/>
    <w:rsid w:val="00C04257"/>
    <w:rsid w:val="00C121D0"/>
    <w:rsid w:val="00C15136"/>
    <w:rsid w:val="00C15A16"/>
    <w:rsid w:val="00C17440"/>
    <w:rsid w:val="00C21CEC"/>
    <w:rsid w:val="00C23120"/>
    <w:rsid w:val="00C243DB"/>
    <w:rsid w:val="00C27A49"/>
    <w:rsid w:val="00C30E1A"/>
    <w:rsid w:val="00C353F0"/>
    <w:rsid w:val="00C40857"/>
    <w:rsid w:val="00C5052A"/>
    <w:rsid w:val="00C51149"/>
    <w:rsid w:val="00C65FAF"/>
    <w:rsid w:val="00C675DF"/>
    <w:rsid w:val="00C84A6D"/>
    <w:rsid w:val="00C9043F"/>
    <w:rsid w:val="00C9099C"/>
    <w:rsid w:val="00C975ED"/>
    <w:rsid w:val="00CA0CCF"/>
    <w:rsid w:val="00CA3A68"/>
    <w:rsid w:val="00CB3FC4"/>
    <w:rsid w:val="00CB5C8B"/>
    <w:rsid w:val="00CB5CF6"/>
    <w:rsid w:val="00CB644A"/>
    <w:rsid w:val="00CC7A14"/>
    <w:rsid w:val="00CD459F"/>
    <w:rsid w:val="00CD557C"/>
    <w:rsid w:val="00CE52DD"/>
    <w:rsid w:val="00CF4600"/>
    <w:rsid w:val="00CF48ED"/>
    <w:rsid w:val="00D07247"/>
    <w:rsid w:val="00D1281D"/>
    <w:rsid w:val="00D13B28"/>
    <w:rsid w:val="00D15B26"/>
    <w:rsid w:val="00D20091"/>
    <w:rsid w:val="00D22995"/>
    <w:rsid w:val="00D26133"/>
    <w:rsid w:val="00D3257B"/>
    <w:rsid w:val="00D34E73"/>
    <w:rsid w:val="00D35699"/>
    <w:rsid w:val="00D4203C"/>
    <w:rsid w:val="00D501AC"/>
    <w:rsid w:val="00D53C54"/>
    <w:rsid w:val="00D558A8"/>
    <w:rsid w:val="00D62B01"/>
    <w:rsid w:val="00D641DC"/>
    <w:rsid w:val="00D706F3"/>
    <w:rsid w:val="00D73CA6"/>
    <w:rsid w:val="00D82048"/>
    <w:rsid w:val="00D86E77"/>
    <w:rsid w:val="00D94C6A"/>
    <w:rsid w:val="00D975AE"/>
    <w:rsid w:val="00DA02A7"/>
    <w:rsid w:val="00DA061A"/>
    <w:rsid w:val="00DA55FD"/>
    <w:rsid w:val="00DB075D"/>
    <w:rsid w:val="00DB094D"/>
    <w:rsid w:val="00DB20DD"/>
    <w:rsid w:val="00DB2449"/>
    <w:rsid w:val="00DB3819"/>
    <w:rsid w:val="00DB531C"/>
    <w:rsid w:val="00DB689D"/>
    <w:rsid w:val="00DC14AE"/>
    <w:rsid w:val="00DC4477"/>
    <w:rsid w:val="00DD4083"/>
    <w:rsid w:val="00DE74A4"/>
    <w:rsid w:val="00E0136B"/>
    <w:rsid w:val="00E03701"/>
    <w:rsid w:val="00E06C93"/>
    <w:rsid w:val="00E1287F"/>
    <w:rsid w:val="00E12C70"/>
    <w:rsid w:val="00E13794"/>
    <w:rsid w:val="00E22DD8"/>
    <w:rsid w:val="00E23EB9"/>
    <w:rsid w:val="00E244D9"/>
    <w:rsid w:val="00E33643"/>
    <w:rsid w:val="00E37626"/>
    <w:rsid w:val="00E42DE4"/>
    <w:rsid w:val="00E44785"/>
    <w:rsid w:val="00E448A3"/>
    <w:rsid w:val="00E45D7A"/>
    <w:rsid w:val="00E45D95"/>
    <w:rsid w:val="00E540DC"/>
    <w:rsid w:val="00E54157"/>
    <w:rsid w:val="00E54DB7"/>
    <w:rsid w:val="00E62DF4"/>
    <w:rsid w:val="00E66350"/>
    <w:rsid w:val="00E71AE1"/>
    <w:rsid w:val="00E71F0D"/>
    <w:rsid w:val="00E81BB3"/>
    <w:rsid w:val="00E82E05"/>
    <w:rsid w:val="00E867A8"/>
    <w:rsid w:val="00E86B70"/>
    <w:rsid w:val="00E9111B"/>
    <w:rsid w:val="00E916B3"/>
    <w:rsid w:val="00E92BAC"/>
    <w:rsid w:val="00E95101"/>
    <w:rsid w:val="00EA341D"/>
    <w:rsid w:val="00EA3E03"/>
    <w:rsid w:val="00EB24A0"/>
    <w:rsid w:val="00EB3ED3"/>
    <w:rsid w:val="00EB7C8D"/>
    <w:rsid w:val="00EC19EE"/>
    <w:rsid w:val="00EC2B74"/>
    <w:rsid w:val="00EC4F0A"/>
    <w:rsid w:val="00EC677B"/>
    <w:rsid w:val="00ED16BD"/>
    <w:rsid w:val="00ED5258"/>
    <w:rsid w:val="00EF3757"/>
    <w:rsid w:val="00F04402"/>
    <w:rsid w:val="00F0562E"/>
    <w:rsid w:val="00F06CD1"/>
    <w:rsid w:val="00F10D45"/>
    <w:rsid w:val="00F1255A"/>
    <w:rsid w:val="00F20A1B"/>
    <w:rsid w:val="00F21CCD"/>
    <w:rsid w:val="00F30B88"/>
    <w:rsid w:val="00F325BB"/>
    <w:rsid w:val="00F56578"/>
    <w:rsid w:val="00F60B2E"/>
    <w:rsid w:val="00F623DD"/>
    <w:rsid w:val="00F624E0"/>
    <w:rsid w:val="00F6447C"/>
    <w:rsid w:val="00F649C8"/>
    <w:rsid w:val="00F77081"/>
    <w:rsid w:val="00F84337"/>
    <w:rsid w:val="00F90CE1"/>
    <w:rsid w:val="00F9384B"/>
    <w:rsid w:val="00F93D15"/>
    <w:rsid w:val="00F96B68"/>
    <w:rsid w:val="00FA384A"/>
    <w:rsid w:val="00FA5350"/>
    <w:rsid w:val="00FB308C"/>
    <w:rsid w:val="00FB6185"/>
    <w:rsid w:val="00FB63CB"/>
    <w:rsid w:val="00FB7151"/>
    <w:rsid w:val="00FC27A6"/>
    <w:rsid w:val="00FD386E"/>
    <w:rsid w:val="00FD5094"/>
    <w:rsid w:val="00FD61C5"/>
    <w:rsid w:val="00FE00C9"/>
    <w:rsid w:val="00FF2A04"/>
    <w:rsid w:val="00FF57DD"/>
    <w:rsid w:val="047D944D"/>
    <w:rsid w:val="2EDE6859"/>
    <w:rsid w:val="38D655C4"/>
    <w:rsid w:val="474FB669"/>
    <w:rsid w:val="4937A7BF"/>
    <w:rsid w:val="7F301A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E4A18"/>
  <w15:docId w15:val="{7AAEED74-B00F-40E4-9039-74D1ED512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31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558"/>
    <w:pPr>
      <w:spacing w:line="240" w:lineRule="auto"/>
      <w:jc w:val="left"/>
    </w:pPr>
    <w:rPr>
      <w:rFonts w:ascii="Times New Roman" w:eastAsia="Times New Roman" w:hAnsi="Times New Roman" w:cs="Times New Roman"/>
      <w:sz w:val="24"/>
      <w:szCs w:val="24"/>
      <w:lang w:val="en-NZ"/>
    </w:rPr>
  </w:style>
  <w:style w:type="paragraph" w:styleId="Heading1">
    <w:name w:val="heading 1"/>
    <w:basedOn w:val="Normal"/>
    <w:next w:val="Normal"/>
    <w:uiPriority w:val="9"/>
    <w:qFormat/>
    <w:rsid w:val="0038398B"/>
    <w:pPr>
      <w:keepNext/>
      <w:keepLines/>
      <w:numPr>
        <w:numId w:val="50"/>
      </w:numPr>
      <w:spacing w:before="400" w:after="120"/>
      <w:outlineLvl w:val="0"/>
    </w:pPr>
    <w:rPr>
      <w:b/>
      <w:bCs/>
      <w:sz w:val="40"/>
      <w:szCs w:val="40"/>
    </w:rPr>
  </w:style>
  <w:style w:type="paragraph" w:styleId="Heading2">
    <w:name w:val="heading 2"/>
    <w:basedOn w:val="Normal"/>
    <w:next w:val="Normal"/>
    <w:uiPriority w:val="9"/>
    <w:unhideWhenUsed/>
    <w:qFormat/>
    <w:rsid w:val="00657824"/>
    <w:pPr>
      <w:numPr>
        <w:ilvl w:val="1"/>
        <w:numId w:val="50"/>
      </w:numPr>
      <w:spacing w:before="360" w:after="120"/>
      <w:ind w:left="0" w:hanging="9"/>
      <w:outlineLvl w:val="1"/>
    </w:pPr>
    <w:rPr>
      <w:sz w:val="32"/>
      <w:szCs w:val="32"/>
    </w:rPr>
  </w:style>
  <w:style w:type="paragraph" w:styleId="Heading3">
    <w:name w:val="heading 3"/>
    <w:basedOn w:val="Normal"/>
    <w:next w:val="Normal"/>
    <w:uiPriority w:val="9"/>
    <w:unhideWhenUsed/>
    <w:qFormat/>
    <w:rsid w:val="00C30E1A"/>
    <w:pPr>
      <w:numPr>
        <w:ilvl w:val="2"/>
        <w:numId w:val="50"/>
      </w:numPr>
      <w:spacing w:before="320" w:after="80" w:line="360" w:lineRule="auto"/>
      <w:ind w:left="0" w:firstLine="0"/>
      <w:outlineLvl w:val="2"/>
    </w:pPr>
    <w:rPr>
      <w:color w:val="434343"/>
      <w:sz w:val="28"/>
      <w:szCs w:val="28"/>
    </w:rPr>
  </w:style>
  <w:style w:type="paragraph" w:styleId="Heading4">
    <w:name w:val="heading 4"/>
    <w:basedOn w:val="Normal"/>
    <w:next w:val="Normal"/>
    <w:uiPriority w:val="9"/>
    <w:unhideWhenUsed/>
    <w:qFormat/>
    <w:pPr>
      <w:keepNext/>
      <w:keepLines/>
      <w:numPr>
        <w:ilvl w:val="3"/>
        <w:numId w:val="50"/>
      </w:numPr>
      <w:spacing w:before="280" w:after="80"/>
      <w:outlineLvl w:val="3"/>
    </w:pPr>
    <w:rPr>
      <w:color w:val="666666"/>
    </w:rPr>
  </w:style>
  <w:style w:type="paragraph" w:styleId="Heading5">
    <w:name w:val="heading 5"/>
    <w:basedOn w:val="Normal"/>
    <w:next w:val="Normal"/>
    <w:uiPriority w:val="9"/>
    <w:unhideWhenUsed/>
    <w:qFormat/>
    <w:pPr>
      <w:keepNext/>
      <w:keepLines/>
      <w:numPr>
        <w:ilvl w:val="4"/>
        <w:numId w:val="50"/>
      </w:numPr>
      <w:spacing w:before="240" w:after="80"/>
      <w:outlineLvl w:val="4"/>
    </w:pPr>
    <w:rPr>
      <w:color w:val="666666"/>
    </w:rPr>
  </w:style>
  <w:style w:type="paragraph" w:styleId="Heading6">
    <w:name w:val="heading 6"/>
    <w:basedOn w:val="Normal"/>
    <w:next w:val="Normal"/>
    <w:uiPriority w:val="9"/>
    <w:semiHidden/>
    <w:unhideWhenUsed/>
    <w:qFormat/>
    <w:pPr>
      <w:keepNext/>
      <w:keepLines/>
      <w:numPr>
        <w:ilvl w:val="5"/>
        <w:numId w:val="50"/>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38398B"/>
    <w:pPr>
      <w:keepNext/>
      <w:keepLines/>
      <w:numPr>
        <w:ilvl w:val="6"/>
        <w:numId w:val="50"/>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8398B"/>
    <w:pPr>
      <w:keepNext/>
      <w:keepLines/>
      <w:numPr>
        <w:ilvl w:val="7"/>
        <w:numId w:val="5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8398B"/>
    <w:pPr>
      <w:keepNext/>
      <w:keepLines/>
      <w:numPr>
        <w:ilvl w:val="8"/>
        <w:numId w:val="5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odyText">
    <w:name w:val="Body Text"/>
    <w:basedOn w:val="Normal"/>
    <w:link w:val="BodyTextChar"/>
    <w:uiPriority w:val="99"/>
    <w:semiHidden/>
    <w:unhideWhenUsed/>
    <w:rsid w:val="0038398B"/>
    <w:pPr>
      <w:spacing w:after="120"/>
    </w:pPr>
  </w:style>
  <w:style w:type="character" w:customStyle="1" w:styleId="BodyTextChar">
    <w:name w:val="Body Text Char"/>
    <w:basedOn w:val="DefaultParagraphFont"/>
    <w:link w:val="BodyText"/>
    <w:uiPriority w:val="99"/>
    <w:semiHidden/>
    <w:rsid w:val="0038398B"/>
  </w:style>
  <w:style w:type="paragraph" w:styleId="ListParagraph">
    <w:name w:val="List Paragraph"/>
    <w:basedOn w:val="Normal"/>
    <w:uiPriority w:val="34"/>
    <w:qFormat/>
    <w:rsid w:val="0038398B"/>
    <w:pPr>
      <w:ind w:left="720"/>
      <w:contextualSpacing/>
    </w:pPr>
  </w:style>
  <w:style w:type="paragraph" w:styleId="TOC1">
    <w:name w:val="toc 1"/>
    <w:basedOn w:val="Normal"/>
    <w:next w:val="Normal"/>
    <w:autoRedefine/>
    <w:uiPriority w:val="39"/>
    <w:unhideWhenUsed/>
    <w:rsid w:val="00034D8D"/>
    <w:pPr>
      <w:tabs>
        <w:tab w:val="right" w:leader="dot" w:pos="9327"/>
      </w:tabs>
      <w:spacing w:after="100" w:line="360" w:lineRule="auto"/>
    </w:pPr>
  </w:style>
  <w:style w:type="paragraph" w:styleId="TOC2">
    <w:name w:val="toc 2"/>
    <w:basedOn w:val="Normal"/>
    <w:next w:val="Normal"/>
    <w:autoRedefine/>
    <w:uiPriority w:val="39"/>
    <w:unhideWhenUsed/>
    <w:rsid w:val="0038398B"/>
    <w:pPr>
      <w:spacing w:after="100"/>
      <w:ind w:left="220"/>
    </w:pPr>
  </w:style>
  <w:style w:type="paragraph" w:styleId="TOC3">
    <w:name w:val="toc 3"/>
    <w:basedOn w:val="Normal"/>
    <w:next w:val="Normal"/>
    <w:autoRedefine/>
    <w:uiPriority w:val="39"/>
    <w:unhideWhenUsed/>
    <w:rsid w:val="007473EA"/>
    <w:pPr>
      <w:tabs>
        <w:tab w:val="right" w:leader="dot" w:pos="9317"/>
      </w:tabs>
      <w:spacing w:after="100"/>
      <w:ind w:left="440"/>
    </w:pPr>
  </w:style>
  <w:style w:type="paragraph" w:styleId="TOC4">
    <w:name w:val="toc 4"/>
    <w:basedOn w:val="Normal"/>
    <w:next w:val="Normal"/>
    <w:autoRedefine/>
    <w:uiPriority w:val="39"/>
    <w:unhideWhenUsed/>
    <w:rsid w:val="0038398B"/>
    <w:pPr>
      <w:spacing w:after="100" w:line="278" w:lineRule="auto"/>
      <w:ind w:left="720"/>
    </w:pPr>
    <w:rPr>
      <w:rFonts w:asciiTheme="minorHAnsi" w:eastAsiaTheme="minorEastAsia" w:hAnsiTheme="minorHAnsi" w:cstheme="minorBidi"/>
      <w:kern w:val="2"/>
      <w14:ligatures w14:val="standardContextual"/>
    </w:rPr>
  </w:style>
  <w:style w:type="paragraph" w:styleId="TOC5">
    <w:name w:val="toc 5"/>
    <w:basedOn w:val="Normal"/>
    <w:next w:val="Normal"/>
    <w:autoRedefine/>
    <w:uiPriority w:val="39"/>
    <w:unhideWhenUsed/>
    <w:rsid w:val="0038398B"/>
    <w:pPr>
      <w:spacing w:after="100" w:line="278" w:lineRule="auto"/>
      <w:ind w:left="960"/>
    </w:pPr>
    <w:rPr>
      <w:rFonts w:asciiTheme="minorHAnsi" w:eastAsiaTheme="minorEastAsia" w:hAnsiTheme="minorHAnsi" w:cstheme="minorBidi"/>
      <w:kern w:val="2"/>
      <w14:ligatures w14:val="standardContextual"/>
    </w:rPr>
  </w:style>
  <w:style w:type="paragraph" w:styleId="TOC6">
    <w:name w:val="toc 6"/>
    <w:basedOn w:val="Normal"/>
    <w:next w:val="Normal"/>
    <w:autoRedefine/>
    <w:uiPriority w:val="39"/>
    <w:unhideWhenUsed/>
    <w:rsid w:val="0038398B"/>
    <w:pPr>
      <w:spacing w:after="100" w:line="278" w:lineRule="auto"/>
      <w:ind w:left="12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38398B"/>
    <w:pPr>
      <w:spacing w:after="100" w:line="278" w:lineRule="auto"/>
      <w:ind w:left="144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38398B"/>
    <w:pPr>
      <w:spacing w:after="100" w:line="278" w:lineRule="auto"/>
      <w:ind w:left="168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38398B"/>
    <w:pPr>
      <w:spacing w:after="100" w:line="278" w:lineRule="auto"/>
      <w:ind w:left="1920"/>
    </w:pPr>
    <w:rPr>
      <w:rFonts w:asciiTheme="minorHAnsi" w:eastAsiaTheme="minorEastAsia" w:hAnsiTheme="minorHAnsi" w:cstheme="minorBidi"/>
      <w:kern w:val="2"/>
      <w14:ligatures w14:val="standardContextual"/>
    </w:rPr>
  </w:style>
  <w:style w:type="character" w:styleId="Hyperlink">
    <w:name w:val="Hyperlink"/>
    <w:basedOn w:val="DefaultParagraphFont"/>
    <w:uiPriority w:val="99"/>
    <w:unhideWhenUsed/>
    <w:rsid w:val="0038398B"/>
    <w:rPr>
      <w:color w:val="0000FF" w:themeColor="hyperlink"/>
      <w:u w:val="single"/>
    </w:rPr>
  </w:style>
  <w:style w:type="character" w:styleId="UnresolvedMention">
    <w:name w:val="Unresolved Mention"/>
    <w:basedOn w:val="DefaultParagraphFont"/>
    <w:uiPriority w:val="99"/>
    <w:semiHidden/>
    <w:unhideWhenUsed/>
    <w:rsid w:val="0038398B"/>
    <w:rPr>
      <w:color w:val="605E5C"/>
      <w:shd w:val="clear" w:color="auto" w:fill="E1DFDD"/>
    </w:rPr>
  </w:style>
  <w:style w:type="character" w:customStyle="1" w:styleId="Heading7Char">
    <w:name w:val="Heading 7 Char"/>
    <w:basedOn w:val="DefaultParagraphFont"/>
    <w:link w:val="Heading7"/>
    <w:uiPriority w:val="9"/>
    <w:semiHidden/>
    <w:rsid w:val="0038398B"/>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38398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8398B"/>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DB094D"/>
    <w:pPr>
      <w:spacing w:after="200" w:line="360" w:lineRule="auto"/>
    </w:pPr>
    <w:rPr>
      <w:i/>
      <w:iCs/>
      <w:color w:val="000000" w:themeColor="text1"/>
      <w:sz w:val="22"/>
      <w:szCs w:val="22"/>
    </w:rPr>
  </w:style>
  <w:style w:type="table" w:styleId="TableGridLight">
    <w:name w:val="Grid Table Light"/>
    <w:basedOn w:val="TableNormal"/>
    <w:uiPriority w:val="40"/>
    <w:rsid w:val="00367A8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Subject">
    <w:name w:val="annotation subject"/>
    <w:basedOn w:val="CommentText"/>
    <w:next w:val="CommentText"/>
    <w:link w:val="CommentSubjectChar"/>
    <w:uiPriority w:val="99"/>
    <w:semiHidden/>
    <w:unhideWhenUsed/>
    <w:rsid w:val="00A91E61"/>
    <w:rPr>
      <w:b/>
      <w:bCs/>
    </w:rPr>
  </w:style>
  <w:style w:type="character" w:customStyle="1" w:styleId="CommentSubjectChar">
    <w:name w:val="Comment Subject Char"/>
    <w:basedOn w:val="CommentTextChar"/>
    <w:link w:val="CommentSubject"/>
    <w:uiPriority w:val="99"/>
    <w:semiHidden/>
    <w:rsid w:val="00A91E61"/>
    <w:rPr>
      <w:b/>
      <w:bCs/>
      <w:sz w:val="20"/>
      <w:szCs w:val="20"/>
    </w:rPr>
  </w:style>
  <w:style w:type="paragraph" w:customStyle="1" w:styleId="Heading1notnumbered">
    <w:name w:val="Heading 1 not numbered"/>
    <w:basedOn w:val="Normal"/>
    <w:qFormat/>
    <w:rsid w:val="00523B7E"/>
    <w:pPr>
      <w:spacing w:line="360" w:lineRule="auto"/>
    </w:pPr>
    <w:rPr>
      <w:b/>
      <w:bCs/>
      <w:sz w:val="40"/>
      <w:szCs w:val="40"/>
    </w:rPr>
  </w:style>
  <w:style w:type="paragraph" w:customStyle="1" w:styleId="Heading2notnumbered">
    <w:name w:val="Heading 2 not numbered"/>
    <w:basedOn w:val="Normal"/>
    <w:qFormat/>
    <w:rsid w:val="00523B7E"/>
    <w:pPr>
      <w:spacing w:line="360" w:lineRule="auto"/>
    </w:pPr>
    <w:rPr>
      <w:sz w:val="32"/>
      <w:szCs w:val="32"/>
    </w:rPr>
  </w:style>
  <w:style w:type="paragraph" w:styleId="TableofFigures">
    <w:name w:val="table of figures"/>
    <w:basedOn w:val="Normal"/>
    <w:next w:val="Normal"/>
    <w:uiPriority w:val="99"/>
    <w:unhideWhenUsed/>
    <w:rsid w:val="003043E5"/>
  </w:style>
  <w:style w:type="character" w:customStyle="1" w:styleId="citation-708">
    <w:name w:val="citation-708"/>
    <w:basedOn w:val="DefaultParagraphFont"/>
    <w:rsid w:val="0074090A"/>
  </w:style>
  <w:style w:type="paragraph" w:styleId="Revision">
    <w:name w:val="Revision"/>
    <w:hidden/>
    <w:uiPriority w:val="99"/>
    <w:semiHidden/>
    <w:rsid w:val="007E53B9"/>
    <w:pPr>
      <w:spacing w:line="240" w:lineRule="auto"/>
      <w:jc w:val="left"/>
    </w:pPr>
  </w:style>
  <w:style w:type="paragraph" w:styleId="Header">
    <w:name w:val="header"/>
    <w:basedOn w:val="Normal"/>
    <w:link w:val="HeaderChar"/>
    <w:uiPriority w:val="99"/>
    <w:unhideWhenUsed/>
    <w:rsid w:val="00B135FD"/>
    <w:pPr>
      <w:tabs>
        <w:tab w:val="center" w:pos="4513"/>
        <w:tab w:val="right" w:pos="9026"/>
      </w:tabs>
    </w:pPr>
  </w:style>
  <w:style w:type="character" w:customStyle="1" w:styleId="HeaderChar">
    <w:name w:val="Header Char"/>
    <w:basedOn w:val="DefaultParagraphFont"/>
    <w:link w:val="Header"/>
    <w:uiPriority w:val="99"/>
    <w:rsid w:val="00B135FD"/>
  </w:style>
  <w:style w:type="paragraph" w:styleId="Footer">
    <w:name w:val="footer"/>
    <w:basedOn w:val="Normal"/>
    <w:link w:val="FooterChar"/>
    <w:uiPriority w:val="99"/>
    <w:unhideWhenUsed/>
    <w:rsid w:val="00B135FD"/>
    <w:pPr>
      <w:tabs>
        <w:tab w:val="center" w:pos="4513"/>
        <w:tab w:val="right" w:pos="9026"/>
      </w:tabs>
    </w:pPr>
  </w:style>
  <w:style w:type="character" w:customStyle="1" w:styleId="FooterChar">
    <w:name w:val="Footer Char"/>
    <w:basedOn w:val="DefaultParagraphFont"/>
    <w:link w:val="Footer"/>
    <w:uiPriority w:val="99"/>
    <w:rsid w:val="00B135FD"/>
  </w:style>
  <w:style w:type="character" w:styleId="PageNumber">
    <w:name w:val="page number"/>
    <w:basedOn w:val="DefaultParagraphFont"/>
    <w:uiPriority w:val="99"/>
    <w:semiHidden/>
    <w:unhideWhenUsed/>
    <w:rsid w:val="00B135FD"/>
  </w:style>
  <w:style w:type="table" w:styleId="PlainTable2">
    <w:name w:val="Plain Table 2"/>
    <w:basedOn w:val="TableNormal"/>
    <w:uiPriority w:val="42"/>
    <w:rsid w:val="006F418B"/>
    <w:pPr>
      <w:spacing w:line="240" w:lineRule="auto"/>
      <w:jc w:val="left"/>
    </w:pPr>
    <w:rPr>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F418B"/>
    <w:pPr>
      <w:spacing w:line="240" w:lineRule="auto"/>
      <w:jc w:val="left"/>
    </w:pPr>
    <w:rPr>
      <w:lang w:eastAsia="zh-C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6F418B"/>
    <w:pPr>
      <w:spacing w:line="240" w:lineRule="auto"/>
      <w:jc w:val="left"/>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F418B"/>
    <w:pPr>
      <w:spacing w:before="100" w:beforeAutospacing="1" w:after="100" w:afterAutospacing="1"/>
    </w:pPr>
    <w:rPr>
      <w:lang w:eastAsia="zh-CN"/>
    </w:rPr>
  </w:style>
  <w:style w:type="paragraph" w:styleId="FootnoteText">
    <w:name w:val="footnote text"/>
    <w:basedOn w:val="Normal"/>
    <w:link w:val="FootnoteTextChar"/>
    <w:uiPriority w:val="99"/>
    <w:semiHidden/>
    <w:unhideWhenUsed/>
    <w:rsid w:val="006F418B"/>
    <w:rPr>
      <w:sz w:val="20"/>
      <w:szCs w:val="20"/>
      <w:lang w:eastAsia="zh-CN"/>
    </w:rPr>
  </w:style>
  <w:style w:type="character" w:customStyle="1" w:styleId="FootnoteTextChar">
    <w:name w:val="Footnote Text Char"/>
    <w:basedOn w:val="DefaultParagraphFont"/>
    <w:link w:val="FootnoteText"/>
    <w:uiPriority w:val="99"/>
    <w:semiHidden/>
    <w:rsid w:val="006F418B"/>
    <w:rPr>
      <w:sz w:val="20"/>
      <w:szCs w:val="20"/>
      <w:lang w:eastAsia="zh-CN"/>
    </w:rPr>
  </w:style>
  <w:style w:type="character" w:styleId="FootnoteReference">
    <w:name w:val="footnote reference"/>
    <w:basedOn w:val="DefaultParagraphFont"/>
    <w:uiPriority w:val="99"/>
    <w:semiHidden/>
    <w:unhideWhenUsed/>
    <w:rsid w:val="006F418B"/>
    <w:rPr>
      <w:vertAlign w:val="superscript"/>
    </w:rPr>
  </w:style>
  <w:style w:type="paragraph" w:styleId="Bibliography">
    <w:name w:val="Bibliography"/>
    <w:basedOn w:val="Normal"/>
    <w:next w:val="Normal"/>
    <w:uiPriority w:val="37"/>
    <w:unhideWhenUsed/>
    <w:rsid w:val="006F418B"/>
    <w:pPr>
      <w:tabs>
        <w:tab w:val="left" w:pos="384"/>
      </w:tabs>
      <w:spacing w:after="240"/>
      <w:ind w:left="384" w:hanging="384"/>
    </w:pPr>
    <w:rPr>
      <w:lang w:eastAsia="zh-CN"/>
    </w:rPr>
  </w:style>
  <w:style w:type="table" w:styleId="PlainTable1">
    <w:name w:val="Plain Table 1"/>
    <w:basedOn w:val="TableNormal"/>
    <w:uiPriority w:val="41"/>
    <w:rsid w:val="0092054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itation-22">
    <w:name w:val="citation-22"/>
    <w:basedOn w:val="DefaultParagraphFont"/>
    <w:rsid w:val="00CD557C"/>
  </w:style>
  <w:style w:type="character" w:customStyle="1" w:styleId="citation-36">
    <w:name w:val="citation-36"/>
    <w:basedOn w:val="DefaultParagraphFont"/>
    <w:rsid w:val="002061D6"/>
  </w:style>
  <w:style w:type="character" w:customStyle="1" w:styleId="citation-46">
    <w:name w:val="citation-46"/>
    <w:basedOn w:val="DefaultParagraphFont"/>
    <w:rsid w:val="00A6507B"/>
  </w:style>
  <w:style w:type="character" w:customStyle="1" w:styleId="citation-247">
    <w:name w:val="citation-247"/>
    <w:basedOn w:val="DefaultParagraphFont"/>
    <w:rsid w:val="00FA5350"/>
  </w:style>
  <w:style w:type="character" w:customStyle="1" w:styleId="citation-426">
    <w:name w:val="citation-426"/>
    <w:basedOn w:val="DefaultParagraphFont"/>
    <w:rsid w:val="00302740"/>
  </w:style>
  <w:style w:type="character" w:customStyle="1" w:styleId="citation-425">
    <w:name w:val="citation-425"/>
    <w:basedOn w:val="DefaultParagraphFont"/>
    <w:rsid w:val="00302740"/>
  </w:style>
  <w:style w:type="character" w:customStyle="1" w:styleId="citation-424">
    <w:name w:val="citation-424"/>
    <w:basedOn w:val="DefaultParagraphFont"/>
    <w:rsid w:val="00302740"/>
  </w:style>
  <w:style w:type="paragraph" w:customStyle="1" w:styleId="RepNormal">
    <w:name w:val="Rep_Normal"/>
    <w:basedOn w:val="Normal"/>
    <w:uiPriority w:val="1"/>
    <w:qFormat/>
    <w:rsid w:val="00E42DE4"/>
    <w:pPr>
      <w:jc w:val="both"/>
    </w:pPr>
    <w:rPr>
      <w:rFonts w:asciiTheme="minorHAnsi" w:eastAsiaTheme="minorEastAsia"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178295">
      <w:bodyDiv w:val="1"/>
      <w:marLeft w:val="0"/>
      <w:marRight w:val="0"/>
      <w:marTop w:val="0"/>
      <w:marBottom w:val="0"/>
      <w:divBdr>
        <w:top w:val="none" w:sz="0" w:space="0" w:color="auto"/>
        <w:left w:val="none" w:sz="0" w:space="0" w:color="auto"/>
        <w:bottom w:val="none" w:sz="0" w:space="0" w:color="auto"/>
        <w:right w:val="none" w:sz="0" w:space="0" w:color="auto"/>
      </w:divBdr>
    </w:div>
    <w:div w:id="952135627">
      <w:bodyDiv w:val="1"/>
      <w:marLeft w:val="0"/>
      <w:marRight w:val="0"/>
      <w:marTop w:val="0"/>
      <w:marBottom w:val="0"/>
      <w:divBdr>
        <w:top w:val="none" w:sz="0" w:space="0" w:color="auto"/>
        <w:left w:val="none" w:sz="0" w:space="0" w:color="auto"/>
        <w:bottom w:val="none" w:sz="0" w:space="0" w:color="auto"/>
        <w:right w:val="none" w:sz="0" w:space="0" w:color="auto"/>
      </w:divBdr>
    </w:div>
    <w:div w:id="1129320712">
      <w:bodyDiv w:val="1"/>
      <w:marLeft w:val="0"/>
      <w:marRight w:val="0"/>
      <w:marTop w:val="0"/>
      <w:marBottom w:val="0"/>
      <w:divBdr>
        <w:top w:val="none" w:sz="0" w:space="0" w:color="auto"/>
        <w:left w:val="none" w:sz="0" w:space="0" w:color="auto"/>
        <w:bottom w:val="none" w:sz="0" w:space="0" w:color="auto"/>
        <w:right w:val="none" w:sz="0" w:space="0" w:color="auto"/>
      </w:divBdr>
    </w:div>
    <w:div w:id="1469472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0.png"/><Relationship Id="rId21" Type="http://schemas.openxmlformats.org/officeDocument/2006/relationships/footer" Target="footer1.xml"/><Relationship Id="rId34" Type="http://schemas.openxmlformats.org/officeDocument/2006/relationships/hyperlink" Target="https://www.health.govt.nz/statistics-research/statistics-and-data-sets/problem-gambling/gambling-harm-services-data" TargetMode="Externa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hyperlink" Target="https://doi.org/10.1556/2006.2022.00045"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29" Type="http://schemas.openxmlformats.org/officeDocument/2006/relationships/hyperlink" Target="https://www.corrections.govt.nz/__data/assets/pdf_file/0007/50578/Annual_Report_2023_v20.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github.com/esther-moore/Evaluation-NZ-gambling-policies" TargetMode="External"/><Relationship Id="rId32" Type="http://schemas.openxmlformats.org/officeDocument/2006/relationships/hyperlink" Target="https://responsiblewagering.com.au/wp-%20content/uploads/2023/05/H2-Australia-Offshore-Wagering-Market-Analysis-2023-Report.pdf"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hyperlink" Target="https://doi.org/10.1007/s11469-012-9400-7"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s://www.dia.govt.nz/gambling-statistics-expenditur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11.png"/><Relationship Id="rId30" Type="http://schemas.openxmlformats.org/officeDocument/2006/relationships/hyperlink" Target="https://www.dia.govt.nz/diawebsite.nsf/Files/Annual-Report-2022-23/$file/Annual-Report-2022-23.pdf" TargetMode="External"/><Relationship Id="rId35" Type="http://schemas.openxmlformats.org/officeDocument/2006/relationships/hyperlink" Target="https://doi.org/10.1111/sltb.12225" TargetMode="Externa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Document" ma:contentTypeID="0x0101007BA1164CF1528342A046E742A1DEEBFB" ma:contentTypeVersion="502" ma:contentTypeDescription="Create a new document." ma:contentTypeScope="" ma:versionID="d7d4767699e6f537fcc78961e496b219">
  <xsd:schema xmlns:xsd="http://www.w3.org/2001/XMLSchema" xmlns:xs="http://www.w3.org/2001/XMLSchema" xmlns:p="http://schemas.microsoft.com/office/2006/metadata/properties" xmlns:ns2="a92161ee-a867-43fa-afc4-ef021add4eae" xmlns:ns3="4f9c820c-e7e2-444d-97ee-45f2b3485c1d" xmlns:ns4="15ffb055-6eb4-45a1-bc20-bf2ac0d420da" xmlns:ns5="725c79e5-42ce-4aa0-ac78-b6418001f0d2" xmlns:ns6="c91a514c-9034-4fa3-897a-8352025b26ed" xmlns:ns7="d0b61010-d6f3-4072-b934-7bbb13e97771" xmlns:ns8="184c05c4-c568-455d-94a4-7e009b164348" xmlns:ns9="77fc9259-9bdd-4436-bdca-cbe80b037127" targetNamespace="http://schemas.microsoft.com/office/2006/metadata/properties" ma:root="true" ma:fieldsID="3592eec94bb46fd8678cd82fff1d6b4d" ns2:_="" ns3:_="" ns4:_="" ns5:_="" ns6:_="" ns7:_="" ns8:_="" ns9:_="">
    <xsd:import namespace="a92161ee-a867-43fa-afc4-ef021add4eae"/>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77fc9259-9bdd-4436-bdca-cbe80b037127"/>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9:MediaServiceAutoKeyPoints" minOccurs="0"/>
                <xsd:element ref="ns9:MediaServiceKeyPoints" minOccurs="0"/>
                <xsd:element ref="ns2:SharedWithUsers" minOccurs="0"/>
                <xsd:element ref="ns2:SharedWithDetails" minOccurs="0"/>
                <xsd:element ref="ns9:lcf76f155ced4ddcb4097134ff3c332f" minOccurs="0"/>
                <xsd:element ref="ns2:TaxCatchAll" minOccurs="0"/>
                <xsd:element ref="ns9:MediaServiceDateTaken" minOccurs="0"/>
                <xsd:element ref="ns9:MediaServiceGenerationTime" minOccurs="0"/>
                <xsd:element ref="ns9:MediaServiceEventHashCode" minOccurs="0"/>
                <xsd:element ref="ns9:MediaLengthInSeconds" minOccurs="0"/>
                <xsd:element ref="ns9:MediaServiceOCR" minOccurs="0"/>
                <xsd:element ref="ns9:MediaServiceLocation" minOccurs="0"/>
                <xsd:element ref="ns9:MediaServiceObjectDetectorVersions" minOccurs="0"/>
                <xsd:element ref="ns9:MediaServiceSearchProperties" minOccurs="0"/>
                <xsd:element ref="ns9: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161ee-a867-43fa-afc4-ef021add4ea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6" nillable="true" ma:displayName="Shared With Details" ma:internalName="SharedWithDetails" ma:readOnly="true">
      <xsd:simpleType>
        <xsd:restriction base="dms:Note">
          <xsd:maxLength value="255"/>
        </xsd:restriction>
      </xsd:simpleType>
    </xsd:element>
    <xsd:element name="TaxCatchAll" ma:index="59" nillable="true" ma:displayName="Taxonomy Catch All Column" ma:hidden="true" ma:list="{c1f39fa3-e53e-4aaf-9341-465357fdeeb3}" ma:internalName="TaxCatchAll" ma:showField="CatchAllData" ma:web="a92161ee-a867-43fa-afc4-ef021add4e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default="Corporate Support" ma:hidden="true" ma:internalName="FunctionGroup" ma:readOnly="false">
      <xsd:simpleType>
        <xsd:restriction base="dms:Text">
          <xsd:maxLength value="255"/>
        </xsd:restriction>
      </xsd:simpleType>
    </xsd:element>
    <xsd:element name="Function" ma:index="22" nillable="true" ma:displayName="Function" ma:default="Communications"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ma:readOnly="fals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5" nillable="true" ma:displayName="Project" ma:default="NA" ma:hidden="true" ma:internalName="Project" ma:readOnly="false">
      <xsd:simpleType>
        <xsd:restriction base="dms:Text">
          <xsd:maxLength value="255"/>
        </xsd:restriction>
      </xsd:simpleType>
    </xsd:element>
    <xsd:element name="Activity" ma:index="36" nillable="true" ma:displayName="Activity" ma:default="Strategic Communications"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7"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8" nillable="true" ma:displayName="Channel" ma:default="NA" ma:hidden="true" ma:internalName="Channel" ma:readOnly="false">
      <xsd:simpleType>
        <xsd:restriction base="dms:Text">
          <xsd:maxLength value="255"/>
        </xsd:restriction>
      </xsd:simpleType>
    </xsd:element>
    <xsd:element name="Team" ma:index="39" nillable="true" ma:displayName="Team" ma:default="Strategic Communications" ma:hidden="true" ma:internalName="Team" ma:readOnly="false">
      <xsd:simpleType>
        <xsd:restriction base="dms:Text">
          <xsd:maxLength value="255"/>
        </xsd:restriction>
      </xsd:simpleType>
    </xsd:element>
    <xsd:element name="Level2" ma:index="40" nillable="true" ma:displayName="Level 2" ma:default="NA" ma:hidden="true" ma:internalName="Level2" ma:readOnly="false">
      <xsd:simpleType>
        <xsd:restriction base="dms:Text">
          <xsd:maxLength value="255"/>
        </xsd:restriction>
      </xsd:simpleType>
    </xsd:element>
    <xsd:element name="Level3" ma:index="41" nillable="true" ma:displayName="Level 3" ma:default="NA" ma:hidden="true" ma:internalName="Level3" ma:readOnly="false">
      <xsd:simpleType>
        <xsd:restriction base="dms:Text">
          <xsd:maxLength value="255"/>
        </xsd:restriction>
      </xsd:simpleType>
    </xsd:element>
    <xsd:element name="Year" ma:index="42"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3" nillable="true" ma:displayName="Set Label" ma:default="T10M" ma:hidden="true" ma:indexed="true" ma:internalName="SetLabel" ma:readOnly="false">
      <xsd:simpleType>
        <xsd:restriction base="dms:Text">
          <xsd:maxLength value="255"/>
        </xsd:restriction>
      </xsd:simpleType>
    </xsd:element>
    <xsd:element name="OverrideLabel" ma:index="44"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5" nillable="true" ma:displayName="Has NHI" ma:default="0" ma:internalName="HasNHI" ma:readOnly="false">
      <xsd:simpleType>
        <xsd:restriction base="dms:Boolean"/>
      </xsd:simpleType>
    </xsd:element>
    <xsd:element name="zLegacy" ma:index="46" nillable="true" ma:displayName="zLegacy" ma:hidden="true" ma:internalName="zLegacy" ma:readOnly="false">
      <xsd:simpleType>
        <xsd:restriction base="dms:Note"/>
      </xsd:simpleType>
    </xsd:element>
    <xsd:element name="zLegacyID" ma:index="47" nillable="true" ma:displayName="zLegacyID" ma:hidden="true" ma:indexed="true" ma:internalName="zLegacyID" ma:readOnly="false">
      <xsd:simpleType>
        <xsd:restriction base="dms:Text">
          <xsd:maxLength value="255"/>
        </xsd:restriction>
      </xsd:simpleType>
    </xsd:element>
    <xsd:element name="zLegacyJSON" ma:index="48" nillable="true" ma:displayName="zLegacyJSON" ma:hidden="true" ma:internalName="zLegacyJSON" ma:readOnly="false">
      <xsd:simpleType>
        <xsd:restriction base="dms:Note"/>
      </xsd:simpleType>
    </xsd:element>
    <xsd:element name="CopiedFrom" ma:index="49" nillable="true" ma:displayName="Copied From" ma:hidden="true" ma:internalName="CopiedFrom" ma:readOnly="false">
      <xsd:simpleType>
        <xsd:restriction base="dms:Text">
          <xsd:maxLength value="255"/>
        </xsd:restriction>
      </xsd:simpleType>
    </xsd:element>
    <xsd:element name="Endorsements" ma:index="50"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77fc9259-9bdd-4436-bdca-cbe80b037127"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MediaServiceAutoKeyPoints" ma:index="53" nillable="true" ma:displayName="MediaServiceAutoKeyPoints" ma:hidden="true" ma:internalName="MediaServiceAutoKeyPoints" ma:readOnly="true">
      <xsd:simpleType>
        <xsd:restriction base="dms:Note"/>
      </xsd:simpleType>
    </xsd:element>
    <xsd:element name="MediaServiceKeyPoints" ma:index="54" nillable="true" ma:displayName="KeyPoints" ma:internalName="MediaServiceKeyPoints" ma:readOnly="true">
      <xsd:simpleType>
        <xsd:restriction base="dms:Note">
          <xsd:maxLength value="255"/>
        </xsd:restriction>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DateTaken" ma:index="60" nillable="true" ma:displayName="MediaServiceDateTaken" ma:hidden="true" ma:internalName="MediaServiceDateTaken" ma:readOnly="true">
      <xsd:simpleType>
        <xsd:restriction base="dms:Text"/>
      </xsd:simpleType>
    </xsd:element>
    <xsd:element name="MediaServiceGenerationTime" ma:index="61" nillable="true" ma:displayName="MediaServiceGenerationTime" ma:hidden="true" ma:internalName="MediaServiceGenerationTime" ma:readOnly="true">
      <xsd:simpleType>
        <xsd:restriction base="dms:Text"/>
      </xsd:simpleType>
    </xsd:element>
    <xsd:element name="MediaServiceEventHashCode" ma:index="62" nillable="true" ma:displayName="MediaServiceEventHashCode" ma:hidden="true" ma:internalName="MediaServiceEventHashCode"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CR" ma:index="64" nillable="true" ma:displayName="Extracted Text" ma:internalName="MediaServiceOCR" ma:readOnly="true">
      <xsd:simpleType>
        <xsd:restriction base="dms:Note">
          <xsd:maxLength value="255"/>
        </xsd:restriction>
      </xsd:simpleType>
    </xsd:element>
    <xsd:element name="MediaServiceLocation" ma:index="65" nillable="true" ma:displayName="Location" ma:indexed="true" ma:internalName="MediaServiceLocation" ma:readOnly="true">
      <xsd:simpleType>
        <xsd:restriction base="dms:Text"/>
      </xsd:simpleType>
    </xsd:element>
    <xsd:element name="MediaServiceObjectDetectorVersions" ma:index="66" nillable="true" ma:displayName="MediaServiceObjectDetectorVersions" ma:hidden="true" ma:indexed="true" ma:internalName="MediaServiceObjectDetectorVersions" ma:readOnly="true">
      <xsd:simpleType>
        <xsd:restriction base="dms:Text"/>
      </xsd:simpleType>
    </xsd:element>
    <xsd:element name="MediaServiceSearchProperties" ma:index="67" nillable="true" ma:displayName="MediaServiceSearchProperties" ma:hidden="true" ma:internalName="MediaServiceSearchProperties" ma:readOnly="true">
      <xsd:simpleType>
        <xsd:restriction base="dms:Note"/>
      </xsd:simpleType>
    </xsd:element>
    <xsd:element name="MediaServiceBillingMetadata" ma:index="6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ubactivity xmlns="4f9c820c-e7e2-444d-97ee-45f2b3485c1d">Publications</Subactivity>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ggregationStatus xmlns="4f9c820c-e7e2-444d-97ee-45f2b3485c1d">Normal</AggregationStatus>
    <OverrideLabel xmlns="d0b61010-d6f3-4072-b934-7bbb13e97771" xsi:nil="true"/>
    <CategoryValue xmlns="4f9c820c-e7e2-444d-97ee-45f2b3485c1d">NA</CategoryValue>
    <PRADate2 xmlns="4f9c820c-e7e2-444d-97ee-45f2b3485c1d" xsi:nil="true"/>
    <zLegacyJSON xmlns="184c05c4-c568-455d-94a4-7e009b164348" xsi:nil="true"/>
    <Case xmlns="4f9c820c-e7e2-444d-97ee-45f2b3485c1d">Strategy</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Strategic Communications</Team>
    <Project xmlns="4f9c820c-e7e2-444d-97ee-45f2b3485c1d">NA</Project>
    <HasNHI xmlns="184c05c4-c568-455d-94a4-7e009b164348">false</HasNHI>
    <FunctionGroup xmlns="4f9c820c-e7e2-444d-97ee-45f2b3485c1d">Corporate Support</FunctionGroup>
    <Function xmlns="4f9c820c-e7e2-444d-97ee-45f2b3485c1d">Communications</Function>
    <SetLabel xmlns="d0b61010-d6f3-4072-b934-7bbb13e97771">T10M</SetLabel>
    <RelatedPeople xmlns="4f9c820c-e7e2-444d-97ee-45f2b3485c1d">
      <UserInfo>
        <DisplayName/>
        <AccountId xsi:nil="true"/>
        <AccountType/>
      </UserInfo>
    </RelatedPeople>
    <AggregationNarrative xmlns="725c79e5-42ce-4aa0-ac78-b6418001f0d2" xsi:nil="true"/>
    <Channel xmlns="c91a514c-9034-4fa3-897a-8352025b26ed">Design and Publications</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NA</CategoryName>
    <PRADateTrigger xmlns="4f9c820c-e7e2-444d-97ee-45f2b3485c1d" xsi:nil="true"/>
    <PRAText2 xmlns="4f9c820c-e7e2-444d-97ee-45f2b3485c1d" xsi:nil="true"/>
    <zLegacyID xmlns="184c05c4-c568-455d-94a4-7e009b164348" xsi:nil="true"/>
    <TaxCatchAll xmlns="a92161ee-a867-43fa-afc4-ef021add4eae" xsi:nil="true"/>
    <lcf76f155ced4ddcb4097134ff3c332f xmlns="77fc9259-9bdd-4436-bdca-cbe80b037127">
      <Terms xmlns="http://schemas.microsoft.com/office/infopath/2007/PartnerControls"/>
    </lcf76f155ced4ddcb4097134ff3c332f>
    <_dlc_DocId xmlns="a92161ee-a867-43fa-afc4-ef021add4eae">MOHECM-2060122139-40139</_dlc_DocId>
    <_dlc_DocIdUrl xmlns="a92161ee-a867-43fa-afc4-ef021add4eae">
      <Url>https://mohgovtnz.sharepoint.com/sites/moh-ecm-StratComms/_layouts/15/DocIdRedir.aspx?ID=MOHECM-2060122139-40139</Url>
      <Description>MOHECM-2060122139-40139</Description>
    </_dlc_DocIdUrl>
    <Activity xmlns="4f9c820c-e7e2-444d-97ee-45f2b3485c1d">Strategic Communications</Activity>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B7873-041F-4CB8-B382-CD6AFBA26E4B}">
  <ds:schemaRefs>
    <ds:schemaRef ds:uri="http://schemas.microsoft.com/sharepoint/events"/>
  </ds:schemaRefs>
</ds:datastoreItem>
</file>

<file path=customXml/itemProps2.xml><?xml version="1.0" encoding="utf-8"?>
<ds:datastoreItem xmlns:ds="http://schemas.openxmlformats.org/officeDocument/2006/customXml" ds:itemID="{178F3C25-7524-4C20-A80D-C7C6095189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2161ee-a867-43fa-afc4-ef021add4eae"/>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77fc9259-9bdd-4436-bdca-cbe80b037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024EB6-4C3C-4A30-B41E-B2AC462906DD}">
  <ds:schemaRefs>
    <ds:schemaRef ds:uri="http://schemas.microsoft.com/sharepoint/v3/contenttype/forms"/>
  </ds:schemaRefs>
</ds:datastoreItem>
</file>

<file path=customXml/itemProps4.xml><?xml version="1.0" encoding="utf-8"?>
<ds:datastoreItem xmlns:ds="http://schemas.openxmlformats.org/officeDocument/2006/customXml" ds:itemID="{04FACFCB-BBB5-4AC2-9D79-9509D33E2F2F}">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184c05c4-c568-455d-94a4-7e009b164348"/>
    <ds:schemaRef ds:uri="d0b61010-d6f3-4072-b934-7bbb13e97771"/>
    <ds:schemaRef ds:uri="725c79e5-42ce-4aa0-ac78-b6418001f0d2"/>
    <ds:schemaRef ds:uri="a92161ee-a867-43fa-afc4-ef021add4eae"/>
    <ds:schemaRef ds:uri="77fc9259-9bdd-4436-bdca-cbe80b037127"/>
  </ds:schemaRefs>
</ds:datastoreItem>
</file>

<file path=customXml/itemProps5.xml><?xml version="1.0" encoding="utf-8"?>
<ds:datastoreItem xmlns:ds="http://schemas.openxmlformats.org/officeDocument/2006/customXml" ds:itemID="{5FE3C0DF-83C3-42EC-A4CF-A18FB7C79E6F}">
  <ds:schemaRefs>
    <ds:schemaRef ds:uri="http://schemas.openxmlformats.org/officeDocument/2006/bibliography"/>
  </ds:schemaRefs>
</ds:datastoreItem>
</file>

<file path=docMetadata/LabelInfo.xml><?xml version="1.0" encoding="utf-8"?>
<clbl:labelList xmlns:clbl="http://schemas.microsoft.com/office/2020/mipLabelMetadata">
  <clbl:label id="{a8816c53-b0d3-4c1a-a10e-aa4784cf6e23}" enabled="1" method="Privileged" siteId="{fdade0c4-3fea-4320-ae53-1a1742aeff1e}" contentBits="0" removed="0"/>
</clbl:labelList>
</file>

<file path=docProps/app.xml><?xml version="1.0" encoding="utf-8"?>
<Properties xmlns="http://schemas.openxmlformats.org/officeDocument/2006/extended-properties" xmlns:vt="http://schemas.openxmlformats.org/officeDocument/2006/docPropsVTypes">
  <Template>Normal.dotm</Template>
  <TotalTime>10168</TotalTime>
  <Pages>1</Pages>
  <Words>76070</Words>
  <Characters>433602</Characters>
  <Application>Microsoft Office Word</Application>
  <DocSecurity>4</DocSecurity>
  <Lines>3613</Lines>
  <Paragraphs>1017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508655</CharactersWithSpaces>
  <SharedDoc>false</SharedDoc>
  <HyperlinkBase/>
  <HLinks>
    <vt:vector size="1350" baseType="variant">
      <vt:variant>
        <vt:i4>2752627</vt:i4>
      </vt:variant>
      <vt:variant>
        <vt:i4>1491</vt:i4>
      </vt:variant>
      <vt:variant>
        <vt:i4>0</vt:i4>
      </vt:variant>
      <vt:variant>
        <vt:i4>5</vt:i4>
      </vt:variant>
      <vt:variant>
        <vt:lpwstr>https://doi.org/10.1111/sltb.12225</vt:lpwstr>
      </vt:variant>
      <vt:variant>
        <vt:lpwstr/>
      </vt:variant>
      <vt:variant>
        <vt:i4>4259931</vt:i4>
      </vt:variant>
      <vt:variant>
        <vt:i4>1488</vt:i4>
      </vt:variant>
      <vt:variant>
        <vt:i4>0</vt:i4>
      </vt:variant>
      <vt:variant>
        <vt:i4>5</vt:i4>
      </vt:variant>
      <vt:variant>
        <vt:lpwstr>https://www.health.govt.nz/statistics-research/statistics-and-data-sets/problem-gambling/gambling-harm-services-data</vt:lpwstr>
      </vt:variant>
      <vt:variant>
        <vt:lpwstr/>
      </vt:variant>
      <vt:variant>
        <vt:i4>3801207</vt:i4>
      </vt:variant>
      <vt:variant>
        <vt:i4>1485</vt:i4>
      </vt:variant>
      <vt:variant>
        <vt:i4>0</vt:i4>
      </vt:variant>
      <vt:variant>
        <vt:i4>5</vt:i4>
      </vt:variant>
      <vt:variant>
        <vt:lpwstr>https://doi.org/10.1556/2006.2022.00045</vt:lpwstr>
      </vt:variant>
      <vt:variant>
        <vt:lpwstr/>
      </vt:variant>
      <vt:variant>
        <vt:i4>720975</vt:i4>
      </vt:variant>
      <vt:variant>
        <vt:i4>1482</vt:i4>
      </vt:variant>
      <vt:variant>
        <vt:i4>0</vt:i4>
      </vt:variant>
      <vt:variant>
        <vt:i4>5</vt:i4>
      </vt:variant>
      <vt:variant>
        <vt:lpwstr>https://responsiblewagering.com.au/wp- content/uploads/2023/05/H2-Australia-Offshore-Wagering-Market-Analysis-2023-Report.pdf</vt:lpwstr>
      </vt:variant>
      <vt:variant>
        <vt:lpwstr/>
      </vt:variant>
      <vt:variant>
        <vt:i4>6684715</vt:i4>
      </vt:variant>
      <vt:variant>
        <vt:i4>1479</vt:i4>
      </vt:variant>
      <vt:variant>
        <vt:i4>0</vt:i4>
      </vt:variant>
      <vt:variant>
        <vt:i4>5</vt:i4>
      </vt:variant>
      <vt:variant>
        <vt:lpwstr>https://www.dia.govt.nz/gambling-statistics-expenditure</vt:lpwstr>
      </vt:variant>
      <vt:variant>
        <vt:lpwstr/>
      </vt:variant>
      <vt:variant>
        <vt:i4>6946934</vt:i4>
      </vt:variant>
      <vt:variant>
        <vt:i4>1476</vt:i4>
      </vt:variant>
      <vt:variant>
        <vt:i4>0</vt:i4>
      </vt:variant>
      <vt:variant>
        <vt:i4>5</vt:i4>
      </vt:variant>
      <vt:variant>
        <vt:lpwstr>https://www.dia.govt.nz/diawebsite.nsf/Files/Annual-Report-2022-23/$file/Annual-Report-2022-23.pdf</vt:lpwstr>
      </vt:variant>
      <vt:variant>
        <vt:lpwstr/>
      </vt:variant>
      <vt:variant>
        <vt:i4>6815864</vt:i4>
      </vt:variant>
      <vt:variant>
        <vt:i4>1473</vt:i4>
      </vt:variant>
      <vt:variant>
        <vt:i4>0</vt:i4>
      </vt:variant>
      <vt:variant>
        <vt:i4>5</vt:i4>
      </vt:variant>
      <vt:variant>
        <vt:lpwstr>https://www.corrections.govt.nz/__data/assets/pdf_file/0007/50578/Annual_Report_2023_v20.pdf</vt:lpwstr>
      </vt:variant>
      <vt:variant>
        <vt:lpwstr/>
      </vt:variant>
      <vt:variant>
        <vt:i4>589852</vt:i4>
      </vt:variant>
      <vt:variant>
        <vt:i4>1470</vt:i4>
      </vt:variant>
      <vt:variant>
        <vt:i4>0</vt:i4>
      </vt:variant>
      <vt:variant>
        <vt:i4>5</vt:i4>
      </vt:variant>
      <vt:variant>
        <vt:lpwstr>https://doi.org/10.1007/s11469-012-9400-7</vt:lpwstr>
      </vt:variant>
      <vt:variant>
        <vt:lpwstr/>
      </vt:variant>
      <vt:variant>
        <vt:i4>4128817</vt:i4>
      </vt:variant>
      <vt:variant>
        <vt:i4>1425</vt:i4>
      </vt:variant>
      <vt:variant>
        <vt:i4>0</vt:i4>
      </vt:variant>
      <vt:variant>
        <vt:i4>5</vt:i4>
      </vt:variant>
      <vt:variant>
        <vt:lpwstr>https://github.com/esther-moore/Evaluation-NZ-gambling-policies</vt:lpwstr>
      </vt:variant>
      <vt:variant>
        <vt:lpwstr/>
      </vt:variant>
      <vt:variant>
        <vt:i4>4587644</vt:i4>
      </vt:variant>
      <vt:variant>
        <vt:i4>1341</vt:i4>
      </vt:variant>
      <vt:variant>
        <vt:i4>0</vt:i4>
      </vt:variant>
      <vt:variant>
        <vt:i4>5</vt:i4>
      </vt:variant>
      <vt:variant>
        <vt:lpwstr/>
      </vt:variant>
      <vt:variant>
        <vt:lpwstr>_Impact_attributable_to</vt:lpwstr>
      </vt:variant>
      <vt:variant>
        <vt:i4>1572924</vt:i4>
      </vt:variant>
      <vt:variant>
        <vt:i4>1292</vt:i4>
      </vt:variant>
      <vt:variant>
        <vt:i4>0</vt:i4>
      </vt:variant>
      <vt:variant>
        <vt:i4>5</vt:i4>
      </vt:variant>
      <vt:variant>
        <vt:lpwstr/>
      </vt:variant>
      <vt:variant>
        <vt:lpwstr>_Toc207196082</vt:lpwstr>
      </vt:variant>
      <vt:variant>
        <vt:i4>1572924</vt:i4>
      </vt:variant>
      <vt:variant>
        <vt:i4>1286</vt:i4>
      </vt:variant>
      <vt:variant>
        <vt:i4>0</vt:i4>
      </vt:variant>
      <vt:variant>
        <vt:i4>5</vt:i4>
      </vt:variant>
      <vt:variant>
        <vt:lpwstr/>
      </vt:variant>
      <vt:variant>
        <vt:lpwstr>_Toc207196081</vt:lpwstr>
      </vt:variant>
      <vt:variant>
        <vt:i4>1572924</vt:i4>
      </vt:variant>
      <vt:variant>
        <vt:i4>1280</vt:i4>
      </vt:variant>
      <vt:variant>
        <vt:i4>0</vt:i4>
      </vt:variant>
      <vt:variant>
        <vt:i4>5</vt:i4>
      </vt:variant>
      <vt:variant>
        <vt:lpwstr/>
      </vt:variant>
      <vt:variant>
        <vt:lpwstr>_Toc207196080</vt:lpwstr>
      </vt:variant>
      <vt:variant>
        <vt:i4>1507388</vt:i4>
      </vt:variant>
      <vt:variant>
        <vt:i4>1274</vt:i4>
      </vt:variant>
      <vt:variant>
        <vt:i4>0</vt:i4>
      </vt:variant>
      <vt:variant>
        <vt:i4>5</vt:i4>
      </vt:variant>
      <vt:variant>
        <vt:lpwstr/>
      </vt:variant>
      <vt:variant>
        <vt:lpwstr>_Toc207196079</vt:lpwstr>
      </vt:variant>
      <vt:variant>
        <vt:i4>1507388</vt:i4>
      </vt:variant>
      <vt:variant>
        <vt:i4>1268</vt:i4>
      </vt:variant>
      <vt:variant>
        <vt:i4>0</vt:i4>
      </vt:variant>
      <vt:variant>
        <vt:i4>5</vt:i4>
      </vt:variant>
      <vt:variant>
        <vt:lpwstr/>
      </vt:variant>
      <vt:variant>
        <vt:lpwstr>_Toc207196078</vt:lpwstr>
      </vt:variant>
      <vt:variant>
        <vt:i4>1507388</vt:i4>
      </vt:variant>
      <vt:variant>
        <vt:i4>1262</vt:i4>
      </vt:variant>
      <vt:variant>
        <vt:i4>0</vt:i4>
      </vt:variant>
      <vt:variant>
        <vt:i4>5</vt:i4>
      </vt:variant>
      <vt:variant>
        <vt:lpwstr/>
      </vt:variant>
      <vt:variant>
        <vt:lpwstr>_Toc207196077</vt:lpwstr>
      </vt:variant>
      <vt:variant>
        <vt:i4>1507388</vt:i4>
      </vt:variant>
      <vt:variant>
        <vt:i4>1256</vt:i4>
      </vt:variant>
      <vt:variant>
        <vt:i4>0</vt:i4>
      </vt:variant>
      <vt:variant>
        <vt:i4>5</vt:i4>
      </vt:variant>
      <vt:variant>
        <vt:lpwstr/>
      </vt:variant>
      <vt:variant>
        <vt:lpwstr>_Toc207196076</vt:lpwstr>
      </vt:variant>
      <vt:variant>
        <vt:i4>1507388</vt:i4>
      </vt:variant>
      <vt:variant>
        <vt:i4>1250</vt:i4>
      </vt:variant>
      <vt:variant>
        <vt:i4>0</vt:i4>
      </vt:variant>
      <vt:variant>
        <vt:i4>5</vt:i4>
      </vt:variant>
      <vt:variant>
        <vt:lpwstr/>
      </vt:variant>
      <vt:variant>
        <vt:lpwstr>_Toc207196075</vt:lpwstr>
      </vt:variant>
      <vt:variant>
        <vt:i4>1507388</vt:i4>
      </vt:variant>
      <vt:variant>
        <vt:i4>1244</vt:i4>
      </vt:variant>
      <vt:variant>
        <vt:i4>0</vt:i4>
      </vt:variant>
      <vt:variant>
        <vt:i4>5</vt:i4>
      </vt:variant>
      <vt:variant>
        <vt:lpwstr/>
      </vt:variant>
      <vt:variant>
        <vt:lpwstr>_Toc207196074</vt:lpwstr>
      </vt:variant>
      <vt:variant>
        <vt:i4>1048628</vt:i4>
      </vt:variant>
      <vt:variant>
        <vt:i4>1235</vt:i4>
      </vt:variant>
      <vt:variant>
        <vt:i4>0</vt:i4>
      </vt:variant>
      <vt:variant>
        <vt:i4>5</vt:i4>
      </vt:variant>
      <vt:variant>
        <vt:lpwstr/>
      </vt:variant>
      <vt:variant>
        <vt:lpwstr>_Toc207619088</vt:lpwstr>
      </vt:variant>
      <vt:variant>
        <vt:i4>1048628</vt:i4>
      </vt:variant>
      <vt:variant>
        <vt:i4>1229</vt:i4>
      </vt:variant>
      <vt:variant>
        <vt:i4>0</vt:i4>
      </vt:variant>
      <vt:variant>
        <vt:i4>5</vt:i4>
      </vt:variant>
      <vt:variant>
        <vt:lpwstr/>
      </vt:variant>
      <vt:variant>
        <vt:lpwstr>_Toc207619087</vt:lpwstr>
      </vt:variant>
      <vt:variant>
        <vt:i4>1048628</vt:i4>
      </vt:variant>
      <vt:variant>
        <vt:i4>1223</vt:i4>
      </vt:variant>
      <vt:variant>
        <vt:i4>0</vt:i4>
      </vt:variant>
      <vt:variant>
        <vt:i4>5</vt:i4>
      </vt:variant>
      <vt:variant>
        <vt:lpwstr/>
      </vt:variant>
      <vt:variant>
        <vt:lpwstr>_Toc207619086</vt:lpwstr>
      </vt:variant>
      <vt:variant>
        <vt:i4>1048628</vt:i4>
      </vt:variant>
      <vt:variant>
        <vt:i4>1217</vt:i4>
      </vt:variant>
      <vt:variant>
        <vt:i4>0</vt:i4>
      </vt:variant>
      <vt:variant>
        <vt:i4>5</vt:i4>
      </vt:variant>
      <vt:variant>
        <vt:lpwstr/>
      </vt:variant>
      <vt:variant>
        <vt:lpwstr>_Toc207619085</vt:lpwstr>
      </vt:variant>
      <vt:variant>
        <vt:i4>1048628</vt:i4>
      </vt:variant>
      <vt:variant>
        <vt:i4>1211</vt:i4>
      </vt:variant>
      <vt:variant>
        <vt:i4>0</vt:i4>
      </vt:variant>
      <vt:variant>
        <vt:i4>5</vt:i4>
      </vt:variant>
      <vt:variant>
        <vt:lpwstr/>
      </vt:variant>
      <vt:variant>
        <vt:lpwstr>_Toc207619084</vt:lpwstr>
      </vt:variant>
      <vt:variant>
        <vt:i4>1048628</vt:i4>
      </vt:variant>
      <vt:variant>
        <vt:i4>1205</vt:i4>
      </vt:variant>
      <vt:variant>
        <vt:i4>0</vt:i4>
      </vt:variant>
      <vt:variant>
        <vt:i4>5</vt:i4>
      </vt:variant>
      <vt:variant>
        <vt:lpwstr/>
      </vt:variant>
      <vt:variant>
        <vt:lpwstr>_Toc207619083</vt:lpwstr>
      </vt:variant>
      <vt:variant>
        <vt:i4>1048628</vt:i4>
      </vt:variant>
      <vt:variant>
        <vt:i4>1199</vt:i4>
      </vt:variant>
      <vt:variant>
        <vt:i4>0</vt:i4>
      </vt:variant>
      <vt:variant>
        <vt:i4>5</vt:i4>
      </vt:variant>
      <vt:variant>
        <vt:lpwstr/>
      </vt:variant>
      <vt:variant>
        <vt:lpwstr>_Toc207619082</vt:lpwstr>
      </vt:variant>
      <vt:variant>
        <vt:i4>1048628</vt:i4>
      </vt:variant>
      <vt:variant>
        <vt:i4>1193</vt:i4>
      </vt:variant>
      <vt:variant>
        <vt:i4>0</vt:i4>
      </vt:variant>
      <vt:variant>
        <vt:i4>5</vt:i4>
      </vt:variant>
      <vt:variant>
        <vt:lpwstr/>
      </vt:variant>
      <vt:variant>
        <vt:lpwstr>_Toc207619081</vt:lpwstr>
      </vt:variant>
      <vt:variant>
        <vt:i4>1048628</vt:i4>
      </vt:variant>
      <vt:variant>
        <vt:i4>1187</vt:i4>
      </vt:variant>
      <vt:variant>
        <vt:i4>0</vt:i4>
      </vt:variant>
      <vt:variant>
        <vt:i4>5</vt:i4>
      </vt:variant>
      <vt:variant>
        <vt:lpwstr/>
      </vt:variant>
      <vt:variant>
        <vt:lpwstr>_Toc207619080</vt:lpwstr>
      </vt:variant>
      <vt:variant>
        <vt:i4>2031668</vt:i4>
      </vt:variant>
      <vt:variant>
        <vt:i4>1181</vt:i4>
      </vt:variant>
      <vt:variant>
        <vt:i4>0</vt:i4>
      </vt:variant>
      <vt:variant>
        <vt:i4>5</vt:i4>
      </vt:variant>
      <vt:variant>
        <vt:lpwstr/>
      </vt:variant>
      <vt:variant>
        <vt:lpwstr>_Toc207619079</vt:lpwstr>
      </vt:variant>
      <vt:variant>
        <vt:i4>2031668</vt:i4>
      </vt:variant>
      <vt:variant>
        <vt:i4>1175</vt:i4>
      </vt:variant>
      <vt:variant>
        <vt:i4>0</vt:i4>
      </vt:variant>
      <vt:variant>
        <vt:i4>5</vt:i4>
      </vt:variant>
      <vt:variant>
        <vt:lpwstr/>
      </vt:variant>
      <vt:variant>
        <vt:lpwstr>_Toc207619078</vt:lpwstr>
      </vt:variant>
      <vt:variant>
        <vt:i4>2031668</vt:i4>
      </vt:variant>
      <vt:variant>
        <vt:i4>1169</vt:i4>
      </vt:variant>
      <vt:variant>
        <vt:i4>0</vt:i4>
      </vt:variant>
      <vt:variant>
        <vt:i4>5</vt:i4>
      </vt:variant>
      <vt:variant>
        <vt:lpwstr/>
      </vt:variant>
      <vt:variant>
        <vt:lpwstr>_Toc207619077</vt:lpwstr>
      </vt:variant>
      <vt:variant>
        <vt:i4>2031668</vt:i4>
      </vt:variant>
      <vt:variant>
        <vt:i4>1163</vt:i4>
      </vt:variant>
      <vt:variant>
        <vt:i4>0</vt:i4>
      </vt:variant>
      <vt:variant>
        <vt:i4>5</vt:i4>
      </vt:variant>
      <vt:variant>
        <vt:lpwstr/>
      </vt:variant>
      <vt:variant>
        <vt:lpwstr>_Toc207619076</vt:lpwstr>
      </vt:variant>
      <vt:variant>
        <vt:i4>2031668</vt:i4>
      </vt:variant>
      <vt:variant>
        <vt:i4>1157</vt:i4>
      </vt:variant>
      <vt:variant>
        <vt:i4>0</vt:i4>
      </vt:variant>
      <vt:variant>
        <vt:i4>5</vt:i4>
      </vt:variant>
      <vt:variant>
        <vt:lpwstr/>
      </vt:variant>
      <vt:variant>
        <vt:lpwstr>_Toc207619075</vt:lpwstr>
      </vt:variant>
      <vt:variant>
        <vt:i4>2031668</vt:i4>
      </vt:variant>
      <vt:variant>
        <vt:i4>1151</vt:i4>
      </vt:variant>
      <vt:variant>
        <vt:i4>0</vt:i4>
      </vt:variant>
      <vt:variant>
        <vt:i4>5</vt:i4>
      </vt:variant>
      <vt:variant>
        <vt:lpwstr/>
      </vt:variant>
      <vt:variant>
        <vt:lpwstr>_Toc207619074</vt:lpwstr>
      </vt:variant>
      <vt:variant>
        <vt:i4>2031668</vt:i4>
      </vt:variant>
      <vt:variant>
        <vt:i4>1145</vt:i4>
      </vt:variant>
      <vt:variant>
        <vt:i4>0</vt:i4>
      </vt:variant>
      <vt:variant>
        <vt:i4>5</vt:i4>
      </vt:variant>
      <vt:variant>
        <vt:lpwstr/>
      </vt:variant>
      <vt:variant>
        <vt:lpwstr>_Toc207619073</vt:lpwstr>
      </vt:variant>
      <vt:variant>
        <vt:i4>2031668</vt:i4>
      </vt:variant>
      <vt:variant>
        <vt:i4>1139</vt:i4>
      </vt:variant>
      <vt:variant>
        <vt:i4>0</vt:i4>
      </vt:variant>
      <vt:variant>
        <vt:i4>5</vt:i4>
      </vt:variant>
      <vt:variant>
        <vt:lpwstr/>
      </vt:variant>
      <vt:variant>
        <vt:lpwstr>_Toc207619072</vt:lpwstr>
      </vt:variant>
      <vt:variant>
        <vt:i4>2031668</vt:i4>
      </vt:variant>
      <vt:variant>
        <vt:i4>1133</vt:i4>
      </vt:variant>
      <vt:variant>
        <vt:i4>0</vt:i4>
      </vt:variant>
      <vt:variant>
        <vt:i4>5</vt:i4>
      </vt:variant>
      <vt:variant>
        <vt:lpwstr/>
      </vt:variant>
      <vt:variant>
        <vt:lpwstr>_Toc207619071</vt:lpwstr>
      </vt:variant>
      <vt:variant>
        <vt:i4>2031668</vt:i4>
      </vt:variant>
      <vt:variant>
        <vt:i4>1127</vt:i4>
      </vt:variant>
      <vt:variant>
        <vt:i4>0</vt:i4>
      </vt:variant>
      <vt:variant>
        <vt:i4>5</vt:i4>
      </vt:variant>
      <vt:variant>
        <vt:lpwstr/>
      </vt:variant>
      <vt:variant>
        <vt:lpwstr>_Toc207619070</vt:lpwstr>
      </vt:variant>
      <vt:variant>
        <vt:i4>1966132</vt:i4>
      </vt:variant>
      <vt:variant>
        <vt:i4>1121</vt:i4>
      </vt:variant>
      <vt:variant>
        <vt:i4>0</vt:i4>
      </vt:variant>
      <vt:variant>
        <vt:i4>5</vt:i4>
      </vt:variant>
      <vt:variant>
        <vt:lpwstr/>
      </vt:variant>
      <vt:variant>
        <vt:lpwstr>_Toc207619069</vt:lpwstr>
      </vt:variant>
      <vt:variant>
        <vt:i4>1966132</vt:i4>
      </vt:variant>
      <vt:variant>
        <vt:i4>1115</vt:i4>
      </vt:variant>
      <vt:variant>
        <vt:i4>0</vt:i4>
      </vt:variant>
      <vt:variant>
        <vt:i4>5</vt:i4>
      </vt:variant>
      <vt:variant>
        <vt:lpwstr/>
      </vt:variant>
      <vt:variant>
        <vt:lpwstr>_Toc207619068</vt:lpwstr>
      </vt:variant>
      <vt:variant>
        <vt:i4>1966132</vt:i4>
      </vt:variant>
      <vt:variant>
        <vt:i4>1109</vt:i4>
      </vt:variant>
      <vt:variant>
        <vt:i4>0</vt:i4>
      </vt:variant>
      <vt:variant>
        <vt:i4>5</vt:i4>
      </vt:variant>
      <vt:variant>
        <vt:lpwstr/>
      </vt:variant>
      <vt:variant>
        <vt:lpwstr>_Toc207619067</vt:lpwstr>
      </vt:variant>
      <vt:variant>
        <vt:i4>1966132</vt:i4>
      </vt:variant>
      <vt:variant>
        <vt:i4>1103</vt:i4>
      </vt:variant>
      <vt:variant>
        <vt:i4>0</vt:i4>
      </vt:variant>
      <vt:variant>
        <vt:i4>5</vt:i4>
      </vt:variant>
      <vt:variant>
        <vt:lpwstr/>
      </vt:variant>
      <vt:variant>
        <vt:lpwstr>_Toc207619066</vt:lpwstr>
      </vt:variant>
      <vt:variant>
        <vt:i4>1966132</vt:i4>
      </vt:variant>
      <vt:variant>
        <vt:i4>1097</vt:i4>
      </vt:variant>
      <vt:variant>
        <vt:i4>0</vt:i4>
      </vt:variant>
      <vt:variant>
        <vt:i4>5</vt:i4>
      </vt:variant>
      <vt:variant>
        <vt:lpwstr/>
      </vt:variant>
      <vt:variant>
        <vt:lpwstr>_Toc207619065</vt:lpwstr>
      </vt:variant>
      <vt:variant>
        <vt:i4>1966132</vt:i4>
      </vt:variant>
      <vt:variant>
        <vt:i4>1091</vt:i4>
      </vt:variant>
      <vt:variant>
        <vt:i4>0</vt:i4>
      </vt:variant>
      <vt:variant>
        <vt:i4>5</vt:i4>
      </vt:variant>
      <vt:variant>
        <vt:lpwstr/>
      </vt:variant>
      <vt:variant>
        <vt:lpwstr>_Toc207619064</vt:lpwstr>
      </vt:variant>
      <vt:variant>
        <vt:i4>1966132</vt:i4>
      </vt:variant>
      <vt:variant>
        <vt:i4>1085</vt:i4>
      </vt:variant>
      <vt:variant>
        <vt:i4>0</vt:i4>
      </vt:variant>
      <vt:variant>
        <vt:i4>5</vt:i4>
      </vt:variant>
      <vt:variant>
        <vt:lpwstr/>
      </vt:variant>
      <vt:variant>
        <vt:lpwstr>_Toc207619063</vt:lpwstr>
      </vt:variant>
      <vt:variant>
        <vt:i4>1966132</vt:i4>
      </vt:variant>
      <vt:variant>
        <vt:i4>1079</vt:i4>
      </vt:variant>
      <vt:variant>
        <vt:i4>0</vt:i4>
      </vt:variant>
      <vt:variant>
        <vt:i4>5</vt:i4>
      </vt:variant>
      <vt:variant>
        <vt:lpwstr/>
      </vt:variant>
      <vt:variant>
        <vt:lpwstr>_Toc207619062</vt:lpwstr>
      </vt:variant>
      <vt:variant>
        <vt:i4>1966132</vt:i4>
      </vt:variant>
      <vt:variant>
        <vt:i4>1073</vt:i4>
      </vt:variant>
      <vt:variant>
        <vt:i4>0</vt:i4>
      </vt:variant>
      <vt:variant>
        <vt:i4>5</vt:i4>
      </vt:variant>
      <vt:variant>
        <vt:lpwstr/>
      </vt:variant>
      <vt:variant>
        <vt:lpwstr>_Toc207619061</vt:lpwstr>
      </vt:variant>
      <vt:variant>
        <vt:i4>1966132</vt:i4>
      </vt:variant>
      <vt:variant>
        <vt:i4>1067</vt:i4>
      </vt:variant>
      <vt:variant>
        <vt:i4>0</vt:i4>
      </vt:variant>
      <vt:variant>
        <vt:i4>5</vt:i4>
      </vt:variant>
      <vt:variant>
        <vt:lpwstr/>
      </vt:variant>
      <vt:variant>
        <vt:lpwstr>_Toc207619060</vt:lpwstr>
      </vt:variant>
      <vt:variant>
        <vt:i4>1900596</vt:i4>
      </vt:variant>
      <vt:variant>
        <vt:i4>1061</vt:i4>
      </vt:variant>
      <vt:variant>
        <vt:i4>0</vt:i4>
      </vt:variant>
      <vt:variant>
        <vt:i4>5</vt:i4>
      </vt:variant>
      <vt:variant>
        <vt:lpwstr/>
      </vt:variant>
      <vt:variant>
        <vt:lpwstr>_Toc207619059</vt:lpwstr>
      </vt:variant>
      <vt:variant>
        <vt:i4>1900596</vt:i4>
      </vt:variant>
      <vt:variant>
        <vt:i4>1055</vt:i4>
      </vt:variant>
      <vt:variant>
        <vt:i4>0</vt:i4>
      </vt:variant>
      <vt:variant>
        <vt:i4>5</vt:i4>
      </vt:variant>
      <vt:variant>
        <vt:lpwstr/>
      </vt:variant>
      <vt:variant>
        <vt:lpwstr>_Toc207619058</vt:lpwstr>
      </vt:variant>
      <vt:variant>
        <vt:i4>1900596</vt:i4>
      </vt:variant>
      <vt:variant>
        <vt:i4>1049</vt:i4>
      </vt:variant>
      <vt:variant>
        <vt:i4>0</vt:i4>
      </vt:variant>
      <vt:variant>
        <vt:i4>5</vt:i4>
      </vt:variant>
      <vt:variant>
        <vt:lpwstr/>
      </vt:variant>
      <vt:variant>
        <vt:lpwstr>_Toc207619057</vt:lpwstr>
      </vt:variant>
      <vt:variant>
        <vt:i4>1900596</vt:i4>
      </vt:variant>
      <vt:variant>
        <vt:i4>1043</vt:i4>
      </vt:variant>
      <vt:variant>
        <vt:i4>0</vt:i4>
      </vt:variant>
      <vt:variant>
        <vt:i4>5</vt:i4>
      </vt:variant>
      <vt:variant>
        <vt:lpwstr/>
      </vt:variant>
      <vt:variant>
        <vt:lpwstr>_Toc207619056</vt:lpwstr>
      </vt:variant>
      <vt:variant>
        <vt:i4>1900596</vt:i4>
      </vt:variant>
      <vt:variant>
        <vt:i4>1037</vt:i4>
      </vt:variant>
      <vt:variant>
        <vt:i4>0</vt:i4>
      </vt:variant>
      <vt:variant>
        <vt:i4>5</vt:i4>
      </vt:variant>
      <vt:variant>
        <vt:lpwstr/>
      </vt:variant>
      <vt:variant>
        <vt:lpwstr>_Toc207619055</vt:lpwstr>
      </vt:variant>
      <vt:variant>
        <vt:i4>1900596</vt:i4>
      </vt:variant>
      <vt:variant>
        <vt:i4>1031</vt:i4>
      </vt:variant>
      <vt:variant>
        <vt:i4>0</vt:i4>
      </vt:variant>
      <vt:variant>
        <vt:i4>5</vt:i4>
      </vt:variant>
      <vt:variant>
        <vt:lpwstr/>
      </vt:variant>
      <vt:variant>
        <vt:lpwstr>_Toc207619054</vt:lpwstr>
      </vt:variant>
      <vt:variant>
        <vt:i4>1900596</vt:i4>
      </vt:variant>
      <vt:variant>
        <vt:i4>1025</vt:i4>
      </vt:variant>
      <vt:variant>
        <vt:i4>0</vt:i4>
      </vt:variant>
      <vt:variant>
        <vt:i4>5</vt:i4>
      </vt:variant>
      <vt:variant>
        <vt:lpwstr/>
      </vt:variant>
      <vt:variant>
        <vt:lpwstr>_Toc207619053</vt:lpwstr>
      </vt:variant>
      <vt:variant>
        <vt:i4>1900596</vt:i4>
      </vt:variant>
      <vt:variant>
        <vt:i4>1019</vt:i4>
      </vt:variant>
      <vt:variant>
        <vt:i4>0</vt:i4>
      </vt:variant>
      <vt:variant>
        <vt:i4>5</vt:i4>
      </vt:variant>
      <vt:variant>
        <vt:lpwstr/>
      </vt:variant>
      <vt:variant>
        <vt:lpwstr>_Toc207619052</vt:lpwstr>
      </vt:variant>
      <vt:variant>
        <vt:i4>1900596</vt:i4>
      </vt:variant>
      <vt:variant>
        <vt:i4>1013</vt:i4>
      </vt:variant>
      <vt:variant>
        <vt:i4>0</vt:i4>
      </vt:variant>
      <vt:variant>
        <vt:i4>5</vt:i4>
      </vt:variant>
      <vt:variant>
        <vt:lpwstr/>
      </vt:variant>
      <vt:variant>
        <vt:lpwstr>_Toc207619051</vt:lpwstr>
      </vt:variant>
      <vt:variant>
        <vt:i4>1900596</vt:i4>
      </vt:variant>
      <vt:variant>
        <vt:i4>1007</vt:i4>
      </vt:variant>
      <vt:variant>
        <vt:i4>0</vt:i4>
      </vt:variant>
      <vt:variant>
        <vt:i4>5</vt:i4>
      </vt:variant>
      <vt:variant>
        <vt:lpwstr/>
      </vt:variant>
      <vt:variant>
        <vt:lpwstr>_Toc207619050</vt:lpwstr>
      </vt:variant>
      <vt:variant>
        <vt:i4>1835060</vt:i4>
      </vt:variant>
      <vt:variant>
        <vt:i4>1001</vt:i4>
      </vt:variant>
      <vt:variant>
        <vt:i4>0</vt:i4>
      </vt:variant>
      <vt:variant>
        <vt:i4>5</vt:i4>
      </vt:variant>
      <vt:variant>
        <vt:lpwstr/>
      </vt:variant>
      <vt:variant>
        <vt:lpwstr>_Toc207619049</vt:lpwstr>
      </vt:variant>
      <vt:variant>
        <vt:i4>1835060</vt:i4>
      </vt:variant>
      <vt:variant>
        <vt:i4>995</vt:i4>
      </vt:variant>
      <vt:variant>
        <vt:i4>0</vt:i4>
      </vt:variant>
      <vt:variant>
        <vt:i4>5</vt:i4>
      </vt:variant>
      <vt:variant>
        <vt:lpwstr/>
      </vt:variant>
      <vt:variant>
        <vt:lpwstr>_Toc207619048</vt:lpwstr>
      </vt:variant>
      <vt:variant>
        <vt:i4>1835060</vt:i4>
      </vt:variant>
      <vt:variant>
        <vt:i4>989</vt:i4>
      </vt:variant>
      <vt:variant>
        <vt:i4>0</vt:i4>
      </vt:variant>
      <vt:variant>
        <vt:i4>5</vt:i4>
      </vt:variant>
      <vt:variant>
        <vt:lpwstr/>
      </vt:variant>
      <vt:variant>
        <vt:lpwstr>_Toc207619047</vt:lpwstr>
      </vt:variant>
      <vt:variant>
        <vt:i4>1835060</vt:i4>
      </vt:variant>
      <vt:variant>
        <vt:i4>983</vt:i4>
      </vt:variant>
      <vt:variant>
        <vt:i4>0</vt:i4>
      </vt:variant>
      <vt:variant>
        <vt:i4>5</vt:i4>
      </vt:variant>
      <vt:variant>
        <vt:lpwstr/>
      </vt:variant>
      <vt:variant>
        <vt:lpwstr>_Toc207619046</vt:lpwstr>
      </vt:variant>
      <vt:variant>
        <vt:i4>1835060</vt:i4>
      </vt:variant>
      <vt:variant>
        <vt:i4>977</vt:i4>
      </vt:variant>
      <vt:variant>
        <vt:i4>0</vt:i4>
      </vt:variant>
      <vt:variant>
        <vt:i4>5</vt:i4>
      </vt:variant>
      <vt:variant>
        <vt:lpwstr/>
      </vt:variant>
      <vt:variant>
        <vt:lpwstr>_Toc207619045</vt:lpwstr>
      </vt:variant>
      <vt:variant>
        <vt:i4>1835060</vt:i4>
      </vt:variant>
      <vt:variant>
        <vt:i4>971</vt:i4>
      </vt:variant>
      <vt:variant>
        <vt:i4>0</vt:i4>
      </vt:variant>
      <vt:variant>
        <vt:i4>5</vt:i4>
      </vt:variant>
      <vt:variant>
        <vt:lpwstr/>
      </vt:variant>
      <vt:variant>
        <vt:lpwstr>_Toc207619044</vt:lpwstr>
      </vt:variant>
      <vt:variant>
        <vt:i4>1835060</vt:i4>
      </vt:variant>
      <vt:variant>
        <vt:i4>965</vt:i4>
      </vt:variant>
      <vt:variant>
        <vt:i4>0</vt:i4>
      </vt:variant>
      <vt:variant>
        <vt:i4>5</vt:i4>
      </vt:variant>
      <vt:variant>
        <vt:lpwstr/>
      </vt:variant>
      <vt:variant>
        <vt:lpwstr>_Toc207619043</vt:lpwstr>
      </vt:variant>
      <vt:variant>
        <vt:i4>1179708</vt:i4>
      </vt:variant>
      <vt:variant>
        <vt:i4>956</vt:i4>
      </vt:variant>
      <vt:variant>
        <vt:i4>0</vt:i4>
      </vt:variant>
      <vt:variant>
        <vt:i4>5</vt:i4>
      </vt:variant>
      <vt:variant>
        <vt:lpwstr/>
      </vt:variant>
      <vt:variant>
        <vt:lpwstr>_Toc207196025</vt:lpwstr>
      </vt:variant>
      <vt:variant>
        <vt:i4>1179708</vt:i4>
      </vt:variant>
      <vt:variant>
        <vt:i4>950</vt:i4>
      </vt:variant>
      <vt:variant>
        <vt:i4>0</vt:i4>
      </vt:variant>
      <vt:variant>
        <vt:i4>5</vt:i4>
      </vt:variant>
      <vt:variant>
        <vt:lpwstr/>
      </vt:variant>
      <vt:variant>
        <vt:lpwstr>_Toc207196024</vt:lpwstr>
      </vt:variant>
      <vt:variant>
        <vt:i4>1179708</vt:i4>
      </vt:variant>
      <vt:variant>
        <vt:i4>944</vt:i4>
      </vt:variant>
      <vt:variant>
        <vt:i4>0</vt:i4>
      </vt:variant>
      <vt:variant>
        <vt:i4>5</vt:i4>
      </vt:variant>
      <vt:variant>
        <vt:lpwstr/>
      </vt:variant>
      <vt:variant>
        <vt:lpwstr>_Toc207196023</vt:lpwstr>
      </vt:variant>
      <vt:variant>
        <vt:i4>1179708</vt:i4>
      </vt:variant>
      <vt:variant>
        <vt:i4>938</vt:i4>
      </vt:variant>
      <vt:variant>
        <vt:i4>0</vt:i4>
      </vt:variant>
      <vt:variant>
        <vt:i4>5</vt:i4>
      </vt:variant>
      <vt:variant>
        <vt:lpwstr/>
      </vt:variant>
      <vt:variant>
        <vt:lpwstr>_Toc207196022</vt:lpwstr>
      </vt:variant>
      <vt:variant>
        <vt:i4>1179708</vt:i4>
      </vt:variant>
      <vt:variant>
        <vt:i4>932</vt:i4>
      </vt:variant>
      <vt:variant>
        <vt:i4>0</vt:i4>
      </vt:variant>
      <vt:variant>
        <vt:i4>5</vt:i4>
      </vt:variant>
      <vt:variant>
        <vt:lpwstr/>
      </vt:variant>
      <vt:variant>
        <vt:lpwstr>_Toc207196021</vt:lpwstr>
      </vt:variant>
      <vt:variant>
        <vt:i4>1179708</vt:i4>
      </vt:variant>
      <vt:variant>
        <vt:i4>926</vt:i4>
      </vt:variant>
      <vt:variant>
        <vt:i4>0</vt:i4>
      </vt:variant>
      <vt:variant>
        <vt:i4>5</vt:i4>
      </vt:variant>
      <vt:variant>
        <vt:lpwstr/>
      </vt:variant>
      <vt:variant>
        <vt:lpwstr>_Toc207196020</vt:lpwstr>
      </vt:variant>
      <vt:variant>
        <vt:i4>1114172</vt:i4>
      </vt:variant>
      <vt:variant>
        <vt:i4>920</vt:i4>
      </vt:variant>
      <vt:variant>
        <vt:i4>0</vt:i4>
      </vt:variant>
      <vt:variant>
        <vt:i4>5</vt:i4>
      </vt:variant>
      <vt:variant>
        <vt:lpwstr/>
      </vt:variant>
      <vt:variant>
        <vt:lpwstr>_Toc207196019</vt:lpwstr>
      </vt:variant>
      <vt:variant>
        <vt:i4>1114172</vt:i4>
      </vt:variant>
      <vt:variant>
        <vt:i4>914</vt:i4>
      </vt:variant>
      <vt:variant>
        <vt:i4>0</vt:i4>
      </vt:variant>
      <vt:variant>
        <vt:i4>5</vt:i4>
      </vt:variant>
      <vt:variant>
        <vt:lpwstr/>
      </vt:variant>
      <vt:variant>
        <vt:lpwstr>_Toc207196018</vt:lpwstr>
      </vt:variant>
      <vt:variant>
        <vt:i4>1114172</vt:i4>
      </vt:variant>
      <vt:variant>
        <vt:i4>908</vt:i4>
      </vt:variant>
      <vt:variant>
        <vt:i4>0</vt:i4>
      </vt:variant>
      <vt:variant>
        <vt:i4>5</vt:i4>
      </vt:variant>
      <vt:variant>
        <vt:lpwstr/>
      </vt:variant>
      <vt:variant>
        <vt:lpwstr>_Toc207196017</vt:lpwstr>
      </vt:variant>
      <vt:variant>
        <vt:i4>1114172</vt:i4>
      </vt:variant>
      <vt:variant>
        <vt:i4>902</vt:i4>
      </vt:variant>
      <vt:variant>
        <vt:i4>0</vt:i4>
      </vt:variant>
      <vt:variant>
        <vt:i4>5</vt:i4>
      </vt:variant>
      <vt:variant>
        <vt:lpwstr/>
      </vt:variant>
      <vt:variant>
        <vt:lpwstr>_Toc207196016</vt:lpwstr>
      </vt:variant>
      <vt:variant>
        <vt:i4>1114172</vt:i4>
      </vt:variant>
      <vt:variant>
        <vt:i4>896</vt:i4>
      </vt:variant>
      <vt:variant>
        <vt:i4>0</vt:i4>
      </vt:variant>
      <vt:variant>
        <vt:i4>5</vt:i4>
      </vt:variant>
      <vt:variant>
        <vt:lpwstr/>
      </vt:variant>
      <vt:variant>
        <vt:lpwstr>_Toc207196015</vt:lpwstr>
      </vt:variant>
      <vt:variant>
        <vt:i4>1114172</vt:i4>
      </vt:variant>
      <vt:variant>
        <vt:i4>890</vt:i4>
      </vt:variant>
      <vt:variant>
        <vt:i4>0</vt:i4>
      </vt:variant>
      <vt:variant>
        <vt:i4>5</vt:i4>
      </vt:variant>
      <vt:variant>
        <vt:lpwstr/>
      </vt:variant>
      <vt:variant>
        <vt:lpwstr>_Toc207196014</vt:lpwstr>
      </vt:variant>
      <vt:variant>
        <vt:i4>1114172</vt:i4>
      </vt:variant>
      <vt:variant>
        <vt:i4>884</vt:i4>
      </vt:variant>
      <vt:variant>
        <vt:i4>0</vt:i4>
      </vt:variant>
      <vt:variant>
        <vt:i4>5</vt:i4>
      </vt:variant>
      <vt:variant>
        <vt:lpwstr/>
      </vt:variant>
      <vt:variant>
        <vt:lpwstr>_Toc207196013</vt:lpwstr>
      </vt:variant>
      <vt:variant>
        <vt:i4>1114172</vt:i4>
      </vt:variant>
      <vt:variant>
        <vt:i4>878</vt:i4>
      </vt:variant>
      <vt:variant>
        <vt:i4>0</vt:i4>
      </vt:variant>
      <vt:variant>
        <vt:i4>5</vt:i4>
      </vt:variant>
      <vt:variant>
        <vt:lpwstr/>
      </vt:variant>
      <vt:variant>
        <vt:lpwstr>_Toc207196012</vt:lpwstr>
      </vt:variant>
      <vt:variant>
        <vt:i4>1114172</vt:i4>
      </vt:variant>
      <vt:variant>
        <vt:i4>872</vt:i4>
      </vt:variant>
      <vt:variant>
        <vt:i4>0</vt:i4>
      </vt:variant>
      <vt:variant>
        <vt:i4>5</vt:i4>
      </vt:variant>
      <vt:variant>
        <vt:lpwstr/>
      </vt:variant>
      <vt:variant>
        <vt:lpwstr>_Toc207196011</vt:lpwstr>
      </vt:variant>
      <vt:variant>
        <vt:i4>1114172</vt:i4>
      </vt:variant>
      <vt:variant>
        <vt:i4>866</vt:i4>
      </vt:variant>
      <vt:variant>
        <vt:i4>0</vt:i4>
      </vt:variant>
      <vt:variant>
        <vt:i4>5</vt:i4>
      </vt:variant>
      <vt:variant>
        <vt:lpwstr/>
      </vt:variant>
      <vt:variant>
        <vt:lpwstr>_Toc207196010</vt:lpwstr>
      </vt:variant>
      <vt:variant>
        <vt:i4>1048636</vt:i4>
      </vt:variant>
      <vt:variant>
        <vt:i4>860</vt:i4>
      </vt:variant>
      <vt:variant>
        <vt:i4>0</vt:i4>
      </vt:variant>
      <vt:variant>
        <vt:i4>5</vt:i4>
      </vt:variant>
      <vt:variant>
        <vt:lpwstr/>
      </vt:variant>
      <vt:variant>
        <vt:lpwstr>_Toc207196009</vt:lpwstr>
      </vt:variant>
      <vt:variant>
        <vt:i4>1048636</vt:i4>
      </vt:variant>
      <vt:variant>
        <vt:i4>854</vt:i4>
      </vt:variant>
      <vt:variant>
        <vt:i4>0</vt:i4>
      </vt:variant>
      <vt:variant>
        <vt:i4>5</vt:i4>
      </vt:variant>
      <vt:variant>
        <vt:lpwstr/>
      </vt:variant>
      <vt:variant>
        <vt:lpwstr>_Toc207196008</vt:lpwstr>
      </vt:variant>
      <vt:variant>
        <vt:i4>1048636</vt:i4>
      </vt:variant>
      <vt:variant>
        <vt:i4>848</vt:i4>
      </vt:variant>
      <vt:variant>
        <vt:i4>0</vt:i4>
      </vt:variant>
      <vt:variant>
        <vt:i4>5</vt:i4>
      </vt:variant>
      <vt:variant>
        <vt:lpwstr/>
      </vt:variant>
      <vt:variant>
        <vt:lpwstr>_Toc207196007</vt:lpwstr>
      </vt:variant>
      <vt:variant>
        <vt:i4>1048636</vt:i4>
      </vt:variant>
      <vt:variant>
        <vt:i4>842</vt:i4>
      </vt:variant>
      <vt:variant>
        <vt:i4>0</vt:i4>
      </vt:variant>
      <vt:variant>
        <vt:i4>5</vt:i4>
      </vt:variant>
      <vt:variant>
        <vt:lpwstr/>
      </vt:variant>
      <vt:variant>
        <vt:lpwstr>_Toc207196006</vt:lpwstr>
      </vt:variant>
      <vt:variant>
        <vt:i4>1048636</vt:i4>
      </vt:variant>
      <vt:variant>
        <vt:i4>836</vt:i4>
      </vt:variant>
      <vt:variant>
        <vt:i4>0</vt:i4>
      </vt:variant>
      <vt:variant>
        <vt:i4>5</vt:i4>
      </vt:variant>
      <vt:variant>
        <vt:lpwstr/>
      </vt:variant>
      <vt:variant>
        <vt:lpwstr>_Toc207196005</vt:lpwstr>
      </vt:variant>
      <vt:variant>
        <vt:i4>1048636</vt:i4>
      </vt:variant>
      <vt:variant>
        <vt:i4>830</vt:i4>
      </vt:variant>
      <vt:variant>
        <vt:i4>0</vt:i4>
      </vt:variant>
      <vt:variant>
        <vt:i4>5</vt:i4>
      </vt:variant>
      <vt:variant>
        <vt:lpwstr/>
      </vt:variant>
      <vt:variant>
        <vt:lpwstr>_Toc207196004</vt:lpwstr>
      </vt:variant>
      <vt:variant>
        <vt:i4>1048636</vt:i4>
      </vt:variant>
      <vt:variant>
        <vt:i4>824</vt:i4>
      </vt:variant>
      <vt:variant>
        <vt:i4>0</vt:i4>
      </vt:variant>
      <vt:variant>
        <vt:i4>5</vt:i4>
      </vt:variant>
      <vt:variant>
        <vt:lpwstr/>
      </vt:variant>
      <vt:variant>
        <vt:lpwstr>_Toc207196003</vt:lpwstr>
      </vt:variant>
      <vt:variant>
        <vt:i4>1048636</vt:i4>
      </vt:variant>
      <vt:variant>
        <vt:i4>818</vt:i4>
      </vt:variant>
      <vt:variant>
        <vt:i4>0</vt:i4>
      </vt:variant>
      <vt:variant>
        <vt:i4>5</vt:i4>
      </vt:variant>
      <vt:variant>
        <vt:lpwstr/>
      </vt:variant>
      <vt:variant>
        <vt:lpwstr>_Toc207196002</vt:lpwstr>
      </vt:variant>
      <vt:variant>
        <vt:i4>1048636</vt:i4>
      </vt:variant>
      <vt:variant>
        <vt:i4>812</vt:i4>
      </vt:variant>
      <vt:variant>
        <vt:i4>0</vt:i4>
      </vt:variant>
      <vt:variant>
        <vt:i4>5</vt:i4>
      </vt:variant>
      <vt:variant>
        <vt:lpwstr/>
      </vt:variant>
      <vt:variant>
        <vt:lpwstr>_Toc207196001</vt:lpwstr>
      </vt:variant>
      <vt:variant>
        <vt:i4>1048636</vt:i4>
      </vt:variant>
      <vt:variant>
        <vt:i4>806</vt:i4>
      </vt:variant>
      <vt:variant>
        <vt:i4>0</vt:i4>
      </vt:variant>
      <vt:variant>
        <vt:i4>5</vt:i4>
      </vt:variant>
      <vt:variant>
        <vt:lpwstr/>
      </vt:variant>
      <vt:variant>
        <vt:lpwstr>_Toc207196000</vt:lpwstr>
      </vt:variant>
      <vt:variant>
        <vt:i4>1703989</vt:i4>
      </vt:variant>
      <vt:variant>
        <vt:i4>800</vt:i4>
      </vt:variant>
      <vt:variant>
        <vt:i4>0</vt:i4>
      </vt:variant>
      <vt:variant>
        <vt:i4>5</vt:i4>
      </vt:variant>
      <vt:variant>
        <vt:lpwstr/>
      </vt:variant>
      <vt:variant>
        <vt:lpwstr>_Toc207195999</vt:lpwstr>
      </vt:variant>
      <vt:variant>
        <vt:i4>1703989</vt:i4>
      </vt:variant>
      <vt:variant>
        <vt:i4>794</vt:i4>
      </vt:variant>
      <vt:variant>
        <vt:i4>0</vt:i4>
      </vt:variant>
      <vt:variant>
        <vt:i4>5</vt:i4>
      </vt:variant>
      <vt:variant>
        <vt:lpwstr/>
      </vt:variant>
      <vt:variant>
        <vt:lpwstr>_Toc207195998</vt:lpwstr>
      </vt:variant>
      <vt:variant>
        <vt:i4>1703989</vt:i4>
      </vt:variant>
      <vt:variant>
        <vt:i4>788</vt:i4>
      </vt:variant>
      <vt:variant>
        <vt:i4>0</vt:i4>
      </vt:variant>
      <vt:variant>
        <vt:i4>5</vt:i4>
      </vt:variant>
      <vt:variant>
        <vt:lpwstr/>
      </vt:variant>
      <vt:variant>
        <vt:lpwstr>_Toc207195997</vt:lpwstr>
      </vt:variant>
      <vt:variant>
        <vt:i4>1703989</vt:i4>
      </vt:variant>
      <vt:variant>
        <vt:i4>782</vt:i4>
      </vt:variant>
      <vt:variant>
        <vt:i4>0</vt:i4>
      </vt:variant>
      <vt:variant>
        <vt:i4>5</vt:i4>
      </vt:variant>
      <vt:variant>
        <vt:lpwstr/>
      </vt:variant>
      <vt:variant>
        <vt:lpwstr>_Toc207195996</vt:lpwstr>
      </vt:variant>
      <vt:variant>
        <vt:i4>1703989</vt:i4>
      </vt:variant>
      <vt:variant>
        <vt:i4>776</vt:i4>
      </vt:variant>
      <vt:variant>
        <vt:i4>0</vt:i4>
      </vt:variant>
      <vt:variant>
        <vt:i4>5</vt:i4>
      </vt:variant>
      <vt:variant>
        <vt:lpwstr/>
      </vt:variant>
      <vt:variant>
        <vt:lpwstr>_Toc207195995</vt:lpwstr>
      </vt:variant>
      <vt:variant>
        <vt:i4>1703989</vt:i4>
      </vt:variant>
      <vt:variant>
        <vt:i4>770</vt:i4>
      </vt:variant>
      <vt:variant>
        <vt:i4>0</vt:i4>
      </vt:variant>
      <vt:variant>
        <vt:i4>5</vt:i4>
      </vt:variant>
      <vt:variant>
        <vt:lpwstr/>
      </vt:variant>
      <vt:variant>
        <vt:lpwstr>_Toc207195994</vt:lpwstr>
      </vt:variant>
      <vt:variant>
        <vt:i4>1703989</vt:i4>
      </vt:variant>
      <vt:variant>
        <vt:i4>764</vt:i4>
      </vt:variant>
      <vt:variant>
        <vt:i4>0</vt:i4>
      </vt:variant>
      <vt:variant>
        <vt:i4>5</vt:i4>
      </vt:variant>
      <vt:variant>
        <vt:lpwstr/>
      </vt:variant>
      <vt:variant>
        <vt:lpwstr>_Toc207195993</vt:lpwstr>
      </vt:variant>
      <vt:variant>
        <vt:i4>1703989</vt:i4>
      </vt:variant>
      <vt:variant>
        <vt:i4>758</vt:i4>
      </vt:variant>
      <vt:variant>
        <vt:i4>0</vt:i4>
      </vt:variant>
      <vt:variant>
        <vt:i4>5</vt:i4>
      </vt:variant>
      <vt:variant>
        <vt:lpwstr/>
      </vt:variant>
      <vt:variant>
        <vt:lpwstr>_Toc207195992</vt:lpwstr>
      </vt:variant>
      <vt:variant>
        <vt:i4>1703989</vt:i4>
      </vt:variant>
      <vt:variant>
        <vt:i4>752</vt:i4>
      </vt:variant>
      <vt:variant>
        <vt:i4>0</vt:i4>
      </vt:variant>
      <vt:variant>
        <vt:i4>5</vt:i4>
      </vt:variant>
      <vt:variant>
        <vt:lpwstr/>
      </vt:variant>
      <vt:variant>
        <vt:lpwstr>_Toc207195991</vt:lpwstr>
      </vt:variant>
      <vt:variant>
        <vt:i4>1703989</vt:i4>
      </vt:variant>
      <vt:variant>
        <vt:i4>746</vt:i4>
      </vt:variant>
      <vt:variant>
        <vt:i4>0</vt:i4>
      </vt:variant>
      <vt:variant>
        <vt:i4>5</vt:i4>
      </vt:variant>
      <vt:variant>
        <vt:lpwstr/>
      </vt:variant>
      <vt:variant>
        <vt:lpwstr>_Toc207195990</vt:lpwstr>
      </vt:variant>
      <vt:variant>
        <vt:i4>1769525</vt:i4>
      </vt:variant>
      <vt:variant>
        <vt:i4>740</vt:i4>
      </vt:variant>
      <vt:variant>
        <vt:i4>0</vt:i4>
      </vt:variant>
      <vt:variant>
        <vt:i4>5</vt:i4>
      </vt:variant>
      <vt:variant>
        <vt:lpwstr/>
      </vt:variant>
      <vt:variant>
        <vt:lpwstr>_Toc207195989</vt:lpwstr>
      </vt:variant>
      <vt:variant>
        <vt:i4>1769525</vt:i4>
      </vt:variant>
      <vt:variant>
        <vt:i4>734</vt:i4>
      </vt:variant>
      <vt:variant>
        <vt:i4>0</vt:i4>
      </vt:variant>
      <vt:variant>
        <vt:i4>5</vt:i4>
      </vt:variant>
      <vt:variant>
        <vt:lpwstr/>
      </vt:variant>
      <vt:variant>
        <vt:lpwstr>_Toc207195988</vt:lpwstr>
      </vt:variant>
      <vt:variant>
        <vt:i4>1769525</vt:i4>
      </vt:variant>
      <vt:variant>
        <vt:i4>728</vt:i4>
      </vt:variant>
      <vt:variant>
        <vt:i4>0</vt:i4>
      </vt:variant>
      <vt:variant>
        <vt:i4>5</vt:i4>
      </vt:variant>
      <vt:variant>
        <vt:lpwstr/>
      </vt:variant>
      <vt:variant>
        <vt:lpwstr>_Toc207195987</vt:lpwstr>
      </vt:variant>
      <vt:variant>
        <vt:i4>1769525</vt:i4>
      </vt:variant>
      <vt:variant>
        <vt:i4>722</vt:i4>
      </vt:variant>
      <vt:variant>
        <vt:i4>0</vt:i4>
      </vt:variant>
      <vt:variant>
        <vt:i4>5</vt:i4>
      </vt:variant>
      <vt:variant>
        <vt:lpwstr/>
      </vt:variant>
      <vt:variant>
        <vt:lpwstr>_Toc207195986</vt:lpwstr>
      </vt:variant>
      <vt:variant>
        <vt:i4>1769525</vt:i4>
      </vt:variant>
      <vt:variant>
        <vt:i4>716</vt:i4>
      </vt:variant>
      <vt:variant>
        <vt:i4>0</vt:i4>
      </vt:variant>
      <vt:variant>
        <vt:i4>5</vt:i4>
      </vt:variant>
      <vt:variant>
        <vt:lpwstr/>
      </vt:variant>
      <vt:variant>
        <vt:lpwstr>_Toc207195985</vt:lpwstr>
      </vt:variant>
      <vt:variant>
        <vt:i4>1769525</vt:i4>
      </vt:variant>
      <vt:variant>
        <vt:i4>710</vt:i4>
      </vt:variant>
      <vt:variant>
        <vt:i4>0</vt:i4>
      </vt:variant>
      <vt:variant>
        <vt:i4>5</vt:i4>
      </vt:variant>
      <vt:variant>
        <vt:lpwstr/>
      </vt:variant>
      <vt:variant>
        <vt:lpwstr>_Toc207195984</vt:lpwstr>
      </vt:variant>
      <vt:variant>
        <vt:i4>1769525</vt:i4>
      </vt:variant>
      <vt:variant>
        <vt:i4>704</vt:i4>
      </vt:variant>
      <vt:variant>
        <vt:i4>0</vt:i4>
      </vt:variant>
      <vt:variant>
        <vt:i4>5</vt:i4>
      </vt:variant>
      <vt:variant>
        <vt:lpwstr/>
      </vt:variant>
      <vt:variant>
        <vt:lpwstr>_Toc207195983</vt:lpwstr>
      </vt:variant>
      <vt:variant>
        <vt:i4>1769525</vt:i4>
      </vt:variant>
      <vt:variant>
        <vt:i4>698</vt:i4>
      </vt:variant>
      <vt:variant>
        <vt:i4>0</vt:i4>
      </vt:variant>
      <vt:variant>
        <vt:i4>5</vt:i4>
      </vt:variant>
      <vt:variant>
        <vt:lpwstr/>
      </vt:variant>
      <vt:variant>
        <vt:lpwstr>_Toc207195982</vt:lpwstr>
      </vt:variant>
      <vt:variant>
        <vt:i4>1769525</vt:i4>
      </vt:variant>
      <vt:variant>
        <vt:i4>692</vt:i4>
      </vt:variant>
      <vt:variant>
        <vt:i4>0</vt:i4>
      </vt:variant>
      <vt:variant>
        <vt:i4>5</vt:i4>
      </vt:variant>
      <vt:variant>
        <vt:lpwstr/>
      </vt:variant>
      <vt:variant>
        <vt:lpwstr>_Toc207195981</vt:lpwstr>
      </vt:variant>
      <vt:variant>
        <vt:i4>1769525</vt:i4>
      </vt:variant>
      <vt:variant>
        <vt:i4>686</vt:i4>
      </vt:variant>
      <vt:variant>
        <vt:i4>0</vt:i4>
      </vt:variant>
      <vt:variant>
        <vt:i4>5</vt:i4>
      </vt:variant>
      <vt:variant>
        <vt:lpwstr/>
      </vt:variant>
      <vt:variant>
        <vt:lpwstr>_Toc207195980</vt:lpwstr>
      </vt:variant>
      <vt:variant>
        <vt:i4>1310773</vt:i4>
      </vt:variant>
      <vt:variant>
        <vt:i4>680</vt:i4>
      </vt:variant>
      <vt:variant>
        <vt:i4>0</vt:i4>
      </vt:variant>
      <vt:variant>
        <vt:i4>5</vt:i4>
      </vt:variant>
      <vt:variant>
        <vt:lpwstr/>
      </vt:variant>
      <vt:variant>
        <vt:lpwstr>_Toc207195979</vt:lpwstr>
      </vt:variant>
      <vt:variant>
        <vt:i4>1310773</vt:i4>
      </vt:variant>
      <vt:variant>
        <vt:i4>674</vt:i4>
      </vt:variant>
      <vt:variant>
        <vt:i4>0</vt:i4>
      </vt:variant>
      <vt:variant>
        <vt:i4>5</vt:i4>
      </vt:variant>
      <vt:variant>
        <vt:lpwstr/>
      </vt:variant>
      <vt:variant>
        <vt:lpwstr>_Toc207195978</vt:lpwstr>
      </vt:variant>
      <vt:variant>
        <vt:i4>1310773</vt:i4>
      </vt:variant>
      <vt:variant>
        <vt:i4>668</vt:i4>
      </vt:variant>
      <vt:variant>
        <vt:i4>0</vt:i4>
      </vt:variant>
      <vt:variant>
        <vt:i4>5</vt:i4>
      </vt:variant>
      <vt:variant>
        <vt:lpwstr/>
      </vt:variant>
      <vt:variant>
        <vt:lpwstr>_Toc207195977</vt:lpwstr>
      </vt:variant>
      <vt:variant>
        <vt:i4>1310773</vt:i4>
      </vt:variant>
      <vt:variant>
        <vt:i4>662</vt:i4>
      </vt:variant>
      <vt:variant>
        <vt:i4>0</vt:i4>
      </vt:variant>
      <vt:variant>
        <vt:i4>5</vt:i4>
      </vt:variant>
      <vt:variant>
        <vt:lpwstr/>
      </vt:variant>
      <vt:variant>
        <vt:lpwstr>_Toc207195976</vt:lpwstr>
      </vt:variant>
      <vt:variant>
        <vt:i4>1310773</vt:i4>
      </vt:variant>
      <vt:variant>
        <vt:i4>656</vt:i4>
      </vt:variant>
      <vt:variant>
        <vt:i4>0</vt:i4>
      </vt:variant>
      <vt:variant>
        <vt:i4>5</vt:i4>
      </vt:variant>
      <vt:variant>
        <vt:lpwstr/>
      </vt:variant>
      <vt:variant>
        <vt:lpwstr>_Toc207195975</vt:lpwstr>
      </vt:variant>
      <vt:variant>
        <vt:i4>1310773</vt:i4>
      </vt:variant>
      <vt:variant>
        <vt:i4>650</vt:i4>
      </vt:variant>
      <vt:variant>
        <vt:i4>0</vt:i4>
      </vt:variant>
      <vt:variant>
        <vt:i4>5</vt:i4>
      </vt:variant>
      <vt:variant>
        <vt:lpwstr/>
      </vt:variant>
      <vt:variant>
        <vt:lpwstr>_Toc207195974</vt:lpwstr>
      </vt:variant>
      <vt:variant>
        <vt:i4>1310773</vt:i4>
      </vt:variant>
      <vt:variant>
        <vt:i4>644</vt:i4>
      </vt:variant>
      <vt:variant>
        <vt:i4>0</vt:i4>
      </vt:variant>
      <vt:variant>
        <vt:i4>5</vt:i4>
      </vt:variant>
      <vt:variant>
        <vt:lpwstr/>
      </vt:variant>
      <vt:variant>
        <vt:lpwstr>_Toc207195973</vt:lpwstr>
      </vt:variant>
      <vt:variant>
        <vt:i4>1310773</vt:i4>
      </vt:variant>
      <vt:variant>
        <vt:i4>638</vt:i4>
      </vt:variant>
      <vt:variant>
        <vt:i4>0</vt:i4>
      </vt:variant>
      <vt:variant>
        <vt:i4>5</vt:i4>
      </vt:variant>
      <vt:variant>
        <vt:lpwstr/>
      </vt:variant>
      <vt:variant>
        <vt:lpwstr>_Toc207195972</vt:lpwstr>
      </vt:variant>
      <vt:variant>
        <vt:i4>1310773</vt:i4>
      </vt:variant>
      <vt:variant>
        <vt:i4>632</vt:i4>
      </vt:variant>
      <vt:variant>
        <vt:i4>0</vt:i4>
      </vt:variant>
      <vt:variant>
        <vt:i4>5</vt:i4>
      </vt:variant>
      <vt:variant>
        <vt:lpwstr/>
      </vt:variant>
      <vt:variant>
        <vt:lpwstr>_Toc207195971</vt:lpwstr>
      </vt:variant>
      <vt:variant>
        <vt:i4>1310773</vt:i4>
      </vt:variant>
      <vt:variant>
        <vt:i4>626</vt:i4>
      </vt:variant>
      <vt:variant>
        <vt:i4>0</vt:i4>
      </vt:variant>
      <vt:variant>
        <vt:i4>5</vt:i4>
      </vt:variant>
      <vt:variant>
        <vt:lpwstr/>
      </vt:variant>
      <vt:variant>
        <vt:lpwstr>_Toc207195970</vt:lpwstr>
      </vt:variant>
      <vt:variant>
        <vt:i4>1376309</vt:i4>
      </vt:variant>
      <vt:variant>
        <vt:i4>620</vt:i4>
      </vt:variant>
      <vt:variant>
        <vt:i4>0</vt:i4>
      </vt:variant>
      <vt:variant>
        <vt:i4>5</vt:i4>
      </vt:variant>
      <vt:variant>
        <vt:lpwstr/>
      </vt:variant>
      <vt:variant>
        <vt:lpwstr>_Toc207195969</vt:lpwstr>
      </vt:variant>
      <vt:variant>
        <vt:i4>1376309</vt:i4>
      </vt:variant>
      <vt:variant>
        <vt:i4>614</vt:i4>
      </vt:variant>
      <vt:variant>
        <vt:i4>0</vt:i4>
      </vt:variant>
      <vt:variant>
        <vt:i4>5</vt:i4>
      </vt:variant>
      <vt:variant>
        <vt:lpwstr/>
      </vt:variant>
      <vt:variant>
        <vt:lpwstr>_Toc207195968</vt:lpwstr>
      </vt:variant>
      <vt:variant>
        <vt:i4>1376309</vt:i4>
      </vt:variant>
      <vt:variant>
        <vt:i4>608</vt:i4>
      </vt:variant>
      <vt:variant>
        <vt:i4>0</vt:i4>
      </vt:variant>
      <vt:variant>
        <vt:i4>5</vt:i4>
      </vt:variant>
      <vt:variant>
        <vt:lpwstr/>
      </vt:variant>
      <vt:variant>
        <vt:lpwstr>_Toc207195967</vt:lpwstr>
      </vt:variant>
      <vt:variant>
        <vt:i4>1376309</vt:i4>
      </vt:variant>
      <vt:variant>
        <vt:i4>602</vt:i4>
      </vt:variant>
      <vt:variant>
        <vt:i4>0</vt:i4>
      </vt:variant>
      <vt:variant>
        <vt:i4>5</vt:i4>
      </vt:variant>
      <vt:variant>
        <vt:lpwstr/>
      </vt:variant>
      <vt:variant>
        <vt:lpwstr>_Toc207195966</vt:lpwstr>
      </vt:variant>
      <vt:variant>
        <vt:i4>1376309</vt:i4>
      </vt:variant>
      <vt:variant>
        <vt:i4>596</vt:i4>
      </vt:variant>
      <vt:variant>
        <vt:i4>0</vt:i4>
      </vt:variant>
      <vt:variant>
        <vt:i4>5</vt:i4>
      </vt:variant>
      <vt:variant>
        <vt:lpwstr/>
      </vt:variant>
      <vt:variant>
        <vt:lpwstr>_Toc207195965</vt:lpwstr>
      </vt:variant>
      <vt:variant>
        <vt:i4>1376309</vt:i4>
      </vt:variant>
      <vt:variant>
        <vt:i4>590</vt:i4>
      </vt:variant>
      <vt:variant>
        <vt:i4>0</vt:i4>
      </vt:variant>
      <vt:variant>
        <vt:i4>5</vt:i4>
      </vt:variant>
      <vt:variant>
        <vt:lpwstr/>
      </vt:variant>
      <vt:variant>
        <vt:lpwstr>_Toc207195964</vt:lpwstr>
      </vt:variant>
      <vt:variant>
        <vt:i4>1376309</vt:i4>
      </vt:variant>
      <vt:variant>
        <vt:i4>584</vt:i4>
      </vt:variant>
      <vt:variant>
        <vt:i4>0</vt:i4>
      </vt:variant>
      <vt:variant>
        <vt:i4>5</vt:i4>
      </vt:variant>
      <vt:variant>
        <vt:lpwstr/>
      </vt:variant>
      <vt:variant>
        <vt:lpwstr>_Toc207195963</vt:lpwstr>
      </vt:variant>
      <vt:variant>
        <vt:i4>1376309</vt:i4>
      </vt:variant>
      <vt:variant>
        <vt:i4>578</vt:i4>
      </vt:variant>
      <vt:variant>
        <vt:i4>0</vt:i4>
      </vt:variant>
      <vt:variant>
        <vt:i4>5</vt:i4>
      </vt:variant>
      <vt:variant>
        <vt:lpwstr/>
      </vt:variant>
      <vt:variant>
        <vt:lpwstr>_Toc207195962</vt:lpwstr>
      </vt:variant>
      <vt:variant>
        <vt:i4>1376309</vt:i4>
      </vt:variant>
      <vt:variant>
        <vt:i4>572</vt:i4>
      </vt:variant>
      <vt:variant>
        <vt:i4>0</vt:i4>
      </vt:variant>
      <vt:variant>
        <vt:i4>5</vt:i4>
      </vt:variant>
      <vt:variant>
        <vt:lpwstr/>
      </vt:variant>
      <vt:variant>
        <vt:lpwstr>_Toc207195961</vt:lpwstr>
      </vt:variant>
      <vt:variant>
        <vt:i4>1376309</vt:i4>
      </vt:variant>
      <vt:variant>
        <vt:i4>566</vt:i4>
      </vt:variant>
      <vt:variant>
        <vt:i4>0</vt:i4>
      </vt:variant>
      <vt:variant>
        <vt:i4>5</vt:i4>
      </vt:variant>
      <vt:variant>
        <vt:lpwstr/>
      </vt:variant>
      <vt:variant>
        <vt:lpwstr>_Toc207195960</vt:lpwstr>
      </vt:variant>
      <vt:variant>
        <vt:i4>1441845</vt:i4>
      </vt:variant>
      <vt:variant>
        <vt:i4>560</vt:i4>
      </vt:variant>
      <vt:variant>
        <vt:i4>0</vt:i4>
      </vt:variant>
      <vt:variant>
        <vt:i4>5</vt:i4>
      </vt:variant>
      <vt:variant>
        <vt:lpwstr/>
      </vt:variant>
      <vt:variant>
        <vt:lpwstr>_Toc207195959</vt:lpwstr>
      </vt:variant>
      <vt:variant>
        <vt:i4>1441845</vt:i4>
      </vt:variant>
      <vt:variant>
        <vt:i4>554</vt:i4>
      </vt:variant>
      <vt:variant>
        <vt:i4>0</vt:i4>
      </vt:variant>
      <vt:variant>
        <vt:i4>5</vt:i4>
      </vt:variant>
      <vt:variant>
        <vt:lpwstr/>
      </vt:variant>
      <vt:variant>
        <vt:lpwstr>_Toc207195958</vt:lpwstr>
      </vt:variant>
      <vt:variant>
        <vt:i4>1441845</vt:i4>
      </vt:variant>
      <vt:variant>
        <vt:i4>548</vt:i4>
      </vt:variant>
      <vt:variant>
        <vt:i4>0</vt:i4>
      </vt:variant>
      <vt:variant>
        <vt:i4>5</vt:i4>
      </vt:variant>
      <vt:variant>
        <vt:lpwstr/>
      </vt:variant>
      <vt:variant>
        <vt:lpwstr>_Toc207195957</vt:lpwstr>
      </vt:variant>
      <vt:variant>
        <vt:i4>1441845</vt:i4>
      </vt:variant>
      <vt:variant>
        <vt:i4>542</vt:i4>
      </vt:variant>
      <vt:variant>
        <vt:i4>0</vt:i4>
      </vt:variant>
      <vt:variant>
        <vt:i4>5</vt:i4>
      </vt:variant>
      <vt:variant>
        <vt:lpwstr/>
      </vt:variant>
      <vt:variant>
        <vt:lpwstr>_Toc207195956</vt:lpwstr>
      </vt:variant>
      <vt:variant>
        <vt:i4>1441845</vt:i4>
      </vt:variant>
      <vt:variant>
        <vt:i4>536</vt:i4>
      </vt:variant>
      <vt:variant>
        <vt:i4>0</vt:i4>
      </vt:variant>
      <vt:variant>
        <vt:i4>5</vt:i4>
      </vt:variant>
      <vt:variant>
        <vt:lpwstr/>
      </vt:variant>
      <vt:variant>
        <vt:lpwstr>_Toc207195955</vt:lpwstr>
      </vt:variant>
      <vt:variant>
        <vt:i4>1441845</vt:i4>
      </vt:variant>
      <vt:variant>
        <vt:i4>530</vt:i4>
      </vt:variant>
      <vt:variant>
        <vt:i4>0</vt:i4>
      </vt:variant>
      <vt:variant>
        <vt:i4>5</vt:i4>
      </vt:variant>
      <vt:variant>
        <vt:lpwstr/>
      </vt:variant>
      <vt:variant>
        <vt:lpwstr>_Toc207195954</vt:lpwstr>
      </vt:variant>
      <vt:variant>
        <vt:i4>1441845</vt:i4>
      </vt:variant>
      <vt:variant>
        <vt:i4>524</vt:i4>
      </vt:variant>
      <vt:variant>
        <vt:i4>0</vt:i4>
      </vt:variant>
      <vt:variant>
        <vt:i4>5</vt:i4>
      </vt:variant>
      <vt:variant>
        <vt:lpwstr/>
      </vt:variant>
      <vt:variant>
        <vt:lpwstr>_Toc207195953</vt:lpwstr>
      </vt:variant>
      <vt:variant>
        <vt:i4>1441845</vt:i4>
      </vt:variant>
      <vt:variant>
        <vt:i4>518</vt:i4>
      </vt:variant>
      <vt:variant>
        <vt:i4>0</vt:i4>
      </vt:variant>
      <vt:variant>
        <vt:i4>5</vt:i4>
      </vt:variant>
      <vt:variant>
        <vt:lpwstr/>
      </vt:variant>
      <vt:variant>
        <vt:lpwstr>_Toc207195952</vt:lpwstr>
      </vt:variant>
      <vt:variant>
        <vt:i4>1441845</vt:i4>
      </vt:variant>
      <vt:variant>
        <vt:i4>512</vt:i4>
      </vt:variant>
      <vt:variant>
        <vt:i4>0</vt:i4>
      </vt:variant>
      <vt:variant>
        <vt:i4>5</vt:i4>
      </vt:variant>
      <vt:variant>
        <vt:lpwstr/>
      </vt:variant>
      <vt:variant>
        <vt:lpwstr>_Toc207195951</vt:lpwstr>
      </vt:variant>
      <vt:variant>
        <vt:i4>1441845</vt:i4>
      </vt:variant>
      <vt:variant>
        <vt:i4>506</vt:i4>
      </vt:variant>
      <vt:variant>
        <vt:i4>0</vt:i4>
      </vt:variant>
      <vt:variant>
        <vt:i4>5</vt:i4>
      </vt:variant>
      <vt:variant>
        <vt:lpwstr/>
      </vt:variant>
      <vt:variant>
        <vt:lpwstr>_Toc207195950</vt:lpwstr>
      </vt:variant>
      <vt:variant>
        <vt:i4>1507381</vt:i4>
      </vt:variant>
      <vt:variant>
        <vt:i4>500</vt:i4>
      </vt:variant>
      <vt:variant>
        <vt:i4>0</vt:i4>
      </vt:variant>
      <vt:variant>
        <vt:i4>5</vt:i4>
      </vt:variant>
      <vt:variant>
        <vt:lpwstr/>
      </vt:variant>
      <vt:variant>
        <vt:lpwstr>_Toc207195949</vt:lpwstr>
      </vt:variant>
      <vt:variant>
        <vt:i4>1507381</vt:i4>
      </vt:variant>
      <vt:variant>
        <vt:i4>494</vt:i4>
      </vt:variant>
      <vt:variant>
        <vt:i4>0</vt:i4>
      </vt:variant>
      <vt:variant>
        <vt:i4>5</vt:i4>
      </vt:variant>
      <vt:variant>
        <vt:lpwstr/>
      </vt:variant>
      <vt:variant>
        <vt:lpwstr>_Toc207195948</vt:lpwstr>
      </vt:variant>
      <vt:variant>
        <vt:i4>1507381</vt:i4>
      </vt:variant>
      <vt:variant>
        <vt:i4>488</vt:i4>
      </vt:variant>
      <vt:variant>
        <vt:i4>0</vt:i4>
      </vt:variant>
      <vt:variant>
        <vt:i4>5</vt:i4>
      </vt:variant>
      <vt:variant>
        <vt:lpwstr/>
      </vt:variant>
      <vt:variant>
        <vt:lpwstr>_Toc207195947</vt:lpwstr>
      </vt:variant>
      <vt:variant>
        <vt:i4>1507381</vt:i4>
      </vt:variant>
      <vt:variant>
        <vt:i4>482</vt:i4>
      </vt:variant>
      <vt:variant>
        <vt:i4>0</vt:i4>
      </vt:variant>
      <vt:variant>
        <vt:i4>5</vt:i4>
      </vt:variant>
      <vt:variant>
        <vt:lpwstr/>
      </vt:variant>
      <vt:variant>
        <vt:lpwstr>_Toc207195946</vt:lpwstr>
      </vt:variant>
      <vt:variant>
        <vt:i4>1507381</vt:i4>
      </vt:variant>
      <vt:variant>
        <vt:i4>476</vt:i4>
      </vt:variant>
      <vt:variant>
        <vt:i4>0</vt:i4>
      </vt:variant>
      <vt:variant>
        <vt:i4>5</vt:i4>
      </vt:variant>
      <vt:variant>
        <vt:lpwstr/>
      </vt:variant>
      <vt:variant>
        <vt:lpwstr>_Toc207195945</vt:lpwstr>
      </vt:variant>
      <vt:variant>
        <vt:i4>1507381</vt:i4>
      </vt:variant>
      <vt:variant>
        <vt:i4>470</vt:i4>
      </vt:variant>
      <vt:variant>
        <vt:i4>0</vt:i4>
      </vt:variant>
      <vt:variant>
        <vt:i4>5</vt:i4>
      </vt:variant>
      <vt:variant>
        <vt:lpwstr/>
      </vt:variant>
      <vt:variant>
        <vt:lpwstr>_Toc207195944</vt:lpwstr>
      </vt:variant>
      <vt:variant>
        <vt:i4>1507381</vt:i4>
      </vt:variant>
      <vt:variant>
        <vt:i4>464</vt:i4>
      </vt:variant>
      <vt:variant>
        <vt:i4>0</vt:i4>
      </vt:variant>
      <vt:variant>
        <vt:i4>5</vt:i4>
      </vt:variant>
      <vt:variant>
        <vt:lpwstr/>
      </vt:variant>
      <vt:variant>
        <vt:lpwstr>_Toc207195943</vt:lpwstr>
      </vt:variant>
      <vt:variant>
        <vt:i4>1507381</vt:i4>
      </vt:variant>
      <vt:variant>
        <vt:i4>458</vt:i4>
      </vt:variant>
      <vt:variant>
        <vt:i4>0</vt:i4>
      </vt:variant>
      <vt:variant>
        <vt:i4>5</vt:i4>
      </vt:variant>
      <vt:variant>
        <vt:lpwstr/>
      </vt:variant>
      <vt:variant>
        <vt:lpwstr>_Toc207195942</vt:lpwstr>
      </vt:variant>
      <vt:variant>
        <vt:i4>1507381</vt:i4>
      </vt:variant>
      <vt:variant>
        <vt:i4>452</vt:i4>
      </vt:variant>
      <vt:variant>
        <vt:i4>0</vt:i4>
      </vt:variant>
      <vt:variant>
        <vt:i4>5</vt:i4>
      </vt:variant>
      <vt:variant>
        <vt:lpwstr/>
      </vt:variant>
      <vt:variant>
        <vt:lpwstr>_Toc207195941</vt:lpwstr>
      </vt:variant>
      <vt:variant>
        <vt:i4>1507381</vt:i4>
      </vt:variant>
      <vt:variant>
        <vt:i4>446</vt:i4>
      </vt:variant>
      <vt:variant>
        <vt:i4>0</vt:i4>
      </vt:variant>
      <vt:variant>
        <vt:i4>5</vt:i4>
      </vt:variant>
      <vt:variant>
        <vt:lpwstr/>
      </vt:variant>
      <vt:variant>
        <vt:lpwstr>_Toc207195940</vt:lpwstr>
      </vt:variant>
      <vt:variant>
        <vt:i4>1048629</vt:i4>
      </vt:variant>
      <vt:variant>
        <vt:i4>440</vt:i4>
      </vt:variant>
      <vt:variant>
        <vt:i4>0</vt:i4>
      </vt:variant>
      <vt:variant>
        <vt:i4>5</vt:i4>
      </vt:variant>
      <vt:variant>
        <vt:lpwstr/>
      </vt:variant>
      <vt:variant>
        <vt:lpwstr>_Toc207195939</vt:lpwstr>
      </vt:variant>
      <vt:variant>
        <vt:i4>1048629</vt:i4>
      </vt:variant>
      <vt:variant>
        <vt:i4>434</vt:i4>
      </vt:variant>
      <vt:variant>
        <vt:i4>0</vt:i4>
      </vt:variant>
      <vt:variant>
        <vt:i4>5</vt:i4>
      </vt:variant>
      <vt:variant>
        <vt:lpwstr/>
      </vt:variant>
      <vt:variant>
        <vt:lpwstr>_Toc207195938</vt:lpwstr>
      </vt:variant>
      <vt:variant>
        <vt:i4>1048629</vt:i4>
      </vt:variant>
      <vt:variant>
        <vt:i4>428</vt:i4>
      </vt:variant>
      <vt:variant>
        <vt:i4>0</vt:i4>
      </vt:variant>
      <vt:variant>
        <vt:i4>5</vt:i4>
      </vt:variant>
      <vt:variant>
        <vt:lpwstr/>
      </vt:variant>
      <vt:variant>
        <vt:lpwstr>_Toc207195937</vt:lpwstr>
      </vt:variant>
      <vt:variant>
        <vt:i4>1048629</vt:i4>
      </vt:variant>
      <vt:variant>
        <vt:i4>422</vt:i4>
      </vt:variant>
      <vt:variant>
        <vt:i4>0</vt:i4>
      </vt:variant>
      <vt:variant>
        <vt:i4>5</vt:i4>
      </vt:variant>
      <vt:variant>
        <vt:lpwstr/>
      </vt:variant>
      <vt:variant>
        <vt:lpwstr>_Toc207195936</vt:lpwstr>
      </vt:variant>
      <vt:variant>
        <vt:i4>1048629</vt:i4>
      </vt:variant>
      <vt:variant>
        <vt:i4>416</vt:i4>
      </vt:variant>
      <vt:variant>
        <vt:i4>0</vt:i4>
      </vt:variant>
      <vt:variant>
        <vt:i4>5</vt:i4>
      </vt:variant>
      <vt:variant>
        <vt:lpwstr/>
      </vt:variant>
      <vt:variant>
        <vt:lpwstr>_Toc207195935</vt:lpwstr>
      </vt:variant>
      <vt:variant>
        <vt:i4>1048629</vt:i4>
      </vt:variant>
      <vt:variant>
        <vt:i4>410</vt:i4>
      </vt:variant>
      <vt:variant>
        <vt:i4>0</vt:i4>
      </vt:variant>
      <vt:variant>
        <vt:i4>5</vt:i4>
      </vt:variant>
      <vt:variant>
        <vt:lpwstr/>
      </vt:variant>
      <vt:variant>
        <vt:lpwstr>_Toc207195934</vt:lpwstr>
      </vt:variant>
      <vt:variant>
        <vt:i4>1048629</vt:i4>
      </vt:variant>
      <vt:variant>
        <vt:i4>404</vt:i4>
      </vt:variant>
      <vt:variant>
        <vt:i4>0</vt:i4>
      </vt:variant>
      <vt:variant>
        <vt:i4>5</vt:i4>
      </vt:variant>
      <vt:variant>
        <vt:lpwstr/>
      </vt:variant>
      <vt:variant>
        <vt:lpwstr>_Toc207195933</vt:lpwstr>
      </vt:variant>
      <vt:variant>
        <vt:i4>1048629</vt:i4>
      </vt:variant>
      <vt:variant>
        <vt:i4>398</vt:i4>
      </vt:variant>
      <vt:variant>
        <vt:i4>0</vt:i4>
      </vt:variant>
      <vt:variant>
        <vt:i4>5</vt:i4>
      </vt:variant>
      <vt:variant>
        <vt:lpwstr/>
      </vt:variant>
      <vt:variant>
        <vt:lpwstr>_Toc207195932</vt:lpwstr>
      </vt:variant>
      <vt:variant>
        <vt:i4>1048629</vt:i4>
      </vt:variant>
      <vt:variant>
        <vt:i4>392</vt:i4>
      </vt:variant>
      <vt:variant>
        <vt:i4>0</vt:i4>
      </vt:variant>
      <vt:variant>
        <vt:i4>5</vt:i4>
      </vt:variant>
      <vt:variant>
        <vt:lpwstr/>
      </vt:variant>
      <vt:variant>
        <vt:lpwstr>_Toc207195931</vt:lpwstr>
      </vt:variant>
      <vt:variant>
        <vt:i4>1048629</vt:i4>
      </vt:variant>
      <vt:variant>
        <vt:i4>386</vt:i4>
      </vt:variant>
      <vt:variant>
        <vt:i4>0</vt:i4>
      </vt:variant>
      <vt:variant>
        <vt:i4>5</vt:i4>
      </vt:variant>
      <vt:variant>
        <vt:lpwstr/>
      </vt:variant>
      <vt:variant>
        <vt:lpwstr>_Toc207195930</vt:lpwstr>
      </vt:variant>
      <vt:variant>
        <vt:i4>1114165</vt:i4>
      </vt:variant>
      <vt:variant>
        <vt:i4>380</vt:i4>
      </vt:variant>
      <vt:variant>
        <vt:i4>0</vt:i4>
      </vt:variant>
      <vt:variant>
        <vt:i4>5</vt:i4>
      </vt:variant>
      <vt:variant>
        <vt:lpwstr/>
      </vt:variant>
      <vt:variant>
        <vt:lpwstr>_Toc207195929</vt:lpwstr>
      </vt:variant>
      <vt:variant>
        <vt:i4>1114165</vt:i4>
      </vt:variant>
      <vt:variant>
        <vt:i4>374</vt:i4>
      </vt:variant>
      <vt:variant>
        <vt:i4>0</vt:i4>
      </vt:variant>
      <vt:variant>
        <vt:i4>5</vt:i4>
      </vt:variant>
      <vt:variant>
        <vt:lpwstr/>
      </vt:variant>
      <vt:variant>
        <vt:lpwstr>_Toc207195928</vt:lpwstr>
      </vt:variant>
      <vt:variant>
        <vt:i4>1114165</vt:i4>
      </vt:variant>
      <vt:variant>
        <vt:i4>368</vt:i4>
      </vt:variant>
      <vt:variant>
        <vt:i4>0</vt:i4>
      </vt:variant>
      <vt:variant>
        <vt:i4>5</vt:i4>
      </vt:variant>
      <vt:variant>
        <vt:lpwstr/>
      </vt:variant>
      <vt:variant>
        <vt:lpwstr>_Toc207195927</vt:lpwstr>
      </vt:variant>
      <vt:variant>
        <vt:i4>1114165</vt:i4>
      </vt:variant>
      <vt:variant>
        <vt:i4>362</vt:i4>
      </vt:variant>
      <vt:variant>
        <vt:i4>0</vt:i4>
      </vt:variant>
      <vt:variant>
        <vt:i4>5</vt:i4>
      </vt:variant>
      <vt:variant>
        <vt:lpwstr/>
      </vt:variant>
      <vt:variant>
        <vt:lpwstr>_Toc207195926</vt:lpwstr>
      </vt:variant>
      <vt:variant>
        <vt:i4>1114165</vt:i4>
      </vt:variant>
      <vt:variant>
        <vt:i4>356</vt:i4>
      </vt:variant>
      <vt:variant>
        <vt:i4>0</vt:i4>
      </vt:variant>
      <vt:variant>
        <vt:i4>5</vt:i4>
      </vt:variant>
      <vt:variant>
        <vt:lpwstr/>
      </vt:variant>
      <vt:variant>
        <vt:lpwstr>_Toc207195925</vt:lpwstr>
      </vt:variant>
      <vt:variant>
        <vt:i4>1114165</vt:i4>
      </vt:variant>
      <vt:variant>
        <vt:i4>350</vt:i4>
      </vt:variant>
      <vt:variant>
        <vt:i4>0</vt:i4>
      </vt:variant>
      <vt:variant>
        <vt:i4>5</vt:i4>
      </vt:variant>
      <vt:variant>
        <vt:lpwstr/>
      </vt:variant>
      <vt:variant>
        <vt:lpwstr>_Toc207195924</vt:lpwstr>
      </vt:variant>
      <vt:variant>
        <vt:i4>1114165</vt:i4>
      </vt:variant>
      <vt:variant>
        <vt:i4>344</vt:i4>
      </vt:variant>
      <vt:variant>
        <vt:i4>0</vt:i4>
      </vt:variant>
      <vt:variant>
        <vt:i4>5</vt:i4>
      </vt:variant>
      <vt:variant>
        <vt:lpwstr/>
      </vt:variant>
      <vt:variant>
        <vt:lpwstr>_Toc207195923</vt:lpwstr>
      </vt:variant>
      <vt:variant>
        <vt:i4>1114165</vt:i4>
      </vt:variant>
      <vt:variant>
        <vt:i4>338</vt:i4>
      </vt:variant>
      <vt:variant>
        <vt:i4>0</vt:i4>
      </vt:variant>
      <vt:variant>
        <vt:i4>5</vt:i4>
      </vt:variant>
      <vt:variant>
        <vt:lpwstr/>
      </vt:variant>
      <vt:variant>
        <vt:lpwstr>_Toc207195922</vt:lpwstr>
      </vt:variant>
      <vt:variant>
        <vt:i4>1114165</vt:i4>
      </vt:variant>
      <vt:variant>
        <vt:i4>332</vt:i4>
      </vt:variant>
      <vt:variant>
        <vt:i4>0</vt:i4>
      </vt:variant>
      <vt:variant>
        <vt:i4>5</vt:i4>
      </vt:variant>
      <vt:variant>
        <vt:lpwstr/>
      </vt:variant>
      <vt:variant>
        <vt:lpwstr>_Toc207195921</vt:lpwstr>
      </vt:variant>
      <vt:variant>
        <vt:i4>1114165</vt:i4>
      </vt:variant>
      <vt:variant>
        <vt:i4>326</vt:i4>
      </vt:variant>
      <vt:variant>
        <vt:i4>0</vt:i4>
      </vt:variant>
      <vt:variant>
        <vt:i4>5</vt:i4>
      </vt:variant>
      <vt:variant>
        <vt:lpwstr/>
      </vt:variant>
      <vt:variant>
        <vt:lpwstr>_Toc207195920</vt:lpwstr>
      </vt:variant>
      <vt:variant>
        <vt:i4>1179701</vt:i4>
      </vt:variant>
      <vt:variant>
        <vt:i4>320</vt:i4>
      </vt:variant>
      <vt:variant>
        <vt:i4>0</vt:i4>
      </vt:variant>
      <vt:variant>
        <vt:i4>5</vt:i4>
      </vt:variant>
      <vt:variant>
        <vt:lpwstr/>
      </vt:variant>
      <vt:variant>
        <vt:lpwstr>_Toc207195919</vt:lpwstr>
      </vt:variant>
      <vt:variant>
        <vt:i4>1179701</vt:i4>
      </vt:variant>
      <vt:variant>
        <vt:i4>314</vt:i4>
      </vt:variant>
      <vt:variant>
        <vt:i4>0</vt:i4>
      </vt:variant>
      <vt:variant>
        <vt:i4>5</vt:i4>
      </vt:variant>
      <vt:variant>
        <vt:lpwstr/>
      </vt:variant>
      <vt:variant>
        <vt:lpwstr>_Toc207195918</vt:lpwstr>
      </vt:variant>
      <vt:variant>
        <vt:i4>1179701</vt:i4>
      </vt:variant>
      <vt:variant>
        <vt:i4>308</vt:i4>
      </vt:variant>
      <vt:variant>
        <vt:i4>0</vt:i4>
      </vt:variant>
      <vt:variant>
        <vt:i4>5</vt:i4>
      </vt:variant>
      <vt:variant>
        <vt:lpwstr/>
      </vt:variant>
      <vt:variant>
        <vt:lpwstr>_Toc207195917</vt:lpwstr>
      </vt:variant>
      <vt:variant>
        <vt:i4>1179701</vt:i4>
      </vt:variant>
      <vt:variant>
        <vt:i4>302</vt:i4>
      </vt:variant>
      <vt:variant>
        <vt:i4>0</vt:i4>
      </vt:variant>
      <vt:variant>
        <vt:i4>5</vt:i4>
      </vt:variant>
      <vt:variant>
        <vt:lpwstr/>
      </vt:variant>
      <vt:variant>
        <vt:lpwstr>_Toc207195916</vt:lpwstr>
      </vt:variant>
      <vt:variant>
        <vt:i4>1179701</vt:i4>
      </vt:variant>
      <vt:variant>
        <vt:i4>296</vt:i4>
      </vt:variant>
      <vt:variant>
        <vt:i4>0</vt:i4>
      </vt:variant>
      <vt:variant>
        <vt:i4>5</vt:i4>
      </vt:variant>
      <vt:variant>
        <vt:lpwstr/>
      </vt:variant>
      <vt:variant>
        <vt:lpwstr>_Toc207195915</vt:lpwstr>
      </vt:variant>
      <vt:variant>
        <vt:i4>1179701</vt:i4>
      </vt:variant>
      <vt:variant>
        <vt:i4>290</vt:i4>
      </vt:variant>
      <vt:variant>
        <vt:i4>0</vt:i4>
      </vt:variant>
      <vt:variant>
        <vt:i4>5</vt:i4>
      </vt:variant>
      <vt:variant>
        <vt:lpwstr/>
      </vt:variant>
      <vt:variant>
        <vt:lpwstr>_Toc207195914</vt:lpwstr>
      </vt:variant>
      <vt:variant>
        <vt:i4>1179701</vt:i4>
      </vt:variant>
      <vt:variant>
        <vt:i4>284</vt:i4>
      </vt:variant>
      <vt:variant>
        <vt:i4>0</vt:i4>
      </vt:variant>
      <vt:variant>
        <vt:i4>5</vt:i4>
      </vt:variant>
      <vt:variant>
        <vt:lpwstr/>
      </vt:variant>
      <vt:variant>
        <vt:lpwstr>_Toc207195913</vt:lpwstr>
      </vt:variant>
      <vt:variant>
        <vt:i4>1179701</vt:i4>
      </vt:variant>
      <vt:variant>
        <vt:i4>278</vt:i4>
      </vt:variant>
      <vt:variant>
        <vt:i4>0</vt:i4>
      </vt:variant>
      <vt:variant>
        <vt:i4>5</vt:i4>
      </vt:variant>
      <vt:variant>
        <vt:lpwstr/>
      </vt:variant>
      <vt:variant>
        <vt:lpwstr>_Toc207195912</vt:lpwstr>
      </vt:variant>
      <vt:variant>
        <vt:i4>1179701</vt:i4>
      </vt:variant>
      <vt:variant>
        <vt:i4>272</vt:i4>
      </vt:variant>
      <vt:variant>
        <vt:i4>0</vt:i4>
      </vt:variant>
      <vt:variant>
        <vt:i4>5</vt:i4>
      </vt:variant>
      <vt:variant>
        <vt:lpwstr/>
      </vt:variant>
      <vt:variant>
        <vt:lpwstr>_Toc207195911</vt:lpwstr>
      </vt:variant>
      <vt:variant>
        <vt:i4>1179701</vt:i4>
      </vt:variant>
      <vt:variant>
        <vt:i4>266</vt:i4>
      </vt:variant>
      <vt:variant>
        <vt:i4>0</vt:i4>
      </vt:variant>
      <vt:variant>
        <vt:i4>5</vt:i4>
      </vt:variant>
      <vt:variant>
        <vt:lpwstr/>
      </vt:variant>
      <vt:variant>
        <vt:lpwstr>_Toc207195910</vt:lpwstr>
      </vt:variant>
      <vt:variant>
        <vt:i4>1245237</vt:i4>
      </vt:variant>
      <vt:variant>
        <vt:i4>260</vt:i4>
      </vt:variant>
      <vt:variant>
        <vt:i4>0</vt:i4>
      </vt:variant>
      <vt:variant>
        <vt:i4>5</vt:i4>
      </vt:variant>
      <vt:variant>
        <vt:lpwstr/>
      </vt:variant>
      <vt:variant>
        <vt:lpwstr>_Toc207195909</vt:lpwstr>
      </vt:variant>
      <vt:variant>
        <vt:i4>1245237</vt:i4>
      </vt:variant>
      <vt:variant>
        <vt:i4>254</vt:i4>
      </vt:variant>
      <vt:variant>
        <vt:i4>0</vt:i4>
      </vt:variant>
      <vt:variant>
        <vt:i4>5</vt:i4>
      </vt:variant>
      <vt:variant>
        <vt:lpwstr/>
      </vt:variant>
      <vt:variant>
        <vt:lpwstr>_Toc207195908</vt:lpwstr>
      </vt:variant>
      <vt:variant>
        <vt:i4>1245237</vt:i4>
      </vt:variant>
      <vt:variant>
        <vt:i4>248</vt:i4>
      </vt:variant>
      <vt:variant>
        <vt:i4>0</vt:i4>
      </vt:variant>
      <vt:variant>
        <vt:i4>5</vt:i4>
      </vt:variant>
      <vt:variant>
        <vt:lpwstr/>
      </vt:variant>
      <vt:variant>
        <vt:lpwstr>_Toc207195907</vt:lpwstr>
      </vt:variant>
      <vt:variant>
        <vt:i4>1245237</vt:i4>
      </vt:variant>
      <vt:variant>
        <vt:i4>242</vt:i4>
      </vt:variant>
      <vt:variant>
        <vt:i4>0</vt:i4>
      </vt:variant>
      <vt:variant>
        <vt:i4>5</vt:i4>
      </vt:variant>
      <vt:variant>
        <vt:lpwstr/>
      </vt:variant>
      <vt:variant>
        <vt:lpwstr>_Toc207195906</vt:lpwstr>
      </vt:variant>
      <vt:variant>
        <vt:i4>1245237</vt:i4>
      </vt:variant>
      <vt:variant>
        <vt:i4>236</vt:i4>
      </vt:variant>
      <vt:variant>
        <vt:i4>0</vt:i4>
      </vt:variant>
      <vt:variant>
        <vt:i4>5</vt:i4>
      </vt:variant>
      <vt:variant>
        <vt:lpwstr/>
      </vt:variant>
      <vt:variant>
        <vt:lpwstr>_Toc207195905</vt:lpwstr>
      </vt:variant>
      <vt:variant>
        <vt:i4>1245237</vt:i4>
      </vt:variant>
      <vt:variant>
        <vt:i4>230</vt:i4>
      </vt:variant>
      <vt:variant>
        <vt:i4>0</vt:i4>
      </vt:variant>
      <vt:variant>
        <vt:i4>5</vt:i4>
      </vt:variant>
      <vt:variant>
        <vt:lpwstr/>
      </vt:variant>
      <vt:variant>
        <vt:lpwstr>_Toc207195904</vt:lpwstr>
      </vt:variant>
      <vt:variant>
        <vt:i4>1245237</vt:i4>
      </vt:variant>
      <vt:variant>
        <vt:i4>224</vt:i4>
      </vt:variant>
      <vt:variant>
        <vt:i4>0</vt:i4>
      </vt:variant>
      <vt:variant>
        <vt:i4>5</vt:i4>
      </vt:variant>
      <vt:variant>
        <vt:lpwstr/>
      </vt:variant>
      <vt:variant>
        <vt:lpwstr>_Toc207195903</vt:lpwstr>
      </vt:variant>
      <vt:variant>
        <vt:i4>1245237</vt:i4>
      </vt:variant>
      <vt:variant>
        <vt:i4>218</vt:i4>
      </vt:variant>
      <vt:variant>
        <vt:i4>0</vt:i4>
      </vt:variant>
      <vt:variant>
        <vt:i4>5</vt:i4>
      </vt:variant>
      <vt:variant>
        <vt:lpwstr/>
      </vt:variant>
      <vt:variant>
        <vt:lpwstr>_Toc207195902</vt:lpwstr>
      </vt:variant>
      <vt:variant>
        <vt:i4>1245237</vt:i4>
      </vt:variant>
      <vt:variant>
        <vt:i4>212</vt:i4>
      </vt:variant>
      <vt:variant>
        <vt:i4>0</vt:i4>
      </vt:variant>
      <vt:variant>
        <vt:i4>5</vt:i4>
      </vt:variant>
      <vt:variant>
        <vt:lpwstr/>
      </vt:variant>
      <vt:variant>
        <vt:lpwstr>_Toc207195901</vt:lpwstr>
      </vt:variant>
      <vt:variant>
        <vt:i4>1245237</vt:i4>
      </vt:variant>
      <vt:variant>
        <vt:i4>206</vt:i4>
      </vt:variant>
      <vt:variant>
        <vt:i4>0</vt:i4>
      </vt:variant>
      <vt:variant>
        <vt:i4>5</vt:i4>
      </vt:variant>
      <vt:variant>
        <vt:lpwstr/>
      </vt:variant>
      <vt:variant>
        <vt:lpwstr>_Toc207195900</vt:lpwstr>
      </vt:variant>
      <vt:variant>
        <vt:i4>1703988</vt:i4>
      </vt:variant>
      <vt:variant>
        <vt:i4>200</vt:i4>
      </vt:variant>
      <vt:variant>
        <vt:i4>0</vt:i4>
      </vt:variant>
      <vt:variant>
        <vt:i4>5</vt:i4>
      </vt:variant>
      <vt:variant>
        <vt:lpwstr/>
      </vt:variant>
      <vt:variant>
        <vt:lpwstr>_Toc207195899</vt:lpwstr>
      </vt:variant>
      <vt:variant>
        <vt:i4>1703988</vt:i4>
      </vt:variant>
      <vt:variant>
        <vt:i4>194</vt:i4>
      </vt:variant>
      <vt:variant>
        <vt:i4>0</vt:i4>
      </vt:variant>
      <vt:variant>
        <vt:i4>5</vt:i4>
      </vt:variant>
      <vt:variant>
        <vt:lpwstr/>
      </vt:variant>
      <vt:variant>
        <vt:lpwstr>_Toc207195898</vt:lpwstr>
      </vt:variant>
      <vt:variant>
        <vt:i4>1703988</vt:i4>
      </vt:variant>
      <vt:variant>
        <vt:i4>188</vt:i4>
      </vt:variant>
      <vt:variant>
        <vt:i4>0</vt:i4>
      </vt:variant>
      <vt:variant>
        <vt:i4>5</vt:i4>
      </vt:variant>
      <vt:variant>
        <vt:lpwstr/>
      </vt:variant>
      <vt:variant>
        <vt:lpwstr>_Toc207195897</vt:lpwstr>
      </vt:variant>
      <vt:variant>
        <vt:i4>1703988</vt:i4>
      </vt:variant>
      <vt:variant>
        <vt:i4>182</vt:i4>
      </vt:variant>
      <vt:variant>
        <vt:i4>0</vt:i4>
      </vt:variant>
      <vt:variant>
        <vt:i4>5</vt:i4>
      </vt:variant>
      <vt:variant>
        <vt:lpwstr/>
      </vt:variant>
      <vt:variant>
        <vt:lpwstr>_Toc207195896</vt:lpwstr>
      </vt:variant>
      <vt:variant>
        <vt:i4>1703988</vt:i4>
      </vt:variant>
      <vt:variant>
        <vt:i4>176</vt:i4>
      </vt:variant>
      <vt:variant>
        <vt:i4>0</vt:i4>
      </vt:variant>
      <vt:variant>
        <vt:i4>5</vt:i4>
      </vt:variant>
      <vt:variant>
        <vt:lpwstr/>
      </vt:variant>
      <vt:variant>
        <vt:lpwstr>_Toc207195895</vt:lpwstr>
      </vt:variant>
      <vt:variant>
        <vt:i4>1703988</vt:i4>
      </vt:variant>
      <vt:variant>
        <vt:i4>170</vt:i4>
      </vt:variant>
      <vt:variant>
        <vt:i4>0</vt:i4>
      </vt:variant>
      <vt:variant>
        <vt:i4>5</vt:i4>
      </vt:variant>
      <vt:variant>
        <vt:lpwstr/>
      </vt:variant>
      <vt:variant>
        <vt:lpwstr>_Toc207195894</vt:lpwstr>
      </vt:variant>
      <vt:variant>
        <vt:i4>1703988</vt:i4>
      </vt:variant>
      <vt:variant>
        <vt:i4>164</vt:i4>
      </vt:variant>
      <vt:variant>
        <vt:i4>0</vt:i4>
      </vt:variant>
      <vt:variant>
        <vt:i4>5</vt:i4>
      </vt:variant>
      <vt:variant>
        <vt:lpwstr/>
      </vt:variant>
      <vt:variant>
        <vt:lpwstr>_Toc207195893</vt:lpwstr>
      </vt:variant>
      <vt:variant>
        <vt:i4>1703988</vt:i4>
      </vt:variant>
      <vt:variant>
        <vt:i4>158</vt:i4>
      </vt:variant>
      <vt:variant>
        <vt:i4>0</vt:i4>
      </vt:variant>
      <vt:variant>
        <vt:i4>5</vt:i4>
      </vt:variant>
      <vt:variant>
        <vt:lpwstr/>
      </vt:variant>
      <vt:variant>
        <vt:lpwstr>_Toc207195892</vt:lpwstr>
      </vt:variant>
      <vt:variant>
        <vt:i4>1703988</vt:i4>
      </vt:variant>
      <vt:variant>
        <vt:i4>152</vt:i4>
      </vt:variant>
      <vt:variant>
        <vt:i4>0</vt:i4>
      </vt:variant>
      <vt:variant>
        <vt:i4>5</vt:i4>
      </vt:variant>
      <vt:variant>
        <vt:lpwstr/>
      </vt:variant>
      <vt:variant>
        <vt:lpwstr>_Toc207195891</vt:lpwstr>
      </vt:variant>
      <vt:variant>
        <vt:i4>1703988</vt:i4>
      </vt:variant>
      <vt:variant>
        <vt:i4>146</vt:i4>
      </vt:variant>
      <vt:variant>
        <vt:i4>0</vt:i4>
      </vt:variant>
      <vt:variant>
        <vt:i4>5</vt:i4>
      </vt:variant>
      <vt:variant>
        <vt:lpwstr/>
      </vt:variant>
      <vt:variant>
        <vt:lpwstr>_Toc207195890</vt:lpwstr>
      </vt:variant>
      <vt:variant>
        <vt:i4>1769524</vt:i4>
      </vt:variant>
      <vt:variant>
        <vt:i4>140</vt:i4>
      </vt:variant>
      <vt:variant>
        <vt:i4>0</vt:i4>
      </vt:variant>
      <vt:variant>
        <vt:i4>5</vt:i4>
      </vt:variant>
      <vt:variant>
        <vt:lpwstr/>
      </vt:variant>
      <vt:variant>
        <vt:lpwstr>_Toc207195889</vt:lpwstr>
      </vt:variant>
      <vt:variant>
        <vt:i4>1769524</vt:i4>
      </vt:variant>
      <vt:variant>
        <vt:i4>134</vt:i4>
      </vt:variant>
      <vt:variant>
        <vt:i4>0</vt:i4>
      </vt:variant>
      <vt:variant>
        <vt:i4>5</vt:i4>
      </vt:variant>
      <vt:variant>
        <vt:lpwstr/>
      </vt:variant>
      <vt:variant>
        <vt:lpwstr>_Toc207195888</vt:lpwstr>
      </vt:variant>
      <vt:variant>
        <vt:i4>1769524</vt:i4>
      </vt:variant>
      <vt:variant>
        <vt:i4>128</vt:i4>
      </vt:variant>
      <vt:variant>
        <vt:i4>0</vt:i4>
      </vt:variant>
      <vt:variant>
        <vt:i4>5</vt:i4>
      </vt:variant>
      <vt:variant>
        <vt:lpwstr/>
      </vt:variant>
      <vt:variant>
        <vt:lpwstr>_Toc207195887</vt:lpwstr>
      </vt:variant>
      <vt:variant>
        <vt:i4>1769524</vt:i4>
      </vt:variant>
      <vt:variant>
        <vt:i4>122</vt:i4>
      </vt:variant>
      <vt:variant>
        <vt:i4>0</vt:i4>
      </vt:variant>
      <vt:variant>
        <vt:i4>5</vt:i4>
      </vt:variant>
      <vt:variant>
        <vt:lpwstr/>
      </vt:variant>
      <vt:variant>
        <vt:lpwstr>_Toc207195886</vt:lpwstr>
      </vt:variant>
      <vt:variant>
        <vt:i4>1769524</vt:i4>
      </vt:variant>
      <vt:variant>
        <vt:i4>116</vt:i4>
      </vt:variant>
      <vt:variant>
        <vt:i4>0</vt:i4>
      </vt:variant>
      <vt:variant>
        <vt:i4>5</vt:i4>
      </vt:variant>
      <vt:variant>
        <vt:lpwstr/>
      </vt:variant>
      <vt:variant>
        <vt:lpwstr>_Toc207195885</vt:lpwstr>
      </vt:variant>
      <vt:variant>
        <vt:i4>1769524</vt:i4>
      </vt:variant>
      <vt:variant>
        <vt:i4>110</vt:i4>
      </vt:variant>
      <vt:variant>
        <vt:i4>0</vt:i4>
      </vt:variant>
      <vt:variant>
        <vt:i4>5</vt:i4>
      </vt:variant>
      <vt:variant>
        <vt:lpwstr/>
      </vt:variant>
      <vt:variant>
        <vt:lpwstr>_Toc207195884</vt:lpwstr>
      </vt:variant>
      <vt:variant>
        <vt:i4>1769524</vt:i4>
      </vt:variant>
      <vt:variant>
        <vt:i4>104</vt:i4>
      </vt:variant>
      <vt:variant>
        <vt:i4>0</vt:i4>
      </vt:variant>
      <vt:variant>
        <vt:i4>5</vt:i4>
      </vt:variant>
      <vt:variant>
        <vt:lpwstr/>
      </vt:variant>
      <vt:variant>
        <vt:lpwstr>_Toc207195883</vt:lpwstr>
      </vt:variant>
      <vt:variant>
        <vt:i4>1769524</vt:i4>
      </vt:variant>
      <vt:variant>
        <vt:i4>98</vt:i4>
      </vt:variant>
      <vt:variant>
        <vt:i4>0</vt:i4>
      </vt:variant>
      <vt:variant>
        <vt:i4>5</vt:i4>
      </vt:variant>
      <vt:variant>
        <vt:lpwstr/>
      </vt:variant>
      <vt:variant>
        <vt:lpwstr>_Toc207195882</vt:lpwstr>
      </vt:variant>
      <vt:variant>
        <vt:i4>1769524</vt:i4>
      </vt:variant>
      <vt:variant>
        <vt:i4>92</vt:i4>
      </vt:variant>
      <vt:variant>
        <vt:i4>0</vt:i4>
      </vt:variant>
      <vt:variant>
        <vt:i4>5</vt:i4>
      </vt:variant>
      <vt:variant>
        <vt:lpwstr/>
      </vt:variant>
      <vt:variant>
        <vt:lpwstr>_Toc207195881</vt:lpwstr>
      </vt:variant>
      <vt:variant>
        <vt:i4>1769524</vt:i4>
      </vt:variant>
      <vt:variant>
        <vt:i4>86</vt:i4>
      </vt:variant>
      <vt:variant>
        <vt:i4>0</vt:i4>
      </vt:variant>
      <vt:variant>
        <vt:i4>5</vt:i4>
      </vt:variant>
      <vt:variant>
        <vt:lpwstr/>
      </vt:variant>
      <vt:variant>
        <vt:lpwstr>_Toc207195880</vt:lpwstr>
      </vt:variant>
      <vt:variant>
        <vt:i4>1310772</vt:i4>
      </vt:variant>
      <vt:variant>
        <vt:i4>80</vt:i4>
      </vt:variant>
      <vt:variant>
        <vt:i4>0</vt:i4>
      </vt:variant>
      <vt:variant>
        <vt:i4>5</vt:i4>
      </vt:variant>
      <vt:variant>
        <vt:lpwstr/>
      </vt:variant>
      <vt:variant>
        <vt:lpwstr>_Toc207195879</vt:lpwstr>
      </vt:variant>
      <vt:variant>
        <vt:i4>1310772</vt:i4>
      </vt:variant>
      <vt:variant>
        <vt:i4>74</vt:i4>
      </vt:variant>
      <vt:variant>
        <vt:i4>0</vt:i4>
      </vt:variant>
      <vt:variant>
        <vt:i4>5</vt:i4>
      </vt:variant>
      <vt:variant>
        <vt:lpwstr/>
      </vt:variant>
      <vt:variant>
        <vt:lpwstr>_Toc207195878</vt:lpwstr>
      </vt:variant>
      <vt:variant>
        <vt:i4>1310772</vt:i4>
      </vt:variant>
      <vt:variant>
        <vt:i4>68</vt:i4>
      </vt:variant>
      <vt:variant>
        <vt:i4>0</vt:i4>
      </vt:variant>
      <vt:variant>
        <vt:i4>5</vt:i4>
      </vt:variant>
      <vt:variant>
        <vt:lpwstr/>
      </vt:variant>
      <vt:variant>
        <vt:lpwstr>_Toc207195877</vt:lpwstr>
      </vt:variant>
      <vt:variant>
        <vt:i4>1310772</vt:i4>
      </vt:variant>
      <vt:variant>
        <vt:i4>62</vt:i4>
      </vt:variant>
      <vt:variant>
        <vt:i4>0</vt:i4>
      </vt:variant>
      <vt:variant>
        <vt:i4>5</vt:i4>
      </vt:variant>
      <vt:variant>
        <vt:lpwstr/>
      </vt:variant>
      <vt:variant>
        <vt:lpwstr>_Toc207195876</vt:lpwstr>
      </vt:variant>
      <vt:variant>
        <vt:i4>1310772</vt:i4>
      </vt:variant>
      <vt:variant>
        <vt:i4>56</vt:i4>
      </vt:variant>
      <vt:variant>
        <vt:i4>0</vt:i4>
      </vt:variant>
      <vt:variant>
        <vt:i4>5</vt:i4>
      </vt:variant>
      <vt:variant>
        <vt:lpwstr/>
      </vt:variant>
      <vt:variant>
        <vt:lpwstr>_Toc207195875</vt:lpwstr>
      </vt:variant>
      <vt:variant>
        <vt:i4>1310772</vt:i4>
      </vt:variant>
      <vt:variant>
        <vt:i4>50</vt:i4>
      </vt:variant>
      <vt:variant>
        <vt:i4>0</vt:i4>
      </vt:variant>
      <vt:variant>
        <vt:i4>5</vt:i4>
      </vt:variant>
      <vt:variant>
        <vt:lpwstr/>
      </vt:variant>
      <vt:variant>
        <vt:lpwstr>_Toc207195874</vt:lpwstr>
      </vt:variant>
      <vt:variant>
        <vt:i4>1310772</vt:i4>
      </vt:variant>
      <vt:variant>
        <vt:i4>44</vt:i4>
      </vt:variant>
      <vt:variant>
        <vt:i4>0</vt:i4>
      </vt:variant>
      <vt:variant>
        <vt:i4>5</vt:i4>
      </vt:variant>
      <vt:variant>
        <vt:lpwstr/>
      </vt:variant>
      <vt:variant>
        <vt:lpwstr>_Toc207195873</vt:lpwstr>
      </vt:variant>
      <vt:variant>
        <vt:i4>1310772</vt:i4>
      </vt:variant>
      <vt:variant>
        <vt:i4>38</vt:i4>
      </vt:variant>
      <vt:variant>
        <vt:i4>0</vt:i4>
      </vt:variant>
      <vt:variant>
        <vt:i4>5</vt:i4>
      </vt:variant>
      <vt:variant>
        <vt:lpwstr/>
      </vt:variant>
      <vt:variant>
        <vt:lpwstr>_Toc207195872</vt:lpwstr>
      </vt:variant>
      <vt:variant>
        <vt:i4>1310772</vt:i4>
      </vt:variant>
      <vt:variant>
        <vt:i4>32</vt:i4>
      </vt:variant>
      <vt:variant>
        <vt:i4>0</vt:i4>
      </vt:variant>
      <vt:variant>
        <vt:i4>5</vt:i4>
      </vt:variant>
      <vt:variant>
        <vt:lpwstr/>
      </vt:variant>
      <vt:variant>
        <vt:lpwstr>_Toc207195871</vt:lpwstr>
      </vt:variant>
      <vt:variant>
        <vt:i4>1310772</vt:i4>
      </vt:variant>
      <vt:variant>
        <vt:i4>26</vt:i4>
      </vt:variant>
      <vt:variant>
        <vt:i4>0</vt:i4>
      </vt:variant>
      <vt:variant>
        <vt:i4>5</vt:i4>
      </vt:variant>
      <vt:variant>
        <vt:lpwstr/>
      </vt:variant>
      <vt:variant>
        <vt:lpwstr>_Toc207195870</vt:lpwstr>
      </vt:variant>
      <vt:variant>
        <vt:i4>1376308</vt:i4>
      </vt:variant>
      <vt:variant>
        <vt:i4>20</vt:i4>
      </vt:variant>
      <vt:variant>
        <vt:i4>0</vt:i4>
      </vt:variant>
      <vt:variant>
        <vt:i4>5</vt:i4>
      </vt:variant>
      <vt:variant>
        <vt:lpwstr/>
      </vt:variant>
      <vt:variant>
        <vt:lpwstr>_Toc207195869</vt:lpwstr>
      </vt:variant>
      <vt:variant>
        <vt:i4>1376308</vt:i4>
      </vt:variant>
      <vt:variant>
        <vt:i4>14</vt:i4>
      </vt:variant>
      <vt:variant>
        <vt:i4>0</vt:i4>
      </vt:variant>
      <vt:variant>
        <vt:i4>5</vt:i4>
      </vt:variant>
      <vt:variant>
        <vt:lpwstr/>
      </vt:variant>
      <vt:variant>
        <vt:lpwstr>_Toc207195868</vt:lpwstr>
      </vt:variant>
      <vt:variant>
        <vt:i4>1376308</vt:i4>
      </vt:variant>
      <vt:variant>
        <vt:i4>8</vt:i4>
      </vt:variant>
      <vt:variant>
        <vt:i4>0</vt:i4>
      </vt:variant>
      <vt:variant>
        <vt:i4>5</vt:i4>
      </vt:variant>
      <vt:variant>
        <vt:lpwstr/>
      </vt:variant>
      <vt:variant>
        <vt:lpwstr>_Toc207195867</vt:lpwstr>
      </vt:variant>
      <vt:variant>
        <vt:i4>1376308</vt:i4>
      </vt:variant>
      <vt:variant>
        <vt:i4>2</vt:i4>
      </vt:variant>
      <vt:variant>
        <vt:i4>0</vt:i4>
      </vt:variant>
      <vt:variant>
        <vt:i4>5</vt:i4>
      </vt:variant>
      <vt:variant>
        <vt:lpwstr/>
      </vt:variant>
      <vt:variant>
        <vt:lpwstr>_Toc207195866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 and Social Costing of Gambling in Aotearoa New Zealand 2023-24</dc:title>
  <dc:subject/>
  <dc:creator>CQUniversity</dc:creator>
  <cp:keywords/>
  <dc:description/>
  <cp:lastModifiedBy>Steve Murray</cp:lastModifiedBy>
  <cp:revision>70</cp:revision>
  <cp:lastPrinted>2025-12-15T22:29:00Z</cp:lastPrinted>
  <dcterms:created xsi:type="dcterms:W3CDTF">2025-08-27T23:03:00Z</dcterms:created>
  <dcterms:modified xsi:type="dcterms:W3CDTF">2025-12-15T01:29:00Z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0x0101007BA1164CF1528342A046E742A1DEEBFB</vt:lpwstr>
  </property>
  <property fmtid="{D5CDD505-2E9C-101B-9397-08002B2CF9AE}" pid="3" name="_dlc_DocIdItemGuid">
    <vt:lpwstr>e9527094-77cc-4526-a22c-89ce1c8403b8</vt:lpwstr>
  </property>
  <property fmtid="{D5CDD505-2E9C-101B-9397-08002B2CF9AE}" pid="4" name="MediaServiceImageTags">
    <vt:lpwstr/>
  </property>
  <property fmtid="{D5CDD505-2E9C-101B-9397-08002B2CF9AE}" pid="5" name="docLang">
    <vt:lpwstr>en</vt:lpwstr>
  </property>
</Properties>
</file>