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CA36" w14:textId="77777777" w:rsidR="00DB6594" w:rsidRDefault="007800E0" w:rsidP="00FB62BF">
      <w:pPr>
        <w:pStyle w:val="Subhead"/>
        <w:spacing w:before="240"/>
        <w:rPr>
          <w:rFonts w:ascii="Segoe UI Black" w:hAnsi="Segoe UI Black" w:cs="Lucida Sans Unicode"/>
          <w:b/>
          <w:bCs/>
          <w:sz w:val="72"/>
          <w:szCs w:val="72"/>
        </w:rPr>
      </w:pPr>
      <w:bookmarkStart w:id="0" w:name="_Hlk202449675"/>
      <w:r w:rsidRPr="00D24C04">
        <w:rPr>
          <w:rFonts w:ascii="Segoe UI Black" w:hAnsi="Segoe UI Black" w:cs="Lucida Sans Unicode"/>
          <w:b/>
          <w:bCs/>
          <w:sz w:val="72"/>
          <w:szCs w:val="72"/>
        </w:rPr>
        <w:t>N</w:t>
      </w:r>
      <w:r>
        <w:rPr>
          <w:rFonts w:ascii="Segoe UI Black" w:hAnsi="Segoe UI Black" w:cs="Lucida Sans Unicode"/>
          <w:b/>
          <w:bCs/>
          <w:sz w:val="72"/>
          <w:szCs w:val="72"/>
        </w:rPr>
        <w:t>ew</w:t>
      </w:r>
      <w:r w:rsidRPr="00D24C04">
        <w:rPr>
          <w:rFonts w:ascii="Segoe UI Black" w:hAnsi="Segoe UI Black" w:cs="Lucida Sans Unicode"/>
          <w:b/>
          <w:bCs/>
          <w:sz w:val="72"/>
          <w:szCs w:val="72"/>
        </w:rPr>
        <w:t xml:space="preserve"> Z</w:t>
      </w:r>
      <w:r>
        <w:rPr>
          <w:rFonts w:ascii="Segoe UI Black" w:hAnsi="Segoe UI Black" w:cs="Lucida Sans Unicode"/>
          <w:b/>
          <w:bCs/>
          <w:sz w:val="72"/>
          <w:szCs w:val="72"/>
        </w:rPr>
        <w:t>ealand</w:t>
      </w:r>
      <w:r w:rsidRPr="00D24C04">
        <w:rPr>
          <w:rFonts w:ascii="Segoe UI Black" w:hAnsi="Segoe UI Black" w:cs="Lucida Sans Unicode"/>
          <w:b/>
          <w:bCs/>
          <w:sz w:val="72"/>
          <w:szCs w:val="72"/>
        </w:rPr>
        <w:t xml:space="preserve"> </w:t>
      </w:r>
      <w:r w:rsidR="004A128F" w:rsidRPr="00D24C04">
        <w:rPr>
          <w:rFonts w:ascii="Segoe UI Black" w:hAnsi="Segoe UI Black" w:cs="Lucida Sans Unicode"/>
          <w:b/>
          <w:bCs/>
          <w:sz w:val="72"/>
          <w:szCs w:val="72"/>
        </w:rPr>
        <w:t>C</w:t>
      </w:r>
      <w:r w:rsidR="004A128F">
        <w:rPr>
          <w:rFonts w:ascii="Segoe UI Black" w:hAnsi="Segoe UI Black" w:cs="Lucida Sans Unicode"/>
          <w:b/>
          <w:bCs/>
          <w:sz w:val="72"/>
          <w:szCs w:val="72"/>
        </w:rPr>
        <w:t>linical</w:t>
      </w:r>
      <w:r w:rsidR="004A128F" w:rsidRPr="00D24C04">
        <w:rPr>
          <w:rFonts w:ascii="Segoe UI Black" w:hAnsi="Segoe UI Black" w:cs="Lucida Sans Unicode"/>
          <w:b/>
          <w:bCs/>
          <w:sz w:val="72"/>
          <w:szCs w:val="72"/>
        </w:rPr>
        <w:t xml:space="preserve"> P</w:t>
      </w:r>
      <w:r w:rsidR="004A128F">
        <w:rPr>
          <w:rFonts w:ascii="Segoe UI Black" w:hAnsi="Segoe UI Black" w:cs="Lucida Sans Unicode"/>
          <w:b/>
          <w:bCs/>
          <w:sz w:val="72"/>
          <w:szCs w:val="72"/>
        </w:rPr>
        <w:t>rinciples</w:t>
      </w:r>
      <w:r w:rsidR="004A128F" w:rsidRPr="00D24C04">
        <w:rPr>
          <w:rFonts w:ascii="Segoe UI Black" w:hAnsi="Segoe UI Black" w:cs="Lucida Sans Unicode"/>
          <w:b/>
          <w:bCs/>
          <w:sz w:val="72"/>
          <w:szCs w:val="72"/>
        </w:rPr>
        <w:t xml:space="preserve"> F</w:t>
      </w:r>
      <w:r w:rsidR="004A128F">
        <w:rPr>
          <w:rFonts w:ascii="Segoe UI Black" w:hAnsi="Segoe UI Black" w:cs="Lucida Sans Unicode"/>
          <w:b/>
          <w:bCs/>
          <w:sz w:val="72"/>
          <w:szCs w:val="72"/>
        </w:rPr>
        <w:t>ramework</w:t>
      </w:r>
      <w:r w:rsidR="004A128F" w:rsidRPr="00AF007C">
        <w:rPr>
          <w:rFonts w:ascii="Segoe UI Black" w:hAnsi="Segoe UI Black" w:cs="Lucida Sans Unicode"/>
          <w:b/>
          <w:bCs/>
          <w:sz w:val="72"/>
          <w:szCs w:val="72"/>
        </w:rPr>
        <w:t xml:space="preserve"> </w:t>
      </w:r>
      <w:r w:rsidR="004A128F">
        <w:rPr>
          <w:rFonts w:ascii="Segoe UI Black" w:hAnsi="Segoe UI Black" w:cs="Lucida Sans Unicode"/>
          <w:b/>
          <w:bCs/>
          <w:sz w:val="72"/>
          <w:szCs w:val="72"/>
        </w:rPr>
        <w:t xml:space="preserve">for </w:t>
      </w:r>
      <w:r w:rsidRPr="00AF007C">
        <w:rPr>
          <w:rFonts w:ascii="Segoe UI Black" w:hAnsi="Segoe UI Black" w:cs="Lucida Sans Unicode"/>
          <w:b/>
          <w:bCs/>
          <w:sz w:val="72"/>
          <w:szCs w:val="72"/>
        </w:rPr>
        <w:t>A</w:t>
      </w:r>
      <w:r>
        <w:rPr>
          <w:rFonts w:ascii="Segoe UI Black" w:hAnsi="Segoe UI Black" w:cs="Lucida Sans Unicode"/>
          <w:b/>
          <w:bCs/>
          <w:sz w:val="72"/>
          <w:szCs w:val="72"/>
        </w:rPr>
        <w:t>ttention</w:t>
      </w:r>
      <w:r w:rsidRPr="00AF007C">
        <w:rPr>
          <w:rFonts w:ascii="Segoe UI Black" w:hAnsi="Segoe UI Black" w:cs="Lucida Sans Unicode"/>
          <w:b/>
          <w:bCs/>
          <w:sz w:val="72"/>
          <w:szCs w:val="72"/>
        </w:rPr>
        <w:t xml:space="preserve"> D</w:t>
      </w:r>
      <w:r>
        <w:rPr>
          <w:rFonts w:ascii="Segoe UI Black" w:hAnsi="Segoe UI Black" w:cs="Lucida Sans Unicode"/>
          <w:b/>
          <w:bCs/>
          <w:sz w:val="72"/>
          <w:szCs w:val="72"/>
        </w:rPr>
        <w:t>eficit</w:t>
      </w:r>
      <w:r w:rsidRPr="00AF007C">
        <w:rPr>
          <w:rFonts w:ascii="Segoe UI Black" w:hAnsi="Segoe UI Black" w:cs="Lucida Sans Unicode"/>
          <w:b/>
          <w:bCs/>
          <w:sz w:val="72"/>
          <w:szCs w:val="72"/>
        </w:rPr>
        <w:t xml:space="preserve"> H</w:t>
      </w:r>
      <w:r>
        <w:rPr>
          <w:rFonts w:ascii="Segoe UI Black" w:hAnsi="Segoe UI Black" w:cs="Lucida Sans Unicode"/>
          <w:b/>
          <w:bCs/>
          <w:sz w:val="72"/>
          <w:szCs w:val="72"/>
        </w:rPr>
        <w:t>yperactivity</w:t>
      </w:r>
      <w:r w:rsidRPr="00AF007C">
        <w:rPr>
          <w:rFonts w:ascii="Segoe UI Black" w:hAnsi="Segoe UI Black" w:cs="Lucida Sans Unicode"/>
          <w:b/>
          <w:bCs/>
          <w:sz w:val="72"/>
          <w:szCs w:val="72"/>
        </w:rPr>
        <w:t xml:space="preserve"> D</w:t>
      </w:r>
      <w:r>
        <w:rPr>
          <w:rFonts w:ascii="Segoe UI Black" w:hAnsi="Segoe UI Black" w:cs="Lucida Sans Unicode"/>
          <w:b/>
          <w:bCs/>
          <w:sz w:val="72"/>
          <w:szCs w:val="72"/>
        </w:rPr>
        <w:t>isorder</w:t>
      </w:r>
    </w:p>
    <w:p w14:paraId="45319C14" w14:textId="2B45AB19" w:rsidR="00D24C04" w:rsidRPr="003E7042" w:rsidRDefault="00CA1F16" w:rsidP="009457F3">
      <w:pPr>
        <w:pStyle w:val="Year"/>
      </w:pPr>
      <w:r>
        <w:t xml:space="preserve">Updated </w:t>
      </w:r>
      <w:r w:rsidR="003E7042">
        <w:t>September 2025</w:t>
      </w:r>
    </w:p>
    <w:p w14:paraId="2A961E80" w14:textId="2AA3A620" w:rsidR="00531E12" w:rsidRPr="00531E12" w:rsidRDefault="00531E12" w:rsidP="00531E12">
      <w:pPr>
        <w:pStyle w:val="Year"/>
      </w:pPr>
      <w:bookmarkStart w:id="1" w:name="_Hlk202449688"/>
      <w:bookmarkEnd w:id="0"/>
    </w:p>
    <w:bookmarkEnd w:id="1"/>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32A4C763" w14:textId="06E23E03" w:rsidR="009A42D5" w:rsidRPr="00A63DFF" w:rsidRDefault="004B4715" w:rsidP="00C05132">
      <w:pPr>
        <w:rPr>
          <w:rFonts w:asciiTheme="minorHAnsi" w:hAnsiTheme="minorHAnsi" w:cstheme="minorHAnsi"/>
          <w:b/>
          <w:spacing w:val="10"/>
          <w:sz w:val="36"/>
          <w:szCs w:val="36"/>
        </w:rPr>
      </w:pPr>
      <w:r w:rsidRPr="00A63DFF">
        <w:rPr>
          <w:rFonts w:asciiTheme="minorHAnsi" w:hAnsiTheme="minorHAnsi" w:cstheme="minorHAnsi"/>
          <w:b/>
          <w:spacing w:val="10"/>
          <w:sz w:val="36"/>
          <w:szCs w:val="36"/>
        </w:rPr>
        <w:lastRenderedPageBreak/>
        <w:t>A</w:t>
      </w:r>
      <w:r>
        <w:rPr>
          <w:rFonts w:asciiTheme="minorHAnsi" w:hAnsiTheme="minorHAnsi" w:cstheme="minorHAnsi"/>
          <w:b/>
          <w:spacing w:val="10"/>
          <w:sz w:val="36"/>
          <w:szCs w:val="36"/>
        </w:rPr>
        <w:t>cknowledgements</w:t>
      </w:r>
    </w:p>
    <w:p w14:paraId="3AAEC8DC" w14:textId="6FDE993E" w:rsidR="00736425" w:rsidRDefault="23901125" w:rsidP="093461A9">
      <w:pPr>
        <w:spacing w:before="120"/>
        <w:rPr>
          <w:rFonts w:cs="Segoe UI"/>
          <w:sz w:val="20"/>
        </w:rPr>
      </w:pPr>
      <w:bookmarkStart w:id="2" w:name="_Hlk202449721"/>
      <w:r w:rsidRPr="093461A9">
        <w:rPr>
          <w:rFonts w:cs="Segoe UI"/>
          <w:sz w:val="20"/>
        </w:rPr>
        <w:t>Thank you to the representatives from ADHD New Zealand, Nurse Practitioners New Zealand, the Royal Australian and New Zealand College of Psychiatrists, the Royal Australasian College of Physicians, New Zealand College of Clinical Psychologists, the Royal New Zealand College of General Practitioners, the Paediatric Society of New Zealand, Young Neurodiversity Champions</w:t>
      </w:r>
      <w:r w:rsidR="3F0B3071" w:rsidRPr="093461A9">
        <w:rPr>
          <w:rFonts w:cs="Segoe UI"/>
          <w:sz w:val="20"/>
        </w:rPr>
        <w:t>, and the New Zealand Psychologists Board</w:t>
      </w:r>
      <w:r w:rsidRPr="093461A9">
        <w:rPr>
          <w:rFonts w:cs="Segoe UI"/>
          <w:sz w:val="20"/>
        </w:rPr>
        <w:t>.</w:t>
      </w:r>
    </w:p>
    <w:p w14:paraId="1338487F" w14:textId="77777777" w:rsidR="00736425" w:rsidRDefault="00736425" w:rsidP="093461A9">
      <w:pPr>
        <w:spacing w:before="120"/>
        <w:rPr>
          <w:rFonts w:cs="Segoe UI"/>
          <w:sz w:val="20"/>
        </w:rPr>
      </w:pPr>
    </w:p>
    <w:p w14:paraId="061B5888" w14:textId="77777777" w:rsidR="00736425" w:rsidRPr="00736425" w:rsidRDefault="00736425" w:rsidP="00736425">
      <w:pPr>
        <w:spacing w:before="120"/>
        <w:rPr>
          <w:rFonts w:cs="Segoe UI"/>
          <w:sz w:val="20"/>
        </w:rPr>
      </w:pPr>
      <w:r w:rsidRPr="00736425">
        <w:rPr>
          <w:rFonts w:cs="Segoe UI"/>
          <w:sz w:val="20"/>
        </w:rPr>
        <w:t>Revision history</w:t>
      </w:r>
    </w:p>
    <w:tbl>
      <w:tblPr>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CellMar>
          <w:left w:w="57" w:type="dxa"/>
          <w:right w:w="57" w:type="dxa"/>
        </w:tblCellMar>
        <w:tblLook w:val="04A0" w:firstRow="1" w:lastRow="0" w:firstColumn="1" w:lastColumn="0" w:noHBand="0" w:noVBand="1"/>
      </w:tblPr>
      <w:tblGrid>
        <w:gridCol w:w="1682"/>
        <w:gridCol w:w="5689"/>
      </w:tblGrid>
      <w:tr w:rsidR="00736425" w:rsidRPr="00736425" w14:paraId="3E3441F7" w14:textId="77777777" w:rsidTr="00736425">
        <w:trPr>
          <w:cantSplit/>
        </w:trPr>
        <w:tc>
          <w:tcPr>
            <w:tcW w:w="1141" w:type="pct"/>
            <w:tcBorders>
              <w:top w:val="nil"/>
              <w:left w:val="nil"/>
              <w:bottom w:val="nil"/>
              <w:right w:val="single" w:sz="8" w:space="0" w:color="FFFFFF" w:themeColor="background1"/>
            </w:tcBorders>
            <w:shd w:val="clear" w:color="auto" w:fill="D9D9D9" w:themeFill="background1" w:themeFillShade="D9"/>
            <w:hideMark/>
          </w:tcPr>
          <w:p w14:paraId="62201559" w14:textId="77777777" w:rsidR="00736425" w:rsidRPr="00736425" w:rsidRDefault="00736425" w:rsidP="00736425">
            <w:pPr>
              <w:spacing w:before="120"/>
              <w:rPr>
                <w:rFonts w:cs="Segoe UI"/>
                <w:b/>
                <w:bCs/>
                <w:sz w:val="20"/>
              </w:rPr>
            </w:pPr>
            <w:r w:rsidRPr="00736425">
              <w:rPr>
                <w:rFonts w:cs="Segoe UI"/>
                <w:b/>
                <w:bCs/>
                <w:sz w:val="20"/>
              </w:rPr>
              <w:t>Updated</w:t>
            </w:r>
          </w:p>
        </w:tc>
        <w:tc>
          <w:tcPr>
            <w:tcW w:w="3859" w:type="pct"/>
            <w:tcBorders>
              <w:top w:val="nil"/>
              <w:left w:val="single" w:sz="8" w:space="0" w:color="FFFFFF" w:themeColor="background1"/>
              <w:bottom w:val="nil"/>
              <w:right w:val="nil"/>
            </w:tcBorders>
            <w:shd w:val="clear" w:color="auto" w:fill="D9D9D9" w:themeFill="background1" w:themeFillShade="D9"/>
            <w:hideMark/>
          </w:tcPr>
          <w:p w14:paraId="03DFDD2A" w14:textId="77777777" w:rsidR="00736425" w:rsidRPr="00736425" w:rsidRDefault="00736425" w:rsidP="00736425">
            <w:pPr>
              <w:spacing w:before="120"/>
              <w:rPr>
                <w:rFonts w:cs="Segoe UI"/>
                <w:sz w:val="20"/>
              </w:rPr>
            </w:pPr>
            <w:r w:rsidRPr="00736425">
              <w:rPr>
                <w:rFonts w:cs="Segoe UI"/>
                <w:sz w:val="20"/>
              </w:rPr>
              <w:t>Details</w:t>
            </w:r>
          </w:p>
        </w:tc>
      </w:tr>
      <w:tr w:rsidR="00736425" w:rsidRPr="00736425" w14:paraId="573D62A8" w14:textId="77777777" w:rsidTr="00736425">
        <w:trPr>
          <w:cantSplit/>
        </w:trPr>
        <w:tc>
          <w:tcPr>
            <w:tcW w:w="1141" w:type="pct"/>
            <w:tcBorders>
              <w:top w:val="nil"/>
              <w:left w:val="nil"/>
              <w:bottom w:val="single" w:sz="8" w:space="0" w:color="A6A6A6" w:themeColor="background1" w:themeShade="A6"/>
              <w:right w:val="nil"/>
            </w:tcBorders>
            <w:hideMark/>
          </w:tcPr>
          <w:p w14:paraId="75D372ED" w14:textId="4412CEC8" w:rsidR="00736425" w:rsidRPr="00736425" w:rsidRDefault="0047147B" w:rsidP="00736425">
            <w:pPr>
              <w:spacing w:before="120"/>
              <w:rPr>
                <w:rFonts w:cs="Segoe UI"/>
                <w:sz w:val="20"/>
              </w:rPr>
            </w:pPr>
            <w:r>
              <w:rPr>
                <w:rFonts w:cs="Segoe UI"/>
                <w:sz w:val="20"/>
              </w:rPr>
              <w:t>July 2025</w:t>
            </w:r>
          </w:p>
        </w:tc>
        <w:tc>
          <w:tcPr>
            <w:tcW w:w="3859" w:type="pct"/>
            <w:tcBorders>
              <w:top w:val="nil"/>
              <w:left w:val="nil"/>
              <w:bottom w:val="single" w:sz="4" w:space="0" w:color="A6A6A6" w:themeColor="background1" w:themeShade="A6"/>
              <w:right w:val="nil"/>
            </w:tcBorders>
            <w:hideMark/>
          </w:tcPr>
          <w:p w14:paraId="4BECD1E7" w14:textId="246612A0" w:rsidR="00736425" w:rsidRPr="00736425" w:rsidRDefault="00736425" w:rsidP="00736425">
            <w:pPr>
              <w:spacing w:before="120"/>
              <w:rPr>
                <w:rFonts w:cs="Segoe UI"/>
                <w:sz w:val="20"/>
              </w:rPr>
            </w:pPr>
            <w:r>
              <w:rPr>
                <w:rFonts w:cs="Segoe UI"/>
                <w:i/>
                <w:iCs/>
                <w:sz w:val="20"/>
              </w:rPr>
              <w:t xml:space="preserve">New Zealand Attention Deficit Hyperactivity Disorder Clinical Principles </w:t>
            </w:r>
            <w:r w:rsidRPr="00736425">
              <w:rPr>
                <w:rFonts w:cs="Segoe UI"/>
                <w:sz w:val="20"/>
              </w:rPr>
              <w:t>published.</w:t>
            </w:r>
          </w:p>
        </w:tc>
      </w:tr>
      <w:tr w:rsidR="00736425" w:rsidRPr="00736425" w14:paraId="48A4FDB6" w14:textId="77777777" w:rsidTr="00736425">
        <w:trPr>
          <w:cantSplit/>
        </w:trPr>
        <w:tc>
          <w:tcPr>
            <w:tcW w:w="1141" w:type="pct"/>
            <w:tcBorders>
              <w:top w:val="nil"/>
              <w:left w:val="nil"/>
              <w:bottom w:val="single" w:sz="8" w:space="0" w:color="A6A6A6" w:themeColor="background1" w:themeShade="A6"/>
              <w:right w:val="nil"/>
            </w:tcBorders>
            <w:hideMark/>
          </w:tcPr>
          <w:p w14:paraId="68FEBBC4" w14:textId="289BD12D" w:rsidR="00736425" w:rsidRPr="00736425" w:rsidRDefault="0047147B" w:rsidP="00736425">
            <w:pPr>
              <w:spacing w:before="120"/>
              <w:rPr>
                <w:rFonts w:cs="Segoe UI"/>
                <w:sz w:val="20"/>
              </w:rPr>
            </w:pPr>
            <w:r>
              <w:rPr>
                <w:rFonts w:cs="Segoe UI"/>
                <w:sz w:val="20"/>
              </w:rPr>
              <w:t>September 2025</w:t>
            </w:r>
          </w:p>
        </w:tc>
        <w:tc>
          <w:tcPr>
            <w:tcW w:w="3859" w:type="pct"/>
            <w:tcBorders>
              <w:top w:val="nil"/>
              <w:left w:val="nil"/>
              <w:bottom w:val="single" w:sz="4" w:space="0" w:color="A6A6A6" w:themeColor="background1" w:themeShade="A6"/>
              <w:right w:val="nil"/>
            </w:tcBorders>
            <w:hideMark/>
          </w:tcPr>
          <w:p w14:paraId="0F764E42" w14:textId="4506AC0A" w:rsidR="00736425" w:rsidRPr="00736425" w:rsidRDefault="00991D35" w:rsidP="00736425">
            <w:pPr>
              <w:spacing w:before="120"/>
              <w:rPr>
                <w:rFonts w:cs="Segoe UI"/>
                <w:sz w:val="20"/>
              </w:rPr>
            </w:pPr>
            <w:r>
              <w:rPr>
                <w:rFonts w:cs="Segoe UI"/>
                <w:sz w:val="20"/>
              </w:rPr>
              <w:t>General</w:t>
            </w:r>
            <w:r w:rsidR="00CF0546">
              <w:rPr>
                <w:rFonts w:cs="Segoe UI"/>
                <w:sz w:val="20"/>
              </w:rPr>
              <w:t xml:space="preserve"> principles updated</w:t>
            </w:r>
            <w:r w:rsidR="00107471">
              <w:rPr>
                <w:rFonts w:cs="Segoe UI"/>
                <w:sz w:val="20"/>
              </w:rPr>
              <w:t>.</w:t>
            </w:r>
          </w:p>
        </w:tc>
      </w:tr>
    </w:tbl>
    <w:p w14:paraId="015A5D01" w14:textId="77777777" w:rsidR="00736425" w:rsidRPr="00C05132" w:rsidRDefault="00736425" w:rsidP="093461A9">
      <w:pPr>
        <w:spacing w:before="120"/>
        <w:rPr>
          <w:rFonts w:cs="Segoe UI"/>
          <w:sz w:val="20"/>
        </w:rPr>
      </w:pPr>
    </w:p>
    <w:bookmarkEnd w:id="2"/>
    <w:p w14:paraId="358CE3BA" w14:textId="6C6D7D3B" w:rsidR="00A80363" w:rsidRPr="00C05132" w:rsidRDefault="00A80363" w:rsidP="00A63DFF">
      <w:pPr>
        <w:pStyle w:val="Imprint"/>
        <w:spacing w:before="1200"/>
        <w:rPr>
          <w:rFonts w:cs="Segoe UI"/>
        </w:rPr>
      </w:pPr>
      <w:r w:rsidRPr="00C05132">
        <w:rPr>
          <w:rFonts w:cs="Segoe UI"/>
        </w:rPr>
        <w:t xml:space="preserve">Citation: </w:t>
      </w:r>
      <w:r w:rsidR="00442C1C" w:rsidRPr="00C05132">
        <w:rPr>
          <w:rFonts w:cs="Segoe UI"/>
        </w:rPr>
        <w:t xml:space="preserve">Ministry of Health. </w:t>
      </w:r>
      <w:r w:rsidR="006C7B5C">
        <w:rPr>
          <w:rFonts w:cs="Segoe UI"/>
        </w:rPr>
        <w:t>2025</w:t>
      </w:r>
      <w:r w:rsidR="00442C1C" w:rsidRPr="00C05132">
        <w:rPr>
          <w:rFonts w:cs="Segoe UI"/>
        </w:rPr>
        <w:t xml:space="preserve">. </w:t>
      </w:r>
      <w:r w:rsidR="00C02AA7" w:rsidRPr="006C7B5C">
        <w:rPr>
          <w:rFonts w:cs="Segoe UI"/>
          <w:i/>
        </w:rPr>
        <w:t xml:space="preserve">New Zealand </w:t>
      </w:r>
      <w:r w:rsidR="00C02AA7" w:rsidRPr="00FB62BF">
        <w:rPr>
          <w:i/>
          <w:iCs/>
        </w:rPr>
        <w:t>Attention Deficit Hyperactivity Disorder</w:t>
      </w:r>
      <w:r w:rsidR="006C7B5C" w:rsidRPr="006C7B5C">
        <w:rPr>
          <w:rFonts w:cs="Segoe UI"/>
          <w:i/>
        </w:rPr>
        <w:t xml:space="preserve"> </w:t>
      </w:r>
      <w:r w:rsidR="00C02AA7" w:rsidRPr="006C7B5C">
        <w:rPr>
          <w:rFonts w:cs="Segoe UI"/>
          <w:i/>
        </w:rPr>
        <w:t>Clinical Principles Framework</w:t>
      </w:r>
      <w:r w:rsidR="00442C1C" w:rsidRPr="00C05132">
        <w:rPr>
          <w:rFonts w:cs="Segoe UI"/>
        </w:rPr>
        <w:t>. Wellington: Ministry of Health.</w:t>
      </w:r>
    </w:p>
    <w:p w14:paraId="7909192E" w14:textId="166878B4" w:rsidR="00C86248" w:rsidRDefault="007A4685" w:rsidP="093461A9">
      <w:pPr>
        <w:pStyle w:val="Imprint"/>
        <w:spacing w:after="0"/>
      </w:pPr>
      <w:r>
        <w:t xml:space="preserve">Published in </w:t>
      </w:r>
      <w:r w:rsidR="57916367">
        <w:t>September 2025</w:t>
      </w:r>
      <w:r>
        <w:t xml:space="preserve"> by the</w:t>
      </w:r>
      <w:r w:rsidR="00456027">
        <w:t xml:space="preserve"> </w:t>
      </w:r>
      <w:r w:rsidR="3E2BA7E8">
        <w:t>Ministry of Health</w:t>
      </w:r>
      <w:r w:rsidR="1A0C1D53">
        <w:br/>
      </w:r>
      <w:r w:rsidR="3E2BA7E8">
        <w:t>PO Box 5013, Wellington</w:t>
      </w:r>
      <w:r w:rsidR="14BE5A61">
        <w:t xml:space="preserve"> 614</w:t>
      </w:r>
      <w:r w:rsidR="1DC1F9DC">
        <w:t>0</w:t>
      </w:r>
      <w:r w:rsidR="3E2BA7E8">
        <w:t xml:space="preserve">, </w:t>
      </w:r>
      <w:r w:rsidR="3D7850B9">
        <w:t>New Zealand</w:t>
      </w:r>
    </w:p>
    <w:p w14:paraId="151268F3" w14:textId="1E50D037" w:rsidR="108C2735" w:rsidRDefault="108C2735" w:rsidP="093461A9"/>
    <w:p w14:paraId="6D17E5E8" w14:textId="6E791E87" w:rsidR="00082CD6" w:rsidRPr="009C0F2D" w:rsidRDefault="009A42D5" w:rsidP="00082CD6">
      <w:pPr>
        <w:pStyle w:val="Imprint"/>
      </w:pPr>
      <w:r>
        <w:t xml:space="preserve">ISBN </w:t>
      </w:r>
      <w:r w:rsidR="00CF0127" w:rsidRPr="00CF0127">
        <w:t>978-1-991324-39-9</w:t>
      </w:r>
      <w:r>
        <w:t xml:space="preserve"> </w:t>
      </w:r>
      <w:r w:rsidR="00D863D0">
        <w:t>(</w:t>
      </w:r>
      <w:r w:rsidR="00442C1C">
        <w:t>online</w:t>
      </w:r>
      <w:r w:rsidR="00D863D0">
        <w:t>)</w:t>
      </w:r>
      <w:r w:rsidR="00082CD6">
        <w:br/>
      </w:r>
      <w:r w:rsidR="00082CD6" w:rsidRPr="009C0F2D">
        <w:t xml:space="preserve">HP </w:t>
      </w:r>
      <w:r w:rsidR="00A77CFF">
        <w:t>9132</w:t>
      </w:r>
    </w:p>
    <w:p w14:paraId="48DBDA36" w14:textId="7263F306" w:rsidR="00C86248" w:rsidRDefault="00EA608C" w:rsidP="00A63DFF">
      <w:r w:rsidRPr="003D7765">
        <w:rPr>
          <w:noProof/>
        </w:rPr>
        <w:drawing>
          <wp:inline distT="0" distB="0" distL="0" distR="0" wp14:anchorId="7F6F146D" wp14:editId="3EE42326">
            <wp:extent cx="1216800" cy="494305"/>
            <wp:effectExtent l="0" t="0" r="2540" b="1270"/>
            <wp:docPr id="1472750415" name="Picture 1472750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a:extLst>
                        <a:ext uri="{C183D7F6-B498-43B3-948B-1728B52AA6E4}">
                          <adec:decorative xmlns:adec="http://schemas.microsoft.com/office/drawing/2017/decorative" val="1"/>
                        </a:ext>
                      </a:extLst>
                    </pic:cNvPr>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66AC3429">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6"/>
          <w:footerReference w:type="default" r:id="rId17"/>
          <w:pgSz w:w="11907" w:h="16834" w:code="9"/>
          <w:pgMar w:top="1701" w:right="2268" w:bottom="1134" w:left="2268" w:header="0" w:footer="0" w:gutter="0"/>
          <w:cols w:space="720"/>
          <w:vAlign w:val="bottom"/>
        </w:sectPr>
      </w:pPr>
    </w:p>
    <w:p w14:paraId="648D4F84" w14:textId="028AC8FC" w:rsidR="00C86248" w:rsidRDefault="004B4715" w:rsidP="00025A6F">
      <w:pPr>
        <w:pStyle w:val="IntroHead"/>
      </w:pPr>
      <w:r>
        <w:lastRenderedPageBreak/>
        <w:t>Contents</w:t>
      </w:r>
    </w:p>
    <w:p w14:paraId="579EBEDB" w14:textId="2B4B910F" w:rsidR="00842202" w:rsidRDefault="00997B84">
      <w:pPr>
        <w:pStyle w:val="TOC1"/>
        <w:rPr>
          <w:rFonts w:asciiTheme="minorHAnsi" w:eastAsiaTheme="minorEastAsia" w:hAnsiTheme="minorHAnsi" w:cstheme="minorBidi"/>
          <w:noProof/>
          <w:kern w:val="2"/>
          <w:szCs w:val="24"/>
          <w:lang w:eastAsia="en-NZ"/>
          <w14:ligatures w14:val="standardContextual"/>
        </w:rPr>
      </w:pPr>
      <w:r>
        <w:rPr>
          <w:b/>
        </w:rPr>
        <w:fldChar w:fldCharType="begin"/>
      </w:r>
      <w:r>
        <w:rPr>
          <w:b/>
        </w:rPr>
        <w:instrText xml:space="preserve"> TOC \o "1-2" \h \z </w:instrText>
      </w:r>
      <w:r>
        <w:rPr>
          <w:b/>
        </w:rPr>
        <w:fldChar w:fldCharType="separate"/>
      </w:r>
      <w:hyperlink w:anchor="_Toc209607274" w:history="1">
        <w:r w:rsidR="00842202" w:rsidRPr="004471E4">
          <w:rPr>
            <w:rStyle w:val="Hyperlink"/>
            <w:bCs/>
            <w:noProof/>
          </w:rPr>
          <w:t>Introduction</w:t>
        </w:r>
        <w:r w:rsidR="00842202">
          <w:rPr>
            <w:noProof/>
            <w:webHidden/>
          </w:rPr>
          <w:tab/>
        </w:r>
        <w:r w:rsidR="00842202">
          <w:rPr>
            <w:noProof/>
            <w:webHidden/>
          </w:rPr>
          <w:fldChar w:fldCharType="begin"/>
        </w:r>
        <w:r w:rsidR="00842202">
          <w:rPr>
            <w:noProof/>
            <w:webHidden/>
          </w:rPr>
          <w:instrText xml:space="preserve"> PAGEREF _Toc209607274 \h </w:instrText>
        </w:r>
        <w:r w:rsidR="00842202">
          <w:rPr>
            <w:noProof/>
            <w:webHidden/>
          </w:rPr>
        </w:r>
        <w:r w:rsidR="00842202">
          <w:rPr>
            <w:noProof/>
            <w:webHidden/>
          </w:rPr>
          <w:fldChar w:fldCharType="separate"/>
        </w:r>
        <w:r w:rsidR="00526DB8">
          <w:rPr>
            <w:noProof/>
            <w:webHidden/>
          </w:rPr>
          <w:t>1</w:t>
        </w:r>
        <w:r w:rsidR="00842202">
          <w:rPr>
            <w:noProof/>
            <w:webHidden/>
          </w:rPr>
          <w:fldChar w:fldCharType="end"/>
        </w:r>
      </w:hyperlink>
    </w:p>
    <w:p w14:paraId="000CC8A1" w14:textId="2770674D" w:rsidR="00842202" w:rsidRDefault="00842202">
      <w:pPr>
        <w:pStyle w:val="TOC1"/>
        <w:rPr>
          <w:rFonts w:asciiTheme="minorHAnsi" w:eastAsiaTheme="minorEastAsia" w:hAnsiTheme="minorHAnsi" w:cstheme="minorBidi"/>
          <w:noProof/>
          <w:kern w:val="2"/>
          <w:szCs w:val="24"/>
          <w:lang w:eastAsia="en-NZ"/>
          <w14:ligatures w14:val="standardContextual"/>
        </w:rPr>
      </w:pPr>
      <w:hyperlink w:anchor="_Toc209607275" w:history="1">
        <w:r w:rsidRPr="004471E4">
          <w:rPr>
            <w:rStyle w:val="Hyperlink"/>
            <w:bCs/>
            <w:noProof/>
          </w:rPr>
          <w:t>Framework development</w:t>
        </w:r>
        <w:r>
          <w:rPr>
            <w:noProof/>
            <w:webHidden/>
          </w:rPr>
          <w:tab/>
        </w:r>
        <w:r>
          <w:rPr>
            <w:noProof/>
            <w:webHidden/>
          </w:rPr>
          <w:fldChar w:fldCharType="begin"/>
        </w:r>
        <w:r>
          <w:rPr>
            <w:noProof/>
            <w:webHidden/>
          </w:rPr>
          <w:instrText xml:space="preserve"> PAGEREF _Toc209607275 \h </w:instrText>
        </w:r>
        <w:r>
          <w:rPr>
            <w:noProof/>
            <w:webHidden/>
          </w:rPr>
        </w:r>
        <w:r>
          <w:rPr>
            <w:noProof/>
            <w:webHidden/>
          </w:rPr>
          <w:fldChar w:fldCharType="separate"/>
        </w:r>
        <w:r w:rsidR="00526DB8">
          <w:rPr>
            <w:noProof/>
            <w:webHidden/>
          </w:rPr>
          <w:t>2</w:t>
        </w:r>
        <w:r>
          <w:rPr>
            <w:noProof/>
            <w:webHidden/>
          </w:rPr>
          <w:fldChar w:fldCharType="end"/>
        </w:r>
      </w:hyperlink>
    </w:p>
    <w:p w14:paraId="05797FA4" w14:textId="5C53C6C3" w:rsidR="00842202" w:rsidRDefault="00842202">
      <w:pPr>
        <w:pStyle w:val="TOC1"/>
        <w:rPr>
          <w:rFonts w:asciiTheme="minorHAnsi" w:eastAsiaTheme="minorEastAsia" w:hAnsiTheme="minorHAnsi" w:cstheme="minorBidi"/>
          <w:noProof/>
          <w:kern w:val="2"/>
          <w:szCs w:val="24"/>
          <w:lang w:eastAsia="en-NZ"/>
          <w14:ligatures w14:val="standardContextual"/>
        </w:rPr>
      </w:pPr>
      <w:hyperlink w:anchor="_Toc209607276" w:history="1">
        <w:r w:rsidRPr="004471E4">
          <w:rPr>
            <w:rStyle w:val="Hyperlink"/>
            <w:bCs/>
            <w:noProof/>
          </w:rPr>
          <w:t>General principles</w:t>
        </w:r>
        <w:r>
          <w:rPr>
            <w:noProof/>
            <w:webHidden/>
          </w:rPr>
          <w:tab/>
        </w:r>
        <w:r>
          <w:rPr>
            <w:noProof/>
            <w:webHidden/>
          </w:rPr>
          <w:fldChar w:fldCharType="begin"/>
        </w:r>
        <w:r>
          <w:rPr>
            <w:noProof/>
            <w:webHidden/>
          </w:rPr>
          <w:instrText xml:space="preserve"> PAGEREF _Toc209607276 \h </w:instrText>
        </w:r>
        <w:r>
          <w:rPr>
            <w:noProof/>
            <w:webHidden/>
          </w:rPr>
        </w:r>
        <w:r>
          <w:rPr>
            <w:noProof/>
            <w:webHidden/>
          </w:rPr>
          <w:fldChar w:fldCharType="separate"/>
        </w:r>
        <w:r w:rsidR="00526DB8">
          <w:rPr>
            <w:noProof/>
            <w:webHidden/>
          </w:rPr>
          <w:t>3</w:t>
        </w:r>
        <w:r>
          <w:rPr>
            <w:noProof/>
            <w:webHidden/>
          </w:rPr>
          <w:fldChar w:fldCharType="end"/>
        </w:r>
      </w:hyperlink>
    </w:p>
    <w:p w14:paraId="21225E12" w14:textId="4A43770B" w:rsidR="00842202" w:rsidRDefault="00842202">
      <w:pPr>
        <w:pStyle w:val="TOC1"/>
        <w:rPr>
          <w:rFonts w:asciiTheme="minorHAnsi" w:eastAsiaTheme="minorEastAsia" w:hAnsiTheme="minorHAnsi" w:cstheme="minorBidi"/>
          <w:noProof/>
          <w:kern w:val="2"/>
          <w:szCs w:val="24"/>
          <w:lang w:eastAsia="en-NZ"/>
          <w14:ligatures w14:val="standardContextual"/>
        </w:rPr>
      </w:pPr>
      <w:hyperlink w:anchor="_Toc209607277" w:history="1">
        <w:r w:rsidRPr="004471E4">
          <w:rPr>
            <w:rStyle w:val="Hyperlink"/>
            <w:bCs/>
            <w:noProof/>
          </w:rPr>
          <w:t>Principles of assessment and treatment</w:t>
        </w:r>
        <w:r>
          <w:rPr>
            <w:noProof/>
            <w:webHidden/>
          </w:rPr>
          <w:tab/>
        </w:r>
        <w:r>
          <w:rPr>
            <w:noProof/>
            <w:webHidden/>
          </w:rPr>
          <w:fldChar w:fldCharType="begin"/>
        </w:r>
        <w:r>
          <w:rPr>
            <w:noProof/>
            <w:webHidden/>
          </w:rPr>
          <w:instrText xml:space="preserve"> PAGEREF _Toc209607277 \h </w:instrText>
        </w:r>
        <w:r>
          <w:rPr>
            <w:noProof/>
            <w:webHidden/>
          </w:rPr>
        </w:r>
        <w:r>
          <w:rPr>
            <w:noProof/>
            <w:webHidden/>
          </w:rPr>
          <w:fldChar w:fldCharType="separate"/>
        </w:r>
        <w:r w:rsidR="00526DB8">
          <w:rPr>
            <w:noProof/>
            <w:webHidden/>
          </w:rPr>
          <w:t>5</w:t>
        </w:r>
        <w:r>
          <w:rPr>
            <w:noProof/>
            <w:webHidden/>
          </w:rPr>
          <w:fldChar w:fldCharType="end"/>
        </w:r>
      </w:hyperlink>
    </w:p>
    <w:p w14:paraId="3E7F8F1B" w14:textId="7FF5B4B1" w:rsidR="00842202" w:rsidRDefault="00842202">
      <w:pPr>
        <w:pStyle w:val="TOC1"/>
        <w:rPr>
          <w:rFonts w:asciiTheme="minorHAnsi" w:eastAsiaTheme="minorEastAsia" w:hAnsiTheme="minorHAnsi" w:cstheme="minorBidi"/>
          <w:noProof/>
          <w:kern w:val="2"/>
          <w:szCs w:val="24"/>
          <w:lang w:eastAsia="en-NZ"/>
          <w14:ligatures w14:val="standardContextual"/>
        </w:rPr>
      </w:pPr>
      <w:hyperlink w:anchor="_Toc209607278" w:history="1">
        <w:r w:rsidRPr="004471E4">
          <w:rPr>
            <w:rStyle w:val="Hyperlink"/>
            <w:noProof/>
          </w:rPr>
          <w:t>Principles for children and young people</w:t>
        </w:r>
        <w:r>
          <w:rPr>
            <w:noProof/>
            <w:webHidden/>
          </w:rPr>
          <w:tab/>
        </w:r>
        <w:r>
          <w:rPr>
            <w:noProof/>
            <w:webHidden/>
          </w:rPr>
          <w:fldChar w:fldCharType="begin"/>
        </w:r>
        <w:r>
          <w:rPr>
            <w:noProof/>
            <w:webHidden/>
          </w:rPr>
          <w:instrText xml:space="preserve"> PAGEREF _Toc209607278 \h </w:instrText>
        </w:r>
        <w:r>
          <w:rPr>
            <w:noProof/>
            <w:webHidden/>
          </w:rPr>
        </w:r>
        <w:r>
          <w:rPr>
            <w:noProof/>
            <w:webHidden/>
          </w:rPr>
          <w:fldChar w:fldCharType="separate"/>
        </w:r>
        <w:r w:rsidR="00526DB8">
          <w:rPr>
            <w:noProof/>
            <w:webHidden/>
          </w:rPr>
          <w:t>6</w:t>
        </w:r>
        <w:r>
          <w:rPr>
            <w:noProof/>
            <w:webHidden/>
          </w:rPr>
          <w:fldChar w:fldCharType="end"/>
        </w:r>
      </w:hyperlink>
    </w:p>
    <w:p w14:paraId="3EA1D9C6" w14:textId="7F17553A" w:rsidR="00842202" w:rsidRDefault="00842202">
      <w:pPr>
        <w:pStyle w:val="TOC1"/>
        <w:rPr>
          <w:rFonts w:asciiTheme="minorHAnsi" w:eastAsiaTheme="minorEastAsia" w:hAnsiTheme="minorHAnsi" w:cstheme="minorBidi"/>
          <w:noProof/>
          <w:kern w:val="2"/>
          <w:szCs w:val="24"/>
          <w:lang w:eastAsia="en-NZ"/>
          <w14:ligatures w14:val="standardContextual"/>
        </w:rPr>
      </w:pPr>
      <w:hyperlink w:anchor="_Toc209607279" w:history="1">
        <w:r w:rsidRPr="004471E4">
          <w:rPr>
            <w:rStyle w:val="Hyperlink"/>
            <w:noProof/>
          </w:rPr>
          <w:t>Principles for adults</w:t>
        </w:r>
        <w:r>
          <w:rPr>
            <w:noProof/>
            <w:webHidden/>
          </w:rPr>
          <w:tab/>
        </w:r>
        <w:r>
          <w:rPr>
            <w:noProof/>
            <w:webHidden/>
          </w:rPr>
          <w:fldChar w:fldCharType="begin"/>
        </w:r>
        <w:r>
          <w:rPr>
            <w:noProof/>
            <w:webHidden/>
          </w:rPr>
          <w:instrText xml:space="preserve"> PAGEREF _Toc209607279 \h </w:instrText>
        </w:r>
        <w:r>
          <w:rPr>
            <w:noProof/>
            <w:webHidden/>
          </w:rPr>
        </w:r>
        <w:r>
          <w:rPr>
            <w:noProof/>
            <w:webHidden/>
          </w:rPr>
          <w:fldChar w:fldCharType="separate"/>
        </w:r>
        <w:r w:rsidR="00526DB8">
          <w:rPr>
            <w:noProof/>
            <w:webHidden/>
          </w:rPr>
          <w:t>9</w:t>
        </w:r>
        <w:r>
          <w:rPr>
            <w:noProof/>
            <w:webHidden/>
          </w:rPr>
          <w:fldChar w:fldCharType="end"/>
        </w:r>
      </w:hyperlink>
    </w:p>
    <w:p w14:paraId="622C4809" w14:textId="17010863" w:rsidR="00842202" w:rsidRDefault="00842202">
      <w:pPr>
        <w:pStyle w:val="TOC1"/>
        <w:rPr>
          <w:rFonts w:asciiTheme="minorHAnsi" w:eastAsiaTheme="minorEastAsia" w:hAnsiTheme="minorHAnsi" w:cstheme="minorBidi"/>
          <w:noProof/>
          <w:kern w:val="2"/>
          <w:szCs w:val="24"/>
          <w:lang w:eastAsia="en-NZ"/>
          <w14:ligatures w14:val="standardContextual"/>
        </w:rPr>
      </w:pPr>
      <w:hyperlink w:anchor="_Toc209607280" w:history="1">
        <w:r w:rsidRPr="004471E4">
          <w:rPr>
            <w:rStyle w:val="Hyperlink"/>
            <w:noProof/>
          </w:rPr>
          <w:t>References</w:t>
        </w:r>
        <w:r>
          <w:rPr>
            <w:noProof/>
            <w:webHidden/>
          </w:rPr>
          <w:tab/>
        </w:r>
        <w:r>
          <w:rPr>
            <w:noProof/>
            <w:webHidden/>
          </w:rPr>
          <w:fldChar w:fldCharType="begin"/>
        </w:r>
        <w:r>
          <w:rPr>
            <w:noProof/>
            <w:webHidden/>
          </w:rPr>
          <w:instrText xml:space="preserve"> PAGEREF _Toc209607280 \h </w:instrText>
        </w:r>
        <w:r>
          <w:rPr>
            <w:noProof/>
            <w:webHidden/>
          </w:rPr>
        </w:r>
        <w:r>
          <w:rPr>
            <w:noProof/>
            <w:webHidden/>
          </w:rPr>
          <w:fldChar w:fldCharType="separate"/>
        </w:r>
        <w:r w:rsidR="00526DB8">
          <w:rPr>
            <w:noProof/>
            <w:webHidden/>
          </w:rPr>
          <w:t>12</w:t>
        </w:r>
        <w:r>
          <w:rPr>
            <w:noProof/>
            <w:webHidden/>
          </w:rPr>
          <w:fldChar w:fldCharType="end"/>
        </w:r>
      </w:hyperlink>
    </w:p>
    <w:p w14:paraId="133A9219" w14:textId="57D46992" w:rsidR="00C86248" w:rsidRDefault="00997B84">
      <w:r>
        <w:rPr>
          <w:rFonts w:ascii="Segoe UI Semibold" w:hAnsi="Segoe UI Semibold"/>
          <w:b/>
          <w:sz w:val="24"/>
        </w:rPr>
        <w:fldChar w:fldCharType="end"/>
      </w:r>
    </w:p>
    <w:p w14:paraId="4A6797B1" w14:textId="65A03594" w:rsidR="002B76A7" w:rsidRDefault="002B76A7" w:rsidP="003A5FEA"/>
    <w:p w14:paraId="03333094" w14:textId="77777777" w:rsidR="001D3E4E" w:rsidRDefault="001D3E4E" w:rsidP="003A5FEA">
      <w:pPr>
        <w:sectPr w:rsidR="001D3E4E" w:rsidSect="0078658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00325EE3" w14:textId="1812BF27" w:rsidR="00F42244" w:rsidRPr="00F42244" w:rsidRDefault="000A5A3D" w:rsidP="00C15A61">
      <w:pPr>
        <w:pStyle w:val="Heading1"/>
        <w:spacing w:before="0"/>
        <w:rPr>
          <w:bCs/>
        </w:rPr>
      </w:pPr>
      <w:bookmarkStart w:id="3" w:name="_bookmark4"/>
      <w:bookmarkStart w:id="4" w:name="_Toc209607274"/>
      <w:bookmarkEnd w:id="3"/>
      <w:r>
        <w:rPr>
          <w:bCs/>
        </w:rPr>
        <w:lastRenderedPageBreak/>
        <w:t>Introduction</w:t>
      </w:r>
      <w:bookmarkEnd w:id="4"/>
    </w:p>
    <w:p w14:paraId="69BCE671" w14:textId="44DB36A4" w:rsidR="00C614A7" w:rsidRDefault="00C614A7" w:rsidP="00C15A61">
      <w:r>
        <w:t xml:space="preserve">Attention </w:t>
      </w:r>
      <w:r w:rsidR="00C057D8">
        <w:t>d</w:t>
      </w:r>
      <w:r>
        <w:t xml:space="preserve">eficit </w:t>
      </w:r>
      <w:r w:rsidR="00C057D8">
        <w:t>h</w:t>
      </w:r>
      <w:r>
        <w:t xml:space="preserve">yperactivity </w:t>
      </w:r>
      <w:r w:rsidR="00C057D8">
        <w:t>d</w:t>
      </w:r>
      <w:r>
        <w:t xml:space="preserve">isorder (ADHD) is a neurodevelopmental condition that begins in childhood or adolescence and can persist into adulthood. ADHD impacts on </w:t>
      </w:r>
      <w:r w:rsidR="00C057D8">
        <w:t xml:space="preserve">the functioning of </w:t>
      </w:r>
      <w:r>
        <w:t>a child, young person or adult</w:t>
      </w:r>
      <w:r w:rsidR="00C057D8">
        <w:t>,</w:t>
      </w:r>
      <w:r>
        <w:t xml:space="preserve"> including </w:t>
      </w:r>
      <w:r w:rsidR="00C057D8">
        <w:t xml:space="preserve">their </w:t>
      </w:r>
      <w:r>
        <w:t xml:space="preserve">social relationships, </w:t>
      </w:r>
      <w:r w:rsidR="242EAE9C">
        <w:t xml:space="preserve">health, </w:t>
      </w:r>
      <w:r>
        <w:t>education, employment and self-esteem</w:t>
      </w:r>
      <w:r w:rsidR="74984A72">
        <w:t>.</w:t>
      </w:r>
      <w:r>
        <w:t xml:space="preserve"> </w:t>
      </w:r>
    </w:p>
    <w:p w14:paraId="47D9528A" w14:textId="29A7FE5B" w:rsidR="7E647868" w:rsidRDefault="7E647868" w:rsidP="00C15A61"/>
    <w:p w14:paraId="1108CC38" w14:textId="721D4BF3" w:rsidR="00C057D8" w:rsidRDefault="00C614A7" w:rsidP="00C15A61">
      <w:r w:rsidRPr="00C614A7">
        <w:t xml:space="preserve">Symptoms </w:t>
      </w:r>
      <w:r w:rsidR="001E79C0">
        <w:t xml:space="preserve">of ADHD </w:t>
      </w:r>
      <w:r w:rsidRPr="00C614A7">
        <w:t>include</w:t>
      </w:r>
      <w:r w:rsidR="00C057D8">
        <w:t>:</w:t>
      </w:r>
    </w:p>
    <w:p w14:paraId="205AF757" w14:textId="5A1EF724" w:rsidR="00C057D8" w:rsidRDefault="00C614A7" w:rsidP="00C057D8">
      <w:pPr>
        <w:pStyle w:val="Bullet"/>
      </w:pPr>
      <w:r w:rsidRPr="00C614A7">
        <w:t>inattentive aspects such as difficulty concentrating, distractibility, a lack of persistence on tasks requiring sustained effort, forgetfulness and organisation challenges</w:t>
      </w:r>
      <w:r w:rsidR="00C057D8">
        <w:t>,</w:t>
      </w:r>
      <w:r w:rsidRPr="00C614A7">
        <w:t xml:space="preserve"> and/or </w:t>
      </w:r>
    </w:p>
    <w:p w14:paraId="6C963B8E" w14:textId="48539D80" w:rsidR="00C057D8" w:rsidRDefault="00C614A7" w:rsidP="0022360F">
      <w:pPr>
        <w:pStyle w:val="Bullet"/>
      </w:pPr>
      <w:r w:rsidRPr="00C614A7">
        <w:t xml:space="preserve">hyperactive-impulsive aspects such as restlessness, excessive activity, talkativeness </w:t>
      </w:r>
      <w:r w:rsidR="3C27FCED">
        <w:t xml:space="preserve">and </w:t>
      </w:r>
      <w:r w:rsidRPr="00C614A7">
        <w:t xml:space="preserve">impulsivity. </w:t>
      </w:r>
    </w:p>
    <w:p w14:paraId="7498DB60" w14:textId="77777777" w:rsidR="00C057D8" w:rsidRDefault="00C057D8" w:rsidP="00C614A7"/>
    <w:p w14:paraId="25D18FEA" w14:textId="2E517941" w:rsidR="00C614A7" w:rsidRDefault="00C614A7" w:rsidP="00C614A7">
      <w:r w:rsidRPr="00C614A7">
        <w:t xml:space="preserve">Although not </w:t>
      </w:r>
      <w:r w:rsidR="00C057D8">
        <w:t xml:space="preserve">required for </w:t>
      </w:r>
      <w:r w:rsidRPr="00C614A7">
        <w:t>a diagnos</w:t>
      </w:r>
      <w:r w:rsidR="00C057D8">
        <w:t>is of ADHD</w:t>
      </w:r>
      <w:r w:rsidRPr="00C614A7">
        <w:t>, emotional regulation issues and sleep difficulties are common</w:t>
      </w:r>
      <w:r w:rsidR="00C057D8">
        <w:t xml:space="preserve">. People with ADHD also </w:t>
      </w:r>
      <w:r w:rsidR="00BD78AD">
        <w:t>are at</w:t>
      </w:r>
      <w:r w:rsidRPr="00C614A7">
        <w:t xml:space="preserve"> a </w:t>
      </w:r>
      <w:r>
        <w:t>marked</w:t>
      </w:r>
      <w:r w:rsidR="20A66A98">
        <w:t>ly</w:t>
      </w:r>
      <w:r w:rsidRPr="00C614A7">
        <w:t xml:space="preserve"> </w:t>
      </w:r>
      <w:r w:rsidR="00C057D8">
        <w:t xml:space="preserve">higher </w:t>
      </w:r>
      <w:r w:rsidRPr="00C614A7">
        <w:t>risk of learning disorders, behavioural concerns, anxiety, depression, substance</w:t>
      </w:r>
      <w:r w:rsidR="00C057D8">
        <w:t>-</w:t>
      </w:r>
      <w:r w:rsidRPr="00C614A7">
        <w:t>use issues</w:t>
      </w:r>
      <w:r w:rsidR="21029C6D">
        <w:t>, and injuries</w:t>
      </w:r>
      <w:r>
        <w:t xml:space="preserve">. </w:t>
      </w:r>
    </w:p>
    <w:p w14:paraId="6841C6AD" w14:textId="77777777" w:rsidR="005F02AE" w:rsidRPr="00C614A7" w:rsidRDefault="005F02AE" w:rsidP="00C614A7"/>
    <w:p w14:paraId="475B09F4" w14:textId="1E80C42A" w:rsidR="00FD1A6F" w:rsidRDefault="00FD1A6F" w:rsidP="00FD1A6F">
      <w:r w:rsidRPr="00C614A7">
        <w:t>The prevalence of ADHD in children and adolescents internationally is estimated to be between 6</w:t>
      </w:r>
      <w:r w:rsidR="00B80E21">
        <w:t xml:space="preserve">% and </w:t>
      </w:r>
      <w:r w:rsidRPr="00C614A7">
        <w:t>8% and may persist into adulthood in half or more of cases</w:t>
      </w:r>
      <w:r w:rsidR="00917CDA">
        <w:t xml:space="preserve"> (Ayano et al 2023)</w:t>
      </w:r>
      <w:r w:rsidRPr="00C614A7">
        <w:t>. An additional 5</w:t>
      </w:r>
      <w:r w:rsidR="001439C0">
        <w:rPr>
          <w:rFonts w:cs="Segoe UI"/>
        </w:rPr>
        <w:t>–</w:t>
      </w:r>
      <w:r w:rsidRPr="00C614A7">
        <w:t xml:space="preserve">10% of children may have substantial difficulties with ADHD symptoms, </w:t>
      </w:r>
      <w:r w:rsidR="1533AE58">
        <w:t xml:space="preserve">but </w:t>
      </w:r>
      <w:r w:rsidRPr="00C614A7">
        <w:t xml:space="preserve">do not meet </w:t>
      </w:r>
      <w:r w:rsidR="001439C0">
        <w:t xml:space="preserve">the </w:t>
      </w:r>
      <w:r w:rsidRPr="00C614A7">
        <w:t>threshold for diagnosis. A 2021 meta-analysis of international epidemiological studies suggests ADHD affects between 4</w:t>
      </w:r>
      <w:r w:rsidR="001B31BD">
        <w:t>% and</w:t>
      </w:r>
      <w:r w:rsidRPr="00C614A7">
        <w:t xml:space="preserve"> 5% of the adult population worldwide</w:t>
      </w:r>
      <w:r w:rsidR="009B03E9">
        <w:t xml:space="preserve"> (Song et al 2021)</w:t>
      </w:r>
      <w:r w:rsidRPr="00C614A7">
        <w:t>. New Zealand Health Survey data shows that</w:t>
      </w:r>
      <w:r w:rsidR="001B31BD">
        <w:t xml:space="preserve"> the proportion of</w:t>
      </w:r>
      <w:r w:rsidRPr="00C614A7">
        <w:t xml:space="preserve"> children aged 5–14 years diagnosed with ADHD has increased from 3.2% in 2022/23 to 5.3% in 2023/24</w:t>
      </w:r>
      <w:r w:rsidR="00024FE7">
        <w:t xml:space="preserve"> (Ministry of Health 2024)</w:t>
      </w:r>
      <w:r w:rsidRPr="00C614A7">
        <w:t>.</w:t>
      </w:r>
    </w:p>
    <w:p w14:paraId="066C3345" w14:textId="2B451CA9" w:rsidR="00FD1A6F" w:rsidRPr="00C614A7" w:rsidRDefault="00FD1A6F" w:rsidP="00FD1A6F"/>
    <w:p w14:paraId="738ACCC3" w14:textId="30B0788C" w:rsidR="00C614A7" w:rsidRDefault="00C614A7" w:rsidP="00C614A7">
      <w:r w:rsidRPr="00C614A7">
        <w:t>International evidence demonstrates</w:t>
      </w:r>
      <w:r w:rsidR="00210433" w:rsidRPr="00210433">
        <w:t xml:space="preserve"> </w:t>
      </w:r>
      <w:r w:rsidR="00210433" w:rsidRPr="00C614A7">
        <w:t>ADHD</w:t>
      </w:r>
      <w:r w:rsidRPr="00C614A7">
        <w:t xml:space="preserve"> </w:t>
      </w:r>
      <w:r w:rsidR="00210433">
        <w:t xml:space="preserve">brings </w:t>
      </w:r>
      <w:r w:rsidRPr="00C614A7">
        <w:t xml:space="preserve">significant costs </w:t>
      </w:r>
      <w:r w:rsidR="001B31BD">
        <w:t>in terms of</w:t>
      </w:r>
      <w:r w:rsidR="001B31BD" w:rsidRPr="00C614A7">
        <w:t xml:space="preserve"> </w:t>
      </w:r>
      <w:r w:rsidRPr="00C614A7">
        <w:t>educational underachievement, lost productivity, health</w:t>
      </w:r>
      <w:r w:rsidR="001B31BD">
        <w:t xml:space="preserve"> </w:t>
      </w:r>
      <w:r w:rsidRPr="00C614A7">
        <w:t>care expenditure and contact with criminal justice services</w:t>
      </w:r>
      <w:r w:rsidR="00704523">
        <w:t xml:space="preserve"> </w:t>
      </w:r>
      <w:r w:rsidR="005264C5">
        <w:t>(</w:t>
      </w:r>
      <w:r w:rsidR="005264C5" w:rsidRPr="005264C5">
        <w:t>Chhibber et al 2021</w:t>
      </w:r>
      <w:r w:rsidR="005264C5">
        <w:t>)</w:t>
      </w:r>
      <w:r w:rsidRPr="00C614A7">
        <w:t xml:space="preserve">. </w:t>
      </w:r>
      <w:r w:rsidR="001B31BD">
        <w:t>A</w:t>
      </w:r>
      <w:r w:rsidR="00D34DDA">
        <w:t>n</w:t>
      </w:r>
      <w:r w:rsidR="00210433" w:rsidRPr="00210433">
        <w:t xml:space="preserve"> </w:t>
      </w:r>
      <w:r w:rsidR="00210433" w:rsidRPr="00C614A7">
        <w:t>analysis</w:t>
      </w:r>
      <w:r w:rsidR="00210433">
        <w:t xml:space="preserve"> of</w:t>
      </w:r>
      <w:r w:rsidR="00D34DDA">
        <w:t xml:space="preserve"> </w:t>
      </w:r>
      <w:r w:rsidR="00477DC7">
        <w:t xml:space="preserve">impacts to </w:t>
      </w:r>
      <w:r w:rsidRPr="00C614A7">
        <w:t>New Zealand from the Social Investment Agency highlight</w:t>
      </w:r>
      <w:r w:rsidR="001B31BD">
        <w:t>s</w:t>
      </w:r>
      <w:r w:rsidRPr="00C614A7">
        <w:t xml:space="preserve"> that people with ADHD report greater exclusion from education, overrepresentation in the justice system and increased reliance on long-term benefits</w:t>
      </w:r>
      <w:r w:rsidR="004D3FBB">
        <w:t xml:space="preserve"> (Social Investment Agency 2024)</w:t>
      </w:r>
      <w:r w:rsidRPr="00C614A7">
        <w:t>.</w:t>
      </w:r>
    </w:p>
    <w:p w14:paraId="6441B2BF" w14:textId="77777777" w:rsidR="005F02AE" w:rsidRPr="00C614A7" w:rsidRDefault="005F02AE" w:rsidP="00C614A7"/>
    <w:p w14:paraId="2739F873" w14:textId="77777777" w:rsidR="0012053C" w:rsidRPr="0043478F" w:rsidRDefault="0012053C" w:rsidP="0012053C"/>
    <w:p w14:paraId="37D028DC" w14:textId="77777777" w:rsidR="00DC20BD" w:rsidRPr="00DC20BD" w:rsidRDefault="00DC20BD" w:rsidP="00DC20BD">
      <w:pPr>
        <w:rPr>
          <w:rFonts w:eastAsia="Lucida Sans Unicode"/>
        </w:rPr>
      </w:pPr>
      <w:bookmarkStart w:id="5" w:name="_bookmark7"/>
      <w:bookmarkStart w:id="6" w:name="_bookmark10"/>
      <w:bookmarkEnd w:id="5"/>
      <w:bookmarkEnd w:id="6"/>
    </w:p>
    <w:p w14:paraId="7CF4AE78" w14:textId="77777777" w:rsidR="00B1007E" w:rsidRDefault="00B1007E">
      <w:pPr>
        <w:rPr>
          <w:rFonts w:eastAsia="Arial Unicode MS"/>
        </w:rPr>
      </w:pPr>
      <w:bookmarkStart w:id="7" w:name="_bookmark14"/>
      <w:bookmarkStart w:id="8" w:name="_bookmark18"/>
      <w:bookmarkEnd w:id="7"/>
      <w:bookmarkEnd w:id="8"/>
    </w:p>
    <w:p w14:paraId="51D634CB" w14:textId="77777777" w:rsidR="00B1007E" w:rsidRPr="00B1007E" w:rsidRDefault="00B1007E" w:rsidP="00B1007E">
      <w:pPr>
        <w:ind w:left="-2268" w:right="-1701"/>
      </w:pPr>
      <w:bookmarkStart w:id="9" w:name="_bookmark21"/>
      <w:bookmarkEnd w:id="9"/>
    </w:p>
    <w:p w14:paraId="260EA444" w14:textId="77777777" w:rsidR="005F02AE" w:rsidRDefault="005F02AE">
      <w:pPr>
        <w:rPr>
          <w:b/>
          <w:bCs/>
          <w:color w:val="23305D"/>
          <w:spacing w:val="-10"/>
          <w:sz w:val="72"/>
        </w:rPr>
      </w:pPr>
      <w:r>
        <w:rPr>
          <w:bCs/>
        </w:rPr>
        <w:br w:type="page"/>
      </w:r>
    </w:p>
    <w:p w14:paraId="01917B23" w14:textId="248BFE85" w:rsidR="004C3C3E" w:rsidRPr="004C3C3E" w:rsidRDefault="002D7201" w:rsidP="004C3C3E">
      <w:pPr>
        <w:pStyle w:val="Heading1"/>
        <w:rPr>
          <w:bCs/>
        </w:rPr>
      </w:pPr>
      <w:bookmarkStart w:id="10" w:name="_Toc209607275"/>
      <w:r w:rsidRPr="004C3C3E">
        <w:rPr>
          <w:bCs/>
        </w:rPr>
        <w:lastRenderedPageBreak/>
        <w:t>F</w:t>
      </w:r>
      <w:r w:rsidR="000A5A3D">
        <w:rPr>
          <w:bCs/>
        </w:rPr>
        <w:t>ramework development</w:t>
      </w:r>
      <w:bookmarkEnd w:id="10"/>
    </w:p>
    <w:p w14:paraId="61F1B5D5" w14:textId="5EB91E78" w:rsidR="00127BA3" w:rsidRDefault="00127BA3" w:rsidP="00127BA3">
      <w:r w:rsidRPr="00127BA3">
        <w:t>Th</w:t>
      </w:r>
      <w:r w:rsidR="00033E33">
        <w:t xml:space="preserve">e </w:t>
      </w:r>
      <w:r w:rsidR="00033E33" w:rsidRPr="00F4698A">
        <w:rPr>
          <w:i/>
          <w:iCs/>
        </w:rPr>
        <w:t>New Zealand Clinical Principles F</w:t>
      </w:r>
      <w:r w:rsidRPr="00F4698A">
        <w:rPr>
          <w:i/>
          <w:iCs/>
        </w:rPr>
        <w:t>ramework</w:t>
      </w:r>
      <w:r w:rsidR="00033E33">
        <w:t xml:space="preserve"> </w:t>
      </w:r>
      <w:r w:rsidR="00F4698A" w:rsidRPr="00477DC7">
        <w:rPr>
          <w:i/>
          <w:iCs/>
        </w:rPr>
        <w:t xml:space="preserve">for </w:t>
      </w:r>
      <w:r w:rsidR="00F4698A" w:rsidRPr="00F4698A">
        <w:rPr>
          <w:i/>
          <w:iCs/>
        </w:rPr>
        <w:t>A</w:t>
      </w:r>
      <w:r w:rsidR="00477DC7">
        <w:rPr>
          <w:i/>
          <w:iCs/>
        </w:rPr>
        <w:t xml:space="preserve">ttention </w:t>
      </w:r>
      <w:r w:rsidR="00F4698A" w:rsidRPr="00F4698A">
        <w:rPr>
          <w:i/>
          <w:iCs/>
        </w:rPr>
        <w:t>D</w:t>
      </w:r>
      <w:r w:rsidR="00477DC7">
        <w:rPr>
          <w:i/>
          <w:iCs/>
        </w:rPr>
        <w:t xml:space="preserve">eficit </w:t>
      </w:r>
      <w:r w:rsidR="00F4698A" w:rsidRPr="00F4698A">
        <w:rPr>
          <w:i/>
          <w:iCs/>
        </w:rPr>
        <w:t>H</w:t>
      </w:r>
      <w:r w:rsidR="00477DC7">
        <w:rPr>
          <w:i/>
          <w:iCs/>
        </w:rPr>
        <w:t xml:space="preserve">yperactivity </w:t>
      </w:r>
      <w:r w:rsidR="00F4698A" w:rsidRPr="00F4698A">
        <w:rPr>
          <w:i/>
          <w:iCs/>
        </w:rPr>
        <w:t>D</w:t>
      </w:r>
      <w:r w:rsidR="00477DC7">
        <w:rPr>
          <w:i/>
          <w:iCs/>
        </w:rPr>
        <w:t>isorder</w:t>
      </w:r>
      <w:r w:rsidR="00F4698A">
        <w:t xml:space="preserve"> </w:t>
      </w:r>
      <w:r w:rsidR="00033E33">
        <w:t xml:space="preserve">(the </w:t>
      </w:r>
      <w:r w:rsidR="49D6183F">
        <w:t>f</w:t>
      </w:r>
      <w:r w:rsidR="00033E33">
        <w:t>ramework)</w:t>
      </w:r>
      <w:r>
        <w:t xml:space="preserve"> </w:t>
      </w:r>
      <w:r w:rsidR="7752EEF1">
        <w:t>describes</w:t>
      </w:r>
      <w:r w:rsidR="00D87917" w:rsidRPr="00D87917">
        <w:t xml:space="preserve"> the expected clinical standards for quality assessment, diagnosis and treatment of ADHD based </w:t>
      </w:r>
      <w:r w:rsidR="00744BC8">
        <w:t xml:space="preserve">on </w:t>
      </w:r>
      <w:r w:rsidR="00D87917" w:rsidRPr="00D87917">
        <w:t xml:space="preserve">existing </w:t>
      </w:r>
      <w:r w:rsidR="00D87917">
        <w:t xml:space="preserve">international clinical </w:t>
      </w:r>
      <w:r w:rsidR="00D87917" w:rsidRPr="00D87917">
        <w:t xml:space="preserve">guidelines. </w:t>
      </w:r>
      <w:r w:rsidR="4E90276D">
        <w:t xml:space="preserve">The </w:t>
      </w:r>
      <w:r w:rsidR="39A960EE">
        <w:t>f</w:t>
      </w:r>
      <w:r w:rsidR="4E90276D">
        <w:t>ramework</w:t>
      </w:r>
      <w:r w:rsidR="00D87917">
        <w:t xml:space="preserve"> also</w:t>
      </w:r>
      <w:r w:rsidRPr="00127BA3">
        <w:t xml:space="preserve"> includes further considerations</w:t>
      </w:r>
      <w:r w:rsidR="00542153">
        <w:t xml:space="preserve"> that may represent clinical best practice or areas that have limited evidence</w:t>
      </w:r>
      <w:r w:rsidRPr="00127BA3">
        <w:t xml:space="preserve">. </w:t>
      </w:r>
    </w:p>
    <w:p w14:paraId="4353B8C8" w14:textId="2CBB5B3D" w:rsidR="00127BA3" w:rsidRDefault="00127BA3" w:rsidP="00127BA3"/>
    <w:p w14:paraId="69A79813" w14:textId="60473798" w:rsidR="00127BA3" w:rsidRPr="00127BA3" w:rsidRDefault="417A3D84" w:rsidP="540440B3">
      <w:r>
        <w:t>The Ministry of Health convened a Clinical Reference Group,</w:t>
      </w:r>
      <w:r w:rsidR="00046F9C">
        <w:t xml:space="preserve"> with members</w:t>
      </w:r>
      <w:r>
        <w:t xml:space="preserve"> </w:t>
      </w:r>
      <w:r w:rsidR="000E34D7">
        <w:t xml:space="preserve">including </w:t>
      </w:r>
      <w:r w:rsidR="00127BA3">
        <w:t>people with lived experience of ADHD, family</w:t>
      </w:r>
      <w:r w:rsidR="00046F9C">
        <w:t xml:space="preserve"> and </w:t>
      </w:r>
      <w:r w:rsidR="00127BA3">
        <w:t xml:space="preserve">whānau of individuals with ADHD, and New Zealand clinicians with expertise and experience in </w:t>
      </w:r>
      <w:r w:rsidR="00857F5F">
        <w:t xml:space="preserve">assessing and treating </w:t>
      </w:r>
      <w:r w:rsidR="00127BA3">
        <w:t xml:space="preserve">ADHD. </w:t>
      </w:r>
      <w:r w:rsidR="6A98F514">
        <w:t>The Clinical Reference Group included representatives from</w:t>
      </w:r>
      <w:r w:rsidR="00127BA3">
        <w:t xml:space="preserve"> the Royal Australia</w:t>
      </w:r>
      <w:r w:rsidR="001B31BD">
        <w:t>n</w:t>
      </w:r>
      <w:r w:rsidR="00127BA3">
        <w:t xml:space="preserve"> and New Zealand College of Psychiatrists, </w:t>
      </w:r>
      <w:r w:rsidR="67E51A29">
        <w:t xml:space="preserve">the Royal Australasian College of Physicians, </w:t>
      </w:r>
      <w:r w:rsidR="00127BA3">
        <w:t xml:space="preserve">the Royal New Zealand College of General Practitioners, New Zealand College of Clinical Psychologists, </w:t>
      </w:r>
      <w:r w:rsidR="001B31BD">
        <w:t xml:space="preserve">and </w:t>
      </w:r>
      <w:r w:rsidR="00127BA3">
        <w:t>Nurse Practitioners New Zealand.</w:t>
      </w:r>
    </w:p>
    <w:p w14:paraId="7CECEBF2" w14:textId="0328C48A" w:rsidR="00127BA3" w:rsidRPr="00127BA3" w:rsidRDefault="00127BA3" w:rsidP="00127BA3"/>
    <w:p w14:paraId="28E36EDA" w14:textId="393CEF2A" w:rsidR="00127BA3" w:rsidRPr="00127BA3" w:rsidRDefault="40ED61AA" w:rsidP="00127BA3">
      <w:r>
        <w:t xml:space="preserve">The Clinical Reference Group met several times between </w:t>
      </w:r>
      <w:r w:rsidR="00AB5069">
        <w:t>September</w:t>
      </w:r>
      <w:r>
        <w:t xml:space="preserve"> 2024 </w:t>
      </w:r>
      <w:r w:rsidR="00046F9C">
        <w:t xml:space="preserve">and </w:t>
      </w:r>
      <w:r>
        <w:t>December 202</w:t>
      </w:r>
      <w:r w:rsidR="00AB5069">
        <w:t>4</w:t>
      </w:r>
      <w:r>
        <w:t xml:space="preserve"> to develop the</w:t>
      </w:r>
      <w:r w:rsidR="00127BA3">
        <w:t xml:space="preserve"> </w:t>
      </w:r>
      <w:r w:rsidR="28EA7E3F">
        <w:t>f</w:t>
      </w:r>
      <w:r>
        <w:t xml:space="preserve">ramework. </w:t>
      </w:r>
      <w:r w:rsidR="79FD3951">
        <w:t>The framework represents the consensus view of the Clinical Reference Group and the Ministry of Health for the assessment, diagnosis</w:t>
      </w:r>
      <w:r w:rsidR="00AB5069">
        <w:t>,</w:t>
      </w:r>
      <w:r w:rsidR="79FD3951">
        <w:t xml:space="preserve"> and treatment of ADHD. </w:t>
      </w:r>
    </w:p>
    <w:p w14:paraId="547D1A25" w14:textId="027E8B1B" w:rsidR="70A48262" w:rsidRDefault="70A48262"/>
    <w:p w14:paraId="6B9A9068" w14:textId="3235718B" w:rsidR="3549720B" w:rsidRDefault="3549720B">
      <w:r>
        <w:t>The framework is not a clinical guideline; it is a clinical framework designed for the New Zealand context. The framework incorporates clinical principles from existing evidence-based clinical guidelines including from the Australasian ADHD Professional</w:t>
      </w:r>
      <w:r w:rsidR="00692889">
        <w:t>s</w:t>
      </w:r>
      <w:r>
        <w:t xml:space="preserve"> Association (AADPA 2022) and the UK National Institute for Health and Clinical Excellence (NICE 2018). The framework was written with reference to </w:t>
      </w:r>
      <w:r w:rsidR="00DB38B1">
        <w:t>t</w:t>
      </w:r>
      <w:r>
        <w:t>he Royal Australian and New Zealand College of Psychiatrists</w:t>
      </w:r>
      <w:r w:rsidR="00046F9C">
        <w:t>’</w:t>
      </w:r>
      <w:r>
        <w:t xml:space="preserve"> </w:t>
      </w:r>
      <w:r w:rsidRPr="0081736C">
        <w:rPr>
          <w:i/>
          <w:iCs/>
        </w:rPr>
        <w:t>Position Statement Number 55</w:t>
      </w:r>
      <w:r w:rsidR="00692889">
        <w:rPr>
          <w:i/>
          <w:iCs/>
        </w:rPr>
        <w:t>:</w:t>
      </w:r>
      <w:r w:rsidRPr="0081736C">
        <w:rPr>
          <w:i/>
          <w:iCs/>
        </w:rPr>
        <w:t xml:space="preserve"> ADHD across the lifespan</w:t>
      </w:r>
      <w:r>
        <w:t xml:space="preserve"> (RANZCP 2023).</w:t>
      </w:r>
    </w:p>
    <w:p w14:paraId="5F80629F" w14:textId="2308E0C6" w:rsidR="70A48262" w:rsidRDefault="70A48262"/>
    <w:p w14:paraId="539A8696" w14:textId="7D3F8A47" w:rsidR="009A42D5" w:rsidRDefault="009A42D5" w:rsidP="00E30985"/>
    <w:p w14:paraId="6A2A0134" w14:textId="77777777" w:rsidR="00B1007E" w:rsidRDefault="00B1007E" w:rsidP="009A42D5">
      <w:pPr>
        <w:spacing w:before="37" w:line="300" w:lineRule="exact"/>
        <w:ind w:right="2188"/>
        <w:jc w:val="both"/>
      </w:pPr>
    </w:p>
    <w:p w14:paraId="7EB8434A" w14:textId="17EC6185" w:rsidR="00CE76E2" w:rsidRDefault="00B07C43" w:rsidP="00B07C43">
      <w:pPr>
        <w:pStyle w:val="Heading1"/>
        <w:pageBreakBefore/>
        <w:spacing w:before="0"/>
        <w:rPr>
          <w:bCs/>
        </w:rPr>
      </w:pPr>
      <w:bookmarkStart w:id="11" w:name="_bookmark70"/>
      <w:bookmarkStart w:id="12" w:name="_Toc209607276"/>
      <w:bookmarkEnd w:id="11"/>
      <w:r w:rsidRPr="00B07C43">
        <w:rPr>
          <w:bCs/>
        </w:rPr>
        <w:lastRenderedPageBreak/>
        <w:t>G</w:t>
      </w:r>
      <w:r w:rsidR="000A5A3D">
        <w:rPr>
          <w:bCs/>
        </w:rPr>
        <w:t>eneral principles</w:t>
      </w:r>
      <w:bookmarkEnd w:id="12"/>
    </w:p>
    <w:p w14:paraId="4696533C" w14:textId="330CA919" w:rsidR="001517A3" w:rsidRDefault="001517A3" w:rsidP="001517A3">
      <w:r>
        <w:t>Th</w:t>
      </w:r>
      <w:r w:rsidR="00B357B0">
        <w:t>is</w:t>
      </w:r>
      <w:r>
        <w:t xml:space="preserve"> </w:t>
      </w:r>
      <w:r w:rsidR="001A209B">
        <w:t>section</w:t>
      </w:r>
      <w:r w:rsidR="3AA1007C">
        <w:t xml:space="preserve"> </w:t>
      </w:r>
      <w:r w:rsidR="001A209B">
        <w:t>covers</w:t>
      </w:r>
      <w:r w:rsidR="00924746">
        <w:t xml:space="preserve"> </w:t>
      </w:r>
      <w:r>
        <w:t xml:space="preserve">the core general principles that </w:t>
      </w:r>
      <w:r w:rsidR="00305F8E">
        <w:t xml:space="preserve">can be used to </w:t>
      </w:r>
      <w:r>
        <w:t xml:space="preserve">guide ADHD assessment, diagnosis and treatment for children and </w:t>
      </w:r>
      <w:r w:rsidR="0B63D93F">
        <w:t>young people</w:t>
      </w:r>
      <w:r>
        <w:t xml:space="preserve">, and adults. </w:t>
      </w:r>
    </w:p>
    <w:p w14:paraId="3AD6C1C9" w14:textId="3D1F28BB" w:rsidR="00F11333" w:rsidRPr="005E2A86" w:rsidRDefault="00F11333" w:rsidP="00F11333">
      <w:pPr>
        <w:pStyle w:val="Bullet"/>
        <w:rPr>
          <w:lang w:eastAsia="en-NZ"/>
        </w:rPr>
      </w:pPr>
      <w:r w:rsidRPr="005E2A86">
        <w:rPr>
          <w:rStyle w:val="normaltextrun"/>
          <w:rFonts w:cs="Segoe UI"/>
          <w:szCs w:val="21"/>
        </w:rPr>
        <w:t>A registered health practitioner</w:t>
      </w:r>
      <w:r w:rsidR="00991D35">
        <w:rPr>
          <w:rStyle w:val="FootnoteReference"/>
          <w:rFonts w:cs="Segoe UI"/>
          <w:szCs w:val="21"/>
        </w:rPr>
        <w:footnoteReference w:id="2"/>
      </w:r>
      <w:r w:rsidRPr="005E2A86">
        <w:rPr>
          <w:rStyle w:val="normaltextrun"/>
          <w:rFonts w:cs="Segoe UI"/>
          <w:szCs w:val="21"/>
        </w:rPr>
        <w:t xml:space="preserve"> with the requisite competence should undertake assessment and diagnosis of ADHD. Quality care for ADHD is based on the development of competence in working with ADHD, rather than qualification alone.</w:t>
      </w:r>
      <w:r w:rsidRPr="005E2A86">
        <w:rPr>
          <w:rStyle w:val="eop"/>
          <w:rFonts w:cs="Segoe UI"/>
          <w:szCs w:val="21"/>
        </w:rPr>
        <w:t> </w:t>
      </w:r>
    </w:p>
    <w:p w14:paraId="2B7C8D6D" w14:textId="77777777" w:rsidR="00F11333" w:rsidRPr="00F11333" w:rsidRDefault="00F11333" w:rsidP="00F11333">
      <w:pPr>
        <w:pStyle w:val="Bullet"/>
      </w:pPr>
      <w:r w:rsidRPr="00F11333">
        <w:t>For the assessment and diagnosis of children and young people, appropriate health care professionals are those who are competent in working with ADHD and these age groups, and may include:  </w:t>
      </w:r>
    </w:p>
    <w:p w14:paraId="644A62BE" w14:textId="77777777" w:rsidR="00F11333" w:rsidRPr="00F11333" w:rsidRDefault="00F11333" w:rsidP="00F11333">
      <w:pPr>
        <w:pStyle w:val="Bullet"/>
        <w:numPr>
          <w:ilvl w:val="0"/>
          <w:numId w:val="13"/>
        </w:numPr>
      </w:pPr>
      <w:r w:rsidRPr="00F11333">
        <w:t>nurse practitioners working within their area of practice in paediatric services or child and adolescent mental health services </w:t>
      </w:r>
    </w:p>
    <w:p w14:paraId="14BAEC31" w14:textId="77777777" w:rsidR="00F11333" w:rsidRPr="00F11333" w:rsidRDefault="00F11333" w:rsidP="00F11333">
      <w:pPr>
        <w:pStyle w:val="Bullet"/>
        <w:numPr>
          <w:ilvl w:val="0"/>
          <w:numId w:val="13"/>
        </w:numPr>
      </w:pPr>
      <w:r w:rsidRPr="00F11333">
        <w:t>psychologists</w:t>
      </w:r>
    </w:p>
    <w:p w14:paraId="6203CD1F" w14:textId="77777777" w:rsidR="00F11333" w:rsidRPr="00F11333" w:rsidRDefault="00F11333" w:rsidP="00F11333">
      <w:pPr>
        <w:pStyle w:val="Bullet"/>
        <w:numPr>
          <w:ilvl w:val="0"/>
          <w:numId w:val="13"/>
        </w:numPr>
      </w:pPr>
      <w:r w:rsidRPr="00F11333">
        <w:t>vocationally registered paediatricians </w:t>
      </w:r>
    </w:p>
    <w:p w14:paraId="46E0F661" w14:textId="77777777" w:rsidR="00F11333" w:rsidRPr="00F11333" w:rsidRDefault="00F11333" w:rsidP="00F11333">
      <w:pPr>
        <w:pStyle w:val="Bullet"/>
        <w:numPr>
          <w:ilvl w:val="0"/>
          <w:numId w:val="13"/>
        </w:numPr>
      </w:pPr>
      <w:r w:rsidRPr="00F11333">
        <w:t>vocationally registered psychiatrists. </w:t>
      </w:r>
    </w:p>
    <w:p w14:paraId="1086E58B" w14:textId="75D3E73E" w:rsidR="005E2A86" w:rsidRPr="005E2A86" w:rsidRDefault="005E2A86" w:rsidP="005E2A86">
      <w:pPr>
        <w:pStyle w:val="Bullet"/>
      </w:pPr>
      <w:r>
        <w:t xml:space="preserve">For the assessment and diagnosis of adults, appropriate health care professionals are those who are competent in working with ADHD and this age group, and may include: </w:t>
      </w:r>
    </w:p>
    <w:p w14:paraId="2220ADF6" w14:textId="77777777" w:rsidR="005E2A86" w:rsidRPr="005E2A86" w:rsidRDefault="005E2A86" w:rsidP="005E2A86">
      <w:pPr>
        <w:pStyle w:val="Bullet"/>
        <w:numPr>
          <w:ilvl w:val="0"/>
          <w:numId w:val="19"/>
        </w:numPr>
      </w:pPr>
      <w:r w:rsidRPr="005E2A86">
        <w:t>vocationally registered general practitioners </w:t>
      </w:r>
    </w:p>
    <w:p w14:paraId="5ABE6D23" w14:textId="77777777" w:rsidR="005E2A86" w:rsidRPr="005E2A86" w:rsidRDefault="005E2A86" w:rsidP="005E2A86">
      <w:pPr>
        <w:pStyle w:val="Bullet"/>
        <w:numPr>
          <w:ilvl w:val="0"/>
          <w:numId w:val="19"/>
        </w:numPr>
      </w:pPr>
      <w:r w:rsidRPr="005E2A86">
        <w:t>nurse practitioners working within their area of practice     </w:t>
      </w:r>
    </w:p>
    <w:p w14:paraId="566DCF73" w14:textId="77777777" w:rsidR="005E2A86" w:rsidRPr="005E2A86" w:rsidRDefault="005E2A86" w:rsidP="005E2A86">
      <w:pPr>
        <w:pStyle w:val="Bullet"/>
        <w:numPr>
          <w:ilvl w:val="0"/>
          <w:numId w:val="19"/>
        </w:numPr>
      </w:pPr>
      <w:r w:rsidRPr="005E2A86">
        <w:t>psychologists</w:t>
      </w:r>
    </w:p>
    <w:p w14:paraId="4DBC52A8" w14:textId="77777777" w:rsidR="005E2A86" w:rsidRPr="005E2A86" w:rsidRDefault="005E2A86" w:rsidP="005E2A86">
      <w:pPr>
        <w:pStyle w:val="Bullet"/>
        <w:numPr>
          <w:ilvl w:val="0"/>
          <w:numId w:val="19"/>
        </w:numPr>
      </w:pPr>
      <w:r w:rsidRPr="005E2A86">
        <w:t>vocationally registered paediatricians </w:t>
      </w:r>
    </w:p>
    <w:p w14:paraId="4CBBD5BD" w14:textId="77777777" w:rsidR="005E2A86" w:rsidRPr="005E2A86" w:rsidRDefault="005E2A86" w:rsidP="005E2A86">
      <w:pPr>
        <w:pStyle w:val="Bullet"/>
        <w:numPr>
          <w:ilvl w:val="0"/>
          <w:numId w:val="19"/>
        </w:numPr>
      </w:pPr>
      <w:r w:rsidRPr="005E2A86">
        <w:t>vocationally registered psychiatrists. </w:t>
      </w:r>
    </w:p>
    <w:p w14:paraId="221FEDD2" w14:textId="77777777" w:rsidR="005E2A86" w:rsidRPr="005E2A86" w:rsidRDefault="005E2A86" w:rsidP="005E2A86">
      <w:pPr>
        <w:pStyle w:val="Bullet"/>
      </w:pPr>
      <w:r w:rsidRPr="005E2A86">
        <w:t>Health professionals involved in the assessment, diagnosis and treatment of ADHD should:  </w:t>
      </w:r>
    </w:p>
    <w:p w14:paraId="3DF34CC8" w14:textId="77777777" w:rsidR="005E2A86" w:rsidRPr="005E2A86" w:rsidRDefault="005E2A86" w:rsidP="005E2A86">
      <w:pPr>
        <w:pStyle w:val="Bullet"/>
        <w:numPr>
          <w:ilvl w:val="0"/>
          <w:numId w:val="23"/>
        </w:numPr>
      </w:pPr>
      <w:r w:rsidRPr="005E2A86">
        <w:t>be competent in diagnostic assessment using the Diagnostic and Statistical Manual of Mental Disorders (DSM) and/or International Classification of Diseases (ICD)  </w:t>
      </w:r>
    </w:p>
    <w:p w14:paraId="39D5770A" w14:textId="77777777" w:rsidR="005E2A86" w:rsidRPr="005E2A86" w:rsidRDefault="005E2A86" w:rsidP="005E2A86">
      <w:pPr>
        <w:pStyle w:val="Bullet"/>
        <w:numPr>
          <w:ilvl w:val="0"/>
          <w:numId w:val="23"/>
        </w:numPr>
      </w:pPr>
      <w:r w:rsidRPr="005E2A86">
        <w:t>be competent in conducting clinical interviews, administering and interpreting standardised rating scales related to ADHD, and assessment of functional impairment  </w:t>
      </w:r>
    </w:p>
    <w:p w14:paraId="6CAC50FC" w14:textId="77777777" w:rsidR="005E2A86" w:rsidRDefault="005E2A86" w:rsidP="005E2A86">
      <w:pPr>
        <w:pStyle w:val="Bullet"/>
        <w:numPr>
          <w:ilvl w:val="0"/>
          <w:numId w:val="23"/>
        </w:numPr>
      </w:pPr>
      <w:r w:rsidRPr="005E2A86">
        <w:t>have clinical expertise in ADHD diagnostic assessment or conduct ADHD assessments under the active supervision of an experienced clinician.</w:t>
      </w:r>
    </w:p>
    <w:p w14:paraId="5C2F2F87" w14:textId="35F0A9BC" w:rsidR="001517A3" w:rsidRPr="001517A3" w:rsidRDefault="5FC0F173" w:rsidP="005E2A86">
      <w:pPr>
        <w:pStyle w:val="Bullet"/>
      </w:pPr>
      <w:r>
        <w:t>ADHD assessments should be comprehensive. The primary diagnostic tool is an in-depth clinical interview with collateral information from multiple sources.</w:t>
      </w:r>
    </w:p>
    <w:p w14:paraId="4E188A60" w14:textId="45DADB91" w:rsidR="001517A3" w:rsidRPr="001517A3" w:rsidRDefault="6DE03594" w:rsidP="00277613">
      <w:pPr>
        <w:pStyle w:val="Bullet"/>
      </w:pPr>
      <w:r>
        <w:t xml:space="preserve">Validated ADHD rating scales should be used as part of the </w:t>
      </w:r>
      <w:r w:rsidR="00863DE8">
        <w:t>assessment but</w:t>
      </w:r>
      <w:r>
        <w:t xml:space="preserve"> should not be the sole basis for a diagnosis of ADHD.</w:t>
      </w:r>
    </w:p>
    <w:p w14:paraId="138EB568" w14:textId="3106B69C" w:rsidR="001517A3" w:rsidRPr="001517A3" w:rsidRDefault="00E00D98" w:rsidP="00277613">
      <w:pPr>
        <w:pStyle w:val="Bullet"/>
      </w:pPr>
      <w:r>
        <w:t>To make a diagnosis, the assessment should establish that s</w:t>
      </w:r>
      <w:r w:rsidR="6DE03594">
        <w:t xml:space="preserve">ymptoms of ADHD </w:t>
      </w:r>
      <w:r>
        <w:t>are</w:t>
      </w:r>
      <w:r w:rsidR="6DE03594">
        <w:t xml:space="preserve"> pervasive, across both time and multiple settings</w:t>
      </w:r>
      <w:r w:rsidR="00014D7D">
        <w:t xml:space="preserve">. This includes </w:t>
      </w:r>
      <w:r w:rsidR="6DE03594">
        <w:t xml:space="preserve">collateral evidence </w:t>
      </w:r>
      <w:r w:rsidR="6DE03594">
        <w:lastRenderedPageBreak/>
        <w:t>of symptoms in childhood by 12 years old</w:t>
      </w:r>
      <w:r w:rsidR="00014D7D">
        <w:t xml:space="preserve"> and </w:t>
      </w:r>
      <w:r w:rsidR="6DE03594">
        <w:t>evidence of significant impairment across multiple settings.</w:t>
      </w:r>
    </w:p>
    <w:p w14:paraId="5ABE0C08" w14:textId="78261D38" w:rsidR="001517A3" w:rsidRPr="001517A3" w:rsidRDefault="6EB61F43" w:rsidP="00277613">
      <w:pPr>
        <w:pStyle w:val="Bullet"/>
      </w:pPr>
      <w:r>
        <w:t>An ADHD assessment should c</w:t>
      </w:r>
      <w:r w:rsidR="001517A3">
        <w:t>lear</w:t>
      </w:r>
      <w:r w:rsidR="20D17EE6">
        <w:t>ly</w:t>
      </w:r>
      <w:r w:rsidR="001517A3">
        <w:t xml:space="preserve"> consider</w:t>
      </w:r>
      <w:r w:rsidR="001517A3" w:rsidRPr="001517A3">
        <w:t xml:space="preserve"> differential diagnoses and alternative explanations of presenting symptoms.</w:t>
      </w:r>
    </w:p>
    <w:p w14:paraId="3C72CA43" w14:textId="3A7DD369" w:rsidR="001517A3" w:rsidRPr="001517A3" w:rsidRDefault="0403F52B" w:rsidP="00277613">
      <w:pPr>
        <w:pStyle w:val="Bullet"/>
      </w:pPr>
      <w:r>
        <w:t xml:space="preserve">The </w:t>
      </w:r>
      <w:r w:rsidR="001517A3" w:rsidRPr="001517A3">
        <w:t xml:space="preserve">diagnosis </w:t>
      </w:r>
      <w:r w:rsidR="19704410">
        <w:t>should be</w:t>
      </w:r>
      <w:r w:rsidR="001517A3" w:rsidRPr="001517A3">
        <w:t xml:space="preserve"> made with explicit reference to DSM or ICD criteria in the assessment process and reporting of diagnoses.</w:t>
      </w:r>
    </w:p>
    <w:p w14:paraId="40040C79" w14:textId="520CD5EC" w:rsidR="001517A3" w:rsidRPr="001517A3" w:rsidRDefault="00F463F2" w:rsidP="00277613">
      <w:pPr>
        <w:pStyle w:val="Bullet"/>
      </w:pPr>
      <w:r>
        <w:t>To be</w:t>
      </w:r>
      <w:r w:rsidR="31979569">
        <w:t xml:space="preserve"> r</w:t>
      </w:r>
      <w:r w:rsidR="001517A3" w:rsidRPr="001517A3">
        <w:t>esponsive to Māori</w:t>
      </w:r>
      <w:r w:rsidR="22CFAE32">
        <w:t>,</w:t>
      </w:r>
      <w:r w:rsidR="0009697D">
        <w:t xml:space="preserve"> </w:t>
      </w:r>
      <w:r w:rsidR="7715CB01">
        <w:t>any</w:t>
      </w:r>
      <w:r w:rsidR="0009697D">
        <w:t xml:space="preserve"> </w:t>
      </w:r>
      <w:r w:rsidR="001517A3" w:rsidRPr="001517A3">
        <w:t xml:space="preserve">assessment of Māori should take into account </w:t>
      </w:r>
      <w:proofErr w:type="spellStart"/>
      <w:r w:rsidR="00916FC4">
        <w:t>T</w:t>
      </w:r>
      <w:r w:rsidR="001517A3" w:rsidRPr="001517A3">
        <w:t>e</w:t>
      </w:r>
      <w:proofErr w:type="spellEnd"/>
      <w:r w:rsidR="001517A3" w:rsidRPr="001517A3">
        <w:t xml:space="preserve"> </w:t>
      </w:r>
      <w:r w:rsidR="00916FC4">
        <w:t>A</w:t>
      </w:r>
      <w:r w:rsidR="001517A3" w:rsidRPr="001517A3">
        <w:t>o Māori worldviews</w:t>
      </w:r>
      <w:r w:rsidR="0085261C">
        <w:t>.</w:t>
      </w:r>
    </w:p>
    <w:p w14:paraId="765F62E2" w14:textId="4D407A74" w:rsidR="001517A3" w:rsidRPr="001517A3" w:rsidRDefault="0009697D" w:rsidP="00277613">
      <w:pPr>
        <w:pStyle w:val="Bullet"/>
      </w:pPr>
      <w:r>
        <w:t>C</w:t>
      </w:r>
      <w:r w:rsidR="001517A3" w:rsidRPr="001517A3">
        <w:t>ultural considerations should also be taken into account for minoritised groups and in particular groups who may face barriers</w:t>
      </w:r>
      <w:r w:rsidR="00D2760A">
        <w:t xml:space="preserve"> to</w:t>
      </w:r>
      <w:r w:rsidR="001517A3" w:rsidRPr="001517A3">
        <w:t xml:space="preserve"> accessing ADHD diagnosis.  </w:t>
      </w:r>
    </w:p>
    <w:p w14:paraId="44616BA4" w14:textId="7B2D4FA2" w:rsidR="001517A3" w:rsidRDefault="009D101D" w:rsidP="00277613">
      <w:pPr>
        <w:pStyle w:val="Bullet"/>
      </w:pPr>
      <w:r>
        <w:t>R</w:t>
      </w:r>
      <w:r w:rsidR="001517A3" w:rsidRPr="001517A3">
        <w:t>eflecting on a culturally safe approach brings a focus on equity, critical reflection and cultural competency skills used in assessment, treatment and follow</w:t>
      </w:r>
      <w:r w:rsidR="00D34DDA">
        <w:t>-</w:t>
      </w:r>
      <w:r w:rsidR="001517A3" w:rsidRPr="001517A3">
        <w:t>up, and finally discharge.</w:t>
      </w:r>
    </w:p>
    <w:p w14:paraId="52795B7F" w14:textId="34517617" w:rsidR="001517A3" w:rsidRPr="001517A3" w:rsidRDefault="36621D0C" w:rsidP="00277613">
      <w:pPr>
        <w:pStyle w:val="Bullet"/>
      </w:pPr>
      <w:r>
        <w:t>The treatment and management of ADHD should be p</w:t>
      </w:r>
      <w:r w:rsidR="001517A3">
        <w:t>erson</w:t>
      </w:r>
      <w:r w:rsidR="001517A3" w:rsidRPr="001517A3">
        <w:t xml:space="preserve">-centred and </w:t>
      </w:r>
      <w:r w:rsidR="6144E3CF">
        <w:t xml:space="preserve">enable </w:t>
      </w:r>
      <w:r w:rsidR="001517A3" w:rsidRPr="001517A3">
        <w:t>supported decision</w:t>
      </w:r>
      <w:r w:rsidR="00D34DDA">
        <w:t>-</w:t>
      </w:r>
      <w:r w:rsidR="001517A3" w:rsidRPr="001517A3">
        <w:t xml:space="preserve">making. </w:t>
      </w:r>
      <w:r w:rsidR="0C778CA2">
        <w:t>Management plans should</w:t>
      </w:r>
      <w:r w:rsidR="25CB00D3">
        <w:t xml:space="preserve"> </w:t>
      </w:r>
      <w:r w:rsidR="001517A3">
        <w:t>actively involv</w:t>
      </w:r>
      <w:r w:rsidR="40043528">
        <w:t>e</w:t>
      </w:r>
      <w:r w:rsidR="001517A3" w:rsidRPr="001517A3">
        <w:t xml:space="preserve"> the individual and their family</w:t>
      </w:r>
      <w:r w:rsidR="00D2760A" w:rsidRPr="00D2760A">
        <w:t xml:space="preserve"> </w:t>
      </w:r>
      <w:r w:rsidR="00D2760A">
        <w:t>and whānau</w:t>
      </w:r>
      <w:r w:rsidR="2CA254E0">
        <w:t>, and</w:t>
      </w:r>
      <w:r w:rsidR="007F9527">
        <w:t xml:space="preserve"> </w:t>
      </w:r>
      <w:r w:rsidR="001517A3">
        <w:t>tailor</w:t>
      </w:r>
      <w:r w:rsidR="001517A3" w:rsidRPr="001517A3">
        <w:t xml:space="preserve"> the approach and information provided to their needs, preferences and developmental level. </w:t>
      </w:r>
    </w:p>
    <w:p w14:paraId="14B800A4" w14:textId="6803F800" w:rsidR="001517A3" w:rsidRPr="001517A3" w:rsidRDefault="00D34DDA" w:rsidP="00277613">
      <w:pPr>
        <w:pStyle w:val="Bullet"/>
      </w:pPr>
      <w:r>
        <w:t xml:space="preserve">People </w:t>
      </w:r>
      <w:r w:rsidR="00FE7E70">
        <w:t xml:space="preserve">should </w:t>
      </w:r>
      <w:r>
        <w:t>have a</w:t>
      </w:r>
      <w:r w:rsidR="001517A3" w:rsidRPr="001517A3">
        <w:t xml:space="preserve">ccess to evidence-informed multimodal treatment and support that is tailored to individual needs, preferences and developmental level. </w:t>
      </w:r>
    </w:p>
    <w:p w14:paraId="1205F118" w14:textId="0192DCF5" w:rsidR="001517A3" w:rsidRPr="001517A3" w:rsidRDefault="43FFDA70" w:rsidP="00FE7E70">
      <w:pPr>
        <w:pStyle w:val="Bullet"/>
      </w:pPr>
      <w:r>
        <w:t>Pharmacological and non-pharmacological approaches are both important and should be offered as part of a comprehensive management plan.</w:t>
      </w:r>
      <w:r w:rsidR="001517A3">
        <w:t xml:space="preserve"> </w:t>
      </w:r>
    </w:p>
    <w:p w14:paraId="11083103" w14:textId="77777777" w:rsidR="00B07C43" w:rsidRPr="00B07C43" w:rsidRDefault="00B07C43" w:rsidP="00B07C43"/>
    <w:p w14:paraId="13887F6B" w14:textId="5DD4AD37" w:rsidR="007C4808" w:rsidRPr="007C4808" w:rsidRDefault="007C4808" w:rsidP="007C4808">
      <w:pPr>
        <w:pStyle w:val="Heading1"/>
        <w:pageBreakBefore/>
        <w:spacing w:before="0"/>
        <w:rPr>
          <w:bCs/>
        </w:rPr>
      </w:pPr>
      <w:bookmarkStart w:id="13" w:name="_Toc209607277"/>
      <w:r w:rsidRPr="007C4808">
        <w:rPr>
          <w:bCs/>
        </w:rPr>
        <w:lastRenderedPageBreak/>
        <w:t>P</w:t>
      </w:r>
      <w:r w:rsidR="000A5A3D">
        <w:rPr>
          <w:bCs/>
        </w:rPr>
        <w:t>rinciples of assessment and treatment</w:t>
      </w:r>
      <w:bookmarkEnd w:id="13"/>
    </w:p>
    <w:p w14:paraId="7C11383E" w14:textId="57278641" w:rsidR="000A52AD" w:rsidRDefault="000A52AD" w:rsidP="000A52AD">
      <w:r w:rsidRPr="000A52AD">
        <w:t xml:space="preserve">These consensus principles set out expected standards and further considerations for the age-specific assessment, diagnosis, treatment and management of ADHD within New Zealand. </w:t>
      </w:r>
    </w:p>
    <w:p w14:paraId="7BB07924" w14:textId="77777777" w:rsidR="00924746" w:rsidRPr="000A52AD" w:rsidRDefault="00924746" w:rsidP="000A52AD"/>
    <w:p w14:paraId="3BA79D68" w14:textId="342D9063" w:rsidR="000A52AD" w:rsidRDefault="000A52AD" w:rsidP="000A52AD">
      <w:r w:rsidRPr="000A52AD">
        <w:t xml:space="preserve">The expected standards set out clinical practices that support clinical quality, safety and consistency when clinicians are assessing and managing ADHD. They represent a recommended minimum standard of practice that clinicians can implement as a suite of recommendations to guide clinical practice. The expected standards also provide clear guidance to the public </w:t>
      </w:r>
      <w:r w:rsidR="00D34DDA">
        <w:t>on</w:t>
      </w:r>
      <w:r w:rsidR="00D34DDA" w:rsidRPr="000A52AD">
        <w:t xml:space="preserve"> </w:t>
      </w:r>
      <w:r w:rsidRPr="000A52AD">
        <w:t xml:space="preserve">what </w:t>
      </w:r>
      <w:r w:rsidR="00D34DDA">
        <w:t xml:space="preserve">people </w:t>
      </w:r>
      <w:r w:rsidRPr="000A52AD">
        <w:t xml:space="preserve">could reasonably expect as part of ADHD assessment and management. </w:t>
      </w:r>
    </w:p>
    <w:p w14:paraId="461820FA" w14:textId="77777777" w:rsidR="00924746" w:rsidRPr="000A52AD" w:rsidRDefault="00924746" w:rsidP="000A52AD"/>
    <w:p w14:paraId="284E746D" w14:textId="05FA8133" w:rsidR="000A52AD" w:rsidRDefault="000A52AD" w:rsidP="000A52AD">
      <w:r w:rsidRPr="000A52AD">
        <w:t>The principles set out further considerations for ADHD assessment and management. These are additional activities that may represent best practice clinical</w:t>
      </w:r>
      <w:r w:rsidR="00916FC4">
        <w:t xml:space="preserve"> </w:t>
      </w:r>
      <w:r w:rsidRPr="000A52AD">
        <w:t xml:space="preserve">recommendations and/or actions that are promising but may have a limited evidence base. </w:t>
      </w:r>
    </w:p>
    <w:p w14:paraId="571BCB2F" w14:textId="77777777" w:rsidR="00924746" w:rsidRPr="000A52AD" w:rsidRDefault="00924746" w:rsidP="000A52AD"/>
    <w:p w14:paraId="64D544AD" w14:textId="002F98D4" w:rsidR="000A52AD" w:rsidRPr="000A52AD" w:rsidRDefault="000A52AD" w:rsidP="000A52AD">
      <w:pPr>
        <w:rPr>
          <w:highlight w:val="yellow"/>
        </w:rPr>
      </w:pPr>
      <w:r w:rsidRPr="000A52AD">
        <w:t>Use of the Austra</w:t>
      </w:r>
      <w:r w:rsidR="000F750B">
        <w:t>lasian</w:t>
      </w:r>
      <w:r w:rsidRPr="000A52AD">
        <w:t xml:space="preserve"> ADHD Professionals Association</w:t>
      </w:r>
      <w:r w:rsidR="00582C68">
        <w:t>’s</w:t>
      </w:r>
      <w:r w:rsidRPr="00582C68">
        <w:t xml:space="preserve"> </w:t>
      </w:r>
      <w:r w:rsidRPr="00FE7E70">
        <w:rPr>
          <w:i/>
          <w:iCs/>
        </w:rPr>
        <w:t>Australian Evidence-</w:t>
      </w:r>
      <w:r w:rsidR="00D34DDA" w:rsidRPr="00FE7E70">
        <w:rPr>
          <w:i/>
          <w:iCs/>
        </w:rPr>
        <w:t>b</w:t>
      </w:r>
      <w:r w:rsidRPr="00FE7E70">
        <w:rPr>
          <w:i/>
          <w:iCs/>
        </w:rPr>
        <w:t xml:space="preserve">ased Clinical Practice Guideline </w:t>
      </w:r>
      <w:r w:rsidR="00D34DDA" w:rsidRPr="00FE7E70">
        <w:rPr>
          <w:i/>
          <w:iCs/>
        </w:rPr>
        <w:t>f</w:t>
      </w:r>
      <w:r w:rsidRPr="00FE7E70">
        <w:rPr>
          <w:i/>
          <w:iCs/>
        </w:rPr>
        <w:t>or Attention Deficit Hyperactivity Disorder (ADHD)</w:t>
      </w:r>
      <w:r w:rsidRPr="000A52AD">
        <w:t xml:space="preserve"> </w:t>
      </w:r>
      <w:r w:rsidR="00DB38B1">
        <w:t>is</w:t>
      </w:r>
      <w:r w:rsidRPr="000A52AD">
        <w:t xml:space="preserve"> recommended as part of ADHD assessment and management</w:t>
      </w:r>
      <w:r w:rsidR="000F750B">
        <w:t xml:space="preserve"> (AADPA 2022)</w:t>
      </w:r>
      <w:r w:rsidRPr="000A52AD">
        <w:t xml:space="preserve">. These guidelines have been endorsed by </w:t>
      </w:r>
      <w:r w:rsidR="00294AE2">
        <w:t>t</w:t>
      </w:r>
      <w:r w:rsidRPr="000A52AD">
        <w:t>he Royal Australian and New Zealand College of Psychiatrists</w:t>
      </w:r>
      <w:r w:rsidR="00DB38B1">
        <w:t>,</w:t>
      </w:r>
      <w:r w:rsidR="00294AE2">
        <w:t xml:space="preserve"> </w:t>
      </w:r>
      <w:r w:rsidR="00FE7E70">
        <w:t xml:space="preserve">and </w:t>
      </w:r>
      <w:r w:rsidR="00294AE2">
        <w:t>t</w:t>
      </w:r>
      <w:r w:rsidRPr="000A52AD">
        <w:t>he Royal Australasian College of Physicians</w:t>
      </w:r>
      <w:r w:rsidR="00FE7E70">
        <w:t>.</w:t>
      </w:r>
    </w:p>
    <w:p w14:paraId="677719E0" w14:textId="77777777" w:rsidR="001517A3" w:rsidRDefault="001517A3">
      <w:pPr>
        <w:rPr>
          <w:b/>
          <w:color w:val="23305D"/>
          <w:spacing w:val="-10"/>
          <w:sz w:val="72"/>
        </w:rPr>
      </w:pPr>
      <w:r>
        <w:br w:type="page"/>
      </w:r>
    </w:p>
    <w:p w14:paraId="466F6773" w14:textId="35FA6335" w:rsidR="002D7201" w:rsidRDefault="00E42B4F" w:rsidP="00553165">
      <w:pPr>
        <w:pStyle w:val="Heading1"/>
        <w:pageBreakBefore/>
        <w:spacing w:before="0"/>
      </w:pPr>
      <w:bookmarkStart w:id="14" w:name="_Toc209607278"/>
      <w:bookmarkStart w:id="15" w:name="_Hlk198203242"/>
      <w:r>
        <w:lastRenderedPageBreak/>
        <w:t>P</w:t>
      </w:r>
      <w:r w:rsidR="000A5A3D">
        <w:t>rinciples for children and young people</w:t>
      </w:r>
      <w:bookmarkEnd w:id="14"/>
    </w:p>
    <w:bookmarkEnd w:id="15"/>
    <w:p w14:paraId="3150ADFB" w14:textId="74012318" w:rsidR="00023B34" w:rsidRDefault="00924746" w:rsidP="00FE7E70">
      <w:pPr>
        <w:pStyle w:val="Shadedboxheading"/>
      </w:pPr>
      <w:r w:rsidRPr="00023B34">
        <w:t xml:space="preserve">ADHD </w:t>
      </w:r>
      <w:r w:rsidR="00DB38B1">
        <w:t>assessment and diagnosis for children and young people</w:t>
      </w:r>
    </w:p>
    <w:p w14:paraId="7FA03BBA" w14:textId="18731B57" w:rsidR="005F02AE" w:rsidRPr="00924746" w:rsidRDefault="006666B8" w:rsidP="00FE7E70">
      <w:pPr>
        <w:pStyle w:val="Shadedboxsubheading"/>
      </w:pPr>
      <w:r w:rsidRPr="00924746">
        <w:t>Expected standards</w:t>
      </w:r>
    </w:p>
    <w:p w14:paraId="6773CB38" w14:textId="77777777" w:rsidR="006666B8" w:rsidRDefault="006666B8" w:rsidP="005F02AE">
      <w:pPr>
        <w:pStyle w:val="Shadedboxtext"/>
        <w:spacing w:after="120"/>
      </w:pPr>
      <w:r>
        <w:t>A comprehensive assessment includes:</w:t>
      </w:r>
    </w:p>
    <w:p w14:paraId="60481D1A" w14:textId="33BA9D43" w:rsidR="006666B8" w:rsidRDefault="00B7389A" w:rsidP="00C15A61">
      <w:pPr>
        <w:pStyle w:val="Shadedboxbullet"/>
        <w:spacing w:before="90"/>
        <w:ind w:left="641" w:hanging="357"/>
      </w:pPr>
      <w:r>
        <w:t xml:space="preserve">gathering a </w:t>
      </w:r>
      <w:r w:rsidR="006666B8">
        <w:t xml:space="preserve">detailed history of ADHD symptoms, concurrent conditions and differential diagnoses, </w:t>
      </w:r>
      <w:r w:rsidR="00706566">
        <w:t xml:space="preserve">undertaking a </w:t>
      </w:r>
      <w:r w:rsidR="006666B8">
        <w:t>medical assessment, family history, and developmental assessment including attachment and trauma history</w:t>
      </w:r>
    </w:p>
    <w:p w14:paraId="49914EA7" w14:textId="77D68AC5" w:rsidR="006666B8" w:rsidRDefault="00917337" w:rsidP="00C15A61">
      <w:pPr>
        <w:pStyle w:val="Shadedboxbullet"/>
        <w:spacing w:before="90"/>
        <w:ind w:left="641" w:hanging="357"/>
      </w:pPr>
      <w:r>
        <w:t xml:space="preserve">allowing </w:t>
      </w:r>
      <w:r w:rsidR="006666B8">
        <w:t>time for information gathering</w:t>
      </w:r>
      <w:r>
        <w:t xml:space="preserve"> and gaining</w:t>
      </w:r>
      <w:r w:rsidR="006666B8">
        <w:t xml:space="preserve"> </w:t>
      </w:r>
      <w:r>
        <w:t>i</w:t>
      </w:r>
      <w:r w:rsidR="006666B8">
        <w:t>nformation and perspectives from multiple respondents across different settings, most commonly from home and education settings</w:t>
      </w:r>
    </w:p>
    <w:p w14:paraId="66833F32" w14:textId="2E53A61C" w:rsidR="006666B8" w:rsidRDefault="006666B8" w:rsidP="00C15A61">
      <w:pPr>
        <w:pStyle w:val="Shadedboxbullet"/>
        <w:spacing w:before="90"/>
        <w:ind w:left="641" w:hanging="357"/>
      </w:pPr>
      <w:r>
        <w:t>us</w:t>
      </w:r>
      <w:r w:rsidR="00917337">
        <w:t>ing</w:t>
      </w:r>
      <w:r>
        <w:t xml:space="preserve"> standardised assessment scales</w:t>
      </w:r>
      <w:r w:rsidR="00917337">
        <w:t xml:space="preserve"> that have been</w:t>
      </w:r>
      <w:r>
        <w:t xml:space="preserve"> completed with multiple respondents from more than one setting</w:t>
      </w:r>
      <w:r w:rsidR="00917337">
        <w:t xml:space="preserve"> –</w:t>
      </w:r>
      <w:r>
        <w:t xml:space="preserve"> </w:t>
      </w:r>
      <w:r w:rsidR="00917337">
        <w:t>for example</w:t>
      </w:r>
      <w:r w:rsidR="00F6698C">
        <w:t xml:space="preserve"> </w:t>
      </w:r>
      <w:r w:rsidR="00D13FE1">
        <w:t xml:space="preserve">the </w:t>
      </w:r>
      <w:r w:rsidR="00F6698C">
        <w:t>most recent editions of</w:t>
      </w:r>
      <w:r>
        <w:t xml:space="preserve"> Conners’ Rating Scales, Strengths and Difficulties Questionnaires (SDQ), NICHQ Vanderbilt Scales, Brown Attention Deficit Disorder Symptom Assessment Scale (BADDS) and Strengths, Needs, Abilities and Preferences</w:t>
      </w:r>
      <w:r w:rsidR="00917337">
        <w:t xml:space="preserve"> (SNAP</w:t>
      </w:r>
      <w:r>
        <w:t>) ADHD rating scales</w:t>
      </w:r>
    </w:p>
    <w:p w14:paraId="541C5BE5" w14:textId="20280BC6" w:rsidR="006666B8" w:rsidRDefault="00917337" w:rsidP="00C15A61">
      <w:pPr>
        <w:pStyle w:val="Shadedboxbullet"/>
        <w:spacing w:before="90"/>
        <w:ind w:left="641" w:hanging="357"/>
      </w:pPr>
      <w:r>
        <w:t xml:space="preserve">recognising that </w:t>
      </w:r>
      <w:r w:rsidR="006666B8">
        <w:t xml:space="preserve">rating scales may contribute to information for the assessment but </w:t>
      </w:r>
      <w:r>
        <w:t xml:space="preserve">that they </w:t>
      </w:r>
      <w:r w:rsidR="006666B8">
        <w:t xml:space="preserve">should not be relied on as the </w:t>
      </w:r>
      <w:r w:rsidR="00A111E5">
        <w:t>sole</w:t>
      </w:r>
      <w:r w:rsidR="006666B8">
        <w:t xml:space="preserve"> basis for ADHD diagnosis</w:t>
      </w:r>
    </w:p>
    <w:p w14:paraId="5EFE4E42" w14:textId="1944C421" w:rsidR="006666B8" w:rsidRDefault="006666B8" w:rsidP="00C15A61">
      <w:pPr>
        <w:pStyle w:val="Shadedboxbullet"/>
        <w:spacing w:before="90"/>
        <w:ind w:left="641" w:hanging="357"/>
      </w:pPr>
      <w:r>
        <w:t>considering cultural safety and sensitivity</w:t>
      </w:r>
      <w:r w:rsidR="00917337">
        <w:t xml:space="preserve"> –</w:t>
      </w:r>
      <w:r>
        <w:t xml:space="preserve"> for example</w:t>
      </w:r>
      <w:r w:rsidR="00917337">
        <w:t>,</w:t>
      </w:r>
      <w:r>
        <w:t xml:space="preserve"> when working with Māori and other minoritised groups. </w:t>
      </w:r>
    </w:p>
    <w:p w14:paraId="6F5DDAA8" w14:textId="5DD05D7F" w:rsidR="00D12DDA" w:rsidRPr="00924746" w:rsidRDefault="00D12DDA" w:rsidP="00C15A61">
      <w:pPr>
        <w:pStyle w:val="Shadedboxsubheading"/>
        <w:spacing w:before="160"/>
      </w:pPr>
      <w:r w:rsidRPr="00924746">
        <w:t>Further considerations</w:t>
      </w:r>
    </w:p>
    <w:p w14:paraId="14179344" w14:textId="77777777" w:rsidR="00C063C2" w:rsidRDefault="00C063C2" w:rsidP="00D12DDA">
      <w:pPr>
        <w:pStyle w:val="Shadedboxtext"/>
      </w:pPr>
      <w:r>
        <w:t>Also consider:</w:t>
      </w:r>
    </w:p>
    <w:p w14:paraId="40965C59" w14:textId="4BAC832B" w:rsidR="00924746" w:rsidRDefault="00C063C2" w:rsidP="00C15A61">
      <w:pPr>
        <w:pStyle w:val="Shadedboxbullet"/>
        <w:spacing w:before="90"/>
      </w:pPr>
      <w:r>
        <w:t>t</w:t>
      </w:r>
      <w:r w:rsidR="00FA0D92">
        <w:t>ak</w:t>
      </w:r>
      <w:r>
        <w:t>ing</w:t>
      </w:r>
      <w:r w:rsidR="00FA0D92">
        <w:t xml:space="preserve"> a </w:t>
      </w:r>
      <w:r w:rsidR="00D12DDA">
        <w:t>multidisciplinary approach to assessment</w:t>
      </w:r>
      <w:r w:rsidR="00FA0D92">
        <w:t>, which</w:t>
      </w:r>
      <w:r w:rsidR="00D12DDA">
        <w:t xml:space="preserve"> includes additional health practitioners across child health, mental health and primary care. </w:t>
      </w:r>
    </w:p>
    <w:p w14:paraId="6BED2319" w14:textId="5F29D9A6" w:rsidR="00C063C2" w:rsidRDefault="00C063C2" w:rsidP="00C15A61">
      <w:pPr>
        <w:pStyle w:val="Shadedboxbullet"/>
        <w:spacing w:before="90"/>
      </w:pPr>
      <w:r>
        <w:t>c</w:t>
      </w:r>
      <w:r w:rsidR="00D12DDA">
        <w:t>onsider</w:t>
      </w:r>
      <w:r>
        <w:t>ing</w:t>
      </w:r>
      <w:r w:rsidR="00D12DDA">
        <w:t xml:space="preserve"> wider aspects of a child or young person’s family, psychosocial, educational</w:t>
      </w:r>
      <w:r w:rsidR="00F40B00">
        <w:t>,</w:t>
      </w:r>
      <w:r w:rsidR="00D12DDA">
        <w:t xml:space="preserve"> and environmental contexts that may be relevant.  </w:t>
      </w:r>
    </w:p>
    <w:p w14:paraId="51AACCA6" w14:textId="3D5116C9" w:rsidR="00D12DDA" w:rsidRDefault="12D738E5" w:rsidP="00C15A61">
      <w:pPr>
        <w:pStyle w:val="Shadedboxbullet"/>
        <w:spacing w:before="90"/>
      </w:pPr>
      <w:r>
        <w:t>u</w:t>
      </w:r>
      <w:r w:rsidR="00965845">
        <w:t>s</w:t>
      </w:r>
      <w:r>
        <w:t>ing</w:t>
      </w:r>
      <w:r w:rsidR="00965845">
        <w:t xml:space="preserve"> structured diagnostic interviews to support assessment and diagnosis </w:t>
      </w:r>
      <w:proofErr w:type="spellStart"/>
      <w:r w:rsidR="00965845">
        <w:t>eg</w:t>
      </w:r>
      <w:proofErr w:type="spellEnd"/>
      <w:r w:rsidR="3B41E570">
        <w:t>,</w:t>
      </w:r>
      <w:r w:rsidR="70303A0A">
        <w:t xml:space="preserve"> the most recent editions of</w:t>
      </w:r>
      <w:r w:rsidR="00965845">
        <w:t xml:space="preserve"> the</w:t>
      </w:r>
      <w:r w:rsidR="3F0B3071">
        <w:t xml:space="preserve"> </w:t>
      </w:r>
      <w:r w:rsidR="00965845">
        <w:t>ADHD Child Evaluation</w:t>
      </w:r>
      <w:r w:rsidR="3F0B3071">
        <w:t xml:space="preserve"> (ACE)</w:t>
      </w:r>
      <w:r w:rsidR="00965845">
        <w:t>.</w:t>
      </w:r>
      <w:r w:rsidR="0095231A">
        <w:t xml:space="preserve"> </w:t>
      </w:r>
    </w:p>
    <w:p w14:paraId="6BC4E4B2" w14:textId="02E3CE04" w:rsidR="003D5B34" w:rsidRDefault="003D5B34" w:rsidP="00271E2A">
      <w:pPr>
        <w:pStyle w:val="Shadedboxtext"/>
      </w:pPr>
    </w:p>
    <w:p w14:paraId="490BE699" w14:textId="77777777" w:rsidR="00D12DDA" w:rsidRDefault="00D12DDA"/>
    <w:p w14:paraId="44EC246E" w14:textId="77777777" w:rsidR="00924746" w:rsidRDefault="00924746"/>
    <w:p w14:paraId="0BFBB164" w14:textId="4213F088" w:rsidR="001F5D5A" w:rsidRDefault="00924746" w:rsidP="00C063C2">
      <w:pPr>
        <w:pStyle w:val="Shadedboxheading"/>
      </w:pPr>
      <w:r w:rsidRPr="001F5D5A">
        <w:lastRenderedPageBreak/>
        <w:t xml:space="preserve">ADHD </w:t>
      </w:r>
      <w:r w:rsidR="003B4357">
        <w:t>treatment and management for children and young people</w:t>
      </w:r>
    </w:p>
    <w:p w14:paraId="25AC3F56" w14:textId="19101812" w:rsidR="005F02AE" w:rsidRPr="00924746" w:rsidRDefault="007731A8" w:rsidP="00C063C2">
      <w:pPr>
        <w:pStyle w:val="Shadedboxsubheading"/>
      </w:pPr>
      <w:r w:rsidRPr="00924746">
        <w:t>Expected standards</w:t>
      </w:r>
    </w:p>
    <w:p w14:paraId="7B1C9E68" w14:textId="77777777" w:rsidR="007731A8" w:rsidRDefault="007731A8" w:rsidP="005F02AE">
      <w:pPr>
        <w:pStyle w:val="Shadedboxtext"/>
        <w:spacing w:after="120"/>
      </w:pPr>
      <w:r>
        <w:t>A treatment and management plan includes:</w:t>
      </w:r>
    </w:p>
    <w:p w14:paraId="13F60581" w14:textId="5432C433" w:rsidR="007731A8" w:rsidRDefault="007731A8" w:rsidP="00C15A61">
      <w:pPr>
        <w:pStyle w:val="Shadedboxbullet"/>
        <w:spacing w:before="90"/>
      </w:pPr>
      <w:r>
        <w:t xml:space="preserve">developing plans </w:t>
      </w:r>
      <w:r w:rsidR="003B4357">
        <w:t>together</w:t>
      </w:r>
      <w:r>
        <w:t xml:space="preserve"> with the child or young person and their parents/guardians (as appropriate)</w:t>
      </w:r>
    </w:p>
    <w:p w14:paraId="603DD3F1" w14:textId="0ABA85D3" w:rsidR="007731A8" w:rsidRDefault="007731A8" w:rsidP="00C15A61">
      <w:pPr>
        <w:pStyle w:val="Shadedboxbullet"/>
        <w:spacing w:before="90"/>
      </w:pPr>
      <w:r>
        <w:t>discussing the pros and cons of pharmacological and non-pharmacological approaches</w:t>
      </w:r>
    </w:p>
    <w:p w14:paraId="3EF8B997" w14:textId="30ACA274" w:rsidR="007731A8" w:rsidRDefault="007731A8" w:rsidP="00C15A61">
      <w:pPr>
        <w:pStyle w:val="Shadedboxbullet"/>
        <w:spacing w:before="90"/>
      </w:pPr>
      <w:r>
        <w:t>considering cultural safety and sensitivity, for example when working with Māori and other minoritised groups</w:t>
      </w:r>
    </w:p>
    <w:p w14:paraId="66F4A50D" w14:textId="3B185526" w:rsidR="007731A8" w:rsidRDefault="003B4357" w:rsidP="00C15A61">
      <w:pPr>
        <w:pStyle w:val="Shadedboxbullet"/>
        <w:spacing w:before="90"/>
      </w:pPr>
      <w:r>
        <w:t xml:space="preserve">communicating in a </w:t>
      </w:r>
      <w:r w:rsidR="007731A8">
        <w:t xml:space="preserve">clear and timely </w:t>
      </w:r>
      <w:r>
        <w:t xml:space="preserve">way </w:t>
      </w:r>
      <w:r w:rsidR="007731A8">
        <w:t xml:space="preserve">with primary care teams to keep </w:t>
      </w:r>
      <w:r>
        <w:t xml:space="preserve">them </w:t>
      </w:r>
      <w:r w:rsidR="007731A8">
        <w:t>updated on treatment and management approaches</w:t>
      </w:r>
    </w:p>
    <w:p w14:paraId="526CE3B3" w14:textId="7BF545C4" w:rsidR="007731A8" w:rsidRDefault="007731A8" w:rsidP="00C15A61">
      <w:pPr>
        <w:pStyle w:val="Shadedboxbullet"/>
        <w:spacing w:before="90"/>
      </w:pPr>
      <w:r>
        <w:t>considering how interventions could be repeated and/or refined across different settings, and as a child or young person grows and develops.</w:t>
      </w:r>
    </w:p>
    <w:p w14:paraId="55993D48" w14:textId="77777777" w:rsidR="007731A8" w:rsidRDefault="007731A8" w:rsidP="00C15A61">
      <w:pPr>
        <w:pStyle w:val="Shadedboxtext"/>
        <w:spacing w:before="120" w:after="120"/>
        <w:rPr>
          <w:i/>
          <w:iCs/>
        </w:rPr>
      </w:pPr>
      <w:r w:rsidRPr="00924746">
        <w:rPr>
          <w:i/>
          <w:iCs/>
        </w:rPr>
        <w:t>Pharmacological treatments</w:t>
      </w:r>
    </w:p>
    <w:p w14:paraId="72D0E69E" w14:textId="02A00E13" w:rsidR="007731A8" w:rsidRDefault="00D80AE3" w:rsidP="00C15A61">
      <w:pPr>
        <w:pStyle w:val="Shadedboxtext"/>
        <w:spacing w:before="120"/>
      </w:pPr>
      <w:r>
        <w:t>Prescribe p</w:t>
      </w:r>
      <w:r w:rsidR="007731A8">
        <w:t>harmacological treatments in accordance with current best practice guidelines. These include guidelines developed by the Australasian ADHD Professionals Association, Canadian ADHD Resource Alliance, National Institute for Health and Care Excellence</w:t>
      </w:r>
      <w:r w:rsidR="00A111E5">
        <w:t xml:space="preserve"> (UK)</w:t>
      </w:r>
      <w:r w:rsidR="007731A8">
        <w:t xml:space="preserve"> and the American Academy of </w:t>
      </w:r>
      <w:proofErr w:type="spellStart"/>
      <w:r w:rsidR="007731A8">
        <w:t>Pediatrics</w:t>
      </w:r>
      <w:proofErr w:type="spellEnd"/>
      <w:r>
        <w:t>.</w:t>
      </w:r>
      <w:r w:rsidR="007731A8">
        <w:t xml:space="preserve"> </w:t>
      </w:r>
      <w:r>
        <w:t>I</w:t>
      </w:r>
      <w:r w:rsidR="007731A8">
        <w:t>n addition</w:t>
      </w:r>
      <w:r>
        <w:t>, take account of</w:t>
      </w:r>
      <w:r w:rsidR="007731A8">
        <w:t xml:space="preserve"> information provided by </w:t>
      </w:r>
      <w:proofErr w:type="spellStart"/>
      <w:r w:rsidR="007731A8">
        <w:t>HealthPathways</w:t>
      </w:r>
      <w:proofErr w:type="spellEnd"/>
      <w:r w:rsidR="007731A8">
        <w:t xml:space="preserve">, </w:t>
      </w:r>
      <w:proofErr w:type="spellStart"/>
      <w:r w:rsidR="007731A8">
        <w:t>Medsafe</w:t>
      </w:r>
      <w:proofErr w:type="spellEnd"/>
      <w:r w:rsidR="007731A8">
        <w:t xml:space="preserve"> and </w:t>
      </w:r>
      <w:proofErr w:type="spellStart"/>
      <w:r w:rsidR="007731A8">
        <w:t>Pharmac</w:t>
      </w:r>
      <w:proofErr w:type="spellEnd"/>
      <w:r w:rsidR="007731A8">
        <w:t xml:space="preserve">. </w:t>
      </w:r>
    </w:p>
    <w:p w14:paraId="3A32D839" w14:textId="256EFC81" w:rsidR="00434FC7" w:rsidRDefault="00D80AE3" w:rsidP="00C15A61">
      <w:pPr>
        <w:pStyle w:val="Shadedboxtext"/>
        <w:spacing w:before="120"/>
      </w:pPr>
      <w:r>
        <w:t>Consider b</w:t>
      </w:r>
      <w:r w:rsidR="007731A8">
        <w:t>oth stimulants and non-stimulant medication options</w:t>
      </w:r>
      <w:r>
        <w:t>. Carefully consider</w:t>
      </w:r>
      <w:r w:rsidR="007731A8">
        <w:t xml:space="preserve"> possible contraindications to medications.</w:t>
      </w:r>
    </w:p>
    <w:p w14:paraId="4D0CFB59" w14:textId="77777777" w:rsidR="00CC19A4" w:rsidRDefault="00CC19A4" w:rsidP="00C15A61">
      <w:pPr>
        <w:pStyle w:val="Shadedboxtext"/>
        <w:spacing w:before="120" w:after="120"/>
      </w:pPr>
      <w:r>
        <w:t xml:space="preserve">Monitoring requirements for stimulant medications include: </w:t>
      </w:r>
    </w:p>
    <w:p w14:paraId="06136851" w14:textId="6BFFB3C6" w:rsidR="00CC19A4" w:rsidRDefault="00AE72AE" w:rsidP="00C15A61">
      <w:pPr>
        <w:pStyle w:val="Shadedboxbullet"/>
        <w:spacing w:before="90"/>
      </w:pPr>
      <w:r>
        <w:t xml:space="preserve">conducting an </w:t>
      </w:r>
      <w:r w:rsidR="00CC19A4">
        <w:t>appropriate review</w:t>
      </w:r>
      <w:r>
        <w:t xml:space="preserve"> two to four</w:t>
      </w:r>
      <w:r w:rsidR="00CC19A4">
        <w:t xml:space="preserve"> weeks after initiating or changing prescribed medications</w:t>
      </w:r>
    </w:p>
    <w:p w14:paraId="31959CE1" w14:textId="3ACE2E39" w:rsidR="00CC19A4" w:rsidRDefault="00AE72AE" w:rsidP="00C15A61">
      <w:pPr>
        <w:pStyle w:val="Shadedboxbullet"/>
        <w:spacing w:before="90"/>
      </w:pPr>
      <w:r>
        <w:t xml:space="preserve">checking </w:t>
      </w:r>
      <w:r w:rsidR="00CC19A4">
        <w:t xml:space="preserve">weight </w:t>
      </w:r>
      <w:r>
        <w:t xml:space="preserve">three </w:t>
      </w:r>
      <w:r w:rsidR="00CC19A4">
        <w:t xml:space="preserve">months after starting medications </w:t>
      </w:r>
    </w:p>
    <w:p w14:paraId="53B03915" w14:textId="7B2CADA3" w:rsidR="00CC19A4" w:rsidRDefault="00AE72AE" w:rsidP="00C15A61">
      <w:pPr>
        <w:pStyle w:val="Shadedboxbullet"/>
        <w:spacing w:before="90"/>
      </w:pPr>
      <w:r>
        <w:t xml:space="preserve">conducting reviews every six </w:t>
      </w:r>
      <w:r w:rsidR="00CC19A4">
        <w:t>month</w:t>
      </w:r>
      <w:r>
        <w:t>s</w:t>
      </w:r>
      <w:r w:rsidR="00CC19A4">
        <w:t xml:space="preserve"> to monitor blood pressure, pulse, weight and height (plotted on a growth chart)</w:t>
      </w:r>
    </w:p>
    <w:p w14:paraId="2A8AB033" w14:textId="0F37A888" w:rsidR="00CC19A4" w:rsidRDefault="00CC19A4" w:rsidP="00C15A61">
      <w:pPr>
        <w:pStyle w:val="Shadedboxbullet"/>
        <w:spacing w:before="90"/>
      </w:pPr>
      <w:r>
        <w:t>check</w:t>
      </w:r>
      <w:r w:rsidR="00AE72AE">
        <w:t>ing</w:t>
      </w:r>
      <w:r>
        <w:t xml:space="preserve"> blood pressure and heart rate before and after each medication dose change</w:t>
      </w:r>
    </w:p>
    <w:p w14:paraId="259658A4" w14:textId="4125188B" w:rsidR="00CC19A4" w:rsidRDefault="00CC19A4" w:rsidP="00C15A61">
      <w:pPr>
        <w:pStyle w:val="Shadedboxbullet"/>
        <w:spacing w:before="90"/>
      </w:pPr>
      <w:r>
        <w:t>undertak</w:t>
      </w:r>
      <w:r w:rsidR="00AE72AE">
        <w:t>ing</w:t>
      </w:r>
      <w:r>
        <w:t xml:space="preserve"> review</w:t>
      </w:r>
      <w:r w:rsidR="00AE72AE">
        <w:t>s</w:t>
      </w:r>
      <w:r>
        <w:t xml:space="preserve"> more frequently if there are any concerns and refer</w:t>
      </w:r>
      <w:r w:rsidR="00AE72AE">
        <w:t>ring</w:t>
      </w:r>
      <w:r>
        <w:t xml:space="preserve"> to a specialist if needed.</w:t>
      </w:r>
    </w:p>
    <w:p w14:paraId="7783E139" w14:textId="77777777" w:rsidR="000A2DA8" w:rsidRDefault="000A2DA8" w:rsidP="00CC19A4">
      <w:pPr>
        <w:pStyle w:val="Shadedboxtext"/>
      </w:pPr>
    </w:p>
    <w:p w14:paraId="13D34354" w14:textId="1229EE23" w:rsidR="00CC19A4" w:rsidRDefault="00AE72AE" w:rsidP="005F02AE">
      <w:pPr>
        <w:pStyle w:val="Shadedboxtext"/>
        <w:spacing w:after="120"/>
      </w:pPr>
      <w:r>
        <w:t>As part of r</w:t>
      </w:r>
      <w:r w:rsidR="00CC19A4">
        <w:t>eviewing treatment efficacy</w:t>
      </w:r>
      <w:r>
        <w:t>,</w:t>
      </w:r>
      <w:r w:rsidR="00CC19A4">
        <w:t xml:space="preserve"> consider the child or young person’s functioning across settings. </w:t>
      </w:r>
    </w:p>
    <w:p w14:paraId="2ACAA663" w14:textId="4B6F76CF" w:rsidR="00CC19A4" w:rsidRDefault="0096033E" w:rsidP="00C15A61">
      <w:pPr>
        <w:pStyle w:val="Shadedboxbullet"/>
        <w:spacing w:before="90"/>
      </w:pPr>
      <w:r>
        <w:t xml:space="preserve">When </w:t>
      </w:r>
      <w:r w:rsidR="00CC19A4">
        <w:t>evaluating effects and the renewal of medications, it is useful to consider obtaining a SNAP ADHD assessment from parents and teachers to identify if</w:t>
      </w:r>
      <w:r>
        <w:t xml:space="preserve"> the</w:t>
      </w:r>
      <w:r w:rsidR="00CC19A4">
        <w:t xml:space="preserve"> dose is adequate, particularly if there are emotional or behavioural issues present. </w:t>
      </w:r>
    </w:p>
    <w:p w14:paraId="3B5DF8A2" w14:textId="77777777" w:rsidR="00CC19A4" w:rsidRDefault="00CC19A4" w:rsidP="00C15A61">
      <w:pPr>
        <w:pStyle w:val="Shadedboxtext"/>
      </w:pPr>
    </w:p>
    <w:p w14:paraId="1F18426F" w14:textId="77777777" w:rsidR="00CC19A4" w:rsidRDefault="00CC19A4" w:rsidP="00C15A61">
      <w:pPr>
        <w:pStyle w:val="Shadedboxtext"/>
        <w:spacing w:after="120"/>
        <w:rPr>
          <w:i/>
          <w:iCs/>
        </w:rPr>
      </w:pPr>
      <w:r w:rsidRPr="000A2DA8">
        <w:rPr>
          <w:i/>
          <w:iCs/>
        </w:rPr>
        <w:t>Non-pharmacological treatments</w:t>
      </w:r>
    </w:p>
    <w:p w14:paraId="00B95F2A" w14:textId="77777777" w:rsidR="00CC19A4" w:rsidRDefault="00CC19A4" w:rsidP="005F02AE">
      <w:pPr>
        <w:pStyle w:val="Shadedboxtext"/>
        <w:spacing w:after="120"/>
      </w:pPr>
      <w:r>
        <w:t xml:space="preserve">It is essential to involve family and whānau in any non-pharmacological approaches. </w:t>
      </w:r>
    </w:p>
    <w:p w14:paraId="628482A2" w14:textId="58DAEC50" w:rsidR="00CC19A4" w:rsidRDefault="0096033E" w:rsidP="00C15A61">
      <w:pPr>
        <w:pStyle w:val="Shadedboxbullet"/>
        <w:spacing w:before="90"/>
      </w:pPr>
      <w:r>
        <w:t xml:space="preserve">Consider </w:t>
      </w:r>
      <w:r w:rsidR="00CC19A4">
        <w:t>education programmes</w:t>
      </w:r>
      <w:r w:rsidR="0007016A">
        <w:t xml:space="preserve"> for</w:t>
      </w:r>
      <w:r w:rsidR="0007016A" w:rsidRPr="0007016A">
        <w:t xml:space="preserve"> </w:t>
      </w:r>
      <w:r w:rsidR="0007016A">
        <w:t>parents, family</w:t>
      </w:r>
      <w:r w:rsidR="0007016A" w:rsidRPr="0007016A">
        <w:t xml:space="preserve"> </w:t>
      </w:r>
      <w:r w:rsidR="0007016A">
        <w:t>and whānau</w:t>
      </w:r>
      <w:r w:rsidR="00CC19A4">
        <w:t xml:space="preserve">, particularly </w:t>
      </w:r>
      <w:r>
        <w:t xml:space="preserve">where </w:t>
      </w:r>
      <w:r w:rsidR="00CC19A4">
        <w:t>younger children</w:t>
      </w:r>
      <w:r>
        <w:t xml:space="preserve"> are involved</w:t>
      </w:r>
      <w:r w:rsidR="00CC19A4">
        <w:t xml:space="preserve">. </w:t>
      </w:r>
      <w:r>
        <w:t>E</w:t>
      </w:r>
      <w:r w:rsidR="00CC19A4">
        <w:t>xample</w:t>
      </w:r>
      <w:r>
        <w:t>s of</w:t>
      </w:r>
      <w:r w:rsidR="00CC19A4">
        <w:t xml:space="preserve"> recommended evidence-based interventions </w:t>
      </w:r>
      <w:r>
        <w:t xml:space="preserve">are </w:t>
      </w:r>
      <w:r w:rsidR="00CC19A4">
        <w:t>‘Incredible Years’ and ‘Triple P’.</w:t>
      </w:r>
    </w:p>
    <w:p w14:paraId="27751D80" w14:textId="39F97BD8" w:rsidR="3331445F" w:rsidRDefault="3331445F" w:rsidP="00C15A61">
      <w:pPr>
        <w:pStyle w:val="Shadedboxbullet"/>
        <w:spacing w:before="90"/>
      </w:pPr>
      <w:r>
        <w:t xml:space="preserve">Offer access to information and resources and ways to access tools to manage challenges associated with ADHD. </w:t>
      </w:r>
    </w:p>
    <w:p w14:paraId="25E329DE" w14:textId="47C3B9FE" w:rsidR="0418DEC1" w:rsidRDefault="3331445F" w:rsidP="00C15A61">
      <w:pPr>
        <w:pStyle w:val="Shadedboxbullet"/>
        <w:spacing w:before="90"/>
      </w:pPr>
      <w:r>
        <w:t xml:space="preserve">Support a healthy lifestyle – </w:t>
      </w:r>
      <w:r w:rsidR="00FB1FB8">
        <w:t xml:space="preserve">addressing </w:t>
      </w:r>
      <w:r>
        <w:t>physical activity, sleep</w:t>
      </w:r>
      <w:r w:rsidR="0096033E">
        <w:t xml:space="preserve"> and</w:t>
      </w:r>
      <w:r>
        <w:t xml:space="preserve"> nutrition</w:t>
      </w:r>
      <w:r w:rsidR="0096033E">
        <w:t xml:space="preserve"> </w:t>
      </w:r>
      <w:r>
        <w:t xml:space="preserve">and </w:t>
      </w:r>
      <w:r w:rsidR="0096033E">
        <w:t>provid</w:t>
      </w:r>
      <w:r w:rsidR="00FB1FB8">
        <w:t>ing</w:t>
      </w:r>
      <w:r w:rsidR="0096033E">
        <w:t xml:space="preserve"> </w:t>
      </w:r>
      <w:r>
        <w:t xml:space="preserve">preventative advice </w:t>
      </w:r>
      <w:r w:rsidR="0096033E">
        <w:t xml:space="preserve">about </w:t>
      </w:r>
      <w:r>
        <w:t>the use of substances.</w:t>
      </w:r>
    </w:p>
    <w:p w14:paraId="6E3F4B48" w14:textId="1B0F36CA" w:rsidR="00B76BA8" w:rsidRDefault="0096033E" w:rsidP="00C15A61">
      <w:pPr>
        <w:pStyle w:val="Shadedboxbullet"/>
        <w:spacing w:before="90"/>
      </w:pPr>
      <w:r>
        <w:t>Consider p</w:t>
      </w:r>
      <w:r w:rsidR="00CC19A4">
        <w:t xml:space="preserve">sychological therapies and particularly </w:t>
      </w:r>
      <w:r>
        <w:t>c</w:t>
      </w:r>
      <w:r w:rsidR="00CC19A4">
        <w:t xml:space="preserve">ognitive </w:t>
      </w:r>
      <w:r>
        <w:t>b</w:t>
      </w:r>
      <w:r w:rsidR="00CC19A4">
        <w:t xml:space="preserve">ehavioural </w:t>
      </w:r>
      <w:r>
        <w:t>t</w:t>
      </w:r>
      <w:r w:rsidR="00CC19A4">
        <w:t>herapy</w:t>
      </w:r>
      <w:r>
        <w:t>, which</w:t>
      </w:r>
      <w:r w:rsidR="00CC19A4">
        <w:t xml:space="preserve"> can be helpful for young people. Mindfulness</w:t>
      </w:r>
      <w:r w:rsidR="00B76BA8">
        <w:t xml:space="preserve"> therapies and ADHD coaching may also be used in some settings.</w:t>
      </w:r>
    </w:p>
    <w:p w14:paraId="0D38016B" w14:textId="3048662F" w:rsidR="00B76BA8" w:rsidRDefault="0096033E" w:rsidP="00C15A61">
      <w:pPr>
        <w:pStyle w:val="Shadedboxbullet"/>
        <w:spacing w:before="90"/>
      </w:pPr>
      <w:r>
        <w:t>Consider e</w:t>
      </w:r>
      <w:r w:rsidR="00B76BA8">
        <w:t>ducation and school-based accommodations and supports</w:t>
      </w:r>
      <w:r>
        <w:t>, which</w:t>
      </w:r>
      <w:r w:rsidR="00B76BA8">
        <w:t xml:space="preserve"> can be effective. </w:t>
      </w:r>
    </w:p>
    <w:p w14:paraId="343BD992" w14:textId="1E29F983" w:rsidR="00B76BA8" w:rsidRPr="000A2DA8" w:rsidRDefault="00B76BA8" w:rsidP="00C15A61">
      <w:pPr>
        <w:pStyle w:val="Shadedboxsubheading"/>
        <w:spacing w:before="160"/>
      </w:pPr>
      <w:r w:rsidRPr="000A2DA8">
        <w:t>Further considerations</w:t>
      </w:r>
    </w:p>
    <w:p w14:paraId="3ACD92F0" w14:textId="77777777" w:rsidR="003E01ED" w:rsidRDefault="003E01ED" w:rsidP="009225C6">
      <w:pPr>
        <w:pStyle w:val="Shadedboxtext"/>
        <w:spacing w:after="120"/>
      </w:pPr>
      <w:r>
        <w:t>Also consider:</w:t>
      </w:r>
    </w:p>
    <w:p w14:paraId="77167ECB" w14:textId="73C452F9" w:rsidR="00B76BA8" w:rsidRDefault="0096033E" w:rsidP="00C15A61">
      <w:pPr>
        <w:pStyle w:val="Shadedboxbullet"/>
        <w:spacing w:before="90"/>
      </w:pPr>
      <w:r>
        <w:t>A</w:t>
      </w:r>
      <w:r w:rsidR="00B76BA8">
        <w:t xml:space="preserve">ppropriate </w:t>
      </w:r>
      <w:r w:rsidR="009225C6">
        <w:t>management of</w:t>
      </w:r>
      <w:r w:rsidR="00B76BA8">
        <w:t xml:space="preserve"> significant concurrent conditions that the comprehensive assessment</w:t>
      </w:r>
      <w:r>
        <w:t xml:space="preserve"> identifies</w:t>
      </w:r>
      <w:r w:rsidR="00B76BA8">
        <w:t>.</w:t>
      </w:r>
    </w:p>
    <w:p w14:paraId="370A3763" w14:textId="4E8F7F08" w:rsidR="001E1FB0" w:rsidRDefault="00B76BA8" w:rsidP="00C15A61">
      <w:pPr>
        <w:pStyle w:val="Shadedboxbullet"/>
        <w:spacing w:before="90"/>
      </w:pPr>
      <w:r>
        <w:t xml:space="preserve">ADHD support groups </w:t>
      </w:r>
      <w:r w:rsidR="009225C6">
        <w:t xml:space="preserve">which </w:t>
      </w:r>
      <w:r>
        <w:t>are helpful for some individuals and parents.</w:t>
      </w:r>
    </w:p>
    <w:p w14:paraId="23A09C8C" w14:textId="7EC5331D" w:rsidR="00A01FDF" w:rsidRDefault="00A01FDF"/>
    <w:p w14:paraId="277DB3A5" w14:textId="41DCF6A6" w:rsidR="001E2DFB" w:rsidRDefault="001E2DFB" w:rsidP="001E2DFB">
      <w:pPr>
        <w:pStyle w:val="Heading1"/>
        <w:pageBreakBefore/>
        <w:spacing w:before="0"/>
      </w:pPr>
      <w:bookmarkStart w:id="16" w:name="_Toc209607279"/>
      <w:r>
        <w:lastRenderedPageBreak/>
        <w:t>P</w:t>
      </w:r>
      <w:r w:rsidR="000A5A3D">
        <w:t>rinciples for adults</w:t>
      </w:r>
      <w:bookmarkEnd w:id="16"/>
    </w:p>
    <w:p w14:paraId="7E45DDE7" w14:textId="2ABF5426" w:rsidR="00F559DF" w:rsidRDefault="000A2DA8" w:rsidP="003E01ED">
      <w:pPr>
        <w:pStyle w:val="Shadedboxheading"/>
      </w:pPr>
      <w:r w:rsidRPr="00F559DF">
        <w:t xml:space="preserve">ADHD </w:t>
      </w:r>
      <w:r w:rsidR="0096033E">
        <w:t>assessment and diagnosis for adults</w:t>
      </w:r>
    </w:p>
    <w:p w14:paraId="59C78592" w14:textId="2E15E61E" w:rsidR="00AB014E" w:rsidRPr="000A2DA8" w:rsidRDefault="00AB014E" w:rsidP="003E01ED">
      <w:pPr>
        <w:pStyle w:val="Shadedboxsubheading"/>
      </w:pPr>
      <w:r w:rsidRPr="000A2DA8">
        <w:t>Expected standards</w:t>
      </w:r>
    </w:p>
    <w:p w14:paraId="565C07FB" w14:textId="77777777" w:rsidR="00AB014E" w:rsidRDefault="00AB014E" w:rsidP="005F02AE">
      <w:pPr>
        <w:pStyle w:val="Shadedboxtext"/>
        <w:spacing w:after="120"/>
      </w:pPr>
      <w:r>
        <w:t>A comprehensive assessment includes:</w:t>
      </w:r>
    </w:p>
    <w:p w14:paraId="23AB0F23" w14:textId="70552D22" w:rsidR="00AB014E" w:rsidRDefault="00943649" w:rsidP="00C15A61">
      <w:pPr>
        <w:pStyle w:val="Shadedboxbullet"/>
        <w:spacing w:before="90"/>
      </w:pPr>
      <w:r>
        <w:t xml:space="preserve">gathering a </w:t>
      </w:r>
      <w:r w:rsidR="00AB014E">
        <w:t xml:space="preserve">detailed history of ADHD symptoms, concurrent conditions and differential diagnoses, </w:t>
      </w:r>
      <w:r w:rsidR="009225C6">
        <w:t xml:space="preserve">undertaking a </w:t>
      </w:r>
      <w:r w:rsidR="00AB014E">
        <w:t>medical assessment, family history, and developmental assessment including attachment and trauma history</w:t>
      </w:r>
    </w:p>
    <w:p w14:paraId="1A33F474" w14:textId="5A065E88" w:rsidR="00AB014E" w:rsidRDefault="00A55903" w:rsidP="00C15A61">
      <w:pPr>
        <w:pStyle w:val="Shadedboxbullet"/>
        <w:spacing w:before="90"/>
      </w:pPr>
      <w:r>
        <w:t>o</w:t>
      </w:r>
      <w:r w:rsidR="00AB014E">
        <w:t>btaining comprehensive and longitudinal information supporting the clear presence of ADHD symptoms in childhood</w:t>
      </w:r>
      <w:r w:rsidR="00943649">
        <w:t xml:space="preserve"> – for example, </w:t>
      </w:r>
      <w:r w:rsidR="00AB014E">
        <w:t>previous school reports, and collateral history from a known adult in childhood using a SNAP ADHD rating scale or similar and/or gaining retrospective history</w:t>
      </w:r>
    </w:p>
    <w:p w14:paraId="0FA92662" w14:textId="3F7FBB3F" w:rsidR="00AB014E" w:rsidRDefault="00AB014E" w:rsidP="00C15A61">
      <w:pPr>
        <w:pStyle w:val="Shadedboxbullet"/>
        <w:spacing w:before="90"/>
      </w:pPr>
      <w:r>
        <w:t>us</w:t>
      </w:r>
      <w:r w:rsidR="00943649">
        <w:t>ing</w:t>
      </w:r>
      <w:r>
        <w:t xml:space="preserve"> standardised assessment scales </w:t>
      </w:r>
      <w:r w:rsidR="00943649">
        <w:t>– for example</w:t>
      </w:r>
      <w:r w:rsidR="00F6698C">
        <w:t xml:space="preserve"> </w:t>
      </w:r>
      <w:r w:rsidR="00D13FE1">
        <w:t xml:space="preserve">the </w:t>
      </w:r>
      <w:r w:rsidR="00F6698C">
        <w:t>most recent editions of</w:t>
      </w:r>
      <w:r>
        <w:t xml:space="preserve"> Adult ADHD Self-Report Scale (ASRS), Wender Utah Rating Scale (WURS), Conners’ Adult ADHD Rating Scale (CAARS), Barkley ADHD assessment rating scales and SNAP ADHD rating scales</w:t>
      </w:r>
    </w:p>
    <w:p w14:paraId="1D2D7586" w14:textId="168FFF23" w:rsidR="000645F8" w:rsidRDefault="00943649" w:rsidP="00C15A61">
      <w:pPr>
        <w:pStyle w:val="Shadedboxbullet"/>
        <w:spacing w:before="90"/>
      </w:pPr>
      <w:r>
        <w:t xml:space="preserve">recognising that </w:t>
      </w:r>
      <w:r w:rsidR="000645F8">
        <w:t>rating scales may contribute to information for the assessment but should not be relied on as the sing</w:t>
      </w:r>
      <w:r>
        <w:t>le</w:t>
      </w:r>
      <w:r w:rsidR="000645F8">
        <w:t xml:space="preserve"> basis for ADHD diagnosis</w:t>
      </w:r>
    </w:p>
    <w:p w14:paraId="74024E3F" w14:textId="61E360E0" w:rsidR="000645F8" w:rsidRDefault="000645F8" w:rsidP="00C15A61">
      <w:pPr>
        <w:pStyle w:val="Shadedboxbullet"/>
        <w:spacing w:before="90"/>
      </w:pPr>
      <w:r>
        <w:t>considering cultural safety and sensitivity</w:t>
      </w:r>
      <w:r w:rsidR="00943649">
        <w:t xml:space="preserve"> –</w:t>
      </w:r>
      <w:r>
        <w:t xml:space="preserve"> for example</w:t>
      </w:r>
      <w:r w:rsidR="00943649">
        <w:t>,</w:t>
      </w:r>
      <w:r>
        <w:t xml:space="preserve"> when working with Māori and other minoritised groups. </w:t>
      </w:r>
    </w:p>
    <w:p w14:paraId="6FA2F6E9" w14:textId="1823B8E1" w:rsidR="000645F8" w:rsidRPr="005F02AE" w:rsidRDefault="000645F8" w:rsidP="00C15A61">
      <w:pPr>
        <w:pStyle w:val="Shadedboxsubheading"/>
        <w:spacing w:before="160"/>
      </w:pPr>
      <w:r w:rsidRPr="005F02AE">
        <w:t>Further considerations</w:t>
      </w:r>
    </w:p>
    <w:p w14:paraId="4ABA708D" w14:textId="77777777" w:rsidR="009225C6" w:rsidRDefault="009225C6" w:rsidP="009225C6">
      <w:pPr>
        <w:pStyle w:val="Shadedboxtext"/>
        <w:spacing w:after="120"/>
      </w:pPr>
      <w:r>
        <w:t>Also consider:</w:t>
      </w:r>
    </w:p>
    <w:p w14:paraId="59E7293A" w14:textId="1469E07E" w:rsidR="000645F8" w:rsidRDefault="33EE9CFE" w:rsidP="00C15A61">
      <w:pPr>
        <w:pStyle w:val="Shadedboxbullet"/>
        <w:spacing w:before="90"/>
      </w:pPr>
      <w:r>
        <w:t>a</w:t>
      </w:r>
      <w:r w:rsidR="63AA7521">
        <w:t xml:space="preserve"> </w:t>
      </w:r>
      <w:r w:rsidR="29C24F24">
        <w:t>diagnostic assessment with semi-structured interview format and undertake</w:t>
      </w:r>
      <w:r w:rsidR="63AA7521">
        <w:t xml:space="preserve"> it</w:t>
      </w:r>
      <w:r w:rsidR="29C24F24">
        <w:t xml:space="preserve"> if possible. </w:t>
      </w:r>
      <w:r w:rsidR="63AA7521">
        <w:t>E</w:t>
      </w:r>
      <w:r w:rsidR="29C24F24">
        <w:t>xample</w:t>
      </w:r>
      <w:r w:rsidR="63AA7521">
        <w:t xml:space="preserve">s are </w:t>
      </w:r>
      <w:r w:rsidR="0ADD41B1">
        <w:t xml:space="preserve">the </w:t>
      </w:r>
      <w:r w:rsidR="2CE40391">
        <w:t xml:space="preserve">most recent editions of </w:t>
      </w:r>
      <w:r w:rsidR="63AA7521">
        <w:t>the</w:t>
      </w:r>
      <w:r w:rsidR="29C24F24">
        <w:t xml:space="preserve"> Diagnostic Interview for ADHD in Adults (DIVA), Conners’ Adult ADHD Diagnostic Interview for DSM-IV, </w:t>
      </w:r>
      <w:r w:rsidR="63AA7521">
        <w:t xml:space="preserve">and </w:t>
      </w:r>
      <w:r w:rsidR="29C24F24">
        <w:t>the ACE+ ADHD Adult Evaluation</w:t>
      </w:r>
    </w:p>
    <w:p w14:paraId="7C0C4643" w14:textId="4BF11589" w:rsidR="000645F8" w:rsidRDefault="009225C6" w:rsidP="00C15A61">
      <w:pPr>
        <w:pStyle w:val="Shadedboxbullet"/>
        <w:spacing w:before="90"/>
      </w:pPr>
      <w:r>
        <w:t>f</w:t>
      </w:r>
      <w:r w:rsidR="000645F8">
        <w:t xml:space="preserve">unctional impairment scales </w:t>
      </w:r>
      <w:r>
        <w:t xml:space="preserve">which </w:t>
      </w:r>
      <w:r w:rsidR="000645F8">
        <w:t xml:space="preserve">can be useful for assessing ADHD in adults </w:t>
      </w:r>
      <w:r w:rsidR="00943649">
        <w:t>– for example,</w:t>
      </w:r>
      <w:r w:rsidR="000645F8">
        <w:t xml:space="preserve"> Weiss Functional Impairment Self-Report</w:t>
      </w:r>
    </w:p>
    <w:p w14:paraId="0A3F616C" w14:textId="0854894F" w:rsidR="000645F8" w:rsidRDefault="00943649" w:rsidP="00C15A61">
      <w:pPr>
        <w:pStyle w:val="Shadedboxbullet"/>
        <w:spacing w:before="90"/>
      </w:pPr>
      <w:r>
        <w:t xml:space="preserve">other conditions </w:t>
      </w:r>
      <w:r w:rsidR="009225C6">
        <w:t xml:space="preserve">that may be </w:t>
      </w:r>
      <w:r w:rsidR="000645F8">
        <w:t xml:space="preserve">commonly present </w:t>
      </w:r>
      <w:r w:rsidR="00E90498">
        <w:t>with ADHD</w:t>
      </w:r>
      <w:r w:rsidR="000645F8">
        <w:t xml:space="preserve">, </w:t>
      </w:r>
      <w:r w:rsidR="009225C6">
        <w:t>and</w:t>
      </w:r>
      <w:r w:rsidR="000645F8">
        <w:t xml:space="preserve"> appropriate management for significant concurrent conditions that the comprehensive assessment</w:t>
      </w:r>
      <w:r w:rsidR="00E90498">
        <w:t xml:space="preserve"> identifies</w:t>
      </w:r>
    </w:p>
    <w:p w14:paraId="3C892EB2" w14:textId="28D8826D" w:rsidR="000645F8" w:rsidRDefault="000645F8" w:rsidP="00C15A61">
      <w:pPr>
        <w:pStyle w:val="Shadedboxbullet"/>
        <w:spacing w:before="90" w:after="120"/>
      </w:pPr>
      <w:r>
        <w:t>alternative causes of attention deficit including sleep deprivation or disorders, trauma disorders, mood disorders, brain injuries, hormonal changes and other neurological disorders</w:t>
      </w:r>
    </w:p>
    <w:p w14:paraId="5422399B" w14:textId="763B385F" w:rsidR="00AB014E" w:rsidRDefault="009225C6" w:rsidP="00C15A61">
      <w:pPr>
        <w:pStyle w:val="Shadedboxbullet"/>
        <w:spacing w:before="90"/>
      </w:pPr>
      <w:r>
        <w:lastRenderedPageBreak/>
        <w:t>using m</w:t>
      </w:r>
      <w:r w:rsidR="000645F8">
        <w:t>ultidisciplinary clinicians trained in ADHD</w:t>
      </w:r>
      <w:r w:rsidR="00E90498" w:rsidRPr="00E90498">
        <w:t xml:space="preserve"> </w:t>
      </w:r>
      <w:r w:rsidR="00E90498">
        <w:t>– for example, social workers and occupational therapists –</w:t>
      </w:r>
      <w:r w:rsidR="000645F8">
        <w:t xml:space="preserve"> </w:t>
      </w:r>
      <w:r w:rsidR="00B82BB9">
        <w:t xml:space="preserve">who </w:t>
      </w:r>
      <w:r w:rsidR="000645F8">
        <w:t>may assist with ADHD assessments</w:t>
      </w:r>
      <w:r w:rsidR="00916FC4">
        <w:t>.</w:t>
      </w:r>
    </w:p>
    <w:p w14:paraId="08F69275" w14:textId="77777777" w:rsidR="001E2DFB" w:rsidRPr="001E2DFB" w:rsidRDefault="001E2DFB" w:rsidP="001E2DFB"/>
    <w:p w14:paraId="2A887784" w14:textId="41B1D679" w:rsidR="004F7286" w:rsidRDefault="000A2DA8" w:rsidP="009225C6">
      <w:pPr>
        <w:pStyle w:val="Shadedboxheading"/>
      </w:pPr>
      <w:r w:rsidRPr="00D9666C">
        <w:t xml:space="preserve">ADHD </w:t>
      </w:r>
      <w:r w:rsidR="00EB0D38">
        <w:t>treatment and management for adults</w:t>
      </w:r>
    </w:p>
    <w:p w14:paraId="374BDEB3" w14:textId="14CB9C24" w:rsidR="004F7286" w:rsidRPr="005F02AE" w:rsidRDefault="004F7286" w:rsidP="009225C6">
      <w:pPr>
        <w:pStyle w:val="Shadedboxsubheading"/>
      </w:pPr>
      <w:r w:rsidRPr="005F02AE">
        <w:t>Expected standards</w:t>
      </w:r>
    </w:p>
    <w:p w14:paraId="74AB5C4E" w14:textId="77777777" w:rsidR="004F7286" w:rsidRDefault="004F7286" w:rsidP="005F02AE">
      <w:pPr>
        <w:pStyle w:val="Shadedboxtext"/>
        <w:spacing w:after="120"/>
      </w:pPr>
      <w:r>
        <w:t>A treatment and management plan includes:</w:t>
      </w:r>
    </w:p>
    <w:p w14:paraId="6D011006" w14:textId="5D3F9C73" w:rsidR="004F7286" w:rsidRDefault="004F7286" w:rsidP="00C15A61">
      <w:pPr>
        <w:pStyle w:val="Shadedboxbullet"/>
        <w:spacing w:before="90"/>
      </w:pPr>
      <w:r>
        <w:t xml:space="preserve">developing plans </w:t>
      </w:r>
      <w:r w:rsidR="00EB0D38">
        <w:t>together</w:t>
      </w:r>
      <w:r>
        <w:t xml:space="preserve"> with the person</w:t>
      </w:r>
      <w:r w:rsidR="00EB0D38">
        <w:t xml:space="preserve"> and, if appropriate,</w:t>
      </w:r>
      <w:r>
        <w:t xml:space="preserve"> </w:t>
      </w:r>
      <w:r w:rsidR="00EB0D38">
        <w:t xml:space="preserve">with </w:t>
      </w:r>
      <w:r>
        <w:t>family</w:t>
      </w:r>
      <w:r w:rsidR="00D2760A">
        <w:t>, whānau</w:t>
      </w:r>
      <w:r>
        <w:t xml:space="preserve"> and/or support people </w:t>
      </w:r>
    </w:p>
    <w:p w14:paraId="5CD0A167" w14:textId="7DAAD34E" w:rsidR="004F7286" w:rsidRDefault="004F7286" w:rsidP="00C15A61">
      <w:pPr>
        <w:pStyle w:val="Shadedboxbullet"/>
        <w:spacing w:before="90"/>
      </w:pPr>
      <w:r>
        <w:t>discussing the pros and cons of pharmacological and non-pharmacological approaches</w:t>
      </w:r>
    </w:p>
    <w:p w14:paraId="4ACCC38F" w14:textId="6DBFF4A1" w:rsidR="004F7286" w:rsidRDefault="004F7286" w:rsidP="00C15A61">
      <w:pPr>
        <w:pStyle w:val="Shadedboxbullet"/>
        <w:spacing w:before="90"/>
      </w:pPr>
      <w:r>
        <w:t>considering cultural safety and sensitivity</w:t>
      </w:r>
      <w:r w:rsidR="00EB0D38">
        <w:t xml:space="preserve"> –</w:t>
      </w:r>
      <w:r>
        <w:t xml:space="preserve"> for example</w:t>
      </w:r>
      <w:r w:rsidR="00EB0D38">
        <w:t>,</w:t>
      </w:r>
      <w:r>
        <w:t xml:space="preserve"> when working with Māori and other minoritised groups</w:t>
      </w:r>
    </w:p>
    <w:p w14:paraId="2C77284E" w14:textId="6537A58C" w:rsidR="004F7286" w:rsidRDefault="00EB0D38" w:rsidP="00C15A61">
      <w:pPr>
        <w:pStyle w:val="Shadedboxbullet"/>
        <w:spacing w:before="90"/>
      </w:pPr>
      <w:r>
        <w:t xml:space="preserve">communicating in a </w:t>
      </w:r>
      <w:r w:rsidR="004F7286">
        <w:t xml:space="preserve">clear and timely </w:t>
      </w:r>
      <w:r>
        <w:t xml:space="preserve">way </w:t>
      </w:r>
      <w:r w:rsidR="004F7286">
        <w:t xml:space="preserve">with primary care teams to keep </w:t>
      </w:r>
      <w:r>
        <w:t xml:space="preserve">them </w:t>
      </w:r>
      <w:r w:rsidR="004F7286">
        <w:t xml:space="preserve">updated on treatment and management approaches. </w:t>
      </w:r>
    </w:p>
    <w:p w14:paraId="50BB6397" w14:textId="77777777" w:rsidR="004F7286" w:rsidRPr="005F02AE" w:rsidRDefault="004F7286" w:rsidP="00C15A61">
      <w:pPr>
        <w:pStyle w:val="Shadedboxtext"/>
        <w:spacing w:before="160" w:after="120"/>
        <w:rPr>
          <w:i/>
          <w:iCs/>
        </w:rPr>
      </w:pPr>
      <w:r w:rsidRPr="005F02AE">
        <w:rPr>
          <w:i/>
          <w:iCs/>
        </w:rPr>
        <w:t>Pharmacological treatments</w:t>
      </w:r>
    </w:p>
    <w:p w14:paraId="2479B476" w14:textId="77777777" w:rsidR="005F02AE" w:rsidRDefault="004F7286" w:rsidP="005F02AE">
      <w:pPr>
        <w:pStyle w:val="Shadedboxtext"/>
      </w:pPr>
      <w:r>
        <w:t xml:space="preserve">Provide access to pharmacological treatments. </w:t>
      </w:r>
      <w:r w:rsidR="005F02AE">
        <w:t>Carefully consider possible contraindications to medications.</w:t>
      </w:r>
    </w:p>
    <w:p w14:paraId="3EC21800" w14:textId="77777777" w:rsidR="005F02AE" w:rsidRDefault="005F02AE" w:rsidP="002548C4">
      <w:pPr>
        <w:pStyle w:val="Shadedboxtext"/>
      </w:pPr>
    </w:p>
    <w:p w14:paraId="41B07843" w14:textId="42A29C23" w:rsidR="002548C4" w:rsidRDefault="00EB0D38" w:rsidP="002548C4">
      <w:pPr>
        <w:pStyle w:val="Shadedboxtext"/>
      </w:pPr>
      <w:r>
        <w:t>Prescribe p</w:t>
      </w:r>
      <w:r w:rsidR="004F7286">
        <w:t>harmacological treatments in accordance with current best practice guidelines. These include guidelines developed by the Australasian ADHD Professionals Association, Canadian ADHD</w:t>
      </w:r>
      <w:r w:rsidR="002548C4">
        <w:t xml:space="preserve"> Resource Alliance, National Institute for Health and Care Excellence</w:t>
      </w:r>
      <w:r w:rsidR="00D41CED">
        <w:t xml:space="preserve"> (UK)</w:t>
      </w:r>
      <w:r w:rsidR="002548C4">
        <w:t xml:space="preserve"> and the American Academy of </w:t>
      </w:r>
      <w:proofErr w:type="spellStart"/>
      <w:r w:rsidR="002548C4">
        <w:t>Pediatrics</w:t>
      </w:r>
      <w:proofErr w:type="spellEnd"/>
      <w:r>
        <w:t>.</w:t>
      </w:r>
      <w:r w:rsidR="002548C4">
        <w:t xml:space="preserve"> </w:t>
      </w:r>
      <w:r>
        <w:t>I</w:t>
      </w:r>
      <w:r w:rsidR="002548C4">
        <w:t>n addition</w:t>
      </w:r>
      <w:r>
        <w:t>, take account of</w:t>
      </w:r>
      <w:r w:rsidR="002548C4">
        <w:t xml:space="preserve"> information provided by </w:t>
      </w:r>
      <w:proofErr w:type="spellStart"/>
      <w:r w:rsidR="002548C4">
        <w:t>HealthPathways</w:t>
      </w:r>
      <w:proofErr w:type="spellEnd"/>
      <w:r w:rsidR="002548C4">
        <w:t xml:space="preserve">, </w:t>
      </w:r>
      <w:proofErr w:type="spellStart"/>
      <w:r w:rsidR="002548C4">
        <w:t>Medsafe</w:t>
      </w:r>
      <w:proofErr w:type="spellEnd"/>
      <w:r w:rsidR="002548C4">
        <w:t xml:space="preserve"> and </w:t>
      </w:r>
      <w:proofErr w:type="spellStart"/>
      <w:r w:rsidR="002548C4">
        <w:t>Pharmac</w:t>
      </w:r>
      <w:proofErr w:type="spellEnd"/>
      <w:r w:rsidR="002548C4">
        <w:t xml:space="preserve">. </w:t>
      </w:r>
    </w:p>
    <w:p w14:paraId="281B973E" w14:textId="77777777" w:rsidR="005F02AE" w:rsidRDefault="005F02AE" w:rsidP="002548C4">
      <w:pPr>
        <w:pStyle w:val="Shadedboxtext"/>
      </w:pPr>
    </w:p>
    <w:p w14:paraId="39B3C14B" w14:textId="39DC602B" w:rsidR="002548C4" w:rsidRDefault="002548C4" w:rsidP="005F02AE">
      <w:pPr>
        <w:pStyle w:val="Shadedboxtext"/>
        <w:spacing w:after="120"/>
      </w:pPr>
      <w:r>
        <w:t>Monitoring requirements for stimulant medications include</w:t>
      </w:r>
      <w:r w:rsidR="00EB0D38" w:rsidRPr="00EB0D38">
        <w:t xml:space="preserve"> </w:t>
      </w:r>
      <w:r w:rsidR="00EB0D38">
        <w:t>undertaking</w:t>
      </w:r>
      <w:r>
        <w:t>:</w:t>
      </w:r>
    </w:p>
    <w:p w14:paraId="400B271F" w14:textId="77638FC9" w:rsidR="002548C4" w:rsidRDefault="00EB0D38" w:rsidP="00C15A61">
      <w:pPr>
        <w:pStyle w:val="Shadedboxbullet"/>
        <w:spacing w:before="90"/>
      </w:pPr>
      <w:r>
        <w:t xml:space="preserve">a </w:t>
      </w:r>
      <w:r w:rsidR="00A55903">
        <w:t>c</w:t>
      </w:r>
      <w:r w:rsidR="002548C4">
        <w:t>linical review</w:t>
      </w:r>
      <w:r>
        <w:t xml:space="preserve"> two to four</w:t>
      </w:r>
      <w:r w:rsidR="002548C4">
        <w:t xml:space="preserve"> weeks after initiating new medication</w:t>
      </w:r>
    </w:p>
    <w:p w14:paraId="06E8B80B" w14:textId="004F1FFB" w:rsidR="002548C4" w:rsidRDefault="00EB0D38" w:rsidP="00C15A61">
      <w:pPr>
        <w:pStyle w:val="Shadedboxbullet"/>
        <w:spacing w:before="90"/>
      </w:pPr>
      <w:r>
        <w:t xml:space="preserve">an </w:t>
      </w:r>
      <w:r w:rsidR="00A55903">
        <w:t>a</w:t>
      </w:r>
      <w:r w:rsidR="002548C4">
        <w:t>dditional clinical follow</w:t>
      </w:r>
      <w:r>
        <w:t>-</w:t>
      </w:r>
      <w:r w:rsidR="002548C4">
        <w:t>up for cardiac and mental health review</w:t>
      </w:r>
      <w:r>
        <w:t xml:space="preserve"> after 6–12 months</w:t>
      </w:r>
    </w:p>
    <w:p w14:paraId="28E92110" w14:textId="2943C8BF" w:rsidR="002548C4" w:rsidRDefault="00EB0D38" w:rsidP="00C15A61">
      <w:pPr>
        <w:pStyle w:val="Shadedboxbullet"/>
        <w:spacing w:before="90"/>
      </w:pPr>
      <w:r>
        <w:t xml:space="preserve">an </w:t>
      </w:r>
      <w:r w:rsidR="00A55903">
        <w:t>a</w:t>
      </w:r>
      <w:r w:rsidR="002548C4">
        <w:t>nnual review of medication efficacy and tolerability, including weight, pulse and blood pressure checks</w:t>
      </w:r>
    </w:p>
    <w:p w14:paraId="12A63CF4" w14:textId="3F867340" w:rsidR="002548C4" w:rsidRDefault="00EB0D38" w:rsidP="00C15A61">
      <w:pPr>
        <w:pStyle w:val="Shadedboxbullet"/>
        <w:spacing w:before="90"/>
      </w:pPr>
      <w:r>
        <w:t xml:space="preserve">more frequent </w:t>
      </w:r>
      <w:r w:rsidR="002548C4">
        <w:t>reviews if there are any concerns and refer</w:t>
      </w:r>
      <w:r>
        <w:t>ring</w:t>
      </w:r>
      <w:r w:rsidR="002548C4">
        <w:t xml:space="preserve"> to a specialist if needed</w:t>
      </w:r>
    </w:p>
    <w:p w14:paraId="0E7D23D3" w14:textId="1D67D30D" w:rsidR="002548C4" w:rsidRDefault="00A55903" w:rsidP="00C15A61">
      <w:pPr>
        <w:pStyle w:val="Shadedboxbullet"/>
        <w:spacing w:before="90"/>
      </w:pPr>
      <w:r>
        <w:t>r</w:t>
      </w:r>
      <w:r w:rsidR="002548C4">
        <w:t>eview</w:t>
      </w:r>
      <w:r w:rsidR="00EB0D38">
        <w:t>ing</w:t>
      </w:r>
      <w:r w:rsidR="002548C4">
        <w:t xml:space="preserve"> the need for continuing medication every </w:t>
      </w:r>
      <w:r w:rsidR="00EB0D38">
        <w:t>two to four</w:t>
      </w:r>
      <w:r w:rsidR="002548C4">
        <w:t xml:space="preserve"> years.</w:t>
      </w:r>
    </w:p>
    <w:p w14:paraId="71A523AC" w14:textId="77777777" w:rsidR="002548C4" w:rsidRPr="005F02AE" w:rsidRDefault="002548C4" w:rsidP="00C15A61">
      <w:pPr>
        <w:pStyle w:val="Shadedboxtext"/>
        <w:spacing w:before="160" w:after="120"/>
        <w:rPr>
          <w:i/>
          <w:iCs/>
        </w:rPr>
      </w:pPr>
      <w:r w:rsidRPr="005F02AE">
        <w:rPr>
          <w:i/>
          <w:iCs/>
        </w:rPr>
        <w:t>Non-pharmacological treatments</w:t>
      </w:r>
    </w:p>
    <w:p w14:paraId="77E7CB4F" w14:textId="1A73551F" w:rsidR="002548C4" w:rsidRDefault="002548C4" w:rsidP="005F02AE">
      <w:pPr>
        <w:pStyle w:val="Shadedboxtext"/>
        <w:spacing w:after="120"/>
      </w:pPr>
      <w:r>
        <w:t xml:space="preserve">In cases of mild to moderate symptoms, </w:t>
      </w:r>
      <w:r w:rsidR="00EB0D38">
        <w:t xml:space="preserve">consider </w:t>
      </w:r>
      <w:r>
        <w:t xml:space="preserve">non-pharmacological approaches first. </w:t>
      </w:r>
    </w:p>
    <w:p w14:paraId="126F850C" w14:textId="2FAAA69F" w:rsidR="002548C4" w:rsidRDefault="002548C4" w:rsidP="00C15A61">
      <w:pPr>
        <w:pStyle w:val="Shadedboxbullet"/>
        <w:spacing w:before="90"/>
      </w:pPr>
      <w:r>
        <w:lastRenderedPageBreak/>
        <w:t xml:space="preserve">Offer facilitated self-education including access to information and resources and ways to access tools to manage challenges associated with ADHD. </w:t>
      </w:r>
    </w:p>
    <w:p w14:paraId="1F987897" w14:textId="6890B559" w:rsidR="002548C4" w:rsidRDefault="002548C4" w:rsidP="00C15A61">
      <w:pPr>
        <w:pStyle w:val="Shadedboxbullet"/>
        <w:spacing w:before="90"/>
      </w:pPr>
      <w:r>
        <w:t xml:space="preserve">Support a healthy lifestyle – </w:t>
      </w:r>
      <w:r w:rsidR="00FB1FB8">
        <w:t xml:space="preserve">addressing </w:t>
      </w:r>
      <w:r>
        <w:t>physical activity, sleep</w:t>
      </w:r>
      <w:r w:rsidR="00FB1FB8">
        <w:t xml:space="preserve"> and</w:t>
      </w:r>
      <w:r>
        <w:t xml:space="preserve"> nutrition</w:t>
      </w:r>
      <w:r w:rsidR="00EB0D38">
        <w:t xml:space="preserve"> and</w:t>
      </w:r>
      <w:r>
        <w:t xml:space="preserve"> managing the use of substances.</w:t>
      </w:r>
    </w:p>
    <w:p w14:paraId="2446FF22" w14:textId="2164EAEC" w:rsidR="004F7286" w:rsidRDefault="002548C4" w:rsidP="00C15A61">
      <w:pPr>
        <w:pStyle w:val="Shadedboxbullet"/>
        <w:spacing w:before="90"/>
      </w:pPr>
      <w:r>
        <w:t>Provide access to psychological therapies as appropriate and</w:t>
      </w:r>
      <w:r w:rsidR="004101D2">
        <w:t xml:space="preserve"> where</w:t>
      </w:r>
      <w:r>
        <w:t xml:space="preserve"> available </w:t>
      </w:r>
      <w:r w:rsidR="004101D2">
        <w:t>– for example,</w:t>
      </w:r>
      <w:r>
        <w:t xml:space="preserve"> </w:t>
      </w:r>
      <w:r w:rsidR="004101D2">
        <w:t>c</w:t>
      </w:r>
      <w:r>
        <w:t xml:space="preserve">ognitive </w:t>
      </w:r>
      <w:r w:rsidR="004101D2">
        <w:t>b</w:t>
      </w:r>
      <w:r>
        <w:t xml:space="preserve">ehavioural </w:t>
      </w:r>
      <w:r w:rsidR="004101D2">
        <w:t>t</w:t>
      </w:r>
      <w:r>
        <w:t>herapy, mindfulness practice and ADHD coaching.</w:t>
      </w:r>
    </w:p>
    <w:p w14:paraId="0FCDF78C" w14:textId="1619DC61" w:rsidR="00ED5A52" w:rsidRPr="005F02AE" w:rsidRDefault="00ED5A52" w:rsidP="00C15A61">
      <w:pPr>
        <w:pStyle w:val="Shadedboxsubheading"/>
        <w:spacing w:before="160"/>
      </w:pPr>
      <w:r w:rsidRPr="005F02AE">
        <w:t>Further considerations</w:t>
      </w:r>
    </w:p>
    <w:p w14:paraId="2339375C" w14:textId="1A503CD0" w:rsidR="00B82BB9" w:rsidRDefault="00B82BB9" w:rsidP="00B82BB9">
      <w:pPr>
        <w:pStyle w:val="Shadedboxtext"/>
        <w:spacing w:after="120"/>
      </w:pPr>
      <w:r>
        <w:t>Also consider:</w:t>
      </w:r>
    </w:p>
    <w:p w14:paraId="35AC4BE4" w14:textId="02E3B246" w:rsidR="00ED5A52" w:rsidRDefault="00B82BB9" w:rsidP="00C15A61">
      <w:pPr>
        <w:pStyle w:val="Shadedboxbullet"/>
        <w:spacing w:before="90"/>
      </w:pPr>
      <w:r>
        <w:t>a</w:t>
      </w:r>
      <w:r w:rsidR="00ED5A52">
        <w:t>ppropriate</w:t>
      </w:r>
      <w:r w:rsidR="004101D2">
        <w:t>ly</w:t>
      </w:r>
      <w:r w:rsidR="00ED5A52">
        <w:t xml:space="preserve"> manag</w:t>
      </w:r>
      <w:r>
        <w:t>ing</w:t>
      </w:r>
      <w:r w:rsidR="00ED5A52">
        <w:t xml:space="preserve"> significant concurrent conditions that the comprehensive assessment</w:t>
      </w:r>
      <w:r w:rsidR="004101D2">
        <w:t xml:space="preserve"> identifies</w:t>
      </w:r>
    </w:p>
    <w:p w14:paraId="2DE840AC" w14:textId="7CC80F81" w:rsidR="00ED5A52" w:rsidRDefault="00B82BB9" w:rsidP="00C15A61">
      <w:pPr>
        <w:pStyle w:val="Shadedboxbullet"/>
        <w:spacing w:before="90"/>
      </w:pPr>
      <w:r>
        <w:t>u</w:t>
      </w:r>
      <w:r w:rsidR="00ED5A52">
        <w:t xml:space="preserve">sing a multidisciplinary workforce </w:t>
      </w:r>
      <w:r>
        <w:t xml:space="preserve">which </w:t>
      </w:r>
      <w:r w:rsidR="00ED5A52">
        <w:t>can be helpful for ADHD treatment and management</w:t>
      </w:r>
    </w:p>
    <w:p w14:paraId="599B5C4F" w14:textId="009418D4" w:rsidR="002548C4" w:rsidRDefault="00B82BB9" w:rsidP="00C15A61">
      <w:pPr>
        <w:pStyle w:val="Shadedboxbullet"/>
        <w:spacing w:before="90"/>
      </w:pPr>
      <w:r>
        <w:t>a</w:t>
      </w:r>
      <w:r w:rsidR="00ED5A52">
        <w:t xml:space="preserve">ccess to ADHD coaches, peer support, and ADHD networks and support groups </w:t>
      </w:r>
      <w:r>
        <w:t xml:space="preserve">which </w:t>
      </w:r>
      <w:r w:rsidR="00ED5A52">
        <w:t>can be useful for some individuals.</w:t>
      </w:r>
    </w:p>
    <w:p w14:paraId="53C10767" w14:textId="0DE4F53B" w:rsidR="002D7201" w:rsidRDefault="002D7201">
      <w:pPr>
        <w:rPr>
          <w:b/>
          <w:color w:val="23305D"/>
          <w:spacing w:val="-10"/>
          <w:sz w:val="72"/>
        </w:rPr>
      </w:pPr>
      <w:r>
        <w:br w:type="page"/>
      </w:r>
    </w:p>
    <w:p w14:paraId="7F16C8D4" w14:textId="03FA5AE1" w:rsidR="009A42D5" w:rsidRPr="00CF60ED" w:rsidRDefault="000A5A3D" w:rsidP="00553165">
      <w:pPr>
        <w:pStyle w:val="Heading1"/>
        <w:pageBreakBefore/>
        <w:spacing w:before="0"/>
      </w:pPr>
      <w:bookmarkStart w:id="17" w:name="_Toc209607280"/>
      <w:r w:rsidRPr="00CF60ED">
        <w:lastRenderedPageBreak/>
        <w:t>R</w:t>
      </w:r>
      <w:r>
        <w:t>eferences</w:t>
      </w:r>
      <w:bookmarkEnd w:id="17"/>
    </w:p>
    <w:p w14:paraId="232D4361" w14:textId="77777777" w:rsidR="00692889" w:rsidRDefault="00692889" w:rsidP="00692889">
      <w:pPr>
        <w:pStyle w:val="References"/>
      </w:pPr>
      <w:r>
        <w:t xml:space="preserve">AADPA (Australasian ADHD Professionals Association). 2022. </w:t>
      </w:r>
      <w:r>
        <w:rPr>
          <w:i/>
          <w:iCs/>
        </w:rPr>
        <w:t xml:space="preserve">Australian </w:t>
      </w:r>
      <w:r w:rsidRPr="00493D16">
        <w:rPr>
          <w:i/>
          <w:iCs/>
        </w:rPr>
        <w:t>Evidence-</w:t>
      </w:r>
      <w:r>
        <w:rPr>
          <w:i/>
          <w:iCs/>
        </w:rPr>
        <w:t>b</w:t>
      </w:r>
      <w:r w:rsidRPr="00493D16">
        <w:rPr>
          <w:i/>
          <w:iCs/>
        </w:rPr>
        <w:t xml:space="preserve">ased Clinical </w:t>
      </w:r>
      <w:r>
        <w:rPr>
          <w:i/>
          <w:iCs/>
        </w:rPr>
        <w:t xml:space="preserve">Practice </w:t>
      </w:r>
      <w:r w:rsidRPr="00493D16">
        <w:rPr>
          <w:i/>
          <w:iCs/>
        </w:rPr>
        <w:t xml:space="preserve">Guideline </w:t>
      </w:r>
      <w:r>
        <w:rPr>
          <w:i/>
          <w:iCs/>
        </w:rPr>
        <w:t>f</w:t>
      </w:r>
      <w:r w:rsidRPr="00493D16">
        <w:rPr>
          <w:i/>
          <w:iCs/>
        </w:rPr>
        <w:t>or Attention Deficit Hyperactivity Disorder (ADHD)</w:t>
      </w:r>
      <w:r>
        <w:t xml:space="preserve">. URL: </w:t>
      </w:r>
      <w:hyperlink r:id="rId22" w:history="1">
        <w:r w:rsidRPr="00505387">
          <w:rPr>
            <w:rStyle w:val="Hyperlink"/>
          </w:rPr>
          <w:t>aadpa.com.au/guideline</w:t>
        </w:r>
      </w:hyperlink>
      <w:r>
        <w:t xml:space="preserve"> (accessed 30 June 2025). </w:t>
      </w:r>
    </w:p>
    <w:p w14:paraId="2B31076A" w14:textId="4F1A835C" w:rsidR="00917CDA" w:rsidRDefault="00917CDA" w:rsidP="00917CDA">
      <w:pPr>
        <w:pStyle w:val="References"/>
      </w:pPr>
      <w:r w:rsidRPr="00917CDA">
        <w:t xml:space="preserve">Ayano G, </w:t>
      </w:r>
      <w:proofErr w:type="spellStart"/>
      <w:r w:rsidRPr="00917CDA">
        <w:t>Demelash</w:t>
      </w:r>
      <w:proofErr w:type="spellEnd"/>
      <w:r w:rsidRPr="00917CDA">
        <w:t xml:space="preserve"> S, Gizachew Y, </w:t>
      </w:r>
      <w:r w:rsidR="00C057D8">
        <w:t>et al</w:t>
      </w:r>
      <w:r w:rsidRPr="00917CDA">
        <w:t xml:space="preserve">. 2023. The global prevalence of attention deficit hyperactivity disorder in children and adolescents: </w:t>
      </w:r>
      <w:r w:rsidR="00C057D8">
        <w:t>a</w:t>
      </w:r>
      <w:r w:rsidRPr="00917CDA">
        <w:t>n umbrella review of meta-analyses. </w:t>
      </w:r>
      <w:r w:rsidRPr="00917CDA">
        <w:rPr>
          <w:i/>
          <w:iCs/>
        </w:rPr>
        <w:t>Journal of Affective Disorders</w:t>
      </w:r>
      <w:r w:rsidR="00D41CED">
        <w:t xml:space="preserve"> </w:t>
      </w:r>
      <w:r w:rsidRPr="00B82BB9">
        <w:t>339</w:t>
      </w:r>
      <w:r w:rsidR="00D41CED">
        <w:t>:</w:t>
      </w:r>
      <w:r w:rsidRPr="00917CDA">
        <w:t xml:space="preserve"> 860–6. </w:t>
      </w:r>
      <w:r w:rsidR="00C057D8">
        <w:t xml:space="preserve">DOI: </w:t>
      </w:r>
      <w:hyperlink r:id="rId23" w:history="1">
        <w:r w:rsidRPr="00772802">
          <w:rPr>
            <w:rStyle w:val="Hyperlink"/>
          </w:rPr>
          <w:t>10.1016/j.jad.2023.07.071</w:t>
        </w:r>
      </w:hyperlink>
      <w:r>
        <w:t xml:space="preserve">. </w:t>
      </w:r>
    </w:p>
    <w:p w14:paraId="28235804" w14:textId="003BE923" w:rsidR="009A42D5" w:rsidRDefault="00704523" w:rsidP="00704523">
      <w:pPr>
        <w:pStyle w:val="References"/>
      </w:pPr>
      <w:r w:rsidRPr="00704523">
        <w:t xml:space="preserve">Chhibber A, Watanabe AH, Chaisai C, </w:t>
      </w:r>
      <w:r w:rsidR="00505387">
        <w:t>et al</w:t>
      </w:r>
      <w:r w:rsidRPr="00704523">
        <w:t xml:space="preserve">. 2021. Global </w:t>
      </w:r>
      <w:r w:rsidR="00505387" w:rsidRPr="00704523">
        <w:t>economic burden of attention-deficit/hyperactivity disorder: a systematic r</w:t>
      </w:r>
      <w:r w:rsidRPr="00704523">
        <w:t xml:space="preserve">eview. </w:t>
      </w:r>
      <w:proofErr w:type="spellStart"/>
      <w:r w:rsidRPr="00B82BB9">
        <w:rPr>
          <w:rStyle w:val="Emphasis"/>
        </w:rPr>
        <w:t>PharmacoEconomics</w:t>
      </w:r>
      <w:proofErr w:type="spellEnd"/>
      <w:r w:rsidRPr="00704523">
        <w:t xml:space="preserve"> 39(4)</w:t>
      </w:r>
      <w:r w:rsidR="00505387">
        <w:t>:</w:t>
      </w:r>
      <w:r w:rsidRPr="00704523">
        <w:t xml:space="preserve"> 399–420. </w:t>
      </w:r>
      <w:r w:rsidR="00505387">
        <w:t xml:space="preserve">DOI: </w:t>
      </w:r>
      <w:hyperlink r:id="rId24" w:history="1">
        <w:r w:rsidRPr="00772802">
          <w:rPr>
            <w:rStyle w:val="Hyperlink"/>
          </w:rPr>
          <w:t>10.1007/s40273-020-00998-0</w:t>
        </w:r>
      </w:hyperlink>
      <w:r>
        <w:t xml:space="preserve">. </w:t>
      </w:r>
    </w:p>
    <w:p w14:paraId="0D240ECF" w14:textId="35EEB9ED" w:rsidR="00024FE7" w:rsidRDefault="00024FE7" w:rsidP="008A5921">
      <w:pPr>
        <w:pStyle w:val="References"/>
      </w:pPr>
      <w:r w:rsidRPr="00024FE7">
        <w:t xml:space="preserve">Ministry of Health. 2024. Annual Data Explorer 2023/24: New Zealand Health Survey. </w:t>
      </w:r>
      <w:r w:rsidR="00505387">
        <w:t xml:space="preserve">URL: </w:t>
      </w:r>
      <w:hyperlink r:id="rId25" w:history="1">
        <w:r w:rsidRPr="00772802">
          <w:rPr>
            <w:rStyle w:val="Hyperlink"/>
          </w:rPr>
          <w:t>minhealthnz.shinyapps.io/nz-health-survey-2023-24-annual-data-explorer/</w:t>
        </w:r>
      </w:hyperlink>
      <w:r w:rsidR="00505387">
        <w:t xml:space="preserve"> (accessed 30 June 2025)</w:t>
      </w:r>
      <w:r>
        <w:t xml:space="preserve">. </w:t>
      </w:r>
    </w:p>
    <w:p w14:paraId="659F0926" w14:textId="7A875629" w:rsidR="005B4E5F" w:rsidRDefault="00692889" w:rsidP="005B4E5F">
      <w:pPr>
        <w:pStyle w:val="References"/>
      </w:pPr>
      <w:r>
        <w:t>NICE (</w:t>
      </w:r>
      <w:r w:rsidR="005B4E5F">
        <w:t xml:space="preserve">National Institute for Health and Care Excellence UK). 2018. </w:t>
      </w:r>
      <w:r w:rsidR="005B4E5F" w:rsidRPr="00CB19E4">
        <w:rPr>
          <w:i/>
          <w:iCs/>
        </w:rPr>
        <w:t xml:space="preserve">Attention </w:t>
      </w:r>
      <w:r w:rsidR="00FB1FB8">
        <w:rPr>
          <w:i/>
          <w:iCs/>
        </w:rPr>
        <w:t>D</w:t>
      </w:r>
      <w:r w:rsidR="005B4E5F" w:rsidRPr="00CB19E4">
        <w:rPr>
          <w:i/>
          <w:iCs/>
        </w:rPr>
        <w:t xml:space="preserve">eficit </w:t>
      </w:r>
      <w:r w:rsidR="00505387" w:rsidRPr="00CB19E4">
        <w:rPr>
          <w:i/>
          <w:iCs/>
        </w:rPr>
        <w:t>Hyperactivity Disorder</w:t>
      </w:r>
      <w:r w:rsidR="005B4E5F" w:rsidRPr="00CB19E4">
        <w:rPr>
          <w:i/>
          <w:iCs/>
        </w:rPr>
        <w:t xml:space="preserve">: </w:t>
      </w:r>
      <w:r w:rsidR="00505387" w:rsidRPr="00CB19E4">
        <w:rPr>
          <w:i/>
          <w:iCs/>
        </w:rPr>
        <w:t xml:space="preserve">Diagnosis </w:t>
      </w:r>
      <w:r w:rsidR="005B4E5F" w:rsidRPr="00CB19E4">
        <w:rPr>
          <w:i/>
          <w:iCs/>
        </w:rPr>
        <w:t>and management</w:t>
      </w:r>
      <w:r w:rsidR="005B4E5F">
        <w:t xml:space="preserve">. </w:t>
      </w:r>
      <w:r w:rsidR="00505387">
        <w:t xml:space="preserve">URL: </w:t>
      </w:r>
      <w:hyperlink r:id="rId26" w:history="1">
        <w:r w:rsidR="005B4E5F" w:rsidRPr="00772802">
          <w:rPr>
            <w:rStyle w:val="Hyperlink"/>
          </w:rPr>
          <w:t>nice.org.uk/guidance/ng87</w:t>
        </w:r>
      </w:hyperlink>
      <w:r w:rsidR="00D23C3D">
        <w:t xml:space="preserve"> (accessed 30 June 2025)</w:t>
      </w:r>
      <w:r w:rsidR="005B4E5F">
        <w:t xml:space="preserve">. </w:t>
      </w:r>
    </w:p>
    <w:p w14:paraId="38EF86C9" w14:textId="19B41631" w:rsidR="00C057D8" w:rsidRDefault="00692889" w:rsidP="00C057D8">
      <w:pPr>
        <w:pStyle w:val="References"/>
      </w:pPr>
      <w:r>
        <w:t>RANZCP (</w:t>
      </w:r>
      <w:r w:rsidR="00C057D8" w:rsidRPr="00127BA3">
        <w:t>Royal Australian and New Zealand College of Psychiatrists</w:t>
      </w:r>
      <w:r>
        <w:t>)</w:t>
      </w:r>
      <w:r w:rsidR="00C057D8">
        <w:t xml:space="preserve">. 2023. </w:t>
      </w:r>
      <w:r w:rsidR="00C057D8" w:rsidRPr="000E34D7">
        <w:rPr>
          <w:i/>
          <w:iCs/>
        </w:rPr>
        <w:t>Position Statement Number 55</w:t>
      </w:r>
      <w:r w:rsidR="00D23C3D">
        <w:rPr>
          <w:i/>
          <w:iCs/>
        </w:rPr>
        <w:t>:</w:t>
      </w:r>
      <w:r w:rsidR="00C057D8" w:rsidRPr="000E34D7">
        <w:rPr>
          <w:i/>
          <w:iCs/>
        </w:rPr>
        <w:t xml:space="preserve"> ADHD across the lifespan</w:t>
      </w:r>
      <w:r w:rsidR="00C057D8">
        <w:rPr>
          <w:iCs/>
        </w:rPr>
        <w:t>.</w:t>
      </w:r>
      <w:r w:rsidR="00D23C3D">
        <w:rPr>
          <w:iCs/>
        </w:rPr>
        <w:t xml:space="preserve"> URL:</w:t>
      </w:r>
      <w:r w:rsidR="00C057D8">
        <w:rPr>
          <w:iCs/>
        </w:rPr>
        <w:t xml:space="preserve"> </w:t>
      </w:r>
      <w:hyperlink r:id="rId27" w:history="1">
        <w:r w:rsidR="00C057D8" w:rsidRPr="002145F0">
          <w:rPr>
            <w:rStyle w:val="Hyperlink"/>
            <w:iCs/>
          </w:rPr>
          <w:t>ranzcp.org/clinical-guidelines-publications/clinical-guidelines-publications-library/adhd-across-the-lifespan</w:t>
        </w:r>
      </w:hyperlink>
      <w:r w:rsidR="00D23C3D">
        <w:t xml:space="preserve"> (accessed 30 June 2025)</w:t>
      </w:r>
      <w:r w:rsidR="00C057D8">
        <w:rPr>
          <w:iCs/>
        </w:rPr>
        <w:t xml:space="preserve">. </w:t>
      </w:r>
    </w:p>
    <w:p w14:paraId="4019781C" w14:textId="11BC4266" w:rsidR="008A5921" w:rsidRDefault="008A5921" w:rsidP="008A5921">
      <w:pPr>
        <w:pStyle w:val="References"/>
      </w:pPr>
      <w:r>
        <w:t xml:space="preserve">Social Investment Agency. 2024. </w:t>
      </w:r>
      <w:r w:rsidRPr="001B0E06">
        <w:rPr>
          <w:i/>
          <w:iCs/>
        </w:rPr>
        <w:t>Initial Insights: ADHD in Aotearoa New Zealand</w:t>
      </w:r>
      <w:r>
        <w:t>.</w:t>
      </w:r>
      <w:r w:rsidR="00E37471">
        <w:t xml:space="preserve"> </w:t>
      </w:r>
      <w:r w:rsidR="001B0E06">
        <w:t xml:space="preserve">Unpublished. </w:t>
      </w:r>
    </w:p>
    <w:p w14:paraId="332D64C1" w14:textId="6E3095B5" w:rsidR="009B03E9" w:rsidRDefault="009B03E9" w:rsidP="008A5921">
      <w:pPr>
        <w:pStyle w:val="References"/>
      </w:pPr>
      <w:r w:rsidRPr="009B03E9">
        <w:t xml:space="preserve">Song P, Zha M, Yang Q, </w:t>
      </w:r>
      <w:r w:rsidR="00D23C3D">
        <w:t xml:space="preserve">et </w:t>
      </w:r>
      <w:r w:rsidR="00B80E21">
        <w:t>al</w:t>
      </w:r>
      <w:r w:rsidRPr="009B03E9">
        <w:t xml:space="preserve">. 2021. The prevalence of adult attention-deficit hyperactivity disorder: </w:t>
      </w:r>
      <w:r w:rsidR="00D23C3D">
        <w:t>a</w:t>
      </w:r>
      <w:r w:rsidRPr="009B03E9">
        <w:t xml:space="preserve"> global systematic review and meta-analysis. </w:t>
      </w:r>
      <w:r w:rsidRPr="009B03E9">
        <w:rPr>
          <w:i/>
          <w:iCs/>
        </w:rPr>
        <w:t xml:space="preserve">Journal of </w:t>
      </w:r>
      <w:r w:rsidR="00D23C3D">
        <w:rPr>
          <w:i/>
          <w:iCs/>
        </w:rPr>
        <w:t>G</w:t>
      </w:r>
      <w:r w:rsidRPr="009B03E9">
        <w:rPr>
          <w:i/>
          <w:iCs/>
        </w:rPr>
        <w:t xml:space="preserve">lobal </w:t>
      </w:r>
      <w:r w:rsidR="00D23C3D">
        <w:rPr>
          <w:i/>
          <w:iCs/>
        </w:rPr>
        <w:t>H</w:t>
      </w:r>
      <w:r w:rsidRPr="009B03E9">
        <w:rPr>
          <w:i/>
          <w:iCs/>
        </w:rPr>
        <w:t>ealth</w:t>
      </w:r>
      <w:r w:rsidR="00D23C3D">
        <w:t xml:space="preserve"> </w:t>
      </w:r>
      <w:r w:rsidRPr="00B82BB9">
        <w:t>11</w:t>
      </w:r>
      <w:r w:rsidR="00D23C3D">
        <w:t>:</w:t>
      </w:r>
      <w:r w:rsidRPr="009B03E9">
        <w:t xml:space="preserve"> 04009. </w:t>
      </w:r>
      <w:r w:rsidR="00D23C3D">
        <w:t xml:space="preserve">DOI: </w:t>
      </w:r>
      <w:hyperlink r:id="rId28" w:history="1">
        <w:r w:rsidRPr="00772802">
          <w:rPr>
            <w:rStyle w:val="Hyperlink"/>
          </w:rPr>
          <w:t>10.7189/jogh.11.04009</w:t>
        </w:r>
      </w:hyperlink>
      <w:r>
        <w:t xml:space="preserve">. </w:t>
      </w:r>
    </w:p>
    <w:p w14:paraId="61E7000C" w14:textId="7D148D06" w:rsidR="005B4E5F" w:rsidRDefault="005B4E5F">
      <w:pPr>
        <w:pStyle w:val="References"/>
      </w:pPr>
    </w:p>
    <w:sectPr w:rsidR="005B4E5F" w:rsidSect="003309CA">
      <w:headerReference w:type="default" r:id="rId29"/>
      <w:footerReference w:type="even" r:id="rId30"/>
      <w:footerReference w:type="default" r:id="rId31"/>
      <w:pgSz w:w="11907" w:h="16834" w:code="9"/>
      <w:pgMar w:top="1418" w:right="1701" w:bottom="1134" w:left="1843" w:header="284" w:footer="425" w:gutter="28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B9CF" w14:textId="77777777" w:rsidR="00950C94" w:rsidRDefault="00950C94">
      <w:r>
        <w:separator/>
      </w:r>
    </w:p>
    <w:p w14:paraId="22BC1876" w14:textId="77777777" w:rsidR="00950C94" w:rsidRDefault="00950C94"/>
  </w:endnote>
  <w:endnote w:type="continuationSeparator" w:id="0">
    <w:p w14:paraId="05FC1247" w14:textId="77777777" w:rsidR="00950C94" w:rsidRDefault="00950C94">
      <w:r>
        <w:continuationSeparator/>
      </w:r>
    </w:p>
    <w:p w14:paraId="3255EBC3" w14:textId="77777777" w:rsidR="00950C94" w:rsidRDefault="00950C94"/>
  </w:endnote>
  <w:endnote w:type="continuationNotice" w:id="1">
    <w:p w14:paraId="7C8F45BD" w14:textId="77777777" w:rsidR="00950C94" w:rsidRDefault="00950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357" w14:textId="591734F6" w:rsidR="005A79E5" w:rsidRPr="00581136" w:rsidRDefault="005A79E5" w:rsidP="005A79E5">
    <w:pPr>
      <w:pStyle w:val="Footer"/>
      <w:pBdr>
        <w:bottom w:val="single" w:sz="4" w:space="1" w:color="auto"/>
      </w:pBdr>
      <w:tabs>
        <w:tab w:val="right" w:pos="9639"/>
      </w:tabs>
      <w:rPr>
        <w:b/>
      </w:rPr>
    </w:pPr>
    <w:r w:rsidRPr="00581136">
      <w:rPr>
        <w:b/>
      </w:rPr>
      <w:t>Released 20</w:t>
    </w:r>
    <w:r w:rsidR="00651CC6">
      <w:rPr>
        <w:b/>
      </w:rPr>
      <w:t>2</w:t>
    </w:r>
    <w:r w:rsidR="00D24C04">
      <w:rPr>
        <w:b/>
      </w:rPr>
      <w:t>5</w:t>
    </w:r>
    <w:r w:rsidRPr="00581136">
      <w:rPr>
        <w:b/>
      </w:rPr>
      <w:tab/>
      <w:t>health.govt.nz</w:t>
    </w:r>
  </w:p>
  <w:p w14:paraId="524869F6" w14:textId="77777777" w:rsidR="005A79E5" w:rsidRPr="005A79E5" w:rsidRDefault="005A79E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653E4999" w:rsidR="00D662F8" w:rsidRDefault="00C02AA7" w:rsidP="00926083">
          <w:pPr>
            <w:pStyle w:val="RectoFooter"/>
            <w:jc w:val="left"/>
          </w:pPr>
          <w:r w:rsidRPr="00094E85">
            <w:t>NEW ZEALAND ADHD CLINICAL PRINCIPLES FRAMEWORK</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36754782" w:rsidR="00D662F8" w:rsidRDefault="00C02AA7" w:rsidP="00926083">
          <w:pPr>
            <w:pStyle w:val="RectoFooter"/>
          </w:pPr>
          <w:r w:rsidRPr="00094E85">
            <w:t>NEW ZEALAND ADHD CLINICAL PRINCIPLES FRAMEWORK</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185416"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590F33D0" w:rsidR="00D662F8" w:rsidRDefault="002B64F0" w:rsidP="000D58DD">
          <w:pPr>
            <w:pStyle w:val="RectoFooter"/>
            <w:jc w:val="left"/>
          </w:pPr>
          <w:r w:rsidRPr="002B64F0">
            <w:t>NEW ZEALAND ADHD CLINICAL PRINCIPLES FRAMEWORK</w:t>
          </w:r>
        </w:p>
      </w:tc>
    </w:tr>
  </w:tbl>
  <w:p w14:paraId="5177CEA2"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7337729" w14:textId="77777777" w:rsidTr="00D662F8">
      <w:trPr>
        <w:cantSplit/>
      </w:trPr>
      <w:tc>
        <w:tcPr>
          <w:tcW w:w="8080" w:type="dxa"/>
          <w:vAlign w:val="center"/>
        </w:tcPr>
        <w:p w14:paraId="1A33CBD1" w14:textId="7BE14FE0" w:rsidR="00D662F8" w:rsidRDefault="00094E85" w:rsidP="00931466">
          <w:pPr>
            <w:pStyle w:val="RectoFooter"/>
          </w:pPr>
          <w:r w:rsidRPr="00094E85">
            <w:t>NEW ZEALAND ADHD CLINICAL PRINCIPLES FRAMEWORK</w:t>
          </w:r>
        </w:p>
      </w:tc>
      <w:tc>
        <w:tcPr>
          <w:tcW w:w="709" w:type="dxa"/>
          <w:vAlign w:val="center"/>
        </w:tcPr>
        <w:p w14:paraId="501EC334"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1</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1C7C" w14:textId="77777777" w:rsidR="00950C94" w:rsidRPr="00A26E6B" w:rsidRDefault="00950C94" w:rsidP="00A26E6B"/>
  </w:footnote>
  <w:footnote w:type="continuationSeparator" w:id="0">
    <w:p w14:paraId="53F1AF40" w14:textId="77777777" w:rsidR="00950C94" w:rsidRDefault="00950C94">
      <w:r>
        <w:continuationSeparator/>
      </w:r>
    </w:p>
    <w:p w14:paraId="79DD001D" w14:textId="77777777" w:rsidR="00950C94" w:rsidRDefault="00950C94"/>
  </w:footnote>
  <w:footnote w:type="continuationNotice" w:id="1">
    <w:p w14:paraId="5BF6D1CD" w14:textId="77777777" w:rsidR="00950C94" w:rsidRDefault="00950C94"/>
  </w:footnote>
  <w:footnote w:id="2">
    <w:p w14:paraId="198B3594" w14:textId="42D98926" w:rsidR="00991D35" w:rsidRDefault="00991D35" w:rsidP="00F11333">
      <w:pPr>
        <w:pStyle w:val="FootnoteText"/>
        <w:rPr>
          <w:rFonts w:ascii="Calibri" w:hAnsi="Calibri" w:cs="Calibri"/>
          <w:sz w:val="20"/>
        </w:rPr>
      </w:pPr>
      <w:r>
        <w:rPr>
          <w:rStyle w:val="FootnoteReference"/>
        </w:rPr>
        <w:footnoteRef/>
      </w:r>
      <w:r>
        <w:t xml:space="preserve"> As defined in the Health Practitioners Competence Assurance Act 2003</w:t>
      </w:r>
      <w:r w:rsidR="005D124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4E67EED4" w:rsidR="005A79E5" w:rsidRDefault="00B26F0F" w:rsidP="00B26F0F">
          <w:pPr>
            <w:pStyle w:val="Header"/>
          </w:pPr>
          <w:r>
            <w:rPr>
              <w:noProof/>
              <w:lang w:eastAsia="en-NZ"/>
            </w:rPr>
            <w:drawing>
              <wp:inline distT="0" distB="0" distL="0" distR="0" wp14:anchorId="04421456" wp14:editId="00E134AC">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5A79E5" w:rsidRDefault="008F2B72">
          <w:pPr>
            <w:pStyle w:val="Header"/>
            <w:jc w:val="right"/>
          </w:pPr>
          <w:r>
            <w:rPr>
              <w:noProof/>
            </w:rPr>
            <w:drawing>
              <wp:anchor distT="0" distB="0" distL="114300" distR="114300" simplePos="0" relativeHeight="251658240" behindDoc="0" locked="0" layoutInCell="1" allowOverlap="1" wp14:anchorId="1D75C094" wp14:editId="625DC277">
                <wp:simplePos x="0" y="0"/>
                <wp:positionH relativeFrom="column">
                  <wp:posOffset>1365885</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E4F" w14:textId="77777777" w:rsidR="00E42F5D" w:rsidRDefault="00E42F5D"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7B0" w14:textId="77777777" w:rsidR="00660F74" w:rsidRDefault="00660F74"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CE2734D"/>
    <w:multiLevelType w:val="hybridMultilevel"/>
    <w:tmpl w:val="38128188"/>
    <w:lvl w:ilvl="0" w:tplc="32401D94">
      <w:start w:val="1"/>
      <w:numFmt w:val="bullet"/>
      <w:lvlText w:val="–"/>
      <w:lvlJc w:val="left"/>
      <w:pPr>
        <w:ind w:left="644" w:hanging="360"/>
      </w:pPr>
      <w:rPr>
        <w:rFonts w:ascii="Arial Black" w:eastAsia="Arial Black" w:hAnsi="Arial Black" w:hint="default"/>
        <w:b/>
        <w:bCs/>
        <w:sz w:val="21"/>
        <w:szCs w:val="21"/>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2" w15:restartNumberingAfterBreak="0">
    <w:nsid w:val="199C314C"/>
    <w:multiLevelType w:val="multilevel"/>
    <w:tmpl w:val="D4B23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EC55E4"/>
    <w:multiLevelType w:val="multilevel"/>
    <w:tmpl w:val="8F6A722C"/>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2D0A1190"/>
    <w:multiLevelType w:val="multilevel"/>
    <w:tmpl w:val="F192F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141B24"/>
    <w:multiLevelType w:val="hybridMultilevel"/>
    <w:tmpl w:val="C0C4C3B6"/>
    <w:lvl w:ilvl="0" w:tplc="32401D94">
      <w:start w:val="1"/>
      <w:numFmt w:val="bullet"/>
      <w:lvlText w:val="–"/>
      <w:lvlJc w:val="left"/>
      <w:pPr>
        <w:ind w:left="644" w:hanging="360"/>
      </w:pPr>
      <w:rPr>
        <w:rFonts w:ascii="Arial Black" w:eastAsia="Arial Black" w:hAnsi="Arial Black" w:hint="default"/>
        <w:b/>
        <w:bCs/>
        <w:sz w:val="21"/>
        <w:szCs w:val="21"/>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7" w15:restartNumberingAfterBreak="0">
    <w:nsid w:val="376D1CB1"/>
    <w:multiLevelType w:val="hybridMultilevel"/>
    <w:tmpl w:val="29C61922"/>
    <w:lvl w:ilvl="0" w:tplc="72DCFB86">
      <w:start w:val="1"/>
      <w:numFmt w:val="bullet"/>
      <w:pStyle w:val="Shadedboxbullet"/>
      <w:lvlText w:val="•"/>
      <w:lvlJc w:val="left"/>
      <w:pPr>
        <w:ind w:left="644" w:hanging="360"/>
      </w:pPr>
      <w:rPr>
        <w:rFonts w:ascii="Segoe UI" w:hAnsi="Segoe UI"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8"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F5F04"/>
    <w:multiLevelType w:val="multilevel"/>
    <w:tmpl w:val="E6F83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1B25C0"/>
    <w:multiLevelType w:val="multilevel"/>
    <w:tmpl w:val="D1B83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0D1C38"/>
    <w:multiLevelType w:val="multilevel"/>
    <w:tmpl w:val="9A2E7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5C6DB8"/>
    <w:multiLevelType w:val="multilevel"/>
    <w:tmpl w:val="D2EAD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422F62"/>
    <w:multiLevelType w:val="multilevel"/>
    <w:tmpl w:val="F594D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BD3949"/>
    <w:multiLevelType w:val="hybridMultilevel"/>
    <w:tmpl w:val="BD726918"/>
    <w:lvl w:ilvl="0" w:tplc="32401D94">
      <w:start w:val="1"/>
      <w:numFmt w:val="bullet"/>
      <w:lvlText w:val="–"/>
      <w:lvlJc w:val="left"/>
      <w:pPr>
        <w:ind w:left="644" w:hanging="360"/>
      </w:pPr>
      <w:rPr>
        <w:rFonts w:ascii="Arial Black" w:eastAsia="Arial Black" w:hAnsi="Arial Black" w:hint="default"/>
        <w:b/>
        <w:bCs/>
        <w:sz w:val="21"/>
        <w:szCs w:val="21"/>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6" w15:restartNumberingAfterBreak="0">
    <w:nsid w:val="50F6381B"/>
    <w:multiLevelType w:val="multilevel"/>
    <w:tmpl w:val="20E08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B72A2D"/>
    <w:multiLevelType w:val="multilevel"/>
    <w:tmpl w:val="9668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5E4692"/>
    <w:multiLevelType w:val="multilevel"/>
    <w:tmpl w:val="1D7ED43A"/>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5BD306CE"/>
    <w:multiLevelType w:val="multilevel"/>
    <w:tmpl w:val="8716C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543E02"/>
    <w:multiLevelType w:val="multilevel"/>
    <w:tmpl w:val="3FEC8A5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21" w15:restartNumberingAfterBreak="0">
    <w:nsid w:val="79F20825"/>
    <w:multiLevelType w:val="multilevel"/>
    <w:tmpl w:val="507AD05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22"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16cid:durableId="1127045441">
    <w:abstractNumId w:val="22"/>
  </w:num>
  <w:num w:numId="2" w16cid:durableId="710809451">
    <w:abstractNumId w:val="8"/>
  </w:num>
  <w:num w:numId="3" w16cid:durableId="24448830">
    <w:abstractNumId w:val="11"/>
  </w:num>
  <w:num w:numId="4" w16cid:durableId="1504585330">
    <w:abstractNumId w:val="0"/>
  </w:num>
  <w:num w:numId="5" w16cid:durableId="2057775118">
    <w:abstractNumId w:val="3"/>
  </w:num>
  <w:num w:numId="6" w16cid:durableId="886721134">
    <w:abstractNumId w:val="7"/>
  </w:num>
  <w:num w:numId="7" w16cid:durableId="56829626">
    <w:abstractNumId w:val="18"/>
  </w:num>
  <w:num w:numId="8" w16cid:durableId="1428041607">
    <w:abstractNumId w:val="4"/>
  </w:num>
  <w:num w:numId="9" w16cid:durableId="209075755">
    <w:abstractNumId w:val="14"/>
  </w:num>
  <w:num w:numId="10" w16cid:durableId="1775974828">
    <w:abstractNumId w:val="2"/>
  </w:num>
  <w:num w:numId="11" w16cid:durableId="993681479">
    <w:abstractNumId w:val="5"/>
  </w:num>
  <w:num w:numId="12" w16cid:durableId="480655753">
    <w:abstractNumId w:val="16"/>
  </w:num>
  <w:num w:numId="13" w16cid:durableId="1814977648">
    <w:abstractNumId w:val="1"/>
  </w:num>
  <w:num w:numId="14" w16cid:durableId="2055543013">
    <w:abstractNumId w:val="21"/>
  </w:num>
  <w:num w:numId="15" w16cid:durableId="577666452">
    <w:abstractNumId w:val="13"/>
  </w:num>
  <w:num w:numId="16" w16cid:durableId="1126504536">
    <w:abstractNumId w:val="9"/>
  </w:num>
  <w:num w:numId="17" w16cid:durableId="805123888">
    <w:abstractNumId w:val="10"/>
  </w:num>
  <w:num w:numId="18" w16cid:durableId="1309241883">
    <w:abstractNumId w:val="12"/>
  </w:num>
  <w:num w:numId="19" w16cid:durableId="262690715">
    <w:abstractNumId w:val="6"/>
  </w:num>
  <w:num w:numId="20" w16cid:durableId="759571441">
    <w:abstractNumId w:val="20"/>
  </w:num>
  <w:num w:numId="21" w16cid:durableId="665019764">
    <w:abstractNumId w:val="19"/>
  </w:num>
  <w:num w:numId="22" w16cid:durableId="1013188979">
    <w:abstractNumId w:val="17"/>
  </w:num>
  <w:num w:numId="23" w16cid:durableId="17932253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0741"/>
    <w:rsid w:val="000025B8"/>
    <w:rsid w:val="0000313C"/>
    <w:rsid w:val="00005661"/>
    <w:rsid w:val="00005BB5"/>
    <w:rsid w:val="000103B7"/>
    <w:rsid w:val="000112B7"/>
    <w:rsid w:val="000120FC"/>
    <w:rsid w:val="00014D7D"/>
    <w:rsid w:val="00022830"/>
    <w:rsid w:val="00023599"/>
    <w:rsid w:val="00023B34"/>
    <w:rsid w:val="00024FE7"/>
    <w:rsid w:val="00025A6F"/>
    <w:rsid w:val="0002618D"/>
    <w:rsid w:val="000278D2"/>
    <w:rsid w:val="00027D12"/>
    <w:rsid w:val="00030B26"/>
    <w:rsid w:val="00030E84"/>
    <w:rsid w:val="00032C0A"/>
    <w:rsid w:val="00033E33"/>
    <w:rsid w:val="00035257"/>
    <w:rsid w:val="00035D68"/>
    <w:rsid w:val="0003627B"/>
    <w:rsid w:val="00036E19"/>
    <w:rsid w:val="00040442"/>
    <w:rsid w:val="00041BEF"/>
    <w:rsid w:val="0004302B"/>
    <w:rsid w:val="00046F9C"/>
    <w:rsid w:val="00052DBB"/>
    <w:rsid w:val="00054892"/>
    <w:rsid w:val="00054B44"/>
    <w:rsid w:val="0005560B"/>
    <w:rsid w:val="0006228D"/>
    <w:rsid w:val="0006315C"/>
    <w:rsid w:val="00063661"/>
    <w:rsid w:val="000645F8"/>
    <w:rsid w:val="0006570C"/>
    <w:rsid w:val="0007016A"/>
    <w:rsid w:val="00072BD6"/>
    <w:rsid w:val="00075B78"/>
    <w:rsid w:val="000763E9"/>
    <w:rsid w:val="000824E7"/>
    <w:rsid w:val="00082CD6"/>
    <w:rsid w:val="000840E9"/>
    <w:rsid w:val="00084312"/>
    <w:rsid w:val="0008437D"/>
    <w:rsid w:val="000852EC"/>
    <w:rsid w:val="00085AFE"/>
    <w:rsid w:val="00087A41"/>
    <w:rsid w:val="000935E4"/>
    <w:rsid w:val="0009375F"/>
    <w:rsid w:val="00094800"/>
    <w:rsid w:val="00094E85"/>
    <w:rsid w:val="00095C19"/>
    <w:rsid w:val="0009697D"/>
    <w:rsid w:val="00096F87"/>
    <w:rsid w:val="000A243E"/>
    <w:rsid w:val="000A2DA8"/>
    <w:rsid w:val="000A41ED"/>
    <w:rsid w:val="000A4ED2"/>
    <w:rsid w:val="000A52AD"/>
    <w:rsid w:val="000A5A3D"/>
    <w:rsid w:val="000A67EC"/>
    <w:rsid w:val="000A6C55"/>
    <w:rsid w:val="000B0730"/>
    <w:rsid w:val="000B19CB"/>
    <w:rsid w:val="000B1F46"/>
    <w:rsid w:val="000B4BE2"/>
    <w:rsid w:val="000B660D"/>
    <w:rsid w:val="000B7961"/>
    <w:rsid w:val="000C0E50"/>
    <w:rsid w:val="000C4932"/>
    <w:rsid w:val="000C5569"/>
    <w:rsid w:val="000C5A31"/>
    <w:rsid w:val="000D0D3C"/>
    <w:rsid w:val="000D19F4"/>
    <w:rsid w:val="000D47BE"/>
    <w:rsid w:val="000D58DD"/>
    <w:rsid w:val="000D744F"/>
    <w:rsid w:val="000E0C47"/>
    <w:rsid w:val="000E34D7"/>
    <w:rsid w:val="000E6C0F"/>
    <w:rsid w:val="000E74E6"/>
    <w:rsid w:val="000F1E62"/>
    <w:rsid w:val="000F2AE2"/>
    <w:rsid w:val="000F2BFF"/>
    <w:rsid w:val="000F4569"/>
    <w:rsid w:val="000F552C"/>
    <w:rsid w:val="000F57F0"/>
    <w:rsid w:val="000F659B"/>
    <w:rsid w:val="000F750B"/>
    <w:rsid w:val="00102063"/>
    <w:rsid w:val="00103D9A"/>
    <w:rsid w:val="00104B15"/>
    <w:rsid w:val="0010541C"/>
    <w:rsid w:val="00106F93"/>
    <w:rsid w:val="00107471"/>
    <w:rsid w:val="00111492"/>
    <w:rsid w:val="00111D50"/>
    <w:rsid w:val="00113AD6"/>
    <w:rsid w:val="00113B8E"/>
    <w:rsid w:val="0011791D"/>
    <w:rsid w:val="00117C8E"/>
    <w:rsid w:val="0012053C"/>
    <w:rsid w:val="00121571"/>
    <w:rsid w:val="00122363"/>
    <w:rsid w:val="00123EAD"/>
    <w:rsid w:val="00127BA3"/>
    <w:rsid w:val="00130C79"/>
    <w:rsid w:val="001342C7"/>
    <w:rsid w:val="00134729"/>
    <w:rsid w:val="0013479B"/>
    <w:rsid w:val="00135774"/>
    <w:rsid w:val="0013585C"/>
    <w:rsid w:val="00140115"/>
    <w:rsid w:val="00141AAE"/>
    <w:rsid w:val="00142261"/>
    <w:rsid w:val="00142954"/>
    <w:rsid w:val="001439C0"/>
    <w:rsid w:val="00143EA6"/>
    <w:rsid w:val="001460E0"/>
    <w:rsid w:val="0014724E"/>
    <w:rsid w:val="001472F0"/>
    <w:rsid w:val="00147F71"/>
    <w:rsid w:val="00150A6E"/>
    <w:rsid w:val="001514D6"/>
    <w:rsid w:val="001517A3"/>
    <w:rsid w:val="00152968"/>
    <w:rsid w:val="00156C66"/>
    <w:rsid w:val="001600E3"/>
    <w:rsid w:val="001614FD"/>
    <w:rsid w:val="0016304B"/>
    <w:rsid w:val="0016468A"/>
    <w:rsid w:val="00166B6C"/>
    <w:rsid w:val="001747FB"/>
    <w:rsid w:val="00175649"/>
    <w:rsid w:val="001756A8"/>
    <w:rsid w:val="00175A8D"/>
    <w:rsid w:val="00185416"/>
    <w:rsid w:val="0018662D"/>
    <w:rsid w:val="00194FA1"/>
    <w:rsid w:val="00197427"/>
    <w:rsid w:val="001A209B"/>
    <w:rsid w:val="001A21B4"/>
    <w:rsid w:val="001A2A3C"/>
    <w:rsid w:val="001A5CF5"/>
    <w:rsid w:val="001B0D20"/>
    <w:rsid w:val="001B0E06"/>
    <w:rsid w:val="001B31BD"/>
    <w:rsid w:val="001B39D2"/>
    <w:rsid w:val="001B4BF8"/>
    <w:rsid w:val="001C4326"/>
    <w:rsid w:val="001C5CE6"/>
    <w:rsid w:val="001C6174"/>
    <w:rsid w:val="001C642F"/>
    <w:rsid w:val="001C665E"/>
    <w:rsid w:val="001C73C0"/>
    <w:rsid w:val="001D3541"/>
    <w:rsid w:val="001D3E4E"/>
    <w:rsid w:val="001D4835"/>
    <w:rsid w:val="001D5BEB"/>
    <w:rsid w:val="001E1FB0"/>
    <w:rsid w:val="001E254A"/>
    <w:rsid w:val="001E2DFB"/>
    <w:rsid w:val="001E7386"/>
    <w:rsid w:val="001E79C0"/>
    <w:rsid w:val="001F0523"/>
    <w:rsid w:val="001F17AB"/>
    <w:rsid w:val="001F1DA1"/>
    <w:rsid w:val="001F45A7"/>
    <w:rsid w:val="001F5CC9"/>
    <w:rsid w:val="001F5D5A"/>
    <w:rsid w:val="001F6181"/>
    <w:rsid w:val="001F65D8"/>
    <w:rsid w:val="00201A01"/>
    <w:rsid w:val="0020388D"/>
    <w:rsid w:val="0020754B"/>
    <w:rsid w:val="00210433"/>
    <w:rsid w:val="002104D3"/>
    <w:rsid w:val="0021391D"/>
    <w:rsid w:val="00213A33"/>
    <w:rsid w:val="00215FE7"/>
    <w:rsid w:val="0021600F"/>
    <w:rsid w:val="0021763B"/>
    <w:rsid w:val="00217934"/>
    <w:rsid w:val="0022081C"/>
    <w:rsid w:val="00220BCF"/>
    <w:rsid w:val="00222B21"/>
    <w:rsid w:val="00222CAF"/>
    <w:rsid w:val="0022360F"/>
    <w:rsid w:val="002305BD"/>
    <w:rsid w:val="00230884"/>
    <w:rsid w:val="00231969"/>
    <w:rsid w:val="00234EE5"/>
    <w:rsid w:val="0024660F"/>
    <w:rsid w:val="00246DB1"/>
    <w:rsid w:val="00247633"/>
    <w:rsid w:val="002476B5"/>
    <w:rsid w:val="00251D88"/>
    <w:rsid w:val="002520CC"/>
    <w:rsid w:val="0025272F"/>
    <w:rsid w:val="00253429"/>
    <w:rsid w:val="00253C3C"/>
    <w:rsid w:val="00253ECF"/>
    <w:rsid w:val="002546A1"/>
    <w:rsid w:val="002548C4"/>
    <w:rsid w:val="00257991"/>
    <w:rsid w:val="0026116B"/>
    <w:rsid w:val="002628F4"/>
    <w:rsid w:val="00271E2A"/>
    <w:rsid w:val="00272CC2"/>
    <w:rsid w:val="00272DA7"/>
    <w:rsid w:val="00273BB4"/>
    <w:rsid w:val="00273CEF"/>
    <w:rsid w:val="00275D08"/>
    <w:rsid w:val="00275ED4"/>
    <w:rsid w:val="00276F99"/>
    <w:rsid w:val="00277613"/>
    <w:rsid w:val="002838B3"/>
    <w:rsid w:val="002858E3"/>
    <w:rsid w:val="00286778"/>
    <w:rsid w:val="00286A2A"/>
    <w:rsid w:val="00287692"/>
    <w:rsid w:val="0029108E"/>
    <w:rsid w:val="002911E7"/>
    <w:rsid w:val="0029190A"/>
    <w:rsid w:val="00292C5A"/>
    <w:rsid w:val="00293C99"/>
    <w:rsid w:val="00294AE2"/>
    <w:rsid w:val="00294D1B"/>
    <w:rsid w:val="00295241"/>
    <w:rsid w:val="002968B4"/>
    <w:rsid w:val="002A02E5"/>
    <w:rsid w:val="002A4DFC"/>
    <w:rsid w:val="002A64E1"/>
    <w:rsid w:val="002A75BB"/>
    <w:rsid w:val="002B047D"/>
    <w:rsid w:val="002B1A58"/>
    <w:rsid w:val="002B64F0"/>
    <w:rsid w:val="002B68E8"/>
    <w:rsid w:val="002B732B"/>
    <w:rsid w:val="002B76A7"/>
    <w:rsid w:val="002C1655"/>
    <w:rsid w:val="002C2219"/>
    <w:rsid w:val="002C2552"/>
    <w:rsid w:val="002C2977"/>
    <w:rsid w:val="002C380A"/>
    <w:rsid w:val="002C631C"/>
    <w:rsid w:val="002C6340"/>
    <w:rsid w:val="002D0DF2"/>
    <w:rsid w:val="002D14CB"/>
    <w:rsid w:val="002D23BD"/>
    <w:rsid w:val="002D270F"/>
    <w:rsid w:val="002D511C"/>
    <w:rsid w:val="002D7201"/>
    <w:rsid w:val="002E0B47"/>
    <w:rsid w:val="002E1A6D"/>
    <w:rsid w:val="002E34E9"/>
    <w:rsid w:val="002E4529"/>
    <w:rsid w:val="002F01DB"/>
    <w:rsid w:val="002F3EEA"/>
    <w:rsid w:val="002F4685"/>
    <w:rsid w:val="002F7213"/>
    <w:rsid w:val="002F7AC5"/>
    <w:rsid w:val="0030382F"/>
    <w:rsid w:val="0030408D"/>
    <w:rsid w:val="00305F8E"/>
    <w:rsid w:val="003060E4"/>
    <w:rsid w:val="00310AF5"/>
    <w:rsid w:val="003118C1"/>
    <w:rsid w:val="003127D9"/>
    <w:rsid w:val="00312FCD"/>
    <w:rsid w:val="00313AC7"/>
    <w:rsid w:val="00314DA8"/>
    <w:rsid w:val="00315298"/>
    <w:rsid w:val="003160E7"/>
    <w:rsid w:val="00316D83"/>
    <w:rsid w:val="0031739E"/>
    <w:rsid w:val="003204EB"/>
    <w:rsid w:val="00324FCE"/>
    <w:rsid w:val="00325A9B"/>
    <w:rsid w:val="00327DE9"/>
    <w:rsid w:val="003309CA"/>
    <w:rsid w:val="003325AB"/>
    <w:rsid w:val="003332D1"/>
    <w:rsid w:val="0033412B"/>
    <w:rsid w:val="00341161"/>
    <w:rsid w:val="00341C79"/>
    <w:rsid w:val="00343365"/>
    <w:rsid w:val="00343F57"/>
    <w:rsid w:val="003445F4"/>
    <w:rsid w:val="00345F65"/>
    <w:rsid w:val="0035206C"/>
    <w:rsid w:val="0035268C"/>
    <w:rsid w:val="00353501"/>
    <w:rsid w:val="00353734"/>
    <w:rsid w:val="003553CE"/>
    <w:rsid w:val="003606F8"/>
    <w:rsid w:val="00361795"/>
    <w:rsid w:val="003648EF"/>
    <w:rsid w:val="003673E6"/>
    <w:rsid w:val="003676CE"/>
    <w:rsid w:val="00370741"/>
    <w:rsid w:val="00371926"/>
    <w:rsid w:val="003729C4"/>
    <w:rsid w:val="0037368F"/>
    <w:rsid w:val="00375EFA"/>
    <w:rsid w:val="00377264"/>
    <w:rsid w:val="003779D2"/>
    <w:rsid w:val="00385234"/>
    <w:rsid w:val="00385E38"/>
    <w:rsid w:val="00390201"/>
    <w:rsid w:val="00390747"/>
    <w:rsid w:val="003928E4"/>
    <w:rsid w:val="00394569"/>
    <w:rsid w:val="003A085D"/>
    <w:rsid w:val="003A20C5"/>
    <w:rsid w:val="003A26A5"/>
    <w:rsid w:val="003A3761"/>
    <w:rsid w:val="003A4F33"/>
    <w:rsid w:val="003A512D"/>
    <w:rsid w:val="003A5176"/>
    <w:rsid w:val="003A5FEA"/>
    <w:rsid w:val="003B1D10"/>
    <w:rsid w:val="003B4357"/>
    <w:rsid w:val="003B4503"/>
    <w:rsid w:val="003B6DAA"/>
    <w:rsid w:val="003C119B"/>
    <w:rsid w:val="003C25C1"/>
    <w:rsid w:val="003C76D4"/>
    <w:rsid w:val="003D137D"/>
    <w:rsid w:val="003D14AB"/>
    <w:rsid w:val="003D17F7"/>
    <w:rsid w:val="003D2CC5"/>
    <w:rsid w:val="003D5AA0"/>
    <w:rsid w:val="003D5B34"/>
    <w:rsid w:val="003D7765"/>
    <w:rsid w:val="003E01ED"/>
    <w:rsid w:val="003E04C1"/>
    <w:rsid w:val="003E0887"/>
    <w:rsid w:val="003E3B4A"/>
    <w:rsid w:val="003E7042"/>
    <w:rsid w:val="003E74C8"/>
    <w:rsid w:val="003E7C46"/>
    <w:rsid w:val="003F0800"/>
    <w:rsid w:val="003F2106"/>
    <w:rsid w:val="003F2781"/>
    <w:rsid w:val="003F52A7"/>
    <w:rsid w:val="003F7013"/>
    <w:rsid w:val="004000A8"/>
    <w:rsid w:val="004016C8"/>
    <w:rsid w:val="0040240C"/>
    <w:rsid w:val="00403C7F"/>
    <w:rsid w:val="004050AE"/>
    <w:rsid w:val="004101D2"/>
    <w:rsid w:val="004121BF"/>
    <w:rsid w:val="00413021"/>
    <w:rsid w:val="004210A1"/>
    <w:rsid w:val="00427E3E"/>
    <w:rsid w:val="004301C6"/>
    <w:rsid w:val="0043033E"/>
    <w:rsid w:val="004307D2"/>
    <w:rsid w:val="004319C7"/>
    <w:rsid w:val="004328DE"/>
    <w:rsid w:val="00432F3F"/>
    <w:rsid w:val="00434528"/>
    <w:rsid w:val="0043478F"/>
    <w:rsid w:val="00434FC7"/>
    <w:rsid w:val="00435046"/>
    <w:rsid w:val="00435924"/>
    <w:rsid w:val="0043602B"/>
    <w:rsid w:val="00436AEA"/>
    <w:rsid w:val="00440BE0"/>
    <w:rsid w:val="00442C1C"/>
    <w:rsid w:val="0044584B"/>
    <w:rsid w:val="00447CB7"/>
    <w:rsid w:val="004512ED"/>
    <w:rsid w:val="004556DD"/>
    <w:rsid w:val="00455CC9"/>
    <w:rsid w:val="00456027"/>
    <w:rsid w:val="0045778B"/>
    <w:rsid w:val="00460826"/>
    <w:rsid w:val="00460EA7"/>
    <w:rsid w:val="0046195B"/>
    <w:rsid w:val="004619C9"/>
    <w:rsid w:val="00462130"/>
    <w:rsid w:val="0046362D"/>
    <w:rsid w:val="0046596D"/>
    <w:rsid w:val="004702DA"/>
    <w:rsid w:val="0047147B"/>
    <w:rsid w:val="004777C3"/>
    <w:rsid w:val="004779C4"/>
    <w:rsid w:val="00477DC7"/>
    <w:rsid w:val="00480E30"/>
    <w:rsid w:val="00481827"/>
    <w:rsid w:val="00483B58"/>
    <w:rsid w:val="00484957"/>
    <w:rsid w:val="00487C04"/>
    <w:rsid w:val="00490391"/>
    <w:rsid w:val="004907E1"/>
    <w:rsid w:val="00490DAB"/>
    <w:rsid w:val="004912D8"/>
    <w:rsid w:val="00493D16"/>
    <w:rsid w:val="00494EFA"/>
    <w:rsid w:val="0049532F"/>
    <w:rsid w:val="00496845"/>
    <w:rsid w:val="0049786F"/>
    <w:rsid w:val="004A035B"/>
    <w:rsid w:val="004A07D7"/>
    <w:rsid w:val="004A128F"/>
    <w:rsid w:val="004A2108"/>
    <w:rsid w:val="004A38D7"/>
    <w:rsid w:val="004A76C5"/>
    <w:rsid w:val="004A778C"/>
    <w:rsid w:val="004B0452"/>
    <w:rsid w:val="004B43AB"/>
    <w:rsid w:val="004B4715"/>
    <w:rsid w:val="004B48C7"/>
    <w:rsid w:val="004B55C9"/>
    <w:rsid w:val="004B57D4"/>
    <w:rsid w:val="004C173B"/>
    <w:rsid w:val="004C2E6A"/>
    <w:rsid w:val="004C3C3E"/>
    <w:rsid w:val="004C4422"/>
    <w:rsid w:val="004C64B8"/>
    <w:rsid w:val="004D2A2D"/>
    <w:rsid w:val="004D3FBB"/>
    <w:rsid w:val="004D479F"/>
    <w:rsid w:val="004D49B0"/>
    <w:rsid w:val="004D4B0B"/>
    <w:rsid w:val="004D6689"/>
    <w:rsid w:val="004E1D1D"/>
    <w:rsid w:val="004E1E80"/>
    <w:rsid w:val="004E3018"/>
    <w:rsid w:val="004E36EA"/>
    <w:rsid w:val="004E5703"/>
    <w:rsid w:val="004E71C2"/>
    <w:rsid w:val="004E76A6"/>
    <w:rsid w:val="004E7AC8"/>
    <w:rsid w:val="004F0C94"/>
    <w:rsid w:val="004F28E2"/>
    <w:rsid w:val="004F7286"/>
    <w:rsid w:val="005019AE"/>
    <w:rsid w:val="00501C74"/>
    <w:rsid w:val="00501E8E"/>
    <w:rsid w:val="00503749"/>
    <w:rsid w:val="00504CF4"/>
    <w:rsid w:val="00505387"/>
    <w:rsid w:val="0050635B"/>
    <w:rsid w:val="00506E64"/>
    <w:rsid w:val="005133F6"/>
    <w:rsid w:val="005134E1"/>
    <w:rsid w:val="005151C2"/>
    <w:rsid w:val="00520742"/>
    <w:rsid w:val="005264C5"/>
    <w:rsid w:val="00526DB8"/>
    <w:rsid w:val="00530E0D"/>
    <w:rsid w:val="005315A8"/>
    <w:rsid w:val="0053199F"/>
    <w:rsid w:val="00531E12"/>
    <w:rsid w:val="00533355"/>
    <w:rsid w:val="00533B90"/>
    <w:rsid w:val="005348A8"/>
    <w:rsid w:val="005360E6"/>
    <w:rsid w:val="0053661A"/>
    <w:rsid w:val="00536AA4"/>
    <w:rsid w:val="00536EC9"/>
    <w:rsid w:val="00537039"/>
    <w:rsid w:val="00537D81"/>
    <w:rsid w:val="005401BB"/>
    <w:rsid w:val="005410F8"/>
    <w:rsid w:val="00542056"/>
    <w:rsid w:val="00542153"/>
    <w:rsid w:val="005448EC"/>
    <w:rsid w:val="00545963"/>
    <w:rsid w:val="00545A16"/>
    <w:rsid w:val="00545CBD"/>
    <w:rsid w:val="00550256"/>
    <w:rsid w:val="00553165"/>
    <w:rsid w:val="00553958"/>
    <w:rsid w:val="00555D58"/>
    <w:rsid w:val="00556BB7"/>
    <w:rsid w:val="0055763D"/>
    <w:rsid w:val="00561516"/>
    <w:rsid w:val="00561910"/>
    <w:rsid w:val="005621F2"/>
    <w:rsid w:val="00562ED5"/>
    <w:rsid w:val="00564C16"/>
    <w:rsid w:val="005665FD"/>
    <w:rsid w:val="00567B58"/>
    <w:rsid w:val="00570D9A"/>
    <w:rsid w:val="00571223"/>
    <w:rsid w:val="00572241"/>
    <w:rsid w:val="00573CC4"/>
    <w:rsid w:val="005763E0"/>
    <w:rsid w:val="00577075"/>
    <w:rsid w:val="00577910"/>
    <w:rsid w:val="00581136"/>
    <w:rsid w:val="005815B9"/>
    <w:rsid w:val="00581EB8"/>
    <w:rsid w:val="00582C68"/>
    <w:rsid w:val="0059629F"/>
    <w:rsid w:val="00596D60"/>
    <w:rsid w:val="00597E04"/>
    <w:rsid w:val="005A27CA"/>
    <w:rsid w:val="005A3EB6"/>
    <w:rsid w:val="005A43BD"/>
    <w:rsid w:val="005A61A0"/>
    <w:rsid w:val="005A79E5"/>
    <w:rsid w:val="005B05D2"/>
    <w:rsid w:val="005B0C41"/>
    <w:rsid w:val="005B462D"/>
    <w:rsid w:val="005B4E5F"/>
    <w:rsid w:val="005C69C1"/>
    <w:rsid w:val="005C761B"/>
    <w:rsid w:val="005D034C"/>
    <w:rsid w:val="005D1243"/>
    <w:rsid w:val="005D2EB9"/>
    <w:rsid w:val="005D62D9"/>
    <w:rsid w:val="005D6B90"/>
    <w:rsid w:val="005D77B3"/>
    <w:rsid w:val="005E0E41"/>
    <w:rsid w:val="005E226E"/>
    <w:rsid w:val="005E2636"/>
    <w:rsid w:val="005E2A86"/>
    <w:rsid w:val="005E58E8"/>
    <w:rsid w:val="005E7D30"/>
    <w:rsid w:val="005F02AE"/>
    <w:rsid w:val="005F0C91"/>
    <w:rsid w:val="005F3D14"/>
    <w:rsid w:val="005F5D43"/>
    <w:rsid w:val="005F77FC"/>
    <w:rsid w:val="006015D7"/>
    <w:rsid w:val="00601B21"/>
    <w:rsid w:val="006041F0"/>
    <w:rsid w:val="00604550"/>
    <w:rsid w:val="00605422"/>
    <w:rsid w:val="006054BD"/>
    <w:rsid w:val="006059D3"/>
    <w:rsid w:val="00605C6D"/>
    <w:rsid w:val="006061A5"/>
    <w:rsid w:val="0061052F"/>
    <w:rsid w:val="00610F1E"/>
    <w:rsid w:val="006120CA"/>
    <w:rsid w:val="00612203"/>
    <w:rsid w:val="0061388F"/>
    <w:rsid w:val="00620694"/>
    <w:rsid w:val="006214DC"/>
    <w:rsid w:val="00621828"/>
    <w:rsid w:val="0062200D"/>
    <w:rsid w:val="00624174"/>
    <w:rsid w:val="0062462D"/>
    <w:rsid w:val="00625CEF"/>
    <w:rsid w:val="00626CF8"/>
    <w:rsid w:val="006314AF"/>
    <w:rsid w:val="00634ED8"/>
    <w:rsid w:val="00636D7D"/>
    <w:rsid w:val="00637408"/>
    <w:rsid w:val="00638F65"/>
    <w:rsid w:val="00640221"/>
    <w:rsid w:val="00642443"/>
    <w:rsid w:val="00642868"/>
    <w:rsid w:val="00647369"/>
    <w:rsid w:val="00647AFE"/>
    <w:rsid w:val="006512BC"/>
    <w:rsid w:val="00651CC6"/>
    <w:rsid w:val="00653A5A"/>
    <w:rsid w:val="006543EB"/>
    <w:rsid w:val="006554AC"/>
    <w:rsid w:val="006556B2"/>
    <w:rsid w:val="00655C8C"/>
    <w:rsid w:val="006575F4"/>
    <w:rsid w:val="006579E6"/>
    <w:rsid w:val="00660682"/>
    <w:rsid w:val="00660F74"/>
    <w:rsid w:val="00663B81"/>
    <w:rsid w:val="00663EDC"/>
    <w:rsid w:val="006646F2"/>
    <w:rsid w:val="00665190"/>
    <w:rsid w:val="006658C9"/>
    <w:rsid w:val="006666B8"/>
    <w:rsid w:val="006674BA"/>
    <w:rsid w:val="00667E20"/>
    <w:rsid w:val="00671078"/>
    <w:rsid w:val="006714B4"/>
    <w:rsid w:val="006753E6"/>
    <w:rsid w:val="006758CA"/>
    <w:rsid w:val="0067720E"/>
    <w:rsid w:val="00680A04"/>
    <w:rsid w:val="00680E6B"/>
    <w:rsid w:val="00683EAF"/>
    <w:rsid w:val="00685A9F"/>
    <w:rsid w:val="00686D80"/>
    <w:rsid w:val="00687CD1"/>
    <w:rsid w:val="00691F9D"/>
    <w:rsid w:val="006921D2"/>
    <w:rsid w:val="00692346"/>
    <w:rsid w:val="00692889"/>
    <w:rsid w:val="00694895"/>
    <w:rsid w:val="006956B4"/>
    <w:rsid w:val="0069610B"/>
    <w:rsid w:val="00697E2E"/>
    <w:rsid w:val="006A1A07"/>
    <w:rsid w:val="006A25A2"/>
    <w:rsid w:val="006A2629"/>
    <w:rsid w:val="006A3B12"/>
    <w:rsid w:val="006A3B87"/>
    <w:rsid w:val="006A410B"/>
    <w:rsid w:val="006A62A0"/>
    <w:rsid w:val="006A68F6"/>
    <w:rsid w:val="006B083C"/>
    <w:rsid w:val="006B0E73"/>
    <w:rsid w:val="006B111B"/>
    <w:rsid w:val="006B1E3D"/>
    <w:rsid w:val="006B4A4D"/>
    <w:rsid w:val="006B5695"/>
    <w:rsid w:val="006B61F1"/>
    <w:rsid w:val="006B6E1A"/>
    <w:rsid w:val="006B7B2E"/>
    <w:rsid w:val="006C30D3"/>
    <w:rsid w:val="006C3EA1"/>
    <w:rsid w:val="006C78EB"/>
    <w:rsid w:val="006C7B5C"/>
    <w:rsid w:val="006D1660"/>
    <w:rsid w:val="006D2142"/>
    <w:rsid w:val="006D380E"/>
    <w:rsid w:val="006D5EF7"/>
    <w:rsid w:val="006D63E5"/>
    <w:rsid w:val="006D7917"/>
    <w:rsid w:val="006E03E2"/>
    <w:rsid w:val="006E1753"/>
    <w:rsid w:val="006E258B"/>
    <w:rsid w:val="006E3911"/>
    <w:rsid w:val="006E5C79"/>
    <w:rsid w:val="006F0434"/>
    <w:rsid w:val="006F1B67"/>
    <w:rsid w:val="006F2C22"/>
    <w:rsid w:val="006F4D9C"/>
    <w:rsid w:val="0070091D"/>
    <w:rsid w:val="00702854"/>
    <w:rsid w:val="00704523"/>
    <w:rsid w:val="00704B63"/>
    <w:rsid w:val="00706566"/>
    <w:rsid w:val="00707A65"/>
    <w:rsid w:val="00707AC4"/>
    <w:rsid w:val="00710D4C"/>
    <w:rsid w:val="00712EE3"/>
    <w:rsid w:val="007153E7"/>
    <w:rsid w:val="00715BC5"/>
    <w:rsid w:val="00715FAA"/>
    <w:rsid w:val="0071649A"/>
    <w:rsid w:val="0071741C"/>
    <w:rsid w:val="00720C96"/>
    <w:rsid w:val="007252F2"/>
    <w:rsid w:val="0073409E"/>
    <w:rsid w:val="0073505C"/>
    <w:rsid w:val="00736425"/>
    <w:rsid w:val="00737CBA"/>
    <w:rsid w:val="00742B90"/>
    <w:rsid w:val="0074434D"/>
    <w:rsid w:val="00744BC8"/>
    <w:rsid w:val="00746044"/>
    <w:rsid w:val="00746562"/>
    <w:rsid w:val="007502C0"/>
    <w:rsid w:val="00752A8A"/>
    <w:rsid w:val="007570C4"/>
    <w:rsid w:val="007605B8"/>
    <w:rsid w:val="00765D7C"/>
    <w:rsid w:val="007663EB"/>
    <w:rsid w:val="00771B1E"/>
    <w:rsid w:val="007731A8"/>
    <w:rsid w:val="00773C95"/>
    <w:rsid w:val="007760BA"/>
    <w:rsid w:val="00777A71"/>
    <w:rsid w:val="00777EC7"/>
    <w:rsid w:val="007800E0"/>
    <w:rsid w:val="0078171E"/>
    <w:rsid w:val="00783197"/>
    <w:rsid w:val="0078424E"/>
    <w:rsid w:val="007850EE"/>
    <w:rsid w:val="0078658E"/>
    <w:rsid w:val="00791034"/>
    <w:rsid w:val="00791D67"/>
    <w:rsid w:val="007920E2"/>
    <w:rsid w:val="007937A5"/>
    <w:rsid w:val="0079566E"/>
    <w:rsid w:val="00795B34"/>
    <w:rsid w:val="00796B1B"/>
    <w:rsid w:val="007A067F"/>
    <w:rsid w:val="007A15C8"/>
    <w:rsid w:val="007A4685"/>
    <w:rsid w:val="007A5345"/>
    <w:rsid w:val="007B1770"/>
    <w:rsid w:val="007B2A7A"/>
    <w:rsid w:val="007B38E9"/>
    <w:rsid w:val="007B4A1B"/>
    <w:rsid w:val="007B4D3E"/>
    <w:rsid w:val="007B7C70"/>
    <w:rsid w:val="007B7DEB"/>
    <w:rsid w:val="007C0449"/>
    <w:rsid w:val="007C2A0D"/>
    <w:rsid w:val="007C4808"/>
    <w:rsid w:val="007C576C"/>
    <w:rsid w:val="007C7093"/>
    <w:rsid w:val="007C760F"/>
    <w:rsid w:val="007D14BB"/>
    <w:rsid w:val="007D2151"/>
    <w:rsid w:val="007D22F4"/>
    <w:rsid w:val="007D3B90"/>
    <w:rsid w:val="007D42CC"/>
    <w:rsid w:val="007D575E"/>
    <w:rsid w:val="007D5DE4"/>
    <w:rsid w:val="007D61BC"/>
    <w:rsid w:val="007D6B67"/>
    <w:rsid w:val="007D7C3A"/>
    <w:rsid w:val="007E0777"/>
    <w:rsid w:val="007E0AB4"/>
    <w:rsid w:val="007E1341"/>
    <w:rsid w:val="007E1B41"/>
    <w:rsid w:val="007E1EC4"/>
    <w:rsid w:val="007E30B9"/>
    <w:rsid w:val="007E4EF3"/>
    <w:rsid w:val="007E74F1"/>
    <w:rsid w:val="007F0F0C"/>
    <w:rsid w:val="007F1288"/>
    <w:rsid w:val="007F2538"/>
    <w:rsid w:val="007F3185"/>
    <w:rsid w:val="007F9527"/>
    <w:rsid w:val="00800A8A"/>
    <w:rsid w:val="00800C47"/>
    <w:rsid w:val="0080155C"/>
    <w:rsid w:val="008020DE"/>
    <w:rsid w:val="008052E1"/>
    <w:rsid w:val="008120D3"/>
    <w:rsid w:val="00815765"/>
    <w:rsid w:val="008162D4"/>
    <w:rsid w:val="0081736C"/>
    <w:rsid w:val="008178CC"/>
    <w:rsid w:val="00817A57"/>
    <w:rsid w:val="00820496"/>
    <w:rsid w:val="00820DCF"/>
    <w:rsid w:val="00821491"/>
    <w:rsid w:val="00822F2C"/>
    <w:rsid w:val="0082374A"/>
    <w:rsid w:val="00823DEE"/>
    <w:rsid w:val="008305E8"/>
    <w:rsid w:val="00831903"/>
    <w:rsid w:val="0083325C"/>
    <w:rsid w:val="00835441"/>
    <w:rsid w:val="00836165"/>
    <w:rsid w:val="00840076"/>
    <w:rsid w:val="00840EB8"/>
    <w:rsid w:val="00842202"/>
    <w:rsid w:val="00843858"/>
    <w:rsid w:val="0084640C"/>
    <w:rsid w:val="008478CA"/>
    <w:rsid w:val="0085261C"/>
    <w:rsid w:val="00856088"/>
    <w:rsid w:val="008578E5"/>
    <w:rsid w:val="00857F5F"/>
    <w:rsid w:val="00860289"/>
    <w:rsid w:val="00860826"/>
    <w:rsid w:val="00860E21"/>
    <w:rsid w:val="00863117"/>
    <w:rsid w:val="0086388B"/>
    <w:rsid w:val="00863DE8"/>
    <w:rsid w:val="008642E5"/>
    <w:rsid w:val="00864488"/>
    <w:rsid w:val="00867DC2"/>
    <w:rsid w:val="00870A36"/>
    <w:rsid w:val="00872C2C"/>
    <w:rsid w:val="00872D93"/>
    <w:rsid w:val="008746AC"/>
    <w:rsid w:val="008802CC"/>
    <w:rsid w:val="00880470"/>
    <w:rsid w:val="00880D94"/>
    <w:rsid w:val="00881024"/>
    <w:rsid w:val="0088120B"/>
    <w:rsid w:val="0088272E"/>
    <w:rsid w:val="00884A7B"/>
    <w:rsid w:val="00885190"/>
    <w:rsid w:val="008851F8"/>
    <w:rsid w:val="00886473"/>
    <w:rsid w:val="00886F64"/>
    <w:rsid w:val="008871BF"/>
    <w:rsid w:val="00887453"/>
    <w:rsid w:val="0088765A"/>
    <w:rsid w:val="00890424"/>
    <w:rsid w:val="00890829"/>
    <w:rsid w:val="008924DE"/>
    <w:rsid w:val="008960A3"/>
    <w:rsid w:val="008A3755"/>
    <w:rsid w:val="008A5921"/>
    <w:rsid w:val="008B19DC"/>
    <w:rsid w:val="008B264F"/>
    <w:rsid w:val="008B2D0A"/>
    <w:rsid w:val="008B36F7"/>
    <w:rsid w:val="008B6F83"/>
    <w:rsid w:val="008B7FD8"/>
    <w:rsid w:val="008C1108"/>
    <w:rsid w:val="008C2973"/>
    <w:rsid w:val="008C3A97"/>
    <w:rsid w:val="008C6324"/>
    <w:rsid w:val="008C64C4"/>
    <w:rsid w:val="008D1C57"/>
    <w:rsid w:val="008D2B90"/>
    <w:rsid w:val="008D2CDD"/>
    <w:rsid w:val="008D6CF1"/>
    <w:rsid w:val="008D74D5"/>
    <w:rsid w:val="008E0ED1"/>
    <w:rsid w:val="008E10C2"/>
    <w:rsid w:val="008E357D"/>
    <w:rsid w:val="008E3A07"/>
    <w:rsid w:val="008E537B"/>
    <w:rsid w:val="008E7054"/>
    <w:rsid w:val="008F29BE"/>
    <w:rsid w:val="008F2B72"/>
    <w:rsid w:val="008F4AE5"/>
    <w:rsid w:val="008F51EB"/>
    <w:rsid w:val="008F7325"/>
    <w:rsid w:val="008F78F5"/>
    <w:rsid w:val="008F792D"/>
    <w:rsid w:val="00900197"/>
    <w:rsid w:val="00901C29"/>
    <w:rsid w:val="00902F55"/>
    <w:rsid w:val="00903482"/>
    <w:rsid w:val="0090582B"/>
    <w:rsid w:val="009060C0"/>
    <w:rsid w:val="0091021B"/>
    <w:rsid w:val="009114A2"/>
    <w:rsid w:val="009133F5"/>
    <w:rsid w:val="00913B55"/>
    <w:rsid w:val="00916FC4"/>
    <w:rsid w:val="00917337"/>
    <w:rsid w:val="0091756F"/>
    <w:rsid w:val="00917CDA"/>
    <w:rsid w:val="00920A27"/>
    <w:rsid w:val="00921216"/>
    <w:rsid w:val="00921508"/>
    <w:rsid w:val="009216CC"/>
    <w:rsid w:val="009225C6"/>
    <w:rsid w:val="00924746"/>
    <w:rsid w:val="00926083"/>
    <w:rsid w:val="00926DB2"/>
    <w:rsid w:val="00930D08"/>
    <w:rsid w:val="00931466"/>
    <w:rsid w:val="00931E7E"/>
    <w:rsid w:val="00932712"/>
    <w:rsid w:val="00932D69"/>
    <w:rsid w:val="00935589"/>
    <w:rsid w:val="00935DE9"/>
    <w:rsid w:val="00935F65"/>
    <w:rsid w:val="009413F5"/>
    <w:rsid w:val="00941777"/>
    <w:rsid w:val="00942893"/>
    <w:rsid w:val="00943649"/>
    <w:rsid w:val="00944647"/>
    <w:rsid w:val="009457F3"/>
    <w:rsid w:val="00945945"/>
    <w:rsid w:val="00950C94"/>
    <w:rsid w:val="00951ED7"/>
    <w:rsid w:val="0095231A"/>
    <w:rsid w:val="0095565C"/>
    <w:rsid w:val="009566CD"/>
    <w:rsid w:val="0096033E"/>
    <w:rsid w:val="00964AB6"/>
    <w:rsid w:val="00965845"/>
    <w:rsid w:val="0096688D"/>
    <w:rsid w:val="00966B49"/>
    <w:rsid w:val="00966F9A"/>
    <w:rsid w:val="00970545"/>
    <w:rsid w:val="0097473D"/>
    <w:rsid w:val="00977B8A"/>
    <w:rsid w:val="00982971"/>
    <w:rsid w:val="009845AD"/>
    <w:rsid w:val="00984835"/>
    <w:rsid w:val="0098639B"/>
    <w:rsid w:val="00987279"/>
    <w:rsid w:val="00991D35"/>
    <w:rsid w:val="009933EF"/>
    <w:rsid w:val="00994C9B"/>
    <w:rsid w:val="00995BA0"/>
    <w:rsid w:val="009971E9"/>
    <w:rsid w:val="00997B84"/>
    <w:rsid w:val="009A418B"/>
    <w:rsid w:val="009A426F"/>
    <w:rsid w:val="009A42D5"/>
    <w:rsid w:val="009A4473"/>
    <w:rsid w:val="009A792E"/>
    <w:rsid w:val="009B03E9"/>
    <w:rsid w:val="009B05C9"/>
    <w:rsid w:val="009B286C"/>
    <w:rsid w:val="009B5C19"/>
    <w:rsid w:val="009B68BF"/>
    <w:rsid w:val="009C151C"/>
    <w:rsid w:val="009C29F2"/>
    <w:rsid w:val="009C440A"/>
    <w:rsid w:val="009D08C8"/>
    <w:rsid w:val="009D101D"/>
    <w:rsid w:val="009D5125"/>
    <w:rsid w:val="009D5942"/>
    <w:rsid w:val="009D60B8"/>
    <w:rsid w:val="009D781B"/>
    <w:rsid w:val="009D7D4B"/>
    <w:rsid w:val="009E1762"/>
    <w:rsid w:val="009E2EED"/>
    <w:rsid w:val="009E36ED"/>
    <w:rsid w:val="009E3C8C"/>
    <w:rsid w:val="009E6B77"/>
    <w:rsid w:val="009F460A"/>
    <w:rsid w:val="009F595F"/>
    <w:rsid w:val="009F60CD"/>
    <w:rsid w:val="009F628A"/>
    <w:rsid w:val="009F6DE5"/>
    <w:rsid w:val="00A0091E"/>
    <w:rsid w:val="00A0102A"/>
    <w:rsid w:val="00A01FDF"/>
    <w:rsid w:val="00A03814"/>
    <w:rsid w:val="00A043FB"/>
    <w:rsid w:val="00A04C97"/>
    <w:rsid w:val="00A06531"/>
    <w:rsid w:val="00A06BE4"/>
    <w:rsid w:val="00A0729C"/>
    <w:rsid w:val="00A07779"/>
    <w:rsid w:val="00A11156"/>
    <w:rsid w:val="00A111E5"/>
    <w:rsid w:val="00A1166A"/>
    <w:rsid w:val="00A13D09"/>
    <w:rsid w:val="00A14E39"/>
    <w:rsid w:val="00A15B1A"/>
    <w:rsid w:val="00A20064"/>
    <w:rsid w:val="00A20B2E"/>
    <w:rsid w:val="00A24F33"/>
    <w:rsid w:val="00A25069"/>
    <w:rsid w:val="00A26E6B"/>
    <w:rsid w:val="00A3068F"/>
    <w:rsid w:val="00A3145B"/>
    <w:rsid w:val="00A32D3D"/>
    <w:rsid w:val="00A339D0"/>
    <w:rsid w:val="00A34ADC"/>
    <w:rsid w:val="00A36BB4"/>
    <w:rsid w:val="00A40B4A"/>
    <w:rsid w:val="00A40B79"/>
    <w:rsid w:val="00A41002"/>
    <w:rsid w:val="00A4201A"/>
    <w:rsid w:val="00A46287"/>
    <w:rsid w:val="00A46425"/>
    <w:rsid w:val="00A538B7"/>
    <w:rsid w:val="00A5465D"/>
    <w:rsid w:val="00A5534C"/>
    <w:rsid w:val="00A553CE"/>
    <w:rsid w:val="00A55903"/>
    <w:rsid w:val="00A5677A"/>
    <w:rsid w:val="00A56DCC"/>
    <w:rsid w:val="00A56ED2"/>
    <w:rsid w:val="00A625E8"/>
    <w:rsid w:val="00A62D5F"/>
    <w:rsid w:val="00A635BF"/>
    <w:rsid w:val="00A63DFF"/>
    <w:rsid w:val="00A640A5"/>
    <w:rsid w:val="00A6490D"/>
    <w:rsid w:val="00A70886"/>
    <w:rsid w:val="00A71434"/>
    <w:rsid w:val="00A722D6"/>
    <w:rsid w:val="00A7415D"/>
    <w:rsid w:val="00A74A6E"/>
    <w:rsid w:val="00A75AFE"/>
    <w:rsid w:val="00A77CFF"/>
    <w:rsid w:val="00A80363"/>
    <w:rsid w:val="00A80939"/>
    <w:rsid w:val="00A83E9D"/>
    <w:rsid w:val="00A848AD"/>
    <w:rsid w:val="00A85CE8"/>
    <w:rsid w:val="00A87446"/>
    <w:rsid w:val="00A87C05"/>
    <w:rsid w:val="00A87F59"/>
    <w:rsid w:val="00A9169D"/>
    <w:rsid w:val="00A9346B"/>
    <w:rsid w:val="00A961D8"/>
    <w:rsid w:val="00AA0C9F"/>
    <w:rsid w:val="00AA240C"/>
    <w:rsid w:val="00AA2B20"/>
    <w:rsid w:val="00AA3533"/>
    <w:rsid w:val="00AA36FF"/>
    <w:rsid w:val="00AA5C4F"/>
    <w:rsid w:val="00AB014E"/>
    <w:rsid w:val="00AB2FFF"/>
    <w:rsid w:val="00AB319E"/>
    <w:rsid w:val="00AB5069"/>
    <w:rsid w:val="00AC101C"/>
    <w:rsid w:val="00AC148B"/>
    <w:rsid w:val="00AC26A5"/>
    <w:rsid w:val="00AC620A"/>
    <w:rsid w:val="00AD07F3"/>
    <w:rsid w:val="00AD187A"/>
    <w:rsid w:val="00AD1886"/>
    <w:rsid w:val="00AD36C4"/>
    <w:rsid w:val="00AD438E"/>
    <w:rsid w:val="00AD4CF1"/>
    <w:rsid w:val="00AD4DDE"/>
    <w:rsid w:val="00AD5988"/>
    <w:rsid w:val="00AD6293"/>
    <w:rsid w:val="00AE1AA2"/>
    <w:rsid w:val="00AE71ED"/>
    <w:rsid w:val="00AE72AE"/>
    <w:rsid w:val="00AF007C"/>
    <w:rsid w:val="00AF055A"/>
    <w:rsid w:val="00AF1BA8"/>
    <w:rsid w:val="00AF2CBA"/>
    <w:rsid w:val="00AF7800"/>
    <w:rsid w:val="00AF7E4C"/>
    <w:rsid w:val="00B00CF5"/>
    <w:rsid w:val="00B00DA9"/>
    <w:rsid w:val="00B01AF4"/>
    <w:rsid w:val="00B01EBA"/>
    <w:rsid w:val="00B039AD"/>
    <w:rsid w:val="00B072E0"/>
    <w:rsid w:val="00B07C43"/>
    <w:rsid w:val="00B1007E"/>
    <w:rsid w:val="00B10D7D"/>
    <w:rsid w:val="00B13090"/>
    <w:rsid w:val="00B170EF"/>
    <w:rsid w:val="00B231B5"/>
    <w:rsid w:val="00B239EB"/>
    <w:rsid w:val="00B253F6"/>
    <w:rsid w:val="00B26675"/>
    <w:rsid w:val="00B26F0F"/>
    <w:rsid w:val="00B305DB"/>
    <w:rsid w:val="00B31CE4"/>
    <w:rsid w:val="00B332F8"/>
    <w:rsid w:val="00B3385A"/>
    <w:rsid w:val="00B3492B"/>
    <w:rsid w:val="00B34DE4"/>
    <w:rsid w:val="00B357B0"/>
    <w:rsid w:val="00B36E2E"/>
    <w:rsid w:val="00B44A64"/>
    <w:rsid w:val="00B457FE"/>
    <w:rsid w:val="00B4646F"/>
    <w:rsid w:val="00B54760"/>
    <w:rsid w:val="00B54AC6"/>
    <w:rsid w:val="00B55C7D"/>
    <w:rsid w:val="00B57738"/>
    <w:rsid w:val="00B57D5B"/>
    <w:rsid w:val="00B60D60"/>
    <w:rsid w:val="00B6226A"/>
    <w:rsid w:val="00B63038"/>
    <w:rsid w:val="00B64BD8"/>
    <w:rsid w:val="00B701D1"/>
    <w:rsid w:val="00B703D0"/>
    <w:rsid w:val="00B7117B"/>
    <w:rsid w:val="00B72C20"/>
    <w:rsid w:val="00B7389A"/>
    <w:rsid w:val="00B73AF2"/>
    <w:rsid w:val="00B7551A"/>
    <w:rsid w:val="00B76BA8"/>
    <w:rsid w:val="00B76BEA"/>
    <w:rsid w:val="00B773F1"/>
    <w:rsid w:val="00B80E21"/>
    <w:rsid w:val="00B81907"/>
    <w:rsid w:val="00B82BB9"/>
    <w:rsid w:val="00B84110"/>
    <w:rsid w:val="00B86AB1"/>
    <w:rsid w:val="00B86C61"/>
    <w:rsid w:val="00B90AE1"/>
    <w:rsid w:val="00B96AA5"/>
    <w:rsid w:val="00B97F07"/>
    <w:rsid w:val="00BA26EC"/>
    <w:rsid w:val="00BA7329"/>
    <w:rsid w:val="00BA7EBA"/>
    <w:rsid w:val="00BA7ED5"/>
    <w:rsid w:val="00BB2A06"/>
    <w:rsid w:val="00BB2CBB"/>
    <w:rsid w:val="00BB4198"/>
    <w:rsid w:val="00BC03EE"/>
    <w:rsid w:val="00BC04A8"/>
    <w:rsid w:val="00BC38DC"/>
    <w:rsid w:val="00BC59F1"/>
    <w:rsid w:val="00BC6D7E"/>
    <w:rsid w:val="00BD0833"/>
    <w:rsid w:val="00BD0FD9"/>
    <w:rsid w:val="00BD12FA"/>
    <w:rsid w:val="00BD78AD"/>
    <w:rsid w:val="00BE05B3"/>
    <w:rsid w:val="00BE2B5F"/>
    <w:rsid w:val="00BE7FBF"/>
    <w:rsid w:val="00BF3DE1"/>
    <w:rsid w:val="00BF4843"/>
    <w:rsid w:val="00BF5205"/>
    <w:rsid w:val="00C0131C"/>
    <w:rsid w:val="00C02AA7"/>
    <w:rsid w:val="00C035F8"/>
    <w:rsid w:val="00C05132"/>
    <w:rsid w:val="00C05343"/>
    <w:rsid w:val="00C057D8"/>
    <w:rsid w:val="00C063C2"/>
    <w:rsid w:val="00C063F1"/>
    <w:rsid w:val="00C06B0C"/>
    <w:rsid w:val="00C10DFB"/>
    <w:rsid w:val="00C10E4C"/>
    <w:rsid w:val="00C12508"/>
    <w:rsid w:val="00C1413E"/>
    <w:rsid w:val="00C14B6E"/>
    <w:rsid w:val="00C15A61"/>
    <w:rsid w:val="00C15B1A"/>
    <w:rsid w:val="00C163E2"/>
    <w:rsid w:val="00C20C40"/>
    <w:rsid w:val="00C23728"/>
    <w:rsid w:val="00C239EF"/>
    <w:rsid w:val="00C254D6"/>
    <w:rsid w:val="00C3026C"/>
    <w:rsid w:val="00C313A9"/>
    <w:rsid w:val="00C32E76"/>
    <w:rsid w:val="00C33F08"/>
    <w:rsid w:val="00C35510"/>
    <w:rsid w:val="00C441CF"/>
    <w:rsid w:val="00C45AA2"/>
    <w:rsid w:val="00C46068"/>
    <w:rsid w:val="00C4792C"/>
    <w:rsid w:val="00C47DC1"/>
    <w:rsid w:val="00C50F90"/>
    <w:rsid w:val="00C53DEA"/>
    <w:rsid w:val="00C54092"/>
    <w:rsid w:val="00C558B0"/>
    <w:rsid w:val="00C55BEF"/>
    <w:rsid w:val="00C56F82"/>
    <w:rsid w:val="00C601AF"/>
    <w:rsid w:val="00C614A7"/>
    <w:rsid w:val="00C619AC"/>
    <w:rsid w:val="00C61A63"/>
    <w:rsid w:val="00C62B39"/>
    <w:rsid w:val="00C63752"/>
    <w:rsid w:val="00C646B1"/>
    <w:rsid w:val="00C66296"/>
    <w:rsid w:val="00C667FC"/>
    <w:rsid w:val="00C66D5D"/>
    <w:rsid w:val="00C7394D"/>
    <w:rsid w:val="00C75368"/>
    <w:rsid w:val="00C77282"/>
    <w:rsid w:val="00C8290C"/>
    <w:rsid w:val="00C82B78"/>
    <w:rsid w:val="00C82E7E"/>
    <w:rsid w:val="00C84DE5"/>
    <w:rsid w:val="00C85967"/>
    <w:rsid w:val="00C86248"/>
    <w:rsid w:val="00C87E74"/>
    <w:rsid w:val="00C90B31"/>
    <w:rsid w:val="00C90DB7"/>
    <w:rsid w:val="00C90F70"/>
    <w:rsid w:val="00C92B0C"/>
    <w:rsid w:val="00C9398C"/>
    <w:rsid w:val="00C940FC"/>
    <w:rsid w:val="00C94A12"/>
    <w:rsid w:val="00C95F50"/>
    <w:rsid w:val="00C9709B"/>
    <w:rsid w:val="00C977BE"/>
    <w:rsid w:val="00CA09B1"/>
    <w:rsid w:val="00CA0D6F"/>
    <w:rsid w:val="00CA1ADE"/>
    <w:rsid w:val="00CA1F16"/>
    <w:rsid w:val="00CA369A"/>
    <w:rsid w:val="00CA3E3E"/>
    <w:rsid w:val="00CA498E"/>
    <w:rsid w:val="00CA4C33"/>
    <w:rsid w:val="00CA58AB"/>
    <w:rsid w:val="00CA6F4A"/>
    <w:rsid w:val="00CB19E4"/>
    <w:rsid w:val="00CB216A"/>
    <w:rsid w:val="00CB37BA"/>
    <w:rsid w:val="00CB4E32"/>
    <w:rsid w:val="00CB5FBD"/>
    <w:rsid w:val="00CB6427"/>
    <w:rsid w:val="00CC0FBE"/>
    <w:rsid w:val="00CC19A4"/>
    <w:rsid w:val="00CD2119"/>
    <w:rsid w:val="00CD237A"/>
    <w:rsid w:val="00CD36AC"/>
    <w:rsid w:val="00CD3DA8"/>
    <w:rsid w:val="00CD4894"/>
    <w:rsid w:val="00CE0BBE"/>
    <w:rsid w:val="00CE13A3"/>
    <w:rsid w:val="00CE203E"/>
    <w:rsid w:val="00CE2959"/>
    <w:rsid w:val="00CE36BC"/>
    <w:rsid w:val="00CE555F"/>
    <w:rsid w:val="00CE6045"/>
    <w:rsid w:val="00CE70FF"/>
    <w:rsid w:val="00CE76E2"/>
    <w:rsid w:val="00CF0127"/>
    <w:rsid w:val="00CF0546"/>
    <w:rsid w:val="00CF1747"/>
    <w:rsid w:val="00CF60ED"/>
    <w:rsid w:val="00CF67B6"/>
    <w:rsid w:val="00CF791B"/>
    <w:rsid w:val="00D01963"/>
    <w:rsid w:val="00D02125"/>
    <w:rsid w:val="00D02AC4"/>
    <w:rsid w:val="00D043D3"/>
    <w:rsid w:val="00D05D74"/>
    <w:rsid w:val="00D0718C"/>
    <w:rsid w:val="00D0FDB0"/>
    <w:rsid w:val="00D11EF1"/>
    <w:rsid w:val="00D125DD"/>
    <w:rsid w:val="00D12DDA"/>
    <w:rsid w:val="00D1387F"/>
    <w:rsid w:val="00D13FE1"/>
    <w:rsid w:val="00D15BE1"/>
    <w:rsid w:val="00D2096D"/>
    <w:rsid w:val="00D20C59"/>
    <w:rsid w:val="00D21514"/>
    <w:rsid w:val="00D2266B"/>
    <w:rsid w:val="00D22CDB"/>
    <w:rsid w:val="00D23323"/>
    <w:rsid w:val="00D2392A"/>
    <w:rsid w:val="00D23C3D"/>
    <w:rsid w:val="00D24C04"/>
    <w:rsid w:val="00D25FFE"/>
    <w:rsid w:val="00D2717F"/>
    <w:rsid w:val="00D2760A"/>
    <w:rsid w:val="00D2797C"/>
    <w:rsid w:val="00D2799F"/>
    <w:rsid w:val="00D279A6"/>
    <w:rsid w:val="00D30B93"/>
    <w:rsid w:val="00D3404A"/>
    <w:rsid w:val="00D34DDA"/>
    <w:rsid w:val="00D35032"/>
    <w:rsid w:val="00D37D80"/>
    <w:rsid w:val="00D40465"/>
    <w:rsid w:val="00D40A85"/>
    <w:rsid w:val="00D40EAE"/>
    <w:rsid w:val="00D4133B"/>
    <w:rsid w:val="00D41CED"/>
    <w:rsid w:val="00D4476F"/>
    <w:rsid w:val="00D46A41"/>
    <w:rsid w:val="00D47335"/>
    <w:rsid w:val="00D50213"/>
    <w:rsid w:val="00D50573"/>
    <w:rsid w:val="00D5227B"/>
    <w:rsid w:val="00D52530"/>
    <w:rsid w:val="00D54D50"/>
    <w:rsid w:val="00D560B4"/>
    <w:rsid w:val="00D562B5"/>
    <w:rsid w:val="00D57A6B"/>
    <w:rsid w:val="00D62155"/>
    <w:rsid w:val="00D62177"/>
    <w:rsid w:val="00D662F8"/>
    <w:rsid w:val="00D66797"/>
    <w:rsid w:val="00D67728"/>
    <w:rsid w:val="00D7027E"/>
    <w:rsid w:val="00D7074B"/>
    <w:rsid w:val="00D7087C"/>
    <w:rsid w:val="00D70C3C"/>
    <w:rsid w:val="00D71DF7"/>
    <w:rsid w:val="00D72BE5"/>
    <w:rsid w:val="00D77572"/>
    <w:rsid w:val="00D804B0"/>
    <w:rsid w:val="00D80AE3"/>
    <w:rsid w:val="00D81462"/>
    <w:rsid w:val="00D81698"/>
    <w:rsid w:val="00D82F26"/>
    <w:rsid w:val="00D832AB"/>
    <w:rsid w:val="00D863D0"/>
    <w:rsid w:val="00D86B00"/>
    <w:rsid w:val="00D86D22"/>
    <w:rsid w:val="00D86FB9"/>
    <w:rsid w:val="00D87917"/>
    <w:rsid w:val="00D87C87"/>
    <w:rsid w:val="00D90BB4"/>
    <w:rsid w:val="00D90E07"/>
    <w:rsid w:val="00D91F1B"/>
    <w:rsid w:val="00D932C2"/>
    <w:rsid w:val="00D9666C"/>
    <w:rsid w:val="00D97405"/>
    <w:rsid w:val="00DA01B8"/>
    <w:rsid w:val="00DB1201"/>
    <w:rsid w:val="00DB38B1"/>
    <w:rsid w:val="00DB39CF"/>
    <w:rsid w:val="00DB4D4C"/>
    <w:rsid w:val="00DB6594"/>
    <w:rsid w:val="00DB6AA2"/>
    <w:rsid w:val="00DB6ECE"/>
    <w:rsid w:val="00DB7256"/>
    <w:rsid w:val="00DC0401"/>
    <w:rsid w:val="00DC1BCE"/>
    <w:rsid w:val="00DC2094"/>
    <w:rsid w:val="00DC20BD"/>
    <w:rsid w:val="00DD0BCD"/>
    <w:rsid w:val="00DD18AB"/>
    <w:rsid w:val="00DD1F70"/>
    <w:rsid w:val="00DD2B16"/>
    <w:rsid w:val="00DD3E7C"/>
    <w:rsid w:val="00DD447A"/>
    <w:rsid w:val="00DD6351"/>
    <w:rsid w:val="00DE3B20"/>
    <w:rsid w:val="00DE484C"/>
    <w:rsid w:val="00DE6C94"/>
    <w:rsid w:val="00DE6FD7"/>
    <w:rsid w:val="00DF1B85"/>
    <w:rsid w:val="00DF49EE"/>
    <w:rsid w:val="00DF4EED"/>
    <w:rsid w:val="00DF6AEB"/>
    <w:rsid w:val="00DF7BE3"/>
    <w:rsid w:val="00E00D98"/>
    <w:rsid w:val="00E02DAE"/>
    <w:rsid w:val="00E05839"/>
    <w:rsid w:val="00E06473"/>
    <w:rsid w:val="00E11253"/>
    <w:rsid w:val="00E16094"/>
    <w:rsid w:val="00E16B12"/>
    <w:rsid w:val="00E2035E"/>
    <w:rsid w:val="00E21B21"/>
    <w:rsid w:val="00E23271"/>
    <w:rsid w:val="00E24F80"/>
    <w:rsid w:val="00E25218"/>
    <w:rsid w:val="00E25269"/>
    <w:rsid w:val="00E259F3"/>
    <w:rsid w:val="00E269D9"/>
    <w:rsid w:val="00E3094D"/>
    <w:rsid w:val="00E30985"/>
    <w:rsid w:val="00E32484"/>
    <w:rsid w:val="00E33238"/>
    <w:rsid w:val="00E33706"/>
    <w:rsid w:val="00E35CD4"/>
    <w:rsid w:val="00E37388"/>
    <w:rsid w:val="00E37471"/>
    <w:rsid w:val="00E376B7"/>
    <w:rsid w:val="00E37AAB"/>
    <w:rsid w:val="00E405BF"/>
    <w:rsid w:val="00E42B4F"/>
    <w:rsid w:val="00E42F5D"/>
    <w:rsid w:val="00E4486C"/>
    <w:rsid w:val="00E460B6"/>
    <w:rsid w:val="00E46A8E"/>
    <w:rsid w:val="00E511D5"/>
    <w:rsid w:val="00E5139E"/>
    <w:rsid w:val="00E53A9F"/>
    <w:rsid w:val="00E60249"/>
    <w:rsid w:val="00E647F1"/>
    <w:rsid w:val="00E65269"/>
    <w:rsid w:val="00E67E90"/>
    <w:rsid w:val="00E737BA"/>
    <w:rsid w:val="00E76D66"/>
    <w:rsid w:val="00E772C9"/>
    <w:rsid w:val="00E8340B"/>
    <w:rsid w:val="00E8564E"/>
    <w:rsid w:val="00E86F3A"/>
    <w:rsid w:val="00E873F4"/>
    <w:rsid w:val="00E87DE5"/>
    <w:rsid w:val="00E90498"/>
    <w:rsid w:val="00E93782"/>
    <w:rsid w:val="00E9493E"/>
    <w:rsid w:val="00E97BB0"/>
    <w:rsid w:val="00EA508F"/>
    <w:rsid w:val="00EA608C"/>
    <w:rsid w:val="00EA65BA"/>
    <w:rsid w:val="00EA796A"/>
    <w:rsid w:val="00EB0D38"/>
    <w:rsid w:val="00EB1856"/>
    <w:rsid w:val="00EB2433"/>
    <w:rsid w:val="00EB2B13"/>
    <w:rsid w:val="00EB7BFD"/>
    <w:rsid w:val="00EC01FA"/>
    <w:rsid w:val="00EC1EFC"/>
    <w:rsid w:val="00EC4066"/>
    <w:rsid w:val="00EC4C6F"/>
    <w:rsid w:val="00EC50CE"/>
    <w:rsid w:val="00EC5B34"/>
    <w:rsid w:val="00EC6002"/>
    <w:rsid w:val="00ED021E"/>
    <w:rsid w:val="00ED323C"/>
    <w:rsid w:val="00ED3B92"/>
    <w:rsid w:val="00ED5A52"/>
    <w:rsid w:val="00ED7316"/>
    <w:rsid w:val="00EE1FD7"/>
    <w:rsid w:val="00EE2D5C"/>
    <w:rsid w:val="00EE3D3C"/>
    <w:rsid w:val="00EE4ADE"/>
    <w:rsid w:val="00EE4DD2"/>
    <w:rsid w:val="00EE4DE8"/>
    <w:rsid w:val="00EE5391"/>
    <w:rsid w:val="00EE5C3E"/>
    <w:rsid w:val="00EE5CB7"/>
    <w:rsid w:val="00EE6FDB"/>
    <w:rsid w:val="00EE77D3"/>
    <w:rsid w:val="00EE7CFC"/>
    <w:rsid w:val="00EF7029"/>
    <w:rsid w:val="00F01736"/>
    <w:rsid w:val="00F0177C"/>
    <w:rsid w:val="00F024FE"/>
    <w:rsid w:val="00F05AD4"/>
    <w:rsid w:val="00F10EB6"/>
    <w:rsid w:val="00F11333"/>
    <w:rsid w:val="00F119D1"/>
    <w:rsid w:val="00F12A4D"/>
    <w:rsid w:val="00F13B08"/>
    <w:rsid w:val="00F13F07"/>
    <w:rsid w:val="00F140B2"/>
    <w:rsid w:val="00F17838"/>
    <w:rsid w:val="00F21430"/>
    <w:rsid w:val="00F2419F"/>
    <w:rsid w:val="00F25970"/>
    <w:rsid w:val="00F27841"/>
    <w:rsid w:val="00F311A9"/>
    <w:rsid w:val="00F32A53"/>
    <w:rsid w:val="00F33576"/>
    <w:rsid w:val="00F33A2C"/>
    <w:rsid w:val="00F34AE6"/>
    <w:rsid w:val="00F35A8A"/>
    <w:rsid w:val="00F40B00"/>
    <w:rsid w:val="00F421FB"/>
    <w:rsid w:val="00F42244"/>
    <w:rsid w:val="00F440FF"/>
    <w:rsid w:val="00F451D7"/>
    <w:rsid w:val="00F463F2"/>
    <w:rsid w:val="00F4698A"/>
    <w:rsid w:val="00F5180D"/>
    <w:rsid w:val="00F51CFD"/>
    <w:rsid w:val="00F52A27"/>
    <w:rsid w:val="00F559DF"/>
    <w:rsid w:val="00F57141"/>
    <w:rsid w:val="00F61151"/>
    <w:rsid w:val="00F616C5"/>
    <w:rsid w:val="00F63781"/>
    <w:rsid w:val="00F6698C"/>
    <w:rsid w:val="00F67496"/>
    <w:rsid w:val="00F67DF6"/>
    <w:rsid w:val="00F76B9C"/>
    <w:rsid w:val="00F77F73"/>
    <w:rsid w:val="00F801BA"/>
    <w:rsid w:val="00F83933"/>
    <w:rsid w:val="00F86831"/>
    <w:rsid w:val="00F902A4"/>
    <w:rsid w:val="00F9366A"/>
    <w:rsid w:val="00F946C9"/>
    <w:rsid w:val="00FA0BA2"/>
    <w:rsid w:val="00FA0D92"/>
    <w:rsid w:val="00FA0EA5"/>
    <w:rsid w:val="00FA74EE"/>
    <w:rsid w:val="00FA7973"/>
    <w:rsid w:val="00FB1099"/>
    <w:rsid w:val="00FB1FB8"/>
    <w:rsid w:val="00FB28BA"/>
    <w:rsid w:val="00FB4E6A"/>
    <w:rsid w:val="00FB62BF"/>
    <w:rsid w:val="00FC1EF8"/>
    <w:rsid w:val="00FC3711"/>
    <w:rsid w:val="00FC46E7"/>
    <w:rsid w:val="00FC5B16"/>
    <w:rsid w:val="00FC5D25"/>
    <w:rsid w:val="00FC7829"/>
    <w:rsid w:val="00FD0A69"/>
    <w:rsid w:val="00FD0D7E"/>
    <w:rsid w:val="00FD1A6F"/>
    <w:rsid w:val="00FD3BCA"/>
    <w:rsid w:val="00FD4FFB"/>
    <w:rsid w:val="00FD62FB"/>
    <w:rsid w:val="00FD72DD"/>
    <w:rsid w:val="00FD7E12"/>
    <w:rsid w:val="00FE6171"/>
    <w:rsid w:val="00FE6E13"/>
    <w:rsid w:val="00FE7E70"/>
    <w:rsid w:val="00FE7FB6"/>
    <w:rsid w:val="00FF1226"/>
    <w:rsid w:val="00FF15F6"/>
    <w:rsid w:val="00FF527C"/>
    <w:rsid w:val="00FF65CD"/>
    <w:rsid w:val="01487EDE"/>
    <w:rsid w:val="014B2B94"/>
    <w:rsid w:val="01C9FB59"/>
    <w:rsid w:val="02650A59"/>
    <w:rsid w:val="026FF37F"/>
    <w:rsid w:val="028D75CB"/>
    <w:rsid w:val="030FBC54"/>
    <w:rsid w:val="03636E4D"/>
    <w:rsid w:val="0399A73E"/>
    <w:rsid w:val="0403F52B"/>
    <w:rsid w:val="0418DEC1"/>
    <w:rsid w:val="04225B9F"/>
    <w:rsid w:val="04517EDF"/>
    <w:rsid w:val="045BC70B"/>
    <w:rsid w:val="045C13F4"/>
    <w:rsid w:val="04881488"/>
    <w:rsid w:val="048B9D5D"/>
    <w:rsid w:val="0494C84D"/>
    <w:rsid w:val="04EAEB87"/>
    <w:rsid w:val="052CCBA1"/>
    <w:rsid w:val="056BBBEC"/>
    <w:rsid w:val="05AD9A42"/>
    <w:rsid w:val="05BF8954"/>
    <w:rsid w:val="05D2B384"/>
    <w:rsid w:val="05E0D4B0"/>
    <w:rsid w:val="06997B18"/>
    <w:rsid w:val="069A499E"/>
    <w:rsid w:val="06BACE8C"/>
    <w:rsid w:val="074F023A"/>
    <w:rsid w:val="07930D49"/>
    <w:rsid w:val="07BC3C50"/>
    <w:rsid w:val="08083D83"/>
    <w:rsid w:val="0858E8E7"/>
    <w:rsid w:val="08871CD1"/>
    <w:rsid w:val="089380AB"/>
    <w:rsid w:val="093461A9"/>
    <w:rsid w:val="09875D26"/>
    <w:rsid w:val="099FC275"/>
    <w:rsid w:val="09D1B563"/>
    <w:rsid w:val="0AA20878"/>
    <w:rsid w:val="0ADD41B1"/>
    <w:rsid w:val="0B19E835"/>
    <w:rsid w:val="0B63D93F"/>
    <w:rsid w:val="0B791A3F"/>
    <w:rsid w:val="0B9CD181"/>
    <w:rsid w:val="0BF3CC08"/>
    <w:rsid w:val="0C40D79B"/>
    <w:rsid w:val="0C778CA2"/>
    <w:rsid w:val="0CD56831"/>
    <w:rsid w:val="0CFDAFE9"/>
    <w:rsid w:val="0D5D9A93"/>
    <w:rsid w:val="0E55C7F5"/>
    <w:rsid w:val="0E67E62A"/>
    <w:rsid w:val="0E8D2591"/>
    <w:rsid w:val="0F098632"/>
    <w:rsid w:val="0FEF67F8"/>
    <w:rsid w:val="0FF2CE29"/>
    <w:rsid w:val="1076DC61"/>
    <w:rsid w:val="107A071E"/>
    <w:rsid w:val="108C2735"/>
    <w:rsid w:val="1104493B"/>
    <w:rsid w:val="11364A63"/>
    <w:rsid w:val="11631AFE"/>
    <w:rsid w:val="117E47AF"/>
    <w:rsid w:val="119B70CD"/>
    <w:rsid w:val="11D714FD"/>
    <w:rsid w:val="1257220E"/>
    <w:rsid w:val="12B0623A"/>
    <w:rsid w:val="12C2ED45"/>
    <w:rsid w:val="12D4E5D9"/>
    <w:rsid w:val="12D738E5"/>
    <w:rsid w:val="13468235"/>
    <w:rsid w:val="134F419A"/>
    <w:rsid w:val="13737114"/>
    <w:rsid w:val="13947E1D"/>
    <w:rsid w:val="13C56EB0"/>
    <w:rsid w:val="13F81FBF"/>
    <w:rsid w:val="14420387"/>
    <w:rsid w:val="1454741A"/>
    <w:rsid w:val="147B0918"/>
    <w:rsid w:val="14BE5A61"/>
    <w:rsid w:val="14DD10AE"/>
    <w:rsid w:val="1533AE58"/>
    <w:rsid w:val="154F2BFD"/>
    <w:rsid w:val="155C7205"/>
    <w:rsid w:val="1633C964"/>
    <w:rsid w:val="17049187"/>
    <w:rsid w:val="171DA288"/>
    <w:rsid w:val="179682D4"/>
    <w:rsid w:val="17A06B79"/>
    <w:rsid w:val="17EAD1C9"/>
    <w:rsid w:val="1827DF11"/>
    <w:rsid w:val="1912589F"/>
    <w:rsid w:val="193D6A72"/>
    <w:rsid w:val="195907A0"/>
    <w:rsid w:val="19704410"/>
    <w:rsid w:val="19B05095"/>
    <w:rsid w:val="1A0C1D53"/>
    <w:rsid w:val="1A469DD1"/>
    <w:rsid w:val="1A486D61"/>
    <w:rsid w:val="1ABA9C21"/>
    <w:rsid w:val="1AEB3F93"/>
    <w:rsid w:val="1AEBB5C0"/>
    <w:rsid w:val="1B0F3E46"/>
    <w:rsid w:val="1B2E6589"/>
    <w:rsid w:val="1B89EE53"/>
    <w:rsid w:val="1BF241F7"/>
    <w:rsid w:val="1CC8AF24"/>
    <w:rsid w:val="1CD4C2FF"/>
    <w:rsid w:val="1CDD3811"/>
    <w:rsid w:val="1D3FE96F"/>
    <w:rsid w:val="1D6317B0"/>
    <w:rsid w:val="1D7F1E23"/>
    <w:rsid w:val="1DC1F9DC"/>
    <w:rsid w:val="1DEF505F"/>
    <w:rsid w:val="1E646A94"/>
    <w:rsid w:val="1E9B5D5A"/>
    <w:rsid w:val="1EE6661B"/>
    <w:rsid w:val="1F09CF9D"/>
    <w:rsid w:val="1F9D27A2"/>
    <w:rsid w:val="1FAA9D0E"/>
    <w:rsid w:val="1FEB7548"/>
    <w:rsid w:val="203DF160"/>
    <w:rsid w:val="204F86EA"/>
    <w:rsid w:val="20A66A98"/>
    <w:rsid w:val="20B59920"/>
    <w:rsid w:val="20B97714"/>
    <w:rsid w:val="20D17EE6"/>
    <w:rsid w:val="21029C6D"/>
    <w:rsid w:val="21620BF1"/>
    <w:rsid w:val="21677DEA"/>
    <w:rsid w:val="21682B20"/>
    <w:rsid w:val="21D28422"/>
    <w:rsid w:val="21D68BC7"/>
    <w:rsid w:val="2241FABD"/>
    <w:rsid w:val="2265FAF6"/>
    <w:rsid w:val="2279B118"/>
    <w:rsid w:val="228E03D1"/>
    <w:rsid w:val="22CFAE32"/>
    <w:rsid w:val="22D47D94"/>
    <w:rsid w:val="23901125"/>
    <w:rsid w:val="242EAE9C"/>
    <w:rsid w:val="244FCE54"/>
    <w:rsid w:val="24C55891"/>
    <w:rsid w:val="25870797"/>
    <w:rsid w:val="25A68CB9"/>
    <w:rsid w:val="25CB00D3"/>
    <w:rsid w:val="263CACF0"/>
    <w:rsid w:val="26401E61"/>
    <w:rsid w:val="26BDA74F"/>
    <w:rsid w:val="26D8F748"/>
    <w:rsid w:val="272E4A5C"/>
    <w:rsid w:val="276033B5"/>
    <w:rsid w:val="2770AF6D"/>
    <w:rsid w:val="27819F23"/>
    <w:rsid w:val="27BAC4BC"/>
    <w:rsid w:val="27D7BDAA"/>
    <w:rsid w:val="2828FAD5"/>
    <w:rsid w:val="2893F7CA"/>
    <w:rsid w:val="28CA0DF4"/>
    <w:rsid w:val="28EA7E3F"/>
    <w:rsid w:val="28F4973E"/>
    <w:rsid w:val="2998BDC2"/>
    <w:rsid w:val="29C24F24"/>
    <w:rsid w:val="2A33A982"/>
    <w:rsid w:val="2A4DD0BB"/>
    <w:rsid w:val="2A7BC777"/>
    <w:rsid w:val="2AD95B2C"/>
    <w:rsid w:val="2AFC2A03"/>
    <w:rsid w:val="2B6EF409"/>
    <w:rsid w:val="2BE10FAC"/>
    <w:rsid w:val="2C6B2DE8"/>
    <w:rsid w:val="2C91A5A8"/>
    <w:rsid w:val="2CA254E0"/>
    <w:rsid w:val="2CADB8D5"/>
    <w:rsid w:val="2CC9E458"/>
    <w:rsid w:val="2CE40391"/>
    <w:rsid w:val="2E0C3C56"/>
    <w:rsid w:val="2E84290D"/>
    <w:rsid w:val="2F171A38"/>
    <w:rsid w:val="2F50FBC8"/>
    <w:rsid w:val="2F7F972A"/>
    <w:rsid w:val="2F994879"/>
    <w:rsid w:val="30B1CA2A"/>
    <w:rsid w:val="30C3531C"/>
    <w:rsid w:val="3124E18B"/>
    <w:rsid w:val="31979569"/>
    <w:rsid w:val="31980BC8"/>
    <w:rsid w:val="31AD26AA"/>
    <w:rsid w:val="31B605DA"/>
    <w:rsid w:val="31CF8CC4"/>
    <w:rsid w:val="32C3E5C0"/>
    <w:rsid w:val="3302C180"/>
    <w:rsid w:val="3331445F"/>
    <w:rsid w:val="336A5023"/>
    <w:rsid w:val="336ABFE8"/>
    <w:rsid w:val="3370B24C"/>
    <w:rsid w:val="33CB37D8"/>
    <w:rsid w:val="33EE9CFE"/>
    <w:rsid w:val="34050ACF"/>
    <w:rsid w:val="3440CA71"/>
    <w:rsid w:val="34F5A2DD"/>
    <w:rsid w:val="352C3A19"/>
    <w:rsid w:val="3549720B"/>
    <w:rsid w:val="35E14BFB"/>
    <w:rsid w:val="35F7D29B"/>
    <w:rsid w:val="361A0E9D"/>
    <w:rsid w:val="364B17B8"/>
    <w:rsid w:val="364B79E0"/>
    <w:rsid w:val="36518BEB"/>
    <w:rsid w:val="36621D0C"/>
    <w:rsid w:val="377255C1"/>
    <w:rsid w:val="385F25F2"/>
    <w:rsid w:val="389AC5F6"/>
    <w:rsid w:val="38AFD984"/>
    <w:rsid w:val="38D7296A"/>
    <w:rsid w:val="3961457B"/>
    <w:rsid w:val="39A960EE"/>
    <w:rsid w:val="39AADBE8"/>
    <w:rsid w:val="39E5E2DB"/>
    <w:rsid w:val="3AA1007C"/>
    <w:rsid w:val="3B41E570"/>
    <w:rsid w:val="3B7CF67B"/>
    <w:rsid w:val="3B82B4B9"/>
    <w:rsid w:val="3B871D9C"/>
    <w:rsid w:val="3B91B711"/>
    <w:rsid w:val="3BBE3CD3"/>
    <w:rsid w:val="3BDBAA7F"/>
    <w:rsid w:val="3BDC6840"/>
    <w:rsid w:val="3BF7DDBE"/>
    <w:rsid w:val="3C143DD5"/>
    <w:rsid w:val="3C27FCED"/>
    <w:rsid w:val="3D519B2E"/>
    <w:rsid w:val="3D7850B9"/>
    <w:rsid w:val="3E1A0532"/>
    <w:rsid w:val="3E2BA7E8"/>
    <w:rsid w:val="3E7D6213"/>
    <w:rsid w:val="3EAECBFD"/>
    <w:rsid w:val="3F0B3071"/>
    <w:rsid w:val="3F2DC273"/>
    <w:rsid w:val="3F62BEC2"/>
    <w:rsid w:val="3F75B4F9"/>
    <w:rsid w:val="3F95F9B9"/>
    <w:rsid w:val="3FA183B2"/>
    <w:rsid w:val="3FD64CA7"/>
    <w:rsid w:val="40043528"/>
    <w:rsid w:val="40862BF1"/>
    <w:rsid w:val="40ED61AA"/>
    <w:rsid w:val="41185C12"/>
    <w:rsid w:val="417A3D84"/>
    <w:rsid w:val="418DA7C3"/>
    <w:rsid w:val="4208DFF5"/>
    <w:rsid w:val="4228FAF3"/>
    <w:rsid w:val="4242148F"/>
    <w:rsid w:val="428FA496"/>
    <w:rsid w:val="42959B51"/>
    <w:rsid w:val="43482303"/>
    <w:rsid w:val="437C3007"/>
    <w:rsid w:val="439D1AF2"/>
    <w:rsid w:val="43FAD8CE"/>
    <w:rsid w:val="43FFDA70"/>
    <w:rsid w:val="4419B0D3"/>
    <w:rsid w:val="44556C0A"/>
    <w:rsid w:val="446401E6"/>
    <w:rsid w:val="4638FBAA"/>
    <w:rsid w:val="468015B7"/>
    <w:rsid w:val="46A1CFBB"/>
    <w:rsid w:val="46BF657C"/>
    <w:rsid w:val="4734A168"/>
    <w:rsid w:val="47EE8B76"/>
    <w:rsid w:val="47FB25D4"/>
    <w:rsid w:val="48A80C26"/>
    <w:rsid w:val="48CF5684"/>
    <w:rsid w:val="48D600F6"/>
    <w:rsid w:val="48F1BC8E"/>
    <w:rsid w:val="497A8EA1"/>
    <w:rsid w:val="49D6183F"/>
    <w:rsid w:val="4A09428B"/>
    <w:rsid w:val="4A36681D"/>
    <w:rsid w:val="4A373F0F"/>
    <w:rsid w:val="4A5F504C"/>
    <w:rsid w:val="4A7AC370"/>
    <w:rsid w:val="4AE44277"/>
    <w:rsid w:val="4AEFCD45"/>
    <w:rsid w:val="4B08D497"/>
    <w:rsid w:val="4B13645E"/>
    <w:rsid w:val="4B5B53EC"/>
    <w:rsid w:val="4B61F13A"/>
    <w:rsid w:val="4BBA5392"/>
    <w:rsid w:val="4CD6D325"/>
    <w:rsid w:val="4E8DCBEA"/>
    <w:rsid w:val="4E90276D"/>
    <w:rsid w:val="4EBD8D8A"/>
    <w:rsid w:val="4F0B74C5"/>
    <w:rsid w:val="4F6483E3"/>
    <w:rsid w:val="501C8BC4"/>
    <w:rsid w:val="50A7A2EA"/>
    <w:rsid w:val="50BC57DA"/>
    <w:rsid w:val="50E23A32"/>
    <w:rsid w:val="513459E4"/>
    <w:rsid w:val="51648F1D"/>
    <w:rsid w:val="519EC232"/>
    <w:rsid w:val="51A29F3B"/>
    <w:rsid w:val="51B55297"/>
    <w:rsid w:val="51BA216F"/>
    <w:rsid w:val="525CDD88"/>
    <w:rsid w:val="527F2FA9"/>
    <w:rsid w:val="52BAC172"/>
    <w:rsid w:val="5305161E"/>
    <w:rsid w:val="534601B8"/>
    <w:rsid w:val="540440B3"/>
    <w:rsid w:val="54408534"/>
    <w:rsid w:val="54F62129"/>
    <w:rsid w:val="551D0AF4"/>
    <w:rsid w:val="553429CB"/>
    <w:rsid w:val="55498613"/>
    <w:rsid w:val="555022AB"/>
    <w:rsid w:val="556DFF18"/>
    <w:rsid w:val="558F3DA1"/>
    <w:rsid w:val="5598B602"/>
    <w:rsid w:val="55F5DD46"/>
    <w:rsid w:val="56264868"/>
    <w:rsid w:val="562D7FC8"/>
    <w:rsid w:val="56607FB6"/>
    <w:rsid w:val="5678A0D4"/>
    <w:rsid w:val="5691801B"/>
    <w:rsid w:val="56D0A205"/>
    <w:rsid w:val="5716CC11"/>
    <w:rsid w:val="5785D57F"/>
    <w:rsid w:val="57916367"/>
    <w:rsid w:val="57C5D949"/>
    <w:rsid w:val="58322DF3"/>
    <w:rsid w:val="58555928"/>
    <w:rsid w:val="58957E33"/>
    <w:rsid w:val="593F94EF"/>
    <w:rsid w:val="595441B7"/>
    <w:rsid w:val="59F418DA"/>
    <w:rsid w:val="5AC63019"/>
    <w:rsid w:val="5B150A8A"/>
    <w:rsid w:val="5B21879A"/>
    <w:rsid w:val="5B6318B5"/>
    <w:rsid w:val="5B6EA4C7"/>
    <w:rsid w:val="5C595888"/>
    <w:rsid w:val="5C5D09B9"/>
    <w:rsid w:val="5C9C6491"/>
    <w:rsid w:val="5CC38A3B"/>
    <w:rsid w:val="5CF21609"/>
    <w:rsid w:val="5CFB6032"/>
    <w:rsid w:val="5D5348D0"/>
    <w:rsid w:val="5D767F94"/>
    <w:rsid w:val="5E1B510F"/>
    <w:rsid w:val="5F763155"/>
    <w:rsid w:val="5F76530E"/>
    <w:rsid w:val="5F9FEA78"/>
    <w:rsid w:val="5FBBDDAC"/>
    <w:rsid w:val="5FBD0258"/>
    <w:rsid w:val="5FC0F173"/>
    <w:rsid w:val="5FD5BD77"/>
    <w:rsid w:val="5FF0BB40"/>
    <w:rsid w:val="6007797A"/>
    <w:rsid w:val="60257F88"/>
    <w:rsid w:val="6030F961"/>
    <w:rsid w:val="607FAED2"/>
    <w:rsid w:val="6087AD34"/>
    <w:rsid w:val="61355FB8"/>
    <w:rsid w:val="6144E3CF"/>
    <w:rsid w:val="617716D0"/>
    <w:rsid w:val="61DAEBAE"/>
    <w:rsid w:val="62BC735F"/>
    <w:rsid w:val="62C9E548"/>
    <w:rsid w:val="62D78A0F"/>
    <w:rsid w:val="632FD7E7"/>
    <w:rsid w:val="63591A32"/>
    <w:rsid w:val="63888871"/>
    <w:rsid w:val="63AA7521"/>
    <w:rsid w:val="641B7A04"/>
    <w:rsid w:val="6432BD99"/>
    <w:rsid w:val="64CF8926"/>
    <w:rsid w:val="64F1E838"/>
    <w:rsid w:val="6523AB55"/>
    <w:rsid w:val="665148FB"/>
    <w:rsid w:val="6716639C"/>
    <w:rsid w:val="676B3DC8"/>
    <w:rsid w:val="677290BE"/>
    <w:rsid w:val="677F9B73"/>
    <w:rsid w:val="67E51A29"/>
    <w:rsid w:val="682D388E"/>
    <w:rsid w:val="68EAE900"/>
    <w:rsid w:val="69AF8789"/>
    <w:rsid w:val="69B0864A"/>
    <w:rsid w:val="69ECBEC1"/>
    <w:rsid w:val="6A2A2538"/>
    <w:rsid w:val="6A570460"/>
    <w:rsid w:val="6A98F514"/>
    <w:rsid w:val="6AC1B25A"/>
    <w:rsid w:val="6AD12EE3"/>
    <w:rsid w:val="6B3127FD"/>
    <w:rsid w:val="6BCA6591"/>
    <w:rsid w:val="6CA2F6A5"/>
    <w:rsid w:val="6CC8F1DD"/>
    <w:rsid w:val="6CE4C088"/>
    <w:rsid w:val="6DD3F0E4"/>
    <w:rsid w:val="6DE03594"/>
    <w:rsid w:val="6E77AA18"/>
    <w:rsid w:val="6EAAB81A"/>
    <w:rsid w:val="6EB61F43"/>
    <w:rsid w:val="6EBC0A57"/>
    <w:rsid w:val="6EF257DB"/>
    <w:rsid w:val="6F09405E"/>
    <w:rsid w:val="6F1AD439"/>
    <w:rsid w:val="6F4252CA"/>
    <w:rsid w:val="6F986803"/>
    <w:rsid w:val="6FA5C0B7"/>
    <w:rsid w:val="6FBB2BE6"/>
    <w:rsid w:val="70303A0A"/>
    <w:rsid w:val="70A48262"/>
    <w:rsid w:val="72038AA0"/>
    <w:rsid w:val="72680F46"/>
    <w:rsid w:val="7278B081"/>
    <w:rsid w:val="72963F23"/>
    <w:rsid w:val="72BC64F2"/>
    <w:rsid w:val="731E183D"/>
    <w:rsid w:val="732FF136"/>
    <w:rsid w:val="734E7120"/>
    <w:rsid w:val="737AB206"/>
    <w:rsid w:val="73AEB4A6"/>
    <w:rsid w:val="73B1A175"/>
    <w:rsid w:val="73F4A655"/>
    <w:rsid w:val="74032D4D"/>
    <w:rsid w:val="740ACC4E"/>
    <w:rsid w:val="7497B356"/>
    <w:rsid w:val="74984A72"/>
    <w:rsid w:val="74C75543"/>
    <w:rsid w:val="7552BFAE"/>
    <w:rsid w:val="756F7306"/>
    <w:rsid w:val="7588548D"/>
    <w:rsid w:val="759AD5C0"/>
    <w:rsid w:val="75B8B9D1"/>
    <w:rsid w:val="76726AAC"/>
    <w:rsid w:val="7715CB01"/>
    <w:rsid w:val="7752EEF1"/>
    <w:rsid w:val="77FB2D43"/>
    <w:rsid w:val="78766C77"/>
    <w:rsid w:val="78884D71"/>
    <w:rsid w:val="790129DE"/>
    <w:rsid w:val="792B091D"/>
    <w:rsid w:val="79FAADFA"/>
    <w:rsid w:val="79FD3951"/>
    <w:rsid w:val="7A344B0D"/>
    <w:rsid w:val="7ADEAAE9"/>
    <w:rsid w:val="7ADFC935"/>
    <w:rsid w:val="7CC794D4"/>
    <w:rsid w:val="7DC15A2F"/>
    <w:rsid w:val="7DC9BC4D"/>
    <w:rsid w:val="7DFAB444"/>
    <w:rsid w:val="7E0E796F"/>
    <w:rsid w:val="7E0EB2E1"/>
    <w:rsid w:val="7E647868"/>
    <w:rsid w:val="7EBBDE70"/>
    <w:rsid w:val="7EE42707"/>
    <w:rsid w:val="7EF97C9A"/>
    <w:rsid w:val="7F63FF60"/>
    <w:rsid w:val="7F73B4E0"/>
    <w:rsid w:val="7F7952FC"/>
    <w:rsid w:val="7F898037"/>
    <w:rsid w:val="7FE8E9B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274099BA-A905-4205-8C9E-94F63646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character" w:styleId="UnresolvedMention">
    <w:name w:val="Unresolved Mention"/>
    <w:basedOn w:val="DefaultParagraphFont"/>
    <w:uiPriority w:val="99"/>
    <w:semiHidden/>
    <w:unhideWhenUsed/>
    <w:rsid w:val="00704523"/>
    <w:rPr>
      <w:color w:val="605E5C"/>
      <w:shd w:val="clear" w:color="auto" w:fill="E1DFDD"/>
    </w:rPr>
  </w:style>
  <w:style w:type="paragraph" w:styleId="CommentText">
    <w:name w:val="annotation text"/>
    <w:basedOn w:val="Normal"/>
    <w:link w:val="CommentTextChar"/>
    <w:uiPriority w:val="99"/>
    <w:unhideWhenUsed/>
    <w:rsid w:val="007D6B67"/>
    <w:rPr>
      <w:sz w:val="20"/>
    </w:rPr>
  </w:style>
  <w:style w:type="character" w:customStyle="1" w:styleId="CommentTextChar">
    <w:name w:val="Comment Text Char"/>
    <w:basedOn w:val="DefaultParagraphFont"/>
    <w:link w:val="CommentText"/>
    <w:uiPriority w:val="99"/>
    <w:rsid w:val="007D6B67"/>
    <w:rPr>
      <w:rFonts w:ascii="Segoe UI" w:hAnsi="Segoe UI"/>
      <w:lang w:eastAsia="en-GB"/>
    </w:rPr>
  </w:style>
  <w:style w:type="character" w:styleId="CommentReference">
    <w:name w:val="annotation reference"/>
    <w:basedOn w:val="DefaultParagraphFont"/>
    <w:uiPriority w:val="99"/>
    <w:semiHidden/>
    <w:unhideWhenUsed/>
    <w:rsid w:val="007D6B67"/>
    <w:rPr>
      <w:sz w:val="16"/>
      <w:szCs w:val="16"/>
    </w:rPr>
  </w:style>
  <w:style w:type="paragraph" w:styleId="CommentSubject">
    <w:name w:val="annotation subject"/>
    <w:basedOn w:val="CommentText"/>
    <w:next w:val="CommentText"/>
    <w:link w:val="CommentSubjectChar"/>
    <w:uiPriority w:val="99"/>
    <w:semiHidden/>
    <w:unhideWhenUsed/>
    <w:rsid w:val="00C02AA7"/>
    <w:rPr>
      <w:b/>
      <w:bCs/>
    </w:rPr>
  </w:style>
  <w:style w:type="character" w:customStyle="1" w:styleId="CommentSubjectChar">
    <w:name w:val="Comment Subject Char"/>
    <w:basedOn w:val="CommentTextChar"/>
    <w:link w:val="CommentSubject"/>
    <w:uiPriority w:val="99"/>
    <w:semiHidden/>
    <w:rsid w:val="00C02AA7"/>
    <w:rPr>
      <w:rFonts w:ascii="Segoe UI" w:hAnsi="Segoe UI"/>
      <w:b/>
      <w:bCs/>
      <w:lang w:eastAsia="en-GB"/>
    </w:rPr>
  </w:style>
  <w:style w:type="paragraph" w:styleId="ListParagraph">
    <w:name w:val="List Paragraph"/>
    <w:basedOn w:val="Normal"/>
    <w:uiPriority w:val="34"/>
    <w:qFormat/>
    <w:rsid w:val="003676CE"/>
    <w:pPr>
      <w:ind w:left="720"/>
      <w:contextualSpacing/>
    </w:pPr>
  </w:style>
  <w:style w:type="character" w:styleId="FollowedHyperlink">
    <w:name w:val="FollowedHyperlink"/>
    <w:basedOn w:val="DefaultParagraphFont"/>
    <w:uiPriority w:val="99"/>
    <w:semiHidden/>
    <w:unhideWhenUsed/>
    <w:rsid w:val="00505387"/>
    <w:rPr>
      <w:color w:val="800080" w:themeColor="followedHyperlink"/>
      <w:u w:val="single"/>
    </w:rPr>
  </w:style>
  <w:style w:type="character" w:styleId="Emphasis">
    <w:name w:val="Emphasis"/>
    <w:basedOn w:val="DefaultParagraphFont"/>
    <w:uiPriority w:val="20"/>
    <w:rsid w:val="00505387"/>
    <w:rPr>
      <w:i/>
      <w:iCs/>
    </w:rPr>
  </w:style>
  <w:style w:type="paragraph" w:customStyle="1" w:styleId="Shadedboxsubheading">
    <w:name w:val="Shaded box subheading"/>
    <w:basedOn w:val="Shadedboxtext"/>
    <w:qFormat/>
    <w:rsid w:val="00273CEF"/>
    <w:pPr>
      <w:spacing w:after="120"/>
    </w:pPr>
    <w:rPr>
      <w:b/>
      <w:bCs/>
    </w:rPr>
  </w:style>
  <w:style w:type="paragraph" w:customStyle="1" w:styleId="Shadedboxbullet">
    <w:name w:val="Shaded box bullet"/>
    <w:basedOn w:val="Shadedboxtext"/>
    <w:qFormat/>
    <w:rsid w:val="00273CEF"/>
    <w:pPr>
      <w:numPr>
        <w:numId w:val="6"/>
      </w:numPr>
    </w:pPr>
  </w:style>
  <w:style w:type="paragraph" w:customStyle="1" w:styleId="paragraph">
    <w:name w:val="paragraph"/>
    <w:basedOn w:val="Normal"/>
    <w:rsid w:val="00F11333"/>
    <w:pPr>
      <w:spacing w:before="100" w:beforeAutospacing="1" w:after="100" w:afterAutospacing="1"/>
    </w:pPr>
    <w:rPr>
      <w:rFonts w:ascii="Calibri" w:eastAsiaTheme="minorHAnsi" w:hAnsi="Calibri" w:cs="Calibri"/>
      <w:sz w:val="22"/>
      <w:szCs w:val="22"/>
      <w:lang w:eastAsia="en-NZ"/>
    </w:rPr>
  </w:style>
  <w:style w:type="character" w:customStyle="1" w:styleId="normaltextrun">
    <w:name w:val="normaltextrun"/>
    <w:basedOn w:val="DefaultParagraphFont"/>
    <w:rsid w:val="00F11333"/>
  </w:style>
  <w:style w:type="character" w:customStyle="1" w:styleId="eop">
    <w:name w:val="eop"/>
    <w:basedOn w:val="DefaultParagraphFont"/>
    <w:rsid w:val="00F11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91">
      <w:bodyDiv w:val="1"/>
      <w:marLeft w:val="0"/>
      <w:marRight w:val="0"/>
      <w:marTop w:val="0"/>
      <w:marBottom w:val="0"/>
      <w:divBdr>
        <w:top w:val="none" w:sz="0" w:space="0" w:color="auto"/>
        <w:left w:val="none" w:sz="0" w:space="0" w:color="auto"/>
        <w:bottom w:val="none" w:sz="0" w:space="0" w:color="auto"/>
        <w:right w:val="none" w:sz="0" w:space="0" w:color="auto"/>
      </w:divBdr>
    </w:div>
    <w:div w:id="664867851">
      <w:bodyDiv w:val="1"/>
      <w:marLeft w:val="0"/>
      <w:marRight w:val="0"/>
      <w:marTop w:val="0"/>
      <w:marBottom w:val="0"/>
      <w:divBdr>
        <w:top w:val="none" w:sz="0" w:space="0" w:color="auto"/>
        <w:left w:val="none" w:sz="0" w:space="0" w:color="auto"/>
        <w:bottom w:val="none" w:sz="0" w:space="0" w:color="auto"/>
        <w:right w:val="none" w:sz="0" w:space="0" w:color="auto"/>
      </w:divBdr>
    </w:div>
    <w:div w:id="720178434">
      <w:bodyDiv w:val="1"/>
      <w:marLeft w:val="0"/>
      <w:marRight w:val="0"/>
      <w:marTop w:val="0"/>
      <w:marBottom w:val="0"/>
      <w:divBdr>
        <w:top w:val="none" w:sz="0" w:space="0" w:color="auto"/>
        <w:left w:val="none" w:sz="0" w:space="0" w:color="auto"/>
        <w:bottom w:val="none" w:sz="0" w:space="0" w:color="auto"/>
        <w:right w:val="none" w:sz="0" w:space="0" w:color="auto"/>
      </w:divBdr>
    </w:div>
    <w:div w:id="746343242">
      <w:bodyDiv w:val="1"/>
      <w:marLeft w:val="0"/>
      <w:marRight w:val="0"/>
      <w:marTop w:val="0"/>
      <w:marBottom w:val="0"/>
      <w:divBdr>
        <w:top w:val="none" w:sz="0" w:space="0" w:color="auto"/>
        <w:left w:val="none" w:sz="0" w:space="0" w:color="auto"/>
        <w:bottom w:val="none" w:sz="0" w:space="0" w:color="auto"/>
        <w:right w:val="none" w:sz="0" w:space="0" w:color="auto"/>
      </w:divBdr>
    </w:div>
    <w:div w:id="812520857">
      <w:bodyDiv w:val="1"/>
      <w:marLeft w:val="0"/>
      <w:marRight w:val="0"/>
      <w:marTop w:val="0"/>
      <w:marBottom w:val="0"/>
      <w:divBdr>
        <w:top w:val="none" w:sz="0" w:space="0" w:color="auto"/>
        <w:left w:val="none" w:sz="0" w:space="0" w:color="auto"/>
        <w:bottom w:val="none" w:sz="0" w:space="0" w:color="auto"/>
        <w:right w:val="none" w:sz="0" w:space="0" w:color="auto"/>
      </w:divBdr>
    </w:div>
    <w:div w:id="1027296434">
      <w:bodyDiv w:val="1"/>
      <w:marLeft w:val="0"/>
      <w:marRight w:val="0"/>
      <w:marTop w:val="0"/>
      <w:marBottom w:val="0"/>
      <w:divBdr>
        <w:top w:val="none" w:sz="0" w:space="0" w:color="auto"/>
        <w:left w:val="none" w:sz="0" w:space="0" w:color="auto"/>
        <w:bottom w:val="none" w:sz="0" w:space="0" w:color="auto"/>
        <w:right w:val="none" w:sz="0" w:space="0" w:color="auto"/>
      </w:divBdr>
    </w:div>
    <w:div w:id="1132089436">
      <w:bodyDiv w:val="1"/>
      <w:marLeft w:val="0"/>
      <w:marRight w:val="0"/>
      <w:marTop w:val="0"/>
      <w:marBottom w:val="0"/>
      <w:divBdr>
        <w:top w:val="none" w:sz="0" w:space="0" w:color="auto"/>
        <w:left w:val="none" w:sz="0" w:space="0" w:color="auto"/>
        <w:bottom w:val="none" w:sz="0" w:space="0" w:color="auto"/>
        <w:right w:val="none" w:sz="0" w:space="0" w:color="auto"/>
      </w:divBdr>
    </w:div>
    <w:div w:id="208059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nice.org.uk/guidance/ng87" TargetMode="External"/><Relationship Id="rId3" Type="http://schemas.openxmlformats.org/officeDocument/2006/relationships/customXml" Target="../customXml/item3.xml"/><Relationship Id="rId21" Type="http://schemas.openxmlformats.org/officeDocument/2006/relationships/footer" Target="footer5.xm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minhealthnz.shinyapps.io/nz-health-survey-2023-24-annual-data-explor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07/s40273-020-00998-0"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doi.org/10.1016/j.jad.2023.07.071" TargetMode="External"/><Relationship Id="rId28" Type="http://schemas.openxmlformats.org/officeDocument/2006/relationships/hyperlink" Target="https://doi.org/10.7189/jogh.11.04009"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aadpa.com.au/guideline" TargetMode="External"/><Relationship Id="rId27" Type="http://schemas.openxmlformats.org/officeDocument/2006/relationships/hyperlink" Target="https://www.ranzcp.org/clinical-guidelines-publications/clinical-guidelines-publications-library/adhd-across-the-lifespan" TargetMode="Externa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documenttasks/documenttasks1.xml><?xml version="1.0" encoding="utf-8"?>
<t:Tasks xmlns:t="http://schemas.microsoft.com/office/tasks/2019/documenttasks" xmlns:oel="http://schemas.microsoft.com/office/2019/extlst">
  <t:Task id="{250C365D-B306-4AD4-83BD-A9F3D91D2857}">
    <t:Anchor>
      <t:Comment id="1127894743"/>
    </t:Anchor>
    <t:History>
      <t:Event id="{B834A194-9AEE-4803-8F0C-9D1D795E4394}" time="2025-09-21T23:58:29.694Z">
        <t:Attribution userId="S::jin.russell@health.govt.nz::2435ebfe-34ae-44e5-8a0a-ad8526bfaba3" userProvider="AD" userName="Jin Russell"/>
        <t:Anchor>
          <t:Comment id="2115665076"/>
        </t:Anchor>
        <t:Create/>
      </t:Event>
      <t:Event id="{FAE9A906-1EE8-4CC1-8D99-14A555438EDD}" time="2025-09-21T23:58:29.694Z">
        <t:Attribution userId="S::jin.russell@health.govt.nz::2435ebfe-34ae-44e5-8a0a-ad8526bfaba3" userProvider="AD" userName="Jin Russell"/>
        <t:Anchor>
          <t:Comment id="2115665076"/>
        </t:Anchor>
        <t:Assign userId="S::Kieran.Moorhead@health.govt.nz::eb9e9467-e087-43ef-9705-77409505429e" userProvider="AD" userName="Kieran Moorhead"/>
      </t:Event>
      <t:Event id="{8A1BACA7-5889-468E-B7D2-D7D10CA3F7C4}" time="2025-09-21T23:58:29.694Z">
        <t:Attribution userId="S::jin.russell@health.govt.nz::2435ebfe-34ae-44e5-8a0a-ad8526bfaba3" userProvider="AD" userName="Jin Russell"/>
        <t:Anchor>
          <t:Comment id="2115665076"/>
        </t:Anchor>
        <t:SetTitle title="@Kieran Moorhead hmm Kieran, could this be a hangover from a version number? Should it just read &quot;ADHD Child Evaluation (ACE)&quot;"/>
      </t:Event>
    </t:History>
  </t:Task>
  <t:Task id="{37F09725-D8F7-4DB1-863A-20D62EFC8482}">
    <t:Anchor>
      <t:Comment id="1347439594"/>
    </t:Anchor>
    <t:History>
      <t:Event id="{061A17CA-C573-4A0A-AD54-3426A6DD8CAE}" time="2025-09-21T23:47:46.618Z">
        <t:Attribution userId="S::jin.russell@health.govt.nz::2435ebfe-34ae-44e5-8a0a-ad8526bfaba3" userProvider="AD" userName="Jin Russell"/>
        <t:Anchor>
          <t:Comment id="365399489"/>
        </t:Anchor>
        <t:Create/>
      </t:Event>
      <t:Event id="{263F0114-526C-463E-98CD-00EB9A7DA1D9}" time="2025-09-21T23:47:46.618Z">
        <t:Attribution userId="S::jin.russell@health.govt.nz::2435ebfe-34ae-44e5-8a0a-ad8526bfaba3" userProvider="AD" userName="Jin Russell"/>
        <t:Anchor>
          <t:Comment id="365399489"/>
        </t:Anchor>
        <t:Assign userId="S::Kieran.Moorhead@health.govt.nz::eb9e9467-e087-43ef-9705-77409505429e" userProvider="AD" userName="Kieran Moorhead"/>
      </t:Event>
      <t:Event id="{F324FC55-7855-4309-9B5F-AC480B962519}" time="2025-09-21T23:47:46.618Z">
        <t:Attribution userId="S::jin.russell@health.govt.nz::2435ebfe-34ae-44e5-8a0a-ad8526bfaba3" userProvider="AD" userName="Jin Russell"/>
        <t:Anchor>
          <t:Comment id="365399489"/>
        </t:Anchor>
        <t:SetTitle title="@Kieran Moorhead we could include The NZ Psychologists' Board here?"/>
      </t:Event>
    </t:History>
  </t:Task>
  <t:Task id="{735309AF-A393-4BDE-A0E1-483526C9F870}">
    <t:Anchor>
      <t:Comment id="317829088"/>
    </t:Anchor>
    <t:History>
      <t:Event id="{4B5D4065-B00D-49C8-A94E-B36277B34526}" time="2025-09-21T23:49:06.756Z">
        <t:Attribution userId="S::jin.russell@health.govt.nz::2435ebfe-34ae-44e5-8a0a-ad8526bfaba3" userProvider="AD" userName="Jin Russell"/>
        <t:Anchor>
          <t:Comment id="1008700583"/>
        </t:Anchor>
        <t:Create/>
      </t:Event>
      <t:Event id="{69FF84B1-2706-4629-8EE0-390AD5731AF2}" time="2025-09-21T23:49:06.756Z">
        <t:Attribution userId="S::jin.russell@health.govt.nz::2435ebfe-34ae-44e5-8a0a-ad8526bfaba3" userProvider="AD" userName="Jin Russell"/>
        <t:Anchor>
          <t:Comment id="1008700583"/>
        </t:Anchor>
        <t:Assign userId="S::Kieran.Moorhead@health.govt.nz::eb9e9467-e087-43ef-9705-77409505429e" userProvider="AD" userName="Kieran Moorhead"/>
      </t:Event>
      <t:Event id="{A581E55E-C5CD-4364-A455-EBC6817FA148}" time="2025-09-21T23:49:06.756Z">
        <t:Attribution userId="S::jin.russell@health.govt.nz::2435ebfe-34ae-44e5-8a0a-ad8526bfaba3" userProvider="AD" userName="Jin Russell"/>
        <t:Anchor>
          <t:Comment id="1008700583"/>
        </t:Anchor>
        <t:SetTitle title="Would be good to discuss with @Kieran Moorhead. My preference is to acknowledge this with a version update on page 2 next to Publication d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CategoryValue xmlns="4f9c820c-e7e2-444d-97ee-45f2b3485c1d">Neurodiversity</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RelatedPeople xmlns="4f9c820c-e7e2-444d-97ee-45f2b3485c1d">
      <UserInfo>
        <DisplayName/>
        <AccountId xsi:nil="true"/>
        <AccountType/>
      </UserInfo>
    </RelatedPeople>
    <AggregationNarrative xmlns="725c79e5-42ce-4aa0-ac78-b6418001f0d2" xsi:nil="true"/>
    <Channel xmlns="c91a514c-9034-4fa3-897a-8352025b26ed">Advice and input</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Areas, conditions, needs and social determinants</CategoryName>
    <PRADateTrigger xmlns="4f9c820c-e7e2-444d-97ee-45f2b3485c1d" xsi:nil="true"/>
    <PRAText2 xmlns="4f9c820c-e7e2-444d-97ee-45f2b3485c1d" xsi:nil="true"/>
    <zLegacyID xmlns="184c05c4-c568-455d-94a4-7e009b164348" xsi:nil="true"/>
    <OverrideLabel xmlns="d0b61010-d6f3-4072-b934-7bbb13e97771" xsi:nil="true"/>
    <TaxCatchAll xmlns="c5b47098-0215-444c-9096-523bda4ac5c6" xsi:nil="true"/>
    <lcf76f155ced4ddcb4097134ff3c332f xmlns="54904628-6268-4ac5-9416-97794f1d508d">
      <Terms xmlns="http://schemas.microsoft.com/office/infopath/2007/PartnerControls"/>
    </lcf76f155ced4ddcb4097134ff3c332f>
    <SetLabel xmlns="d0b61010-d6f3-4072-b934-7bbb13e97771">Retain</SetLabel>
    <_dlc_DocId xmlns="c5b47098-0215-444c-9096-523bda4ac5c6">MOHECM-952532665-31451</_dlc_DocId>
    <_dlc_DocIdUrl xmlns="c5b47098-0215-444c-9096-523bda4ac5c6">
      <Url>https://mohgovtnz.sharepoint.com/sites/moh-ecm-MentHealSPL/_layouts/15/DocIdRedir.aspx?ID=MOHECM-952532665-31451</Url>
      <Description>MOHECM-952532665-31451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279" ma:contentTypeDescription="Create a new document." ma:contentTypeScope="" ma:versionID="9a59cc5b0901827856925c86f6256a28">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a1f7ced8bdaeee5e16983f5d44698556"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725c79e5-42ce-4aa0-ac78-b6418001f0d2"/>
    <ds:schemaRef ds:uri="d0b61010-d6f3-4072-b934-7bbb13e97771"/>
    <ds:schemaRef ds:uri="c5b47098-0215-444c-9096-523bda4ac5c6"/>
    <ds:schemaRef ds:uri="54904628-6268-4ac5-9416-97794f1d508d"/>
  </ds:schemaRefs>
</ds:datastoreItem>
</file>

<file path=customXml/itemProps3.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4.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5.xml><?xml version="1.0" encoding="utf-8"?>
<ds:datastoreItem xmlns:ds="http://schemas.openxmlformats.org/officeDocument/2006/customXml" ds:itemID="{0A11D174-F5BD-4284-896C-901C997E4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TotalTime>
  <Pages>16</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New Zealand Attention Deficit Hyperactivity Disorder Clinical Principles Framework</vt:lpstr>
    </vt:vector>
  </TitlesOfParts>
  <Company>Microsoft</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Attention Deficit Hyperactivity Disorder Clinical Principles Framework</dc:title>
  <dc:subject/>
  <dc:creator>Ministry of Health</dc:creator>
  <cp:keywords/>
  <cp:lastModifiedBy>Ministry of Health</cp:lastModifiedBy>
  <cp:revision>4</cp:revision>
  <cp:lastPrinted>2025-10-01T19:29:00Z</cp:lastPrinted>
  <dcterms:created xsi:type="dcterms:W3CDTF">2025-10-01T19:28:00Z</dcterms:created>
  <dcterms:modified xsi:type="dcterms:W3CDTF">2025-10-01T19:29:00Z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0854cf8c-643b-4a9c-b60f-5f403dd8d4aa</vt:lpwstr>
  </property>
  <property fmtid="{D5CDD505-2E9C-101B-9397-08002B2CF9AE}" pid="4" name="MediaServiceImageTags">
    <vt:lpwstr/>
  </property>
  <property fmtid="{D5CDD505-2E9C-101B-9397-08002B2CF9AE}" pid="5" name="_dlc_DocId">
    <vt:lpwstr>U5RCTUST6MMN-1850277579-760</vt:lpwstr>
  </property>
  <property fmtid="{D5CDD505-2E9C-101B-9397-08002B2CF9AE}" pid="6" name="_dlc_DocIdUrl">
    <vt:lpwstr>https://mohgovtnz.sharepoint.com/sites/moh-ecm-TemplateCentral/_layouts/15/DocIdRedir.aspx?ID=U5RCTUST6MMN-1850277579-760, U5RCTUST6MMN-1850277579-760</vt:lpwstr>
  </property>
  <property fmtid="{D5CDD505-2E9C-101B-9397-08002B2CF9AE}" pid="7" name="Template_x0020_Owner">
    <vt:lpwstr/>
  </property>
  <property fmtid="{D5CDD505-2E9C-101B-9397-08002B2CF9AE}" pid="8" name="Template Owner">
    <vt:lpwstr/>
  </property>
  <property fmtid="{D5CDD505-2E9C-101B-9397-08002B2CF9AE}" pid="9" name="docLang">
    <vt:lpwstr>en</vt:lpwstr>
  </property>
</Properties>
</file>